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A45F6" w14:textId="77777777" w:rsidR="0067277E" w:rsidRDefault="0067277E">
      <w:pPr>
        <w:widowControl w:val="0"/>
        <w:pBdr>
          <w:top w:val="nil"/>
          <w:left w:val="nil"/>
          <w:bottom w:val="nil"/>
          <w:right w:val="nil"/>
          <w:between w:val="nil"/>
        </w:pBdr>
        <w:spacing w:line="276" w:lineRule="auto"/>
      </w:pPr>
    </w:p>
    <w:p w14:paraId="0B3AE282" w14:textId="77777777" w:rsidR="0067277E" w:rsidRDefault="0067277E">
      <w:pPr>
        <w:spacing w:line="360" w:lineRule="auto"/>
        <w:jc w:val="both"/>
        <w:rPr>
          <w:rFonts w:ascii="Palatino Linotype" w:eastAsia="Palatino Linotype" w:hAnsi="Palatino Linotype" w:cs="Palatino Linotype"/>
          <w:sz w:val="22"/>
          <w:szCs w:val="22"/>
        </w:rPr>
      </w:pPr>
    </w:p>
    <w:p w14:paraId="6D105DAE"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trece de noviembre de dos mil veinticuatro.</w:t>
      </w:r>
    </w:p>
    <w:p w14:paraId="27E6CEDA" w14:textId="77777777" w:rsidR="0067277E" w:rsidRPr="005B6497" w:rsidRDefault="0067277E">
      <w:pPr>
        <w:spacing w:line="360" w:lineRule="auto"/>
        <w:rPr>
          <w:rFonts w:ascii="Palatino Linotype" w:eastAsia="Palatino Linotype" w:hAnsi="Palatino Linotype" w:cs="Palatino Linotype"/>
          <w:sz w:val="22"/>
          <w:szCs w:val="22"/>
        </w:rPr>
      </w:pPr>
    </w:p>
    <w:p w14:paraId="5C9A57BC" w14:textId="4C9E39C4" w:rsidR="0067277E" w:rsidRPr="005B6497" w:rsidRDefault="006B5461">
      <w:pPr>
        <w:spacing w:line="360" w:lineRule="auto"/>
        <w:jc w:val="both"/>
        <w:rPr>
          <w:rFonts w:ascii="Palatino Linotype" w:eastAsia="Palatino Linotype" w:hAnsi="Palatino Linotype" w:cs="Palatino Linotype"/>
          <w:color w:val="0D0D0D"/>
          <w:sz w:val="22"/>
          <w:szCs w:val="22"/>
        </w:rPr>
      </w:pPr>
      <w:r w:rsidRPr="005B6497">
        <w:rPr>
          <w:rFonts w:ascii="Palatino Linotype" w:eastAsia="Palatino Linotype" w:hAnsi="Palatino Linotype" w:cs="Palatino Linotype"/>
          <w:b/>
          <w:color w:val="0D0D0D"/>
          <w:sz w:val="22"/>
          <w:szCs w:val="22"/>
        </w:rPr>
        <w:t xml:space="preserve">VISTO </w:t>
      </w:r>
      <w:r w:rsidRPr="005B6497">
        <w:rPr>
          <w:rFonts w:ascii="Palatino Linotype" w:eastAsia="Palatino Linotype" w:hAnsi="Palatino Linotype" w:cs="Palatino Linotype"/>
          <w:color w:val="0D0D0D"/>
          <w:sz w:val="22"/>
          <w:szCs w:val="22"/>
        </w:rPr>
        <w:t xml:space="preserve">el expediente conformado con motivo de los Recursos de Revisión </w:t>
      </w:r>
      <w:r w:rsidRPr="002C6CAB">
        <w:rPr>
          <w:rFonts w:ascii="Palatino Linotype" w:eastAsia="Palatino Linotype" w:hAnsi="Palatino Linotype" w:cs="Palatino Linotype"/>
          <w:b/>
          <w:bCs/>
          <w:sz w:val="22"/>
          <w:szCs w:val="22"/>
        </w:rPr>
        <w:t>06541/INFOEM/IP/RR/2024, 06542/INFOEM/IP/RR/2024</w:t>
      </w:r>
      <w:r w:rsidRPr="002C6CAB">
        <w:rPr>
          <w:rFonts w:ascii="Palatino Linotype" w:eastAsia="Palatino Linotype" w:hAnsi="Palatino Linotype" w:cs="Palatino Linotype"/>
          <w:b/>
          <w:bCs/>
          <w:color w:val="0D0D0D"/>
          <w:sz w:val="22"/>
          <w:szCs w:val="22"/>
        </w:rPr>
        <w:t xml:space="preserve">, </w:t>
      </w:r>
      <w:r w:rsidRPr="002C6CAB">
        <w:rPr>
          <w:rFonts w:ascii="Palatino Linotype" w:eastAsia="Palatino Linotype" w:hAnsi="Palatino Linotype" w:cs="Palatino Linotype"/>
          <w:b/>
          <w:bCs/>
          <w:sz w:val="22"/>
          <w:szCs w:val="22"/>
        </w:rPr>
        <w:t xml:space="preserve">06543/INFOEM/IP/RR/2024, </w:t>
      </w:r>
      <w:r w:rsidRPr="002C6CAB">
        <w:rPr>
          <w:rFonts w:ascii="Palatino Linotype" w:eastAsia="Palatino Linotype" w:hAnsi="Palatino Linotype" w:cs="Palatino Linotype"/>
          <w:b/>
          <w:bCs/>
          <w:color w:val="0D0D0D"/>
          <w:sz w:val="22"/>
          <w:szCs w:val="22"/>
        </w:rPr>
        <w:t xml:space="preserve">y </w:t>
      </w:r>
      <w:r w:rsidRPr="002C6CAB">
        <w:rPr>
          <w:rFonts w:ascii="Palatino Linotype" w:eastAsia="Palatino Linotype" w:hAnsi="Palatino Linotype" w:cs="Palatino Linotype"/>
          <w:b/>
          <w:bCs/>
          <w:sz w:val="22"/>
          <w:szCs w:val="22"/>
        </w:rPr>
        <w:t>06544/INFOEM/IP/RR/2024</w:t>
      </w:r>
      <w:r w:rsidRPr="005B6497">
        <w:rPr>
          <w:rFonts w:ascii="Palatino Linotype" w:eastAsia="Palatino Linotype" w:hAnsi="Palatino Linotype" w:cs="Palatino Linotype"/>
          <w:sz w:val="22"/>
          <w:szCs w:val="22"/>
        </w:rPr>
        <w:t>,</w:t>
      </w:r>
      <w:r w:rsidRPr="005B6497">
        <w:rPr>
          <w:rFonts w:ascii="Palatino Linotype" w:eastAsia="Palatino Linotype" w:hAnsi="Palatino Linotype" w:cs="Palatino Linotype"/>
          <w:color w:val="0D0D0D"/>
          <w:sz w:val="22"/>
          <w:szCs w:val="22"/>
        </w:rPr>
        <w:t xml:space="preserve"> interpuestos por </w:t>
      </w:r>
      <w:r w:rsidR="008D65B6" w:rsidRPr="008D65B6">
        <w:rPr>
          <w:rFonts w:ascii="Palatino Linotype" w:eastAsia="Palatino Linotype" w:hAnsi="Palatino Linotype" w:cs="Palatino Linotype"/>
          <w:b/>
          <w:bCs/>
          <w:color w:val="0D0D0D"/>
          <w:sz w:val="22"/>
          <w:szCs w:val="22"/>
          <w:highlight w:val="black"/>
        </w:rPr>
        <w:t>XXXXXXX</w:t>
      </w:r>
      <w:r w:rsidRPr="005B6497">
        <w:rPr>
          <w:rFonts w:ascii="Palatino Linotype" w:eastAsia="Palatino Linotype" w:hAnsi="Palatino Linotype" w:cs="Palatino Linotype"/>
          <w:color w:val="0D0D0D"/>
          <w:sz w:val="22"/>
          <w:szCs w:val="22"/>
        </w:rPr>
        <w:t xml:space="preserve"> en lo sucesivo la Recurrente o Particular, en contra de las respuestas del Sujeto Ob</w:t>
      </w:r>
      <w:bookmarkStart w:id="0" w:name="_GoBack"/>
      <w:bookmarkEnd w:id="0"/>
      <w:r w:rsidRPr="005B6497">
        <w:rPr>
          <w:rFonts w:ascii="Palatino Linotype" w:eastAsia="Palatino Linotype" w:hAnsi="Palatino Linotype" w:cs="Palatino Linotype"/>
          <w:color w:val="0D0D0D"/>
          <w:sz w:val="22"/>
          <w:szCs w:val="22"/>
        </w:rPr>
        <w:t>ligado,</w:t>
      </w:r>
      <w:r w:rsidRPr="005B6497">
        <w:rPr>
          <w:rFonts w:ascii="Palatino Linotype" w:eastAsia="Palatino Linotype" w:hAnsi="Palatino Linotype" w:cs="Palatino Linotype"/>
          <w:sz w:val="22"/>
          <w:szCs w:val="22"/>
        </w:rPr>
        <w:t xml:space="preserve"> </w:t>
      </w:r>
      <w:r w:rsidRPr="002C6CAB">
        <w:rPr>
          <w:rFonts w:ascii="Palatino Linotype" w:eastAsia="Palatino Linotype" w:hAnsi="Palatino Linotype" w:cs="Palatino Linotype"/>
          <w:b/>
          <w:bCs/>
          <w:sz w:val="22"/>
          <w:szCs w:val="22"/>
        </w:rPr>
        <w:t>Organismo Agua y Saneamiento de Toluca</w:t>
      </w:r>
      <w:r w:rsidRPr="005B6497">
        <w:rPr>
          <w:rFonts w:ascii="Palatino Linotype" w:eastAsia="Palatino Linotype" w:hAnsi="Palatino Linotype" w:cs="Palatino Linotype"/>
          <w:color w:val="0D0D0D"/>
          <w:sz w:val="22"/>
          <w:szCs w:val="22"/>
        </w:rPr>
        <w:t>, a las solicitudes de acceso a la información pública</w:t>
      </w:r>
      <w:r w:rsidRPr="005B6497">
        <w:rPr>
          <w:rFonts w:ascii="Palatino Linotype" w:eastAsia="Palatino Linotype" w:hAnsi="Palatino Linotype" w:cs="Palatino Linotype"/>
          <w:sz w:val="22"/>
          <w:szCs w:val="22"/>
        </w:rPr>
        <w:t xml:space="preserve"> 00144/OASTOL/IP/2024</w:t>
      </w:r>
      <w:r w:rsidRPr="005B6497">
        <w:rPr>
          <w:rFonts w:ascii="Palatino Linotype" w:eastAsia="Palatino Linotype" w:hAnsi="Palatino Linotype" w:cs="Palatino Linotype"/>
          <w:color w:val="0D0D0D"/>
          <w:sz w:val="22"/>
          <w:szCs w:val="22"/>
        </w:rPr>
        <w:t>, 00143/OASTOL/IP/2024, 00141/OASTOL/IP/2024 y 00142/OASTOL/IP/2024, se emite la presente Resolución, con base en los Antecedentes y C</w:t>
      </w:r>
      <w:r w:rsidRPr="005B6497">
        <w:rPr>
          <w:rFonts w:ascii="Palatino Linotype" w:eastAsia="Palatino Linotype" w:hAnsi="Palatino Linotype" w:cs="Palatino Linotype"/>
          <w:sz w:val="22"/>
          <w:szCs w:val="22"/>
        </w:rPr>
        <w:t>onsiderandos que a continuación se exponen:</w:t>
      </w:r>
    </w:p>
    <w:p w14:paraId="2824BFA2" w14:textId="77777777" w:rsidR="0067277E" w:rsidRPr="005B6497" w:rsidRDefault="0067277E">
      <w:pPr>
        <w:tabs>
          <w:tab w:val="center" w:pos="4522"/>
          <w:tab w:val="left" w:pos="7245"/>
        </w:tabs>
        <w:spacing w:line="360" w:lineRule="auto"/>
        <w:jc w:val="center"/>
        <w:rPr>
          <w:rFonts w:ascii="Palatino Linotype" w:eastAsia="Palatino Linotype" w:hAnsi="Palatino Linotype" w:cs="Palatino Linotype"/>
          <w:b/>
          <w:sz w:val="22"/>
          <w:szCs w:val="22"/>
        </w:rPr>
      </w:pPr>
    </w:p>
    <w:p w14:paraId="24D878C1" w14:textId="77777777" w:rsidR="0067277E" w:rsidRPr="005B6497" w:rsidRDefault="006B5461">
      <w:pPr>
        <w:tabs>
          <w:tab w:val="center" w:pos="4522"/>
          <w:tab w:val="left" w:pos="7245"/>
        </w:tabs>
        <w:spacing w:line="360" w:lineRule="auto"/>
        <w:jc w:val="center"/>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A N T E C E D E N T E S</w:t>
      </w:r>
    </w:p>
    <w:p w14:paraId="1F9D41DB" w14:textId="77777777" w:rsidR="0067277E" w:rsidRPr="005B6497" w:rsidRDefault="0067277E">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14:paraId="6EF43BCF" w14:textId="77777777" w:rsidR="0067277E" w:rsidRPr="005B6497" w:rsidRDefault="006B546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sidRPr="005B6497">
        <w:rPr>
          <w:rFonts w:ascii="Palatino Linotype" w:eastAsia="Palatino Linotype" w:hAnsi="Palatino Linotype" w:cs="Palatino Linotype"/>
          <w:b/>
          <w:color w:val="000000"/>
          <w:sz w:val="22"/>
          <w:szCs w:val="22"/>
        </w:rPr>
        <w:t>I. Presentación de las solicitudes de información</w:t>
      </w:r>
    </w:p>
    <w:p w14:paraId="2AA75874" w14:textId="77777777" w:rsidR="0067277E" w:rsidRPr="005B6497" w:rsidRDefault="0067277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70F9357A" w14:textId="77777777" w:rsidR="0067277E" w:rsidRPr="005B6497" w:rsidRDefault="006B546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Con fecha once y trece de septiembre de dos mil veinticuatro, la Particular presentó cuatro solicitudes de acceso a la información pública, a través del Sistema de Acceso a la Información Mexiquense (SAIMEX), ante el Organismo Agua y Saneamiento de Toluca, en los siguientes términos:</w:t>
      </w:r>
    </w:p>
    <w:p w14:paraId="23857345" w14:textId="77777777" w:rsidR="0067277E" w:rsidRPr="005B6497" w:rsidRDefault="0067277E">
      <w:pPr>
        <w:tabs>
          <w:tab w:val="left" w:pos="4667"/>
        </w:tabs>
        <w:spacing w:line="360" w:lineRule="auto"/>
        <w:ind w:left="567" w:right="567"/>
        <w:jc w:val="both"/>
        <w:rPr>
          <w:rFonts w:ascii="Palatino Linotype" w:eastAsia="Palatino Linotype" w:hAnsi="Palatino Linotype" w:cs="Palatino Linotype"/>
          <w:b/>
          <w:i/>
        </w:rPr>
      </w:pPr>
    </w:p>
    <w:p w14:paraId="51A3F1E9"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bookmarkStart w:id="1" w:name="_heading=h.gjdgxs" w:colFirst="0" w:colLast="0"/>
      <w:bookmarkEnd w:id="1"/>
      <w:r w:rsidRPr="005B6497">
        <w:rPr>
          <w:rFonts w:ascii="Palatino Linotype" w:eastAsia="Palatino Linotype" w:hAnsi="Palatino Linotype" w:cs="Palatino Linotype"/>
          <w:b/>
          <w:i/>
        </w:rPr>
        <w:t>Solicitud de Información 00144/OASTOL/IP/2024</w:t>
      </w:r>
    </w:p>
    <w:p w14:paraId="19845B4D"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“DESCRIPCIÓN CLARA Y PRECISA DE LA INFORMACIÓN SOLICITADA</w:t>
      </w:r>
    </w:p>
    <w:p w14:paraId="05AF62C8"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rPr>
        <w:lastRenderedPageBreak/>
        <w:t>SOLICITO EL CERTIFICADO DE COMPETENCIA LABORAL DE LA TITULAR DEL ORGANO INTERNO DE CONTROL DE AGUA Y SANEAMIENTO DE TOLUCA”</w:t>
      </w:r>
    </w:p>
    <w:p w14:paraId="346D42E9"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 xml:space="preserve">            </w:t>
      </w:r>
    </w:p>
    <w:p w14:paraId="5EACBD95"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 xml:space="preserve"> Solicitud de Información 00143/OASTOL/IP/2024 </w:t>
      </w:r>
    </w:p>
    <w:p w14:paraId="23F1EE46"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“DESCRIPCIÓN CLARA Y PRECISA DE LA INFORMACIÓN SOLICITADA</w:t>
      </w:r>
    </w:p>
    <w:p w14:paraId="134EB18C"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rPr>
        <w:t>SOLICITO EL CERTIFICADO DE COMPETENCIA LABORAL DEL DIRECTOR GENERAL DE AGUA Y SANEAMIENTO DE TOLUCA”</w:t>
      </w:r>
    </w:p>
    <w:p w14:paraId="4CFE1197" w14:textId="77777777" w:rsidR="0067277E" w:rsidRPr="005B6497" w:rsidRDefault="0067277E">
      <w:pPr>
        <w:tabs>
          <w:tab w:val="left" w:pos="4667"/>
        </w:tabs>
        <w:spacing w:line="360" w:lineRule="auto"/>
        <w:ind w:left="567" w:right="567"/>
        <w:jc w:val="both"/>
        <w:rPr>
          <w:rFonts w:ascii="Palatino Linotype" w:eastAsia="Palatino Linotype" w:hAnsi="Palatino Linotype" w:cs="Palatino Linotype"/>
          <w:i/>
        </w:rPr>
      </w:pPr>
    </w:p>
    <w:p w14:paraId="49F59D81"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Solicitud de Información 00141/OASTOL/IP/2024</w:t>
      </w:r>
    </w:p>
    <w:p w14:paraId="6EA83AEC"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“DESCRIPCIÓN CLARA Y PRECISA DE LA INFORMACIÓN SOLICITADA</w:t>
      </w:r>
    </w:p>
    <w:p w14:paraId="46E96080"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rPr>
        <w:t>SOLICITO EL CERTIFICADO DE COMPETENCIA LABORAL DEL DIRECTOR DE ADMINISTRACION Y FINANZAS DE AGUA Y SANEAMIENTO DE TOLUCA”</w:t>
      </w:r>
    </w:p>
    <w:p w14:paraId="0227F694" w14:textId="77777777" w:rsidR="0067277E" w:rsidRPr="005B6497" w:rsidRDefault="0067277E">
      <w:pPr>
        <w:spacing w:line="360" w:lineRule="auto"/>
        <w:ind w:left="567" w:right="567"/>
        <w:jc w:val="both"/>
        <w:rPr>
          <w:rFonts w:ascii="Palatino Linotype" w:eastAsia="Palatino Linotype" w:hAnsi="Palatino Linotype" w:cs="Palatino Linotype"/>
          <w:i/>
        </w:rPr>
      </w:pPr>
    </w:p>
    <w:p w14:paraId="522B4AB4"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 xml:space="preserve">Solicitud de Información 00142/OASTOL/IP/2024 </w:t>
      </w:r>
    </w:p>
    <w:p w14:paraId="61DDCB69"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“DESCRIPCIÓN CLARA Y PRECISA DE LA INFORMACIÓN SOLICITADA</w:t>
      </w:r>
    </w:p>
    <w:p w14:paraId="14D15AD5" w14:textId="77777777" w:rsidR="0067277E" w:rsidRPr="005B6497" w:rsidRDefault="006B5461">
      <w:pPr>
        <w:tabs>
          <w:tab w:val="left" w:pos="4667"/>
        </w:tabs>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rPr>
        <w:t>SOLICITO EL CERTIFICADO DE COMPETENCIA LABORAL DE LA DIRECTORA DE OPERACION Y PLANEACION DE AGUA Y SANEAMIENTO DE TOLUCA”</w:t>
      </w:r>
    </w:p>
    <w:p w14:paraId="3E964F22"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27669635" w14:textId="77777777" w:rsidR="0067277E" w:rsidRPr="005B6497" w:rsidRDefault="006B5461">
      <w:pPr>
        <w:spacing w:line="360" w:lineRule="auto"/>
        <w:jc w:val="both"/>
        <w:rPr>
          <w:rFonts w:ascii="Palatino Linotype" w:eastAsia="Palatino Linotype" w:hAnsi="Palatino Linotype" w:cs="Palatino Linotype"/>
          <w:i/>
          <w:sz w:val="22"/>
          <w:szCs w:val="22"/>
        </w:rPr>
      </w:pPr>
      <w:r w:rsidRPr="005B6497">
        <w:rPr>
          <w:rFonts w:ascii="Palatino Linotype" w:eastAsia="Palatino Linotype" w:hAnsi="Palatino Linotype" w:cs="Palatino Linotype"/>
          <w:sz w:val="22"/>
          <w:szCs w:val="22"/>
        </w:rPr>
        <w:t xml:space="preserve">En las cuatro solicitudes el Particular eligió como modalidad de entrega </w:t>
      </w:r>
      <w:r w:rsidRPr="005B6497">
        <w:rPr>
          <w:rFonts w:ascii="Palatino Linotype" w:eastAsia="Palatino Linotype" w:hAnsi="Palatino Linotype" w:cs="Palatino Linotype"/>
          <w:i/>
          <w:sz w:val="22"/>
          <w:szCs w:val="22"/>
        </w:rPr>
        <w:t>“a través de SAIMEX”</w:t>
      </w:r>
    </w:p>
    <w:p w14:paraId="259D3457"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sz w:val="22"/>
          <w:szCs w:val="22"/>
        </w:rPr>
      </w:pPr>
    </w:p>
    <w:p w14:paraId="1AEDB337"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II. Prórroga para atender las solicitudes de información</w:t>
      </w:r>
    </w:p>
    <w:p w14:paraId="2C011501"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sz w:val="22"/>
          <w:szCs w:val="22"/>
        </w:rPr>
      </w:pPr>
    </w:p>
    <w:p w14:paraId="408FA0E7"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Con fecha cuatro de octubre de dos mil veinticuatro, el Sujeto Obligado, a través del Sistema de Acceso a la Información Mexiquense (SAIMEX), notificó una prórroga, a través de un acuerdo emitido por el Comité de Transparencia con número </w:t>
      </w:r>
      <w:r w:rsidRPr="005B6497">
        <w:rPr>
          <w:rFonts w:ascii="Palatino Linotype" w:eastAsia="Palatino Linotype" w:hAnsi="Palatino Linotype" w:cs="Palatino Linotype"/>
          <w:sz w:val="22"/>
          <w:szCs w:val="22"/>
        </w:rPr>
        <w:lastRenderedPageBreak/>
        <w:t>RES/09/OAYST/CT/11°/2024, mediante la cual aprobó la ampliación de término para atender las solicitudes de información.</w:t>
      </w:r>
    </w:p>
    <w:p w14:paraId="611C9A14"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sz w:val="22"/>
          <w:szCs w:val="22"/>
        </w:rPr>
      </w:pPr>
    </w:p>
    <w:p w14:paraId="214FDB24"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III. Respuestas del Sujeto Obligado</w:t>
      </w:r>
    </w:p>
    <w:p w14:paraId="0F96C0CF"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256F78AD"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Con fechas quince y diecisiete de octubre de dos mil veinticuatro, el</w:t>
      </w:r>
      <w:r w:rsidRPr="005B6497">
        <w:rPr>
          <w:rFonts w:ascii="Palatino Linotype" w:eastAsia="Palatino Linotype" w:hAnsi="Palatino Linotype" w:cs="Palatino Linotype"/>
          <w:b/>
          <w:sz w:val="22"/>
          <w:szCs w:val="22"/>
        </w:rPr>
        <w:t xml:space="preserve"> </w:t>
      </w:r>
      <w:r w:rsidRPr="005B6497">
        <w:rPr>
          <w:rFonts w:ascii="Palatino Linotype" w:eastAsia="Palatino Linotype" w:hAnsi="Palatino Linotype" w:cs="Palatino Linotype"/>
          <w:sz w:val="22"/>
          <w:szCs w:val="22"/>
        </w:rPr>
        <w:t>Sujeto Obligado dio respuesta a las solicitudes de acceso a la información a través del Sistema de Acceso a la Información Mexiquense (SAIMEX), conforme a lo siguiente:</w:t>
      </w:r>
    </w:p>
    <w:p w14:paraId="40755685"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708505B4"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Solicitud de Información 00144/OASTOL/IP/2024</w:t>
      </w:r>
    </w:p>
    <w:p w14:paraId="3A38BEFB"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2E036EF0"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 Versión pública del Certificado de Competencia Laboral de Liliana Angélica López Salgado, en versión pública. </w:t>
      </w:r>
    </w:p>
    <w:p w14:paraId="54C3B92A"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ii) Acta número RES/OAYST/CT/SO/3°/2024 emitida por el Comité de Transparencia de fecha catorce de octubre de dos mil veinticuatro, a través de la cual, se aprobó la versión pública del certificado de competencia laboral proporcionado. </w:t>
      </w:r>
    </w:p>
    <w:p w14:paraId="73A36123"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iii) Oficio número 200C13001/993/2024, del once de octubre de dos mil veinticuatro, suscrito por el Servidor Público Habilitado de la Jefatura del Departamento de Recursos Humanos, dirigido al Jefe del Departamento de Transparencia, a través del cual solicita se lleve a cabo el proceso de clasificación parcial del certificado de competencia laboral proporcionado. </w:t>
      </w:r>
    </w:p>
    <w:p w14:paraId="5DD27699"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iv) Oficio número 200C16001/080/2024, del quince de octubre de dos mil veinticuatro, suscrito por el Servidor Público Habilitado de la Jefatura del Departamento de Transparencia y Oficialía de Partes, dirigido al C. Solicitante, a través del cual refiere que se adjunta la respuesta emitida por la Jefatura del Departamento de Recursos Humanos, en su versión pública. </w:t>
      </w:r>
    </w:p>
    <w:p w14:paraId="6E1CA139"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B61F926"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Solicitud de Información 00143/OASTOL/IP/2024</w:t>
      </w:r>
    </w:p>
    <w:p w14:paraId="58A000F1"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0D510B19"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 Certificado de Competencia Laboral a nombre de Marco Antonio Sandoval González, en versión pública. </w:t>
      </w:r>
    </w:p>
    <w:p w14:paraId="792386F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ii) Acta número RES/OAYST/CT/SO/3°/2024 emitida por el Comité de Transparencia de fecha catorce de octubre de dos mil veinticuatro, a través de la cual, se aprobó la versión pública del certificado de competencia laboral proporcionado. </w:t>
      </w:r>
    </w:p>
    <w:p w14:paraId="62FE67A2"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iii) Oficio número 200C13001/984/2024, del diez de octubre de dos mil veinticuatro, suscrito por el Servidor Público Habilitado de la Jefatura del Departamento de Recursos Humanos, dirigido al Jefe del Departamento de Transparencia, a través del cual solicita se lleve a cabo el proceso de clasificación parcial del certificado de competencia laboral proporcionado. </w:t>
      </w:r>
    </w:p>
    <w:p w14:paraId="54DA95E1"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iv) Oficio número 200C16001/079/2024, del quince de octubre de dos mil veinticuatro, suscrito por el Servidor Público Habilitado de la Jefatura del Departamento de Transparencia y Oficialía de Partes, dirigido al C. Solicitante, a través del cual refiere que se adjunta la respuesta emitida por la Jefatura del Departamento de Recursos Humanos, en su versión pública. </w:t>
      </w:r>
    </w:p>
    <w:p w14:paraId="60B4C562"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120528FB"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Solicitud de Información 00141/OASTOL/IP/2024</w:t>
      </w:r>
    </w:p>
    <w:p w14:paraId="6B01D9A2"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4106FB63"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i) Oficio número 200C13001/991/2024, del once de octubre de dos mil veinticuatro, suscrito por el Servidor Público Habilitado de la Jefatura del Departamento de Recursos Humanos, dirigido al Jefe del Departamento de Transparencia, a través del cual refiere que el Director de Administración y Finanzas no se encuentra obligado a contar con Certificación Laboral </w:t>
      </w:r>
      <w:r w:rsidRPr="005B6497">
        <w:rPr>
          <w:rFonts w:ascii="Palatino Linotype" w:eastAsia="Palatino Linotype" w:hAnsi="Palatino Linotype" w:cs="Palatino Linotype"/>
          <w:sz w:val="22"/>
          <w:szCs w:val="22"/>
        </w:rPr>
        <w:lastRenderedPageBreak/>
        <w:t xml:space="preserve">en materia del cargo que se desempeña, por lo que, no es posible remitir la documental solicitada.  </w:t>
      </w:r>
    </w:p>
    <w:p w14:paraId="43E6CF38"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08A87169" w14:textId="77777777" w:rsidR="0067277E" w:rsidRPr="005B6497" w:rsidRDefault="006B5461">
      <w:pPr>
        <w:tabs>
          <w:tab w:val="left" w:pos="4667"/>
        </w:tabs>
        <w:spacing w:line="360" w:lineRule="auto"/>
        <w:ind w:right="567"/>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Solicitud de Información 00142/OASTOL/IP/2024</w:t>
      </w:r>
    </w:p>
    <w:p w14:paraId="4113895C" w14:textId="77777777" w:rsidR="0067277E" w:rsidRPr="005B6497" w:rsidRDefault="0067277E">
      <w:pPr>
        <w:tabs>
          <w:tab w:val="left" w:pos="4667"/>
        </w:tabs>
        <w:spacing w:line="360" w:lineRule="auto"/>
        <w:ind w:right="567"/>
        <w:jc w:val="both"/>
        <w:rPr>
          <w:rFonts w:ascii="Palatino Linotype" w:eastAsia="Palatino Linotype" w:hAnsi="Palatino Linotype" w:cs="Palatino Linotype"/>
          <w:b/>
          <w:sz w:val="22"/>
          <w:szCs w:val="22"/>
        </w:rPr>
      </w:pPr>
    </w:p>
    <w:p w14:paraId="25895B73"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i) Oficio número 200C13001/992/2024, del once de octubre de dos mil veinticuatro, suscrito por el Servidor Público Habilitado de la Jefatura del Departamento de Recursos Humanos, dirigido al Jefe del Departamento de Transparencia, a través del cual refiere que el Director de Operación y Planeación no se encuentra obligado a contar con Certificación Laboral en materia del cargo que se desempeña, por lo que, no es posible remitir la documental solicitada.</w:t>
      </w:r>
      <w:r w:rsidRPr="005B6497">
        <w:rPr>
          <w:rFonts w:ascii="Palatino Linotype" w:eastAsia="Palatino Linotype" w:hAnsi="Palatino Linotype" w:cs="Palatino Linotype"/>
          <w:b/>
          <w:sz w:val="22"/>
          <w:szCs w:val="22"/>
        </w:rPr>
        <w:t xml:space="preserve"> </w:t>
      </w:r>
      <w:r w:rsidRPr="005B6497">
        <w:rPr>
          <w:rFonts w:ascii="Palatino Linotype" w:eastAsia="Palatino Linotype" w:hAnsi="Palatino Linotype" w:cs="Palatino Linotype"/>
          <w:sz w:val="22"/>
          <w:szCs w:val="22"/>
        </w:rPr>
        <w:t xml:space="preserve"> </w:t>
      </w:r>
    </w:p>
    <w:p w14:paraId="21861A21"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0A5252D"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III. Interposición de los Recursos de Revisión.</w:t>
      </w:r>
    </w:p>
    <w:p w14:paraId="4A900A3C"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12E5864D"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Con fecha veintiuno de octubre de dos mil veinticuatro, se recibió en este Instituto, a través del Sistema de Acceso a la Información Mexiquense (SAIMEX), los Recursos de Revisión interpuestos por la parte Recurrente, en contra de las respuestas del Organismo Agua y Saneamiento de Toluca, en idénticos términos conforme a lo siguientes:</w:t>
      </w:r>
    </w:p>
    <w:p w14:paraId="0A5DFE09"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52E74C60" w14:textId="77777777" w:rsidR="0067277E" w:rsidRPr="005B6497" w:rsidRDefault="006B5461">
      <w:pPr>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b/>
          <w:i/>
        </w:rPr>
        <w:t>“ACTO IMPUGNADO</w:t>
      </w:r>
    </w:p>
    <w:p w14:paraId="0E69E60E" w14:textId="77777777" w:rsidR="0067277E" w:rsidRPr="005B6497" w:rsidRDefault="006B5461">
      <w:pPr>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rPr>
        <w:t xml:space="preserve">LA NO ENTREGA DE LA INFORMACION”. </w:t>
      </w:r>
    </w:p>
    <w:p w14:paraId="0FAB5F23" w14:textId="77777777" w:rsidR="0067277E" w:rsidRPr="005B6497" w:rsidRDefault="0067277E">
      <w:pPr>
        <w:spacing w:line="360" w:lineRule="auto"/>
        <w:ind w:left="567" w:right="567"/>
        <w:jc w:val="both"/>
        <w:rPr>
          <w:rFonts w:ascii="Palatino Linotype" w:eastAsia="Palatino Linotype" w:hAnsi="Palatino Linotype" w:cs="Palatino Linotype"/>
          <w:i/>
        </w:rPr>
      </w:pPr>
    </w:p>
    <w:p w14:paraId="3C6D7019" w14:textId="77777777" w:rsidR="0067277E" w:rsidRPr="005B6497" w:rsidRDefault="006B5461">
      <w:pPr>
        <w:spacing w:line="360" w:lineRule="auto"/>
        <w:ind w:left="567" w:right="567"/>
        <w:jc w:val="both"/>
        <w:rPr>
          <w:rFonts w:ascii="Palatino Linotype" w:eastAsia="Palatino Linotype" w:hAnsi="Palatino Linotype" w:cs="Palatino Linotype"/>
          <w:b/>
          <w:i/>
        </w:rPr>
      </w:pPr>
      <w:r w:rsidRPr="005B6497">
        <w:rPr>
          <w:rFonts w:ascii="Palatino Linotype" w:eastAsia="Palatino Linotype" w:hAnsi="Palatino Linotype" w:cs="Palatino Linotype"/>
          <w:b/>
          <w:i/>
        </w:rPr>
        <w:t>“RAZONES O MOTIVOS DE LA INCONFORMIDAD</w:t>
      </w:r>
    </w:p>
    <w:p w14:paraId="4D723344" w14:textId="77777777" w:rsidR="0067277E" w:rsidRPr="005B6497" w:rsidRDefault="006B5461">
      <w:pPr>
        <w:spacing w:line="360" w:lineRule="auto"/>
        <w:ind w:left="567" w:right="567"/>
        <w:jc w:val="both"/>
        <w:rPr>
          <w:rFonts w:ascii="Palatino Linotype" w:eastAsia="Palatino Linotype" w:hAnsi="Palatino Linotype" w:cs="Palatino Linotype"/>
          <w:i/>
        </w:rPr>
      </w:pPr>
      <w:r w:rsidRPr="005B6497">
        <w:rPr>
          <w:rFonts w:ascii="Palatino Linotype" w:eastAsia="Palatino Linotype" w:hAnsi="Palatino Linotype" w:cs="Palatino Linotype"/>
          <w:i/>
          <w:color w:val="000000"/>
        </w:rPr>
        <w:t xml:space="preserve">NO ENTREGAN LA INFO4MACION SOLICITADA”. </w:t>
      </w:r>
    </w:p>
    <w:p w14:paraId="31259CC8"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0AFC7FC6"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IV. Trámite de los Recursos de Revisión ante este Instituto.</w:t>
      </w:r>
    </w:p>
    <w:p w14:paraId="13BE7D9D"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0DE5A9B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 xml:space="preserve">a) Turno del Recurso de Revisión. </w:t>
      </w:r>
      <w:r w:rsidRPr="005B6497">
        <w:rPr>
          <w:rFonts w:ascii="Palatino Linotype" w:eastAsia="Palatino Linotype" w:hAnsi="Palatino Linotype" w:cs="Palatino Linotype"/>
          <w:sz w:val="22"/>
          <w:szCs w:val="22"/>
        </w:rPr>
        <w:t>El veintiuno de octubre de dos mil veinticuatro, el Sistema de Acceso a la Información Mexiquense (SAIMEX), asignó los números de expediente 06541/INFOEM/IP/RR/2024, 06542/INFOEM/IP/RR/2024</w:t>
      </w:r>
      <w:r w:rsidRPr="005B6497">
        <w:rPr>
          <w:rFonts w:ascii="Palatino Linotype" w:eastAsia="Palatino Linotype" w:hAnsi="Palatino Linotype" w:cs="Palatino Linotype"/>
          <w:color w:val="0D0D0D"/>
          <w:sz w:val="22"/>
          <w:szCs w:val="22"/>
        </w:rPr>
        <w:t xml:space="preserve">, </w:t>
      </w:r>
      <w:r w:rsidRPr="005B6497">
        <w:rPr>
          <w:rFonts w:ascii="Palatino Linotype" w:eastAsia="Palatino Linotype" w:hAnsi="Palatino Linotype" w:cs="Palatino Linotype"/>
          <w:sz w:val="22"/>
          <w:szCs w:val="22"/>
        </w:rPr>
        <w:t xml:space="preserve">06543/INFOEM/IP/RR/2024, </w:t>
      </w:r>
      <w:r w:rsidRPr="005B6497">
        <w:rPr>
          <w:rFonts w:ascii="Palatino Linotype" w:eastAsia="Palatino Linotype" w:hAnsi="Palatino Linotype" w:cs="Palatino Linotype"/>
          <w:color w:val="0D0D0D"/>
          <w:sz w:val="22"/>
          <w:szCs w:val="22"/>
        </w:rPr>
        <w:t xml:space="preserve">y </w:t>
      </w:r>
      <w:r w:rsidRPr="005B6497">
        <w:rPr>
          <w:rFonts w:ascii="Palatino Linotype" w:eastAsia="Palatino Linotype" w:hAnsi="Palatino Linotype" w:cs="Palatino Linotype"/>
          <w:sz w:val="22"/>
          <w:szCs w:val="22"/>
        </w:rPr>
        <w:t xml:space="preserve">06544/INFOEM/IP/RR/2024 a los medios de impugnación que nos ocupa, con base en el sistema aprobado por el Pleno de este Organismo Garante y lo turnó a los Comisionados </w:t>
      </w:r>
      <w:r w:rsidRPr="005B6497">
        <w:rPr>
          <w:rFonts w:ascii="Palatino Linotype" w:eastAsia="Palatino Linotype" w:hAnsi="Palatino Linotype" w:cs="Palatino Linotype"/>
          <w:b/>
          <w:sz w:val="22"/>
          <w:szCs w:val="22"/>
        </w:rPr>
        <w:t>Luis Gustavo Parra Noriega,</w:t>
      </w:r>
      <w:r w:rsidRPr="005B6497">
        <w:rPr>
          <w:rFonts w:ascii="Palatino Linotype" w:eastAsia="Palatino Linotype" w:hAnsi="Palatino Linotype" w:cs="Palatino Linotype"/>
          <w:sz w:val="22"/>
          <w:szCs w:val="22"/>
        </w:rPr>
        <w:t xml:space="preserve"> </w:t>
      </w:r>
      <w:r w:rsidRPr="005B6497">
        <w:rPr>
          <w:rFonts w:ascii="Palatino Linotype" w:eastAsia="Palatino Linotype" w:hAnsi="Palatino Linotype" w:cs="Palatino Linotype"/>
          <w:b/>
          <w:sz w:val="22"/>
          <w:szCs w:val="22"/>
        </w:rPr>
        <w:t xml:space="preserve">Sharon Cristina Morales Martínez, María del Rosario Mejía Ayala y Guadalupe Ramírez Peña </w:t>
      </w:r>
      <w:r w:rsidRPr="005B6497">
        <w:rPr>
          <w:rFonts w:ascii="Palatino Linotype" w:eastAsia="Palatino Linotype" w:hAnsi="Palatino Linotype" w:cs="Palatino Linotype"/>
          <w:sz w:val="22"/>
          <w:szCs w:val="22"/>
        </w:rPr>
        <w:t>para los efectos del artículo 185, fracción I de la Ley de Transparencia y Acceso a la Información Pública del Estado de México y Municipios.</w:t>
      </w:r>
    </w:p>
    <w:p w14:paraId="3EAD3F87"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176AFAA8"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 xml:space="preserve">b) Admisión de los Recursos de Revisión. </w:t>
      </w:r>
      <w:r w:rsidRPr="005B6497">
        <w:rPr>
          <w:rFonts w:ascii="Palatino Linotype" w:eastAsia="Palatino Linotype" w:hAnsi="Palatino Linotype" w:cs="Palatino Linotype"/>
          <w:sz w:val="22"/>
          <w:szCs w:val="22"/>
        </w:rPr>
        <w:t>El veintitrés, veinticuatro y veinticinco de octubre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Información Mexiquense (SAIMEX), en el que se les otorgó un plazo de siete días hábiles posteriores a la misma, para que manifestaran lo que a su derecho conviniera y formularan alegatos.</w:t>
      </w:r>
    </w:p>
    <w:p w14:paraId="7E1EC5FC"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7D9E5545"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 xml:space="preserve">c) Acumulación de los asuntos. </w:t>
      </w:r>
      <w:r w:rsidRPr="005B6497">
        <w:rPr>
          <w:rFonts w:ascii="Palatino Linotype" w:eastAsia="Palatino Linotype" w:hAnsi="Palatino Linotype" w:cs="Palatino Linotype"/>
          <w:sz w:val="22"/>
          <w:szCs w:val="22"/>
        </w:rPr>
        <w:t xml:space="preserve">El treinta de octubre de dos mil veinticuatro, el Pleno del Instituto de Transparencia, Acceso a la Información Pública y Protección de Datos Personales del Estado de México y Municipios, emitió un Acuerdo, en donde con el propósito de privilegiar la resolución expedita y evitar resoluciones contradictorias, con fundamento en el artículo 18 del Código de Procedimientos Administrativos del Estado de </w:t>
      </w:r>
      <w:r w:rsidRPr="005B6497">
        <w:rPr>
          <w:rFonts w:ascii="Palatino Linotype" w:eastAsia="Palatino Linotype" w:hAnsi="Palatino Linotype" w:cs="Palatino Linotype"/>
          <w:sz w:val="22"/>
          <w:szCs w:val="22"/>
        </w:rPr>
        <w:lastRenderedPageBreak/>
        <w:t xml:space="preserve">México, de aplicación supletoria a la Ley de Transparencia y Acceso a la Información Pública del Estado de México y Municipios, según lo previsto en su artículo 195, acordó la acumulación de los Recursos de Revisión, </w:t>
      </w:r>
      <w:r w:rsidRPr="005B6497">
        <w:rPr>
          <w:rFonts w:ascii="Palatino Linotype" w:eastAsia="Palatino Linotype" w:hAnsi="Palatino Linotype" w:cs="Palatino Linotype"/>
          <w:b/>
          <w:sz w:val="22"/>
          <w:szCs w:val="22"/>
        </w:rPr>
        <w:t>06542/INFOEM/IP/RR/2024</w:t>
      </w:r>
      <w:r w:rsidRPr="005B6497">
        <w:rPr>
          <w:rFonts w:ascii="Palatino Linotype" w:eastAsia="Palatino Linotype" w:hAnsi="Palatino Linotype" w:cs="Palatino Linotype"/>
          <w:b/>
          <w:color w:val="0D0D0D"/>
          <w:sz w:val="22"/>
          <w:szCs w:val="22"/>
        </w:rPr>
        <w:t xml:space="preserve">, </w:t>
      </w:r>
      <w:r w:rsidRPr="005B6497">
        <w:rPr>
          <w:rFonts w:ascii="Palatino Linotype" w:eastAsia="Palatino Linotype" w:hAnsi="Palatino Linotype" w:cs="Palatino Linotype"/>
          <w:b/>
          <w:sz w:val="22"/>
          <w:szCs w:val="22"/>
        </w:rPr>
        <w:t xml:space="preserve">06543/INFOEM/IP/RR/2024, </w:t>
      </w:r>
      <w:r w:rsidRPr="005B6497">
        <w:rPr>
          <w:rFonts w:ascii="Palatino Linotype" w:eastAsia="Palatino Linotype" w:hAnsi="Palatino Linotype" w:cs="Palatino Linotype"/>
          <w:b/>
          <w:color w:val="0D0D0D"/>
          <w:sz w:val="22"/>
          <w:szCs w:val="22"/>
        </w:rPr>
        <w:t xml:space="preserve">y </w:t>
      </w:r>
      <w:r w:rsidRPr="005B6497">
        <w:rPr>
          <w:rFonts w:ascii="Palatino Linotype" w:eastAsia="Palatino Linotype" w:hAnsi="Palatino Linotype" w:cs="Palatino Linotype"/>
          <w:b/>
          <w:sz w:val="22"/>
          <w:szCs w:val="22"/>
        </w:rPr>
        <w:t xml:space="preserve">06544/INFOEM/IP/RR/2024 al 06541/INFOEM/IP/RR/2024, </w:t>
      </w:r>
      <w:r w:rsidRPr="005B6497">
        <w:rPr>
          <w:rFonts w:ascii="Palatino Linotype" w:eastAsia="Palatino Linotype" w:hAnsi="Palatino Linotype" w:cs="Palatino Linotype"/>
          <w:sz w:val="22"/>
          <w:szCs w:val="22"/>
        </w:rPr>
        <w:t>por ser este último el más antiguo, sustanciado bajo el índice de esta Ponencia, al advertir conexidad entre estos, ya que fueron promovidos por la misma persona, en los que señaló como Sujeto Obligado al</w:t>
      </w:r>
      <w:r w:rsidRPr="005B6497">
        <w:rPr>
          <w:rFonts w:ascii="Palatino Linotype" w:eastAsia="Palatino Linotype" w:hAnsi="Palatino Linotype" w:cs="Palatino Linotype"/>
          <w:b/>
          <w:sz w:val="22"/>
          <w:szCs w:val="22"/>
        </w:rPr>
        <w:t xml:space="preserve"> Organismo Agua y Saneamiento de Toluca.</w:t>
      </w:r>
    </w:p>
    <w:p w14:paraId="3E3A3AAB"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5AE97CA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 xml:space="preserve">d) Manifestaciones o Informe Justificado. </w:t>
      </w:r>
      <w:r w:rsidRPr="005B6497">
        <w:rPr>
          <w:rFonts w:ascii="Palatino Linotype" w:eastAsia="Palatino Linotype" w:hAnsi="Palatino Linotype" w:cs="Palatino Linotype"/>
          <w:sz w:val="22"/>
          <w:szCs w:val="22"/>
        </w:rPr>
        <w:t>Las partes fueron omisas en rendir manifestaciones o alegatos.</w:t>
      </w:r>
    </w:p>
    <w:p w14:paraId="4A60C86C"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7DF5AD53"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f) Cierre de instrucción.</w:t>
      </w:r>
      <w:r w:rsidRPr="005B6497">
        <w:rPr>
          <w:rFonts w:ascii="Palatino Linotype" w:eastAsia="Palatino Linotype" w:hAnsi="Palatino Linotype" w:cs="Palatino Linotype"/>
          <w:sz w:val="22"/>
          <w:szCs w:val="22"/>
        </w:rPr>
        <w:t xml:space="preserve"> El siete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mismo día.</w:t>
      </w:r>
    </w:p>
    <w:p w14:paraId="55073E0A" w14:textId="77777777" w:rsidR="0067277E" w:rsidRPr="005B6497" w:rsidRDefault="0067277E">
      <w:pPr>
        <w:spacing w:line="360" w:lineRule="auto"/>
        <w:jc w:val="center"/>
        <w:rPr>
          <w:rFonts w:ascii="Palatino Linotype" w:eastAsia="Palatino Linotype" w:hAnsi="Palatino Linotype" w:cs="Palatino Linotype"/>
          <w:b/>
          <w:sz w:val="22"/>
          <w:szCs w:val="22"/>
        </w:rPr>
      </w:pPr>
    </w:p>
    <w:p w14:paraId="11E3ED43"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7011DED5" w14:textId="77777777" w:rsidR="0067277E" w:rsidRPr="005B6497" w:rsidRDefault="0067277E">
      <w:pPr>
        <w:spacing w:line="360" w:lineRule="auto"/>
        <w:jc w:val="center"/>
        <w:rPr>
          <w:rFonts w:ascii="Palatino Linotype" w:eastAsia="Palatino Linotype" w:hAnsi="Palatino Linotype" w:cs="Palatino Linotype"/>
          <w:b/>
          <w:sz w:val="22"/>
          <w:szCs w:val="22"/>
        </w:rPr>
      </w:pPr>
    </w:p>
    <w:p w14:paraId="789E73C2" w14:textId="77777777" w:rsidR="0067277E" w:rsidRPr="005B6497" w:rsidRDefault="006B5461">
      <w:pPr>
        <w:spacing w:line="360" w:lineRule="auto"/>
        <w:jc w:val="center"/>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 O N S I D E R A N D O S</w:t>
      </w:r>
    </w:p>
    <w:p w14:paraId="71CBC658" w14:textId="77777777" w:rsidR="0067277E" w:rsidRPr="005B6497" w:rsidRDefault="0067277E">
      <w:pPr>
        <w:spacing w:line="360" w:lineRule="auto"/>
        <w:rPr>
          <w:rFonts w:ascii="Palatino Linotype" w:eastAsia="Palatino Linotype" w:hAnsi="Palatino Linotype" w:cs="Palatino Linotype"/>
          <w:b/>
          <w:sz w:val="22"/>
          <w:szCs w:val="22"/>
        </w:rPr>
      </w:pPr>
    </w:p>
    <w:p w14:paraId="31851B53"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PRIMERO. Competencia</w:t>
      </w:r>
    </w:p>
    <w:p w14:paraId="5A7614A5"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7F02E171" w14:textId="77777777" w:rsidR="0067277E" w:rsidRPr="005B6497" w:rsidRDefault="006B5461">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sidRPr="005B649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8FB4A6"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2011FCE1"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SEGUNDO</w:t>
      </w:r>
      <w:r w:rsidRPr="005B6497">
        <w:rPr>
          <w:rFonts w:ascii="Palatino Linotype" w:eastAsia="Palatino Linotype" w:hAnsi="Palatino Linotype" w:cs="Palatino Linotype"/>
          <w:sz w:val="22"/>
          <w:szCs w:val="22"/>
        </w:rPr>
        <w:t xml:space="preserve">. </w:t>
      </w:r>
      <w:r w:rsidRPr="005B6497">
        <w:rPr>
          <w:rFonts w:ascii="Palatino Linotype" w:eastAsia="Palatino Linotype" w:hAnsi="Palatino Linotype" w:cs="Palatino Linotype"/>
          <w:b/>
          <w:sz w:val="22"/>
          <w:szCs w:val="22"/>
        </w:rPr>
        <w:t>Causales de improcedencia y sobreseimiento</w:t>
      </w:r>
    </w:p>
    <w:p w14:paraId="6D1EFC88"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8CAE178"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5B6497">
        <w:rPr>
          <w:rFonts w:ascii="Palatino Linotype" w:eastAsia="Palatino Linotype" w:hAnsi="Palatino Linotype" w:cs="Palatino Linotype"/>
          <w:i/>
          <w:sz w:val="22"/>
          <w:szCs w:val="22"/>
        </w:rPr>
        <w:t>litis</w:t>
      </w:r>
      <w:r w:rsidRPr="005B6497">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7A38A05E"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696D25F0"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Causales de improcedencia</w:t>
      </w:r>
    </w:p>
    <w:p w14:paraId="1B5568B1"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69E157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5B6497">
        <w:rPr>
          <w:rFonts w:ascii="Palatino Linotype" w:eastAsia="Palatino Linotype" w:hAnsi="Palatino Linotype" w:cs="Palatino Linotype"/>
          <w:sz w:val="22"/>
          <w:szCs w:val="22"/>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9AAFEF3"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6003A65D"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En el presente caso, </w:t>
      </w:r>
      <w:r w:rsidRPr="005B6497">
        <w:rPr>
          <w:rFonts w:ascii="Palatino Linotype" w:eastAsia="Palatino Linotype" w:hAnsi="Palatino Linotype" w:cs="Palatino Linotype"/>
          <w:b/>
          <w:sz w:val="22"/>
          <w:szCs w:val="22"/>
        </w:rPr>
        <w:t>no se actualiza ninguna de las causales de improcedencia</w:t>
      </w:r>
      <w:r w:rsidRPr="005B6497">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71221D1"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DA81535" w14:textId="77777777" w:rsidR="0067277E" w:rsidRPr="005B6497" w:rsidRDefault="006B5461">
      <w:pPr>
        <w:spacing w:line="360" w:lineRule="auto"/>
        <w:jc w:val="both"/>
        <w:rPr>
          <w:rFonts w:ascii="Palatino Linotype" w:eastAsia="Palatino Linotype" w:hAnsi="Palatino Linotype" w:cs="Palatino Linotype"/>
          <w:color w:val="FF0000"/>
          <w:sz w:val="22"/>
          <w:szCs w:val="22"/>
        </w:rPr>
      </w:pPr>
      <w:r w:rsidRPr="005B6497">
        <w:rPr>
          <w:rFonts w:ascii="Palatino Linotype" w:eastAsia="Palatino Linotype" w:hAnsi="Palatino Linotype" w:cs="Palatino Linotype"/>
          <w:sz w:val="22"/>
          <w:szCs w:val="22"/>
        </w:rPr>
        <w:t>Asimismo, se actualiza la causal de procedencia del Recurso de Revisión señalada en el artículo 179, fracción VI, de la Ley en cita, pues la persona Recurrente se inconformó con la entrega de información que no corresponde con lo solicitado.</w:t>
      </w:r>
    </w:p>
    <w:p w14:paraId="14427AA2" w14:textId="77777777" w:rsidR="0067277E" w:rsidRPr="005B6497" w:rsidRDefault="0067277E">
      <w:pPr>
        <w:spacing w:line="360" w:lineRule="auto"/>
        <w:jc w:val="both"/>
        <w:rPr>
          <w:rFonts w:ascii="Palatino Linotype" w:eastAsia="Palatino Linotype" w:hAnsi="Palatino Linotype" w:cs="Palatino Linotype"/>
          <w:color w:val="FF0000"/>
          <w:sz w:val="22"/>
          <w:szCs w:val="22"/>
        </w:rPr>
      </w:pPr>
    </w:p>
    <w:p w14:paraId="55674D4D"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Causales de sobreseimiento</w:t>
      </w:r>
    </w:p>
    <w:p w14:paraId="770D6281"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788DF68"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Por ser de previo y especial pronunciamiento, este Instituto analiza si se actualiza alguna causal de sobreseimiento. </w:t>
      </w:r>
    </w:p>
    <w:p w14:paraId="38EF6C07"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4101AD0"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w:t>
      </w:r>
      <w:r w:rsidRPr="005B6497">
        <w:rPr>
          <w:rFonts w:ascii="Palatino Linotype" w:eastAsia="Palatino Linotype" w:hAnsi="Palatino Linotype" w:cs="Palatino Linotype"/>
          <w:sz w:val="22"/>
          <w:szCs w:val="22"/>
        </w:rPr>
        <w:lastRenderedPageBreak/>
        <w:t>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8E18857"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4F381EDD"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Por tales motivos, se considera procedente entrar al fondo del presente asunto. </w:t>
      </w:r>
    </w:p>
    <w:p w14:paraId="3704D309" w14:textId="77777777" w:rsidR="005B6497" w:rsidRPr="005B6497" w:rsidRDefault="005B6497">
      <w:pPr>
        <w:spacing w:line="360" w:lineRule="auto"/>
        <w:jc w:val="both"/>
        <w:rPr>
          <w:rFonts w:ascii="Palatino Linotype" w:eastAsia="Palatino Linotype" w:hAnsi="Palatino Linotype" w:cs="Palatino Linotype"/>
          <w:b/>
          <w:sz w:val="22"/>
          <w:szCs w:val="22"/>
        </w:rPr>
      </w:pPr>
    </w:p>
    <w:p w14:paraId="4F20D670"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TERCERO. Determinación de la Controversia</w:t>
      </w:r>
    </w:p>
    <w:p w14:paraId="39CF5C2E"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63103437"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Con el objetivo de ilustrar la controversia planteada, resulta conveniente precisar, que una vez realizado el estudio de las constancias que integran el expediente en el que se actúa, resulta necesario realizar un cuadro con la solicitud de información y la respuesta entregada, con el fin de tener claridad:</w:t>
      </w:r>
    </w:p>
    <w:p w14:paraId="7FB00435" w14:textId="77777777" w:rsidR="0067277E" w:rsidRPr="005B6497" w:rsidRDefault="0067277E">
      <w:pPr>
        <w:spacing w:line="360" w:lineRule="auto"/>
        <w:jc w:val="both"/>
        <w:rPr>
          <w:rFonts w:ascii="Palatino Linotype" w:eastAsia="Palatino Linotype" w:hAnsi="Palatino Linotype" w:cs="Palatino Linotype"/>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7277E" w:rsidRPr="005B6497" w14:paraId="28D80D28" w14:textId="77777777">
        <w:tc>
          <w:tcPr>
            <w:tcW w:w="4414" w:type="dxa"/>
            <w:shd w:val="clear" w:color="auto" w:fill="BFBFBF"/>
          </w:tcPr>
          <w:p w14:paraId="1E9E6A7B" w14:textId="77777777" w:rsidR="0067277E" w:rsidRPr="005B6497" w:rsidRDefault="006B5461">
            <w:pPr>
              <w:spacing w:line="360" w:lineRule="auto"/>
              <w:jc w:val="center"/>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Solicitud</w:t>
            </w:r>
          </w:p>
        </w:tc>
        <w:tc>
          <w:tcPr>
            <w:tcW w:w="4414" w:type="dxa"/>
            <w:shd w:val="clear" w:color="auto" w:fill="BFBFBF"/>
          </w:tcPr>
          <w:p w14:paraId="3E67A2A9" w14:textId="77777777" w:rsidR="0067277E" w:rsidRPr="005B6497" w:rsidRDefault="006B5461">
            <w:pPr>
              <w:spacing w:line="360" w:lineRule="auto"/>
              <w:jc w:val="center"/>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Respuesta del Departamento de Recursos Humanos</w:t>
            </w:r>
          </w:p>
        </w:tc>
      </w:tr>
      <w:tr w:rsidR="0067277E" w:rsidRPr="005B6497" w14:paraId="330CFFCB" w14:textId="77777777">
        <w:tc>
          <w:tcPr>
            <w:tcW w:w="4414" w:type="dxa"/>
          </w:tcPr>
          <w:p w14:paraId="037D7042"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b/>
                <w:sz w:val="22"/>
                <w:szCs w:val="22"/>
              </w:rPr>
              <w:t xml:space="preserve">1. </w:t>
            </w:r>
            <w:r w:rsidRPr="005B6497">
              <w:rPr>
                <w:rFonts w:ascii="Palatino Linotype" w:eastAsia="Palatino Linotype" w:hAnsi="Palatino Linotype" w:cs="Palatino Linotype"/>
                <w:sz w:val="22"/>
                <w:szCs w:val="22"/>
              </w:rPr>
              <w:t>Certificado de Competencia Laboral del Titular del Órgano Interno de Control y del Director General.</w:t>
            </w:r>
          </w:p>
        </w:tc>
        <w:tc>
          <w:tcPr>
            <w:tcW w:w="4414" w:type="dxa"/>
          </w:tcPr>
          <w:p w14:paraId="7E483458"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Proporcionó dos Certificados de Competencia Laboral, en versión pública.</w:t>
            </w:r>
          </w:p>
        </w:tc>
      </w:tr>
      <w:tr w:rsidR="0067277E" w:rsidRPr="005B6497" w14:paraId="2AA63333" w14:textId="77777777">
        <w:tc>
          <w:tcPr>
            <w:tcW w:w="4414" w:type="dxa"/>
          </w:tcPr>
          <w:p w14:paraId="14BDD0E9" w14:textId="77777777" w:rsidR="0067277E" w:rsidRPr="005B6497" w:rsidRDefault="006B5461">
            <w:pPr>
              <w:spacing w:line="360" w:lineRule="auto"/>
              <w:jc w:val="both"/>
              <w:rPr>
                <w:rFonts w:ascii="Palatino Linotype" w:eastAsia="Palatino Linotype" w:hAnsi="Palatino Linotype" w:cs="Palatino Linotype"/>
                <w:color w:val="FF0000"/>
                <w:sz w:val="22"/>
                <w:szCs w:val="22"/>
              </w:rPr>
            </w:pPr>
            <w:r w:rsidRPr="005B6497">
              <w:rPr>
                <w:rFonts w:ascii="Palatino Linotype" w:eastAsia="Palatino Linotype" w:hAnsi="Palatino Linotype" w:cs="Palatino Linotype"/>
                <w:sz w:val="22"/>
                <w:szCs w:val="22"/>
              </w:rPr>
              <w:t>2. Certificado de Competencia Laboral del Director de Administración y Finanzas y de la Directora de Operación y Planeación.</w:t>
            </w:r>
          </w:p>
        </w:tc>
        <w:tc>
          <w:tcPr>
            <w:tcW w:w="4414" w:type="dxa"/>
          </w:tcPr>
          <w:p w14:paraId="51043D08"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Señaló que no existía obligación normativa para que los servidores públicos contarán con Certificado de Competencia Laboral, por lo que, no obraba en sus archivos.</w:t>
            </w:r>
          </w:p>
        </w:tc>
      </w:tr>
    </w:tbl>
    <w:p w14:paraId="4506F675" w14:textId="77777777" w:rsidR="0067277E" w:rsidRPr="005B6497" w:rsidRDefault="0067277E">
      <w:pPr>
        <w:spacing w:line="360" w:lineRule="auto"/>
        <w:jc w:val="both"/>
        <w:rPr>
          <w:rFonts w:ascii="Palatino Linotype" w:eastAsia="Palatino Linotype" w:hAnsi="Palatino Linotype" w:cs="Palatino Linotype"/>
          <w:color w:val="FF0000"/>
          <w:sz w:val="22"/>
          <w:szCs w:val="22"/>
        </w:rPr>
      </w:pPr>
    </w:p>
    <w:p w14:paraId="3729B28F"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lastRenderedPageBreak/>
        <w:t>Ante dicha circunstancia, el Particular se inconformó de que no le entregaron la información solicitada, lo cual actualiza la causal de procedencia prevista en la fracción VI, del artículo 179 de la Ley de Transparencia y Acceso a la Información Pública del Estado de México y Municipios. Así, las cosas, una vez admitido y notificado el Recurso de Revisión a las partes, estas fueron omisas en emitir manifestaciones o alegatos.</w:t>
      </w:r>
    </w:p>
    <w:p w14:paraId="55B3D970"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6FA96E15" w14:textId="77777777" w:rsidR="0067277E" w:rsidRPr="005B6497" w:rsidRDefault="006B5461">
      <w:pPr>
        <w:tabs>
          <w:tab w:val="left" w:pos="4962"/>
        </w:tabs>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1F11802"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2932F2A6"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CUARTO. Marco normativo aplicable en materia de transparencia y acceso a la información pública</w:t>
      </w:r>
    </w:p>
    <w:p w14:paraId="22938FB1"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11FC346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373D2C7"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D69D0F7"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F82882B"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0DAEBDCE"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En materia local, el artículo 5°, fracción I de la Constitución Política del Estado Libre y Soberano de México, es coincidente con la Constitución Federal, en el sentido de la </w:t>
      </w:r>
      <w:r w:rsidRPr="005B6497">
        <w:rPr>
          <w:rFonts w:ascii="Palatino Linotype" w:eastAsia="Palatino Linotype" w:hAnsi="Palatino Linotype" w:cs="Palatino Linotype"/>
          <w:sz w:val="22"/>
          <w:szCs w:val="22"/>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03B435B2"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37CA76F"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503028E3"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629D64F4"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4B36D256"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11300416" w14:textId="77777777" w:rsidR="0067277E" w:rsidRPr="005B6497" w:rsidRDefault="006B5461">
      <w:pPr>
        <w:widowControl w:val="0"/>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A198778"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406F11B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0083EFB"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764C2F4"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QUINTO. Estudio de Fondo</w:t>
      </w:r>
    </w:p>
    <w:p w14:paraId="4F97E514" w14:textId="77777777" w:rsidR="0067277E" w:rsidRPr="005B6497" w:rsidRDefault="0067277E">
      <w:pPr>
        <w:spacing w:line="360" w:lineRule="auto"/>
        <w:jc w:val="both"/>
        <w:rPr>
          <w:rFonts w:ascii="Palatino Linotype" w:eastAsia="Palatino Linotype" w:hAnsi="Palatino Linotype" w:cs="Palatino Linotype"/>
          <w:b/>
          <w:color w:val="FF0000"/>
          <w:sz w:val="22"/>
          <w:szCs w:val="22"/>
        </w:rPr>
      </w:pPr>
    </w:p>
    <w:p w14:paraId="113C20F6" w14:textId="77777777" w:rsidR="0067277E" w:rsidRPr="005B6497" w:rsidRDefault="006B5461">
      <w:pPr>
        <w:widowControl w:val="0"/>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entrega de información que no corresponde con lo solicitado, para lo cual, en principio es necesario contextualizar la solicitud de información. </w:t>
      </w:r>
    </w:p>
    <w:p w14:paraId="4AC93809" w14:textId="77777777" w:rsidR="0067277E" w:rsidRPr="005B6497" w:rsidRDefault="0067277E">
      <w:pPr>
        <w:spacing w:line="360" w:lineRule="auto"/>
        <w:rPr>
          <w:rFonts w:ascii="Palatino Linotype" w:eastAsia="Palatino Linotype" w:hAnsi="Palatino Linotype" w:cs="Palatino Linotype"/>
          <w:b/>
          <w:sz w:val="22"/>
          <w:szCs w:val="22"/>
        </w:rPr>
      </w:pPr>
    </w:p>
    <w:p w14:paraId="247793BA" w14:textId="77777777" w:rsidR="0067277E" w:rsidRPr="005B6497" w:rsidRDefault="006B5461">
      <w:pPr>
        <w:spacing w:line="360" w:lineRule="auto"/>
        <w:ind w:right="-28"/>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Sobre el tema, el artículo 32 de la Ley Orgánica Municipal del Estado de México, establece que para ocupar las titularidades de la Secretaría del Ayuntamiento, Tesorería, las Direcciones de Obras Públicas, de Desarrollo Económico, de Turismo, Coordinación General Municipal de Mejora Regulatoria, Ecología, Desarrollo Urbano, de Desarrollo Social, de las Mujeres, del Campo o equivalentes, titulares de las unidades administrativas, de Protección Civil, se deberán satisfacer entre otros requisitos, contar con certificación de competencia laboral en la materia del cargo que se desempeñará, expedida por institución con reconocimiento de validez oficial, requisito que podrá acreditarse dentro de los seis meses siguientes a la fecha en que inicien sus funciones.</w:t>
      </w:r>
    </w:p>
    <w:p w14:paraId="1A6B13F9"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 </w:t>
      </w:r>
    </w:p>
    <w:p w14:paraId="18EA034A"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En ese contexto, conforme el apartado de Certificación, de la página oficial del Instituto Hacendario del Estado de México establece que la certificación de competencia laboral, es el proceso mediante el cual un organismo acreditado, reconoce que una persona ha demostrado su competencia, para desempeñar una función productiva determinada, con base en una Norma Institucional de Competencia Laboral aprobada. Además, que la competencia laboral es el conjunto de habilidades, aptitudes y destrezas para desempeñar una función productiva.</w:t>
      </w:r>
    </w:p>
    <w:p w14:paraId="648CDA77"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0AA5E3FF"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Ahora bien, el artículo 43 del Bando Municipal de Toluca, dos mil veinticuatro, establece que, el Organismo Público Descentralizado por servicio de carácter Municipal denominado Agua y Saneamiento de Toluca prestará los servicios de agua potable, alcantarillado y tratamiento de aguas residuales.</w:t>
      </w:r>
    </w:p>
    <w:p w14:paraId="19285C2B"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3C64AFBE"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Asimismo, el artículo 1º del Reglamento Interior del Organismo Público Descentralizado por servicio de carácter municipal denominado agua y saneamiento de Toluca, establece que el Ente Recurrido cuenta con personalidad jurídica y patrimonio propio, con autonomía técnica y administrativa en el manejo de sus recursos, el cual tiene como finalidad principal la de prestar, conservar, mejorar e incrementar los servicios de agua potable, drenaje, alcantarillado, tratamiento y disposición de sus aguas residuales.</w:t>
      </w:r>
    </w:p>
    <w:p w14:paraId="7DB6E8DB"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6D101BC8"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 Ahora bien, el artículo 64, fracción III, 80 y 81 del Reglamento referido, con relación al Manual de Organización de Sujeto Obligado, establecen que el Organismo para el ejercicio sus funciones contarán con un Departamento de Recursos Humanos, encargado de contar con el expediente individual y actualizado de todo lo servidores públicos.  </w:t>
      </w:r>
    </w:p>
    <w:p w14:paraId="1E06BC2C" w14:textId="77777777" w:rsidR="0067277E" w:rsidRPr="005B6497" w:rsidRDefault="0067277E">
      <w:pPr>
        <w:spacing w:line="360" w:lineRule="auto"/>
        <w:rPr>
          <w:rFonts w:ascii="Palatino Linotype" w:eastAsia="Palatino Linotype" w:hAnsi="Palatino Linotype" w:cs="Palatino Linotype"/>
          <w:b/>
          <w:sz w:val="22"/>
          <w:szCs w:val="22"/>
        </w:rPr>
      </w:pPr>
    </w:p>
    <w:p w14:paraId="036DA8D9" w14:textId="77777777" w:rsidR="0067277E" w:rsidRPr="005B6497" w:rsidRDefault="0067277E">
      <w:pPr>
        <w:spacing w:line="360" w:lineRule="auto"/>
        <w:rPr>
          <w:rFonts w:ascii="Palatino Linotype" w:eastAsia="Palatino Linotype" w:hAnsi="Palatino Linotype" w:cs="Palatino Linotype"/>
          <w:b/>
          <w:sz w:val="22"/>
          <w:szCs w:val="22"/>
        </w:rPr>
      </w:pPr>
    </w:p>
    <w:p w14:paraId="20F33D8A"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Conforme a lo anterior, se logra vislumbrar que el Sujeto Obligado es competente para conocer de los documentos que conforman el expediente laboral de sus servidores públicos; además que se encarga de verificar que se cumplan los requisitos legales para su contratación.</w:t>
      </w:r>
    </w:p>
    <w:p w14:paraId="2E8C8D28" w14:textId="77777777" w:rsidR="0067277E" w:rsidRPr="005B6497" w:rsidRDefault="0067277E">
      <w:pPr>
        <w:spacing w:line="360" w:lineRule="auto"/>
        <w:rPr>
          <w:rFonts w:ascii="Palatino Linotype" w:eastAsia="Palatino Linotype" w:hAnsi="Palatino Linotype" w:cs="Palatino Linotype"/>
          <w:b/>
          <w:sz w:val="22"/>
          <w:szCs w:val="22"/>
        </w:rPr>
      </w:pPr>
    </w:p>
    <w:p w14:paraId="61100FF2"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Ahora bien, respecto a las áreas solicitadas es necesario precisar que el Manual de Organización del Organismo Público Descentralizado por Servicio de Carácter Municipal denominado Agua y Saneamiento de Toluca, precisa que este cuenta con diversas áreas entre las cuales se encuentran las siguientes:</w:t>
      </w:r>
    </w:p>
    <w:p w14:paraId="40409DA4"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09EC778B" w14:textId="77777777" w:rsidR="0067277E" w:rsidRPr="005B6497" w:rsidRDefault="006B546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Dirección General;</w:t>
      </w:r>
    </w:p>
    <w:p w14:paraId="4FB2D69A" w14:textId="77777777" w:rsidR="0067277E" w:rsidRPr="005B6497" w:rsidRDefault="006B546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Órgano Interno de Control;</w:t>
      </w:r>
    </w:p>
    <w:p w14:paraId="1ADFBA40" w14:textId="77777777" w:rsidR="0067277E" w:rsidRPr="005B6497" w:rsidRDefault="006B546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Dirección de Operación y Planeación, y</w:t>
      </w:r>
    </w:p>
    <w:p w14:paraId="13F8D6BC" w14:textId="77777777" w:rsidR="0067277E" w:rsidRPr="005B6497" w:rsidRDefault="006B546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Dirección de Administración y Finanzas.</w:t>
      </w:r>
    </w:p>
    <w:p w14:paraId="4C52A796" w14:textId="77777777" w:rsidR="0067277E" w:rsidRPr="005B6497" w:rsidRDefault="0067277E">
      <w:pPr>
        <w:spacing w:line="360" w:lineRule="auto"/>
        <w:rPr>
          <w:rFonts w:ascii="Palatino Linotype" w:eastAsia="Palatino Linotype" w:hAnsi="Palatino Linotype" w:cs="Palatino Linotype"/>
          <w:b/>
          <w:sz w:val="22"/>
          <w:szCs w:val="22"/>
        </w:rPr>
      </w:pPr>
    </w:p>
    <w:p w14:paraId="19F415AA"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En ese orden de ideas, conforme al Portal de Información Pública de Oficio Mexiquense 4.0, fracción VII, del ejercicio fiscal dos mil veinticuatro, tercer trimestre, se advierte que los Titulares de las áreas mencionadas son los siguientes:</w:t>
      </w:r>
    </w:p>
    <w:p w14:paraId="43EFCB03" w14:textId="77777777" w:rsidR="0067277E" w:rsidRPr="005B6497" w:rsidRDefault="0067277E">
      <w:pPr>
        <w:spacing w:line="360" w:lineRule="auto"/>
        <w:jc w:val="both"/>
        <w:rPr>
          <w:rFonts w:ascii="Palatino Linotype" w:eastAsia="Palatino Linotype" w:hAnsi="Palatino Linotype" w:cs="Palatino Linotype"/>
          <w:sz w:val="22"/>
          <w:szCs w:val="22"/>
        </w:rPr>
      </w:pPr>
    </w:p>
    <w:tbl>
      <w:tblPr>
        <w:tblStyle w:val="a0"/>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686"/>
      </w:tblGrid>
      <w:tr w:rsidR="0067277E" w:rsidRPr="005B6497" w14:paraId="409DAA0E" w14:textId="77777777">
        <w:trPr>
          <w:jc w:val="center"/>
        </w:trPr>
        <w:tc>
          <w:tcPr>
            <w:tcW w:w="3964" w:type="dxa"/>
            <w:shd w:val="clear" w:color="auto" w:fill="BFBFBF"/>
          </w:tcPr>
          <w:p w14:paraId="614C0B07" w14:textId="77777777" w:rsidR="0067277E" w:rsidRPr="005B6497" w:rsidRDefault="006B5461">
            <w:pPr>
              <w:spacing w:line="360" w:lineRule="auto"/>
              <w:jc w:val="center"/>
              <w:rPr>
                <w:rFonts w:ascii="Palatino Linotype" w:eastAsia="Palatino Linotype" w:hAnsi="Palatino Linotype" w:cs="Palatino Linotype"/>
                <w:b/>
              </w:rPr>
            </w:pPr>
            <w:r w:rsidRPr="005B6497">
              <w:rPr>
                <w:rFonts w:ascii="Palatino Linotype" w:eastAsia="Palatino Linotype" w:hAnsi="Palatino Linotype" w:cs="Palatino Linotype"/>
                <w:b/>
              </w:rPr>
              <w:t>Área</w:t>
            </w:r>
          </w:p>
        </w:tc>
        <w:tc>
          <w:tcPr>
            <w:tcW w:w="3686" w:type="dxa"/>
            <w:shd w:val="clear" w:color="auto" w:fill="BFBFBF"/>
          </w:tcPr>
          <w:p w14:paraId="3D4FFCAF" w14:textId="77777777" w:rsidR="0067277E" w:rsidRPr="005B6497" w:rsidRDefault="006B5461">
            <w:pPr>
              <w:spacing w:line="360" w:lineRule="auto"/>
              <w:jc w:val="center"/>
              <w:rPr>
                <w:rFonts w:ascii="Palatino Linotype" w:eastAsia="Palatino Linotype" w:hAnsi="Palatino Linotype" w:cs="Palatino Linotype"/>
                <w:b/>
              </w:rPr>
            </w:pPr>
            <w:r w:rsidRPr="005B6497">
              <w:rPr>
                <w:rFonts w:ascii="Palatino Linotype" w:eastAsia="Palatino Linotype" w:hAnsi="Palatino Linotype" w:cs="Palatino Linotype"/>
                <w:b/>
              </w:rPr>
              <w:t>Titular</w:t>
            </w:r>
          </w:p>
        </w:tc>
      </w:tr>
      <w:tr w:rsidR="0067277E" w:rsidRPr="005B6497" w14:paraId="6E7EA589" w14:textId="77777777">
        <w:trPr>
          <w:jc w:val="center"/>
        </w:trPr>
        <w:tc>
          <w:tcPr>
            <w:tcW w:w="3964" w:type="dxa"/>
          </w:tcPr>
          <w:p w14:paraId="7B91A4D0"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Dirección General</w:t>
            </w:r>
          </w:p>
        </w:tc>
        <w:tc>
          <w:tcPr>
            <w:tcW w:w="3686" w:type="dxa"/>
          </w:tcPr>
          <w:p w14:paraId="1D6CB594"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Marco Antonio Sandoval González</w:t>
            </w:r>
          </w:p>
        </w:tc>
      </w:tr>
      <w:tr w:rsidR="0067277E" w:rsidRPr="005B6497" w14:paraId="1FA45F7A" w14:textId="77777777">
        <w:trPr>
          <w:jc w:val="center"/>
        </w:trPr>
        <w:tc>
          <w:tcPr>
            <w:tcW w:w="3964" w:type="dxa"/>
          </w:tcPr>
          <w:p w14:paraId="0BA17082"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Órgano Interno de Control</w:t>
            </w:r>
          </w:p>
        </w:tc>
        <w:tc>
          <w:tcPr>
            <w:tcW w:w="3686" w:type="dxa"/>
          </w:tcPr>
          <w:p w14:paraId="4B65E8E4"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Liliana Angélica López Salgado</w:t>
            </w:r>
          </w:p>
        </w:tc>
      </w:tr>
      <w:tr w:rsidR="0067277E" w:rsidRPr="005B6497" w14:paraId="410BF5D6" w14:textId="77777777">
        <w:trPr>
          <w:jc w:val="center"/>
        </w:trPr>
        <w:tc>
          <w:tcPr>
            <w:tcW w:w="3964" w:type="dxa"/>
          </w:tcPr>
          <w:p w14:paraId="7FEF8D54"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Dirección de Operación y Planeación</w:t>
            </w:r>
          </w:p>
        </w:tc>
        <w:tc>
          <w:tcPr>
            <w:tcW w:w="3686" w:type="dxa"/>
          </w:tcPr>
          <w:p w14:paraId="240DD0B2"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Margarita Godínez Cruces</w:t>
            </w:r>
          </w:p>
        </w:tc>
      </w:tr>
      <w:tr w:rsidR="0067277E" w:rsidRPr="005B6497" w14:paraId="0758DBB8" w14:textId="77777777">
        <w:trPr>
          <w:jc w:val="center"/>
        </w:trPr>
        <w:tc>
          <w:tcPr>
            <w:tcW w:w="3964" w:type="dxa"/>
          </w:tcPr>
          <w:p w14:paraId="02E2DCED"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Dirección de Administración y Finanzas</w:t>
            </w:r>
          </w:p>
        </w:tc>
        <w:tc>
          <w:tcPr>
            <w:tcW w:w="3686" w:type="dxa"/>
          </w:tcPr>
          <w:p w14:paraId="54421CD4" w14:textId="77777777" w:rsidR="0067277E" w:rsidRPr="005B6497" w:rsidRDefault="006B5461">
            <w:pPr>
              <w:spacing w:line="360" w:lineRule="auto"/>
              <w:jc w:val="center"/>
              <w:rPr>
                <w:rFonts w:ascii="Palatino Linotype" w:eastAsia="Palatino Linotype" w:hAnsi="Palatino Linotype" w:cs="Palatino Linotype"/>
              </w:rPr>
            </w:pPr>
            <w:r w:rsidRPr="005B6497">
              <w:rPr>
                <w:rFonts w:ascii="Palatino Linotype" w:eastAsia="Palatino Linotype" w:hAnsi="Palatino Linotype" w:cs="Palatino Linotype"/>
              </w:rPr>
              <w:t>Omar Martínez Moreno</w:t>
            </w:r>
          </w:p>
        </w:tc>
      </w:tr>
    </w:tbl>
    <w:p w14:paraId="76F1DF22"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80A0B85" w14:textId="77777777" w:rsidR="0067277E" w:rsidRPr="005B6497" w:rsidRDefault="0067277E">
      <w:pPr>
        <w:spacing w:line="360" w:lineRule="auto"/>
        <w:rPr>
          <w:rFonts w:ascii="Palatino Linotype" w:eastAsia="Palatino Linotype" w:hAnsi="Palatino Linotype" w:cs="Palatino Linotype"/>
          <w:b/>
          <w:sz w:val="22"/>
          <w:szCs w:val="22"/>
        </w:rPr>
      </w:pPr>
    </w:p>
    <w:p w14:paraId="7468C401"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Conforme a lo anterior, se considera que la pretensión del ahora Recurrente, es obtener, la Certificación de Competencia Laboral de los cuatro servidores públicos referidos previamente. </w:t>
      </w:r>
    </w:p>
    <w:p w14:paraId="723460A2" w14:textId="77777777" w:rsidR="0067277E" w:rsidRPr="005B6497" w:rsidRDefault="0067277E">
      <w:pPr>
        <w:spacing w:line="360" w:lineRule="auto"/>
        <w:rPr>
          <w:rFonts w:ascii="Palatino Linotype" w:eastAsia="Palatino Linotype" w:hAnsi="Palatino Linotype" w:cs="Palatino Linotype"/>
          <w:sz w:val="22"/>
          <w:szCs w:val="22"/>
        </w:rPr>
      </w:pPr>
    </w:p>
    <w:p w14:paraId="5E6C13DF"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En ese sentido, de las constancias que obran en el expediente, se logra vislumbrar que el Sujeto Obligado, turno la solicitud de información al Departamento de Recursos Humanos, por lo que, es necesario hacer referencia al </w:t>
      </w:r>
      <w:r w:rsidRPr="005B6497">
        <w:rPr>
          <w:rFonts w:ascii="Palatino Linotype" w:eastAsia="Palatino Linotype" w:hAnsi="Palatino Linotype" w:cs="Palatino Linotype"/>
          <w:b/>
          <w:color w:val="000000"/>
          <w:sz w:val="22"/>
          <w:szCs w:val="22"/>
        </w:rPr>
        <w:t>procedimiento de búsqueda que deben de seguir los Sujetos Obligados para localizar la información</w:t>
      </w:r>
      <w:r w:rsidRPr="005B6497">
        <w:rPr>
          <w:rFonts w:ascii="Palatino Linotype" w:eastAsia="Palatino Linotype" w:hAnsi="Palatino Linotype" w:cs="Palatino Linotype"/>
          <w:color w:val="000000"/>
          <w:sz w:val="22"/>
          <w:szCs w:val="22"/>
        </w:rPr>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w:t>
      </w:r>
      <w:r w:rsidRPr="005B6497">
        <w:rPr>
          <w:rFonts w:ascii="Palatino Linotype" w:eastAsia="Palatino Linotype" w:hAnsi="Palatino Linotype" w:cs="Palatino Linotype"/>
          <w:color w:val="000000"/>
          <w:sz w:val="22"/>
          <w:szCs w:val="22"/>
        </w:rPr>
        <w:lastRenderedPageBreak/>
        <w:t>cuenten con la información o deban tenerla -de acuerdo con las facultades, competencias y funciones-, con el objeto de que dichas áreas realicen una búsqueda exhaustiva y razonable de la información requerida.</w:t>
      </w:r>
    </w:p>
    <w:p w14:paraId="734336F0" w14:textId="77777777" w:rsidR="0067277E" w:rsidRPr="005B6497" w:rsidRDefault="0067277E">
      <w:pPr>
        <w:spacing w:line="360" w:lineRule="auto"/>
        <w:jc w:val="both"/>
        <w:rPr>
          <w:rFonts w:ascii="Palatino Linotype" w:eastAsia="Palatino Linotype" w:hAnsi="Palatino Linotype" w:cs="Palatino Linotype"/>
          <w:b/>
          <w:color w:val="000000"/>
          <w:sz w:val="22"/>
          <w:szCs w:val="22"/>
        </w:rPr>
      </w:pPr>
    </w:p>
    <w:p w14:paraId="749F88B9"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En ese contexto y en atención a lo analizado en párrafos anteriores, se advierte que el Sujeto Obligado, cumplió con el procedimiento de búsqueda, al gestionar el requerimiento de información al área encargada de recabar y mantener actualizado los expedientes de personal, así como de realizar el procedimiento de ingreso y alta; por lo que, se procede analizar la respuesta entregada por el Departamento de Recursos Humanos.</w:t>
      </w:r>
    </w:p>
    <w:p w14:paraId="274D2502" w14:textId="77777777" w:rsidR="0067277E" w:rsidRPr="005B6497" w:rsidRDefault="0067277E">
      <w:pPr>
        <w:spacing w:line="360" w:lineRule="auto"/>
        <w:rPr>
          <w:rFonts w:ascii="Palatino Linotype" w:eastAsia="Palatino Linotype" w:hAnsi="Palatino Linotype" w:cs="Palatino Linotype"/>
          <w:b/>
          <w:sz w:val="22"/>
          <w:szCs w:val="22"/>
        </w:rPr>
      </w:pPr>
    </w:p>
    <w:p w14:paraId="559184AF"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Certificado de la Directora de Operación y Planeación, así como, del Director de Administración y Finanzas.</w:t>
      </w:r>
    </w:p>
    <w:p w14:paraId="4A9C07F0" w14:textId="77777777" w:rsidR="0067277E" w:rsidRPr="005B6497" w:rsidRDefault="0067277E">
      <w:pPr>
        <w:spacing w:line="360" w:lineRule="auto"/>
        <w:rPr>
          <w:rFonts w:ascii="Palatino Linotype" w:eastAsia="Palatino Linotype" w:hAnsi="Palatino Linotype" w:cs="Palatino Linotype"/>
          <w:b/>
          <w:sz w:val="22"/>
          <w:szCs w:val="22"/>
        </w:rPr>
      </w:pPr>
    </w:p>
    <w:p w14:paraId="5EE95E46" w14:textId="77777777" w:rsidR="0067277E" w:rsidRPr="005B6497" w:rsidRDefault="006B5461">
      <w:pPr>
        <w:tabs>
          <w:tab w:val="left" w:pos="4962"/>
        </w:tabs>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El Departamento de Recursos Humanos señaló que no podía entregar la documental solicitada, pues no era necesaria para desempeñar los cargos; </w:t>
      </w:r>
      <w:r w:rsidRPr="005B6497">
        <w:rPr>
          <w:rFonts w:ascii="Palatino Linotype" w:eastAsia="Palatino Linotype" w:hAnsi="Palatino Linotype" w:cs="Palatino Linotype"/>
          <w:color w:val="000000"/>
          <w:sz w:val="22"/>
          <w:szCs w:val="22"/>
        </w:rPr>
        <w:t>s</w:t>
      </w:r>
      <w:r w:rsidRPr="005B6497">
        <w:rPr>
          <w:rFonts w:ascii="Palatino Linotype" w:eastAsia="Palatino Linotype" w:hAnsi="Palatino Linotype" w:cs="Palatino Linotype"/>
          <w:sz w:val="22"/>
          <w:szCs w:val="22"/>
        </w:rPr>
        <w:t xml:space="preserve">obre el tema, el Criterio SO/014/2017, emitido por el Instituto Nacional de Transparencia, Acceso a la Información Pública y Protección de Datos Personales en el Estado de México y Municipios, el cual señala que la inexistencia de la información, es una cuestión de hecho que se le atribuye a la misma, cuando ésta no se encuentra en los archivos del sujeto obligado. </w:t>
      </w:r>
    </w:p>
    <w:p w14:paraId="39D28656" w14:textId="77777777" w:rsidR="0067277E" w:rsidRPr="005B6497" w:rsidRDefault="0067277E">
      <w:pPr>
        <w:tabs>
          <w:tab w:val="left" w:pos="4962"/>
        </w:tabs>
        <w:spacing w:line="360" w:lineRule="auto"/>
        <w:jc w:val="both"/>
        <w:rPr>
          <w:rFonts w:ascii="Palatino Linotype" w:eastAsia="Palatino Linotype" w:hAnsi="Palatino Linotype" w:cs="Palatino Linotype"/>
          <w:sz w:val="22"/>
          <w:szCs w:val="22"/>
        </w:rPr>
      </w:pPr>
    </w:p>
    <w:p w14:paraId="5C786217" w14:textId="77777777" w:rsidR="0067277E" w:rsidRPr="005B6497" w:rsidRDefault="006B5461">
      <w:pPr>
        <w:tabs>
          <w:tab w:val="left" w:pos="4962"/>
        </w:tabs>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1157E5D3" w14:textId="77777777" w:rsidR="0067277E" w:rsidRPr="005B6497" w:rsidRDefault="0067277E">
      <w:pPr>
        <w:spacing w:line="360" w:lineRule="auto"/>
        <w:ind w:left="708" w:hanging="708"/>
        <w:jc w:val="both"/>
        <w:rPr>
          <w:rFonts w:ascii="Palatino Linotype" w:eastAsia="Palatino Linotype" w:hAnsi="Palatino Linotype" w:cs="Palatino Linotype"/>
          <w:sz w:val="22"/>
          <w:szCs w:val="22"/>
        </w:rPr>
      </w:pPr>
    </w:p>
    <w:p w14:paraId="74187E7B"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lastRenderedPageBreak/>
        <w:t xml:space="preserve">Así, es posible concluir que la </w:t>
      </w:r>
      <w:r w:rsidRPr="005B6497">
        <w:rPr>
          <w:rFonts w:ascii="Palatino Linotype" w:eastAsia="Palatino Linotype" w:hAnsi="Palatino Linotype" w:cs="Palatino Linotype"/>
          <w:b/>
          <w:sz w:val="22"/>
          <w:szCs w:val="22"/>
        </w:rPr>
        <w:t>inexistencia</w:t>
      </w:r>
      <w:r w:rsidRPr="005B6497">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6AB922AD"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B743990"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En ese contexto, el Sujeto Obligado precisó las razones por las cuales no contaba con lo peticionado, a saber, que para ocupar los cargos en análisis no era necesario contar con Certificado de Competencia Laboral, pues no existía obligación normativa, lo cual se robustece con la revisión de la Ley Orgánica Municipal del Estado de México, el Reglamento Interior y el Manual de Organización del Organismo Público Descentralizado por Servicio de Carácter Municipal Denominado Agua y Saneamiento de Toluca, de los cuales no se advirtió como requisito para ocupar el cargo, contar con la documental solicitada.</w:t>
      </w:r>
    </w:p>
    <w:p w14:paraId="14D126AD"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6C57AC3"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Además, se localizó el Manual de Procedimientos del Sujeto Obligado, el cual contiene el denominado “Ingreso al Servicio Público”, el cual establece que el Departamento de Recursos Humanos es la responsable de elaborar y firmar el Formato Único de Movimiento de Personal, así como integrar el expediente laboral, mismo que debe de constar de los siguientes documentos:</w:t>
      </w:r>
    </w:p>
    <w:p w14:paraId="5103625B"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09E11CE5"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Solicitud de empleo;</w:t>
      </w:r>
    </w:p>
    <w:p w14:paraId="1C1E3CE2"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documento donde se acredite la afiliación al Instituto de Seguridad Social del Estado de México y Municipios;</w:t>
      </w:r>
    </w:p>
    <w:p w14:paraId="4F126CB6"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Formato Aviso de Movimientos por alta;</w:t>
      </w:r>
    </w:p>
    <w:p w14:paraId="10E16E51"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Certificado Médico;</w:t>
      </w:r>
    </w:p>
    <w:p w14:paraId="3351D7FE"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Informe de No Antecedentes Penales;</w:t>
      </w:r>
    </w:p>
    <w:p w14:paraId="65D7F873"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Acta de nacimiento;</w:t>
      </w:r>
    </w:p>
    <w:p w14:paraId="29633111"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Identificación oficial;</w:t>
      </w:r>
    </w:p>
    <w:p w14:paraId="5D5E121F"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Clave Única de Registro de Población;</w:t>
      </w:r>
    </w:p>
    <w:p w14:paraId="7CEA0AE5"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Comprobante del último grado o nivel de estudios;</w:t>
      </w:r>
    </w:p>
    <w:p w14:paraId="39B0F904"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En su caso, Cédula profesional;</w:t>
      </w:r>
    </w:p>
    <w:p w14:paraId="554DD1D0"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i/>
          <w:color w:val="000000"/>
          <w:sz w:val="22"/>
          <w:szCs w:val="22"/>
        </w:rPr>
        <w:t>Currículum Vitae;</w:t>
      </w:r>
    </w:p>
    <w:p w14:paraId="2576FDB8"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Carta de recomendación;</w:t>
      </w:r>
    </w:p>
    <w:p w14:paraId="60F0378F"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Comprobante de domicilio;</w:t>
      </w:r>
    </w:p>
    <w:p w14:paraId="7A90603B"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Licencia de manejo (para la asignación de vehículo oficial);</w:t>
      </w:r>
    </w:p>
    <w:p w14:paraId="0FC8BE3C"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Cartilla del Servicio Militar Nacional;</w:t>
      </w:r>
    </w:p>
    <w:p w14:paraId="2336AE95"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Certificado de No Deudor Alimentario Moroso;</w:t>
      </w:r>
    </w:p>
    <w:p w14:paraId="03D4591B"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Constancia de Situación Fiscal;</w:t>
      </w:r>
    </w:p>
    <w:p w14:paraId="046B2586"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Constancia de No Inhabilitación;</w:t>
      </w:r>
    </w:p>
    <w:p w14:paraId="1D8B2873"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Formato Único de Movimiento de Personal, y</w:t>
      </w:r>
    </w:p>
    <w:p w14:paraId="7E9B820A" w14:textId="77777777" w:rsidR="0067277E" w:rsidRPr="005B6497" w:rsidRDefault="006B546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Ficha de autorización.</w:t>
      </w:r>
    </w:p>
    <w:p w14:paraId="2ED8B7AA"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4B0ABC50"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Conforme a lo anterior, se advierte que no existe obligación normativa para contar con el Certificado de Competencia Laboral, para ocupar los cargos en análisis; además, este Instituto realizó una búsqueda en la página oficial, el Portal de Información Pública de Oficio Mexiquense y las cuentas oficiales de las redes sociales del Sujeto Obligado y no se advierte que exista algún documento con la información peticionada.</w:t>
      </w:r>
    </w:p>
    <w:p w14:paraId="75E734CE" w14:textId="77777777" w:rsidR="0067277E" w:rsidRPr="005B6497" w:rsidRDefault="0067277E">
      <w:pPr>
        <w:spacing w:line="360" w:lineRule="auto"/>
        <w:rPr>
          <w:rFonts w:ascii="Palatino Linotype" w:eastAsia="Palatino Linotype" w:hAnsi="Palatino Linotype" w:cs="Palatino Linotype"/>
          <w:b/>
          <w:sz w:val="22"/>
          <w:szCs w:val="22"/>
        </w:rPr>
      </w:pPr>
    </w:p>
    <w:p w14:paraId="41E1CAAE"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sz w:val="22"/>
          <w:szCs w:val="22"/>
        </w:rPr>
        <w:t xml:space="preserve">Así, se logra colegir que la información solicitada por el ahora Recurrente es inexistente, pues el Sujeto Obligado, realizó una búsqueda en los archivos de la unidad administrativa </w:t>
      </w:r>
      <w:r w:rsidRPr="005B6497">
        <w:rPr>
          <w:rFonts w:ascii="Palatino Linotype" w:eastAsia="Palatino Linotype" w:hAnsi="Palatino Linotype" w:cs="Palatino Linotype"/>
          <w:sz w:val="22"/>
          <w:szCs w:val="22"/>
        </w:rPr>
        <w:lastRenderedPageBreak/>
        <w:t>competente y esta señaló los motivos por los cuales no contaba con la peticionado</w:t>
      </w:r>
      <w:r w:rsidRPr="005B6497">
        <w:rPr>
          <w:rFonts w:ascii="Palatino Linotype" w:eastAsia="Palatino Linotype" w:hAnsi="Palatino Linotype" w:cs="Palatino Linotype"/>
          <w:color w:val="000000"/>
          <w:sz w:val="22"/>
          <w:szCs w:val="22"/>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0E295B31" w14:textId="77777777" w:rsidR="0067277E" w:rsidRPr="005B6497" w:rsidRDefault="0067277E">
      <w:pPr>
        <w:widowControl w:val="0"/>
        <w:spacing w:line="360" w:lineRule="auto"/>
        <w:jc w:val="both"/>
        <w:rPr>
          <w:rFonts w:ascii="Palatino Linotype" w:eastAsia="Palatino Linotype" w:hAnsi="Palatino Linotype" w:cs="Palatino Linotype"/>
          <w:color w:val="000000"/>
          <w:sz w:val="22"/>
          <w:szCs w:val="22"/>
        </w:rPr>
      </w:pPr>
    </w:p>
    <w:p w14:paraId="639C2271"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7E2395D"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3CBFAFB4"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color w:val="000000"/>
          <w:sz w:val="22"/>
          <w:szCs w:val="22"/>
        </w:rPr>
        <w:t xml:space="preserve">Al respecto, dicho criterio aplica al caso en concreto, ya que, no se localizó algún indicio de que el Director de Administración y Finanzas y la Directora de Operación y Planeación  tengan alguna Certificación de Competencia Laboral, ni que estén obligada a tenerla; </w:t>
      </w:r>
      <w:r w:rsidRPr="005B6497">
        <w:rPr>
          <w:rFonts w:ascii="Palatino Linotype" w:eastAsia="Palatino Linotype" w:hAnsi="Palatino Linotype" w:cs="Palatino Linotype"/>
          <w:sz w:val="22"/>
          <w:szCs w:val="22"/>
        </w:rPr>
        <w:t xml:space="preserve">por lo cual, se considera que el Sujeto Obligado desde respuesta, señaló las razones por las cuales no contaba con lo requerido y cumplió con el segundo párrafo, del artículo 19 de la Ley de Transparencia y Acceso a la Información Pública del Estado de México y Municipios, lo cual da como resultado que el agravio sea </w:t>
      </w:r>
      <w:r w:rsidRPr="005B6497">
        <w:rPr>
          <w:rFonts w:ascii="Palatino Linotype" w:eastAsia="Palatino Linotype" w:hAnsi="Palatino Linotype" w:cs="Palatino Linotype"/>
          <w:b/>
          <w:sz w:val="22"/>
          <w:szCs w:val="22"/>
        </w:rPr>
        <w:t>INFUNDADO.</w:t>
      </w:r>
    </w:p>
    <w:p w14:paraId="20C45D3E" w14:textId="77777777" w:rsidR="0067277E" w:rsidRPr="005B6497" w:rsidRDefault="0067277E">
      <w:pPr>
        <w:spacing w:line="360" w:lineRule="auto"/>
        <w:jc w:val="both"/>
        <w:rPr>
          <w:rFonts w:ascii="Palatino Linotype" w:eastAsia="Palatino Linotype" w:hAnsi="Palatino Linotype" w:cs="Palatino Linotype"/>
          <w:b/>
          <w:color w:val="000000"/>
          <w:sz w:val="22"/>
          <w:szCs w:val="22"/>
        </w:rPr>
      </w:pPr>
    </w:p>
    <w:p w14:paraId="2839C6A0"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Certificado de la Titular del Órgano Interno de Control, así como, del Director General.</w:t>
      </w:r>
    </w:p>
    <w:p w14:paraId="4B85BD51" w14:textId="77777777" w:rsidR="0067277E" w:rsidRPr="005B6497" w:rsidRDefault="0067277E">
      <w:pPr>
        <w:spacing w:line="360" w:lineRule="auto"/>
        <w:jc w:val="both"/>
        <w:rPr>
          <w:rFonts w:ascii="Palatino Linotype" w:eastAsia="Palatino Linotype" w:hAnsi="Palatino Linotype" w:cs="Palatino Linotype"/>
          <w:b/>
          <w:color w:val="000000"/>
          <w:sz w:val="22"/>
          <w:szCs w:val="22"/>
        </w:rPr>
      </w:pPr>
    </w:p>
    <w:p w14:paraId="64BCBA6B"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Al respecto, el Departamento de Recursos Humanos proporcionó el Certificado de Competencia Laboral de Liliana Angélica López Salgado y Marco Antonio Sandoval </w:t>
      </w:r>
      <w:r w:rsidRPr="005B6497">
        <w:rPr>
          <w:rFonts w:ascii="Palatino Linotype" w:eastAsia="Palatino Linotype" w:hAnsi="Palatino Linotype" w:cs="Palatino Linotype"/>
          <w:color w:val="000000"/>
          <w:sz w:val="22"/>
          <w:szCs w:val="22"/>
        </w:rPr>
        <w:lastRenderedPageBreak/>
        <w:t>Gonzáles, es decir, de los dos servidores públicos solicitados; por lo que, se logra vislumbrar que desde respuesta proporcionó los documentos que obraban en sus archivos y daban cuenta de la información requerida.</w:t>
      </w:r>
    </w:p>
    <w:p w14:paraId="37488D96"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756C90DA"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0FDE179" w14:textId="77777777" w:rsidR="0067277E" w:rsidRPr="005B6497" w:rsidRDefault="0067277E">
      <w:pPr>
        <w:spacing w:line="360" w:lineRule="auto"/>
        <w:ind w:right="-28"/>
        <w:jc w:val="both"/>
        <w:rPr>
          <w:rFonts w:ascii="Palatino Linotype" w:eastAsia="Palatino Linotype" w:hAnsi="Palatino Linotype" w:cs="Palatino Linotype"/>
          <w:color w:val="000000"/>
          <w:sz w:val="22"/>
          <w:szCs w:val="22"/>
        </w:rPr>
      </w:pPr>
    </w:p>
    <w:p w14:paraId="06BFB68D"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5B6497">
        <w:rPr>
          <w:rFonts w:ascii="Palatino Linotype" w:eastAsia="Palatino Linotype" w:hAnsi="Palatino Linotype" w:cs="Palatino Linotype"/>
          <w:i/>
          <w:color w:val="000000"/>
          <w:sz w:val="22"/>
          <w:szCs w:val="22"/>
        </w:rPr>
        <w:t>ad hoc</w:t>
      </w:r>
      <w:r w:rsidRPr="005B6497">
        <w:rPr>
          <w:rFonts w:ascii="Palatino Linotype" w:eastAsia="Palatino Linotype" w:hAnsi="Palatino Linotype" w:cs="Palatino Linotype"/>
          <w:color w:val="000000"/>
          <w:sz w:val="22"/>
          <w:szCs w:val="22"/>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03CAFFAA"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1DBED854"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al proporcionar los Certificados de Competencia Laboral de los dos funcionarios solicitados; sin embargo, se proporcionaron en versión pública, en donde se clasificó la Clave Única de Registro de Población, por lo que, se procede analizar si dicho datos es confidencial o público.</w:t>
      </w:r>
    </w:p>
    <w:p w14:paraId="3D7DD181"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1EDB042D" w14:textId="77777777" w:rsidR="0067277E" w:rsidRPr="005B6497" w:rsidRDefault="006B5461">
      <w:p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33C02AC"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403F4F89" w14:textId="77777777" w:rsidR="0067277E" w:rsidRPr="005B6497" w:rsidRDefault="006B5461">
      <w:p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7DB0672"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08932ECA" w14:textId="77777777" w:rsidR="0067277E" w:rsidRPr="005B6497" w:rsidRDefault="006B5461">
      <w:p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En ese orden de ideas, la Secretaría de Gobernación en las direcciones https://consultas.curp.gob.mx/CurpSP/html/informacionecurpPS.html y https://www.gob.mx/segob/renapo/acciones-y-programas/clave-unica-de-registro-de-</w:t>
      </w:r>
    </w:p>
    <w:p w14:paraId="1176BA07" w14:textId="77777777" w:rsidR="0067277E" w:rsidRPr="005B6497" w:rsidRDefault="006B5461">
      <w:p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5B6497">
        <w:rPr>
          <w:rFonts w:ascii="Palatino Linotype" w:eastAsia="Palatino Linotype" w:hAnsi="Palatino Linotype" w:cs="Palatino Linotype"/>
          <w:b/>
          <w:color w:val="000000"/>
          <w:sz w:val="22"/>
          <w:szCs w:val="22"/>
        </w:rPr>
        <w:t>se generan a partir de los datos contenidos en el documento probatorio de la identidad del interesado</w:t>
      </w:r>
      <w:r w:rsidRPr="005B6497">
        <w:rPr>
          <w:rFonts w:ascii="Palatino Linotype" w:eastAsia="Palatino Linotype" w:hAnsi="Palatino Linotype" w:cs="Palatino Linotype"/>
          <w:color w:val="000000"/>
          <w:sz w:val="22"/>
          <w:szCs w:val="22"/>
        </w:rPr>
        <w:t xml:space="preserve"> (acta de nacimiento, carta de naturalización o documento migratorio) de la siguiente forma:</w:t>
      </w:r>
    </w:p>
    <w:p w14:paraId="12CB4C54"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1C3BE552" w14:textId="77777777" w:rsidR="0067277E" w:rsidRPr="005B6497" w:rsidRDefault="006B5461">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El primero y segundo apellidos, así como al nombre de pila;</w:t>
      </w:r>
    </w:p>
    <w:p w14:paraId="40D9341C" w14:textId="77777777" w:rsidR="0067277E" w:rsidRPr="005B6497" w:rsidRDefault="006B5461">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La fecha de nacimiento;</w:t>
      </w:r>
    </w:p>
    <w:p w14:paraId="67B0EE49" w14:textId="77777777" w:rsidR="0067277E" w:rsidRPr="005B6497" w:rsidRDefault="006B5461">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El sexo, y</w:t>
      </w:r>
    </w:p>
    <w:p w14:paraId="09B257BD" w14:textId="77777777" w:rsidR="0067277E" w:rsidRPr="005B6497" w:rsidRDefault="006B5461">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La entidad federativa de nacimiento.</w:t>
      </w:r>
    </w:p>
    <w:p w14:paraId="19DCB2BF" w14:textId="77777777" w:rsidR="0067277E" w:rsidRPr="005B6497" w:rsidRDefault="006B5461">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Los dos últimos elementos de la Clave Única de Registro de Población evitan la duplicidad de la Clave y garantizan su correcta integración.</w:t>
      </w:r>
    </w:p>
    <w:p w14:paraId="42C20EFF"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29C61CA9" w14:textId="77777777" w:rsidR="0067277E" w:rsidRPr="005B6497" w:rsidRDefault="006B5461">
      <w:pPr>
        <w:tabs>
          <w:tab w:val="left" w:pos="4962"/>
        </w:tabs>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04658EF" w14:textId="77777777" w:rsidR="0067277E" w:rsidRPr="005B6497" w:rsidRDefault="0067277E">
      <w:pPr>
        <w:tabs>
          <w:tab w:val="left" w:pos="4962"/>
        </w:tabs>
        <w:spacing w:line="360" w:lineRule="auto"/>
        <w:jc w:val="both"/>
        <w:rPr>
          <w:rFonts w:ascii="Palatino Linotype" w:eastAsia="Palatino Linotype" w:hAnsi="Palatino Linotype" w:cs="Palatino Linotype"/>
          <w:color w:val="000000"/>
          <w:sz w:val="22"/>
          <w:szCs w:val="22"/>
        </w:rPr>
      </w:pPr>
    </w:p>
    <w:p w14:paraId="15CEA4FD"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39C416C"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0C8698F7" w14:textId="77777777" w:rsidR="0067277E" w:rsidRPr="005B6497" w:rsidRDefault="006B5461">
      <w:pPr>
        <w:spacing w:line="360" w:lineRule="auto"/>
        <w:ind w:left="567" w:right="567"/>
        <w:jc w:val="both"/>
        <w:rPr>
          <w:rFonts w:ascii="Palatino Linotype" w:eastAsia="Palatino Linotype" w:hAnsi="Palatino Linotype" w:cs="Palatino Linotype"/>
          <w:i/>
          <w:color w:val="000000"/>
        </w:rPr>
      </w:pPr>
      <w:r w:rsidRPr="005B6497">
        <w:rPr>
          <w:rFonts w:ascii="Palatino Linotype" w:eastAsia="Palatino Linotype" w:hAnsi="Palatino Linotype" w:cs="Palatino Linotype"/>
          <w:b/>
          <w:i/>
          <w:color w:val="000000"/>
        </w:rPr>
        <w:t xml:space="preserve">“Clave Única de Registro de Población (CURP). </w:t>
      </w:r>
      <w:r w:rsidRPr="005B6497">
        <w:rPr>
          <w:rFonts w:ascii="Palatino Linotype" w:eastAsia="Palatino Linotype" w:hAnsi="Palatino Linotype" w:cs="Palatino Linotype"/>
          <w:i/>
          <w:color w:val="00000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2A6EF35"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t xml:space="preserve">De acuerdo con lo anterior, resulta procedente la clasificación de </w:t>
      </w:r>
      <w:r w:rsidRPr="005B6497">
        <w:rPr>
          <w:rFonts w:ascii="Palatino Linotype" w:eastAsia="Palatino Linotype" w:hAnsi="Palatino Linotype" w:cs="Palatino Linotype"/>
          <w:b/>
          <w:color w:val="000000"/>
          <w:sz w:val="22"/>
          <w:szCs w:val="22"/>
        </w:rPr>
        <w:t>la Clave Única de Registro de Población</w:t>
      </w:r>
      <w:r w:rsidRPr="005B6497">
        <w:rPr>
          <w:rFonts w:ascii="Palatino Linotype" w:eastAsia="Palatino Linotype" w:hAnsi="Palatino Linotype" w:cs="Palatino Linotype"/>
          <w:color w:val="000000"/>
          <w:sz w:val="22"/>
          <w:szCs w:val="22"/>
        </w:rPr>
        <w:t xml:space="preserve">, por tratarse de un dato personal confidencial, en términos del artículo 143, fracción I, de la Ley de Transparencia y Acceso a la Información Pública del Estado de México y Municipios. </w:t>
      </w:r>
    </w:p>
    <w:p w14:paraId="793395EC"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4B0B7E7D" w14:textId="77777777" w:rsidR="0067277E" w:rsidRPr="005B6497" w:rsidRDefault="006B5461">
      <w:pPr>
        <w:spacing w:line="360" w:lineRule="auto"/>
        <w:jc w:val="both"/>
        <w:rPr>
          <w:rFonts w:ascii="Palatino Linotype" w:eastAsia="Palatino Linotype" w:hAnsi="Palatino Linotype" w:cs="Palatino Linotype"/>
          <w:color w:val="000000"/>
          <w:sz w:val="22"/>
          <w:szCs w:val="22"/>
        </w:rPr>
      </w:pPr>
      <w:r w:rsidRPr="005B6497">
        <w:rPr>
          <w:rFonts w:ascii="Palatino Linotype" w:eastAsia="Palatino Linotype" w:hAnsi="Palatino Linotype" w:cs="Palatino Linotype"/>
          <w:color w:val="000000"/>
          <w:sz w:val="22"/>
          <w:szCs w:val="22"/>
        </w:rPr>
        <w:lastRenderedPageBreak/>
        <w:t xml:space="preserve">En ese contexto, este Instituto revisó los Acuerdos emitidos por el Comité de Transparencia, de los cuales se logró advertir que, de manera fundada y motivada, acreditó la clasificación de la Clave Única de Registro de Población de los servidores públicos y válida la versión pública, por lo que, atendió lo establecido en el artículo 168 de la Ley de Transparencia y Acceso a la Información Pública del Estado de México y Municipios. </w:t>
      </w:r>
    </w:p>
    <w:p w14:paraId="13004FB7"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0DFECBD7" w14:textId="77777777" w:rsidR="0067277E" w:rsidRPr="005B6497" w:rsidRDefault="006B5461">
      <w:pPr>
        <w:spacing w:line="360" w:lineRule="auto"/>
        <w:jc w:val="both"/>
        <w:rPr>
          <w:rFonts w:ascii="Palatino Linotype" w:eastAsia="Palatino Linotype" w:hAnsi="Palatino Linotype" w:cs="Palatino Linotype"/>
          <w:b/>
          <w:color w:val="000000"/>
          <w:sz w:val="22"/>
          <w:szCs w:val="22"/>
        </w:rPr>
      </w:pPr>
      <w:r w:rsidRPr="005B6497">
        <w:rPr>
          <w:rFonts w:ascii="Palatino Linotype" w:eastAsia="Palatino Linotype" w:hAnsi="Palatino Linotype" w:cs="Palatino Linotype"/>
          <w:color w:val="000000"/>
          <w:sz w:val="22"/>
          <w:szCs w:val="22"/>
        </w:rPr>
        <w:t>Así, se concluye que, desde respuesta, contrario a lo referido por el Particular, el Sujeto Obligado proporcionó los documentos solicitados, en versión pública, cumpliendo con las formalidades establecidas en la Ley de la materia</w:t>
      </w:r>
      <w:r w:rsidRPr="005B6497">
        <w:rPr>
          <w:rFonts w:ascii="Palatino Linotype" w:eastAsia="Palatino Linotype" w:hAnsi="Palatino Linotype" w:cs="Palatino Linotype"/>
          <w:sz w:val="22"/>
          <w:szCs w:val="22"/>
        </w:rPr>
        <w:t xml:space="preserve">; por lo que, se considera que el agravio deviene de </w:t>
      </w:r>
      <w:r w:rsidRPr="005B6497">
        <w:rPr>
          <w:rFonts w:ascii="Palatino Linotype" w:eastAsia="Palatino Linotype" w:hAnsi="Palatino Linotype" w:cs="Palatino Linotype"/>
          <w:b/>
          <w:sz w:val="22"/>
          <w:szCs w:val="22"/>
        </w:rPr>
        <w:t>INFUNDADO.</w:t>
      </w:r>
    </w:p>
    <w:p w14:paraId="02DEBEF7" w14:textId="77777777" w:rsidR="0067277E" w:rsidRPr="005B6497" w:rsidRDefault="0067277E">
      <w:pPr>
        <w:spacing w:line="360" w:lineRule="auto"/>
        <w:jc w:val="both"/>
        <w:rPr>
          <w:rFonts w:ascii="Palatino Linotype" w:eastAsia="Palatino Linotype" w:hAnsi="Palatino Linotype" w:cs="Palatino Linotype"/>
          <w:color w:val="000000"/>
          <w:sz w:val="22"/>
          <w:szCs w:val="22"/>
        </w:rPr>
      </w:pPr>
    </w:p>
    <w:p w14:paraId="3650C4A0"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SEXTO. Decisión</w:t>
      </w:r>
    </w:p>
    <w:p w14:paraId="5393FF20"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6FAF46AA"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Con fundamento en el artículo 186, fracción II, de la Ley de Transparencia y Acceso a la Información Pública del Estado de México y Municipios, este Instituto considera procedente </w:t>
      </w:r>
      <w:r w:rsidRPr="005B6497">
        <w:rPr>
          <w:rFonts w:ascii="Palatino Linotype" w:eastAsia="Palatino Linotype" w:hAnsi="Palatino Linotype" w:cs="Palatino Linotype"/>
          <w:b/>
          <w:sz w:val="22"/>
          <w:szCs w:val="22"/>
        </w:rPr>
        <w:t xml:space="preserve">CONFIRMAR </w:t>
      </w:r>
      <w:r w:rsidRPr="005B6497">
        <w:rPr>
          <w:rFonts w:ascii="Palatino Linotype" w:eastAsia="Palatino Linotype" w:hAnsi="Palatino Linotype" w:cs="Palatino Linotype"/>
          <w:sz w:val="22"/>
          <w:szCs w:val="22"/>
        </w:rPr>
        <w:t xml:space="preserve">la respuesta otorgada por el Sujeto Obligado a las solicitudes de información. </w:t>
      </w:r>
    </w:p>
    <w:p w14:paraId="3236D202"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7C236014" w14:textId="77777777" w:rsidR="0067277E" w:rsidRPr="005B6497" w:rsidRDefault="00A616C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Términos de la Resolución</w:t>
      </w:r>
    </w:p>
    <w:p w14:paraId="7429D8CC"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046EFBEE" w14:textId="77777777" w:rsidR="0067277E" w:rsidRPr="005B6497" w:rsidRDefault="006B5461">
      <w:pPr>
        <w:widowControl w:val="0"/>
        <w:spacing w:line="360" w:lineRule="auto"/>
        <w:jc w:val="both"/>
        <w:rPr>
          <w:rFonts w:ascii="Palatino Linotype" w:eastAsia="Palatino Linotype" w:hAnsi="Palatino Linotype" w:cs="Palatino Linotype"/>
          <w:color w:val="FF0000"/>
          <w:sz w:val="22"/>
          <w:szCs w:val="22"/>
        </w:rPr>
      </w:pPr>
      <w:r w:rsidRPr="005B6497">
        <w:rPr>
          <w:rFonts w:ascii="Palatino Linotype" w:eastAsia="Palatino Linotype" w:hAnsi="Palatino Linotype" w:cs="Palatino Linotype"/>
          <w:sz w:val="22"/>
          <w:szCs w:val="22"/>
        </w:rPr>
        <w:t xml:space="preserve">Se le hace del conocimiento al Particular, que, en el presente caso, no se le concede la razón pues el Sujeto Obligado entregó los Certificados con los que contaba en sus archivos y señaló las razones por las cuales no contaba con la información de dos servidores públicos, por lo que dio atención puntual a las cuatro solicitudes presentadas; </w:t>
      </w:r>
      <w:r w:rsidRPr="005B6497">
        <w:rPr>
          <w:rFonts w:ascii="Palatino Linotype" w:eastAsia="Palatino Linotype" w:hAnsi="Palatino Linotype" w:cs="Palatino Linotype"/>
          <w:color w:val="FF0000"/>
          <w:sz w:val="22"/>
          <w:szCs w:val="22"/>
        </w:rPr>
        <w:t xml:space="preserve"> </w:t>
      </w:r>
      <w:r w:rsidRPr="005B6497">
        <w:rPr>
          <w:rFonts w:ascii="Palatino Linotype" w:eastAsia="Palatino Linotype" w:hAnsi="Palatino Linotype" w:cs="Palatino Linotype"/>
          <w:sz w:val="22"/>
          <w:szCs w:val="22"/>
        </w:rPr>
        <w:t>asimismo se le informa que la labor del Instituto, es apoyar a la población a acceder a la información pública y garantizar la protección de los datos personales.</w:t>
      </w:r>
    </w:p>
    <w:p w14:paraId="30C389A4"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58842A8C" w14:textId="77777777" w:rsidR="0067277E" w:rsidRPr="005B6497"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Por lo expuesto y fundado, este Pleno:</w:t>
      </w:r>
    </w:p>
    <w:p w14:paraId="6161321F"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68CCB35D" w14:textId="77777777" w:rsidR="0067277E" w:rsidRPr="005B6497" w:rsidRDefault="006B5461">
      <w:pPr>
        <w:spacing w:line="360" w:lineRule="auto"/>
        <w:jc w:val="center"/>
        <w:rPr>
          <w:rFonts w:ascii="Palatino Linotype" w:eastAsia="Palatino Linotype" w:hAnsi="Palatino Linotype" w:cs="Palatino Linotype"/>
          <w:b/>
          <w:color w:val="000000"/>
          <w:sz w:val="22"/>
          <w:szCs w:val="22"/>
        </w:rPr>
      </w:pPr>
      <w:r w:rsidRPr="005B6497">
        <w:rPr>
          <w:rFonts w:ascii="Palatino Linotype" w:eastAsia="Palatino Linotype" w:hAnsi="Palatino Linotype" w:cs="Palatino Linotype"/>
          <w:b/>
          <w:color w:val="000000"/>
          <w:sz w:val="22"/>
          <w:szCs w:val="22"/>
        </w:rPr>
        <w:t>R E S U E L V E</w:t>
      </w:r>
    </w:p>
    <w:p w14:paraId="1009EA67"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67722F4F" w14:textId="77777777" w:rsidR="0067277E" w:rsidRPr="005B6497" w:rsidRDefault="006B5461">
      <w:pPr>
        <w:spacing w:line="360" w:lineRule="auto"/>
        <w:jc w:val="both"/>
        <w:rPr>
          <w:rFonts w:ascii="Palatino Linotype" w:eastAsia="Palatino Linotype" w:hAnsi="Palatino Linotype" w:cs="Palatino Linotype"/>
          <w:b/>
          <w:sz w:val="22"/>
          <w:szCs w:val="22"/>
        </w:rPr>
      </w:pPr>
      <w:r w:rsidRPr="005B6497">
        <w:rPr>
          <w:rFonts w:ascii="Palatino Linotype" w:eastAsia="Palatino Linotype" w:hAnsi="Palatino Linotype" w:cs="Palatino Linotype"/>
          <w:b/>
          <w:sz w:val="22"/>
          <w:szCs w:val="22"/>
        </w:rPr>
        <w:t>PRIMERO.</w:t>
      </w:r>
      <w:r w:rsidRPr="005B6497">
        <w:rPr>
          <w:rFonts w:ascii="Palatino Linotype" w:eastAsia="Palatino Linotype" w:hAnsi="Palatino Linotype" w:cs="Palatino Linotype"/>
          <w:sz w:val="22"/>
          <w:szCs w:val="22"/>
        </w:rPr>
        <w:t xml:space="preserve"> Se </w:t>
      </w:r>
      <w:r w:rsidRPr="005B6497">
        <w:rPr>
          <w:rFonts w:ascii="Palatino Linotype" w:eastAsia="Palatino Linotype" w:hAnsi="Palatino Linotype" w:cs="Palatino Linotype"/>
          <w:b/>
          <w:sz w:val="22"/>
          <w:szCs w:val="22"/>
        </w:rPr>
        <w:t xml:space="preserve">CONFIRMA </w:t>
      </w:r>
      <w:r w:rsidRPr="005B6497">
        <w:rPr>
          <w:rFonts w:ascii="Palatino Linotype" w:eastAsia="Palatino Linotype" w:hAnsi="Palatino Linotype" w:cs="Palatino Linotype"/>
          <w:sz w:val="22"/>
          <w:szCs w:val="22"/>
        </w:rPr>
        <w:t>la respuesta entregada por el Sujeto Obligado a las solicitudes de acceso a la información con número de folio</w:t>
      </w:r>
      <w:r w:rsidRPr="005B6497">
        <w:rPr>
          <w:rFonts w:ascii="Palatino Linotype" w:eastAsia="Palatino Linotype" w:hAnsi="Palatino Linotype" w:cs="Palatino Linotype"/>
          <w:b/>
          <w:sz w:val="22"/>
          <w:szCs w:val="22"/>
        </w:rPr>
        <w:t> </w:t>
      </w:r>
      <w:r w:rsidRPr="005B6497">
        <w:rPr>
          <w:rFonts w:ascii="Palatino Linotype" w:eastAsia="Palatino Linotype" w:hAnsi="Palatino Linotype" w:cs="Palatino Linotype"/>
          <w:sz w:val="22"/>
          <w:szCs w:val="22"/>
        </w:rPr>
        <w:t xml:space="preserve">00141/OASTOL/IP/2024, 00142/OASTOL/IP/2024, 00143/OASTOL/IP/2024 y 00144/OASTOL/IP/2024, por resultar </w:t>
      </w:r>
      <w:r w:rsidRPr="005B6497">
        <w:rPr>
          <w:rFonts w:ascii="Palatino Linotype" w:eastAsia="Palatino Linotype" w:hAnsi="Palatino Linotype" w:cs="Palatino Linotype"/>
          <w:b/>
          <w:sz w:val="22"/>
          <w:szCs w:val="22"/>
        </w:rPr>
        <w:t>INFUNDADAS</w:t>
      </w:r>
      <w:r w:rsidRPr="005B6497">
        <w:rPr>
          <w:rFonts w:ascii="Palatino Linotype" w:eastAsia="Palatino Linotype" w:hAnsi="Palatino Linotype" w:cs="Palatino Linotype"/>
          <w:sz w:val="22"/>
          <w:szCs w:val="22"/>
        </w:rPr>
        <w:t xml:space="preserve"> las razones o motivos de inconformidad hechas valer por el Recurrente, en términos de los Considerandos QUINTO y SEXTO de esta Resolución.</w:t>
      </w:r>
    </w:p>
    <w:p w14:paraId="228DC4E4" w14:textId="77777777" w:rsidR="0067277E" w:rsidRPr="005B6497" w:rsidRDefault="0067277E">
      <w:pPr>
        <w:spacing w:line="360" w:lineRule="auto"/>
        <w:jc w:val="both"/>
        <w:rPr>
          <w:rFonts w:ascii="Palatino Linotype" w:eastAsia="Palatino Linotype" w:hAnsi="Palatino Linotype" w:cs="Palatino Linotype"/>
          <w:b/>
          <w:sz w:val="22"/>
          <w:szCs w:val="22"/>
        </w:rPr>
      </w:pPr>
    </w:p>
    <w:p w14:paraId="33C7147A" w14:textId="77777777" w:rsidR="0067277E" w:rsidRPr="005B6497" w:rsidRDefault="006B5461">
      <w:pPr>
        <w:spacing w:line="360" w:lineRule="auto"/>
        <w:jc w:val="both"/>
        <w:rPr>
          <w:rFonts w:ascii="Palatino Linotype" w:eastAsia="Palatino Linotype" w:hAnsi="Palatino Linotype" w:cs="Palatino Linotype"/>
          <w:b/>
          <w:color w:val="000000"/>
          <w:sz w:val="22"/>
          <w:szCs w:val="22"/>
        </w:rPr>
      </w:pPr>
      <w:r w:rsidRPr="005B6497">
        <w:rPr>
          <w:rFonts w:ascii="Palatino Linotype" w:eastAsia="Palatino Linotype" w:hAnsi="Palatino Linotype" w:cs="Palatino Linotype"/>
          <w:b/>
          <w:color w:val="000000"/>
          <w:sz w:val="22"/>
          <w:szCs w:val="22"/>
        </w:rPr>
        <w:t xml:space="preserve">SEGUNDO. NOTIFÍQUESE POR SAIMEX </w:t>
      </w:r>
      <w:r w:rsidRPr="005B6497">
        <w:rPr>
          <w:rFonts w:ascii="Palatino Linotype" w:eastAsia="Palatino Linotype" w:hAnsi="Palatino Linotype" w:cs="Palatino Linotype"/>
          <w:color w:val="000000"/>
          <w:sz w:val="22"/>
          <w:szCs w:val="22"/>
        </w:rPr>
        <w:t>la presente Resolución al Titular de la Unidad de Transparencia del Sujeto Obligado.</w:t>
      </w:r>
    </w:p>
    <w:p w14:paraId="77696841" w14:textId="77777777" w:rsidR="0067277E" w:rsidRPr="005B6497" w:rsidRDefault="0067277E">
      <w:pPr>
        <w:spacing w:line="360" w:lineRule="auto"/>
        <w:jc w:val="both"/>
        <w:rPr>
          <w:rFonts w:ascii="Palatino Linotype" w:eastAsia="Palatino Linotype" w:hAnsi="Palatino Linotype" w:cs="Palatino Linotype"/>
          <w:b/>
          <w:i/>
          <w:color w:val="000000"/>
          <w:sz w:val="22"/>
          <w:szCs w:val="22"/>
        </w:rPr>
      </w:pPr>
    </w:p>
    <w:p w14:paraId="21D180F3" w14:textId="77777777" w:rsidR="0067277E" w:rsidRPr="005B6497" w:rsidRDefault="006B5461">
      <w:pPr>
        <w:spacing w:line="360" w:lineRule="auto"/>
        <w:jc w:val="both"/>
        <w:rPr>
          <w:rFonts w:ascii="Palatino Linotype" w:eastAsia="Palatino Linotype" w:hAnsi="Palatino Linotype" w:cs="Palatino Linotype"/>
          <w:b/>
          <w:color w:val="000000"/>
          <w:sz w:val="22"/>
          <w:szCs w:val="22"/>
        </w:rPr>
      </w:pPr>
      <w:r w:rsidRPr="005B6497">
        <w:rPr>
          <w:rFonts w:ascii="Palatino Linotype" w:eastAsia="Palatino Linotype" w:hAnsi="Palatino Linotype" w:cs="Palatino Linotype"/>
          <w:b/>
          <w:color w:val="000000"/>
          <w:sz w:val="22"/>
          <w:szCs w:val="22"/>
        </w:rPr>
        <w:t xml:space="preserve">TERCERO. NOTIFÍQUESE POR SAIMEX </w:t>
      </w:r>
      <w:r w:rsidRPr="005B6497">
        <w:rPr>
          <w:rFonts w:ascii="Palatino Linotype" w:eastAsia="Palatino Linotype" w:hAnsi="Palatino Linotype" w:cs="Palatino Linotype"/>
          <w:color w:val="000000"/>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D4C9D26" w14:textId="77777777" w:rsidR="0067277E" w:rsidRPr="005B6497" w:rsidRDefault="0067277E">
      <w:pPr>
        <w:spacing w:line="360" w:lineRule="auto"/>
        <w:jc w:val="both"/>
        <w:rPr>
          <w:rFonts w:ascii="Palatino Linotype" w:eastAsia="Palatino Linotype" w:hAnsi="Palatino Linotype" w:cs="Palatino Linotype"/>
          <w:sz w:val="22"/>
          <w:szCs w:val="22"/>
        </w:rPr>
      </w:pPr>
    </w:p>
    <w:p w14:paraId="7F35C7D1" w14:textId="77777777" w:rsidR="0067277E" w:rsidRDefault="006B5461">
      <w:pPr>
        <w:spacing w:line="360" w:lineRule="auto"/>
        <w:jc w:val="both"/>
        <w:rPr>
          <w:rFonts w:ascii="Palatino Linotype" w:eastAsia="Palatino Linotype" w:hAnsi="Palatino Linotype" w:cs="Palatino Linotype"/>
          <w:sz w:val="22"/>
          <w:szCs w:val="22"/>
        </w:rPr>
      </w:pPr>
      <w:r w:rsidRPr="005B6497">
        <w:rPr>
          <w:rFonts w:ascii="Palatino Linotype" w:eastAsia="Palatino Linotype" w:hAnsi="Palatino Linotype" w:cs="Palatino Linotype"/>
          <w:sz w:val="22"/>
          <w:szCs w:val="22"/>
        </w:rPr>
        <w:t xml:space="preserve">ASÍ LO RESUELVE, POR </w:t>
      </w:r>
      <w:r w:rsidRPr="005B6497">
        <w:rPr>
          <w:rFonts w:ascii="Palatino Linotype" w:eastAsia="Palatino Linotype" w:hAnsi="Palatino Linotype" w:cs="Palatino Linotype"/>
          <w:b/>
          <w:sz w:val="22"/>
          <w:szCs w:val="22"/>
        </w:rPr>
        <w:t>UNANIMIDAD</w:t>
      </w:r>
      <w:r w:rsidRPr="005B6497">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w:t>
      </w:r>
      <w:r w:rsidRPr="005B6497">
        <w:rPr>
          <w:rFonts w:ascii="Palatino Linotype" w:eastAsia="Palatino Linotype" w:hAnsi="Palatino Linotype" w:cs="Palatino Linotype"/>
          <w:sz w:val="22"/>
          <w:szCs w:val="22"/>
        </w:rPr>
        <w:lastRenderedPageBreak/>
        <w:t>ORDINARIA, CELEBRADA EL TRECE DE NOVIEMBRE DE DOS MIL VEINTICUATRO, ANTE EL SECRETARIO TÉCNICO DEL PLENO, ALEXIS TAPIA RAMÍREZ.</w:t>
      </w:r>
    </w:p>
    <w:p w14:paraId="4D3F976F" w14:textId="77777777" w:rsidR="0067277E" w:rsidRDefault="0067277E">
      <w:pPr>
        <w:spacing w:line="360" w:lineRule="auto"/>
        <w:rPr>
          <w:rFonts w:ascii="Palatino Linotype" w:eastAsia="Palatino Linotype" w:hAnsi="Palatino Linotype" w:cs="Palatino Linotype"/>
          <w:sz w:val="22"/>
          <w:szCs w:val="22"/>
        </w:rPr>
      </w:pPr>
    </w:p>
    <w:p w14:paraId="1BA15691" w14:textId="77777777" w:rsidR="0067277E" w:rsidRDefault="0067277E">
      <w:pPr>
        <w:spacing w:line="360" w:lineRule="auto"/>
      </w:pPr>
    </w:p>
    <w:p w14:paraId="1782B8F8" w14:textId="77777777" w:rsidR="0067277E" w:rsidRDefault="0067277E">
      <w:pPr>
        <w:spacing w:line="360" w:lineRule="auto"/>
      </w:pPr>
    </w:p>
    <w:p w14:paraId="0CFEAFBB" w14:textId="77777777" w:rsidR="0067277E" w:rsidRDefault="0067277E">
      <w:pPr>
        <w:spacing w:line="360" w:lineRule="auto"/>
      </w:pPr>
    </w:p>
    <w:p w14:paraId="21A83DCD" w14:textId="77777777" w:rsidR="0067277E" w:rsidRDefault="0067277E">
      <w:pPr>
        <w:spacing w:line="360" w:lineRule="auto"/>
      </w:pPr>
    </w:p>
    <w:p w14:paraId="4E57A309" w14:textId="77777777" w:rsidR="0067277E" w:rsidRDefault="0067277E">
      <w:pPr>
        <w:spacing w:line="360" w:lineRule="auto"/>
      </w:pPr>
    </w:p>
    <w:p w14:paraId="131667A4" w14:textId="77777777" w:rsidR="0067277E" w:rsidRDefault="0067277E">
      <w:pPr>
        <w:spacing w:line="360" w:lineRule="auto"/>
      </w:pPr>
    </w:p>
    <w:p w14:paraId="5D92AA1C" w14:textId="77777777" w:rsidR="0067277E" w:rsidRDefault="0067277E">
      <w:pPr>
        <w:spacing w:line="360" w:lineRule="auto"/>
      </w:pPr>
    </w:p>
    <w:p w14:paraId="5E94E277" w14:textId="77777777" w:rsidR="0067277E" w:rsidRDefault="0067277E">
      <w:pPr>
        <w:spacing w:line="360" w:lineRule="auto"/>
      </w:pPr>
    </w:p>
    <w:p w14:paraId="10C0D775" w14:textId="77777777" w:rsidR="0067277E" w:rsidRDefault="0067277E">
      <w:pPr>
        <w:spacing w:line="360" w:lineRule="auto"/>
      </w:pPr>
    </w:p>
    <w:p w14:paraId="51167061" w14:textId="77777777" w:rsidR="0067277E" w:rsidRDefault="0067277E">
      <w:pPr>
        <w:spacing w:line="360" w:lineRule="auto"/>
      </w:pPr>
    </w:p>
    <w:p w14:paraId="64E22103" w14:textId="77777777" w:rsidR="0067277E" w:rsidRDefault="0067277E">
      <w:pPr>
        <w:spacing w:line="360" w:lineRule="auto"/>
      </w:pPr>
    </w:p>
    <w:p w14:paraId="52195FE2" w14:textId="77777777" w:rsidR="0067277E" w:rsidRDefault="0067277E">
      <w:pPr>
        <w:spacing w:line="360" w:lineRule="auto"/>
      </w:pPr>
    </w:p>
    <w:p w14:paraId="32803B3E" w14:textId="77777777" w:rsidR="0067277E" w:rsidRDefault="0067277E">
      <w:pPr>
        <w:spacing w:line="360" w:lineRule="auto"/>
      </w:pPr>
    </w:p>
    <w:p w14:paraId="7C6D80B4" w14:textId="77777777" w:rsidR="0067277E" w:rsidRDefault="0067277E">
      <w:pPr>
        <w:spacing w:line="360" w:lineRule="auto"/>
      </w:pPr>
    </w:p>
    <w:p w14:paraId="0FEF68AA" w14:textId="77777777" w:rsidR="0067277E" w:rsidRDefault="0067277E">
      <w:pPr>
        <w:spacing w:line="360" w:lineRule="auto"/>
      </w:pPr>
    </w:p>
    <w:p w14:paraId="6E8EEB31" w14:textId="77777777" w:rsidR="0067277E" w:rsidRDefault="0067277E">
      <w:pPr>
        <w:spacing w:line="360" w:lineRule="auto"/>
      </w:pPr>
    </w:p>
    <w:p w14:paraId="7BE1A1CC" w14:textId="77777777" w:rsidR="0067277E" w:rsidRDefault="0067277E">
      <w:pPr>
        <w:spacing w:line="360" w:lineRule="auto"/>
      </w:pPr>
    </w:p>
    <w:p w14:paraId="1A08F7A3" w14:textId="77777777" w:rsidR="0067277E" w:rsidRDefault="0067277E">
      <w:pPr>
        <w:spacing w:line="360" w:lineRule="auto"/>
      </w:pPr>
    </w:p>
    <w:p w14:paraId="6510EAAD" w14:textId="77777777" w:rsidR="0067277E" w:rsidRDefault="0067277E">
      <w:pPr>
        <w:spacing w:line="360" w:lineRule="auto"/>
      </w:pPr>
    </w:p>
    <w:p w14:paraId="5507CD1B" w14:textId="77777777" w:rsidR="0067277E" w:rsidRDefault="0067277E">
      <w:pPr>
        <w:spacing w:line="360" w:lineRule="auto"/>
      </w:pPr>
    </w:p>
    <w:p w14:paraId="275471FB" w14:textId="77777777" w:rsidR="0067277E" w:rsidRDefault="0067277E">
      <w:pPr>
        <w:spacing w:line="360" w:lineRule="auto"/>
      </w:pPr>
    </w:p>
    <w:p w14:paraId="6DA5769C" w14:textId="77777777" w:rsidR="0067277E" w:rsidRDefault="0067277E">
      <w:pPr>
        <w:spacing w:line="360" w:lineRule="auto"/>
      </w:pPr>
    </w:p>
    <w:p w14:paraId="7FC422FF" w14:textId="77777777" w:rsidR="0067277E" w:rsidRDefault="0067277E">
      <w:pPr>
        <w:spacing w:line="360" w:lineRule="auto"/>
      </w:pPr>
    </w:p>
    <w:p w14:paraId="227F993C" w14:textId="77777777" w:rsidR="0067277E" w:rsidRDefault="0067277E">
      <w:pPr>
        <w:spacing w:line="360" w:lineRule="auto"/>
      </w:pPr>
    </w:p>
    <w:p w14:paraId="14264B5F" w14:textId="77777777" w:rsidR="0067277E" w:rsidRDefault="0067277E">
      <w:pPr>
        <w:spacing w:line="360" w:lineRule="auto"/>
      </w:pPr>
    </w:p>
    <w:p w14:paraId="1C26344F" w14:textId="77777777" w:rsidR="0067277E" w:rsidRDefault="0067277E">
      <w:pPr>
        <w:spacing w:line="360" w:lineRule="auto"/>
      </w:pPr>
    </w:p>
    <w:p w14:paraId="00B18867" w14:textId="77777777" w:rsidR="0067277E" w:rsidRDefault="0067277E">
      <w:pPr>
        <w:spacing w:line="360" w:lineRule="auto"/>
      </w:pPr>
    </w:p>
    <w:p w14:paraId="35CA98C2" w14:textId="77777777" w:rsidR="0067277E" w:rsidRDefault="0067277E">
      <w:pPr>
        <w:spacing w:line="360" w:lineRule="auto"/>
      </w:pPr>
    </w:p>
    <w:p w14:paraId="38530CF1" w14:textId="77777777" w:rsidR="0067277E" w:rsidRDefault="0067277E">
      <w:pPr>
        <w:spacing w:line="360" w:lineRule="auto"/>
      </w:pPr>
    </w:p>
    <w:p w14:paraId="65243CE9" w14:textId="77777777" w:rsidR="0067277E" w:rsidRDefault="0067277E">
      <w:pPr>
        <w:spacing w:line="360" w:lineRule="auto"/>
      </w:pPr>
    </w:p>
    <w:sectPr w:rsidR="0067277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3B592" w14:textId="77777777" w:rsidR="00C90172" w:rsidRDefault="00C90172">
      <w:r>
        <w:separator/>
      </w:r>
    </w:p>
  </w:endnote>
  <w:endnote w:type="continuationSeparator" w:id="0">
    <w:p w14:paraId="1F579094" w14:textId="77777777" w:rsidR="00C90172" w:rsidRDefault="00C9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683F" w14:textId="5EF2D18F" w:rsidR="0067277E" w:rsidRDefault="006B546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23531D">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p>
  <w:p w14:paraId="3EBB0B75" w14:textId="77777777" w:rsidR="0067277E" w:rsidRDefault="0067277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7386" w14:textId="77777777" w:rsidR="0067277E" w:rsidRDefault="006B546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D65B6">
      <w:rPr>
        <w:rFonts w:ascii="Palatino Linotype" w:eastAsia="Palatino Linotype" w:hAnsi="Palatino Linotype" w:cs="Palatino Linotype"/>
        <w:b/>
        <w:noProof/>
        <w:color w:val="000000"/>
        <w:sz w:val="22"/>
        <w:szCs w:val="22"/>
      </w:rPr>
      <w:t>20</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D65B6">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p>
  <w:p w14:paraId="1DD98591" w14:textId="77777777" w:rsidR="0067277E" w:rsidRDefault="0067277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514C" w14:textId="77777777" w:rsidR="0067277E" w:rsidRDefault="006B546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D65B6">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D65B6">
      <w:rPr>
        <w:rFonts w:ascii="Palatino Linotype" w:eastAsia="Palatino Linotype" w:hAnsi="Palatino Linotype" w:cs="Palatino Linotype"/>
        <w:b/>
        <w:noProof/>
        <w:color w:val="000000"/>
        <w:sz w:val="22"/>
        <w:szCs w:val="22"/>
      </w:rPr>
      <w:t>26</w:t>
    </w:r>
    <w:r>
      <w:rPr>
        <w:rFonts w:ascii="Palatino Linotype" w:eastAsia="Palatino Linotype" w:hAnsi="Palatino Linotype" w:cs="Palatino Linotype"/>
        <w:b/>
        <w:color w:val="000000"/>
        <w:sz w:val="22"/>
        <w:szCs w:val="22"/>
      </w:rPr>
      <w:fldChar w:fldCharType="end"/>
    </w:r>
  </w:p>
  <w:p w14:paraId="333BDB87" w14:textId="77777777" w:rsidR="0067277E" w:rsidRDefault="0067277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0A83" w14:textId="77777777" w:rsidR="00C90172" w:rsidRDefault="00C90172">
      <w:r>
        <w:separator/>
      </w:r>
    </w:p>
  </w:footnote>
  <w:footnote w:type="continuationSeparator" w:id="0">
    <w:p w14:paraId="47742571" w14:textId="77777777" w:rsidR="00C90172" w:rsidRDefault="00C9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594A" w14:textId="77777777" w:rsidR="0067277E" w:rsidRDefault="0067277E">
    <w:pPr>
      <w:widowControl w:val="0"/>
      <w:pBdr>
        <w:top w:val="nil"/>
        <w:left w:val="nil"/>
        <w:bottom w:val="nil"/>
        <w:right w:val="nil"/>
        <w:between w:val="nil"/>
      </w:pBdr>
      <w:spacing w:line="276" w:lineRule="auto"/>
    </w:pPr>
  </w:p>
  <w:tbl>
    <w:tblPr>
      <w:tblStyle w:val="a1"/>
      <w:tblW w:w="9705" w:type="dxa"/>
      <w:tblInd w:w="0" w:type="dxa"/>
      <w:tblLayout w:type="fixed"/>
      <w:tblLook w:val="0400" w:firstRow="0" w:lastRow="0" w:firstColumn="0" w:lastColumn="0" w:noHBand="0" w:noVBand="1"/>
    </w:tblPr>
    <w:tblGrid>
      <w:gridCol w:w="2972"/>
      <w:gridCol w:w="6733"/>
    </w:tblGrid>
    <w:tr w:rsidR="0067277E" w14:paraId="5CEEBF80" w14:textId="77777777">
      <w:trPr>
        <w:trHeight w:val="1435"/>
      </w:trPr>
      <w:tc>
        <w:tcPr>
          <w:tcW w:w="2972" w:type="dxa"/>
        </w:tcPr>
        <w:p w14:paraId="2479310B" w14:textId="77777777" w:rsidR="0067277E" w:rsidRDefault="0067277E">
          <w:pPr>
            <w:tabs>
              <w:tab w:val="right" w:pos="4273"/>
            </w:tabs>
            <w:spacing w:line="256" w:lineRule="auto"/>
            <w:rPr>
              <w:rFonts w:ascii="Garamond" w:eastAsia="Garamond" w:hAnsi="Garamond" w:cs="Garamond"/>
              <w:sz w:val="22"/>
              <w:szCs w:val="22"/>
            </w:rPr>
          </w:pPr>
        </w:p>
      </w:tc>
      <w:tc>
        <w:tcPr>
          <w:tcW w:w="6733" w:type="dxa"/>
        </w:tcPr>
        <w:p w14:paraId="585B3F92" w14:textId="77777777" w:rsidR="0067277E" w:rsidRDefault="0067277E">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103"/>
            <w:gridCol w:w="3432"/>
          </w:tblGrid>
          <w:tr w:rsidR="0067277E" w14:paraId="789B77E3" w14:textId="77777777">
            <w:trPr>
              <w:trHeight w:val="144"/>
            </w:trPr>
            <w:tc>
              <w:tcPr>
                <w:tcW w:w="0" w:type="auto"/>
              </w:tcPr>
              <w:p w14:paraId="3FA2B64E" w14:textId="77777777" w:rsidR="0067277E" w:rsidRDefault="006B5461">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14:paraId="6038A840" w14:textId="77777777" w:rsidR="0067277E" w:rsidRDefault="006B546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67277E" w14:paraId="55064D9F" w14:textId="77777777">
            <w:trPr>
              <w:trHeight w:val="283"/>
            </w:trPr>
            <w:tc>
              <w:tcPr>
                <w:tcW w:w="0" w:type="auto"/>
              </w:tcPr>
              <w:p w14:paraId="7F533B18" w14:textId="77777777" w:rsidR="0067277E" w:rsidRDefault="006B546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14:paraId="370EFCD5" w14:textId="77777777" w:rsidR="0067277E" w:rsidRDefault="006B5461">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67277E" w14:paraId="5A04A393" w14:textId="77777777">
            <w:trPr>
              <w:trHeight w:val="283"/>
            </w:trPr>
            <w:tc>
              <w:tcPr>
                <w:tcW w:w="0" w:type="auto"/>
              </w:tcPr>
              <w:p w14:paraId="6DDCA939" w14:textId="77777777" w:rsidR="0067277E" w:rsidRDefault="006B546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14:paraId="4554CF17" w14:textId="77777777" w:rsidR="0067277E" w:rsidRDefault="006B546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61998809" w14:textId="77777777" w:rsidR="0067277E" w:rsidRDefault="0067277E">
                <w:pPr>
                  <w:tabs>
                    <w:tab w:val="right" w:pos="8838"/>
                  </w:tabs>
                  <w:ind w:left="-74" w:right="-105"/>
                  <w:jc w:val="both"/>
                  <w:rPr>
                    <w:rFonts w:ascii="Palatino Linotype" w:eastAsia="Palatino Linotype" w:hAnsi="Palatino Linotype" w:cs="Palatino Linotype"/>
                    <w:b/>
                    <w:sz w:val="22"/>
                    <w:szCs w:val="22"/>
                  </w:rPr>
                </w:pPr>
              </w:p>
            </w:tc>
          </w:tr>
        </w:tbl>
        <w:p w14:paraId="7F04243A" w14:textId="77777777" w:rsidR="0067277E" w:rsidRDefault="0067277E">
          <w:pPr>
            <w:tabs>
              <w:tab w:val="right" w:pos="8838"/>
            </w:tabs>
            <w:spacing w:line="256" w:lineRule="auto"/>
            <w:ind w:left="-28"/>
            <w:jc w:val="both"/>
            <w:rPr>
              <w:rFonts w:ascii="Arial" w:eastAsia="Arial" w:hAnsi="Arial" w:cs="Arial"/>
              <w:b/>
              <w:sz w:val="22"/>
              <w:szCs w:val="22"/>
            </w:rPr>
          </w:pPr>
        </w:p>
      </w:tc>
    </w:tr>
  </w:tbl>
  <w:p w14:paraId="4E358A35" w14:textId="77777777" w:rsidR="0067277E" w:rsidRDefault="006B5461">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14:anchorId="21187071" wp14:editId="419E66AF">
          <wp:simplePos x="0" y="0"/>
          <wp:positionH relativeFrom="margin">
            <wp:posOffset>-1381124</wp:posOffset>
          </wp:positionH>
          <wp:positionV relativeFrom="margin">
            <wp:posOffset>-1611629</wp:posOffset>
          </wp:positionV>
          <wp:extent cx="5612130" cy="730821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07A22" w14:textId="77777777" w:rsidR="0067277E" w:rsidRDefault="0067277E">
    <w:pPr>
      <w:widowControl w:val="0"/>
      <w:pBdr>
        <w:top w:val="nil"/>
        <w:left w:val="nil"/>
        <w:bottom w:val="nil"/>
        <w:right w:val="nil"/>
        <w:between w:val="nil"/>
      </w:pBdr>
      <w:spacing w:line="276" w:lineRule="auto"/>
      <w:rPr>
        <w:color w:val="000000"/>
      </w:rPr>
    </w:pPr>
  </w:p>
  <w:tbl>
    <w:tblPr>
      <w:tblStyle w:val="a3"/>
      <w:tblW w:w="9072" w:type="dxa"/>
      <w:tblInd w:w="0" w:type="dxa"/>
      <w:tblLayout w:type="fixed"/>
      <w:tblLook w:val="0400" w:firstRow="0" w:lastRow="0" w:firstColumn="0" w:lastColumn="0" w:noHBand="0" w:noVBand="1"/>
    </w:tblPr>
    <w:tblGrid>
      <w:gridCol w:w="1985"/>
      <w:gridCol w:w="7087"/>
    </w:tblGrid>
    <w:tr w:rsidR="0067277E" w14:paraId="6C254635" w14:textId="77777777">
      <w:trPr>
        <w:trHeight w:val="1435"/>
      </w:trPr>
      <w:tc>
        <w:tcPr>
          <w:tcW w:w="1985" w:type="dxa"/>
        </w:tcPr>
        <w:p w14:paraId="749A5FE9" w14:textId="77777777" w:rsidR="0067277E" w:rsidRDefault="0067277E">
          <w:pPr>
            <w:tabs>
              <w:tab w:val="right" w:pos="4273"/>
            </w:tabs>
            <w:spacing w:line="256" w:lineRule="auto"/>
            <w:rPr>
              <w:rFonts w:ascii="Garamond" w:eastAsia="Garamond" w:hAnsi="Garamond" w:cs="Garamond"/>
              <w:sz w:val="22"/>
              <w:szCs w:val="22"/>
            </w:rPr>
          </w:pPr>
        </w:p>
      </w:tc>
      <w:tc>
        <w:tcPr>
          <w:tcW w:w="7087" w:type="dxa"/>
        </w:tcPr>
        <w:p w14:paraId="615E6DB2" w14:textId="77777777" w:rsidR="0067277E" w:rsidRDefault="0067277E">
          <w:pPr>
            <w:rPr>
              <w:sz w:val="28"/>
              <w:szCs w:val="28"/>
            </w:rPr>
          </w:pPr>
        </w:p>
        <w:tbl>
          <w:tblPr>
            <w:tblStyle w:val="a4"/>
            <w:tblW w:w="7640" w:type="dxa"/>
            <w:tblInd w:w="452" w:type="dxa"/>
            <w:tblBorders>
              <w:top w:val="nil"/>
              <w:left w:val="nil"/>
              <w:bottom w:val="nil"/>
              <w:right w:val="nil"/>
              <w:insideH w:val="nil"/>
              <w:insideV w:val="nil"/>
            </w:tblBorders>
            <w:tblLayout w:type="fixed"/>
            <w:tblLook w:val="0400" w:firstRow="0" w:lastRow="0" w:firstColumn="0" w:lastColumn="0" w:noHBand="0" w:noVBand="1"/>
          </w:tblPr>
          <w:tblGrid>
            <w:gridCol w:w="3177"/>
            <w:gridCol w:w="2835"/>
            <w:gridCol w:w="1628"/>
          </w:tblGrid>
          <w:tr w:rsidR="0067277E" w14:paraId="1248ED53" w14:textId="77777777">
            <w:trPr>
              <w:trHeight w:val="219"/>
            </w:trPr>
            <w:tc>
              <w:tcPr>
                <w:tcW w:w="3177" w:type="dxa"/>
              </w:tcPr>
              <w:p w14:paraId="7EA32FD5" w14:textId="77777777" w:rsidR="0067277E" w:rsidRDefault="006B5461">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835" w:type="dxa"/>
              </w:tcPr>
              <w:p w14:paraId="556F0D57" w14:textId="77777777" w:rsidR="0067277E" w:rsidRDefault="006B5461">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06541/INFOEM/IP/RR/2024 y acumulados</w:t>
                </w:r>
              </w:p>
            </w:tc>
            <w:tc>
              <w:tcPr>
                <w:tcW w:w="1628" w:type="dxa"/>
              </w:tcPr>
              <w:p w14:paraId="205FB253" w14:textId="77777777" w:rsidR="0067277E" w:rsidRDefault="0067277E">
                <w:pPr>
                  <w:tabs>
                    <w:tab w:val="right" w:pos="8838"/>
                  </w:tabs>
                  <w:ind w:left="-114" w:right="-105"/>
                  <w:jc w:val="both"/>
                  <w:rPr>
                    <w:rFonts w:ascii="Palatino Linotype" w:eastAsia="Palatino Linotype" w:hAnsi="Palatino Linotype" w:cs="Palatino Linotype"/>
                    <w:sz w:val="22"/>
                    <w:szCs w:val="22"/>
                  </w:rPr>
                </w:pPr>
              </w:p>
            </w:tc>
          </w:tr>
          <w:tr w:rsidR="0067277E" w14:paraId="68E3D339" w14:textId="77777777">
            <w:trPr>
              <w:trHeight w:val="99"/>
            </w:trPr>
            <w:tc>
              <w:tcPr>
                <w:tcW w:w="3177" w:type="dxa"/>
              </w:tcPr>
              <w:p w14:paraId="12C55475" w14:textId="77777777" w:rsidR="0067277E" w:rsidRDefault="006B5461">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835" w:type="dxa"/>
              </w:tcPr>
              <w:p w14:paraId="3745D509" w14:textId="77777777" w:rsidR="0067277E" w:rsidRDefault="006B5461">
                <w:pPr>
                  <w:tabs>
                    <w:tab w:val="left" w:pos="2834"/>
                    <w:tab w:val="right" w:pos="8838"/>
                  </w:tabs>
                  <w:ind w:left="-11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Organismo Agua y Saneamiento de Toluca</w:t>
                </w:r>
              </w:p>
            </w:tc>
            <w:tc>
              <w:tcPr>
                <w:tcW w:w="1628" w:type="dxa"/>
              </w:tcPr>
              <w:p w14:paraId="0D0A8D85" w14:textId="77777777" w:rsidR="0067277E" w:rsidRDefault="0067277E">
                <w:pPr>
                  <w:tabs>
                    <w:tab w:val="left" w:pos="2834"/>
                    <w:tab w:val="right" w:pos="8838"/>
                  </w:tabs>
                  <w:ind w:left="-114"/>
                  <w:jc w:val="both"/>
                  <w:rPr>
                    <w:rFonts w:ascii="Palatino Linotype" w:eastAsia="Palatino Linotype" w:hAnsi="Palatino Linotype" w:cs="Palatino Linotype"/>
                    <w:sz w:val="22"/>
                    <w:szCs w:val="22"/>
                  </w:rPr>
                </w:pPr>
              </w:p>
            </w:tc>
          </w:tr>
          <w:tr w:rsidR="0067277E" w14:paraId="18CCA32A" w14:textId="77777777">
            <w:trPr>
              <w:trHeight w:val="432"/>
            </w:trPr>
            <w:tc>
              <w:tcPr>
                <w:tcW w:w="3177" w:type="dxa"/>
              </w:tcPr>
              <w:p w14:paraId="072B1C7C" w14:textId="77777777" w:rsidR="0067277E" w:rsidRDefault="006B5461">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835" w:type="dxa"/>
              </w:tcPr>
              <w:p w14:paraId="1BF06E4E" w14:textId="77777777" w:rsidR="0067277E" w:rsidRDefault="006B5461">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1628" w:type="dxa"/>
              </w:tcPr>
              <w:p w14:paraId="71C47515" w14:textId="77777777" w:rsidR="0067277E" w:rsidRDefault="0067277E">
                <w:pPr>
                  <w:tabs>
                    <w:tab w:val="right" w:pos="8838"/>
                  </w:tabs>
                  <w:ind w:left="-114" w:right="-105"/>
                  <w:jc w:val="both"/>
                  <w:rPr>
                    <w:rFonts w:ascii="Palatino Linotype" w:eastAsia="Palatino Linotype" w:hAnsi="Palatino Linotype" w:cs="Palatino Linotype"/>
                    <w:sz w:val="22"/>
                    <w:szCs w:val="22"/>
                  </w:rPr>
                </w:pPr>
              </w:p>
            </w:tc>
          </w:tr>
        </w:tbl>
        <w:p w14:paraId="7D9C3189" w14:textId="77777777" w:rsidR="0067277E" w:rsidRDefault="0067277E">
          <w:pPr>
            <w:tabs>
              <w:tab w:val="right" w:pos="8838"/>
            </w:tabs>
            <w:spacing w:line="256" w:lineRule="auto"/>
            <w:ind w:left="-28"/>
            <w:jc w:val="both"/>
            <w:rPr>
              <w:rFonts w:ascii="Arial" w:eastAsia="Arial" w:hAnsi="Arial" w:cs="Arial"/>
              <w:b/>
              <w:sz w:val="22"/>
              <w:szCs w:val="22"/>
            </w:rPr>
          </w:pPr>
        </w:p>
      </w:tc>
    </w:tr>
  </w:tbl>
  <w:p w14:paraId="6D035FC1" w14:textId="77777777" w:rsidR="0067277E" w:rsidRDefault="006B5461">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14:anchorId="74D613EC" wp14:editId="53C74875">
          <wp:simplePos x="0" y="0"/>
          <wp:positionH relativeFrom="margin">
            <wp:posOffset>-1153159</wp:posOffset>
          </wp:positionH>
          <wp:positionV relativeFrom="margin">
            <wp:posOffset>-1539239</wp:posOffset>
          </wp:positionV>
          <wp:extent cx="7835900" cy="1020381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r>
      <w:rPr>
        <w:rFonts w:ascii="Garamond" w:eastAsia="Garamond" w:hAnsi="Garamond" w:cs="Garamond"/>
        <w:color w:val="000000"/>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8946" w14:textId="77777777" w:rsidR="0067277E" w:rsidRDefault="0067277E">
    <w:pPr>
      <w:widowControl w:val="0"/>
      <w:pBdr>
        <w:top w:val="nil"/>
        <w:left w:val="nil"/>
        <w:bottom w:val="nil"/>
        <w:right w:val="nil"/>
        <w:between w:val="nil"/>
      </w:pBdr>
      <w:spacing w:line="276" w:lineRule="auto"/>
      <w:rPr>
        <w:color w:val="000000"/>
      </w:rPr>
    </w:pPr>
  </w:p>
  <w:tbl>
    <w:tblPr>
      <w:tblStyle w:val="a5"/>
      <w:tblW w:w="10206" w:type="dxa"/>
      <w:tblInd w:w="0" w:type="dxa"/>
      <w:tblLayout w:type="fixed"/>
      <w:tblLook w:val="0400" w:firstRow="0" w:lastRow="0" w:firstColumn="0" w:lastColumn="0" w:noHBand="0" w:noVBand="1"/>
    </w:tblPr>
    <w:tblGrid>
      <w:gridCol w:w="2268"/>
      <w:gridCol w:w="7938"/>
    </w:tblGrid>
    <w:tr w:rsidR="0067277E" w14:paraId="0FFCF112" w14:textId="77777777">
      <w:trPr>
        <w:trHeight w:val="1435"/>
      </w:trPr>
      <w:tc>
        <w:tcPr>
          <w:tcW w:w="2268" w:type="dxa"/>
        </w:tcPr>
        <w:p w14:paraId="1B142D6E" w14:textId="77777777" w:rsidR="0067277E" w:rsidRDefault="0067277E">
          <w:pPr>
            <w:tabs>
              <w:tab w:val="right" w:pos="4273"/>
            </w:tabs>
            <w:spacing w:line="256" w:lineRule="auto"/>
            <w:rPr>
              <w:rFonts w:ascii="Garamond" w:eastAsia="Garamond" w:hAnsi="Garamond" w:cs="Garamond"/>
              <w:sz w:val="22"/>
              <w:szCs w:val="22"/>
            </w:rPr>
          </w:pPr>
        </w:p>
      </w:tc>
      <w:tc>
        <w:tcPr>
          <w:tcW w:w="7938" w:type="dxa"/>
        </w:tcPr>
        <w:p w14:paraId="701F971F" w14:textId="77777777" w:rsidR="0067277E" w:rsidRDefault="0067277E">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6"/>
            <w:tblW w:w="6795" w:type="dxa"/>
            <w:tblInd w:w="891" w:type="dxa"/>
            <w:tblBorders>
              <w:top w:val="nil"/>
              <w:left w:val="nil"/>
              <w:bottom w:val="nil"/>
              <w:right w:val="nil"/>
              <w:insideH w:val="nil"/>
              <w:insideV w:val="nil"/>
            </w:tblBorders>
            <w:tblLayout w:type="fixed"/>
            <w:tblLook w:val="0400" w:firstRow="0" w:lastRow="0" w:firstColumn="0" w:lastColumn="0" w:noHBand="0" w:noVBand="1"/>
          </w:tblPr>
          <w:tblGrid>
            <w:gridCol w:w="2785"/>
            <w:gridCol w:w="2885"/>
            <w:gridCol w:w="1125"/>
          </w:tblGrid>
          <w:tr w:rsidR="0067277E" w14:paraId="64258D45" w14:textId="77777777">
            <w:trPr>
              <w:gridAfter w:val="1"/>
              <w:wAfter w:w="1125" w:type="dxa"/>
              <w:trHeight w:val="132"/>
            </w:trPr>
            <w:tc>
              <w:tcPr>
                <w:tcW w:w="2785" w:type="dxa"/>
              </w:tcPr>
              <w:p w14:paraId="06F56904" w14:textId="77777777" w:rsidR="0067277E" w:rsidRDefault="006B5461">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885" w:type="dxa"/>
              </w:tcPr>
              <w:p w14:paraId="0FCA6F89" w14:textId="77777777" w:rsidR="0067277E" w:rsidRDefault="006B546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06541/INFOEM/IP/RR/2024 y acumulados</w:t>
                </w:r>
              </w:p>
            </w:tc>
          </w:tr>
          <w:tr w:rsidR="0067277E" w14:paraId="29172832" w14:textId="77777777">
            <w:trPr>
              <w:gridAfter w:val="1"/>
              <w:wAfter w:w="1125" w:type="dxa"/>
              <w:trHeight w:val="132"/>
            </w:trPr>
            <w:tc>
              <w:tcPr>
                <w:tcW w:w="2785" w:type="dxa"/>
              </w:tcPr>
              <w:p w14:paraId="0FA97A3E" w14:textId="77777777" w:rsidR="0067277E" w:rsidRDefault="006B546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885" w:type="dxa"/>
              </w:tcPr>
              <w:p w14:paraId="73C35EC2" w14:textId="7A72B681" w:rsidR="0067277E" w:rsidRDefault="008D65B6">
                <w:pPr>
                  <w:tabs>
                    <w:tab w:val="left" w:pos="3122"/>
                    <w:tab w:val="right" w:pos="8838"/>
                  </w:tabs>
                  <w:ind w:left="-74" w:right="-105"/>
                  <w:jc w:val="both"/>
                  <w:rPr>
                    <w:rFonts w:ascii="Palatino Linotype" w:eastAsia="Palatino Linotype" w:hAnsi="Palatino Linotype" w:cs="Palatino Linotype"/>
                    <w:sz w:val="22"/>
                    <w:szCs w:val="22"/>
                  </w:rPr>
                </w:pPr>
                <w:r w:rsidRPr="008D65B6">
                  <w:rPr>
                    <w:rFonts w:ascii="Palatino Linotype" w:eastAsia="Palatino Linotype" w:hAnsi="Palatino Linotype" w:cs="Palatino Linotype"/>
                    <w:sz w:val="22"/>
                    <w:szCs w:val="22"/>
                    <w:highlight w:val="black"/>
                  </w:rPr>
                  <w:t>XXXXXXXXX</w:t>
                </w:r>
              </w:p>
            </w:tc>
          </w:tr>
          <w:tr w:rsidR="0067277E" w14:paraId="4004C46E" w14:textId="77777777">
            <w:trPr>
              <w:gridAfter w:val="1"/>
              <w:wAfter w:w="1125" w:type="dxa"/>
              <w:trHeight w:val="261"/>
            </w:trPr>
            <w:tc>
              <w:tcPr>
                <w:tcW w:w="2785" w:type="dxa"/>
              </w:tcPr>
              <w:p w14:paraId="786DD968" w14:textId="77777777" w:rsidR="0067277E" w:rsidRDefault="006B546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885" w:type="dxa"/>
              </w:tcPr>
              <w:p w14:paraId="293A636B" w14:textId="77777777" w:rsidR="0067277E" w:rsidRDefault="006B5461">
                <w:pPr>
                  <w:tabs>
                    <w:tab w:val="left" w:pos="2834"/>
                    <w:tab w:val="right" w:pos="8838"/>
                  </w:tabs>
                  <w:ind w:left="-74"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Agua y Saneamiento de Toluca</w:t>
                </w:r>
              </w:p>
            </w:tc>
          </w:tr>
          <w:tr w:rsidR="0067277E" w14:paraId="30B4B292" w14:textId="77777777">
            <w:trPr>
              <w:trHeight w:val="261"/>
            </w:trPr>
            <w:tc>
              <w:tcPr>
                <w:tcW w:w="2785" w:type="dxa"/>
              </w:tcPr>
              <w:p w14:paraId="11F09185" w14:textId="77777777" w:rsidR="0067277E" w:rsidRDefault="006B546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010" w:type="dxa"/>
                <w:gridSpan w:val="2"/>
              </w:tcPr>
              <w:p w14:paraId="550B61D3" w14:textId="77777777" w:rsidR="0067277E" w:rsidRDefault="006B546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F33597E" w14:textId="77777777" w:rsidR="0067277E" w:rsidRDefault="0067277E">
          <w:pPr>
            <w:tabs>
              <w:tab w:val="right" w:pos="8838"/>
            </w:tabs>
            <w:spacing w:line="256" w:lineRule="auto"/>
            <w:ind w:left="-28"/>
            <w:jc w:val="both"/>
            <w:rPr>
              <w:rFonts w:ascii="Arial" w:eastAsia="Arial" w:hAnsi="Arial" w:cs="Arial"/>
              <w:b/>
              <w:sz w:val="22"/>
              <w:szCs w:val="22"/>
            </w:rPr>
          </w:pPr>
        </w:p>
      </w:tc>
    </w:tr>
  </w:tbl>
  <w:p w14:paraId="75B8FF26" w14:textId="77777777" w:rsidR="0067277E" w:rsidRDefault="00C90172">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w14:anchorId="1F33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6.75pt;margin-top:-119.85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659"/>
    <w:multiLevelType w:val="multilevel"/>
    <w:tmpl w:val="F4D4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813D77"/>
    <w:multiLevelType w:val="multilevel"/>
    <w:tmpl w:val="7F3A6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5D15B1"/>
    <w:multiLevelType w:val="multilevel"/>
    <w:tmpl w:val="BEA2E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7E"/>
    <w:rsid w:val="00212048"/>
    <w:rsid w:val="0023531D"/>
    <w:rsid w:val="002C6CAB"/>
    <w:rsid w:val="005B6497"/>
    <w:rsid w:val="0067277E"/>
    <w:rsid w:val="006B5461"/>
    <w:rsid w:val="0085328D"/>
    <w:rsid w:val="008D65B6"/>
    <w:rsid w:val="00A616C1"/>
    <w:rsid w:val="00BB7291"/>
    <w:rsid w:val="00C90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4CA19A"/>
  <w15:docId w15:val="{34CDB59A-B2D1-45BB-B3F8-3BDE7F2D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1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A601A"/>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A601A"/>
    <w:pPr>
      <w:ind w:left="720"/>
      <w:contextualSpacing/>
    </w:pPr>
    <w:rPr>
      <w:rFonts w:ascii="Century Gothic" w:hAnsi="Century Gothic"/>
      <w:kern w:val="2"/>
      <w:sz w:val="22"/>
      <w:szCs w:val="24"/>
    </w:rPr>
  </w:style>
  <w:style w:type="table" w:styleId="Tablaconcuadrcula">
    <w:name w:val="Table Grid"/>
    <w:basedOn w:val="Tablanormal"/>
    <w:uiPriority w:val="39"/>
    <w:rsid w:val="009A601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601A"/>
    <w:pPr>
      <w:tabs>
        <w:tab w:val="center" w:pos="4419"/>
        <w:tab w:val="right" w:pos="8838"/>
      </w:tabs>
    </w:pPr>
  </w:style>
  <w:style w:type="character" w:customStyle="1" w:styleId="EncabezadoCar">
    <w:name w:val="Encabezado Car"/>
    <w:basedOn w:val="Fuentedeprrafopredeter"/>
    <w:link w:val="Encabezado"/>
    <w:uiPriority w:val="99"/>
    <w:rsid w:val="009A601A"/>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9A601A"/>
    <w:pPr>
      <w:tabs>
        <w:tab w:val="center" w:pos="4419"/>
        <w:tab w:val="right" w:pos="8838"/>
      </w:tabs>
    </w:pPr>
  </w:style>
  <w:style w:type="character" w:customStyle="1" w:styleId="PiedepginaCar">
    <w:name w:val="Pie de página Car"/>
    <w:basedOn w:val="Fuentedeprrafopredeter"/>
    <w:link w:val="Piedepgina"/>
    <w:uiPriority w:val="99"/>
    <w:rsid w:val="009A601A"/>
    <w:rPr>
      <w:rFonts w:ascii="Times New Roman" w:eastAsia="Times New Roman" w:hAnsi="Times New Roman" w:cs="Times New Roman"/>
      <w:kern w:val="0"/>
      <w:sz w:val="20"/>
      <w:szCs w:val="20"/>
      <w:lang w:eastAsia="es-ES"/>
    </w:rPr>
  </w:style>
  <w:style w:type="character" w:styleId="Refdecomentario">
    <w:name w:val="annotation reference"/>
    <w:basedOn w:val="Fuentedeprrafopredeter"/>
    <w:uiPriority w:val="99"/>
    <w:semiHidden/>
    <w:unhideWhenUsed/>
    <w:rsid w:val="009A601A"/>
    <w:rPr>
      <w:sz w:val="16"/>
      <w:szCs w:val="16"/>
    </w:rPr>
  </w:style>
  <w:style w:type="paragraph" w:styleId="Textocomentario">
    <w:name w:val="annotation text"/>
    <w:basedOn w:val="Normal"/>
    <w:link w:val="TextocomentarioCar"/>
    <w:uiPriority w:val="99"/>
    <w:semiHidden/>
    <w:unhideWhenUsed/>
    <w:rsid w:val="009A601A"/>
  </w:style>
  <w:style w:type="character" w:customStyle="1" w:styleId="TextocomentarioCar">
    <w:name w:val="Texto comentario Car"/>
    <w:basedOn w:val="Fuentedeprrafopredeter"/>
    <w:link w:val="Textocomentario"/>
    <w:uiPriority w:val="99"/>
    <w:semiHidden/>
    <w:rsid w:val="009A601A"/>
    <w:rPr>
      <w:rFonts w:ascii="Times New Roman" w:eastAsia="Times New Roman" w:hAnsi="Times New Roman"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A601A"/>
    <w:rPr>
      <w:b/>
      <w:bCs/>
    </w:rPr>
  </w:style>
  <w:style w:type="character" w:customStyle="1" w:styleId="AsuntodelcomentarioCar">
    <w:name w:val="Asunto del comentario Car"/>
    <w:basedOn w:val="TextocomentarioCar"/>
    <w:link w:val="Asuntodelcomentario"/>
    <w:uiPriority w:val="99"/>
    <w:semiHidden/>
    <w:rsid w:val="009A601A"/>
    <w:rPr>
      <w:rFonts w:ascii="Times New Roman" w:eastAsia="Times New Roman" w:hAnsi="Times New Roman" w:cs="Times New Roman"/>
      <w:b/>
      <w:bCs/>
      <w:kern w:val="0"/>
      <w:sz w:val="20"/>
      <w:szCs w:val="20"/>
      <w:lang w:eastAsia="es-ES"/>
    </w:rPr>
  </w:style>
  <w:style w:type="paragraph" w:styleId="Revisin">
    <w:name w:val="Revision"/>
    <w:hidden/>
    <w:uiPriority w:val="99"/>
    <w:semiHidden/>
    <w:rsid w:val="009A601A"/>
    <w:rPr>
      <w:lang w:eastAsia="es-ES"/>
    </w:rPr>
  </w:style>
  <w:style w:type="character" w:styleId="Hipervnculo">
    <w:name w:val="Hyperlink"/>
    <w:basedOn w:val="Fuentedeprrafopredeter"/>
    <w:uiPriority w:val="99"/>
    <w:unhideWhenUsed/>
    <w:rsid w:val="009A601A"/>
    <w:rPr>
      <w:color w:val="0563C1" w:themeColor="hyperlink"/>
      <w:u w:val="single"/>
    </w:rPr>
  </w:style>
  <w:style w:type="paragraph" w:customStyle="1" w:styleId="Prrafodelista1">
    <w:name w:val="Párrafo de lista1"/>
    <w:basedOn w:val="Normal"/>
    <w:rsid w:val="00C4774A"/>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character" w:customStyle="1" w:styleId="Mencinsinresolver1">
    <w:name w:val="Mención sin resolver1"/>
    <w:basedOn w:val="Fuentedeprrafopredeter"/>
    <w:uiPriority w:val="99"/>
    <w:semiHidden/>
    <w:unhideWhenUsed/>
    <w:rsid w:val="00F55878"/>
    <w:rPr>
      <w:color w:val="605E5C"/>
      <w:shd w:val="clear" w:color="auto" w:fill="E1DFDD"/>
    </w:rPr>
  </w:style>
  <w:style w:type="character" w:styleId="Hipervnculovisitado">
    <w:name w:val="FollowedHyperlink"/>
    <w:basedOn w:val="Fuentedeprrafopredeter"/>
    <w:uiPriority w:val="99"/>
    <w:semiHidden/>
    <w:unhideWhenUsed/>
    <w:rsid w:val="003A10D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RINrKWySD7X/OuXN44OjXHB0w==">CgMxLjAyCGguZ2pkZ3hzMgloLjMwajB6bGw4AHIhMTNlX0xfV2xOY3NFMW82eVp1ZFJNVzZsalJrQl9QZ0c1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5594</Words>
  <Characters>30768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INFOEM000</cp:lastModifiedBy>
  <cp:revision>4</cp:revision>
  <cp:lastPrinted>2024-11-15T05:19:00Z</cp:lastPrinted>
  <dcterms:created xsi:type="dcterms:W3CDTF">2024-11-15T05:18:00Z</dcterms:created>
  <dcterms:modified xsi:type="dcterms:W3CDTF">2024-11-29T17:25:00Z</dcterms:modified>
</cp:coreProperties>
</file>