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CBE" w:rsidRDefault="00935CBE">
      <w:pPr>
        <w:widowControl w:val="0"/>
        <w:pBdr>
          <w:top w:val="nil"/>
          <w:left w:val="nil"/>
          <w:bottom w:val="nil"/>
          <w:right w:val="nil"/>
          <w:between w:val="nil"/>
        </w:pBdr>
        <w:spacing w:line="276" w:lineRule="auto"/>
      </w:pPr>
    </w:p>
    <w:p w:rsidR="00935CBE" w:rsidRDefault="00935CBE">
      <w:pPr>
        <w:spacing w:line="360" w:lineRule="auto"/>
        <w:ind w:right="-28"/>
        <w:jc w:val="both"/>
        <w:rPr>
          <w:rFonts w:ascii="Palatino Linotype" w:eastAsia="Palatino Linotype" w:hAnsi="Palatino Linotype" w:cs="Palatino Linotype"/>
          <w:sz w:val="22"/>
          <w:szCs w:val="22"/>
        </w:rPr>
      </w:pPr>
    </w:p>
    <w:p w:rsidR="00935CBE" w:rsidRDefault="00935CBE">
      <w:pPr>
        <w:spacing w:line="360" w:lineRule="auto"/>
        <w:ind w:right="-28"/>
        <w:jc w:val="both"/>
        <w:rPr>
          <w:rFonts w:ascii="Palatino Linotype" w:eastAsia="Palatino Linotype" w:hAnsi="Palatino Linotype" w:cs="Palatino Linotype"/>
          <w:sz w:val="22"/>
          <w:szCs w:val="22"/>
        </w:rPr>
      </w:pPr>
    </w:p>
    <w:p w:rsidR="00935CBE" w:rsidRDefault="007A245C">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nueve de mayo de dos mil veinticuatro.</w:t>
      </w:r>
    </w:p>
    <w:p w:rsidR="00935CBE" w:rsidRDefault="00935CBE">
      <w:pPr>
        <w:spacing w:line="360" w:lineRule="auto"/>
        <w:ind w:right="-28"/>
        <w:jc w:val="both"/>
        <w:rPr>
          <w:rFonts w:ascii="Palatino Linotype" w:eastAsia="Palatino Linotype" w:hAnsi="Palatino Linotype" w:cs="Palatino Linotype"/>
          <w:sz w:val="22"/>
          <w:szCs w:val="22"/>
        </w:rPr>
      </w:pPr>
    </w:p>
    <w:p w:rsidR="00935CBE" w:rsidRDefault="007A245C">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r>
        <w:rPr>
          <w:rFonts w:ascii="Palatino Linotype" w:eastAsia="Palatino Linotype" w:hAnsi="Palatino Linotype" w:cs="Palatino Linotype"/>
          <w:b/>
          <w:sz w:val="22"/>
          <w:szCs w:val="22"/>
        </w:rPr>
        <w:t>07961/INFOEM/IP/RR/2023</w:t>
      </w:r>
      <w:r>
        <w:rPr>
          <w:rFonts w:ascii="Palatino Linotype" w:eastAsia="Palatino Linotype" w:hAnsi="Palatino Linotype" w:cs="Palatino Linotype"/>
          <w:sz w:val="22"/>
          <w:szCs w:val="22"/>
        </w:rPr>
        <w:t xml:space="preserve">, interpuesto por </w:t>
      </w:r>
      <w:r w:rsidR="0088101C" w:rsidRPr="0088101C">
        <w:rPr>
          <w:rFonts w:ascii="Palatino Linotype" w:eastAsia="Palatino Linotype" w:hAnsi="Palatino Linotype" w:cs="Palatino Linotype"/>
          <w:b/>
          <w:sz w:val="22"/>
          <w:szCs w:val="22"/>
          <w:highlight w:val="black"/>
        </w:rPr>
        <w:t>XXXXXXXXXX</w:t>
      </w:r>
      <w:r w:rsidRPr="00AF041C">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en lo sucesivo el Recurrente o Particular, en contra de la respuesta del Sujeto Obligado, </w:t>
      </w:r>
      <w:r w:rsidRPr="00AF041C">
        <w:rPr>
          <w:rFonts w:ascii="Palatino Linotype" w:eastAsia="Palatino Linotype" w:hAnsi="Palatino Linotype" w:cs="Palatino Linotype"/>
          <w:b/>
          <w:sz w:val="22"/>
          <w:szCs w:val="22"/>
        </w:rPr>
        <w:t>Sistema Municipal para el Desarrollo Integral de la Familia de Toluca,</w:t>
      </w:r>
      <w:r>
        <w:rPr>
          <w:rFonts w:ascii="Palatino Linotype" w:eastAsia="Palatino Linotype" w:hAnsi="Palatino Linotype" w:cs="Palatino Linotype"/>
          <w:sz w:val="22"/>
          <w:szCs w:val="22"/>
        </w:rPr>
        <w:t xml:space="preserve"> a la solicitud de acceso a la información pública con número de folio</w:t>
      </w:r>
      <w:r>
        <w:rPr>
          <w:rFonts w:ascii="Palatino Linotype" w:eastAsia="Palatino Linotype" w:hAnsi="Palatino Linotype" w:cs="Palatino Linotype"/>
          <w:b/>
          <w:sz w:val="22"/>
          <w:szCs w:val="22"/>
        </w:rPr>
        <w:t xml:space="preserve"> 00422/DIFTOLUCA/IP/2023</w:t>
      </w:r>
      <w:r>
        <w:rPr>
          <w:rFonts w:ascii="Palatino Linotype" w:eastAsia="Palatino Linotype" w:hAnsi="Palatino Linotype" w:cs="Palatino Linotype"/>
          <w:sz w:val="22"/>
          <w:szCs w:val="22"/>
        </w:rPr>
        <w:t>, se emite la presente Resolución, con base en los Antecedentes y Considerandos que se exponen a continuación:</w:t>
      </w:r>
    </w:p>
    <w:p w:rsidR="00935CBE" w:rsidRDefault="00935CBE">
      <w:pPr>
        <w:spacing w:line="360" w:lineRule="auto"/>
        <w:ind w:right="-28"/>
        <w:jc w:val="both"/>
        <w:rPr>
          <w:rFonts w:ascii="Palatino Linotype" w:eastAsia="Palatino Linotype" w:hAnsi="Palatino Linotype" w:cs="Palatino Linotype"/>
          <w:b/>
          <w:color w:val="0D0D0D"/>
          <w:sz w:val="22"/>
          <w:szCs w:val="22"/>
        </w:rPr>
      </w:pPr>
    </w:p>
    <w:p w:rsidR="00935CBE" w:rsidRDefault="007A245C">
      <w:pPr>
        <w:tabs>
          <w:tab w:val="center" w:pos="4522"/>
          <w:tab w:val="left" w:pos="7245"/>
          <w:tab w:val="right" w:pos="9044"/>
        </w:tabs>
        <w:spacing w:line="360" w:lineRule="auto"/>
        <w:ind w:right="-28"/>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 N T E C E D E N T E S</w:t>
      </w:r>
    </w:p>
    <w:p w:rsidR="00935CBE" w:rsidRDefault="00935CBE">
      <w:pPr>
        <w:tabs>
          <w:tab w:val="center" w:pos="4522"/>
          <w:tab w:val="left" w:pos="7245"/>
          <w:tab w:val="right" w:pos="9044"/>
        </w:tabs>
        <w:spacing w:line="360" w:lineRule="auto"/>
        <w:ind w:right="-28"/>
        <w:rPr>
          <w:rFonts w:ascii="Palatino Linotype" w:eastAsia="Palatino Linotype" w:hAnsi="Palatino Linotype" w:cs="Palatino Linotype"/>
          <w:b/>
          <w:sz w:val="22"/>
          <w:szCs w:val="22"/>
        </w:rPr>
      </w:pPr>
    </w:p>
    <w:p w:rsidR="00935CBE" w:rsidRDefault="007A245C">
      <w:pPr>
        <w:pBdr>
          <w:top w:val="nil"/>
          <w:left w:val="nil"/>
          <w:bottom w:val="nil"/>
          <w:right w:val="nil"/>
          <w:between w:val="nil"/>
        </w:pBdr>
        <w:tabs>
          <w:tab w:val="left" w:pos="567"/>
        </w:tabs>
        <w:spacing w:line="360" w:lineRule="auto"/>
        <w:ind w:right="-2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 Presentación de la solicitud de información</w:t>
      </w:r>
    </w:p>
    <w:p w:rsidR="00935CBE" w:rsidRDefault="00935CBE">
      <w:pPr>
        <w:pBdr>
          <w:top w:val="nil"/>
          <w:left w:val="nil"/>
          <w:bottom w:val="nil"/>
          <w:right w:val="nil"/>
          <w:between w:val="nil"/>
        </w:pBdr>
        <w:tabs>
          <w:tab w:val="left" w:pos="1050"/>
        </w:tabs>
        <w:spacing w:line="360" w:lineRule="auto"/>
        <w:ind w:right="-28"/>
        <w:jc w:val="both"/>
        <w:rPr>
          <w:rFonts w:ascii="Palatino Linotype" w:eastAsia="Palatino Linotype" w:hAnsi="Palatino Linotype" w:cs="Palatino Linotype"/>
          <w:color w:val="000000"/>
          <w:sz w:val="22"/>
          <w:szCs w:val="22"/>
        </w:rPr>
      </w:pPr>
    </w:p>
    <w:p w:rsidR="00935CBE" w:rsidRDefault="007A245C">
      <w:pPr>
        <w:tabs>
          <w:tab w:val="left" w:pos="4667"/>
        </w:tabs>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sz w:val="22"/>
          <w:szCs w:val="22"/>
        </w:rPr>
        <w:t>Con fecha nueve de noviembre de dos mil veintitrés, el Particular presentó una solicitud de acceso a la información pública, a través del Sistema de Acceso a la Información Mexiquense en adelante SAIMEX, ante el Sistema Municipal para el Desarrollo Integral de la Familia de Toluca, en los siguientes términos:</w:t>
      </w:r>
    </w:p>
    <w:p w:rsidR="00935CBE" w:rsidRDefault="00935CBE">
      <w:pPr>
        <w:tabs>
          <w:tab w:val="left" w:pos="4667"/>
        </w:tabs>
        <w:spacing w:line="360" w:lineRule="auto"/>
        <w:ind w:left="567" w:right="567"/>
        <w:jc w:val="both"/>
        <w:rPr>
          <w:rFonts w:ascii="Palatino Linotype" w:eastAsia="Palatino Linotype" w:hAnsi="Palatino Linotype" w:cs="Palatino Linotype"/>
          <w:b/>
          <w:i/>
        </w:rPr>
      </w:pPr>
    </w:p>
    <w:p w:rsidR="00935CBE" w:rsidRDefault="007A245C">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“DESCRIPCIÓN CLARA Y PRECISA DE LA INFORMACIÓN SOLICITADA:</w:t>
      </w:r>
    </w:p>
    <w:p w:rsidR="00935CBE" w:rsidRDefault="007A245C">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lastRenderedPageBreak/>
        <w:t>buenas tardes solicitamos el nombre de los adultos mayores y personas con discapacidad que asistieron en asistiendo en lugares preferentes o vip de los conciertos estelares de la feria del alfeñique de este año</w:t>
      </w:r>
      <w:r>
        <w:rPr>
          <w:rFonts w:ascii="Palatino Linotype" w:eastAsia="Palatino Linotype" w:hAnsi="Palatino Linotype" w:cs="Palatino Linotype"/>
          <w:i/>
        </w:rPr>
        <w:t xml:space="preserve">” </w:t>
      </w:r>
      <w:r>
        <w:rPr>
          <w:rFonts w:ascii="Palatino Linotype" w:eastAsia="Palatino Linotype" w:hAnsi="Palatino Linotype" w:cs="Palatino Linotype"/>
        </w:rPr>
        <w:t>(</w:t>
      </w:r>
      <w:r>
        <w:rPr>
          <w:rFonts w:ascii="Palatino Linotype" w:eastAsia="Palatino Linotype" w:hAnsi="Palatino Linotype" w:cs="Palatino Linotype"/>
          <w:i/>
        </w:rPr>
        <w:t>Sic</w:t>
      </w:r>
      <w:r>
        <w:rPr>
          <w:rFonts w:ascii="Palatino Linotype" w:eastAsia="Palatino Linotype" w:hAnsi="Palatino Linotype" w:cs="Palatino Linotype"/>
        </w:rPr>
        <w:t>).</w:t>
      </w:r>
    </w:p>
    <w:p w:rsidR="00935CBE" w:rsidRDefault="007A245C">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“Modalidad de Entrega:   </w:t>
      </w:r>
    </w:p>
    <w:p w:rsidR="00935CBE" w:rsidRDefault="007A245C">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 través del SAIMEX.”</w:t>
      </w:r>
    </w:p>
    <w:p w:rsidR="00935CBE" w:rsidRDefault="00935CBE">
      <w:pPr>
        <w:tabs>
          <w:tab w:val="left" w:pos="4667"/>
        </w:tabs>
        <w:spacing w:line="360" w:lineRule="auto"/>
        <w:ind w:right="567"/>
        <w:jc w:val="both"/>
        <w:rPr>
          <w:rFonts w:ascii="Palatino Linotype" w:eastAsia="Palatino Linotype" w:hAnsi="Palatino Linotype" w:cs="Palatino Linotype"/>
          <w:b/>
          <w:sz w:val="22"/>
          <w:szCs w:val="22"/>
        </w:rPr>
      </w:pPr>
      <w:bookmarkStart w:id="0" w:name="_heading=h.gjdgxs" w:colFirst="0" w:colLast="0"/>
      <w:bookmarkEnd w:id="0"/>
    </w:p>
    <w:p w:rsidR="00935CBE" w:rsidRDefault="007A245C">
      <w:pPr>
        <w:tabs>
          <w:tab w:val="left" w:pos="4667"/>
        </w:tabs>
        <w:spacing w:line="360" w:lineRule="auto"/>
        <w:ind w:righ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II. Respuesta del Sujeto Obligado</w:t>
      </w:r>
    </w:p>
    <w:p w:rsidR="00935CBE" w:rsidRDefault="00935CBE">
      <w:pPr>
        <w:tabs>
          <w:tab w:val="left" w:pos="4667"/>
        </w:tabs>
        <w:spacing w:line="360" w:lineRule="auto"/>
        <w:ind w:right="567"/>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catorce de noviembre de dos mil veintitrés, el Sujeto Obligado, buscó atender a la solicitud del Particular y remitió la siguiente información:</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tabs>
          <w:tab w:val="left" w:pos="4667"/>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rsidR="00935CBE" w:rsidRDefault="007A245C">
      <w:pPr>
        <w:tabs>
          <w:tab w:val="left" w:pos="4667"/>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información relativa a los eventos de su interés no obra en poder de este Sujeto Obligado</w:t>
      </w:r>
    </w:p>
    <w:p w:rsidR="00935CBE" w:rsidRDefault="007A245C">
      <w:pPr>
        <w:tabs>
          <w:tab w:val="left" w:pos="4667"/>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bookmarkStart w:id="1" w:name="_GoBack"/>
      <w:bookmarkEnd w:id="1"/>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esta respuesta, adjuntó un documento por el cual, hizo entrega de la siguiente información:</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R_SS_422.PDF </w:t>
      </w:r>
      <w:r>
        <w:rPr>
          <w:rFonts w:ascii="Palatino Linotype" w:eastAsia="Palatino Linotype" w:hAnsi="Palatino Linotype" w:cs="Palatino Linotype"/>
          <w:sz w:val="22"/>
          <w:szCs w:val="22"/>
        </w:rPr>
        <w:t xml:space="preserve">Archivo en formato PDF, que contiene en una página, el oficio número </w:t>
      </w:r>
      <w:r>
        <w:rPr>
          <w:rFonts w:ascii="Palatino Linotype" w:eastAsia="Palatino Linotype" w:hAnsi="Palatino Linotype" w:cs="Palatino Linotype"/>
          <w:b/>
          <w:sz w:val="22"/>
          <w:szCs w:val="22"/>
        </w:rPr>
        <w:t xml:space="preserve">200B10200/1147/2023, </w:t>
      </w:r>
      <w:r>
        <w:rPr>
          <w:rFonts w:ascii="Palatino Linotype" w:eastAsia="Palatino Linotype" w:hAnsi="Palatino Linotype" w:cs="Palatino Linotype"/>
          <w:sz w:val="22"/>
          <w:szCs w:val="22"/>
        </w:rPr>
        <w:t xml:space="preserve">de fecha catorce de noviembre de dos mil veintitrés, emitido por el Titular de la Unidad de Transparencia y Titular de la Unidad de Información, Planeación, Programación y Evaluación del Sistema Municipal DIF de Toluca, a través del cual informó lo siguiente: </w:t>
      </w:r>
    </w:p>
    <w:p w:rsidR="00935CBE" w:rsidRDefault="00935CBE">
      <w:pPr>
        <w:tabs>
          <w:tab w:val="left" w:pos="4667"/>
        </w:tabs>
        <w:spacing w:line="360" w:lineRule="auto"/>
        <w:ind w:left="567" w:right="567"/>
        <w:jc w:val="both"/>
        <w:rPr>
          <w:rFonts w:ascii="Palatino Linotype" w:eastAsia="Palatino Linotype" w:hAnsi="Palatino Linotype" w:cs="Palatino Linotype"/>
          <w:i/>
          <w:color w:val="000000"/>
        </w:rPr>
      </w:pPr>
    </w:p>
    <w:p w:rsidR="00935CBE" w:rsidRDefault="007A245C">
      <w:pPr>
        <w:tabs>
          <w:tab w:val="left" w:pos="4667"/>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rsidR="00935CBE" w:rsidRDefault="007A245C">
      <w:pPr>
        <w:tabs>
          <w:tab w:val="left" w:pos="4667"/>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me permito informar a usted que, la Feria y Festival Cultural Internacional Alfeñique Toluca 2023, fue organizado por el Ayuntamiento de Toluca. </w:t>
      </w:r>
    </w:p>
    <w:p w:rsidR="00935CBE" w:rsidRDefault="007A245C">
      <w:pPr>
        <w:tabs>
          <w:tab w:val="left" w:pos="4667"/>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este sentido, la información relativa a los eventos de su interés no obra en poder de este sujeto obligado, ya que como se documenta en las redes sociales, anuncios, carteleras y demás instrumentos de difusión, la captura y entrega del boletaje de los conciertos estelares de los eventos en cuestión, corrió a cargo del Ayuntamiento de Toluca. </w:t>
      </w:r>
    </w:p>
    <w:p w:rsidR="00935CBE" w:rsidRDefault="007A245C">
      <w:pPr>
        <w:tabs>
          <w:tab w:val="left" w:pos="4667"/>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935CBE" w:rsidRDefault="007A245C">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III. Interposición del Recurso de Revisión</w:t>
      </w:r>
    </w:p>
    <w:p w:rsidR="00935CBE" w:rsidRDefault="00935CBE">
      <w:pPr>
        <w:spacing w:line="360" w:lineRule="auto"/>
        <w:ind w:right="-28"/>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quince de noviembre de dos mil veintitrés, se recibió en este Instituto, a través del Sistema de Acceso a la Información Mexiquense (SAIMEX), el Recurso de Revisión interpuesto por la parte Recurrente, en contra de la respuesta del Sujeto Obligado, en los siguientes términos:</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tabs>
          <w:tab w:val="left" w:pos="4667"/>
        </w:tabs>
        <w:spacing w:line="360" w:lineRule="auto"/>
        <w:ind w:left="567" w:right="567"/>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rsidR="00935CBE" w:rsidRDefault="007A245C">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“No entregan informacion y fui claro porque ellos entregaban los boletos para personas discapacitadas en las oficinas del dif toluca y cuando llegábamos ellos los llevaban hasta su lugar esconden información” (</w:t>
      </w:r>
      <w:r>
        <w:rPr>
          <w:rFonts w:ascii="Palatino Linotype" w:eastAsia="Palatino Linotype" w:hAnsi="Palatino Linotype" w:cs="Palatino Linotype"/>
        </w:rPr>
        <w:t>Sic).</w:t>
      </w:r>
    </w:p>
    <w:p w:rsidR="00935CBE" w:rsidRDefault="00935CBE">
      <w:pPr>
        <w:tabs>
          <w:tab w:val="left" w:pos="4667"/>
        </w:tabs>
        <w:spacing w:line="360" w:lineRule="auto"/>
        <w:ind w:left="567" w:right="567"/>
        <w:jc w:val="both"/>
        <w:rPr>
          <w:rFonts w:ascii="Palatino Linotype" w:eastAsia="Palatino Linotype" w:hAnsi="Palatino Linotype" w:cs="Palatino Linotype"/>
          <w:i/>
        </w:rPr>
      </w:pPr>
    </w:p>
    <w:p w:rsidR="00935CBE" w:rsidRDefault="007A245C">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rsidR="00935CBE" w:rsidRDefault="007A245C">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“No entregan informacion y fui claro porque ellos entregaban los boletos para personas discapacitadas en las oficinas del dif toluca y cuando llegábamos ellos los llevaban hasta su lugar esconden informacion” </w:t>
      </w:r>
      <w:r>
        <w:rPr>
          <w:rFonts w:ascii="Palatino Linotype" w:eastAsia="Palatino Linotype" w:hAnsi="Palatino Linotype" w:cs="Palatino Linotype"/>
        </w:rPr>
        <w:t>(Sic).</w:t>
      </w:r>
    </w:p>
    <w:p w:rsidR="00935CBE" w:rsidRDefault="00935CBE">
      <w:pPr>
        <w:spacing w:line="360" w:lineRule="auto"/>
        <w:ind w:right="-28"/>
        <w:jc w:val="both"/>
        <w:rPr>
          <w:rFonts w:ascii="Palatino Linotype" w:eastAsia="Palatino Linotype" w:hAnsi="Palatino Linotype" w:cs="Palatino Linotype"/>
          <w:i/>
        </w:rPr>
      </w:pPr>
    </w:p>
    <w:p w:rsidR="00935CBE" w:rsidRDefault="007A245C">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IV. Trámite del Recurso de Revisión ante el Instituto</w:t>
      </w:r>
    </w:p>
    <w:p w:rsidR="00935CBE" w:rsidRDefault="00935CBE">
      <w:pPr>
        <w:spacing w:line="360" w:lineRule="auto"/>
        <w:ind w:right="-28"/>
        <w:jc w:val="both"/>
        <w:rPr>
          <w:rFonts w:ascii="Palatino Linotype" w:eastAsia="Palatino Linotype" w:hAnsi="Palatino Linotype" w:cs="Palatino Linotype"/>
          <w:b/>
          <w:sz w:val="22"/>
          <w:szCs w:val="22"/>
        </w:rPr>
      </w:pPr>
    </w:p>
    <w:p w:rsidR="00935CBE" w:rsidRDefault="007A245C">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 Turno del Recurso de Revisión. </w:t>
      </w:r>
      <w:r>
        <w:rPr>
          <w:rFonts w:ascii="Palatino Linotype" w:eastAsia="Palatino Linotype" w:hAnsi="Palatino Linotype" w:cs="Palatino Linotype"/>
          <w:sz w:val="22"/>
          <w:szCs w:val="22"/>
        </w:rPr>
        <w:t xml:space="preserve">El quince de noviembre de dos mil veintitrés, el Sistema de Acceso a la Información Mexiquense (SAIMEX), asignó el número de expediente </w:t>
      </w:r>
      <w:r>
        <w:rPr>
          <w:rFonts w:ascii="Palatino Linotype" w:eastAsia="Palatino Linotype" w:hAnsi="Palatino Linotype" w:cs="Palatino Linotype"/>
          <w:b/>
          <w:sz w:val="22"/>
          <w:szCs w:val="22"/>
        </w:rPr>
        <w:t xml:space="preserve">07961/INFOEM/IP/RR/2023, </w:t>
      </w:r>
      <w:r>
        <w:rPr>
          <w:rFonts w:ascii="Palatino Linotype" w:eastAsia="Palatino Linotype" w:hAnsi="Palatino Linotype" w:cs="Palatino Linotype"/>
          <w:sz w:val="22"/>
          <w:szCs w:val="22"/>
        </w:rPr>
        <w:t xml:space="preserve">al Recurso de Revisión y lo turnó al Comisionado Ponente </w:t>
      </w:r>
      <w:r>
        <w:rPr>
          <w:rFonts w:ascii="Palatino Linotype" w:eastAsia="Palatino Linotype" w:hAnsi="Palatino Linotype" w:cs="Palatino Linotype"/>
          <w:b/>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935CBE" w:rsidRDefault="00935CBE">
      <w:pPr>
        <w:spacing w:line="360" w:lineRule="auto"/>
        <w:ind w:right="-28"/>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b) Admisión del Recurso de Revisión. </w:t>
      </w:r>
      <w:r>
        <w:rPr>
          <w:rFonts w:ascii="Palatino Linotype" w:eastAsia="Palatino Linotype" w:hAnsi="Palatino Linotype" w:cs="Palatino Linotype"/>
          <w:sz w:val="22"/>
          <w:szCs w:val="22"/>
        </w:rPr>
        <w:t>El veintiuno de noviembre de dos mil veintitrés,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veintidós del mismo mes y año, a través del Sistema de Acceso a la Información Mexiquense (SAIMEX), en el que se les otorgó un plazo de siete días hábiles posteriores a la misma, para que manifestaran lo que a su derecho conviniera y formularan alegatos.</w:t>
      </w:r>
    </w:p>
    <w:p w:rsidR="00935CBE" w:rsidRDefault="00935CBE">
      <w:pPr>
        <w:spacing w:line="360" w:lineRule="auto"/>
        <w:ind w:right="-28"/>
        <w:jc w:val="both"/>
        <w:rPr>
          <w:rFonts w:ascii="Palatino Linotype" w:eastAsia="Palatino Linotype" w:hAnsi="Palatino Linotype" w:cs="Palatino Linotype"/>
          <w:b/>
          <w:sz w:val="22"/>
          <w:szCs w:val="22"/>
        </w:rPr>
      </w:pPr>
    </w:p>
    <w:p w:rsidR="00935CBE" w:rsidRDefault="007A245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 Informe Justificado. </w:t>
      </w:r>
      <w:r>
        <w:rPr>
          <w:rFonts w:ascii="Palatino Linotype" w:eastAsia="Palatino Linotype" w:hAnsi="Palatino Linotype" w:cs="Palatino Linotype"/>
          <w:sz w:val="22"/>
          <w:szCs w:val="22"/>
        </w:rPr>
        <w:t>El Sujeto Obligado fue omiso en realizar pronunciamiento alguno que a su derecho convenga, en el plazo por ley contemplado.</w:t>
      </w:r>
    </w:p>
    <w:p w:rsidR="00935CBE" w:rsidRDefault="00935CBE">
      <w:pPr>
        <w:widowControl w:val="0"/>
        <w:spacing w:line="360" w:lineRule="auto"/>
        <w:jc w:val="both"/>
        <w:rPr>
          <w:rFonts w:ascii="Palatino Linotype" w:eastAsia="Palatino Linotype" w:hAnsi="Palatino Linotype" w:cs="Palatino Linotype"/>
          <w:sz w:val="22"/>
          <w:szCs w:val="22"/>
        </w:rPr>
      </w:pPr>
    </w:p>
    <w:p w:rsidR="00935CBE" w:rsidRDefault="007A245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d) Manifestaciones. </w:t>
      </w:r>
      <w:r>
        <w:rPr>
          <w:rFonts w:ascii="Palatino Linotype" w:eastAsia="Palatino Linotype" w:hAnsi="Palatino Linotype" w:cs="Palatino Linotype"/>
          <w:sz w:val="22"/>
          <w:szCs w:val="22"/>
        </w:rPr>
        <w:t>El Particular fue omiso de realizar pronunciamiento alguno que a su derecho convenga, en el plazo por ley contemplado.</w:t>
      </w:r>
    </w:p>
    <w:p w:rsidR="00935CBE" w:rsidRDefault="00935CBE">
      <w:pPr>
        <w:widowControl w:val="0"/>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sz w:val="22"/>
          <w:szCs w:val="22"/>
        </w:rPr>
        <w:t xml:space="preserve">e) Ampliación de plazo para resolver. </w:t>
      </w:r>
      <w:r>
        <w:rPr>
          <w:rFonts w:ascii="Palatino Linotype" w:eastAsia="Palatino Linotype" w:hAnsi="Palatino Linotype" w:cs="Palatino Linotype"/>
          <w:color w:val="000000"/>
          <w:sz w:val="22"/>
          <w:szCs w:val="22"/>
        </w:rPr>
        <w:t>El diecisiete de enero de dos mil veinticuatro, el Comisionado Ponente, con fundamento en lo dispuesto por el artículo 181, párrafo tercero, de la Ley de Transparencia y Acceso a la Información Pública del Estado de México y Municipios, acordó ampliar por un periodo razonable, el plazo para resolver el Recurso que nos ocupa; acto que fue notificado a las partes, mediante el SAIMEX, el treinta de abril de dos mil veinticuatro.</w:t>
      </w:r>
    </w:p>
    <w:p w:rsidR="00935CBE" w:rsidRDefault="00935CBE">
      <w:pPr>
        <w:spacing w:line="360" w:lineRule="auto"/>
        <w:jc w:val="both"/>
        <w:rPr>
          <w:rFonts w:ascii="Palatino Linotype" w:eastAsia="Palatino Linotype" w:hAnsi="Palatino Linotype" w:cs="Palatino Linotype"/>
          <w:color w:val="000000"/>
          <w:sz w:val="22"/>
          <w:szCs w:val="22"/>
        </w:rPr>
      </w:pP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935CBE" w:rsidRDefault="00935CBE">
      <w:pPr>
        <w:spacing w:line="360" w:lineRule="auto"/>
        <w:jc w:val="both"/>
        <w:rPr>
          <w:rFonts w:ascii="Palatino Linotype" w:eastAsia="Palatino Linotype" w:hAnsi="Palatino Linotype" w:cs="Palatino Linotype"/>
          <w:color w:val="000000"/>
          <w:sz w:val="22"/>
          <w:szCs w:val="22"/>
        </w:rPr>
      </w:pP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935CBE" w:rsidRDefault="007A245C">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Complejidad del 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w:t>
      </w:r>
    </w:p>
    <w:p w:rsidR="00935CBE" w:rsidRDefault="00935CBE">
      <w:pPr>
        <w:spacing w:line="360" w:lineRule="auto"/>
        <w:ind w:left="720"/>
        <w:jc w:val="both"/>
        <w:rPr>
          <w:rFonts w:ascii="Palatino Linotype" w:eastAsia="Palatino Linotype" w:hAnsi="Palatino Linotype" w:cs="Palatino Linotype"/>
          <w:color w:val="000000"/>
          <w:sz w:val="22"/>
          <w:szCs w:val="22"/>
        </w:rPr>
      </w:pPr>
    </w:p>
    <w:p w:rsidR="00935CBE" w:rsidRDefault="007A245C">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Actividad Procesal del interesado:</w:t>
      </w:r>
      <w:r>
        <w:rPr>
          <w:rFonts w:ascii="Palatino Linotype" w:eastAsia="Palatino Linotype" w:hAnsi="Palatino Linotype" w:cs="Palatino Linotype"/>
          <w:color w:val="000000"/>
          <w:sz w:val="22"/>
          <w:szCs w:val="22"/>
        </w:rPr>
        <w:t xml:space="preserve"> Acciones u omisiones del interesado.</w:t>
      </w:r>
    </w:p>
    <w:p w:rsidR="00935CBE" w:rsidRDefault="00935CBE">
      <w:pPr>
        <w:spacing w:line="360" w:lineRule="auto"/>
        <w:ind w:left="720"/>
        <w:jc w:val="both"/>
        <w:rPr>
          <w:rFonts w:ascii="Palatino Linotype" w:eastAsia="Palatino Linotype" w:hAnsi="Palatino Linotype" w:cs="Palatino Linotype"/>
          <w:color w:val="000000"/>
          <w:sz w:val="22"/>
          <w:szCs w:val="22"/>
        </w:rPr>
      </w:pPr>
    </w:p>
    <w:p w:rsidR="00935CBE" w:rsidRDefault="007A245C">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Conducta de la Autoridad:</w:t>
      </w:r>
      <w:r>
        <w:rPr>
          <w:rFonts w:ascii="Palatino Linotype" w:eastAsia="Palatino Linotype" w:hAnsi="Palatino Linotype" w:cs="Palatino Linotype"/>
          <w:color w:val="000000"/>
          <w:sz w:val="22"/>
          <w:szCs w:val="22"/>
        </w:rPr>
        <w:t xml:space="preserve"> Las Acciones u omisiones realizadas en el procedimiento. Así como si la autoridad actuó con la debida diligencia.</w:t>
      </w:r>
    </w:p>
    <w:p w:rsidR="00935CBE" w:rsidRDefault="00935CBE">
      <w:pPr>
        <w:spacing w:line="360" w:lineRule="auto"/>
        <w:ind w:left="720"/>
        <w:jc w:val="both"/>
        <w:rPr>
          <w:rFonts w:ascii="Palatino Linotype" w:eastAsia="Palatino Linotype" w:hAnsi="Palatino Linotype" w:cs="Palatino Linotype"/>
          <w:color w:val="000000"/>
          <w:sz w:val="22"/>
          <w:szCs w:val="22"/>
        </w:rPr>
      </w:pPr>
    </w:p>
    <w:p w:rsidR="00935CBE" w:rsidRDefault="007A245C">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La afectación generada en la situación jurídica de la persona involucrada en el proceso: </w:t>
      </w:r>
      <w:r>
        <w:rPr>
          <w:rFonts w:ascii="Palatino Linotype" w:eastAsia="Palatino Linotype" w:hAnsi="Palatino Linotype" w:cs="Palatino Linotype"/>
          <w:color w:val="000000"/>
          <w:sz w:val="22"/>
          <w:szCs w:val="22"/>
        </w:rPr>
        <w:t>Violación a sus derechos humanos.</w:t>
      </w:r>
    </w:p>
    <w:p w:rsidR="00935CBE" w:rsidRDefault="00935CBE">
      <w:pPr>
        <w:spacing w:line="360" w:lineRule="auto"/>
        <w:jc w:val="both"/>
        <w:rPr>
          <w:rFonts w:ascii="Palatino Linotype" w:eastAsia="Palatino Linotype" w:hAnsi="Palatino Linotype" w:cs="Palatino Linotype"/>
          <w:color w:val="000000"/>
          <w:sz w:val="22"/>
          <w:szCs w:val="22"/>
        </w:rPr>
      </w:pP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b/>
          <w:color w:val="000000"/>
          <w:sz w:val="22"/>
          <w:szCs w:val="22"/>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color w:val="000000"/>
          <w:sz w:val="22"/>
          <w:szCs w:val="22"/>
        </w:rPr>
        <w:t>, visible en la Gaceta del Seminario Judicial de la Federación con el registro digital 205635.</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35CBE" w:rsidRDefault="00935CBE">
      <w:pPr>
        <w:spacing w:line="360" w:lineRule="auto"/>
        <w:jc w:val="both"/>
        <w:rPr>
          <w:rFonts w:ascii="Palatino Linotype" w:eastAsia="Palatino Linotype" w:hAnsi="Palatino Linotype" w:cs="Palatino Linotype"/>
          <w:color w:val="000000"/>
          <w:sz w:val="22"/>
          <w:szCs w:val="22"/>
        </w:rPr>
      </w:pP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 “PLAZO RAZONABLE PARA RESOLVER. DIMENSIÓN Y EFECTOS DE ESTE CONCEPTO CUANDO SE ADUCE EXCESIVA CARGA DE TRABAJO.”</w:t>
      </w:r>
      <w:r>
        <w:rPr>
          <w:rFonts w:ascii="Palatino Linotype" w:eastAsia="Palatino Linotype" w:hAnsi="Palatino Linotype" w:cs="Palatino Linotype"/>
          <w:color w:val="000000"/>
          <w:sz w:val="22"/>
          <w:szCs w:val="22"/>
        </w:rPr>
        <w:t xml:space="preserve"> consultable en el Seminario Judicial de la Federación y su gaceta, con el registro digital 2002351.</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“PLAZO RAZONABLE PARA RESOLVER. CONCEPTO Y ELEMENTOS QUE LO INTEGRAN A LA LUZ DEL DERECHO INTERNACIONAL DE LOS DERECHOS HUMANOS.”</w:t>
      </w:r>
      <w:r>
        <w:rPr>
          <w:rFonts w:ascii="Palatino Linotype" w:eastAsia="Palatino Linotype" w:hAnsi="Palatino Linotype" w:cs="Palatino Linotype"/>
          <w:color w:val="000000"/>
          <w:sz w:val="22"/>
          <w:szCs w:val="22"/>
        </w:rPr>
        <w:t>, visible en el Seminario Judicial de la Federación y su gaceta, con el registro digital 2002350.</w:t>
      </w:r>
    </w:p>
    <w:p w:rsidR="00935CBE" w:rsidRDefault="00935CBE">
      <w:pPr>
        <w:spacing w:line="360" w:lineRule="auto"/>
        <w:jc w:val="both"/>
        <w:rPr>
          <w:rFonts w:ascii="Palatino Linotype" w:eastAsia="Palatino Linotype" w:hAnsi="Palatino Linotype" w:cs="Palatino Linotype"/>
          <w:color w:val="000000"/>
          <w:sz w:val="22"/>
          <w:szCs w:val="22"/>
        </w:rPr>
      </w:pPr>
    </w:p>
    <w:p w:rsidR="00935CBE" w:rsidRDefault="007A245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p>
    <w:p w:rsidR="00935CBE" w:rsidRDefault="00935CBE">
      <w:pPr>
        <w:spacing w:line="360" w:lineRule="auto"/>
        <w:jc w:val="both"/>
        <w:rPr>
          <w:rFonts w:ascii="Palatino Linotype" w:eastAsia="Palatino Linotype" w:hAnsi="Palatino Linotype" w:cs="Palatino Linotype"/>
          <w:color w:val="000000"/>
          <w:sz w:val="22"/>
          <w:szCs w:val="22"/>
        </w:rPr>
      </w:pPr>
    </w:p>
    <w:p w:rsidR="00935CBE" w:rsidRDefault="007A245C">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f) Cierre de instrucción. </w:t>
      </w:r>
      <w:r>
        <w:rPr>
          <w:rFonts w:ascii="Palatino Linotype" w:eastAsia="Palatino Linotype" w:hAnsi="Palatino Linotype" w:cs="Palatino Linotype"/>
          <w:sz w:val="22"/>
          <w:szCs w:val="22"/>
        </w:rPr>
        <w:t>El veintinueve de abril de dos mil veinticuatro,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al día siguiente, a través del Sistema de Acceso a la Información Mexiquense (SAIMEX).</w:t>
      </w:r>
    </w:p>
    <w:p w:rsidR="00935CBE" w:rsidRDefault="00935CBE">
      <w:pPr>
        <w:spacing w:line="360" w:lineRule="auto"/>
        <w:ind w:right="-28"/>
        <w:jc w:val="both"/>
        <w:rPr>
          <w:rFonts w:ascii="Palatino Linotype" w:eastAsia="Palatino Linotype" w:hAnsi="Palatino Linotype" w:cs="Palatino Linotype"/>
          <w:sz w:val="22"/>
          <w:szCs w:val="22"/>
        </w:rPr>
      </w:pPr>
    </w:p>
    <w:p w:rsidR="00935CBE" w:rsidRDefault="007A245C">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Debido a que fue debidamente sustanciado el expediente electrónico y no existe diligencia pendiente de desahogo, se emite la resolución que conforme a Derecho proceda, de acuerdo con los siguientes:</w:t>
      </w:r>
    </w:p>
    <w:p w:rsidR="00935CBE" w:rsidRDefault="00935CBE">
      <w:pPr>
        <w:spacing w:line="360" w:lineRule="auto"/>
        <w:ind w:right="-28"/>
        <w:jc w:val="both"/>
        <w:rPr>
          <w:rFonts w:ascii="Palatino Linotype" w:eastAsia="Palatino Linotype" w:hAnsi="Palatino Linotype" w:cs="Palatino Linotype"/>
          <w:color w:val="000000"/>
          <w:sz w:val="22"/>
          <w:szCs w:val="22"/>
        </w:rPr>
      </w:pPr>
    </w:p>
    <w:p w:rsidR="00935CBE" w:rsidRDefault="007A245C">
      <w:pP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CONSIDERANDOS</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PRIMERO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sz w:val="22"/>
          <w:szCs w:val="22"/>
        </w:rPr>
        <w:t>Competencia</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artículos 6°, apartado A de la Constitución Política de los Estados Unidos Mexicanos; 5°, párrafos trigésimo segundo, trigésimo tercero,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SEGUNDO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color w:val="000000"/>
          <w:sz w:val="22"/>
          <w:szCs w:val="22"/>
        </w:rPr>
        <w:t>Causales de improcedencia y sobreseimiento</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w:t>
      </w:r>
      <w:r>
        <w:rPr>
          <w:rFonts w:ascii="Palatino Linotype" w:eastAsia="Palatino Linotype" w:hAnsi="Palatino Linotype" w:cs="Palatino Linotype"/>
          <w:b/>
          <w:sz w:val="22"/>
          <w:szCs w:val="22"/>
        </w:rPr>
        <w:t>IMPROCEDENCIA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(Semanario Judicial de la Federación, Quinta Época, 1985, pág. 262),</w:t>
      </w:r>
      <w:r>
        <w:rPr>
          <w:rFonts w:ascii="Palatino Linotype" w:eastAsia="Palatino Linotype" w:hAnsi="Palatino Linotype" w:cs="Palatino Linotype"/>
          <w:sz w:val="22"/>
          <w:szCs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sobreseimiento</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toda vez que no ha quedado por completo sin materia el Recurso de Revisión al rubro, se considera procedente entrar al fondo del presente asunto.</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TERCERO. Determinación de la Controversia</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xml:space="preserve">Una vez realizado el estudio de las constancias que integran el expediente en que se actúa, se desprende que el Particular solicitó </w:t>
      </w:r>
      <w:r>
        <w:rPr>
          <w:rFonts w:ascii="Palatino Linotype" w:eastAsia="Palatino Linotype" w:hAnsi="Palatino Linotype" w:cs="Palatino Linotype"/>
          <w:i/>
          <w:sz w:val="22"/>
          <w:szCs w:val="22"/>
        </w:rPr>
        <w:t>el nombre de los adultos mayores y personas con discapacidad que asistieron en asistiendo en lugares preferentes o vip de los conciertos estelares de la feria del alfeñique de este año.</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el Sujeto Obligado, a través del Titular de la Unidad de Transparencia y Titular de la Unidad de Información, Planeación, Programación y Evaluación del Sistema Municipal DIF de Toluca que la Feria Cultural Internacional Alfeñique Toluca 2023, fue organizado por el Ayuntamiento de Toluca, incluso, toda la difusión, fue hecha, señalando al Ayuntamiento de Toluca como el competente en temas de feria del alfeñique. </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 El Particular, se inconformó de que el Sujeto Obligado, contrario a lo que afirmó, sí cuenta con facultades, pues afirmó que incluso, fue el DIF, quien otorgó el boletaje a adultos mayores y participó para otorgarles los lugares.</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advierte la procedencia del Recurso de Revisión al rubro, en términos de la fracción I, del artículo 179 de la Ley de Transparencia y Acceso a la Información Pública del Estado de México y Municipios, pues nos encontramos ante la negativa a la información solicitada.</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 Marco normativo aplicable en materia de transparencia y acceso a la información pública</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 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Por su parte, la Ley de Transparencia y Acceso a la Información Pública del Estado de México y Municipios (Reglamentaria del artículo 5° de la Constitución Local), establece lo siguiente:</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numPr>
          <w:ilvl w:val="0"/>
          <w:numId w:val="1"/>
        </w:num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artículo 12, que, quienes generen, recopilen, administren, manejen, procesen, archiven o conserven información pública serán responsables de la misma.</w:t>
      </w:r>
    </w:p>
    <w:p w:rsidR="00935CBE" w:rsidRDefault="00935CBE">
      <w:pPr>
        <w:spacing w:line="360" w:lineRule="auto"/>
        <w:ind w:left="567" w:right="539"/>
        <w:jc w:val="both"/>
        <w:rPr>
          <w:rFonts w:ascii="Palatino Linotype" w:eastAsia="Palatino Linotype" w:hAnsi="Palatino Linotype" w:cs="Palatino Linotype"/>
          <w:sz w:val="22"/>
          <w:szCs w:val="22"/>
        </w:rPr>
      </w:pPr>
    </w:p>
    <w:p w:rsidR="00935CBE" w:rsidRDefault="007A245C">
      <w:pPr>
        <w:numPr>
          <w:ilvl w:val="0"/>
          <w:numId w:val="1"/>
        </w:num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935CBE" w:rsidRDefault="00935CBE">
      <w:pPr>
        <w:spacing w:line="360" w:lineRule="auto"/>
        <w:ind w:left="567" w:right="539"/>
        <w:jc w:val="both"/>
        <w:rPr>
          <w:rFonts w:ascii="Palatino Linotype" w:eastAsia="Palatino Linotype" w:hAnsi="Palatino Linotype" w:cs="Palatino Linotype"/>
          <w:sz w:val="22"/>
          <w:szCs w:val="22"/>
        </w:rPr>
      </w:pPr>
    </w:p>
    <w:p w:rsidR="00935CBE" w:rsidRDefault="007A245C">
      <w:pPr>
        <w:numPr>
          <w:ilvl w:val="0"/>
          <w:numId w:val="1"/>
        </w:numPr>
        <w:pBdr>
          <w:top w:val="nil"/>
          <w:left w:val="nil"/>
          <w:bottom w:val="nil"/>
          <w:right w:val="nil"/>
          <w:between w:val="nil"/>
        </w:pBdr>
        <w:spacing w:line="360" w:lineRule="auto"/>
        <w:ind w:left="567"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QUINTO. Estudio de Fondo</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que se ha establecido lo anterior, resulta conducente hacer énfasis en que el requerimiento del ahora Recurrente versa, en requerir información relativa al nombre de los adultos mayores y personas con discapacidad que asistieron a la Feria del Alfeñique 2023, en lugares preferentes o vip de los conciertos estelares.</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el Sujeto Obligado, señaló que esta información no obra en sus archivos, debido a que la información obra en poder del Ayuntamiento de Toluca, quien fue el Organizador de la Feria del Alfeñique a lo que el Particular, generó inconformidad, al señalar que los boletos fueron entregados por el DIF y que incluso su personal, auxilió a los adultos mayores a llegar a su lugar.</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orden de ideas, es necesario señalar que el Particular, se inconformó de que el Sujeto Obligado, participó con el Ayuntamiento de Toluca, para hacer entrega de los boletos a personas de tercera edad y con discapacidades e incluso apoyó a través de los servidores públicos de este Sujeto Obligado, para que pudieran llegar a asientos especiales, afirmación que se realizó de manera unilateral.</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orden de ideas, lo primero que se debe enfatizar que es que toda la publicidad que se realizó señala como responsable del evento a “Toluca” y las notas periodísticas, señalan como responsables del evento al “Ayuntamiento de Toluca”, para lo cual, se reproducen las siguientes imágenes y fragmentos:</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rPr>
      </w:pPr>
      <w:r>
        <w:rPr>
          <w:noProof/>
          <w:lang w:eastAsia="es-MX"/>
        </w:rPr>
        <w:drawing>
          <wp:inline distT="0" distB="0" distL="0" distR="0">
            <wp:extent cx="5742940" cy="25241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5044" b="6783"/>
                    <a:stretch>
                      <a:fillRect/>
                    </a:stretch>
                  </pic:blipFill>
                  <pic:spPr>
                    <a:xfrm>
                      <a:off x="0" y="0"/>
                      <a:ext cx="5742940" cy="2524125"/>
                    </a:xfrm>
                    <a:prstGeom prst="rect">
                      <a:avLst/>
                    </a:prstGeom>
                    <a:ln/>
                  </pic:spPr>
                </pic:pic>
              </a:graphicData>
            </a:graphic>
          </wp:inline>
        </w:drawing>
      </w:r>
    </w:p>
    <w:p w:rsidR="00935CBE" w:rsidRDefault="007A245C">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 xml:space="preserve">(Imagen recuperada el treinta de abril de dos mil veinticuatro a las dieciocho horas con cincuenta minutos de la liga de acceso directo </w:t>
      </w:r>
      <w:hyperlink r:id="rId9">
        <w:r>
          <w:rPr>
            <w:rFonts w:ascii="Palatino Linotype" w:eastAsia="Palatino Linotype" w:hAnsi="Palatino Linotype" w:cs="Palatino Linotype"/>
            <w:color w:val="0563C1"/>
            <w:u w:val="single"/>
          </w:rPr>
          <w:t>https://www.adn40.mx/tiempo-libre/feria-del-alfenique-2023-cartel-completo-fecha-lo-que-debes-saber-del-evento-en-toluca</w:t>
        </w:r>
      </w:hyperlink>
      <w:r>
        <w:rPr>
          <w:rFonts w:ascii="Palatino Linotype" w:eastAsia="Palatino Linotype" w:hAnsi="Palatino Linotype" w:cs="Palatino Linotype"/>
        </w:rPr>
        <w:t>)</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imagen antes reproducida contiene el texto:</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El Ayuntamiento de Toluca ha desvelado el programa de la Feria y Festival Cultural Internacional Alfeñique 2023, una celebración que promete sumergir a los asistentes en una experiencia cultural inigualable. La Feria se llevará a cabo desde el 3 de octubre hasta el 19 de noviembre. Durante este período, los visitantes tendrán la oportunidad de disfrutar de una amplia variedad de actividades relacionados con el Día de Muertos y la rica tradición cultural mexicana. Aquí te proporcionamos todos los detalles que necesitas saber sobre este esperado evento.</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Otro de los medios periodísticos que publicó la información, fue el medio de difusión “El Financiero”, que señaló </w:t>
      </w:r>
      <w:r>
        <w:rPr>
          <w:rFonts w:ascii="Palatino Linotype" w:eastAsia="Palatino Linotype" w:hAnsi="Palatino Linotype" w:cs="Palatino Linotype"/>
        </w:rPr>
        <w:t xml:space="preserve">en la liga de acceso directo </w:t>
      </w:r>
      <w:hyperlink r:id="rId10">
        <w:r>
          <w:rPr>
            <w:rFonts w:ascii="Palatino Linotype" w:eastAsia="Palatino Linotype" w:hAnsi="Palatino Linotype" w:cs="Palatino Linotype"/>
            <w:color w:val="0563C1"/>
            <w:u w:val="single"/>
          </w:rPr>
          <w:t>https://www.elfinanciero.com.mx/food-and-drink/2023/10/11/feria-del-alfenique-en-toluca-2023-cuando-y-donde-es/</w:t>
        </w:r>
      </w:hyperlink>
      <w:r>
        <w:rPr>
          <w:rFonts w:ascii="Palatino Linotype" w:eastAsia="Palatino Linotype" w:hAnsi="Palatino Linotype" w:cs="Palatino Linotype"/>
          <w:sz w:val="22"/>
          <w:szCs w:val="22"/>
        </w:rPr>
        <w:t>lo siguiente:</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“…Regresó uno de los eventos más grandes de Toluca, ¡se trata de la Feria del Alfeñique 2023! Te contamos de que se trata esta celebración a la que puedes acudir acompañado de tus seres queridos para celebrar Día de Muertos.</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Aparte de aquellas actividades, la Feria del Alfeñique cuenta con un cartel de presentaciones musicales de artistas y agrupaciones reconocidas. Este es el listado de personalidades y las fechas que podrás encontrar en Toluca:</w:t>
      </w:r>
    </w:p>
    <w:p w:rsidR="00935CBE" w:rsidRDefault="00935CBE">
      <w:pPr>
        <w:spacing w:line="360" w:lineRule="auto"/>
        <w:ind w:left="567" w:right="567"/>
        <w:jc w:val="both"/>
        <w:rPr>
          <w:rFonts w:ascii="Palatino Linotype" w:eastAsia="Palatino Linotype" w:hAnsi="Palatino Linotype" w:cs="Palatino Linotype"/>
          <w:i/>
        </w:rPr>
      </w:pP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Julión Álvarez y su Norteño Banda: 18 de octubre</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Rock en tu idioma sinfónico: 19 de octubre</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Adictiva: 20 de octubre</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Belly y Beto: 21 de octubre</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Los Ángeles Azules: 21 de octubre</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Gloria Trevi: 22 de octubre</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Matute: 23 de octubre</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Aunque la mayoría de actividades en la Feria del Alfeñique 2023 son gratuitas, aún no han dado información de los boletos para algunos de los conciertos que tendrán. Estos eventos musicales se llevarán a cabo en el Parque Alameda, en prolongación Paseo de San Buenaventura, Toluca.</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¿Dónde es la Feria del Alfeñique en Toluca?</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Las actividades de la Feria del Alfeñique llegarán a su fin hasta el 19 de noviembre. Esta celebración se llevará a cabo en diversas sedes de Toluca a lo largo de los días que dura el evento.</w:t>
      </w:r>
    </w:p>
    <w:p w:rsidR="00935CBE" w:rsidRDefault="00935CBE">
      <w:pPr>
        <w:spacing w:line="360" w:lineRule="auto"/>
        <w:ind w:left="567" w:right="567"/>
        <w:jc w:val="both"/>
        <w:rPr>
          <w:rFonts w:ascii="Palatino Linotype" w:eastAsia="Palatino Linotype" w:hAnsi="Palatino Linotype" w:cs="Palatino Linotype"/>
          <w:i/>
        </w:rPr>
      </w:pP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Te dejamos algunos de los sitios en los que podrás disfrutar actividades en la Feria del Alfeñique 2023 de Toluca:</w:t>
      </w:r>
    </w:p>
    <w:p w:rsidR="00935CBE" w:rsidRDefault="00935CBE">
      <w:pPr>
        <w:spacing w:line="360" w:lineRule="auto"/>
        <w:ind w:left="567" w:right="567"/>
        <w:jc w:val="both"/>
        <w:rPr>
          <w:rFonts w:ascii="Palatino Linotype" w:eastAsia="Palatino Linotype" w:hAnsi="Palatino Linotype" w:cs="Palatino Linotype"/>
          <w:i/>
        </w:rPr>
      </w:pP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Ágora de la Plaza González Araita</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Iglesia de la Santa Veracruz</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Alameda central de Toluca</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Parque Las Palomas</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Sin embargo, el evento principal es la venta de dulces de alfeñique, se está realizando en un sitio llamado Portales cuya dirección es: Belisario Domínguez 100C, Centro, Toluca de Lerdo.</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Resulta necesario, señalar en este contexto que tal como lo establece la tesis I.4o.T.4 K, con registro digital 203622, de la novena época, publicado en el Semanario Judicial de la Federación y su Gaceta. Tomo II, diciembre de 1995, página 541, las notas periodísticas no constituyen un hecho notorio, sin embargo, la tesis aislada de la Octava Época publicada en el Semanario Judicial de la Federación. Tomo XIV, Julio de 1994, página 673, contempla que las notas periodísticas pueden ser corroboradas, cuando se aporta algún otro medio de convicción:</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NOTAS PERIODISTICAS COMO PRUEBAS EN EL AMPARO.</w:t>
      </w:r>
    </w:p>
    <w:p w:rsidR="00935CBE" w:rsidRDefault="00935CBE">
      <w:pPr>
        <w:spacing w:line="360" w:lineRule="auto"/>
        <w:ind w:left="567" w:right="567"/>
        <w:jc w:val="both"/>
        <w:rPr>
          <w:rFonts w:ascii="Palatino Linotype" w:eastAsia="Palatino Linotype" w:hAnsi="Palatino Linotype" w:cs="Palatino Linotype"/>
          <w:i/>
        </w:rPr>
      </w:pP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prueba consistente en una nota periodística con que se pretende demostrar que la denuncia respectiva, en la que se apoya la orden de aprehensión, no fue formulada por persona digna de fe, carece de eficacia si no está corroborada con algún elemento de convicción.</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al revisar los documentos emitidos por el Ayuntamiento de Toluca, el veintiuno de septiembre de dos mil veintitrés a través del comunicado núm. 610/2023, presentó el </w:t>
      </w:r>
      <w:r>
        <w:rPr>
          <w:rFonts w:ascii="Palatino Linotype" w:eastAsia="Palatino Linotype" w:hAnsi="Palatino Linotype" w:cs="Palatino Linotype"/>
          <w:i/>
          <w:sz w:val="22"/>
          <w:szCs w:val="22"/>
        </w:rPr>
        <w:t xml:space="preserve">PROGRAMA ARTÍSTICO Y ACTIVIDADES DE LA FERIA Y FESTIVAL CULTURAL DEL ALFEÑIQUE 2023, </w:t>
      </w:r>
      <w:r>
        <w:rPr>
          <w:rFonts w:ascii="Palatino Linotype" w:eastAsia="Palatino Linotype" w:hAnsi="Palatino Linotype" w:cs="Palatino Linotype"/>
          <w:sz w:val="22"/>
          <w:szCs w:val="22"/>
        </w:rPr>
        <w:t>en donde además informó la coordinación que se realizaría entre el ayuntamiento y el DIF en los siguientes aspectos:</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Es importante mencionar que en coordinación con el Sistema Municipal DIF Toluca por primera vez habrá un espacio especial para toluqueñitos y toluqueñitas con Alfeñique Peques, donde la magia de la tradición más mexicana de todas, el Día de Muertos, se compartirá a través del juego y la imaginación, al tiempo que se sembrará la identidad en los más pequeños.</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tres de octubre de dos mil veintitrés, a través del Comunicado núm. 630/2023, el Presidente Municipal, informó las actividades a realizar en el Ayuntamiento de Toluca; posterior a ello, el diecisiete de octubre de dos mil veintitrés, con el comunicado núm. 661/2023, se sugirió dar un tratamiento especial a niños y a adultos mayores durante el acceso:</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Entre las sugerencias destacan: llevar ropa cómoda, acudir bien comidos e hidratados, llegar con anticipación, de preferencia en transporte público y tener a la mano sus boletos e identificación oficial, ya que sin ellos no podrán tener acceso. Asimismo, se invita a no perder de vista a los menores así como a establecer un punto de encuentro en caso de que algún miembro del grupo se separe, dar preferencia a niños y adultos mayores durante el acceso.</w:t>
      </w:r>
    </w:p>
    <w:p w:rsidR="00935CBE" w:rsidRDefault="007A245C">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Entonces, debemos advertir, que, respecto a adultos mayores y personas con discapacidad, no existe elemento alguno, que permita advertir que fue conducido, administrado, dirigido ni siquiera, participación directa por el DIF municipal.</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tanto, únicamente es dable confirmar la respuesta aportada por el Sujeto Obligado, debido a que no existe indicio alguno de que el DIF Toluca, administre la información, al ser un evento, organizado por el Ayuntamiento de Toluca.</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SEXTO. Decisión</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 de la Ley de Transparencia y Acceso a la Información Pública del Estado de México y Municipios, este Instituto considera procedente </w:t>
      </w:r>
      <w:r>
        <w:rPr>
          <w:rFonts w:ascii="Palatino Linotype" w:eastAsia="Palatino Linotype" w:hAnsi="Palatino Linotype" w:cs="Palatino Linotype"/>
          <w:b/>
          <w:sz w:val="22"/>
          <w:szCs w:val="22"/>
        </w:rPr>
        <w:t xml:space="preserve">CONFIRMAR </w:t>
      </w:r>
      <w:r>
        <w:rPr>
          <w:rFonts w:ascii="Palatino Linotype" w:eastAsia="Palatino Linotype" w:hAnsi="Palatino Linotype" w:cs="Palatino Linotype"/>
          <w:sz w:val="22"/>
          <w:szCs w:val="22"/>
        </w:rPr>
        <w:t xml:space="preserve">la respuesta rendida a la solicitud de acceso con número </w:t>
      </w:r>
      <w:r>
        <w:rPr>
          <w:rFonts w:ascii="Palatino Linotype" w:eastAsia="Palatino Linotype" w:hAnsi="Palatino Linotype" w:cs="Palatino Linotype"/>
          <w:b/>
          <w:sz w:val="22"/>
          <w:szCs w:val="22"/>
        </w:rPr>
        <w:t>00422/DIFTOLUCA/IP/2023</w:t>
      </w:r>
      <w:r>
        <w:rPr>
          <w:rFonts w:ascii="Palatino Linotype" w:eastAsia="Palatino Linotype" w:hAnsi="Palatino Linotype" w:cs="Palatino Linotype"/>
          <w:sz w:val="22"/>
          <w:szCs w:val="22"/>
        </w:rPr>
        <w:t xml:space="preserve">. </w:t>
      </w:r>
    </w:p>
    <w:p w:rsidR="00935CBE" w:rsidRDefault="00935CBE">
      <w:pPr>
        <w:spacing w:line="360" w:lineRule="auto"/>
        <w:jc w:val="both"/>
        <w:rPr>
          <w:rFonts w:ascii="Palatino Linotype" w:eastAsia="Palatino Linotype" w:hAnsi="Palatino Linotype" w:cs="Palatino Linotype"/>
          <w:b/>
          <w:sz w:val="22"/>
          <w:szCs w:val="22"/>
          <w:u w:val="single"/>
        </w:rPr>
      </w:pPr>
    </w:p>
    <w:p w:rsidR="00935CBE" w:rsidRDefault="007A245C">
      <w:pPr>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u w:val="single"/>
        </w:rPr>
        <w:t>Términos de la Resolución para el Recurrente</w:t>
      </w:r>
    </w:p>
    <w:p w:rsidR="00935CBE" w:rsidRDefault="00935CBE">
      <w:pPr>
        <w:spacing w:line="360" w:lineRule="auto"/>
        <w:jc w:val="both"/>
        <w:rPr>
          <w:rFonts w:ascii="Palatino Linotype" w:eastAsia="Palatino Linotype" w:hAnsi="Palatino Linotype" w:cs="Palatino Linotype"/>
          <w:b/>
          <w:sz w:val="22"/>
          <w:szCs w:val="22"/>
          <w:u w:val="single"/>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Este Instituto Garante determinó </w:t>
      </w:r>
      <w:r>
        <w:rPr>
          <w:rFonts w:ascii="Palatino Linotype" w:eastAsia="Palatino Linotype" w:hAnsi="Palatino Linotype" w:cs="Palatino Linotype"/>
          <w:b/>
          <w:sz w:val="22"/>
          <w:szCs w:val="22"/>
        </w:rPr>
        <w:t>confirmar</w:t>
      </w:r>
      <w:r>
        <w:rPr>
          <w:rFonts w:ascii="Palatino Linotype" w:eastAsia="Palatino Linotype" w:hAnsi="Palatino Linotype" w:cs="Palatino Linotype"/>
          <w:sz w:val="22"/>
          <w:szCs w:val="22"/>
        </w:rPr>
        <w:t xml:space="preserve"> la respuesta que rindió el Sujeto Obligado a su solicitud de acceso, toda vez que el Sistema Municipal para el Desarrollo Integral de la Familia de Toluca, no es competente para poseer la información, debido a que la Feria y Festival Cultural Internacional Alfeñique Toluca 2023, fue organizado por el Ayuntamiento de Toluca y a través de los comunicados, no se localizó coordinación entre estos Sujetos Obligados, para atención especial a adultos mayores y personas con discapacidad.</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 E S U E L V E</w:t>
      </w:r>
    </w:p>
    <w:p w:rsidR="00935CBE" w:rsidRDefault="00935CBE">
      <w:pPr>
        <w:spacing w:line="360" w:lineRule="auto"/>
        <w:jc w:val="center"/>
        <w:rPr>
          <w:rFonts w:ascii="Palatino Linotype" w:eastAsia="Palatino Linotype" w:hAnsi="Palatino Linotype" w:cs="Palatino Linotype"/>
          <w:b/>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CONFIRMA</w:t>
      </w:r>
      <w:r>
        <w:rPr>
          <w:rFonts w:ascii="Palatino Linotype" w:eastAsia="Palatino Linotype" w:hAnsi="Palatino Linotype" w:cs="Palatino Linotype"/>
          <w:sz w:val="22"/>
          <w:szCs w:val="22"/>
        </w:rPr>
        <w:t xml:space="preserve"> la respuesta del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para atender la solicitud de información</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sz w:val="22"/>
          <w:szCs w:val="22"/>
        </w:rPr>
        <w:t>00422/DIFTOLUCA/IP/2023</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por resultar infundadas las razones o motivos de inconformidad hechos valer por el Recurrente en el Recurso de Revisión </w:t>
      </w:r>
      <w:r>
        <w:rPr>
          <w:rFonts w:ascii="Palatino Linotype" w:eastAsia="Palatino Linotype" w:hAnsi="Palatino Linotype" w:cs="Palatino Linotype"/>
          <w:b/>
          <w:sz w:val="22"/>
          <w:szCs w:val="22"/>
        </w:rPr>
        <w:t>07961/INFOEM/IP/RR/2023</w:t>
      </w:r>
      <w:r>
        <w:rPr>
          <w:rFonts w:ascii="Palatino Linotype" w:eastAsia="Palatino Linotype" w:hAnsi="Palatino Linotype" w:cs="Palatino Linotype"/>
          <w:sz w:val="22"/>
          <w:szCs w:val="22"/>
        </w:rPr>
        <w:t>, en términos de los Considerandos QUINTO y SEXTO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de esta Resolución.</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SEGUNDO. NOTIFÍQUESE </w:t>
      </w:r>
      <w:r>
        <w:rPr>
          <w:rFonts w:ascii="Palatino Linotype" w:eastAsia="Palatino Linotype" w:hAnsi="Palatino Linotype" w:cs="Palatino Linotype"/>
          <w:sz w:val="22"/>
          <w:szCs w:val="22"/>
        </w:rPr>
        <w:t>la presente resolución al Titular de la Unidad de Transparencia del Sujeto Obligado, a través del SAIMEX.</w:t>
      </w:r>
    </w:p>
    <w:p w:rsidR="00935CBE" w:rsidRDefault="00935CBE">
      <w:pPr>
        <w:spacing w:line="360" w:lineRule="auto"/>
        <w:jc w:val="both"/>
        <w:rPr>
          <w:rFonts w:ascii="Palatino Linotype" w:eastAsia="Palatino Linotype" w:hAnsi="Palatino Linotype" w:cs="Palatino Linotype"/>
          <w:sz w:val="22"/>
          <w:szCs w:val="22"/>
        </w:rPr>
      </w:pPr>
    </w:p>
    <w:p w:rsidR="00935CBE" w:rsidRDefault="007A245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TERCERO. NOTIFÍQUESE</w:t>
      </w:r>
      <w:r>
        <w:rPr>
          <w:rFonts w:ascii="Palatino Linotype" w:eastAsia="Palatino Linotype" w:hAnsi="Palatino Linotype" w:cs="Palatino Linotype"/>
          <w:sz w:val="22"/>
          <w:szCs w:val="22"/>
        </w:rPr>
        <w:t xml:space="preserve"> al Recurrente la presente Resolución, por el SAIMEX,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935CBE" w:rsidRDefault="00935CBE">
      <w:pPr>
        <w:spacing w:line="360" w:lineRule="auto"/>
        <w:jc w:val="both"/>
        <w:rPr>
          <w:rFonts w:ascii="Palatino Linotype" w:eastAsia="Palatino Linotype" w:hAnsi="Palatino Linotype" w:cs="Palatino Linotype"/>
          <w:b/>
          <w:sz w:val="22"/>
          <w:szCs w:val="22"/>
        </w:rPr>
      </w:pPr>
    </w:p>
    <w:p w:rsidR="00935CBE" w:rsidRDefault="007A245C">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sidRPr="00AF041C">
        <w:rPr>
          <w:rFonts w:ascii="Palatino Linotype" w:eastAsia="Palatino Linotype" w:hAnsi="Palatino Linotype" w:cs="Palatino Linotype"/>
          <w:b/>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w:t>
      </w:r>
      <w:r w:rsidR="00972C0C">
        <w:rPr>
          <w:rFonts w:ascii="Palatino Linotype" w:eastAsia="Palatino Linotype" w:hAnsi="Palatino Linotype" w:cs="Palatino Linotype"/>
          <w:sz w:val="22"/>
          <w:szCs w:val="22"/>
        </w:rPr>
        <w:t>N CRISTINA MORALES MARTÍNEZ (</w:t>
      </w:r>
      <w:r>
        <w:rPr>
          <w:rFonts w:ascii="Palatino Linotype" w:eastAsia="Palatino Linotype" w:hAnsi="Palatino Linotype" w:cs="Palatino Linotype"/>
          <w:sz w:val="22"/>
          <w:szCs w:val="22"/>
        </w:rPr>
        <w:t>AUSENCIA JUSTIFICADA), LUIS GUSTAVO PARRA NORIEGA Y GUADA</w:t>
      </w:r>
      <w:r w:rsidR="00AF041C">
        <w:rPr>
          <w:rFonts w:ascii="Palatino Linotype" w:eastAsia="Palatino Linotype" w:hAnsi="Palatino Linotype" w:cs="Palatino Linotype"/>
          <w:sz w:val="22"/>
          <w:szCs w:val="22"/>
        </w:rPr>
        <w:t xml:space="preserve">LUPE RAMÍREZ PEÑA, EN LA DÉCIMA </w:t>
      </w:r>
      <w:r>
        <w:rPr>
          <w:rFonts w:ascii="Palatino Linotype" w:eastAsia="Palatino Linotype" w:hAnsi="Palatino Linotype" w:cs="Palatino Linotype"/>
          <w:sz w:val="22"/>
          <w:szCs w:val="22"/>
        </w:rPr>
        <w:t>SEXTA SESIÓN ORDINARIA, CELEBRADA EL NUEVE DE MAYO DE DOS MIL VEINTICUATRO, ANTE EL SECRETARIO TÉCNICO DEL PLENO, ALEXIS TAPIA RAMÍREZ.</w:t>
      </w:r>
    </w:p>
    <w:p w:rsidR="00935CBE" w:rsidRDefault="00935CBE">
      <w:pPr>
        <w:spacing w:line="360" w:lineRule="auto"/>
        <w:ind w:right="-93"/>
        <w:jc w:val="both"/>
        <w:rPr>
          <w:rFonts w:ascii="Palatino Linotype" w:eastAsia="Palatino Linotype" w:hAnsi="Palatino Linotype" w:cs="Palatino Linotype"/>
          <w:color w:val="000000"/>
          <w:sz w:val="22"/>
          <w:szCs w:val="22"/>
        </w:rPr>
      </w:pPr>
    </w:p>
    <w:p w:rsidR="00935CBE" w:rsidRDefault="007A245C">
      <w:pPr>
        <w:spacing w:line="360" w:lineRule="auto"/>
        <w:jc w:val="both"/>
        <w:rPr>
          <w:rFonts w:ascii="Palatino Linotype" w:eastAsia="Palatino Linotype" w:hAnsi="Palatino Linotype" w:cs="Palatino Linotype"/>
          <w:sz w:val="22"/>
          <w:szCs w:val="22"/>
        </w:rPr>
      </w:pPr>
      <w:r>
        <w:br w:type="page"/>
      </w:r>
    </w:p>
    <w:p w:rsidR="00935CBE" w:rsidRDefault="00935CBE">
      <w:pPr>
        <w:spacing w:line="360" w:lineRule="auto"/>
        <w:jc w:val="both"/>
        <w:rPr>
          <w:rFonts w:ascii="Palatino Linotype" w:eastAsia="Palatino Linotype" w:hAnsi="Palatino Linotype" w:cs="Palatino Linotype"/>
          <w:sz w:val="22"/>
          <w:szCs w:val="22"/>
        </w:rPr>
      </w:pPr>
    </w:p>
    <w:p w:rsidR="00935CBE" w:rsidRDefault="00935CBE">
      <w:pPr>
        <w:spacing w:after="160" w:line="360" w:lineRule="auto"/>
        <w:jc w:val="both"/>
        <w:rPr>
          <w:rFonts w:ascii="Palatino Linotype" w:eastAsia="Palatino Linotype" w:hAnsi="Palatino Linotype" w:cs="Palatino Linotype"/>
          <w:sz w:val="22"/>
          <w:szCs w:val="22"/>
        </w:rPr>
      </w:pPr>
    </w:p>
    <w:sectPr w:rsidR="00935CBE">
      <w:headerReference w:type="even" r:id="rId11"/>
      <w:headerReference w:type="default" r:id="rId12"/>
      <w:footerReference w:type="default" r:id="rId13"/>
      <w:headerReference w:type="first" r:id="rId14"/>
      <w:footerReference w:type="first" r:id="rId15"/>
      <w:pgSz w:w="12240" w:h="15840"/>
      <w:pgMar w:top="80" w:right="1608" w:bottom="1134" w:left="1588" w:header="709"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26E" w:rsidRDefault="0096126E">
      <w:r>
        <w:separator/>
      </w:r>
    </w:p>
  </w:endnote>
  <w:endnote w:type="continuationSeparator" w:id="0">
    <w:p w:rsidR="0096126E" w:rsidRDefault="0096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CBE" w:rsidRDefault="00935CBE">
    <w:pPr>
      <w:pBdr>
        <w:top w:val="nil"/>
        <w:left w:val="nil"/>
        <w:bottom w:val="nil"/>
        <w:right w:val="nil"/>
        <w:between w:val="nil"/>
      </w:pBdr>
      <w:tabs>
        <w:tab w:val="center" w:pos="4419"/>
        <w:tab w:val="right" w:pos="8838"/>
      </w:tabs>
      <w:jc w:val="right"/>
      <w:rPr>
        <w:color w:val="000000"/>
        <w:sz w:val="26"/>
        <w:szCs w:val="26"/>
      </w:rPr>
    </w:pPr>
  </w:p>
  <w:p w:rsidR="00935CBE" w:rsidRDefault="007A245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8101C">
      <w:rPr>
        <w:b/>
        <w:noProof/>
        <w:color w:val="000000"/>
        <w:sz w:val="24"/>
        <w:szCs w:val="24"/>
      </w:rPr>
      <w:t>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8101C">
      <w:rPr>
        <w:b/>
        <w:noProof/>
        <w:color w:val="000000"/>
        <w:sz w:val="24"/>
        <w:szCs w:val="24"/>
      </w:rPr>
      <w:t>20</w:t>
    </w:r>
    <w:r>
      <w:rPr>
        <w:b/>
        <w:color w:val="000000"/>
        <w:sz w:val="24"/>
        <w:szCs w:val="24"/>
      </w:rPr>
      <w:fldChar w:fldCharType="end"/>
    </w:r>
  </w:p>
  <w:p w:rsidR="00935CBE" w:rsidRDefault="00935CB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CBE" w:rsidRDefault="00935CBE">
    <w:pPr>
      <w:pBdr>
        <w:top w:val="nil"/>
        <w:left w:val="nil"/>
        <w:bottom w:val="nil"/>
        <w:right w:val="nil"/>
        <w:between w:val="nil"/>
      </w:pBdr>
      <w:tabs>
        <w:tab w:val="center" w:pos="4419"/>
        <w:tab w:val="right" w:pos="8838"/>
      </w:tabs>
      <w:jc w:val="right"/>
      <w:rPr>
        <w:color w:val="000000"/>
      </w:rPr>
    </w:pPr>
  </w:p>
  <w:p w:rsidR="00935CBE" w:rsidRDefault="00935CBE">
    <w:pPr>
      <w:pBdr>
        <w:top w:val="nil"/>
        <w:left w:val="nil"/>
        <w:bottom w:val="nil"/>
        <w:right w:val="nil"/>
        <w:between w:val="nil"/>
      </w:pBdr>
      <w:tabs>
        <w:tab w:val="center" w:pos="4419"/>
        <w:tab w:val="right" w:pos="8838"/>
      </w:tabs>
      <w:jc w:val="right"/>
      <w:rPr>
        <w:color w:val="000000"/>
      </w:rPr>
    </w:pPr>
  </w:p>
  <w:p w:rsidR="00935CBE" w:rsidRDefault="00935CBE">
    <w:pPr>
      <w:pBdr>
        <w:top w:val="nil"/>
        <w:left w:val="nil"/>
        <w:bottom w:val="nil"/>
        <w:right w:val="nil"/>
        <w:between w:val="nil"/>
      </w:pBdr>
      <w:tabs>
        <w:tab w:val="center" w:pos="4419"/>
        <w:tab w:val="right" w:pos="8838"/>
      </w:tabs>
      <w:jc w:val="right"/>
      <w:rPr>
        <w:color w:val="000000"/>
      </w:rPr>
    </w:pPr>
  </w:p>
  <w:p w:rsidR="00935CBE" w:rsidRDefault="007A245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6126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6126E">
      <w:rPr>
        <w:b/>
        <w:noProof/>
        <w:color w:val="000000"/>
        <w:sz w:val="24"/>
        <w:szCs w:val="24"/>
      </w:rPr>
      <w:t>1</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26E" w:rsidRDefault="0096126E">
      <w:r>
        <w:separator/>
      </w:r>
    </w:p>
  </w:footnote>
  <w:footnote w:type="continuationSeparator" w:id="0">
    <w:p w:rsidR="0096126E" w:rsidRDefault="009612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CBE" w:rsidRDefault="0096126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CBE" w:rsidRDefault="0096126E">
    <w:pPr>
      <w:tabs>
        <w:tab w:val="left" w:pos="3416"/>
      </w:tabs>
      <w:rPr>
        <w:sz w:val="22"/>
        <w:szCs w:val="22"/>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aguaINFOEM" style="position:absolute;margin-left:-72.2pt;margin-top:-124.25pt;width:663.5pt;height:12in;z-index:-251659776;mso-position-horizontal:absolute;mso-position-horizontal-relative:margin;mso-position-vertical:absolute;mso-position-vertical-relative:margin">
          <v:imagedata r:id="rId1" o:title="image1"/>
          <w10:wrap anchorx="margin" anchory="margin"/>
        </v:shape>
      </w:pict>
    </w:r>
  </w:p>
  <w:tbl>
    <w:tblPr>
      <w:tblStyle w:val="a"/>
      <w:tblW w:w="9745" w:type="dxa"/>
      <w:tblInd w:w="0" w:type="dxa"/>
      <w:tblLayout w:type="fixed"/>
      <w:tblLook w:val="0400" w:firstRow="0" w:lastRow="0" w:firstColumn="0" w:lastColumn="0" w:noHBand="0" w:noVBand="1"/>
    </w:tblPr>
    <w:tblGrid>
      <w:gridCol w:w="2552"/>
      <w:gridCol w:w="7193"/>
    </w:tblGrid>
    <w:tr w:rsidR="00935CBE">
      <w:trPr>
        <w:trHeight w:val="70"/>
      </w:trPr>
      <w:tc>
        <w:tcPr>
          <w:tcW w:w="2552" w:type="dxa"/>
          <w:shd w:val="clear" w:color="auto" w:fill="auto"/>
        </w:tcPr>
        <w:p w:rsidR="00935CBE" w:rsidRDefault="00935CBE">
          <w:pPr>
            <w:tabs>
              <w:tab w:val="right" w:pos="4273"/>
            </w:tabs>
            <w:rPr>
              <w:rFonts w:ascii="Garamond" w:eastAsia="Garamond" w:hAnsi="Garamond" w:cs="Garamond"/>
              <w:sz w:val="16"/>
              <w:szCs w:val="16"/>
            </w:rPr>
          </w:pPr>
        </w:p>
      </w:tc>
      <w:tc>
        <w:tcPr>
          <w:tcW w:w="7193" w:type="dxa"/>
          <w:shd w:val="clear" w:color="auto" w:fill="auto"/>
        </w:tcPr>
        <w:p w:rsidR="00935CBE" w:rsidRDefault="00935CBE">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0"/>
            <w:tblW w:w="6793" w:type="dxa"/>
            <w:tblInd w:w="1031" w:type="dxa"/>
            <w:tblBorders>
              <w:top w:val="nil"/>
              <w:left w:val="nil"/>
              <w:bottom w:val="nil"/>
              <w:right w:val="nil"/>
              <w:insideH w:val="nil"/>
              <w:insideV w:val="nil"/>
            </w:tblBorders>
            <w:tblLayout w:type="fixed"/>
            <w:tblLook w:val="0400" w:firstRow="0" w:lastRow="0" w:firstColumn="0" w:lastColumn="0" w:noHBand="0" w:noVBand="1"/>
          </w:tblPr>
          <w:tblGrid>
            <w:gridCol w:w="2408"/>
            <w:gridCol w:w="4385"/>
          </w:tblGrid>
          <w:tr w:rsidR="00935CBE">
            <w:trPr>
              <w:trHeight w:val="128"/>
            </w:trPr>
            <w:tc>
              <w:tcPr>
                <w:tcW w:w="2408" w:type="dxa"/>
                <w:vAlign w:val="bottom"/>
              </w:tcPr>
              <w:p w:rsidR="00935CBE" w:rsidRDefault="007A245C">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85" w:type="dxa"/>
              </w:tcPr>
              <w:p w:rsidR="00935CBE" w:rsidRDefault="007A245C">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07961/INFOEM/IP/RR/2023</w:t>
                </w:r>
              </w:p>
            </w:tc>
          </w:tr>
          <w:tr w:rsidR="00935CBE">
            <w:trPr>
              <w:trHeight w:val="251"/>
            </w:trPr>
            <w:tc>
              <w:tcPr>
                <w:tcW w:w="2408" w:type="dxa"/>
              </w:tcPr>
              <w:p w:rsidR="00935CBE" w:rsidRDefault="007A245C">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85" w:type="dxa"/>
              </w:tcPr>
              <w:p w:rsidR="00935CBE" w:rsidRDefault="007A245C">
                <w:pPr>
                  <w:ind w:right="599"/>
                  <w:jc w:val="both"/>
                  <w:rPr>
                    <w:rFonts w:ascii="Palatino Linotype" w:eastAsia="Palatino Linotype" w:hAnsi="Palatino Linotype" w:cs="Palatino Linotype"/>
                    <w:sz w:val="22"/>
                    <w:szCs w:val="22"/>
                  </w:rPr>
                </w:pPr>
                <w:bookmarkStart w:id="2" w:name="_heading=h.30j0zll" w:colFirst="0" w:colLast="0"/>
                <w:bookmarkEnd w:id="2"/>
                <w:r>
                  <w:rPr>
                    <w:rFonts w:ascii="Palatino Linotype" w:eastAsia="Palatino Linotype" w:hAnsi="Palatino Linotype" w:cs="Palatino Linotype"/>
                    <w:sz w:val="22"/>
                    <w:szCs w:val="22"/>
                  </w:rPr>
                  <w:t>Sistema Municipal para el Desarrollo Integral de la Familia de Toluca</w:t>
                </w:r>
              </w:p>
            </w:tc>
          </w:tr>
          <w:tr w:rsidR="00935CBE">
            <w:trPr>
              <w:trHeight w:val="251"/>
            </w:trPr>
            <w:tc>
              <w:tcPr>
                <w:tcW w:w="2408" w:type="dxa"/>
              </w:tcPr>
              <w:p w:rsidR="00935CBE" w:rsidRDefault="007A245C">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385" w:type="dxa"/>
              </w:tcPr>
              <w:p w:rsidR="00935CBE" w:rsidRDefault="007A245C">
                <w:pPr>
                  <w:tabs>
                    <w:tab w:val="right" w:pos="8838"/>
                  </w:tabs>
                  <w:ind w:right="-3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935CBE" w:rsidRDefault="00935CBE">
                <w:pPr>
                  <w:tabs>
                    <w:tab w:val="right" w:pos="8838"/>
                  </w:tabs>
                  <w:ind w:right="-32"/>
                  <w:rPr>
                    <w:rFonts w:ascii="Palatino Linotype" w:eastAsia="Palatino Linotype" w:hAnsi="Palatino Linotype" w:cs="Palatino Linotype"/>
                    <w:b/>
                    <w:sz w:val="22"/>
                    <w:szCs w:val="22"/>
                  </w:rPr>
                </w:pPr>
              </w:p>
            </w:tc>
          </w:tr>
        </w:tbl>
        <w:p w:rsidR="00935CBE" w:rsidRDefault="00935CBE">
          <w:pPr>
            <w:tabs>
              <w:tab w:val="right" w:pos="8838"/>
            </w:tabs>
            <w:ind w:left="-28"/>
            <w:rPr>
              <w:rFonts w:ascii="Arial" w:eastAsia="Arial" w:hAnsi="Arial" w:cs="Arial"/>
              <w:b/>
            </w:rPr>
          </w:pPr>
        </w:p>
      </w:tc>
    </w:tr>
  </w:tbl>
  <w:p w:rsidR="00935CBE" w:rsidRDefault="00935CBE">
    <w:pPr>
      <w:pBdr>
        <w:top w:val="nil"/>
        <w:left w:val="nil"/>
        <w:bottom w:val="nil"/>
        <w:right w:val="nil"/>
        <w:between w:val="nil"/>
      </w:pBdr>
      <w:tabs>
        <w:tab w:val="center" w:pos="4419"/>
        <w:tab w:val="right" w:pos="8838"/>
      </w:tabs>
      <w:rPr>
        <w:color w:val="000000"/>
        <w:sz w:val="14"/>
        <w:szCs w:val="14"/>
      </w:rPr>
    </w:pPr>
  </w:p>
  <w:p w:rsidR="00935CBE" w:rsidRDefault="00935CBE">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CBE" w:rsidRDefault="00935CBE">
    <w:pPr>
      <w:widowControl w:val="0"/>
      <w:pBdr>
        <w:top w:val="nil"/>
        <w:left w:val="nil"/>
        <w:bottom w:val="nil"/>
        <w:right w:val="nil"/>
        <w:between w:val="nil"/>
      </w:pBdr>
      <w:spacing w:line="276" w:lineRule="auto"/>
      <w:rPr>
        <w:color w:val="000000"/>
      </w:rPr>
    </w:pPr>
  </w:p>
  <w:tbl>
    <w:tblPr>
      <w:tblStyle w:val="a1"/>
      <w:tblW w:w="5386" w:type="dxa"/>
      <w:tblInd w:w="3673" w:type="dxa"/>
      <w:tblBorders>
        <w:top w:val="nil"/>
        <w:left w:val="nil"/>
        <w:bottom w:val="nil"/>
        <w:right w:val="nil"/>
        <w:insideH w:val="nil"/>
        <w:insideV w:val="nil"/>
      </w:tblBorders>
      <w:tblLayout w:type="fixed"/>
      <w:tblLook w:val="0400" w:firstRow="0" w:lastRow="0" w:firstColumn="0" w:lastColumn="0" w:noHBand="0" w:noVBand="1"/>
    </w:tblPr>
    <w:tblGrid>
      <w:gridCol w:w="2420"/>
      <w:gridCol w:w="2966"/>
    </w:tblGrid>
    <w:tr w:rsidR="00935CBE">
      <w:trPr>
        <w:trHeight w:val="302"/>
      </w:trPr>
      <w:tc>
        <w:tcPr>
          <w:tcW w:w="2420" w:type="dxa"/>
        </w:tcPr>
        <w:p w:rsidR="00935CBE" w:rsidRDefault="007A245C">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66" w:type="dxa"/>
        </w:tcPr>
        <w:p w:rsidR="00935CBE" w:rsidRDefault="007A245C">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07961/INFOEM/IP/RR/2023</w:t>
          </w:r>
        </w:p>
      </w:tc>
    </w:tr>
    <w:tr w:rsidR="00935CBE">
      <w:trPr>
        <w:trHeight w:val="110"/>
      </w:trPr>
      <w:tc>
        <w:tcPr>
          <w:tcW w:w="2420" w:type="dxa"/>
        </w:tcPr>
        <w:p w:rsidR="00935CBE" w:rsidRDefault="007A245C">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66" w:type="dxa"/>
        </w:tcPr>
        <w:p w:rsidR="00935CBE" w:rsidRDefault="0088101C">
          <w:pPr>
            <w:tabs>
              <w:tab w:val="right" w:pos="8838"/>
            </w:tabs>
            <w:jc w:val="both"/>
            <w:rPr>
              <w:rFonts w:ascii="Palatino Linotype" w:eastAsia="Palatino Linotype" w:hAnsi="Palatino Linotype" w:cs="Palatino Linotype"/>
              <w:sz w:val="22"/>
              <w:szCs w:val="22"/>
            </w:rPr>
          </w:pPr>
          <w:r w:rsidRPr="0088101C">
            <w:rPr>
              <w:rFonts w:ascii="Palatino Linotype" w:eastAsia="Palatino Linotype" w:hAnsi="Palatino Linotype" w:cs="Palatino Linotype"/>
              <w:sz w:val="22"/>
              <w:szCs w:val="22"/>
              <w:highlight w:val="black"/>
            </w:rPr>
            <w:t>XXXXXXXXX</w:t>
          </w:r>
        </w:p>
      </w:tc>
    </w:tr>
    <w:tr w:rsidR="00935CBE">
      <w:trPr>
        <w:trHeight w:val="248"/>
      </w:trPr>
      <w:tc>
        <w:tcPr>
          <w:tcW w:w="2420" w:type="dxa"/>
          <w:shd w:val="clear" w:color="auto" w:fill="auto"/>
        </w:tcPr>
        <w:p w:rsidR="00935CBE" w:rsidRDefault="007A245C">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66" w:type="dxa"/>
          <w:shd w:val="clear" w:color="auto" w:fill="auto"/>
        </w:tcPr>
        <w:p w:rsidR="00935CBE" w:rsidRDefault="007A245C">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Toluca</w:t>
          </w:r>
        </w:p>
      </w:tc>
    </w:tr>
    <w:tr w:rsidR="00935CBE">
      <w:trPr>
        <w:trHeight w:val="248"/>
      </w:trPr>
      <w:tc>
        <w:tcPr>
          <w:tcW w:w="2420" w:type="dxa"/>
        </w:tcPr>
        <w:p w:rsidR="00935CBE" w:rsidRDefault="007A245C">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2966" w:type="dxa"/>
        </w:tcPr>
        <w:p w:rsidR="00935CBE" w:rsidRDefault="007A245C">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935CBE" w:rsidRDefault="0096126E">
    <w:pPr>
      <w:ind w:right="-31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aguaINFOEM" style="position:absolute;margin-left:-54pt;margin-top:-115.3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63248"/>
    <w:multiLevelType w:val="multilevel"/>
    <w:tmpl w:val="6032EC2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1DED4129"/>
    <w:multiLevelType w:val="multilevel"/>
    <w:tmpl w:val="06D6B5D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CBE"/>
    <w:rsid w:val="000047D3"/>
    <w:rsid w:val="00223430"/>
    <w:rsid w:val="007A245C"/>
    <w:rsid w:val="0088101C"/>
    <w:rsid w:val="00935CBE"/>
    <w:rsid w:val="0096126E"/>
    <w:rsid w:val="00972C0C"/>
    <w:rsid w:val="00AF041C"/>
    <w:rsid w:val="00F35B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323F335-10F2-4B22-898C-15159800D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A7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CD12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B03EDE"/>
    <w:pPr>
      <w:tabs>
        <w:tab w:val="center" w:pos="4419"/>
        <w:tab w:val="right" w:pos="8838"/>
      </w:tabs>
    </w:pPr>
  </w:style>
  <w:style w:type="character" w:customStyle="1" w:styleId="EncabezadoCar">
    <w:name w:val="Encabezado Car"/>
    <w:basedOn w:val="Fuentedeprrafopredeter"/>
    <w:link w:val="Encabezado"/>
    <w:uiPriority w:val="99"/>
    <w:rsid w:val="00B03EDE"/>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B03EDE"/>
    <w:pPr>
      <w:tabs>
        <w:tab w:val="center" w:pos="4419"/>
        <w:tab w:val="right" w:pos="8838"/>
      </w:tabs>
    </w:pPr>
  </w:style>
  <w:style w:type="character" w:customStyle="1" w:styleId="PiedepginaCar">
    <w:name w:val="Pie de página Car"/>
    <w:basedOn w:val="Fuentedeprrafopredeter"/>
    <w:link w:val="Piedepgina"/>
    <w:uiPriority w:val="99"/>
    <w:rsid w:val="00B03EDE"/>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3EDE"/>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03EDE"/>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03EDE"/>
    <w:rPr>
      <w:color w:val="0563C1" w:themeColor="hyperlink"/>
      <w:u w:val="single"/>
    </w:rPr>
  </w:style>
  <w:style w:type="table" w:styleId="Tablaconcuadrcula">
    <w:name w:val="Table Grid"/>
    <w:basedOn w:val="Tablanormal"/>
    <w:uiPriority w:val="59"/>
    <w:rsid w:val="00B03ED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56424"/>
    <w:rPr>
      <w:lang w:eastAsia="es-ES"/>
    </w:rPr>
  </w:style>
  <w:style w:type="paragraph" w:styleId="Lista">
    <w:name w:val="List"/>
    <w:basedOn w:val="Normal"/>
    <w:uiPriority w:val="99"/>
    <w:unhideWhenUsed/>
    <w:rsid w:val="00443F40"/>
    <w:pPr>
      <w:ind w:left="283" w:hanging="283"/>
      <w:contextualSpacing/>
    </w:pPr>
  </w:style>
  <w:style w:type="paragraph" w:styleId="Lista2">
    <w:name w:val="List 2"/>
    <w:basedOn w:val="Normal"/>
    <w:uiPriority w:val="99"/>
    <w:unhideWhenUsed/>
    <w:rsid w:val="00443F40"/>
    <w:pPr>
      <w:ind w:left="566" w:hanging="283"/>
      <w:contextualSpacing/>
    </w:pPr>
  </w:style>
  <w:style w:type="paragraph" w:styleId="Saludo">
    <w:name w:val="Salutation"/>
    <w:basedOn w:val="Normal"/>
    <w:next w:val="Normal"/>
    <w:link w:val="SaludoCar"/>
    <w:uiPriority w:val="99"/>
    <w:unhideWhenUsed/>
    <w:rsid w:val="00443F40"/>
  </w:style>
  <w:style w:type="character" w:customStyle="1" w:styleId="SaludoCar">
    <w:name w:val="Saludo Car"/>
    <w:basedOn w:val="Fuentedeprrafopredeter"/>
    <w:link w:val="Saludo"/>
    <w:uiPriority w:val="99"/>
    <w:rsid w:val="00443F40"/>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443F40"/>
    <w:pPr>
      <w:spacing w:after="120"/>
      <w:ind w:left="283"/>
      <w:contextualSpacing/>
    </w:pPr>
  </w:style>
  <w:style w:type="paragraph" w:styleId="Textoindependiente">
    <w:name w:val="Body Text"/>
    <w:basedOn w:val="Normal"/>
    <w:link w:val="TextoindependienteCar"/>
    <w:uiPriority w:val="99"/>
    <w:unhideWhenUsed/>
    <w:rsid w:val="00443F40"/>
    <w:pPr>
      <w:spacing w:after="120"/>
    </w:pPr>
  </w:style>
  <w:style w:type="character" w:customStyle="1" w:styleId="TextoindependienteCar">
    <w:name w:val="Texto independiente Car"/>
    <w:basedOn w:val="Fuentedeprrafopredeter"/>
    <w:link w:val="Textoindependiente"/>
    <w:uiPriority w:val="99"/>
    <w:rsid w:val="00443F40"/>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443F40"/>
    <w:pPr>
      <w:spacing w:after="120"/>
      <w:ind w:left="283"/>
    </w:pPr>
  </w:style>
  <w:style w:type="character" w:customStyle="1" w:styleId="SangradetextonormalCar">
    <w:name w:val="Sangría de texto normal Car"/>
    <w:basedOn w:val="Fuentedeprrafopredeter"/>
    <w:link w:val="Sangradetextonormal"/>
    <w:uiPriority w:val="99"/>
    <w:semiHidden/>
    <w:rsid w:val="00443F40"/>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443F4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3F40"/>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22215"/>
    <w:rPr>
      <w:color w:val="605E5C"/>
      <w:shd w:val="clear" w:color="auto" w:fill="E1DFDD"/>
    </w:rPr>
  </w:style>
  <w:style w:type="character" w:customStyle="1" w:styleId="Ttulo2Car">
    <w:name w:val="Título 2 Car"/>
    <w:basedOn w:val="Fuentedeprrafopredeter"/>
    <w:link w:val="Ttulo2"/>
    <w:uiPriority w:val="9"/>
    <w:rsid w:val="00CD1229"/>
    <w:rPr>
      <w:rFonts w:asciiTheme="majorHAnsi" w:eastAsiaTheme="majorEastAsia" w:hAnsiTheme="majorHAnsi" w:cstheme="majorBidi"/>
      <w:color w:val="2F5496" w:themeColor="accent1" w:themeShade="BF"/>
      <w:sz w:val="26"/>
      <w:szCs w:val="26"/>
      <w:lang w:eastAsia="es-ES"/>
    </w:rPr>
  </w:style>
  <w:style w:type="character" w:customStyle="1" w:styleId="Mencinsinresolver2">
    <w:name w:val="Mención sin resolver2"/>
    <w:basedOn w:val="Fuentedeprrafopredeter"/>
    <w:uiPriority w:val="99"/>
    <w:semiHidden/>
    <w:unhideWhenUsed/>
    <w:rsid w:val="00C61C11"/>
    <w:rPr>
      <w:color w:val="605E5C"/>
      <w:shd w:val="clear" w:color="auto" w:fill="E1DFDD"/>
    </w:rPr>
  </w:style>
  <w:style w:type="character" w:customStyle="1" w:styleId="apple-converted-space">
    <w:name w:val="apple-converted-space"/>
    <w:basedOn w:val="Fuentedeprrafopredeter"/>
    <w:rsid w:val="009245F5"/>
  </w:style>
  <w:style w:type="character" w:styleId="Hipervnculovisitado">
    <w:name w:val="FollowedHyperlink"/>
    <w:basedOn w:val="Fuentedeprrafopredeter"/>
    <w:uiPriority w:val="99"/>
    <w:semiHidden/>
    <w:unhideWhenUsed/>
    <w:rsid w:val="004C1170"/>
    <w:rPr>
      <w:color w:val="954F72" w:themeColor="followedHyperlink"/>
      <w:u w:val="single"/>
    </w:rPr>
  </w:style>
  <w:style w:type="character" w:customStyle="1" w:styleId="Mencinsinresolver3">
    <w:name w:val="Mención sin resolver3"/>
    <w:basedOn w:val="Fuentedeprrafopredeter"/>
    <w:uiPriority w:val="99"/>
    <w:semiHidden/>
    <w:unhideWhenUsed/>
    <w:rsid w:val="00BA1078"/>
    <w:rPr>
      <w:color w:val="605E5C"/>
      <w:shd w:val="clear" w:color="auto" w:fill="E1DFDD"/>
    </w:rPr>
  </w:style>
  <w:style w:type="character" w:customStyle="1" w:styleId="UnresolvedMention">
    <w:name w:val="Unresolved Mention"/>
    <w:basedOn w:val="Fuentedeprrafopredeter"/>
    <w:uiPriority w:val="99"/>
    <w:semiHidden/>
    <w:unhideWhenUsed/>
    <w:rsid w:val="00835829"/>
    <w:rPr>
      <w:color w:val="605E5C"/>
      <w:shd w:val="clear" w:color="auto" w:fill="E1DFDD"/>
    </w:rPr>
  </w:style>
  <w:style w:type="paragraph" w:styleId="NormalWeb">
    <w:name w:val="Normal (Web)"/>
    <w:basedOn w:val="Normal"/>
    <w:uiPriority w:val="99"/>
    <w:semiHidden/>
    <w:unhideWhenUsed/>
    <w:rsid w:val="006257E1"/>
    <w:pPr>
      <w:spacing w:before="100" w:beforeAutospacing="1" w:after="100" w:afterAutospacing="1"/>
    </w:pPr>
    <w:rPr>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lfinanciero.com.mx/food-and-drink/2023/10/11/feria-del-alfenique-en-toluca-2023-cuando-y-donde-es/" TargetMode="External"/><Relationship Id="rId4" Type="http://schemas.openxmlformats.org/officeDocument/2006/relationships/settings" Target="settings.xml"/><Relationship Id="rId9" Type="http://schemas.openxmlformats.org/officeDocument/2006/relationships/hyperlink" Target="https://www.adn40.mx/tiempo-libre/feria-del-alfenique-2023-cartel-completo-fecha-lo-que-debes-saber-del-evento-en-toluc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QexmmjYEWQBbLKspOqblCkWQ==">CgMxLjAyCGguZ2pkZ3hzMgloLjMwajB6bGw4AHIhMXRZSEkyczBrcmxnVTY2dTZYMjJpd0lFRnl3Y1ZmcGFo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4278</Words>
  <Characters>23533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cp:lastModifiedBy>
  <cp:revision>2</cp:revision>
  <cp:lastPrinted>2024-05-11T18:28:00Z</cp:lastPrinted>
  <dcterms:created xsi:type="dcterms:W3CDTF">2024-06-05T17:31:00Z</dcterms:created>
  <dcterms:modified xsi:type="dcterms:W3CDTF">2024-06-05T17:31:00Z</dcterms:modified>
</cp:coreProperties>
</file>