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6B6D6"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tres de abril del dos mil veinticuatro. </w:t>
      </w:r>
    </w:p>
    <w:p w14:paraId="17C12F0C"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t>Visto</w:t>
      </w:r>
      <w:r w:rsidRPr="004A3B87">
        <w:rPr>
          <w:rFonts w:ascii="Palatino Linotype" w:eastAsia="Palatino Linotype" w:hAnsi="Palatino Linotype" w:cs="Palatino Linotype"/>
        </w:rPr>
        <w:t xml:space="preserve"> el expediente relativo al recurso de revisión </w:t>
      </w:r>
      <w:r w:rsidRPr="004A3B87">
        <w:rPr>
          <w:rFonts w:ascii="Palatino Linotype" w:eastAsia="Palatino Linotype" w:hAnsi="Palatino Linotype" w:cs="Palatino Linotype"/>
          <w:b/>
        </w:rPr>
        <w:t>07959/INFOEM/IP/RR/2023</w:t>
      </w:r>
      <w:r w:rsidRPr="004A3B87">
        <w:rPr>
          <w:rFonts w:ascii="Palatino Linotype" w:eastAsia="Palatino Linotype" w:hAnsi="Palatino Linotype" w:cs="Palatino Linotype"/>
        </w:rPr>
        <w:t>, interpuesto por</w:t>
      </w:r>
      <w:r w:rsidRPr="004A3B87">
        <w:rPr>
          <w:rFonts w:ascii="Palatino Linotype" w:eastAsia="Palatino Linotype" w:hAnsi="Palatino Linotype" w:cs="Palatino Linotype"/>
          <w:b/>
        </w:rPr>
        <w:t xml:space="preserve"> un particular que no proporcionó su nombre,</w:t>
      </w:r>
      <w:r w:rsidRPr="004A3B87">
        <w:rPr>
          <w:rFonts w:ascii="Palatino Linotype" w:eastAsia="Palatino Linotype" w:hAnsi="Palatino Linotype" w:cs="Palatino Linotype"/>
        </w:rPr>
        <w:t xml:space="preserve"> en lo sucesivo la parte </w:t>
      </w:r>
      <w:r w:rsidRPr="004A3B87">
        <w:rPr>
          <w:rFonts w:ascii="Palatino Linotype" w:eastAsia="Palatino Linotype" w:hAnsi="Palatino Linotype" w:cs="Palatino Linotype"/>
          <w:b/>
        </w:rPr>
        <w:t>RECURRENTE</w:t>
      </w:r>
      <w:r w:rsidRPr="004A3B87">
        <w:rPr>
          <w:rFonts w:ascii="Palatino Linotype" w:eastAsia="Palatino Linotype" w:hAnsi="Palatino Linotype" w:cs="Palatino Linotype"/>
        </w:rPr>
        <w:t xml:space="preserve">, en contra de la respuesta a su solicitud de información con número de folio </w:t>
      </w:r>
      <w:r w:rsidRPr="004A3B87">
        <w:rPr>
          <w:rFonts w:ascii="Palatino Linotype" w:eastAsia="Palatino Linotype" w:hAnsi="Palatino Linotype" w:cs="Palatino Linotype"/>
          <w:b/>
        </w:rPr>
        <w:t>00533/SMOV/IP/2023</w:t>
      </w:r>
      <w:r w:rsidRPr="004A3B87">
        <w:rPr>
          <w:rFonts w:ascii="Palatino Linotype" w:eastAsia="Palatino Linotype" w:hAnsi="Palatino Linotype" w:cs="Palatino Linotype"/>
        </w:rPr>
        <w:t xml:space="preserve">, por parte de la </w:t>
      </w:r>
      <w:r w:rsidRPr="004A3B87">
        <w:rPr>
          <w:rFonts w:ascii="Palatino Linotype" w:eastAsia="Palatino Linotype" w:hAnsi="Palatino Linotype" w:cs="Palatino Linotype"/>
          <w:b/>
        </w:rPr>
        <w:t>Secretaría de Movilidad</w:t>
      </w:r>
      <w:r w:rsidRPr="004A3B87">
        <w:rPr>
          <w:rFonts w:ascii="Palatino Linotype" w:eastAsia="Palatino Linotype" w:hAnsi="Palatino Linotype" w:cs="Palatino Linotype"/>
        </w:rPr>
        <w:t xml:space="preserve"> en lo sucesivo el </w:t>
      </w:r>
      <w:r w:rsidRPr="004A3B87">
        <w:rPr>
          <w:rFonts w:ascii="Palatino Linotype" w:eastAsia="Palatino Linotype" w:hAnsi="Palatino Linotype" w:cs="Palatino Linotype"/>
          <w:b/>
        </w:rPr>
        <w:t xml:space="preserve">SUJETO OBLIGADO; </w:t>
      </w:r>
      <w:r w:rsidRPr="004A3B87">
        <w:rPr>
          <w:rFonts w:ascii="Palatino Linotype" w:eastAsia="Palatino Linotype" w:hAnsi="Palatino Linotype" w:cs="Palatino Linotype"/>
        </w:rPr>
        <w:t>se procede a dictar la presente resolución, con base en los siguientes:</w:t>
      </w:r>
    </w:p>
    <w:p w14:paraId="6936AA36" w14:textId="77777777" w:rsidR="005A26E7" w:rsidRPr="004A3B87" w:rsidRDefault="00D0537A">
      <w:pPr>
        <w:numPr>
          <w:ilvl w:val="0"/>
          <w:numId w:val="2"/>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4A3B87">
        <w:rPr>
          <w:rFonts w:ascii="Palatino Linotype" w:eastAsia="Palatino Linotype" w:hAnsi="Palatino Linotype" w:cs="Palatino Linotype"/>
          <w:b/>
          <w:sz w:val="22"/>
          <w:szCs w:val="22"/>
        </w:rPr>
        <w:t>A N T E C E D E N T E S:</w:t>
      </w:r>
    </w:p>
    <w:p w14:paraId="712CC510"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t xml:space="preserve">1. Solicitud de acceso a la información. </w:t>
      </w:r>
      <w:r w:rsidRPr="004A3B87">
        <w:rPr>
          <w:rFonts w:ascii="Palatino Linotype" w:eastAsia="Palatino Linotype" w:hAnsi="Palatino Linotype" w:cs="Palatino Linotype"/>
        </w:rPr>
        <w:t>Con fecha once</w:t>
      </w:r>
      <w:r w:rsidRPr="004A3B87">
        <w:rPr>
          <w:rFonts w:ascii="Palatino Linotype" w:eastAsia="Palatino Linotype" w:hAnsi="Palatino Linotype" w:cs="Palatino Linotype"/>
          <w:sz w:val="36"/>
          <w:szCs w:val="36"/>
        </w:rPr>
        <w:t xml:space="preserve"> </w:t>
      </w:r>
      <w:r w:rsidRPr="004A3B87">
        <w:rPr>
          <w:rFonts w:ascii="Palatino Linotype" w:eastAsia="Palatino Linotype" w:hAnsi="Palatino Linotype" w:cs="Palatino Linotype"/>
        </w:rPr>
        <w:t xml:space="preserve">de octubre del dos mil veintitrés, la parte </w:t>
      </w:r>
      <w:r w:rsidRPr="004A3B87">
        <w:rPr>
          <w:rFonts w:ascii="Palatino Linotype" w:eastAsia="Palatino Linotype" w:hAnsi="Palatino Linotype" w:cs="Palatino Linotype"/>
          <w:b/>
        </w:rPr>
        <w:t xml:space="preserve">RECURRENTE </w:t>
      </w:r>
      <w:r w:rsidRPr="004A3B87">
        <w:rPr>
          <w:rFonts w:ascii="Palatino Linotype" w:eastAsia="Palatino Linotype" w:hAnsi="Palatino Linotype" w:cs="Palatino Linotype"/>
        </w:rPr>
        <w:t xml:space="preserve">presentó, través del Sistema de Acceso a la Información Mexiquense, en lo subsecuente el </w:t>
      </w:r>
      <w:r w:rsidRPr="004A3B87">
        <w:rPr>
          <w:rFonts w:ascii="Palatino Linotype" w:eastAsia="Palatino Linotype" w:hAnsi="Palatino Linotype" w:cs="Palatino Linotype"/>
          <w:b/>
        </w:rPr>
        <w:t>SAIMEX</w:t>
      </w:r>
      <w:r w:rsidRPr="004A3B87">
        <w:rPr>
          <w:rFonts w:ascii="Palatino Linotype" w:eastAsia="Palatino Linotype" w:hAnsi="Palatino Linotype" w:cs="Palatino Linotype"/>
        </w:rPr>
        <w:t xml:space="preserve">, ante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la solicitud de acceso a la información pública, a la que se le asignó el número</w:t>
      </w:r>
      <w:r w:rsidRPr="004A3B87">
        <w:rPr>
          <w:rFonts w:ascii="Palatino Linotype" w:eastAsia="Palatino Linotype" w:hAnsi="Palatino Linotype" w:cs="Palatino Linotype"/>
          <w:b/>
        </w:rPr>
        <w:t xml:space="preserve"> 00533/SMOV/IP/2023, </w:t>
      </w:r>
      <w:r w:rsidRPr="004A3B87">
        <w:rPr>
          <w:rFonts w:ascii="Palatino Linotype" w:eastAsia="Palatino Linotype" w:hAnsi="Palatino Linotype" w:cs="Palatino Linotype"/>
        </w:rPr>
        <w:t xml:space="preserve">mediante la cual requirió la información siguiente: </w:t>
      </w:r>
    </w:p>
    <w:p w14:paraId="5D90E2C8" w14:textId="77777777" w:rsidR="005A26E7" w:rsidRPr="004A3B87" w:rsidRDefault="00D0537A">
      <w:pPr>
        <w:spacing w:before="240" w:after="240"/>
        <w:ind w:left="851" w:right="900"/>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“Los estudios técnicos para la restructuración de las rutas de transporte público en Toluca por el Tren Insurgentes.” (Sic)</w:t>
      </w:r>
    </w:p>
    <w:p w14:paraId="1A59091F"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t xml:space="preserve">Modalidad elegida para la entrega de la información: </w:t>
      </w:r>
      <w:r w:rsidRPr="004A3B87">
        <w:rPr>
          <w:rFonts w:ascii="Palatino Linotype" w:eastAsia="Palatino Linotype" w:hAnsi="Palatino Linotype" w:cs="Palatino Linotype"/>
        </w:rPr>
        <w:t>a través de SAIMEX.</w:t>
      </w:r>
    </w:p>
    <w:p w14:paraId="64BFA467"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t xml:space="preserve">2. Respuesta. </w:t>
      </w:r>
      <w:r w:rsidRPr="004A3B87">
        <w:rPr>
          <w:rFonts w:ascii="Palatino Linotype" w:eastAsia="Palatino Linotype" w:hAnsi="Palatino Linotype" w:cs="Palatino Linotype"/>
        </w:rPr>
        <w:t xml:space="preserve">Con fecha primero de noviembre del dos mil veintitrés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envió su respuesta a la solicitud de acceso a la información a través del SAIMEX, la cual versa como sigue:</w:t>
      </w:r>
    </w:p>
    <w:p w14:paraId="271301D3" w14:textId="77777777" w:rsidR="005A26E7" w:rsidRPr="004A3B87" w:rsidRDefault="00D0537A">
      <w:pPr>
        <w:spacing w:before="240" w:after="240"/>
        <w:ind w:left="851" w:right="900"/>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lastRenderedPageBreak/>
        <w:t>“…se anexa respuesta…” (Sic)</w:t>
      </w:r>
    </w:p>
    <w:p w14:paraId="1F39BF8A" w14:textId="77777777" w:rsidR="005A26E7" w:rsidRPr="004A3B87" w:rsidRDefault="00D0537A">
      <w:pPr>
        <w:spacing w:line="360" w:lineRule="auto"/>
        <w:ind w:right="49"/>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adjuntó a su respuesta el siguiente archivo electrónico:</w:t>
      </w:r>
    </w:p>
    <w:p w14:paraId="0575DA57" w14:textId="77777777" w:rsidR="005A26E7" w:rsidRPr="004A3B87" w:rsidRDefault="005A26E7">
      <w:pPr>
        <w:spacing w:line="360" w:lineRule="auto"/>
        <w:ind w:right="49"/>
        <w:jc w:val="both"/>
        <w:rPr>
          <w:rFonts w:ascii="Palatino Linotype" w:eastAsia="Palatino Linotype" w:hAnsi="Palatino Linotype" w:cs="Palatino Linotype"/>
        </w:rPr>
      </w:pPr>
    </w:p>
    <w:p w14:paraId="154600D8" w14:textId="77777777" w:rsidR="005A26E7" w:rsidRPr="004A3B87" w:rsidRDefault="00D0537A">
      <w:pPr>
        <w:spacing w:line="360" w:lineRule="auto"/>
        <w:ind w:right="49"/>
        <w:jc w:val="both"/>
        <w:rPr>
          <w:rFonts w:ascii="Palatino Linotype" w:eastAsia="Palatino Linotype" w:hAnsi="Palatino Linotype" w:cs="Palatino Linotype"/>
        </w:rPr>
      </w:pPr>
      <w:r w:rsidRPr="004A3B87">
        <w:rPr>
          <w:rFonts w:ascii="Palatino Linotype" w:eastAsia="Palatino Linotype" w:hAnsi="Palatino Linotype" w:cs="Palatino Linotype"/>
        </w:rPr>
        <w:t>“</w:t>
      </w:r>
      <w:hyperlink r:id="rId8">
        <w:r w:rsidRPr="004A3B87">
          <w:rPr>
            <w:rFonts w:ascii="Palatino Linotype" w:eastAsia="Palatino Linotype" w:hAnsi="Palatino Linotype" w:cs="Palatino Linotype"/>
          </w:rPr>
          <w:t>Respuesta a Solicitud 533.pdf</w:t>
        </w:r>
      </w:hyperlink>
      <w:r w:rsidRPr="004A3B87">
        <w:rPr>
          <w:rFonts w:ascii="Palatino Linotype" w:eastAsia="Palatino Linotype" w:hAnsi="Palatino Linotype" w:cs="Palatino Linotype"/>
        </w:rPr>
        <w:t xml:space="preserve">”, por medio del cual el Titular de la Unidad de Transparencia del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informó dio a conocer las respuestas de los servidores públicos habilitados siguientes: </w:t>
      </w:r>
    </w:p>
    <w:p w14:paraId="399B0BA7" w14:textId="77777777" w:rsidR="005A26E7" w:rsidRPr="004A3B87" w:rsidRDefault="00D0537A">
      <w:pPr>
        <w:spacing w:before="240" w:after="240" w:line="360" w:lineRule="auto"/>
        <w:jc w:val="both"/>
        <w:rPr>
          <w:rFonts w:ascii="Palatino Linotype" w:eastAsia="Palatino Linotype" w:hAnsi="Palatino Linotype" w:cs="Palatino Linotype"/>
          <w:b/>
        </w:rPr>
      </w:pPr>
      <w:r w:rsidRPr="004A3B87">
        <w:rPr>
          <w:rFonts w:ascii="Palatino Linotype" w:eastAsia="Palatino Linotype" w:hAnsi="Palatino Linotype" w:cs="Palatino Linotype"/>
          <w:b/>
        </w:rPr>
        <w:t>Dirección General de Movilidad Zona I:</w:t>
      </w:r>
    </w:p>
    <w:p w14:paraId="0C1ACD74"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Señaló: “…me permito hacerle del conocimiento que después de haber realizado una búsqueda dentro de los archivos de esta Dirección General, no se localizó antecedente alguno relacionado con la información solicitada”.(Sic)</w:t>
      </w:r>
    </w:p>
    <w:p w14:paraId="7B488F10" w14:textId="77777777" w:rsidR="005A26E7" w:rsidRPr="004A3B87" w:rsidRDefault="00D0537A">
      <w:pPr>
        <w:spacing w:before="240" w:after="240" w:line="360" w:lineRule="auto"/>
        <w:jc w:val="both"/>
        <w:rPr>
          <w:rFonts w:ascii="Palatino Linotype" w:eastAsia="Palatino Linotype" w:hAnsi="Palatino Linotype" w:cs="Palatino Linotype"/>
          <w:b/>
          <w:u w:val="single"/>
        </w:rPr>
      </w:pPr>
      <w:r w:rsidRPr="004A3B87">
        <w:rPr>
          <w:rFonts w:ascii="Palatino Linotype" w:eastAsia="Palatino Linotype" w:hAnsi="Palatino Linotype" w:cs="Palatino Linotype"/>
          <w:b/>
          <w:u w:val="single"/>
        </w:rPr>
        <w:t>Dirección General de Movilidad Zona II:</w:t>
      </w:r>
    </w:p>
    <w:p w14:paraId="29A5544C"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Informó: “…Esta Dirección General de Movilidad Zona II, no tiene atribuciones en la Región Toluca, conforme a los Municipios que se encuentran adscritos para esta Unidad Administrativa de acuerdo al artículo 15 del Reglamento Interior de la secretaría de Movilidad; </w:t>
      </w:r>
      <w:r w:rsidRPr="004A3B87">
        <w:rPr>
          <w:rFonts w:ascii="Palatino Linotype" w:eastAsia="Palatino Linotype" w:hAnsi="Palatino Linotype" w:cs="Palatino Linotype"/>
          <w:b/>
        </w:rPr>
        <w:t>sin embargo, se realizó una búsqueda exhaustiva en los expedientes que conforman los archivos físicos y digitales de esta oficina y sus Delegaciones Regionales adscritas a esta Dirección General, sin encontrar antecedente o registro alguno a lo solicitado</w:t>
      </w:r>
      <w:r w:rsidRPr="004A3B87">
        <w:rPr>
          <w:rFonts w:ascii="Palatino Linotype" w:eastAsia="Palatino Linotype" w:hAnsi="Palatino Linotype" w:cs="Palatino Linotype"/>
        </w:rPr>
        <w:t xml:space="preserve">; por lo que esta área se encuentra material y jurídicamente imposibilitada, para atender favorablemente esta petición. Sin más por el momento, le envío un cordial saludo.” (Sic)  </w:t>
      </w:r>
    </w:p>
    <w:p w14:paraId="469FA846" w14:textId="77777777" w:rsidR="005A26E7" w:rsidRPr="004A3B87" w:rsidRDefault="00D0537A">
      <w:pPr>
        <w:spacing w:before="240" w:after="240" w:line="360" w:lineRule="auto"/>
        <w:jc w:val="both"/>
        <w:rPr>
          <w:rFonts w:ascii="Palatino Linotype" w:eastAsia="Palatino Linotype" w:hAnsi="Palatino Linotype" w:cs="Palatino Linotype"/>
          <w:b/>
          <w:u w:val="single"/>
        </w:rPr>
      </w:pPr>
      <w:r w:rsidRPr="004A3B87">
        <w:rPr>
          <w:rFonts w:ascii="Palatino Linotype" w:eastAsia="Palatino Linotype" w:hAnsi="Palatino Linotype" w:cs="Palatino Linotype"/>
          <w:b/>
          <w:u w:val="single"/>
        </w:rPr>
        <w:t>Dirección General de Movilidad Zona III:</w:t>
      </w:r>
    </w:p>
    <w:p w14:paraId="760755E6"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lastRenderedPageBreak/>
        <w:t>Señaló: “…me permito hacerle del conocimiento que después de haber realizado una búsqueda dentro de los archivos de esta Dirección General, no se localizó antecedente alguno relacionado con la información solicitada” (Sic)</w:t>
      </w:r>
    </w:p>
    <w:p w14:paraId="12775BE8" w14:textId="77777777" w:rsidR="005A26E7" w:rsidRPr="004A3B87" w:rsidRDefault="00D0537A">
      <w:pPr>
        <w:spacing w:before="240" w:after="240" w:line="360" w:lineRule="auto"/>
        <w:jc w:val="both"/>
        <w:rPr>
          <w:rFonts w:ascii="Palatino Linotype" w:eastAsia="Palatino Linotype" w:hAnsi="Palatino Linotype" w:cs="Palatino Linotype"/>
          <w:b/>
          <w:u w:val="single"/>
        </w:rPr>
      </w:pPr>
      <w:r w:rsidRPr="004A3B87">
        <w:rPr>
          <w:rFonts w:ascii="Palatino Linotype" w:eastAsia="Palatino Linotype" w:hAnsi="Palatino Linotype" w:cs="Palatino Linotype"/>
          <w:b/>
          <w:u w:val="single"/>
        </w:rPr>
        <w:t>Dirección General de Movilidad Zona IV:</w:t>
      </w:r>
    </w:p>
    <w:p w14:paraId="080D96CC" w14:textId="77777777" w:rsidR="005A26E7" w:rsidRPr="004A3B87" w:rsidRDefault="00D0537A">
      <w:pPr>
        <w:spacing w:before="240" w:after="240" w:line="360" w:lineRule="auto"/>
        <w:jc w:val="both"/>
      </w:pPr>
      <w:r w:rsidRPr="004A3B87">
        <w:rPr>
          <w:rFonts w:ascii="Palatino Linotype" w:eastAsia="Palatino Linotype" w:hAnsi="Palatino Linotype" w:cs="Palatino Linotype"/>
        </w:rPr>
        <w:t>Informó que: “No corresponde a esta zona de operación por cuestiones de jurisdicción…” (Sic)</w:t>
      </w:r>
    </w:p>
    <w:p w14:paraId="0C5EB67A" w14:textId="77777777" w:rsidR="005A26E7" w:rsidRPr="004A3B87" w:rsidRDefault="00D0537A">
      <w:pPr>
        <w:spacing w:line="360" w:lineRule="auto"/>
        <w:ind w:right="49"/>
        <w:jc w:val="both"/>
        <w:rPr>
          <w:rFonts w:ascii="Palatino Linotype" w:eastAsia="Palatino Linotype" w:hAnsi="Palatino Linotype" w:cs="Palatino Linotype"/>
        </w:rPr>
      </w:pPr>
      <w:r w:rsidRPr="004A3B87">
        <w:rPr>
          <w:rFonts w:ascii="Palatino Linotype" w:eastAsia="Palatino Linotype" w:hAnsi="Palatino Linotype" w:cs="Palatino Linotype"/>
          <w:b/>
        </w:rPr>
        <w:t xml:space="preserve">3. Interposición del recurso de revisión. </w:t>
      </w:r>
      <w:r w:rsidRPr="004A3B87">
        <w:rPr>
          <w:rFonts w:ascii="Palatino Linotype" w:eastAsia="Palatino Linotype" w:hAnsi="Palatino Linotype" w:cs="Palatino Linotype"/>
        </w:rPr>
        <w:t xml:space="preserve">Inconforme con la respuesta del </w:t>
      </w:r>
      <w:r w:rsidRPr="004A3B87">
        <w:rPr>
          <w:rFonts w:ascii="Palatino Linotype" w:eastAsia="Palatino Linotype" w:hAnsi="Palatino Linotype" w:cs="Palatino Linotype"/>
          <w:b/>
        </w:rPr>
        <w:t>SUJETO OBLIGADO la parte RECURRENTE</w:t>
      </w:r>
      <w:r w:rsidRPr="004A3B87">
        <w:rPr>
          <w:rFonts w:ascii="Palatino Linotype" w:eastAsia="Palatino Linotype" w:hAnsi="Palatino Linotype" w:cs="Palatino Linotype"/>
        </w:rPr>
        <w:t xml:space="preserve"> interpuso recurso de revisión a través del SAIMEX, en fecha quince de noviembre de dos mil veintitrés, a través del cual expresó lo siguiente:</w:t>
      </w:r>
    </w:p>
    <w:p w14:paraId="288B19CC" w14:textId="77777777" w:rsidR="005A26E7" w:rsidRPr="004A3B87" w:rsidRDefault="005A26E7">
      <w:pPr>
        <w:spacing w:line="360" w:lineRule="auto"/>
        <w:ind w:right="49"/>
        <w:jc w:val="both"/>
        <w:rPr>
          <w:rFonts w:ascii="Palatino Linotype" w:eastAsia="Palatino Linotype" w:hAnsi="Palatino Linotype" w:cs="Palatino Linotype"/>
        </w:rPr>
      </w:pPr>
    </w:p>
    <w:p w14:paraId="7B6978C7" w14:textId="77777777" w:rsidR="005A26E7" w:rsidRPr="004A3B87" w:rsidRDefault="00D0537A">
      <w:pPr>
        <w:spacing w:line="360" w:lineRule="auto"/>
        <w:rPr>
          <w:rFonts w:ascii="Palatino Linotype" w:eastAsia="Palatino Linotype" w:hAnsi="Palatino Linotype" w:cs="Palatino Linotype"/>
          <w:b/>
        </w:rPr>
      </w:pPr>
      <w:r w:rsidRPr="004A3B87">
        <w:rPr>
          <w:rFonts w:ascii="Palatino Linotype" w:eastAsia="Palatino Linotype" w:hAnsi="Palatino Linotype" w:cs="Palatino Linotype"/>
          <w:b/>
        </w:rPr>
        <w:t>a) Acto impugnado.</w:t>
      </w:r>
    </w:p>
    <w:p w14:paraId="184B6A0C" w14:textId="77777777" w:rsidR="005A26E7" w:rsidRPr="004A3B87" w:rsidRDefault="00D0537A">
      <w:pPr>
        <w:spacing w:after="240"/>
        <w:ind w:left="851" w:right="900"/>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“No entrega la información cunado son los responsables del transporte público como dicen no tener” (Sic)</w:t>
      </w:r>
    </w:p>
    <w:p w14:paraId="20301CA9" w14:textId="77777777" w:rsidR="005A26E7" w:rsidRPr="004A3B87" w:rsidRDefault="00D0537A">
      <w:pPr>
        <w:spacing w:line="360" w:lineRule="auto"/>
        <w:jc w:val="both"/>
        <w:rPr>
          <w:rFonts w:ascii="Palatino Linotype" w:eastAsia="Palatino Linotype" w:hAnsi="Palatino Linotype" w:cs="Palatino Linotype"/>
          <w:b/>
        </w:rPr>
      </w:pPr>
      <w:r w:rsidRPr="004A3B87">
        <w:rPr>
          <w:rFonts w:ascii="Palatino Linotype" w:eastAsia="Palatino Linotype" w:hAnsi="Palatino Linotype" w:cs="Palatino Linotype"/>
          <w:b/>
        </w:rPr>
        <w:t>b) Motivos de inconformidad.</w:t>
      </w:r>
    </w:p>
    <w:p w14:paraId="70C8521D" w14:textId="77777777" w:rsidR="005A26E7" w:rsidRPr="004A3B87" w:rsidRDefault="00D0537A">
      <w:pPr>
        <w:spacing w:after="240"/>
        <w:ind w:left="851" w:right="900"/>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“No entregan la información que es de interés de los ciudadanos.” (Sic)</w:t>
      </w:r>
    </w:p>
    <w:p w14:paraId="500310C1" w14:textId="77777777" w:rsidR="005A26E7" w:rsidRPr="004A3B87" w:rsidRDefault="00D0537A">
      <w:pPr>
        <w:spacing w:before="240" w:line="360" w:lineRule="auto"/>
        <w:jc w:val="both"/>
        <w:rPr>
          <w:rFonts w:ascii="Palatino Linotype" w:eastAsia="Palatino Linotype" w:hAnsi="Palatino Linotype" w:cs="Palatino Linotype"/>
          <w:b/>
        </w:rPr>
      </w:pPr>
      <w:r w:rsidRPr="004A3B87">
        <w:rPr>
          <w:rFonts w:ascii="Palatino Linotype" w:eastAsia="Palatino Linotype" w:hAnsi="Palatino Linotype" w:cs="Palatino Linotype"/>
          <w:b/>
        </w:rPr>
        <w:t xml:space="preserve">4. Turno. </w:t>
      </w:r>
      <w:r w:rsidRPr="004A3B8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4A3B87">
        <w:rPr>
          <w:rFonts w:ascii="Palatino Linotype" w:eastAsia="Palatino Linotype" w:hAnsi="Palatino Linotype" w:cs="Palatino Linotype"/>
          <w:b/>
        </w:rPr>
        <w:t xml:space="preserve">07959/INFOEM/IP/RR/2023, </w:t>
      </w:r>
      <w:r w:rsidRPr="004A3B87">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4A3B87">
        <w:rPr>
          <w:rFonts w:ascii="Palatino Linotype" w:eastAsia="Palatino Linotype" w:hAnsi="Palatino Linotype" w:cs="Palatino Linotype"/>
          <w:b/>
        </w:rPr>
        <w:t>Guadalupe Ramírez Peña</w:t>
      </w:r>
      <w:r w:rsidRPr="004A3B87">
        <w:rPr>
          <w:rFonts w:ascii="Palatino Linotype" w:eastAsia="Palatino Linotype" w:hAnsi="Palatino Linotype" w:cs="Palatino Linotype"/>
        </w:rPr>
        <w:t>, para su análisis, estudio, elaboración del proyecto y presentación ante el Pleno de este Instituto.</w:t>
      </w:r>
    </w:p>
    <w:p w14:paraId="20A69D73" w14:textId="77777777" w:rsidR="005A26E7" w:rsidRPr="004A3B87" w:rsidRDefault="005A26E7">
      <w:pPr>
        <w:spacing w:line="360" w:lineRule="auto"/>
        <w:jc w:val="both"/>
        <w:rPr>
          <w:rFonts w:ascii="Palatino Linotype" w:eastAsia="Palatino Linotype" w:hAnsi="Palatino Linotype" w:cs="Palatino Linotype"/>
        </w:rPr>
      </w:pPr>
    </w:p>
    <w:p w14:paraId="32F2F662" w14:textId="77777777" w:rsidR="005A26E7" w:rsidRPr="004A3B87" w:rsidRDefault="00D0537A">
      <w:pPr>
        <w:spacing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t xml:space="preserve">5. Admisión del recurso de revisión: </w:t>
      </w:r>
      <w:r w:rsidRPr="004A3B87">
        <w:rPr>
          <w:rFonts w:ascii="Palatino Linotype" w:eastAsia="Palatino Linotype" w:hAnsi="Palatino Linotype" w:cs="Palatino Linotype"/>
        </w:rPr>
        <w:t xml:space="preserve">En fecha veintiuno de noviembre de dos mil veintitrés, la Comisionada ponente, admitió a trámite el recurso de revisión que ahora se resuelve, dando un plazo máximo de siete días hábiles para que las partes manifestaran lo que a su derecho resultara conveniente, ofrecieran pruebas, formularan alegatos y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presentara su informe justificado. </w:t>
      </w:r>
    </w:p>
    <w:p w14:paraId="2DE2CA85" w14:textId="77777777" w:rsidR="005A26E7" w:rsidRPr="004A3B87" w:rsidRDefault="00D0537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0" w:name="_heading=h.gjdgxs" w:colFirst="0" w:colLast="0"/>
      <w:bookmarkEnd w:id="0"/>
      <w:r w:rsidRPr="004A3B87">
        <w:rPr>
          <w:rFonts w:ascii="Palatino Linotype" w:eastAsia="Palatino Linotype" w:hAnsi="Palatino Linotype" w:cs="Palatino Linotype"/>
          <w:b/>
        </w:rPr>
        <w:t>6. Manifestaciones</w:t>
      </w:r>
      <w:r w:rsidRPr="004A3B87">
        <w:rPr>
          <w:rFonts w:ascii="Palatino Linotype" w:eastAsia="Palatino Linotype" w:hAnsi="Palatino Linotype" w:cs="Palatino Linotype"/>
        </w:rPr>
        <w:t xml:space="preserve">: De las constancias que integran el expediente en que se actúa se advierte que el </w:t>
      </w:r>
      <w:r w:rsidRPr="004A3B87">
        <w:rPr>
          <w:rFonts w:ascii="Palatino Linotype" w:eastAsia="Palatino Linotype" w:hAnsi="Palatino Linotype" w:cs="Palatino Linotype"/>
          <w:b/>
        </w:rPr>
        <w:t>RECURRENT</w:t>
      </w:r>
      <w:r w:rsidRPr="004A3B87">
        <w:rPr>
          <w:rFonts w:ascii="Palatino Linotype" w:eastAsia="Palatino Linotype" w:hAnsi="Palatino Linotype" w:cs="Palatino Linotype"/>
        </w:rPr>
        <w:t>E, fue omiso en presentar sus alegatos o manifestación alguna.</w:t>
      </w:r>
    </w:p>
    <w:p w14:paraId="70801DA4"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Por su parte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en fecha treinta de noviembre del año dos mil veintitrés, remitió los siguientes archivos electrónicos:</w:t>
      </w:r>
    </w:p>
    <w:p w14:paraId="7DFE07CC" w14:textId="77777777" w:rsidR="005A26E7" w:rsidRPr="004A3B87" w:rsidRDefault="00D0537A">
      <w:pPr>
        <w:spacing w:line="360" w:lineRule="auto"/>
        <w:jc w:val="both"/>
        <w:rPr>
          <w:rFonts w:ascii="Palatino Linotype" w:eastAsia="Palatino Linotype" w:hAnsi="Palatino Linotype" w:cs="Palatino Linotype"/>
        </w:rPr>
      </w:pPr>
      <w:r w:rsidRPr="004A3B87">
        <w:fldChar w:fldCharType="begin"/>
      </w:r>
      <w:r w:rsidRPr="004A3B87">
        <w:instrText xml:space="preserve"> HYPERLINK "https://saimex.org.mx/saimex/solicitud/downloadAttach/1969982.page" </w:instrText>
      </w:r>
      <w:r w:rsidRPr="004A3B87">
        <w:fldChar w:fldCharType="separate"/>
      </w:r>
    </w:p>
    <w:p w14:paraId="157E1A9E"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“CCT.7959.2023.pdf</w:t>
      </w:r>
      <w:r w:rsidRPr="004A3B87">
        <w:fldChar w:fldCharType="end"/>
      </w:r>
      <w:r w:rsidRPr="004A3B87">
        <w:rPr>
          <w:rFonts w:ascii="Palatino Linotype" w:eastAsia="Palatino Linotype" w:hAnsi="Palatino Linotype" w:cs="Palatino Linotype"/>
        </w:rPr>
        <w:t xml:space="preserve">”, el cual contiene el informe justificado del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por medio del cual además de señalar los antecedentes del presente asunto, informó en lo medular que, en cuanto a los motivos de inconformidad de la parte </w:t>
      </w:r>
      <w:r w:rsidRPr="004A3B87">
        <w:rPr>
          <w:rFonts w:ascii="Palatino Linotype" w:eastAsia="Palatino Linotype" w:hAnsi="Palatino Linotype" w:cs="Palatino Linotype"/>
          <w:b/>
        </w:rPr>
        <w:t>RECURRENTE</w:t>
      </w:r>
      <w:r w:rsidRPr="004A3B87">
        <w:rPr>
          <w:rFonts w:ascii="Palatino Linotype" w:eastAsia="Palatino Linotype" w:hAnsi="Palatino Linotype" w:cs="Palatino Linotype"/>
        </w:rPr>
        <w:t xml:space="preserve">, que en ningún momento se le negó el derecho de acceso a la información en razón de que se le entregó la respuesta con la que se cuenta, solicitando se confirme su respuesta primigenia. </w:t>
      </w:r>
    </w:p>
    <w:p w14:paraId="21CFDC78" w14:textId="77777777" w:rsidR="005A26E7" w:rsidRPr="004A3B87" w:rsidRDefault="005A26E7">
      <w:pPr>
        <w:spacing w:line="360" w:lineRule="auto"/>
        <w:jc w:val="both"/>
        <w:rPr>
          <w:rFonts w:ascii="Palatino Linotype" w:eastAsia="Palatino Linotype" w:hAnsi="Palatino Linotype" w:cs="Palatino Linotype"/>
        </w:rPr>
      </w:pPr>
    </w:p>
    <w:p w14:paraId="3E499C7E"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w:t>
      </w:r>
      <w:hyperlink r:id="rId9">
        <w:r w:rsidRPr="004A3B87">
          <w:rPr>
            <w:rFonts w:ascii="Palatino Linotype" w:eastAsia="Palatino Linotype" w:hAnsi="Palatino Linotype" w:cs="Palatino Linotype"/>
          </w:rPr>
          <w:t>DGMZ1 (1).</w:t>
        </w:r>
        <w:proofErr w:type="spellStart"/>
        <w:r w:rsidRPr="004A3B87">
          <w:rPr>
            <w:rFonts w:ascii="Palatino Linotype" w:eastAsia="Palatino Linotype" w:hAnsi="Palatino Linotype" w:cs="Palatino Linotype"/>
          </w:rPr>
          <w:t>pdf</w:t>
        </w:r>
        <w:proofErr w:type="spellEnd"/>
      </w:hyperlink>
      <w:r w:rsidRPr="004A3B87">
        <w:rPr>
          <w:rFonts w:ascii="Palatino Linotype" w:eastAsia="Palatino Linotype" w:hAnsi="Palatino Linotype" w:cs="Palatino Linotype"/>
        </w:rPr>
        <w:t xml:space="preserve">”, el cual contiene el oficio número 22001001A 000000/2023/1090, por medio del cual el Director General de Movilidad de la Zona I ratificó su respuesta primigenia. </w:t>
      </w:r>
    </w:p>
    <w:p w14:paraId="290570C1" w14:textId="77777777" w:rsidR="005A26E7" w:rsidRPr="004A3B87" w:rsidRDefault="005A26E7">
      <w:pPr>
        <w:spacing w:line="360" w:lineRule="auto"/>
        <w:jc w:val="both"/>
        <w:rPr>
          <w:rFonts w:ascii="Palatino Linotype" w:eastAsia="Palatino Linotype" w:hAnsi="Palatino Linotype" w:cs="Palatino Linotype"/>
        </w:rPr>
      </w:pPr>
    </w:p>
    <w:p w14:paraId="50C373EE"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lastRenderedPageBreak/>
        <w:t>“</w:t>
      </w:r>
      <w:hyperlink r:id="rId10">
        <w:r w:rsidRPr="004A3B87">
          <w:rPr>
            <w:rFonts w:ascii="Palatino Linotype" w:eastAsia="Palatino Linotype" w:hAnsi="Palatino Linotype" w:cs="Palatino Linotype"/>
          </w:rPr>
          <w:t>DGMZ3.pdf</w:t>
        </w:r>
      </w:hyperlink>
      <w:r w:rsidRPr="004A3B87">
        <w:rPr>
          <w:rFonts w:ascii="Palatino Linotype" w:eastAsia="Palatino Linotype" w:hAnsi="Palatino Linotype" w:cs="Palatino Linotype"/>
        </w:rPr>
        <w:t xml:space="preserve">”, el cual contiene el oficio número 22001003T/1026/2023, por medio del cual el Director General de Movilidad de la Zona III ratificó su respuesta primigenia. </w:t>
      </w:r>
    </w:p>
    <w:p w14:paraId="754346CD" w14:textId="77777777" w:rsidR="005A26E7" w:rsidRPr="004A3B87" w:rsidRDefault="005A26E7">
      <w:pPr>
        <w:spacing w:line="360" w:lineRule="auto"/>
        <w:jc w:val="both"/>
        <w:rPr>
          <w:rFonts w:ascii="Palatino Linotype" w:eastAsia="Palatino Linotype" w:hAnsi="Palatino Linotype" w:cs="Palatino Linotype"/>
        </w:rPr>
      </w:pPr>
    </w:p>
    <w:p w14:paraId="31002268"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w:t>
      </w:r>
      <w:hyperlink r:id="rId11">
        <w:r w:rsidRPr="004A3B87">
          <w:rPr>
            <w:rFonts w:ascii="Palatino Linotype" w:eastAsia="Palatino Linotype" w:hAnsi="Palatino Linotype" w:cs="Palatino Linotype"/>
          </w:rPr>
          <w:t>DGMZIV.pdf</w:t>
        </w:r>
      </w:hyperlink>
      <w:r w:rsidRPr="004A3B87">
        <w:rPr>
          <w:rFonts w:ascii="Palatino Linotype" w:eastAsia="Palatino Linotype" w:hAnsi="Palatino Linotype" w:cs="Palatino Linotype"/>
        </w:rPr>
        <w:t xml:space="preserve">”, el cual contiene el oficio número 22001004A000000/0852/2023, por medio del cual el Director General de Movilidad de la Zona IV ratificó su respuesta primigenia. </w:t>
      </w:r>
    </w:p>
    <w:p w14:paraId="6D34B40A" w14:textId="77777777" w:rsidR="005A26E7" w:rsidRPr="004A3B87" w:rsidRDefault="005A26E7">
      <w:pPr>
        <w:spacing w:line="360" w:lineRule="auto"/>
        <w:jc w:val="both"/>
        <w:rPr>
          <w:rFonts w:ascii="Palatino Linotype" w:eastAsia="Palatino Linotype" w:hAnsi="Palatino Linotype" w:cs="Palatino Linotype"/>
        </w:rPr>
      </w:pPr>
    </w:p>
    <w:p w14:paraId="19EBCFAF"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w:t>
      </w:r>
      <w:hyperlink r:id="rId12">
        <w:r w:rsidRPr="004A3B87">
          <w:rPr>
            <w:rFonts w:ascii="Palatino Linotype" w:eastAsia="Palatino Linotype" w:hAnsi="Palatino Linotype" w:cs="Palatino Linotype"/>
          </w:rPr>
          <w:t>DGMZII.pdf</w:t>
        </w:r>
      </w:hyperlink>
      <w:r w:rsidRPr="004A3B87">
        <w:rPr>
          <w:rFonts w:ascii="Palatino Linotype" w:eastAsia="Palatino Linotype" w:hAnsi="Palatino Linotype" w:cs="Palatino Linotype"/>
        </w:rPr>
        <w:t xml:space="preserve">”, el cual contiene el oficio número 22001002000000T/1983/2023, por medio del cual el Director General de Movilidad de la Zona II en lo medular ratificó su respuesta primigenia. </w:t>
      </w:r>
    </w:p>
    <w:p w14:paraId="068B1D5B" w14:textId="77777777" w:rsidR="005A26E7" w:rsidRPr="004A3B87" w:rsidRDefault="005A26E7">
      <w:pPr>
        <w:spacing w:line="360" w:lineRule="auto"/>
        <w:jc w:val="both"/>
        <w:rPr>
          <w:rFonts w:ascii="Palatino Linotype" w:eastAsia="Palatino Linotype" w:hAnsi="Palatino Linotype" w:cs="Palatino Linotype"/>
        </w:rPr>
      </w:pPr>
    </w:p>
    <w:p w14:paraId="21F1E90D" w14:textId="77777777" w:rsidR="005A26E7" w:rsidRPr="004A3B87" w:rsidRDefault="00D0537A">
      <w:pPr>
        <w:spacing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Documentos que, una vez analizados en fecha trece de marzo del año en curso, se hicieron del conocimiento de la parte </w:t>
      </w:r>
      <w:r w:rsidRPr="004A3B87">
        <w:rPr>
          <w:rFonts w:ascii="Palatino Linotype" w:eastAsia="Palatino Linotype" w:hAnsi="Palatino Linotype" w:cs="Palatino Linotype"/>
          <w:b/>
        </w:rPr>
        <w:t>RECURRENTE</w:t>
      </w:r>
      <w:r w:rsidRPr="004A3B87">
        <w:rPr>
          <w:rFonts w:ascii="Palatino Linotype" w:eastAsia="Palatino Linotype" w:hAnsi="Palatino Linotype" w:cs="Palatino Linotype"/>
        </w:rPr>
        <w:t xml:space="preserve"> a efecto de que manifestara lo que a su derecho estimara conveniente, sin embargo, fue omisa en ejercer dicha prerrogativa en el plazo establecido para tal efecto.</w:t>
      </w:r>
    </w:p>
    <w:p w14:paraId="58866C04" w14:textId="77777777" w:rsidR="005A26E7" w:rsidRPr="004A3B87" w:rsidRDefault="00D0537A">
      <w:pPr>
        <w:widowControl w:val="0"/>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t>7.- Ampliación del plazo.</w:t>
      </w:r>
      <w:r w:rsidRPr="004A3B87">
        <w:rPr>
          <w:rFonts w:ascii="Palatino Linotype" w:eastAsia="Palatino Linotype" w:hAnsi="Palatino Linotype" w:cs="Palatino Linotype"/>
        </w:rPr>
        <w:t xml:space="preserve"> En fecha trece de marzo del año dos mil veinticuatro, con fundamento en el artículo 181, párrafo tercero de la Ley de Transparencia y Acceso a la Información Pública del Estado de México y Municipios, se acordó la ampliación del plazo para su resolución.</w:t>
      </w:r>
    </w:p>
    <w:p w14:paraId="37EABC8E" w14:textId="77777777" w:rsidR="005A26E7" w:rsidRPr="004A3B87" w:rsidRDefault="005A26E7">
      <w:pPr>
        <w:widowControl w:val="0"/>
        <w:spacing w:line="360" w:lineRule="auto"/>
        <w:jc w:val="both"/>
        <w:rPr>
          <w:rFonts w:ascii="Palatino Linotype" w:eastAsia="Palatino Linotype" w:hAnsi="Palatino Linotype" w:cs="Palatino Linotype"/>
        </w:rPr>
      </w:pPr>
    </w:p>
    <w:p w14:paraId="43506B07"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circunstancia atípica que ha rebasado las capacidades </w:t>
      </w:r>
      <w:r w:rsidRPr="004A3B87">
        <w:rPr>
          <w:rFonts w:ascii="Palatino Linotype" w:eastAsia="Palatino Linotype" w:hAnsi="Palatino Linotype" w:cs="Palatino Linotype"/>
        </w:rPr>
        <w:lastRenderedPageBreak/>
        <w:t>técnicas y humanas del personal encargado de la proyección de las resoluciones a dichos medios de impugnación.</w:t>
      </w:r>
    </w:p>
    <w:p w14:paraId="7F26C468" w14:textId="77777777" w:rsidR="005A26E7" w:rsidRPr="004A3B87" w:rsidRDefault="005A26E7">
      <w:pPr>
        <w:spacing w:line="360" w:lineRule="auto"/>
        <w:jc w:val="both"/>
        <w:rPr>
          <w:rFonts w:ascii="Palatino Linotype" w:eastAsia="Palatino Linotype" w:hAnsi="Palatino Linotype" w:cs="Palatino Linotype"/>
        </w:rPr>
      </w:pPr>
    </w:p>
    <w:p w14:paraId="0D49B3F5"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F898050" w14:textId="77777777" w:rsidR="005A26E7" w:rsidRPr="004A3B87" w:rsidRDefault="005A26E7">
      <w:pPr>
        <w:spacing w:line="360" w:lineRule="auto"/>
        <w:jc w:val="both"/>
        <w:rPr>
          <w:rFonts w:ascii="Palatino Linotype" w:eastAsia="Palatino Linotype" w:hAnsi="Palatino Linotype" w:cs="Palatino Linotype"/>
        </w:rPr>
      </w:pPr>
    </w:p>
    <w:p w14:paraId="390C73C0"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DC15BCD" w14:textId="77777777" w:rsidR="005A26E7" w:rsidRPr="004A3B87" w:rsidRDefault="005A26E7">
      <w:pPr>
        <w:spacing w:line="360" w:lineRule="auto"/>
        <w:jc w:val="both"/>
        <w:rPr>
          <w:rFonts w:ascii="Palatino Linotype" w:eastAsia="Palatino Linotype" w:hAnsi="Palatino Linotype" w:cs="Palatino Linotype"/>
        </w:rPr>
      </w:pPr>
    </w:p>
    <w:p w14:paraId="6DEB9326"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179042E" w14:textId="77777777" w:rsidR="005A26E7" w:rsidRPr="004A3B87" w:rsidRDefault="005A26E7">
      <w:pPr>
        <w:spacing w:line="360" w:lineRule="auto"/>
        <w:jc w:val="both"/>
        <w:rPr>
          <w:rFonts w:ascii="Palatino Linotype" w:eastAsia="Palatino Linotype" w:hAnsi="Palatino Linotype" w:cs="Palatino Linotype"/>
        </w:rPr>
      </w:pPr>
    </w:p>
    <w:p w14:paraId="1AA2176E" w14:textId="77777777" w:rsidR="005A26E7" w:rsidRPr="004A3B87" w:rsidRDefault="00D0537A">
      <w:pPr>
        <w:spacing w:line="360" w:lineRule="auto"/>
        <w:jc w:val="both"/>
        <w:rPr>
          <w:rFonts w:ascii="Palatino Linotype" w:eastAsia="Palatino Linotype" w:hAnsi="Palatino Linotype" w:cs="Palatino Linotype"/>
          <w:strike/>
        </w:rPr>
      </w:pPr>
      <w:r w:rsidRPr="004A3B8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7698BB6" w14:textId="77777777" w:rsidR="005A26E7" w:rsidRPr="004A3B87" w:rsidRDefault="005A26E7">
      <w:pPr>
        <w:spacing w:line="360" w:lineRule="auto"/>
        <w:jc w:val="both"/>
        <w:rPr>
          <w:rFonts w:ascii="Palatino Linotype" w:eastAsia="Palatino Linotype" w:hAnsi="Palatino Linotype" w:cs="Palatino Linotype"/>
        </w:rPr>
      </w:pPr>
    </w:p>
    <w:p w14:paraId="0721A5AB" w14:textId="77777777" w:rsidR="005A26E7" w:rsidRPr="004A3B87" w:rsidRDefault="00D0537A">
      <w:pPr>
        <w:numPr>
          <w:ilvl w:val="0"/>
          <w:numId w:val="5"/>
        </w:num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30DD3324" w14:textId="77777777" w:rsidR="005A26E7" w:rsidRPr="004A3B87" w:rsidRDefault="005A26E7">
      <w:pPr>
        <w:spacing w:line="360" w:lineRule="auto"/>
        <w:ind w:left="927"/>
        <w:jc w:val="both"/>
        <w:rPr>
          <w:rFonts w:ascii="Palatino Linotype" w:eastAsia="Palatino Linotype" w:hAnsi="Palatino Linotype" w:cs="Palatino Linotype"/>
        </w:rPr>
      </w:pPr>
    </w:p>
    <w:p w14:paraId="30FFB163" w14:textId="77777777" w:rsidR="005A26E7" w:rsidRPr="004A3B87" w:rsidRDefault="00D0537A">
      <w:pPr>
        <w:numPr>
          <w:ilvl w:val="0"/>
          <w:numId w:val="5"/>
        </w:num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Actividad Procesal del interesado. Acciones u omisiones del interesado.</w:t>
      </w:r>
    </w:p>
    <w:p w14:paraId="5C44FD7A" w14:textId="77777777" w:rsidR="005A26E7" w:rsidRPr="004A3B87" w:rsidRDefault="005A26E7">
      <w:pPr>
        <w:spacing w:line="360" w:lineRule="auto"/>
        <w:jc w:val="both"/>
        <w:rPr>
          <w:rFonts w:ascii="Palatino Linotype" w:eastAsia="Palatino Linotype" w:hAnsi="Palatino Linotype" w:cs="Palatino Linotype"/>
        </w:rPr>
      </w:pPr>
    </w:p>
    <w:p w14:paraId="5DBD1B58" w14:textId="77777777" w:rsidR="005A26E7" w:rsidRPr="004A3B87" w:rsidRDefault="00D0537A">
      <w:pPr>
        <w:numPr>
          <w:ilvl w:val="0"/>
          <w:numId w:val="5"/>
        </w:num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Conducta de la Autoridad: Las Acciones u omisiones realizadas en el procedimiento. Así como si la autoridad actuó con la debida diligencia.</w:t>
      </w:r>
    </w:p>
    <w:p w14:paraId="3ACED9A2" w14:textId="77777777" w:rsidR="005A26E7" w:rsidRPr="004A3B87" w:rsidRDefault="005A26E7">
      <w:pPr>
        <w:spacing w:line="360" w:lineRule="auto"/>
        <w:ind w:left="708"/>
        <w:rPr>
          <w:rFonts w:ascii="Palatino Linotype" w:eastAsia="Palatino Linotype" w:hAnsi="Palatino Linotype" w:cs="Palatino Linotype"/>
        </w:rPr>
      </w:pPr>
    </w:p>
    <w:p w14:paraId="2C7FED73" w14:textId="77777777" w:rsidR="005A26E7" w:rsidRPr="004A3B87" w:rsidRDefault="00D0537A">
      <w:pPr>
        <w:spacing w:line="360" w:lineRule="auto"/>
        <w:ind w:left="567"/>
        <w:jc w:val="both"/>
        <w:rPr>
          <w:rFonts w:ascii="Palatino Linotype" w:eastAsia="Palatino Linotype" w:hAnsi="Palatino Linotype" w:cs="Palatino Linotype"/>
        </w:rPr>
      </w:pPr>
      <w:r w:rsidRPr="004A3B87">
        <w:rPr>
          <w:rFonts w:ascii="Palatino Linotype" w:eastAsia="Palatino Linotype" w:hAnsi="Palatino Linotype" w:cs="Palatino Linotype"/>
        </w:rPr>
        <w:t>d) La afectación generada en la situación jurídica de la persona involucrada en el proceso: Violación a sus derechos humanos.</w:t>
      </w:r>
    </w:p>
    <w:p w14:paraId="42C52733" w14:textId="77777777" w:rsidR="005A26E7" w:rsidRPr="004A3B87" w:rsidRDefault="005A26E7">
      <w:pPr>
        <w:spacing w:line="360" w:lineRule="auto"/>
        <w:jc w:val="both"/>
        <w:rPr>
          <w:rFonts w:ascii="Palatino Linotype" w:eastAsia="Palatino Linotype" w:hAnsi="Palatino Linotype" w:cs="Palatino Linotype"/>
        </w:rPr>
      </w:pPr>
    </w:p>
    <w:p w14:paraId="207DA1E0"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EB7D9C2" w14:textId="77777777" w:rsidR="005A26E7" w:rsidRPr="004A3B87" w:rsidRDefault="005A26E7">
      <w:pPr>
        <w:spacing w:line="360" w:lineRule="auto"/>
        <w:jc w:val="both"/>
        <w:rPr>
          <w:rFonts w:ascii="Palatino Linotype" w:eastAsia="Palatino Linotype" w:hAnsi="Palatino Linotype" w:cs="Palatino Linotype"/>
        </w:rPr>
      </w:pPr>
    </w:p>
    <w:p w14:paraId="3E29909D" w14:textId="77777777" w:rsidR="005A26E7" w:rsidRPr="004A3B87" w:rsidRDefault="00D0537A">
      <w:pPr>
        <w:spacing w:line="360" w:lineRule="auto"/>
        <w:jc w:val="both"/>
        <w:rPr>
          <w:rFonts w:ascii="Palatino Linotype" w:eastAsia="Palatino Linotype" w:hAnsi="Palatino Linotype" w:cs="Palatino Linotype"/>
          <w:b/>
        </w:rPr>
      </w:pPr>
      <w:r w:rsidRPr="004A3B8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A3B87">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4A3B87">
        <w:rPr>
          <w:rFonts w:ascii="Palatino Linotype" w:eastAsia="Palatino Linotype" w:hAnsi="Palatino Linotype" w:cs="Palatino Linotype"/>
          <w:i/>
        </w:rPr>
        <w:lastRenderedPageBreak/>
        <w:t>CARACTERÍSTICAS DEL CASO.”</w:t>
      </w:r>
      <w:r w:rsidRPr="004A3B87">
        <w:rPr>
          <w:rFonts w:ascii="Palatino Linotype" w:eastAsia="Palatino Linotype" w:hAnsi="Palatino Linotype" w:cs="Palatino Linotype"/>
        </w:rPr>
        <w:t>, visible en la Gaceta del Seminario Judicial de la Federación con el registro digital 205635.</w:t>
      </w:r>
    </w:p>
    <w:p w14:paraId="5B9DA628" w14:textId="77777777" w:rsidR="005A26E7" w:rsidRPr="004A3B87" w:rsidRDefault="005A26E7">
      <w:pPr>
        <w:spacing w:line="360" w:lineRule="auto"/>
        <w:jc w:val="both"/>
        <w:rPr>
          <w:rFonts w:ascii="Palatino Linotype" w:eastAsia="Palatino Linotype" w:hAnsi="Palatino Linotype" w:cs="Palatino Linotype"/>
        </w:rPr>
      </w:pPr>
    </w:p>
    <w:p w14:paraId="49FC458A"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04A662" w14:textId="77777777" w:rsidR="005A26E7" w:rsidRPr="004A3B87" w:rsidRDefault="005A26E7">
      <w:pPr>
        <w:spacing w:line="360" w:lineRule="auto"/>
        <w:jc w:val="both"/>
        <w:rPr>
          <w:rFonts w:ascii="Palatino Linotype" w:eastAsia="Palatino Linotype" w:hAnsi="Palatino Linotype" w:cs="Palatino Linotype"/>
        </w:rPr>
      </w:pPr>
    </w:p>
    <w:p w14:paraId="436FE2FB"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66387E2" w14:textId="77777777" w:rsidR="005A26E7" w:rsidRPr="004A3B87" w:rsidRDefault="005A26E7">
      <w:pPr>
        <w:spacing w:line="360" w:lineRule="auto"/>
        <w:jc w:val="both"/>
        <w:rPr>
          <w:rFonts w:ascii="Palatino Linotype" w:eastAsia="Palatino Linotype" w:hAnsi="Palatino Linotype" w:cs="Palatino Linotype"/>
        </w:rPr>
      </w:pPr>
    </w:p>
    <w:p w14:paraId="2360B4A2"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 </w:t>
      </w:r>
      <w:r w:rsidRPr="004A3B87">
        <w:rPr>
          <w:rFonts w:ascii="Palatino Linotype" w:eastAsia="Palatino Linotype" w:hAnsi="Palatino Linotype" w:cs="Palatino Linotype"/>
          <w:i/>
        </w:rPr>
        <w:t>“PLAZO RAZONABLE PARA RESOLVER. DIMENSIÓN Y EFECTOS DE ESTE CONCEPTO CUANDO SE ADUCE EXCESIVA CARGA DE TRABAJO.”</w:t>
      </w:r>
      <w:r w:rsidRPr="004A3B87">
        <w:rPr>
          <w:rFonts w:ascii="Palatino Linotype" w:eastAsia="Palatino Linotype" w:hAnsi="Palatino Linotype" w:cs="Palatino Linotype"/>
        </w:rPr>
        <w:t xml:space="preserve"> consultable en el Seminario Judicial de la Federación y su gaceta, con el registro digital 2002351.</w:t>
      </w:r>
    </w:p>
    <w:p w14:paraId="4FFE61EC" w14:textId="77777777" w:rsidR="005A26E7" w:rsidRPr="004A3B87" w:rsidRDefault="005A26E7">
      <w:pPr>
        <w:spacing w:line="360" w:lineRule="auto"/>
        <w:jc w:val="both"/>
        <w:rPr>
          <w:rFonts w:ascii="Palatino Linotype" w:eastAsia="Palatino Linotype" w:hAnsi="Palatino Linotype" w:cs="Palatino Linotype"/>
          <w:b/>
        </w:rPr>
      </w:pPr>
    </w:p>
    <w:p w14:paraId="6CFF87FA"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i/>
        </w:rPr>
        <w:t xml:space="preserve">“PLAZO RAZONABLE PARA RESOLVER. CONCEPTO Y ELEMENTOS QUE LO INTEGRAN A LA LUZ DEL DERECHO INTERNACIONAL DE LOS DERECHOS </w:t>
      </w:r>
      <w:r w:rsidRPr="004A3B87">
        <w:rPr>
          <w:rFonts w:ascii="Palatino Linotype" w:eastAsia="Palatino Linotype" w:hAnsi="Palatino Linotype" w:cs="Palatino Linotype"/>
          <w:i/>
        </w:rPr>
        <w:lastRenderedPageBreak/>
        <w:t>HUMANOS.”</w:t>
      </w:r>
      <w:r w:rsidRPr="004A3B87">
        <w:rPr>
          <w:rFonts w:ascii="Palatino Linotype" w:eastAsia="Palatino Linotype" w:hAnsi="Palatino Linotype" w:cs="Palatino Linotype"/>
        </w:rPr>
        <w:t>, visible en el Seminario Judicial de la Federación y su gaceta, con el registro digital 2002350.</w:t>
      </w:r>
    </w:p>
    <w:p w14:paraId="22107B95" w14:textId="77777777" w:rsidR="005A26E7" w:rsidRPr="004A3B87" w:rsidRDefault="005A26E7">
      <w:pPr>
        <w:spacing w:line="360" w:lineRule="auto"/>
        <w:jc w:val="both"/>
        <w:rPr>
          <w:rFonts w:ascii="Palatino Linotype" w:eastAsia="Palatino Linotype" w:hAnsi="Palatino Linotype" w:cs="Palatino Linotype"/>
        </w:rPr>
      </w:pPr>
    </w:p>
    <w:p w14:paraId="6D61BD0C"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99E5EDB" w14:textId="77777777" w:rsidR="005A26E7" w:rsidRPr="004A3B87" w:rsidRDefault="005A26E7">
      <w:pPr>
        <w:spacing w:line="360" w:lineRule="auto"/>
        <w:jc w:val="both"/>
        <w:rPr>
          <w:rFonts w:ascii="Palatino Linotype" w:eastAsia="Palatino Linotype" w:hAnsi="Palatino Linotype" w:cs="Palatino Linotype"/>
          <w:b/>
        </w:rPr>
      </w:pPr>
    </w:p>
    <w:p w14:paraId="2BA9EE2C"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t xml:space="preserve">8.- Cierre de instrucción. </w:t>
      </w:r>
      <w:r w:rsidRPr="004A3B87">
        <w:rPr>
          <w:rFonts w:ascii="Palatino Linotype" w:eastAsia="Palatino Linotype" w:hAnsi="Palatino Linotype" w:cs="Palatino Linotype"/>
        </w:rPr>
        <w:t>El veinte de marzo de dos mil veinticuatro la Comisionada ponente determinó el cierre de instrucción en términos de la fracción VI del artículo 185 de la Ley de Transparencia y Acceso a la Información Pública del Estado de México y Municipios.</w:t>
      </w:r>
    </w:p>
    <w:p w14:paraId="3122D611" w14:textId="77777777" w:rsidR="005A26E7" w:rsidRPr="004A3B87" w:rsidRDefault="005A26E7">
      <w:pPr>
        <w:spacing w:line="360" w:lineRule="auto"/>
        <w:jc w:val="both"/>
        <w:rPr>
          <w:rFonts w:ascii="Palatino Linotype" w:eastAsia="Palatino Linotype" w:hAnsi="Palatino Linotype" w:cs="Palatino Linotype"/>
        </w:rPr>
      </w:pPr>
    </w:p>
    <w:p w14:paraId="207B19FA" w14:textId="77777777" w:rsidR="005A26E7" w:rsidRPr="004A3B87" w:rsidRDefault="00D0537A">
      <w:pPr>
        <w:spacing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DA05075" w14:textId="77777777" w:rsidR="005A26E7" w:rsidRPr="004A3B87" w:rsidRDefault="00D0537A">
      <w:pPr>
        <w:numPr>
          <w:ilvl w:val="0"/>
          <w:numId w:val="2"/>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1" w:name="_heading=h.30j0zll" w:colFirst="0" w:colLast="0"/>
      <w:bookmarkEnd w:id="1"/>
      <w:r w:rsidRPr="004A3B87">
        <w:rPr>
          <w:rFonts w:ascii="Palatino Linotype" w:eastAsia="Palatino Linotype" w:hAnsi="Palatino Linotype" w:cs="Palatino Linotype"/>
          <w:b/>
          <w:sz w:val="22"/>
          <w:szCs w:val="22"/>
        </w:rPr>
        <w:t>C O N S I D E R A N D O:</w:t>
      </w:r>
    </w:p>
    <w:p w14:paraId="7A3B5AAA"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t xml:space="preserve">Primero. Competencia. </w:t>
      </w:r>
      <w:r w:rsidRPr="004A3B87">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w:t>
      </w:r>
      <w:r w:rsidRPr="004A3B87">
        <w:rPr>
          <w:rFonts w:ascii="Palatino Linotype" w:eastAsia="Palatino Linotype" w:hAnsi="Palatino Linotype" w:cs="Palatino Linotype"/>
        </w:rPr>
        <w:lastRenderedPageBreak/>
        <w:t>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121482"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t>Segundo. Oportunidad y Procedibilidad del Recurso de Revisión</w:t>
      </w:r>
      <w:r w:rsidRPr="004A3B87">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emitió su respuesta a la solicitud planteada por el solicitante en fecha primero de noviembre del año dos mil veintitrés y la parte </w:t>
      </w:r>
      <w:r w:rsidRPr="004A3B87">
        <w:rPr>
          <w:rFonts w:ascii="Palatino Linotype" w:eastAsia="Palatino Linotype" w:hAnsi="Palatino Linotype" w:cs="Palatino Linotype"/>
          <w:b/>
        </w:rPr>
        <w:t>RECURRENTE</w:t>
      </w:r>
      <w:r w:rsidRPr="004A3B87">
        <w:rPr>
          <w:rFonts w:ascii="Palatino Linotype" w:eastAsia="Palatino Linotype" w:hAnsi="Palatino Linotype" w:cs="Palatino Linotype"/>
        </w:rPr>
        <w:t xml:space="preserve"> presentó su recurso de revisión el quince de noviembre del mismo año; esto es, al noveno día hábil siguiente de aquel en que tuvo conocimiento de la respuesta; evidenciándose que la interposición del recurso se encuentra dentro de los márgenes temporales previstos en el citado precepto legal.</w:t>
      </w:r>
    </w:p>
    <w:p w14:paraId="1AA996AC" w14:textId="77777777" w:rsidR="005A26E7" w:rsidRPr="004A3B87" w:rsidRDefault="00D0537A">
      <w:pPr>
        <w:spacing w:before="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Al mismo tiempo, por cuanto hace a la procedibilidad del recurso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705F6FC" w14:textId="77777777" w:rsidR="005A26E7" w:rsidRPr="004A3B87" w:rsidRDefault="005A26E7">
      <w:pPr>
        <w:ind w:left="567" w:right="474"/>
        <w:jc w:val="both"/>
        <w:rPr>
          <w:rFonts w:ascii="Palatino Linotype" w:eastAsia="Palatino Linotype" w:hAnsi="Palatino Linotype" w:cs="Palatino Linotype"/>
          <w:i/>
        </w:rPr>
      </w:pPr>
    </w:p>
    <w:p w14:paraId="3AE10BB9" w14:textId="77777777" w:rsidR="005A26E7" w:rsidRPr="004A3B87" w:rsidRDefault="00D0537A">
      <w:pPr>
        <w:ind w:left="567" w:right="474"/>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lastRenderedPageBreak/>
        <w:t>"</w:t>
      </w:r>
      <w:r w:rsidRPr="004A3B87">
        <w:rPr>
          <w:rFonts w:ascii="Palatino Linotype" w:eastAsia="Palatino Linotype" w:hAnsi="Palatino Linotype" w:cs="Palatino Linotype"/>
          <w:b/>
          <w:i/>
          <w:sz w:val="22"/>
          <w:szCs w:val="22"/>
        </w:rPr>
        <w:t>Las solicitudes anónimas</w:t>
      </w:r>
      <w:r w:rsidRPr="004A3B87">
        <w:rPr>
          <w:rFonts w:ascii="Palatino Linotype" w:eastAsia="Palatino Linotype" w:hAnsi="Palatino Linotype" w:cs="Palatino Linotype"/>
          <w:i/>
          <w:sz w:val="22"/>
          <w:szCs w:val="22"/>
        </w:rPr>
        <w:t xml:space="preserve">, con nombre incompleto o seudónimo </w:t>
      </w:r>
      <w:r w:rsidRPr="004A3B87">
        <w:rPr>
          <w:rFonts w:ascii="Palatino Linotype" w:eastAsia="Palatino Linotype" w:hAnsi="Palatino Linotype" w:cs="Palatino Linotype"/>
          <w:b/>
          <w:i/>
          <w:sz w:val="22"/>
          <w:szCs w:val="22"/>
        </w:rPr>
        <w:t>serán procedentes para su trámite por parte del sujeto obligado ante quien se presente</w:t>
      </w:r>
      <w:r w:rsidRPr="004A3B87">
        <w:rPr>
          <w:rFonts w:ascii="Palatino Linotype" w:eastAsia="Palatino Linotype" w:hAnsi="Palatino Linotype" w:cs="Palatino Linotype"/>
          <w:i/>
          <w:sz w:val="22"/>
          <w:szCs w:val="22"/>
        </w:rPr>
        <w:t>. No podrá requerirse información adicional con motivo del nombre proporcionado por el solicitante."(Sic)</w:t>
      </w:r>
    </w:p>
    <w:p w14:paraId="668B7A84"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Además,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0FE810A5"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54D332A0" w14:textId="77777777" w:rsidR="005A26E7" w:rsidRPr="004A3B87" w:rsidRDefault="00D0537A">
      <w:pPr>
        <w:ind w:left="1276" w:right="1752"/>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w:t>
      </w:r>
      <w:r w:rsidRPr="004A3B87">
        <w:rPr>
          <w:rFonts w:ascii="Palatino Linotype" w:eastAsia="Palatino Linotype" w:hAnsi="Palatino Linotype" w:cs="Palatino Linotype"/>
          <w:b/>
          <w:i/>
          <w:sz w:val="22"/>
          <w:szCs w:val="22"/>
        </w:rPr>
        <w:t xml:space="preserve">Artículo 179. </w:t>
      </w:r>
      <w:r w:rsidRPr="004A3B87">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4A3B87">
        <w:rPr>
          <w:rFonts w:ascii="Palatino Linotype" w:eastAsia="Palatino Linotype" w:hAnsi="Palatino Linotype" w:cs="Palatino Linotype"/>
          <w:i/>
        </w:rPr>
        <w:t>causas</w:t>
      </w:r>
      <w:r w:rsidRPr="004A3B87">
        <w:rPr>
          <w:rFonts w:ascii="Palatino Linotype" w:eastAsia="Palatino Linotype" w:hAnsi="Palatino Linotype" w:cs="Palatino Linotype"/>
          <w:i/>
          <w:sz w:val="22"/>
          <w:szCs w:val="22"/>
        </w:rPr>
        <w:t>:</w:t>
      </w:r>
    </w:p>
    <w:p w14:paraId="454A162A" w14:textId="77777777" w:rsidR="005A26E7" w:rsidRPr="004A3B87" w:rsidRDefault="00D0537A">
      <w:pPr>
        <w:numPr>
          <w:ilvl w:val="0"/>
          <w:numId w:val="3"/>
        </w:numPr>
        <w:pBdr>
          <w:top w:val="nil"/>
          <w:left w:val="nil"/>
          <w:bottom w:val="nil"/>
          <w:right w:val="nil"/>
          <w:between w:val="nil"/>
        </w:pBdr>
        <w:ind w:right="1752"/>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La negativa de la información solicita…” (Sic)</w:t>
      </w:r>
    </w:p>
    <w:p w14:paraId="464134A1" w14:textId="77777777" w:rsidR="005A26E7" w:rsidRPr="004A3B87" w:rsidRDefault="00D0537A">
      <w:pPr>
        <w:spacing w:before="280" w:after="28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t>Tercero. Materia de Revisión</w:t>
      </w:r>
      <w:r w:rsidRPr="004A3B87">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4A3B8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4A3B87">
        <w:rPr>
          <w:rFonts w:ascii="Palatino Linotype" w:eastAsia="Palatino Linotype" w:hAnsi="Palatino Linotype" w:cs="Palatino Linotype"/>
        </w:rPr>
        <w:t xml:space="preserve">del </w:t>
      </w:r>
      <w:r w:rsidRPr="004A3B87">
        <w:rPr>
          <w:rFonts w:ascii="Palatino Linotype" w:eastAsia="Palatino Linotype" w:hAnsi="Palatino Linotype" w:cs="Palatino Linotype"/>
          <w:b/>
        </w:rPr>
        <w:t>RECURRENTE</w:t>
      </w:r>
      <w:r w:rsidRPr="004A3B87">
        <w:rPr>
          <w:rFonts w:ascii="Palatino Linotype" w:eastAsia="Palatino Linotype" w:hAnsi="Palatino Linotype" w:cs="Palatino Linotype"/>
        </w:rPr>
        <w:t>, o en su defecto, en caso de ser procedente, ordenar la entrega de información.</w:t>
      </w:r>
    </w:p>
    <w:p w14:paraId="4E8CE97E"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t xml:space="preserve">Cuarto. Estudio de fondo del asunto. </w:t>
      </w:r>
      <w:r w:rsidRPr="004A3B87">
        <w:rPr>
          <w:rFonts w:ascii="Palatino Linotype" w:eastAsia="Palatino Linotype" w:hAnsi="Palatino Linotype" w:cs="Palatino Linotype"/>
        </w:rPr>
        <w:t xml:space="preserve">Es conveniente analizar si la respuesta del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cumple con los requisitos y procedimientos del derecho de acceso a la información pública, en atención a que en la Ley de Transparencia y </w:t>
      </w:r>
      <w:r w:rsidRPr="004A3B87">
        <w:rPr>
          <w:rFonts w:ascii="Palatino Linotype" w:eastAsia="Palatino Linotype" w:hAnsi="Palatino Linotype" w:cs="Palatino Linotype"/>
        </w:rPr>
        <w:lastRenderedPageBreak/>
        <w:t>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EE65AEC" w14:textId="77777777" w:rsidR="005A26E7" w:rsidRPr="004A3B87" w:rsidRDefault="00D0537A">
      <w:pPr>
        <w:spacing w:before="240"/>
        <w:ind w:left="709" w:right="760"/>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w:t>
      </w:r>
      <w:r w:rsidRPr="004A3B87">
        <w:rPr>
          <w:rFonts w:ascii="Palatino Linotype" w:eastAsia="Palatino Linotype" w:hAnsi="Palatino Linotype" w:cs="Palatino Linotype"/>
          <w:b/>
          <w:i/>
          <w:sz w:val="22"/>
          <w:szCs w:val="22"/>
        </w:rPr>
        <w:t>Artículo 4</w:t>
      </w:r>
      <w:r w:rsidRPr="004A3B8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63AC289" w14:textId="77777777" w:rsidR="005A26E7" w:rsidRPr="004A3B87" w:rsidRDefault="00D0537A">
      <w:pPr>
        <w:ind w:left="709" w:right="760"/>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A3B8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745E175" w14:textId="77777777" w:rsidR="005A26E7" w:rsidRPr="004A3B87" w:rsidRDefault="00D0537A">
      <w:pPr>
        <w:ind w:left="709" w:right="760"/>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A3B87">
        <w:rPr>
          <w:rFonts w:ascii="Palatino Linotype" w:eastAsia="Palatino Linotype" w:hAnsi="Palatino Linotype" w:cs="Palatino Linotype"/>
          <w:i/>
          <w:sz w:val="22"/>
          <w:szCs w:val="22"/>
        </w:rPr>
        <w:t>.”(Sic)</w:t>
      </w:r>
    </w:p>
    <w:p w14:paraId="1EE6F742" w14:textId="77777777" w:rsidR="005A26E7" w:rsidRPr="004A3B87" w:rsidRDefault="005A26E7">
      <w:pPr>
        <w:spacing w:line="360" w:lineRule="auto"/>
        <w:jc w:val="both"/>
        <w:rPr>
          <w:rFonts w:ascii="Palatino Linotype" w:eastAsia="Palatino Linotype" w:hAnsi="Palatino Linotype" w:cs="Palatino Linotype"/>
        </w:rPr>
      </w:pPr>
    </w:p>
    <w:p w14:paraId="1DA869D5"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0F0D576" w14:textId="77777777" w:rsidR="005A26E7" w:rsidRPr="004A3B87" w:rsidRDefault="005A26E7">
      <w:pPr>
        <w:spacing w:line="360" w:lineRule="auto"/>
        <w:jc w:val="both"/>
        <w:rPr>
          <w:rFonts w:ascii="Palatino Linotype" w:eastAsia="Palatino Linotype" w:hAnsi="Palatino Linotype" w:cs="Palatino Linotype"/>
        </w:rPr>
      </w:pPr>
    </w:p>
    <w:p w14:paraId="1239FBD8" w14:textId="77777777" w:rsidR="005A26E7" w:rsidRPr="004A3B87" w:rsidRDefault="00D0537A">
      <w:pPr>
        <w:ind w:left="567" w:right="758"/>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“Artículo 12.-</w:t>
      </w:r>
      <w:r w:rsidRPr="004A3B8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57F3721" w14:textId="77777777" w:rsidR="005A26E7" w:rsidRPr="004A3B87" w:rsidRDefault="005A26E7">
      <w:pPr>
        <w:ind w:left="567" w:right="758"/>
        <w:jc w:val="both"/>
        <w:rPr>
          <w:rFonts w:ascii="Palatino Linotype" w:eastAsia="Palatino Linotype" w:hAnsi="Palatino Linotype" w:cs="Palatino Linotype"/>
          <w:i/>
          <w:sz w:val="22"/>
          <w:szCs w:val="22"/>
        </w:rPr>
      </w:pPr>
    </w:p>
    <w:p w14:paraId="0C72C688" w14:textId="77777777" w:rsidR="005A26E7" w:rsidRPr="004A3B87" w:rsidRDefault="00D0537A">
      <w:pPr>
        <w:ind w:left="567" w:right="758"/>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A3B87">
        <w:rPr>
          <w:rFonts w:ascii="Palatino Linotype" w:eastAsia="Palatino Linotype" w:hAnsi="Palatino Linotype" w:cs="Palatino Linotype"/>
          <w:i/>
          <w:sz w:val="22"/>
          <w:szCs w:val="22"/>
        </w:rPr>
        <w:t xml:space="preserve">. </w:t>
      </w:r>
      <w:r w:rsidRPr="004A3B8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A370535" w14:textId="77777777" w:rsidR="005A26E7" w:rsidRPr="004A3B87" w:rsidRDefault="005A26E7">
      <w:pPr>
        <w:spacing w:line="360" w:lineRule="auto"/>
        <w:ind w:right="-93"/>
        <w:jc w:val="both"/>
        <w:rPr>
          <w:rFonts w:ascii="Palatino Linotype" w:eastAsia="Palatino Linotype" w:hAnsi="Palatino Linotype" w:cs="Palatino Linotype"/>
        </w:rPr>
      </w:pPr>
    </w:p>
    <w:p w14:paraId="1BCF85C4" w14:textId="77777777" w:rsidR="005A26E7" w:rsidRPr="004A3B87" w:rsidRDefault="00D0537A">
      <w:pPr>
        <w:spacing w:line="360" w:lineRule="auto"/>
        <w:ind w:right="-93"/>
        <w:jc w:val="both"/>
        <w:rPr>
          <w:rFonts w:ascii="Palatino Linotype" w:eastAsia="Palatino Linotype" w:hAnsi="Palatino Linotype" w:cs="Palatino Linotype"/>
        </w:rPr>
      </w:pPr>
      <w:r w:rsidRPr="004A3B87">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34B7CEF" w14:textId="77777777" w:rsidR="005A26E7" w:rsidRPr="004A3B87" w:rsidRDefault="005A26E7">
      <w:pPr>
        <w:spacing w:line="360" w:lineRule="auto"/>
        <w:ind w:right="-93"/>
        <w:jc w:val="both"/>
        <w:rPr>
          <w:rFonts w:ascii="Palatino Linotype" w:eastAsia="Palatino Linotype" w:hAnsi="Palatino Linotype" w:cs="Palatino Linotype"/>
        </w:rPr>
      </w:pPr>
    </w:p>
    <w:p w14:paraId="0204904E" w14:textId="77777777" w:rsidR="005A26E7" w:rsidRPr="004A3B87" w:rsidRDefault="00D0537A">
      <w:pPr>
        <w:spacing w:line="360" w:lineRule="auto"/>
        <w:jc w:val="both"/>
        <w:rPr>
          <w:rFonts w:ascii="Palatino Linotype" w:eastAsia="Palatino Linotype" w:hAnsi="Palatino Linotype" w:cs="Palatino Linotype"/>
          <w:b/>
        </w:rPr>
      </w:pPr>
      <w:r w:rsidRPr="004A3B87">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4A3B87">
        <w:rPr>
          <w:rFonts w:ascii="Palatino Linotype" w:eastAsia="Palatino Linotype" w:hAnsi="Palatino Linotype" w:cs="Palatino Linotype"/>
          <w:b/>
        </w:rPr>
        <w:t xml:space="preserve"> </w:t>
      </w:r>
    </w:p>
    <w:p w14:paraId="0420ABA7" w14:textId="77777777" w:rsidR="005A26E7" w:rsidRPr="004A3B87" w:rsidRDefault="005A26E7">
      <w:pPr>
        <w:ind w:left="851" w:right="850"/>
        <w:jc w:val="both"/>
        <w:rPr>
          <w:rFonts w:ascii="Palatino Linotype" w:eastAsia="Palatino Linotype" w:hAnsi="Palatino Linotype" w:cs="Palatino Linotype"/>
        </w:rPr>
      </w:pPr>
    </w:p>
    <w:p w14:paraId="7465C954" w14:textId="77777777" w:rsidR="005A26E7" w:rsidRPr="004A3B87" w:rsidRDefault="00D0537A">
      <w:pPr>
        <w:ind w:left="851" w:right="90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w:t>
      </w:r>
      <w:r w:rsidRPr="004A3B87">
        <w:rPr>
          <w:rFonts w:ascii="Palatino Linotype" w:eastAsia="Palatino Linotype" w:hAnsi="Palatino Linotype" w:cs="Palatino Linotype"/>
          <w:b/>
          <w:i/>
          <w:sz w:val="22"/>
          <w:szCs w:val="22"/>
        </w:rPr>
        <w:t>No existe obligación de elaborar documentos ad hoc para atender las solicitudes de acceso a la información.</w:t>
      </w:r>
      <w:r w:rsidRPr="004A3B8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4A3B87">
        <w:rPr>
          <w:rFonts w:ascii="Palatino Linotype" w:eastAsia="Palatino Linotype" w:hAnsi="Palatino Linotype" w:cs="Palatino Linotype"/>
          <w:i/>
          <w:sz w:val="22"/>
          <w:szCs w:val="22"/>
        </w:rPr>
        <w:lastRenderedPageBreak/>
        <w:t>información con la que cuentan en el formato en que la misma obre en sus archivos; sin necesidad de elaborar documentos ad hoc para atender las solicitudes de información.</w:t>
      </w:r>
    </w:p>
    <w:p w14:paraId="7FE97F68" w14:textId="77777777" w:rsidR="005A26E7" w:rsidRPr="004A3B87" w:rsidRDefault="00D0537A">
      <w:pPr>
        <w:ind w:left="851" w:right="90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Resoluciones: </w:t>
      </w:r>
    </w:p>
    <w:p w14:paraId="3BC9AE7F" w14:textId="77777777" w:rsidR="005A26E7" w:rsidRPr="004A3B87" w:rsidRDefault="00D0537A">
      <w:pPr>
        <w:ind w:left="851" w:right="901"/>
        <w:jc w:val="both"/>
        <w:rPr>
          <w:rFonts w:ascii="Palatino Linotype" w:eastAsia="Palatino Linotype" w:hAnsi="Palatino Linotype" w:cs="Palatino Linotype"/>
          <w:i/>
          <w:sz w:val="22"/>
          <w:szCs w:val="22"/>
        </w:rPr>
      </w:pPr>
      <w:r w:rsidRPr="004A3B87">
        <w:rPr>
          <w:rFonts w:ascii="Noto Sans Symbols" w:eastAsia="Noto Sans Symbols" w:hAnsi="Noto Sans Symbols" w:cs="Noto Sans Symbols"/>
          <w:i/>
          <w:sz w:val="22"/>
          <w:szCs w:val="22"/>
        </w:rPr>
        <w:t>∙</w:t>
      </w:r>
      <w:r w:rsidRPr="004A3B87">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4337FF66" w14:textId="77777777" w:rsidR="005A26E7" w:rsidRPr="004A3B87" w:rsidRDefault="00D0537A">
      <w:pPr>
        <w:ind w:left="851" w:right="901"/>
        <w:jc w:val="both"/>
        <w:rPr>
          <w:rFonts w:ascii="Palatino Linotype" w:eastAsia="Palatino Linotype" w:hAnsi="Palatino Linotype" w:cs="Palatino Linotype"/>
          <w:i/>
          <w:sz w:val="22"/>
          <w:szCs w:val="22"/>
        </w:rPr>
      </w:pPr>
      <w:r w:rsidRPr="004A3B87">
        <w:rPr>
          <w:rFonts w:ascii="Noto Sans Symbols" w:eastAsia="Noto Sans Symbols" w:hAnsi="Noto Sans Symbols" w:cs="Noto Sans Symbols"/>
          <w:i/>
          <w:sz w:val="22"/>
          <w:szCs w:val="22"/>
        </w:rPr>
        <w:t>∙</w:t>
      </w:r>
      <w:r w:rsidRPr="004A3B87">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564DCDE9" w14:textId="77777777" w:rsidR="005A26E7" w:rsidRPr="004A3B87" w:rsidRDefault="00D0537A">
      <w:pPr>
        <w:ind w:left="851" w:right="901"/>
        <w:jc w:val="both"/>
        <w:rPr>
          <w:rFonts w:ascii="Palatino Linotype" w:eastAsia="Palatino Linotype" w:hAnsi="Palatino Linotype" w:cs="Palatino Linotype"/>
          <w:i/>
          <w:sz w:val="22"/>
          <w:szCs w:val="22"/>
        </w:rPr>
      </w:pPr>
      <w:r w:rsidRPr="004A3B87">
        <w:rPr>
          <w:rFonts w:ascii="Noto Sans Symbols" w:eastAsia="Noto Sans Symbols" w:hAnsi="Noto Sans Symbols" w:cs="Noto Sans Symbols"/>
          <w:i/>
          <w:sz w:val="22"/>
          <w:szCs w:val="22"/>
        </w:rPr>
        <w:t>∙</w:t>
      </w:r>
      <w:r w:rsidRPr="004A3B87">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01E14608" w14:textId="77777777" w:rsidR="005A26E7" w:rsidRPr="004A3B87" w:rsidRDefault="005A26E7">
      <w:pPr>
        <w:spacing w:line="360" w:lineRule="auto"/>
        <w:ind w:right="-93"/>
        <w:jc w:val="both"/>
        <w:rPr>
          <w:rFonts w:ascii="Palatino Linotype" w:eastAsia="Palatino Linotype" w:hAnsi="Palatino Linotype" w:cs="Palatino Linotype"/>
        </w:rPr>
      </w:pPr>
    </w:p>
    <w:p w14:paraId="3A4840FA"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0F186C6" w14:textId="77777777" w:rsidR="005A26E7" w:rsidRPr="004A3B87" w:rsidRDefault="005A26E7">
      <w:pPr>
        <w:spacing w:line="360" w:lineRule="auto"/>
        <w:jc w:val="both"/>
        <w:rPr>
          <w:rFonts w:ascii="Palatino Linotype" w:eastAsia="Palatino Linotype" w:hAnsi="Palatino Linotype" w:cs="Palatino Linotype"/>
        </w:rPr>
      </w:pPr>
    </w:p>
    <w:p w14:paraId="4CCC1D24" w14:textId="77777777" w:rsidR="005A26E7" w:rsidRPr="004A3B87" w:rsidRDefault="00D0537A">
      <w:pPr>
        <w:spacing w:line="360" w:lineRule="auto"/>
        <w:ind w:right="49"/>
        <w:jc w:val="both"/>
        <w:rPr>
          <w:rFonts w:ascii="Palatino Linotype" w:eastAsia="Palatino Linotype" w:hAnsi="Palatino Linotype" w:cs="Palatino Linotype"/>
        </w:rPr>
      </w:pPr>
      <w:r w:rsidRPr="004A3B8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D86C54C" w14:textId="77777777" w:rsidR="005A26E7" w:rsidRPr="004A3B87" w:rsidRDefault="005A26E7">
      <w:pPr>
        <w:spacing w:line="360" w:lineRule="auto"/>
        <w:ind w:right="49"/>
        <w:jc w:val="both"/>
        <w:rPr>
          <w:rFonts w:ascii="Palatino Linotype" w:eastAsia="Palatino Linotype" w:hAnsi="Palatino Linotype" w:cs="Palatino Linotype"/>
        </w:rPr>
      </w:pPr>
    </w:p>
    <w:p w14:paraId="464BC409"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sidRPr="004A3B87">
        <w:rPr>
          <w:rFonts w:ascii="Palatino Linotype" w:eastAsia="Palatino Linotype" w:hAnsi="Palatino Linotype" w:cs="Palatino Linotype"/>
        </w:rPr>
        <w:lastRenderedPageBreak/>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3AC556C" w14:textId="77777777" w:rsidR="005A26E7" w:rsidRPr="004A3B87" w:rsidRDefault="005A26E7">
      <w:pPr>
        <w:ind w:left="851" w:right="899"/>
        <w:jc w:val="both"/>
        <w:rPr>
          <w:rFonts w:ascii="Palatino Linotype" w:eastAsia="Palatino Linotype" w:hAnsi="Palatino Linotype" w:cs="Palatino Linotype"/>
          <w:i/>
          <w:sz w:val="22"/>
          <w:szCs w:val="22"/>
        </w:rPr>
      </w:pPr>
    </w:p>
    <w:p w14:paraId="65560D5D"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w:t>
      </w:r>
      <w:r w:rsidRPr="004A3B87">
        <w:rPr>
          <w:rFonts w:ascii="Palatino Linotype" w:eastAsia="Palatino Linotype" w:hAnsi="Palatino Linotype" w:cs="Palatino Linotype"/>
          <w:b/>
          <w:i/>
          <w:sz w:val="22"/>
          <w:szCs w:val="22"/>
        </w:rPr>
        <w:t xml:space="preserve">Artículo 3. </w:t>
      </w:r>
      <w:r w:rsidRPr="004A3B87">
        <w:rPr>
          <w:rFonts w:ascii="Palatino Linotype" w:eastAsia="Palatino Linotype" w:hAnsi="Palatino Linotype" w:cs="Palatino Linotype"/>
          <w:i/>
          <w:sz w:val="22"/>
          <w:szCs w:val="22"/>
        </w:rPr>
        <w:t>Para los efectos de la presente Ley se entenderá por:</w:t>
      </w:r>
    </w:p>
    <w:p w14:paraId="314B8FAA"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w:t>
      </w:r>
    </w:p>
    <w:p w14:paraId="3AD32F4B"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XI. Documento:</w:t>
      </w:r>
      <w:r w:rsidRPr="004A3B87">
        <w:rPr>
          <w:rFonts w:ascii="Palatino Linotype" w:eastAsia="Palatino Linotype" w:hAnsi="Palatino Linotype" w:cs="Palatino Linotype"/>
          <w:i/>
          <w:sz w:val="22"/>
          <w:szCs w:val="22"/>
        </w:rPr>
        <w:t xml:space="preserve"> Los expedientes, reportes, estudios, actas</w:t>
      </w:r>
      <w:r w:rsidRPr="004A3B87">
        <w:rPr>
          <w:rFonts w:ascii="Palatino Linotype" w:eastAsia="Palatino Linotype" w:hAnsi="Palatino Linotype" w:cs="Palatino Linotype"/>
          <w:b/>
          <w:i/>
          <w:sz w:val="22"/>
          <w:szCs w:val="22"/>
        </w:rPr>
        <w:t>,</w:t>
      </w:r>
      <w:r w:rsidRPr="004A3B8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2CA3579" w14:textId="77777777" w:rsidR="005A26E7" w:rsidRPr="004A3B87" w:rsidRDefault="005A26E7">
      <w:pPr>
        <w:ind w:left="851" w:right="899"/>
        <w:jc w:val="both"/>
        <w:rPr>
          <w:rFonts w:ascii="Palatino Linotype" w:eastAsia="Palatino Linotype" w:hAnsi="Palatino Linotype" w:cs="Palatino Linotype"/>
          <w:sz w:val="22"/>
          <w:szCs w:val="22"/>
        </w:rPr>
      </w:pPr>
    </w:p>
    <w:p w14:paraId="32724C02"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5DAB587" w14:textId="77777777" w:rsidR="005A26E7" w:rsidRPr="004A3B87" w:rsidRDefault="005A26E7">
      <w:pPr>
        <w:ind w:left="851" w:right="899"/>
        <w:jc w:val="both"/>
        <w:rPr>
          <w:rFonts w:ascii="Palatino Linotype" w:eastAsia="Palatino Linotype" w:hAnsi="Palatino Linotype" w:cs="Palatino Linotype"/>
        </w:rPr>
      </w:pPr>
    </w:p>
    <w:p w14:paraId="1272DCDA" w14:textId="77777777" w:rsidR="005A26E7" w:rsidRPr="004A3B87" w:rsidRDefault="00D0537A">
      <w:pPr>
        <w:ind w:left="851" w:right="899"/>
        <w:jc w:val="both"/>
        <w:rPr>
          <w:rFonts w:ascii="Palatino Linotype" w:eastAsia="Palatino Linotype" w:hAnsi="Palatino Linotype" w:cs="Palatino Linotype"/>
          <w:b/>
          <w:i/>
          <w:sz w:val="22"/>
          <w:szCs w:val="22"/>
        </w:rPr>
      </w:pPr>
      <w:r w:rsidRPr="004A3B87">
        <w:rPr>
          <w:rFonts w:ascii="Palatino Linotype" w:eastAsia="Palatino Linotype" w:hAnsi="Palatino Linotype" w:cs="Palatino Linotype"/>
          <w:b/>
          <w:sz w:val="22"/>
          <w:szCs w:val="22"/>
        </w:rPr>
        <w:t>“</w:t>
      </w:r>
      <w:r w:rsidRPr="004A3B87">
        <w:rPr>
          <w:rFonts w:ascii="Palatino Linotype" w:eastAsia="Palatino Linotype" w:hAnsi="Palatino Linotype" w:cs="Palatino Linotype"/>
          <w:b/>
          <w:i/>
          <w:sz w:val="22"/>
          <w:szCs w:val="22"/>
        </w:rPr>
        <w:t>CRITERIO 0002-11</w:t>
      </w:r>
    </w:p>
    <w:p w14:paraId="5B8F64BF"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A3B8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4A3B87">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14:paraId="2718CD27"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D831BDE"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9D11786" w14:textId="77777777" w:rsidR="005A26E7" w:rsidRPr="004A3B87" w:rsidRDefault="00D0537A">
      <w:pPr>
        <w:ind w:left="851" w:right="899"/>
        <w:jc w:val="both"/>
        <w:rPr>
          <w:rFonts w:ascii="Palatino Linotype" w:eastAsia="Palatino Linotype" w:hAnsi="Palatino Linotype" w:cs="Palatino Linotype"/>
          <w:b/>
          <w:i/>
          <w:sz w:val="22"/>
          <w:szCs w:val="22"/>
        </w:rPr>
      </w:pPr>
      <w:r w:rsidRPr="004A3B8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803D87" w14:textId="77777777" w:rsidR="005A26E7" w:rsidRPr="004A3B87" w:rsidRDefault="00D0537A">
      <w:pPr>
        <w:ind w:left="851" w:right="899"/>
        <w:jc w:val="both"/>
        <w:rPr>
          <w:rFonts w:ascii="Palatino Linotype" w:eastAsia="Palatino Linotype" w:hAnsi="Palatino Linotype" w:cs="Palatino Linotype"/>
          <w:b/>
          <w:i/>
          <w:sz w:val="22"/>
          <w:szCs w:val="22"/>
        </w:rPr>
      </w:pPr>
      <w:r w:rsidRPr="004A3B87">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33C559AE" w14:textId="77777777" w:rsidR="005A26E7" w:rsidRPr="004A3B87" w:rsidRDefault="005A26E7">
      <w:pPr>
        <w:ind w:right="899"/>
        <w:jc w:val="both"/>
        <w:rPr>
          <w:rFonts w:ascii="Palatino Linotype" w:eastAsia="Palatino Linotype" w:hAnsi="Palatino Linotype" w:cs="Palatino Linotype"/>
          <w:b/>
          <w:i/>
          <w:sz w:val="22"/>
          <w:szCs w:val="22"/>
        </w:rPr>
      </w:pPr>
    </w:p>
    <w:p w14:paraId="350E48CB"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 la </w:t>
      </w:r>
      <w:r w:rsidRPr="004A3B87">
        <w:rPr>
          <w:rFonts w:ascii="Palatino Linotype" w:eastAsia="Palatino Linotype" w:hAnsi="Palatino Linotype" w:cs="Palatino Linotype"/>
          <w:b/>
        </w:rPr>
        <w:t>Secretaría de Movilidad,</w:t>
      </w:r>
      <w:r w:rsidRPr="004A3B87">
        <w:rPr>
          <w:rFonts w:ascii="Palatino Linotype" w:eastAsia="Palatino Linotype" w:hAnsi="Palatino Linotype" w:cs="Palatino Linotype"/>
        </w:rPr>
        <w:t xml:space="preserve"> de la persona referida en la solicitud de acceso a la información pública lo siguiente:</w:t>
      </w:r>
    </w:p>
    <w:p w14:paraId="000B72C2" w14:textId="77777777" w:rsidR="005A26E7" w:rsidRPr="004A3B87" w:rsidRDefault="00D0537A">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4A3B87">
        <w:rPr>
          <w:rFonts w:ascii="Palatino Linotype" w:eastAsia="Palatino Linotype" w:hAnsi="Palatino Linotype" w:cs="Palatino Linotype"/>
          <w:sz w:val="22"/>
          <w:szCs w:val="22"/>
        </w:rPr>
        <w:t>Los estudios técnicos para la restructuración de las rutas de transporte público en Toluca por el Tren Insurgentes.</w:t>
      </w:r>
    </w:p>
    <w:p w14:paraId="523E3C3D" w14:textId="77777777" w:rsidR="005A26E7" w:rsidRPr="004A3B87" w:rsidRDefault="00D0537A">
      <w:pPr>
        <w:spacing w:before="240" w:after="240" w:line="360" w:lineRule="auto"/>
        <w:jc w:val="both"/>
      </w:pPr>
      <w:r w:rsidRPr="004A3B87">
        <w:rPr>
          <w:rFonts w:ascii="Palatino Linotype" w:eastAsia="Palatino Linotype" w:hAnsi="Palatino Linotype" w:cs="Palatino Linotype"/>
        </w:rPr>
        <w:t xml:space="preserve">Por su parte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emitió su respuesta a través de sus Direcciones Generales de Movilidad Zona I, II, III y IV, las cuales informaron que después de haber realizado una búsqueda dentro de los archivos de dichas Direcciones, no se localizó antecedente alguno relacionado con la información solicitada y que lo solicitado no corresponde a esta zona de operación por cuestiones de jurisdicción, respectivamente.</w:t>
      </w:r>
    </w:p>
    <w:p w14:paraId="3899E01B" w14:textId="77777777" w:rsidR="005A26E7" w:rsidRPr="004A3B87" w:rsidRDefault="00D0537A">
      <w:pPr>
        <w:spacing w:before="240" w:after="240" w:line="360" w:lineRule="auto"/>
        <w:jc w:val="both"/>
        <w:rPr>
          <w:rFonts w:ascii="Palatino Linotype" w:eastAsia="Palatino Linotype" w:hAnsi="Palatino Linotype" w:cs="Palatino Linotype"/>
          <w:i/>
        </w:rPr>
      </w:pPr>
      <w:r w:rsidRPr="004A3B87">
        <w:rPr>
          <w:rFonts w:ascii="Palatino Linotype" w:eastAsia="Palatino Linotype" w:hAnsi="Palatino Linotype" w:cs="Palatino Linotype"/>
        </w:rPr>
        <w:t xml:space="preserve">Inconforme la parte </w:t>
      </w:r>
      <w:r w:rsidRPr="004A3B87">
        <w:rPr>
          <w:rFonts w:ascii="Palatino Linotype" w:eastAsia="Palatino Linotype" w:hAnsi="Palatino Linotype" w:cs="Palatino Linotype"/>
          <w:b/>
        </w:rPr>
        <w:t>RECURRENTE</w:t>
      </w:r>
      <w:r w:rsidRPr="004A3B87">
        <w:rPr>
          <w:rFonts w:ascii="Palatino Linotype" w:eastAsia="Palatino Linotype" w:hAnsi="Palatino Linotype" w:cs="Palatino Linotype"/>
        </w:rPr>
        <w:t xml:space="preserve"> con la respuesta, interpuso el Recurso de Revisión, en el que se inconformó en lo medular por la negativa de la información solicitada. </w:t>
      </w:r>
    </w:p>
    <w:p w14:paraId="02373B29" w14:textId="77777777" w:rsidR="005A26E7" w:rsidRPr="004A3B87" w:rsidRDefault="00D0537A">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lastRenderedPageBreak/>
        <w:t xml:space="preserve">Una vez notificado el recurso de revisión al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a través de su informe justificado ratificó las respuestas de sus de sus Direcciones Generales de Movilidad Zona I, II, III y IV.</w:t>
      </w:r>
    </w:p>
    <w:p w14:paraId="1BE55516" w14:textId="77777777" w:rsidR="005A26E7" w:rsidRPr="004A3B87" w:rsidRDefault="005A26E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47FDE185"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Con base en lo precedente, se determina que la información proporcionada por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en su respuesta, cumple parcialmente con lo establecido por los artículos 4, 12, 24 último párrafo y 162 de la Ley de Transparencia y Acceso a la Información Pública del Estado de México y Municipios; por ello, los motivos de inconformidad acontecen fundados para modificar la respuesta del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en razón de las consideraciones de derecho que a continuación se exponen:</w:t>
      </w:r>
    </w:p>
    <w:p w14:paraId="71C18275" w14:textId="77777777" w:rsidR="005A26E7" w:rsidRPr="004A3B87" w:rsidRDefault="005A26E7">
      <w:pPr>
        <w:spacing w:line="360" w:lineRule="auto"/>
        <w:jc w:val="both"/>
        <w:rPr>
          <w:rFonts w:ascii="Palatino Linotype" w:eastAsia="Palatino Linotype" w:hAnsi="Palatino Linotype" w:cs="Palatino Linotype"/>
        </w:rPr>
      </w:pPr>
    </w:p>
    <w:p w14:paraId="27B6A5DC" w14:textId="77777777" w:rsidR="005A26E7" w:rsidRPr="004A3B87" w:rsidRDefault="00D0537A">
      <w:pPr>
        <w:spacing w:line="360" w:lineRule="auto"/>
        <w:jc w:val="both"/>
      </w:pPr>
      <w:bookmarkStart w:id="2" w:name="_heading=h.3znysh7" w:colFirst="0" w:colLast="0"/>
      <w:bookmarkEnd w:id="2"/>
      <w:r w:rsidRPr="004A3B87">
        <w:rPr>
          <w:rFonts w:ascii="Palatino Linotype" w:eastAsia="Palatino Linotype" w:hAnsi="Palatino Linotype" w:cs="Palatino Linotype"/>
        </w:rPr>
        <w:t>Antes del estudio de fondo, se debe precisar que la parte solicitante fue omisa en señalar el periodo sobre el cual requería la información, en ejercicio de la facultad de suplencia prevista en los artículos 13 y 181 párrafo cuarto de la Ley de Transparencia y Acceso a la Información Pública del Estado de México y Municipios, este Organismo Garante estima adecuado, ordenar la entrega, de ser el caso, del soporte documental generado en el año inmediato anterior contado a partir de la fecha de presentación de la solicitud, es decir, del once de octubre de dos mil veintidós al once de octubre de dos mil veintitrés.</w:t>
      </w:r>
    </w:p>
    <w:p w14:paraId="2505BD5E" w14:textId="77777777" w:rsidR="005A26E7" w:rsidRPr="004A3B87" w:rsidRDefault="00D0537A">
      <w:pPr>
        <w:pBdr>
          <w:top w:val="nil"/>
          <w:left w:val="nil"/>
          <w:bottom w:val="nil"/>
          <w:right w:val="nil"/>
          <w:between w:val="nil"/>
        </w:pBdr>
        <w:spacing w:before="240" w:line="360" w:lineRule="auto"/>
        <w:jc w:val="both"/>
      </w:pPr>
      <w:r w:rsidRPr="004A3B87">
        <w:rPr>
          <w:rFonts w:ascii="Palatino Linotype" w:eastAsia="Palatino Linotype" w:hAnsi="Palatino Linotype" w:cs="Palatino Linotype"/>
        </w:rPr>
        <w:t>Lo anterior se robustece con el criterio de interpretación 03/19 emitido por el Instituto Nacional de Transparencia Acceso a la Información y Protección de Datos Personales, INAI, en el cual es del tenor literal siguiente:</w:t>
      </w:r>
    </w:p>
    <w:p w14:paraId="683E8DD2" w14:textId="77777777" w:rsidR="005A26E7" w:rsidRPr="004A3B87" w:rsidRDefault="00D0537A">
      <w:pPr>
        <w:pBdr>
          <w:top w:val="nil"/>
          <w:left w:val="nil"/>
          <w:bottom w:val="nil"/>
          <w:right w:val="nil"/>
          <w:between w:val="nil"/>
        </w:pBdr>
        <w:spacing w:after="120"/>
        <w:ind w:left="851" w:right="900"/>
        <w:jc w:val="both"/>
      </w:pPr>
      <w:r w:rsidRPr="004A3B87">
        <w:rPr>
          <w:rFonts w:ascii="Palatino Linotype" w:eastAsia="Palatino Linotype" w:hAnsi="Palatino Linotype" w:cs="Palatino Linotype"/>
          <w:i/>
          <w:sz w:val="22"/>
          <w:szCs w:val="22"/>
        </w:rPr>
        <w:lastRenderedPageBreak/>
        <w:t>“</w:t>
      </w:r>
      <w:r w:rsidRPr="004A3B87">
        <w:rPr>
          <w:rFonts w:ascii="Palatino Linotype" w:eastAsia="Palatino Linotype" w:hAnsi="Palatino Linotype" w:cs="Palatino Linotype"/>
          <w:b/>
          <w:i/>
          <w:sz w:val="22"/>
          <w:szCs w:val="22"/>
        </w:rPr>
        <w:t>Periodo de búsqueda de la información</w:t>
      </w:r>
      <w:r w:rsidRPr="004A3B87">
        <w:rPr>
          <w:rFonts w:ascii="Palatino Linotype" w:eastAsia="Palatino Linotype" w:hAnsi="Palatino Linotype" w:cs="Palatino Linotype"/>
          <w:i/>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r w:rsidRPr="004A3B87">
        <w:rPr>
          <w:rFonts w:ascii="Palatino Linotype" w:eastAsia="Palatino Linotype" w:hAnsi="Palatino Linotype" w:cs="Palatino Linotype"/>
          <w:i/>
        </w:rPr>
        <w:t>  </w:t>
      </w:r>
    </w:p>
    <w:p w14:paraId="42D3A6DA" w14:textId="77777777" w:rsidR="005A26E7" w:rsidRPr="004A3B87" w:rsidRDefault="005A26E7">
      <w:pPr>
        <w:spacing w:line="360" w:lineRule="auto"/>
        <w:jc w:val="both"/>
        <w:rPr>
          <w:rFonts w:ascii="Palatino Linotype" w:eastAsia="Palatino Linotype" w:hAnsi="Palatino Linotype" w:cs="Palatino Linotype"/>
        </w:rPr>
      </w:pPr>
    </w:p>
    <w:p w14:paraId="4CB4D2CF"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Ahora bien, de la solicitud de acceso a la información pública, se advierte que la parte </w:t>
      </w:r>
      <w:r w:rsidRPr="004A3B87">
        <w:rPr>
          <w:rFonts w:ascii="Palatino Linotype" w:eastAsia="Palatino Linotype" w:hAnsi="Palatino Linotype" w:cs="Palatino Linotype"/>
          <w:b/>
        </w:rPr>
        <w:t>RECURRENTE</w:t>
      </w:r>
      <w:r w:rsidRPr="004A3B87">
        <w:rPr>
          <w:rFonts w:ascii="Palatino Linotype" w:eastAsia="Palatino Linotype" w:hAnsi="Palatino Linotype" w:cs="Palatino Linotype"/>
        </w:rPr>
        <w:t xml:space="preserve">, refirió de las rutas de transporte público en Toluca; luego entonces el área del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que le corresponde la jurisdicción en el Municipio de Toluca, es la Dirección General de Movilidad Zona I, conforme a los siguientes organigramas de la Secretaría de Movilidad:</w:t>
      </w:r>
    </w:p>
    <w:p w14:paraId="50083254"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noProof/>
          <w:lang w:val="es-MX" w:eastAsia="es-MX"/>
        </w:rPr>
        <w:drawing>
          <wp:inline distT="114300" distB="114300" distL="114300" distR="114300" wp14:anchorId="45E48F1C" wp14:editId="6C52F63E">
            <wp:extent cx="5612130" cy="3854450"/>
            <wp:effectExtent l="0" t="0" r="0" b="0"/>
            <wp:docPr id="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3854450"/>
                    </a:xfrm>
                    <a:prstGeom prst="rect">
                      <a:avLst/>
                    </a:prstGeom>
                    <a:ln/>
                  </pic:spPr>
                </pic:pic>
              </a:graphicData>
            </a:graphic>
          </wp:inline>
        </w:drawing>
      </w:r>
      <w:r w:rsidRPr="004A3B87">
        <w:rPr>
          <w:noProof/>
          <w:lang w:val="es-MX" w:eastAsia="es-MX"/>
        </w:rPr>
        <mc:AlternateContent>
          <mc:Choice Requires="wpg">
            <w:drawing>
              <wp:anchor distT="0" distB="0" distL="114300" distR="114300" simplePos="0" relativeHeight="251658240" behindDoc="0" locked="0" layoutInCell="1" hidden="0" allowOverlap="1" wp14:anchorId="45BD96E5" wp14:editId="15529819">
                <wp:simplePos x="0" y="0"/>
                <wp:positionH relativeFrom="column">
                  <wp:posOffset>3035300</wp:posOffset>
                </wp:positionH>
                <wp:positionV relativeFrom="paragraph">
                  <wp:posOffset>3302000</wp:posOffset>
                </wp:positionV>
                <wp:extent cx="381000" cy="381000"/>
                <wp:effectExtent l="0" t="0" r="0" b="0"/>
                <wp:wrapNone/>
                <wp:docPr id="88" name="Flecha: hacia arriba 88"/>
                <wp:cNvGraphicFramePr/>
                <a:graphic xmlns:a="http://schemas.openxmlformats.org/drawingml/2006/main">
                  <a:graphicData uri="http://schemas.microsoft.com/office/word/2010/wordprocessingShape">
                    <wps:wsp>
                      <wps:cNvSpPr/>
                      <wps:spPr>
                        <a:xfrm rot="-5400000">
                          <a:off x="5161850" y="3595850"/>
                          <a:ext cx="368300" cy="368300"/>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62F4F418" w14:textId="77777777" w:rsidR="005A26E7" w:rsidRDefault="005A26E7">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3035300</wp:posOffset>
                </wp:positionH>
                <wp:positionV relativeFrom="paragraph">
                  <wp:posOffset>3302000</wp:posOffset>
                </wp:positionV>
                <wp:extent cx="381000" cy="381000"/>
                <wp:effectExtent b="0" l="0" r="0" t="0"/>
                <wp:wrapNone/>
                <wp:docPr id="88"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381000" cy="381000"/>
                        </a:xfrm>
                        <a:prstGeom prst="rect"/>
                        <a:ln/>
                      </pic:spPr>
                    </pic:pic>
                  </a:graphicData>
                </a:graphic>
              </wp:anchor>
            </w:drawing>
          </mc:Fallback>
        </mc:AlternateContent>
      </w:r>
    </w:p>
    <w:p w14:paraId="657FA644"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noProof/>
          <w:lang w:val="es-MX" w:eastAsia="es-MX"/>
        </w:rPr>
        <w:lastRenderedPageBreak/>
        <w:drawing>
          <wp:inline distT="0" distB="0" distL="0" distR="0" wp14:anchorId="1CA1C6CF" wp14:editId="0554B0DE">
            <wp:extent cx="5704604" cy="3168891"/>
            <wp:effectExtent l="0" t="0" r="0" b="0"/>
            <wp:docPr id="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04604" cy="3168891"/>
                    </a:xfrm>
                    <a:prstGeom prst="rect">
                      <a:avLst/>
                    </a:prstGeom>
                    <a:ln/>
                  </pic:spPr>
                </pic:pic>
              </a:graphicData>
            </a:graphic>
          </wp:inline>
        </w:drawing>
      </w:r>
      <w:r w:rsidRPr="004A3B87">
        <w:rPr>
          <w:noProof/>
          <w:lang w:val="es-MX" w:eastAsia="es-MX"/>
        </w:rPr>
        <mc:AlternateContent>
          <mc:Choice Requires="wpg">
            <w:drawing>
              <wp:anchor distT="0" distB="0" distL="114300" distR="114300" simplePos="0" relativeHeight="251659264" behindDoc="0" locked="0" layoutInCell="1" hidden="0" allowOverlap="1" wp14:anchorId="1D11FAEF" wp14:editId="55D464D6">
                <wp:simplePos x="0" y="0"/>
                <wp:positionH relativeFrom="column">
                  <wp:posOffset>1066800</wp:posOffset>
                </wp:positionH>
                <wp:positionV relativeFrom="paragraph">
                  <wp:posOffset>2146300</wp:posOffset>
                </wp:positionV>
                <wp:extent cx="381000" cy="381000"/>
                <wp:effectExtent l="0" t="0" r="0" b="0"/>
                <wp:wrapNone/>
                <wp:docPr id="87" name="Flecha: hacia arriba 87"/>
                <wp:cNvGraphicFramePr/>
                <a:graphic xmlns:a="http://schemas.openxmlformats.org/drawingml/2006/main">
                  <a:graphicData uri="http://schemas.microsoft.com/office/word/2010/wordprocessingShape">
                    <wps:wsp>
                      <wps:cNvSpPr/>
                      <wps:spPr>
                        <a:xfrm rot="-5400000">
                          <a:off x="5161850" y="3595850"/>
                          <a:ext cx="368300" cy="368300"/>
                        </a:xfrm>
                        <a:prstGeom prst="up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7C2DE7B0" w14:textId="77777777" w:rsidR="005A26E7" w:rsidRDefault="005A26E7">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1066800</wp:posOffset>
                </wp:positionH>
                <wp:positionV relativeFrom="paragraph">
                  <wp:posOffset>2146300</wp:posOffset>
                </wp:positionV>
                <wp:extent cx="381000" cy="381000"/>
                <wp:effectExtent b="0" l="0" r="0" t="0"/>
                <wp:wrapNone/>
                <wp:docPr id="87"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381000" cy="381000"/>
                        </a:xfrm>
                        <a:prstGeom prst="rect"/>
                        <a:ln/>
                      </pic:spPr>
                    </pic:pic>
                  </a:graphicData>
                </a:graphic>
              </wp:anchor>
            </w:drawing>
          </mc:Fallback>
        </mc:AlternateContent>
      </w:r>
    </w:p>
    <w:p w14:paraId="6D1A722A" w14:textId="77777777" w:rsidR="005A26E7" w:rsidRPr="004A3B87" w:rsidRDefault="00D0537A">
      <w:pPr>
        <w:spacing w:line="360" w:lineRule="auto"/>
        <w:jc w:val="both"/>
      </w:pPr>
      <w:r w:rsidRPr="004A3B87">
        <w:rPr>
          <w:rFonts w:ascii="Palatino Linotype" w:eastAsia="Palatino Linotype" w:hAnsi="Palatino Linotype" w:cs="Palatino Linotype"/>
        </w:rPr>
        <w:t xml:space="preserve"> </w:t>
      </w:r>
    </w:p>
    <w:p w14:paraId="2A9AB1F1" w14:textId="77777777" w:rsidR="005A26E7" w:rsidRPr="004A3B87" w:rsidRDefault="00D0537A">
      <w:pPr>
        <w:spacing w:line="360" w:lineRule="auto"/>
        <w:ind w:right="51"/>
        <w:jc w:val="both"/>
        <w:rPr>
          <w:rFonts w:ascii="Palatino Linotype" w:eastAsia="Palatino Linotype" w:hAnsi="Palatino Linotype" w:cs="Palatino Linotype"/>
        </w:rPr>
      </w:pPr>
      <w:r w:rsidRPr="004A3B87">
        <w:rPr>
          <w:rFonts w:ascii="Palatino Linotype" w:eastAsia="Palatino Linotype" w:hAnsi="Palatino Linotype" w:cs="Palatino Linotype"/>
        </w:rPr>
        <w:t>Dirección General de Movilidad Zona I, en donde manifestó “…</w:t>
      </w:r>
      <w:r w:rsidRPr="004A3B87">
        <w:rPr>
          <w:rFonts w:ascii="Palatino Linotype" w:eastAsia="Palatino Linotype" w:hAnsi="Palatino Linotype" w:cs="Palatino Linotype"/>
          <w:i/>
        </w:rPr>
        <w:t>que después de haber realizado una búsqueda dentro de los archivos de esta Dirección General, no se localizó antecedente alguno relacionado con la información solicitada</w:t>
      </w:r>
      <w:r w:rsidRPr="004A3B87">
        <w:rPr>
          <w:rFonts w:ascii="Palatino Linotype" w:eastAsia="Palatino Linotype" w:hAnsi="Palatino Linotype" w:cs="Palatino Linotype"/>
        </w:rPr>
        <w:t>…” (Sic), siendo que esta Dirección le corresponde todo lo relacionado con la delegación regional de movilidad Toluca conforme a lo señalado en el párrafo anterior; por ello, es necesario traer colación sus atribuciones señaladas en el Manual General de Organización de la Secretaría de Movilidad, que señala:</w:t>
      </w:r>
    </w:p>
    <w:p w14:paraId="0BA9279F" w14:textId="77777777" w:rsidR="005A26E7" w:rsidRPr="004A3B87" w:rsidRDefault="005A26E7">
      <w:pPr>
        <w:spacing w:line="360" w:lineRule="auto"/>
        <w:jc w:val="both"/>
        <w:rPr>
          <w:rFonts w:ascii="Palatino Linotype" w:eastAsia="Palatino Linotype" w:hAnsi="Palatino Linotype" w:cs="Palatino Linotype"/>
        </w:rPr>
      </w:pPr>
    </w:p>
    <w:p w14:paraId="7361B3A9"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“22001001000000T DIRECCIÓN GENERAL DE MOVILIDAD ZONA I OBJETIVO: </w:t>
      </w:r>
      <w:r w:rsidRPr="004A3B87">
        <w:rPr>
          <w:rFonts w:ascii="Palatino Linotype" w:eastAsia="Palatino Linotype" w:hAnsi="Palatino Linotype" w:cs="Palatino Linotype"/>
          <w:b/>
          <w:i/>
          <w:sz w:val="22"/>
          <w:szCs w:val="22"/>
        </w:rPr>
        <w:t xml:space="preserve">Promover, regular y coordinar programas de </w:t>
      </w:r>
      <w:r w:rsidRPr="004A3B87">
        <w:rPr>
          <w:rFonts w:ascii="Palatino Linotype" w:eastAsia="Palatino Linotype" w:hAnsi="Palatino Linotype" w:cs="Palatino Linotype"/>
          <w:b/>
          <w:i/>
          <w:sz w:val="22"/>
          <w:szCs w:val="22"/>
          <w:u w:val="single"/>
        </w:rPr>
        <w:t>estudios de ingeniería</w:t>
      </w:r>
      <w:r w:rsidRPr="004A3B87">
        <w:rPr>
          <w:rFonts w:ascii="Palatino Linotype" w:eastAsia="Palatino Linotype" w:hAnsi="Palatino Linotype" w:cs="Palatino Linotype"/>
          <w:b/>
          <w:i/>
          <w:sz w:val="22"/>
          <w:szCs w:val="22"/>
        </w:rPr>
        <w:t xml:space="preserve"> de tránsito en la infraestructura vial</w:t>
      </w:r>
      <w:r w:rsidRPr="004A3B87">
        <w:rPr>
          <w:rFonts w:ascii="Palatino Linotype" w:eastAsia="Palatino Linotype" w:hAnsi="Palatino Linotype" w:cs="Palatino Linotype"/>
          <w:i/>
          <w:sz w:val="22"/>
          <w:szCs w:val="22"/>
        </w:rPr>
        <w:t xml:space="preserve">, para el desarrollo integral de movilidad eficiente y segura que garanticen la accesibilidad a las personas, así como generar políticas de desarrollo del servicio público de transporte, a través de la planeación, coordinación y aplicación de sus sistemas integrales de transporte, autorizar la realización de visitas de inspección y verificación que permitan supervisar la puntual observancia y cumplimiento de los lineamientos legales y </w:t>
      </w:r>
      <w:r w:rsidRPr="004A3B87">
        <w:rPr>
          <w:rFonts w:ascii="Palatino Linotype" w:eastAsia="Palatino Linotype" w:hAnsi="Palatino Linotype" w:cs="Palatino Linotype"/>
          <w:i/>
          <w:sz w:val="22"/>
          <w:szCs w:val="22"/>
        </w:rPr>
        <w:lastRenderedPageBreak/>
        <w:t xml:space="preserve">obligaciones a cargo de las y los concesionarios y permisionarios del servicio público de transporte y sus servicios conexos en la región de su competencia. FUNCIONES: </w:t>
      </w:r>
    </w:p>
    <w:p w14:paraId="06363D61"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-Proponer y </w:t>
      </w:r>
      <w:r w:rsidRPr="004A3B87">
        <w:rPr>
          <w:rFonts w:ascii="Palatino Linotype" w:eastAsia="Palatino Linotype" w:hAnsi="Palatino Linotype" w:cs="Palatino Linotype"/>
          <w:b/>
          <w:i/>
          <w:sz w:val="22"/>
          <w:szCs w:val="22"/>
        </w:rPr>
        <w:t>coordinar los estudios de ingeniería de tránsito que garanticen el derecho a la movilidad en condiciones de accesibilidad, calidad y seguridad dentro del ámbito de su competencia</w:t>
      </w:r>
      <w:r w:rsidRPr="004A3B87">
        <w:rPr>
          <w:rFonts w:ascii="Palatino Linotype" w:eastAsia="Palatino Linotype" w:hAnsi="Palatino Linotype" w:cs="Palatino Linotype"/>
          <w:i/>
          <w:sz w:val="22"/>
          <w:szCs w:val="22"/>
        </w:rPr>
        <w:t xml:space="preserve">. </w:t>
      </w:r>
    </w:p>
    <w:p w14:paraId="69DD63C3"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-Generar y proponer las condiciones necesarias para garantizar a las personas una movilidad eficiente y segura en la región de su competencia. </w:t>
      </w:r>
    </w:p>
    <w:p w14:paraId="6D493283"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-Implementar programas de seguridad vial en los entornos escolares y áreas habitaciones que propicien una cultura de movilidad. </w:t>
      </w:r>
    </w:p>
    <w:p w14:paraId="2C23C367"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-Resolver y determinar la modificación de los elementos de las concesiones, permisos y autorizaciones, del servicio público de transporte, conforme a las disposiciones legales aplicables, previo acuerdo con la o el titular de la Subsecretaría de Movilidad. </w:t>
      </w:r>
    </w:p>
    <w:p w14:paraId="730C0AF9"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-Dictaminar respecto de la creación, modificación, enlace o cancelación de alargamientos, derroteros, enlaces, enrolamiento, bases, paraderos, frecuencias y horarios</w:t>
      </w:r>
      <w:r w:rsidRPr="004A3B87">
        <w:rPr>
          <w:rFonts w:ascii="Palatino Linotype" w:eastAsia="Palatino Linotype" w:hAnsi="Palatino Linotype" w:cs="Palatino Linotype"/>
          <w:i/>
          <w:sz w:val="22"/>
          <w:szCs w:val="22"/>
        </w:rPr>
        <w:t xml:space="preserve">, previo acuerdo de la o del titular de la Subsecretaría de Movilidad. </w:t>
      </w:r>
    </w:p>
    <w:p w14:paraId="300DFA61"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w:t>
      </w:r>
      <w:r w:rsidRPr="004A3B87">
        <w:rPr>
          <w:rFonts w:ascii="Palatino Linotype" w:eastAsia="Palatino Linotype" w:hAnsi="Palatino Linotype" w:cs="Palatino Linotype"/>
          <w:i/>
          <w:sz w:val="22"/>
          <w:szCs w:val="22"/>
        </w:rPr>
        <w:t xml:space="preserve">Implementar las acciones necesarias para autorizar y ejecutar la práctica de visitas de inspección y verificación, a efecto de supervisar que las y los concesionarios y permisionarios del servicio público de transporte y conexos, cumplan con las disposiciones legales en la materia y obligaciones a su cargo, y para el caso de incumplimiento de estas, verificar la correcta aplicación de las sanciones administrativas. </w:t>
      </w:r>
    </w:p>
    <w:p w14:paraId="234B21E6"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w:t>
      </w:r>
      <w:r w:rsidRPr="004A3B87">
        <w:rPr>
          <w:rFonts w:ascii="Palatino Linotype" w:eastAsia="Palatino Linotype" w:hAnsi="Palatino Linotype" w:cs="Palatino Linotype"/>
          <w:i/>
          <w:sz w:val="22"/>
          <w:szCs w:val="22"/>
        </w:rPr>
        <w:t xml:space="preserve">Establecer coordinación con autoridades federales, estatales, municipales e incluso con organizaciones del sector privado, para la ejecución de acciones tendientes a resolver en su circunscripción territorial, la resolución de problemas que en materia de movilidad de servicio público de transporte se presenten. </w:t>
      </w:r>
    </w:p>
    <w:p w14:paraId="1460330C"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-Promover la instrumentación de programas y proyectos estratégicos que permitan mejorar las condiciones en que se realizan los desplazamientos, </w:t>
      </w:r>
      <w:proofErr w:type="spellStart"/>
      <w:r w:rsidRPr="004A3B87">
        <w:rPr>
          <w:rFonts w:ascii="Palatino Linotype" w:eastAsia="Palatino Linotype" w:hAnsi="Palatino Linotype" w:cs="Palatino Linotype"/>
          <w:i/>
          <w:sz w:val="22"/>
          <w:szCs w:val="22"/>
        </w:rPr>
        <w:t>eficientar</w:t>
      </w:r>
      <w:proofErr w:type="spellEnd"/>
      <w:r w:rsidRPr="004A3B87">
        <w:rPr>
          <w:rFonts w:ascii="Palatino Linotype" w:eastAsia="Palatino Linotype" w:hAnsi="Palatino Linotype" w:cs="Palatino Linotype"/>
          <w:i/>
          <w:sz w:val="22"/>
          <w:szCs w:val="22"/>
        </w:rPr>
        <w:t xml:space="preserve"> la operación y prestación del servicio público de transporte, en sus diversas modalidades, así como la implementación de corredores de mediana capacidad promoviendo el derecho humano de la movilidad, la equidad de género, el combate a la violencia en contra de las mujeres, adolescentes, niñas y niños, y cualquier tipo de discriminación. </w:t>
      </w:r>
    </w:p>
    <w:p w14:paraId="49931991"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-Intervenir como conciliador en el ámbito de su competencia, en la solución de conflictos entre concesionarios y permisionarios del servicio público de transporte, derivados de la prestación de este. </w:t>
      </w:r>
    </w:p>
    <w:p w14:paraId="2B48B116"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-Instrumentar acciones en coordinación con la Dirección General del Registro Estatal de Transporte Público para la emisión de concesiones, permisos, </w:t>
      </w:r>
      <w:r w:rsidRPr="004A3B87">
        <w:rPr>
          <w:rFonts w:ascii="Palatino Linotype" w:eastAsia="Palatino Linotype" w:hAnsi="Palatino Linotype" w:cs="Palatino Linotype"/>
          <w:i/>
          <w:sz w:val="22"/>
          <w:szCs w:val="22"/>
        </w:rPr>
        <w:lastRenderedPageBreak/>
        <w:t xml:space="preserve">autorizaciones, licencias, tarjetas de identificación personal para operadores de transporte público, tarjetas de circulación y placas de matriculación que se soliciten; y esto es cuenten con el soporte documental y validación correspondiente. </w:t>
      </w:r>
    </w:p>
    <w:p w14:paraId="1EBE5191"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-Desarrollar las demás funciones inherentes al área de su competencia. </w:t>
      </w:r>
    </w:p>
    <w:p w14:paraId="064BE07A" w14:textId="77777777" w:rsidR="005A26E7" w:rsidRPr="004A3B87" w:rsidRDefault="005A26E7">
      <w:pPr>
        <w:spacing w:line="360" w:lineRule="auto"/>
        <w:jc w:val="both"/>
        <w:rPr>
          <w:rFonts w:ascii="Palatino Linotype" w:eastAsia="Palatino Linotype" w:hAnsi="Palatino Linotype" w:cs="Palatino Linotype"/>
        </w:rPr>
      </w:pPr>
    </w:p>
    <w:p w14:paraId="27EF4FA9"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En donde se establece que la Dirección General de Movilidad Zona I, le corresponde el de dictaminar de la creación, modificación, enlace o cancelación de alargamientos, </w:t>
      </w:r>
      <w:r w:rsidRPr="004A3B87">
        <w:rPr>
          <w:rFonts w:ascii="Palatino Linotype" w:eastAsia="Palatino Linotype" w:hAnsi="Palatino Linotype" w:cs="Palatino Linotype"/>
          <w:b/>
        </w:rPr>
        <w:t>derroteros</w:t>
      </w:r>
      <w:r w:rsidRPr="004A3B87">
        <w:rPr>
          <w:rFonts w:ascii="Palatino Linotype" w:eastAsia="Palatino Linotype" w:hAnsi="Palatino Linotype" w:cs="Palatino Linotype"/>
        </w:rPr>
        <w:t xml:space="preserve">, enlaces, enrolamiento, </w:t>
      </w:r>
      <w:r w:rsidRPr="004A3B87">
        <w:rPr>
          <w:rFonts w:ascii="Palatino Linotype" w:eastAsia="Palatino Linotype" w:hAnsi="Palatino Linotype" w:cs="Palatino Linotype"/>
          <w:b/>
        </w:rPr>
        <w:t>bases y paraderos</w:t>
      </w:r>
      <w:r w:rsidRPr="004A3B87">
        <w:rPr>
          <w:rFonts w:ascii="Palatino Linotype" w:eastAsia="Palatino Linotype" w:hAnsi="Palatino Linotype" w:cs="Palatino Linotype"/>
        </w:rPr>
        <w:t xml:space="preserve">; sin embargo, este Organismo Garante se dio a la tarea de buscar información relacionada con lo requerido, localizándose en la siguiente liga electrónica: </w:t>
      </w:r>
      <w:hyperlink r:id="rId17">
        <w:r w:rsidRPr="004A3B87">
          <w:rPr>
            <w:rFonts w:ascii="Palatino Linotype" w:eastAsia="Palatino Linotype" w:hAnsi="Palatino Linotype" w:cs="Palatino Linotype"/>
            <w:u w:val="single"/>
          </w:rPr>
          <w:t>https://www.telediario.mx/comunidad/tren-interurbano-mexico-toluca-conectara-transporte-edomex</w:t>
        </w:r>
      </w:hyperlink>
      <w:r w:rsidRPr="004A3B87">
        <w:rPr>
          <w:rFonts w:ascii="Palatino Linotype" w:eastAsia="Palatino Linotype" w:hAnsi="Palatino Linotype" w:cs="Palatino Linotype"/>
        </w:rPr>
        <w:t>, una nota en donde se refiere lo siguiente:</w:t>
      </w:r>
    </w:p>
    <w:p w14:paraId="22CFC7BC" w14:textId="77777777" w:rsidR="005A26E7" w:rsidRPr="004A3B87" w:rsidRDefault="005A26E7">
      <w:pPr>
        <w:spacing w:line="360" w:lineRule="auto"/>
        <w:jc w:val="both"/>
        <w:rPr>
          <w:rFonts w:ascii="Palatino Linotype" w:eastAsia="Palatino Linotype" w:hAnsi="Palatino Linotype" w:cs="Palatino Linotype"/>
        </w:rPr>
      </w:pPr>
    </w:p>
    <w:p w14:paraId="182E39C3"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noProof/>
          <w:lang w:val="es-MX" w:eastAsia="es-MX"/>
        </w:rPr>
        <w:drawing>
          <wp:inline distT="0" distB="0" distL="0" distR="0" wp14:anchorId="502D408E" wp14:editId="7312671E">
            <wp:extent cx="5618521" cy="3644999"/>
            <wp:effectExtent l="0" t="0" r="0" b="0"/>
            <wp:docPr id="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618521" cy="3644999"/>
                    </a:xfrm>
                    <a:prstGeom prst="rect">
                      <a:avLst/>
                    </a:prstGeom>
                    <a:ln/>
                  </pic:spPr>
                </pic:pic>
              </a:graphicData>
            </a:graphic>
          </wp:inline>
        </w:drawing>
      </w:r>
    </w:p>
    <w:p w14:paraId="406AA5BD"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noProof/>
          <w:lang w:val="es-MX" w:eastAsia="es-MX"/>
        </w:rPr>
        <w:lastRenderedPageBreak/>
        <w:drawing>
          <wp:inline distT="0" distB="0" distL="0" distR="0" wp14:anchorId="240ADA71" wp14:editId="4F6AF44C">
            <wp:extent cx="5638050" cy="1527805"/>
            <wp:effectExtent l="0" t="0" r="0" b="0"/>
            <wp:docPr id="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638050" cy="1527805"/>
                    </a:xfrm>
                    <a:prstGeom prst="rect">
                      <a:avLst/>
                    </a:prstGeom>
                    <a:ln/>
                  </pic:spPr>
                </pic:pic>
              </a:graphicData>
            </a:graphic>
          </wp:inline>
        </w:drawing>
      </w:r>
    </w:p>
    <w:p w14:paraId="56650A77"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noProof/>
          <w:lang w:val="es-MX" w:eastAsia="es-MX"/>
        </w:rPr>
        <w:drawing>
          <wp:inline distT="0" distB="0" distL="0" distR="0" wp14:anchorId="552AD9E1" wp14:editId="67F57782">
            <wp:extent cx="5504859" cy="5797811"/>
            <wp:effectExtent l="0" t="0" r="0" b="0"/>
            <wp:docPr id="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504859" cy="5797811"/>
                    </a:xfrm>
                    <a:prstGeom prst="rect">
                      <a:avLst/>
                    </a:prstGeom>
                    <a:ln/>
                  </pic:spPr>
                </pic:pic>
              </a:graphicData>
            </a:graphic>
          </wp:inline>
        </w:drawing>
      </w:r>
    </w:p>
    <w:p w14:paraId="7D4F6A04"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lastRenderedPageBreak/>
        <w:t xml:space="preserve">En donde se advierte que la Secretaría de Movilidad a través del Instituto del Transporte del Estado de México (ITEM), será el encargado de establecer un proyecto de trabajo que garantice la prestación del servicio de transporte público, para alimentar las rutas del tren interurbano México-Toluca; con lo cual se acredita que hay un indicio de la existencia de la información solicitada, </w:t>
      </w:r>
    </w:p>
    <w:p w14:paraId="6AA32625" w14:textId="77777777" w:rsidR="005A26E7" w:rsidRPr="004A3B87" w:rsidRDefault="00D0537A">
      <w:pPr>
        <w:spacing w:before="240" w:after="240" w:line="360" w:lineRule="auto"/>
        <w:ind w:right="40"/>
        <w:jc w:val="both"/>
        <w:rPr>
          <w:rFonts w:ascii="Palatino Linotype" w:eastAsia="Palatino Linotype" w:hAnsi="Palatino Linotype" w:cs="Palatino Linotype"/>
        </w:rPr>
      </w:pPr>
      <w:r w:rsidRPr="004A3B87">
        <w:rPr>
          <w:rFonts w:ascii="Palatino Linotype" w:eastAsia="Palatino Linotype" w:hAnsi="Palatino Linotype" w:cs="Palatino Linotype"/>
        </w:rPr>
        <w:t>En este orden de ideas,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4A3B87">
        <w:rPr>
          <w:rFonts w:ascii="Palatino Linotype" w:eastAsia="Palatino Linotype" w:hAnsi="Palatino Linotype" w:cs="Palatino Linotype"/>
          <w:b/>
          <w:i/>
        </w:rPr>
        <w:t>NOTAS PERIODISTICAS, EL CONOCIMIENTO QUE DE ELLAS SE OBTIENE NO CONSTITUYE ‘UN HECHO PUBLICO Y NOTORIO”</w:t>
      </w:r>
      <w:r w:rsidRPr="004A3B87">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w:t>
      </w:r>
    </w:p>
    <w:p w14:paraId="0FFB3BAD" w14:textId="77777777" w:rsidR="005A26E7" w:rsidRPr="004A3B87" w:rsidRDefault="00D0537A">
      <w:pPr>
        <w:spacing w:before="240" w:after="240" w:line="360" w:lineRule="auto"/>
        <w:ind w:right="40"/>
        <w:jc w:val="both"/>
        <w:rPr>
          <w:rFonts w:ascii="Palatino Linotype" w:eastAsia="Palatino Linotype" w:hAnsi="Palatino Linotype" w:cs="Palatino Linotype"/>
          <w:b/>
          <w:u w:val="single"/>
        </w:rPr>
      </w:pPr>
      <w:r w:rsidRPr="004A3B87">
        <w:rPr>
          <w:rFonts w:ascii="Palatino Linotype" w:eastAsia="Palatino Linotype" w:hAnsi="Palatino Linotype" w:cs="Palatino Linotype"/>
        </w:rPr>
        <w:t xml:space="preserve">De tal situación, lo consignado en las notas periodísticas no constituye un hecho público o notorio, sino que es una opinión de su autor, por lo que </w:t>
      </w:r>
      <w:r w:rsidRPr="004A3B87">
        <w:rPr>
          <w:rFonts w:ascii="Palatino Linotype" w:eastAsia="Palatino Linotype" w:hAnsi="Palatino Linotype" w:cs="Palatino Linotype"/>
          <w:b/>
          <w:u w:val="single"/>
        </w:rPr>
        <w:t>sólo se pueden tomar como indicios.</w:t>
      </w:r>
    </w:p>
    <w:p w14:paraId="342D1458"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Bajo ese contexto,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tiene la obligación de documentar todo lo relacionado con sus atribuciones, en cualquier soporte documental, siendo aplicable, el Criterio de interpretación en el orden administrativo número 0002-11, </w:t>
      </w:r>
      <w:r w:rsidRPr="004A3B87">
        <w:rPr>
          <w:rFonts w:ascii="Palatino Linotype" w:eastAsia="Palatino Linotype" w:hAnsi="Palatino Linotype" w:cs="Palatino Linotype"/>
        </w:rPr>
        <w:lastRenderedPageBreak/>
        <w:t>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0724C29" w14:textId="77777777" w:rsidR="005A26E7" w:rsidRPr="004A3B87" w:rsidRDefault="005A26E7">
      <w:pPr>
        <w:ind w:left="851" w:right="899"/>
        <w:jc w:val="both"/>
        <w:rPr>
          <w:rFonts w:ascii="Palatino Linotype" w:eastAsia="Palatino Linotype" w:hAnsi="Palatino Linotype" w:cs="Palatino Linotype"/>
        </w:rPr>
      </w:pPr>
    </w:p>
    <w:p w14:paraId="7BE092B7" w14:textId="77777777" w:rsidR="005A26E7" w:rsidRPr="004A3B87" w:rsidRDefault="00D0537A">
      <w:pPr>
        <w:ind w:left="851" w:right="899"/>
        <w:jc w:val="both"/>
        <w:rPr>
          <w:rFonts w:ascii="Palatino Linotype" w:eastAsia="Palatino Linotype" w:hAnsi="Palatino Linotype" w:cs="Palatino Linotype"/>
          <w:b/>
          <w:i/>
          <w:sz w:val="22"/>
          <w:szCs w:val="22"/>
        </w:rPr>
      </w:pPr>
      <w:r w:rsidRPr="004A3B87">
        <w:rPr>
          <w:rFonts w:ascii="Palatino Linotype" w:eastAsia="Palatino Linotype" w:hAnsi="Palatino Linotype" w:cs="Palatino Linotype"/>
          <w:b/>
          <w:sz w:val="22"/>
          <w:szCs w:val="22"/>
        </w:rPr>
        <w:t>“</w:t>
      </w:r>
      <w:r w:rsidRPr="004A3B87">
        <w:rPr>
          <w:rFonts w:ascii="Palatino Linotype" w:eastAsia="Palatino Linotype" w:hAnsi="Palatino Linotype" w:cs="Palatino Linotype"/>
          <w:b/>
          <w:i/>
          <w:sz w:val="22"/>
          <w:szCs w:val="22"/>
        </w:rPr>
        <w:t>CRITERIO 0002-11</w:t>
      </w:r>
    </w:p>
    <w:p w14:paraId="71695DCE"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A3B8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409441"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2847B86"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F838B8A" w14:textId="77777777" w:rsidR="005A26E7" w:rsidRPr="004A3B87" w:rsidRDefault="00D0537A">
      <w:pPr>
        <w:ind w:left="851" w:right="899"/>
        <w:jc w:val="both"/>
        <w:rPr>
          <w:rFonts w:ascii="Palatino Linotype" w:eastAsia="Palatino Linotype" w:hAnsi="Palatino Linotype" w:cs="Palatino Linotype"/>
          <w:b/>
          <w:i/>
          <w:sz w:val="22"/>
          <w:szCs w:val="22"/>
        </w:rPr>
      </w:pPr>
      <w:r w:rsidRPr="004A3B8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48CE808" w14:textId="77777777" w:rsidR="005A26E7" w:rsidRPr="004A3B87" w:rsidRDefault="00D0537A">
      <w:pPr>
        <w:ind w:left="851" w:right="899"/>
        <w:jc w:val="both"/>
        <w:rPr>
          <w:rFonts w:ascii="Palatino Linotype" w:eastAsia="Palatino Linotype" w:hAnsi="Palatino Linotype" w:cs="Palatino Linotype"/>
          <w:b/>
          <w:i/>
          <w:sz w:val="22"/>
          <w:szCs w:val="22"/>
        </w:rPr>
      </w:pPr>
      <w:r w:rsidRPr="004A3B87">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7CAE2589"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Bajo ese contexto,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tiene la obligación de documentar todo lo relacionado con sus atribuciones, en cualquier soporte documental,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FE30689" w14:textId="77777777" w:rsidR="005A26E7" w:rsidRPr="004A3B87" w:rsidRDefault="005A26E7">
      <w:pPr>
        <w:ind w:left="851" w:right="899"/>
        <w:jc w:val="both"/>
        <w:rPr>
          <w:rFonts w:ascii="Palatino Linotype" w:eastAsia="Palatino Linotype" w:hAnsi="Palatino Linotype" w:cs="Palatino Linotype"/>
        </w:rPr>
      </w:pPr>
    </w:p>
    <w:p w14:paraId="037E82BA" w14:textId="77777777" w:rsidR="005A26E7" w:rsidRPr="004A3B87" w:rsidRDefault="00D0537A">
      <w:pPr>
        <w:ind w:left="851" w:right="899"/>
        <w:jc w:val="both"/>
        <w:rPr>
          <w:rFonts w:ascii="Palatino Linotype" w:eastAsia="Palatino Linotype" w:hAnsi="Palatino Linotype" w:cs="Palatino Linotype"/>
          <w:b/>
          <w:i/>
          <w:sz w:val="22"/>
          <w:szCs w:val="22"/>
        </w:rPr>
      </w:pPr>
      <w:r w:rsidRPr="004A3B87">
        <w:rPr>
          <w:rFonts w:ascii="Palatino Linotype" w:eastAsia="Palatino Linotype" w:hAnsi="Palatino Linotype" w:cs="Palatino Linotype"/>
          <w:b/>
          <w:sz w:val="22"/>
          <w:szCs w:val="22"/>
        </w:rPr>
        <w:t>“</w:t>
      </w:r>
      <w:r w:rsidRPr="004A3B87">
        <w:rPr>
          <w:rFonts w:ascii="Palatino Linotype" w:eastAsia="Palatino Linotype" w:hAnsi="Palatino Linotype" w:cs="Palatino Linotype"/>
          <w:b/>
          <w:i/>
          <w:sz w:val="22"/>
          <w:szCs w:val="22"/>
        </w:rPr>
        <w:t>CRITERIO 0002-11</w:t>
      </w:r>
    </w:p>
    <w:p w14:paraId="2769BB97"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A3B8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E4E552B"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E2606C6" w14:textId="77777777" w:rsidR="005A26E7" w:rsidRPr="004A3B87" w:rsidRDefault="00D0537A">
      <w:pPr>
        <w:ind w:left="851" w:right="89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3DE9D97" w14:textId="77777777" w:rsidR="005A26E7" w:rsidRPr="004A3B87" w:rsidRDefault="00D0537A">
      <w:pPr>
        <w:ind w:left="851" w:right="899"/>
        <w:jc w:val="both"/>
        <w:rPr>
          <w:rFonts w:ascii="Palatino Linotype" w:eastAsia="Palatino Linotype" w:hAnsi="Palatino Linotype" w:cs="Palatino Linotype"/>
          <w:b/>
          <w:i/>
          <w:sz w:val="22"/>
          <w:szCs w:val="22"/>
        </w:rPr>
      </w:pPr>
      <w:r w:rsidRPr="004A3B87">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E508485" w14:textId="77777777" w:rsidR="005A26E7" w:rsidRPr="004A3B87" w:rsidRDefault="00D0537A">
      <w:pPr>
        <w:ind w:left="851" w:right="899"/>
        <w:jc w:val="both"/>
        <w:rPr>
          <w:rFonts w:ascii="Palatino Linotype" w:eastAsia="Palatino Linotype" w:hAnsi="Palatino Linotype" w:cs="Palatino Linotype"/>
          <w:b/>
          <w:i/>
          <w:sz w:val="22"/>
          <w:szCs w:val="22"/>
        </w:rPr>
      </w:pPr>
      <w:r w:rsidRPr="004A3B87">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11F8B3EB" w14:textId="77777777" w:rsidR="005A26E7" w:rsidRPr="004A3B87" w:rsidRDefault="005A26E7">
      <w:pPr>
        <w:spacing w:line="360" w:lineRule="auto"/>
        <w:jc w:val="both"/>
        <w:rPr>
          <w:rFonts w:ascii="Palatino Linotype" w:eastAsia="Palatino Linotype" w:hAnsi="Palatino Linotype" w:cs="Palatino Linotype"/>
        </w:rPr>
      </w:pPr>
    </w:p>
    <w:p w14:paraId="0D1AEA6F" w14:textId="77777777" w:rsidR="005A26E7" w:rsidRPr="004A3B87" w:rsidRDefault="00D0537A">
      <w:pPr>
        <w:spacing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Ello es así, ya que la conservación de los archivos, ya sea físicos o digitales, es una responsabilidad encomendada para cualquier autoridad, entidad, órgano y organismo de los poderes Legislativo, Ejecutivo y Judicial, Ayuntamientos, órganos autónomos, partidos políticos, fideicomisos y fondos públicos, así como de cualquier persona física, moral o sindicato que reciba y ejerza recursos públicos o realice actos de autoridad de la federación, las entidades federativas y los municipios, según lo dispuesto en la Ley General de Archivos.</w:t>
      </w:r>
    </w:p>
    <w:p w14:paraId="5CA0504E"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En dicha norma, se define al archivo como el conjunto organizado de documentos producidos o recibidos por los sujetos obligados en el ejercicio de sus atribuciones y funciones, con independencia del soporte, espacio o lugar que se resguarden; de igual forma, señala que la conservación es el conjunto de procedimientos y medidas </w:t>
      </w:r>
      <w:r w:rsidRPr="004A3B87">
        <w:rPr>
          <w:rFonts w:ascii="Palatino Linotype" w:eastAsia="Palatino Linotype" w:hAnsi="Palatino Linotype" w:cs="Palatino Linotype"/>
        </w:rPr>
        <w:lastRenderedPageBreak/>
        <w:t>destinados a asegurar la prevención de aliteraciones físicas de los documentos en papel y la preservación de documentos digitales a largo plazo.</w:t>
      </w:r>
    </w:p>
    <w:p w14:paraId="0D35B215"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De tal manera, que la Ley fija que al igual que en materia de transparencia y acceso a la información pública, toda la información contenida en documentos de archivo producidos, obtenidos, adquiridos, transformados o en posesión de los Sujetos Obligados es pública; por lo que destaca que el Estado mexicano deberá garantizar la organización, conservación y preservación de los archivos con el objeto de respetar el derecho a la verdad y el acceso a la información contenida en los archivos, por lo cual indica en su artículo 7 que los sujetos obligados deberán producir, registrar, organizar y conservar los documentos de archivo sobre todo acto que derive del ejercicio de sus facultades, competencias o funciones de acuerdo con lo establecido en las disposiciones jurídicas correspondientes.</w:t>
      </w:r>
    </w:p>
    <w:p w14:paraId="5FFD78C3"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Por consiguiente, se acredita que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1A0EC654" w14:textId="77777777" w:rsidR="005A26E7" w:rsidRPr="004A3B87" w:rsidRDefault="00D0537A">
      <w:pPr>
        <w:spacing w:before="240" w:after="240"/>
        <w:ind w:left="709" w:right="902"/>
        <w:jc w:val="both"/>
        <w:rPr>
          <w:rFonts w:ascii="Palatino Linotype" w:eastAsia="Palatino Linotype" w:hAnsi="Palatino Linotype" w:cs="Palatino Linotype"/>
          <w:i/>
          <w:sz w:val="20"/>
          <w:szCs w:val="20"/>
        </w:rPr>
      </w:pPr>
      <w:r w:rsidRPr="004A3B87">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43DB5729" w14:textId="77777777" w:rsidR="005A26E7" w:rsidRPr="004A3B87" w:rsidRDefault="00D0537A">
      <w:pPr>
        <w:shd w:val="clear" w:color="auto" w:fill="FFFFFF"/>
        <w:spacing w:before="240" w:after="240" w:line="360" w:lineRule="auto"/>
        <w:jc w:val="both"/>
      </w:pPr>
      <w:r w:rsidRPr="004A3B87">
        <w:rPr>
          <w:rFonts w:ascii="Palatino Linotype" w:eastAsia="Palatino Linotype" w:hAnsi="Palatino Linotype" w:cs="Palatino Linotype"/>
        </w:rPr>
        <w:lastRenderedPageBreak/>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50ABA725" w14:textId="77777777" w:rsidR="005A26E7" w:rsidRPr="004A3B87" w:rsidRDefault="00D0537A">
      <w:pPr>
        <w:shd w:val="clear" w:color="auto" w:fill="FFFFFF"/>
        <w:spacing w:after="240" w:line="276" w:lineRule="auto"/>
        <w:ind w:left="993" w:right="1041"/>
        <w:jc w:val="both"/>
      </w:pPr>
      <w:r w:rsidRPr="004A3B87">
        <w:rPr>
          <w:rFonts w:ascii="Palatino Linotype" w:eastAsia="Palatino Linotype" w:hAnsi="Palatino Linotype" w:cs="Palatino Linotype"/>
          <w:b/>
          <w:i/>
          <w:sz w:val="22"/>
          <w:szCs w:val="22"/>
        </w:rPr>
        <w:t>“Artículo 162.</w:t>
      </w:r>
      <w:r w:rsidRPr="004A3B87">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64381BD1" w14:textId="77777777" w:rsidR="005A26E7" w:rsidRPr="004A3B87" w:rsidRDefault="00D0537A">
      <w:pPr>
        <w:shd w:val="clear" w:color="auto" w:fill="FFFFFF"/>
        <w:spacing w:line="360" w:lineRule="auto"/>
        <w:jc w:val="both"/>
      </w:pPr>
      <w:r w:rsidRPr="004A3B87">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4A3B87">
        <w:rPr>
          <w:rFonts w:ascii="Palatino Linotype" w:eastAsia="Palatino Linotype" w:hAnsi="Palatino Linotype" w:cs="Palatino Linotype"/>
          <w:vertAlign w:val="superscript"/>
        </w:rPr>
        <w:footnoteReference w:id="1"/>
      </w:r>
      <w:r w:rsidRPr="004A3B87">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 solicitud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579017E9" w14:textId="77777777" w:rsidR="005A26E7" w:rsidRPr="004A3B87" w:rsidRDefault="005A26E7">
      <w:pPr>
        <w:shd w:val="clear" w:color="auto" w:fill="FFFFFF"/>
        <w:ind w:left="993" w:right="1041"/>
        <w:jc w:val="both"/>
        <w:rPr>
          <w:rFonts w:ascii="Palatino Linotype" w:eastAsia="Palatino Linotype" w:hAnsi="Palatino Linotype" w:cs="Palatino Linotype"/>
          <w:b/>
          <w:i/>
          <w:sz w:val="22"/>
          <w:szCs w:val="22"/>
        </w:rPr>
      </w:pPr>
    </w:p>
    <w:p w14:paraId="4DF23091" w14:textId="77777777" w:rsidR="005A26E7" w:rsidRPr="004A3B87" w:rsidRDefault="00D0537A">
      <w:pPr>
        <w:shd w:val="clear" w:color="auto" w:fill="FFFFFF"/>
        <w:ind w:left="993" w:right="1041"/>
        <w:jc w:val="both"/>
      </w:pPr>
      <w:r w:rsidRPr="004A3B87">
        <w:rPr>
          <w:rFonts w:ascii="Palatino Linotype" w:eastAsia="Palatino Linotype" w:hAnsi="Palatino Linotype" w:cs="Palatino Linotype"/>
          <w:b/>
          <w:i/>
          <w:sz w:val="22"/>
          <w:szCs w:val="22"/>
        </w:rPr>
        <w:t>“Artículo 160. </w:t>
      </w:r>
      <w:r w:rsidRPr="004A3B87">
        <w:rPr>
          <w:rFonts w:ascii="Palatino Linotype" w:eastAsia="Palatino Linotype" w:hAnsi="Palatino Linotype" w:cs="Palatino Linotype"/>
          <w:i/>
          <w:sz w:val="22"/>
          <w:szCs w:val="22"/>
        </w:rPr>
        <w:t xml:space="preserve">Los sujetos obligados deberán otorgar acceso a los documentos que se encuentren en sus archivos o que estén obligados a documentar de </w:t>
      </w:r>
      <w:r w:rsidRPr="004A3B87">
        <w:rPr>
          <w:rFonts w:ascii="Palatino Linotype" w:eastAsia="Palatino Linotype" w:hAnsi="Palatino Linotype" w:cs="Palatino Linotype"/>
          <w:i/>
          <w:sz w:val="22"/>
          <w:szCs w:val="22"/>
        </w:rPr>
        <w:lastRenderedPageBreak/>
        <w:t>acuerdo con sus facultades, competencias o funciones en el formato que el solicitante manifieste, de entre aquellos formatos existentes, conforme a las características físicas de la información o del lugar donde se encuentre así lo permita.</w:t>
      </w:r>
    </w:p>
    <w:p w14:paraId="5F3E0C3B" w14:textId="77777777" w:rsidR="005A26E7" w:rsidRPr="004A3B87" w:rsidRDefault="00D0537A">
      <w:pPr>
        <w:shd w:val="clear" w:color="auto" w:fill="FFFFFF"/>
        <w:ind w:left="993" w:right="1041"/>
        <w:jc w:val="both"/>
      </w:pPr>
      <w:r w:rsidRPr="004A3B87">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6A68204D" w14:textId="77777777" w:rsidR="005A26E7" w:rsidRPr="004A3B87" w:rsidRDefault="00D0537A">
      <w:pPr>
        <w:shd w:val="clear" w:color="auto" w:fill="FFFFFF"/>
        <w:ind w:left="993" w:right="1041"/>
        <w:jc w:val="both"/>
      </w:pPr>
      <w:r w:rsidRPr="004A3B87">
        <w:rPr>
          <w:rFonts w:ascii="Palatino Linotype" w:eastAsia="Palatino Linotype" w:hAnsi="Palatino Linotype" w:cs="Palatino Linotype"/>
          <w:b/>
          <w:i/>
          <w:sz w:val="22"/>
          <w:szCs w:val="22"/>
        </w:rPr>
        <w:t>Artículo 163.</w:t>
      </w:r>
      <w:r w:rsidRPr="004A3B87">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37AC2741" w14:textId="77777777" w:rsidR="005A26E7" w:rsidRPr="004A3B87" w:rsidRDefault="00D0537A">
      <w:pPr>
        <w:shd w:val="clear" w:color="auto" w:fill="FFFFFF"/>
        <w:ind w:left="993" w:right="1041"/>
        <w:jc w:val="both"/>
      </w:pPr>
      <w:r w:rsidRPr="004A3B87">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26AB710" w14:textId="77777777" w:rsidR="005A26E7" w:rsidRPr="004A3B87" w:rsidRDefault="00D0537A">
      <w:pPr>
        <w:shd w:val="clear" w:color="auto" w:fill="FFFFFF"/>
        <w:ind w:left="993" w:right="1041"/>
        <w:jc w:val="both"/>
      </w:pPr>
      <w:r w:rsidRPr="004A3B87">
        <w:rPr>
          <w:rFonts w:ascii="Palatino Linotype" w:eastAsia="Palatino Linotype" w:hAnsi="Palatino Linotype" w:cs="Palatino Linotype"/>
          <w:b/>
          <w:i/>
          <w:sz w:val="22"/>
          <w:szCs w:val="22"/>
        </w:rPr>
        <w:t>Artículo 165.</w:t>
      </w:r>
      <w:r w:rsidRPr="004A3B87">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32FDC179" w14:textId="77777777" w:rsidR="005A26E7" w:rsidRPr="004A3B87" w:rsidRDefault="00D0537A">
      <w:pPr>
        <w:shd w:val="clear" w:color="auto" w:fill="FFFFFF"/>
        <w:ind w:left="993" w:right="1041"/>
        <w:jc w:val="both"/>
      </w:pPr>
      <w:r w:rsidRPr="004A3B87">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4BF3FE92" w14:textId="77777777" w:rsidR="005A26E7" w:rsidRPr="004A3B87" w:rsidRDefault="00D0537A">
      <w:pPr>
        <w:shd w:val="clear" w:color="auto" w:fill="FFFFFF"/>
        <w:spacing w:after="240"/>
        <w:ind w:left="993" w:right="1041"/>
        <w:jc w:val="both"/>
      </w:pPr>
      <w:r w:rsidRPr="004A3B87">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6A7A090B" w14:textId="77777777" w:rsidR="005A26E7" w:rsidRPr="004A3B87" w:rsidRDefault="00D0537A">
      <w:pPr>
        <w:shd w:val="clear" w:color="auto" w:fill="FFFFFF"/>
        <w:spacing w:before="240" w:after="240" w:line="360" w:lineRule="auto"/>
        <w:jc w:val="both"/>
      </w:pPr>
      <w:r w:rsidRPr="004A3B87">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4A3B87">
        <w:rPr>
          <w:rFonts w:ascii="Palatino Linotype" w:eastAsia="Palatino Linotype" w:hAnsi="Palatino Linotype" w:cs="Palatino Linotype"/>
          <w:vertAlign w:val="superscript"/>
        </w:rPr>
        <w:footnoteReference w:id="2"/>
      </w:r>
      <w:r w:rsidRPr="004A3B87">
        <w:rPr>
          <w:rFonts w:ascii="Palatino Linotype" w:eastAsia="Palatino Linotype" w:hAnsi="Palatino Linotype" w:cs="Palatino Linotype"/>
        </w:rPr>
        <w:t xml:space="preserve">, situación que no se advierte en el presente caso, toda vez que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a través de su Unidad de Transparencia no ha brindado el acceso a la información solicitada por el particular de manera </w:t>
      </w:r>
      <w:r w:rsidRPr="004A3B87">
        <w:rPr>
          <w:rFonts w:ascii="Palatino Linotype" w:eastAsia="Palatino Linotype" w:hAnsi="Palatino Linotype" w:cs="Palatino Linotype"/>
        </w:rPr>
        <w:lastRenderedPageBreak/>
        <w:t>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66B9DB50" w14:textId="77777777" w:rsidR="005A26E7" w:rsidRPr="004A3B87" w:rsidRDefault="00D0537A">
      <w:pPr>
        <w:spacing w:line="360" w:lineRule="auto"/>
        <w:ind w:right="51"/>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En mérito de lo anterior, se colige que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 como pudieran ser de manera enunciativa más no limitada, el Instituto del Transporte del Estado de México (ITEM), en términos del 146 y 148 del Reglamento del Transporte Público y Servicios Conexos Del Estado De México y 14 y 15 del Reglamento Interno del Instituto del Transporte del Estado de México, que señalan:</w:t>
      </w:r>
    </w:p>
    <w:p w14:paraId="031F709F" w14:textId="77777777" w:rsidR="005A26E7" w:rsidRPr="004A3B87" w:rsidRDefault="005A26E7">
      <w:pPr>
        <w:spacing w:line="360" w:lineRule="auto"/>
        <w:ind w:right="51"/>
        <w:jc w:val="both"/>
        <w:rPr>
          <w:rFonts w:ascii="Palatino Linotype" w:eastAsia="Palatino Linotype" w:hAnsi="Palatino Linotype" w:cs="Palatino Linotype"/>
        </w:rPr>
      </w:pPr>
    </w:p>
    <w:p w14:paraId="68302E18" w14:textId="77777777" w:rsidR="005A26E7" w:rsidRPr="004A3B87" w:rsidRDefault="00D0537A">
      <w:pPr>
        <w:shd w:val="clear" w:color="auto" w:fill="FFFFFF"/>
        <w:ind w:left="993" w:right="1041"/>
        <w:jc w:val="both"/>
        <w:rPr>
          <w:rFonts w:ascii="Palatino Linotype" w:eastAsia="Palatino Linotype" w:hAnsi="Palatino Linotype" w:cs="Palatino Linotype"/>
          <w:b/>
          <w:i/>
          <w:sz w:val="22"/>
          <w:szCs w:val="22"/>
        </w:rPr>
      </w:pPr>
      <w:r w:rsidRPr="004A3B87">
        <w:rPr>
          <w:rFonts w:ascii="Palatino Linotype" w:eastAsia="Palatino Linotype" w:hAnsi="Palatino Linotype" w:cs="Palatino Linotype"/>
          <w:i/>
          <w:sz w:val="22"/>
          <w:szCs w:val="22"/>
        </w:rPr>
        <w:t xml:space="preserve">“ARTICULO 146.- </w:t>
      </w:r>
      <w:r w:rsidRPr="004A3B87">
        <w:rPr>
          <w:rFonts w:ascii="Palatino Linotype" w:eastAsia="Palatino Linotype" w:hAnsi="Palatino Linotype" w:cs="Palatino Linotype"/>
          <w:b/>
          <w:i/>
          <w:sz w:val="22"/>
          <w:szCs w:val="22"/>
        </w:rPr>
        <w:t>Se crea el Instituto del Transporte del Estado de México, como órgano desconcentrado de la Secretaría</w:t>
      </w:r>
      <w:r w:rsidRPr="004A3B87">
        <w:rPr>
          <w:rFonts w:ascii="Palatino Linotype" w:eastAsia="Palatino Linotype" w:hAnsi="Palatino Linotype" w:cs="Palatino Linotype"/>
          <w:i/>
          <w:sz w:val="22"/>
          <w:szCs w:val="22"/>
        </w:rPr>
        <w:t xml:space="preserve">, cuyo </w:t>
      </w:r>
      <w:r w:rsidRPr="004A3B87">
        <w:rPr>
          <w:rFonts w:ascii="Palatino Linotype" w:eastAsia="Palatino Linotype" w:hAnsi="Palatino Linotype" w:cs="Palatino Linotype"/>
          <w:b/>
          <w:i/>
          <w:sz w:val="22"/>
          <w:szCs w:val="22"/>
        </w:rPr>
        <w:t>objeto es la investigación, elaboración de estudios</w:t>
      </w:r>
      <w:r w:rsidRPr="004A3B87">
        <w:rPr>
          <w:rFonts w:ascii="Palatino Linotype" w:eastAsia="Palatino Linotype" w:hAnsi="Palatino Linotype" w:cs="Palatino Linotype"/>
          <w:i/>
          <w:sz w:val="22"/>
          <w:szCs w:val="22"/>
        </w:rPr>
        <w:t xml:space="preserve">, modernización y desarrollo </w:t>
      </w:r>
      <w:r w:rsidRPr="004A3B87">
        <w:rPr>
          <w:rFonts w:ascii="Palatino Linotype" w:eastAsia="Palatino Linotype" w:hAnsi="Palatino Linotype" w:cs="Palatino Linotype"/>
          <w:b/>
          <w:i/>
          <w:sz w:val="22"/>
          <w:szCs w:val="22"/>
        </w:rPr>
        <w:t>de los sistemas de transportación pública en la entidad.</w:t>
      </w:r>
    </w:p>
    <w:p w14:paraId="1B65409D" w14:textId="77777777" w:rsidR="005A26E7" w:rsidRPr="004A3B87" w:rsidRDefault="00D0537A">
      <w:pPr>
        <w:shd w:val="clear" w:color="auto" w:fill="FFFFFF"/>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Para tal efecto, el Instituto operará bajo un sistema de participación y consulta permanente con los sectores participantes en el transporte y los usuarios.</w:t>
      </w:r>
    </w:p>
    <w:p w14:paraId="166C951D" w14:textId="77777777" w:rsidR="005A26E7" w:rsidRPr="004A3B87" w:rsidRDefault="00D0537A">
      <w:pPr>
        <w:shd w:val="clear" w:color="auto" w:fill="FFFFFF"/>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w:t>
      </w:r>
    </w:p>
    <w:p w14:paraId="5EA13759" w14:textId="77777777" w:rsidR="005A26E7" w:rsidRPr="004A3B87" w:rsidRDefault="00D0537A">
      <w:pPr>
        <w:shd w:val="clear" w:color="auto" w:fill="FFFFFF"/>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ARTÍCULO 148.- La Dirección del Instituto estará a cargo del Consejo Directivo y de un Vocal Ejecutivo.</w:t>
      </w:r>
    </w:p>
    <w:p w14:paraId="69D54BEA" w14:textId="77777777" w:rsidR="005A26E7" w:rsidRPr="004A3B87" w:rsidRDefault="00D0537A">
      <w:pPr>
        <w:shd w:val="clear" w:color="auto" w:fill="FFFFFF"/>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w:t>
      </w:r>
    </w:p>
    <w:p w14:paraId="36CE3024" w14:textId="77777777" w:rsidR="005A26E7" w:rsidRPr="004A3B87" w:rsidRDefault="00D0537A">
      <w:pPr>
        <w:shd w:val="clear" w:color="auto" w:fill="FFFFFF"/>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Artículo 14.- Al frente del Instituto habrá un Vocal Ejecutivo</w:t>
      </w:r>
      <w:r w:rsidRPr="004A3B87">
        <w:rPr>
          <w:rFonts w:ascii="Palatino Linotype" w:eastAsia="Palatino Linotype" w:hAnsi="Palatino Linotype" w:cs="Palatino Linotype"/>
          <w:i/>
          <w:sz w:val="22"/>
          <w:szCs w:val="22"/>
        </w:rPr>
        <w:t>, quien se auxiliará de los subdirectores, jefes de departamento y demás servidores públicos que las necesidades del servicio requieran, de conformidad con las disposiciones aplicables, estructura orgánica y presupuesto autorizado.</w:t>
      </w:r>
    </w:p>
    <w:p w14:paraId="1F19B0A5" w14:textId="77777777" w:rsidR="005A26E7" w:rsidRPr="004A3B87" w:rsidRDefault="00D0537A">
      <w:pPr>
        <w:shd w:val="clear" w:color="auto" w:fill="FFFFFF"/>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Artículo 15.- Corresponde al Vocal Ejecutivo las atribuciones siguientes</w:t>
      </w:r>
      <w:r w:rsidRPr="004A3B87">
        <w:rPr>
          <w:rFonts w:ascii="Palatino Linotype" w:eastAsia="Palatino Linotype" w:hAnsi="Palatino Linotype" w:cs="Palatino Linotype"/>
          <w:i/>
          <w:sz w:val="22"/>
          <w:szCs w:val="22"/>
        </w:rPr>
        <w:t xml:space="preserve">: </w:t>
      </w:r>
    </w:p>
    <w:p w14:paraId="379A5C12" w14:textId="77777777" w:rsidR="005A26E7" w:rsidRPr="004A3B87" w:rsidRDefault="00D0537A">
      <w:pPr>
        <w:shd w:val="clear" w:color="auto" w:fill="FFFFFF"/>
        <w:ind w:left="993" w:right="1041"/>
        <w:jc w:val="both"/>
        <w:rPr>
          <w:rFonts w:ascii="Palatino Linotype" w:eastAsia="Palatino Linotype" w:hAnsi="Palatino Linotype" w:cs="Palatino Linotype"/>
          <w:b/>
          <w:i/>
          <w:sz w:val="22"/>
          <w:szCs w:val="22"/>
        </w:rPr>
      </w:pPr>
      <w:r w:rsidRPr="004A3B87">
        <w:rPr>
          <w:rFonts w:ascii="Palatino Linotype" w:eastAsia="Palatino Linotype" w:hAnsi="Palatino Linotype" w:cs="Palatino Linotype"/>
          <w:i/>
          <w:sz w:val="22"/>
          <w:szCs w:val="22"/>
        </w:rPr>
        <w:lastRenderedPageBreak/>
        <w:t xml:space="preserve">I. Proponer normas y políticas generales para el funcionamiento del Instituto. </w:t>
      </w:r>
      <w:r w:rsidRPr="004A3B87">
        <w:rPr>
          <w:rFonts w:ascii="Palatino Linotype" w:eastAsia="Palatino Linotype" w:hAnsi="Palatino Linotype" w:cs="Palatino Linotype"/>
          <w:b/>
          <w:i/>
          <w:sz w:val="22"/>
          <w:szCs w:val="22"/>
        </w:rPr>
        <w:t xml:space="preserve">II. Impulsar y coordinar la realización de estudios orientados a modernizar los sistemas de movilidad en la entidad. </w:t>
      </w:r>
    </w:p>
    <w:p w14:paraId="37CAE5DF" w14:textId="77777777" w:rsidR="005A26E7" w:rsidRPr="004A3B87" w:rsidRDefault="00D0537A">
      <w:pPr>
        <w:shd w:val="clear" w:color="auto" w:fill="FFFFFF"/>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III. Someter a la consideración del Consejo Directivo modificaciones jurídicas y administrativas que tiendan a mejorar la organización y el funcionamiento del Instituto. </w:t>
      </w:r>
    </w:p>
    <w:p w14:paraId="7DE172DA" w14:textId="77777777" w:rsidR="005A26E7" w:rsidRPr="004A3B87" w:rsidRDefault="00D0537A">
      <w:pPr>
        <w:shd w:val="clear" w:color="auto" w:fill="FFFFFF"/>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IV. Someter a la consideración y, en su caso, aprobación del Consejo Directivo los reglamentos, manuales administrativos y demás disposiciones jurídicas que regulen la organización y el funcionamiento del Instituto. </w:t>
      </w:r>
    </w:p>
    <w:p w14:paraId="4D00030A" w14:textId="77777777" w:rsidR="005A26E7" w:rsidRPr="004A3B87" w:rsidRDefault="00D0537A">
      <w:pPr>
        <w:shd w:val="clear" w:color="auto" w:fill="FFFFFF"/>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V. Proponer estrategias, programas y acciones para el desarrollo de los sistemas de movilidad en la entidad, fomentando la seguridad vial, accesibilidad, eficiencia, sostenibilidad, calidad, inclusión, igualdad, disponibilidad, sustentabilidad, progresividad, equidad de género, protección a grupos vulnerables y el uso de tecnologías limpias en la entidad. </w:t>
      </w:r>
    </w:p>
    <w:p w14:paraId="14817B90" w14:textId="77777777" w:rsidR="005A26E7" w:rsidRPr="004A3B87" w:rsidRDefault="00D0537A">
      <w:pPr>
        <w:shd w:val="clear" w:color="auto" w:fill="FFFFFF"/>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VI. Fomentar la participación social en la planeación, ejecución y evaluación de acciones orientadas a la modernización de la movilidad. </w:t>
      </w:r>
    </w:p>
    <w:p w14:paraId="466E107D" w14:textId="77777777" w:rsidR="005A26E7" w:rsidRPr="004A3B87" w:rsidRDefault="00D0537A">
      <w:pPr>
        <w:shd w:val="clear" w:color="auto" w:fill="FFFFFF"/>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VII. Celebrar convenios o acuerdos en los asuntos que competan al Instituto y vigilar su cumplimiento. </w:t>
      </w:r>
    </w:p>
    <w:p w14:paraId="077B68B3" w14:textId="77777777" w:rsidR="005A26E7" w:rsidRPr="004A3B87" w:rsidRDefault="00D0537A">
      <w:pPr>
        <w:shd w:val="clear" w:color="auto" w:fill="FFFFFF"/>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VIII. Promover que los planes y programas del Instituto sean realizados con perspectiva de género y respeto a los derechos humanos. </w:t>
      </w:r>
    </w:p>
    <w:p w14:paraId="246C53FA" w14:textId="77777777" w:rsidR="005A26E7" w:rsidRPr="004A3B87" w:rsidRDefault="00D0537A">
      <w:pPr>
        <w:shd w:val="clear" w:color="auto" w:fill="FFFFFF"/>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IX. Las demás que le establecen otras disposiciones legales y aquellas que le encomiende el Consejo Directivo” (Sic)</w:t>
      </w:r>
    </w:p>
    <w:p w14:paraId="6ADE5318"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En donde se establece que el Instituto del Transporte del Estado de México (ITEM), es un órgano desconcentrado de la Secretaría de Movilidad y que al frente de dicho Instituto habrá un vocal ejecutivo, cuyo objetivo de dicho Instituto es el de elaborar estudios de los sistemas de transportación pública en el Estado de México.</w:t>
      </w:r>
    </w:p>
    <w:p w14:paraId="6E269F2D"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Razones por las cuales lo procedente es ordenar la búsqueda exhaustiva y razonable del documento o documentos en donde conste los estudios técnicos de las rutas que restructuraron las empresas del transporte público en el Municipio de Toluca para conectar con el tren interurbano México-Toluca, también conocido como “El insurgentes”, del once de octubre del año dos mil veintidós al once de octubre del </w:t>
      </w:r>
      <w:r w:rsidRPr="004A3B87">
        <w:rPr>
          <w:rFonts w:ascii="Palatino Linotype" w:eastAsia="Palatino Linotype" w:hAnsi="Palatino Linotype" w:cs="Palatino Linotype"/>
        </w:rPr>
        <w:lastRenderedPageBreak/>
        <w:t xml:space="preserve">año dos mil veintitrés y de ser procedente en versión pública conforme a lo señalado por el considerando quinto del presente fallo. </w:t>
      </w:r>
    </w:p>
    <w:p w14:paraId="5AB56B12"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Sin contrariar lo anterior, para el caso que derivado de la búsqueda exhaustiva y razonable que se ordena, no se llegara a localizar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CD976C4" w14:textId="77777777" w:rsidR="005A26E7" w:rsidRPr="004A3B87" w:rsidRDefault="00D0537A">
      <w:pPr>
        <w:pBdr>
          <w:top w:val="nil"/>
          <w:left w:val="nil"/>
          <w:bottom w:val="nil"/>
          <w:right w:val="nil"/>
          <w:between w:val="nil"/>
        </w:pBdr>
        <w:spacing w:before="120" w:after="120"/>
        <w:ind w:left="851" w:right="902"/>
        <w:jc w:val="both"/>
      </w:pPr>
      <w:r w:rsidRPr="004A3B87">
        <w:rPr>
          <w:rFonts w:ascii="Palatino Linotype" w:eastAsia="Palatino Linotype" w:hAnsi="Palatino Linotype" w:cs="Palatino Linotype"/>
          <w:i/>
          <w:sz w:val="22"/>
          <w:szCs w:val="22"/>
        </w:rPr>
        <w:t>“</w:t>
      </w:r>
      <w:r w:rsidRPr="004A3B87">
        <w:rPr>
          <w:rFonts w:ascii="Palatino Linotype" w:eastAsia="Palatino Linotype" w:hAnsi="Palatino Linotype" w:cs="Palatino Linotype"/>
          <w:b/>
          <w:i/>
          <w:sz w:val="22"/>
          <w:szCs w:val="22"/>
        </w:rPr>
        <w:t>Artículo 19</w:t>
      </w:r>
      <w:r w:rsidRPr="004A3B87">
        <w:rPr>
          <w:rFonts w:ascii="Palatino Linotype" w:eastAsia="Palatino Linotype" w:hAnsi="Palatino Linotype" w:cs="Palatino Linotype"/>
          <w:i/>
          <w:sz w:val="22"/>
          <w:szCs w:val="22"/>
        </w:rPr>
        <w:t>…</w:t>
      </w:r>
    </w:p>
    <w:p w14:paraId="3DAE2641" w14:textId="77777777" w:rsidR="005A26E7" w:rsidRPr="004A3B87" w:rsidRDefault="00D0537A">
      <w:pPr>
        <w:pBdr>
          <w:top w:val="nil"/>
          <w:left w:val="nil"/>
          <w:bottom w:val="nil"/>
          <w:right w:val="nil"/>
          <w:between w:val="nil"/>
        </w:pBdr>
        <w:spacing w:before="120" w:after="120"/>
        <w:ind w:left="851" w:right="902"/>
        <w:jc w:val="both"/>
      </w:pPr>
      <w:r w:rsidRPr="004A3B87">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 (Sic)</w:t>
      </w:r>
    </w:p>
    <w:p w14:paraId="5CFE5890"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t xml:space="preserve">Quinto. Versión Pública. </w:t>
      </w:r>
      <w:r w:rsidRPr="004A3B87">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4A3B87">
        <w:rPr>
          <w:rFonts w:ascii="Palatino Linotype" w:eastAsia="Palatino Linotype" w:hAnsi="Palatino Linotype" w:cs="Palatino Linotype"/>
          <w:b/>
        </w:rPr>
        <w:t>RECURRENTE</w:t>
      </w:r>
      <w:r w:rsidRPr="004A3B87">
        <w:rPr>
          <w:rFonts w:ascii="Palatino Linotype" w:eastAsia="Palatino Linotype" w:hAnsi="Palatino Linotype" w:cs="Palatino Linotype"/>
        </w:rPr>
        <w:t xml:space="preserve"> sin menoscabar el derecho a la protección de los datos personales de terceros.</w:t>
      </w:r>
    </w:p>
    <w:p w14:paraId="24987B0F" w14:textId="77777777" w:rsidR="005A26E7" w:rsidRPr="004A3B87" w:rsidRDefault="00D0537A">
      <w:pPr>
        <w:spacing w:before="240" w:after="240" w:line="360" w:lineRule="auto"/>
        <w:ind w:right="50"/>
        <w:jc w:val="both"/>
        <w:rPr>
          <w:rFonts w:ascii="Palatino Linotype" w:eastAsia="Palatino Linotype" w:hAnsi="Palatino Linotype" w:cs="Palatino Linotype"/>
        </w:rPr>
      </w:pPr>
      <w:r w:rsidRPr="004A3B87">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08B5B3C3" w14:textId="77777777" w:rsidR="005A26E7" w:rsidRPr="004A3B87" w:rsidRDefault="00D0537A">
      <w:pPr>
        <w:ind w:left="993" w:right="1041"/>
        <w:jc w:val="both"/>
        <w:rPr>
          <w:rFonts w:ascii="Palatino Linotype" w:eastAsia="Palatino Linotype" w:hAnsi="Palatino Linotype" w:cs="Palatino Linotype"/>
          <w:b/>
          <w:i/>
          <w:sz w:val="22"/>
          <w:szCs w:val="22"/>
        </w:rPr>
      </w:pPr>
      <w:r w:rsidRPr="004A3B87">
        <w:rPr>
          <w:rFonts w:ascii="Palatino Linotype" w:eastAsia="Palatino Linotype" w:hAnsi="Palatino Linotype" w:cs="Palatino Linotype"/>
          <w:b/>
          <w:i/>
          <w:sz w:val="22"/>
          <w:szCs w:val="22"/>
        </w:rPr>
        <w:lastRenderedPageBreak/>
        <w:t xml:space="preserve"> “Artículo 3. Para los efectos de la presente Ley se entenderá por:</w:t>
      </w:r>
    </w:p>
    <w:p w14:paraId="3DBDF3FE" w14:textId="77777777" w:rsidR="005A26E7" w:rsidRPr="004A3B87" w:rsidRDefault="00D0537A">
      <w:pPr>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IX. Datos personales:</w:t>
      </w:r>
      <w:r w:rsidRPr="004A3B87">
        <w:rPr>
          <w:rFonts w:ascii="Palatino Linotype" w:eastAsia="Palatino Linotype" w:hAnsi="Palatino Linotype" w:cs="Palatino Linotype"/>
          <w:i/>
          <w:sz w:val="22"/>
          <w:szCs w:val="22"/>
        </w:rPr>
        <w:t xml:space="preserve"> </w:t>
      </w:r>
      <w:r w:rsidRPr="004A3B87">
        <w:rPr>
          <w:rFonts w:ascii="Palatino Linotype" w:eastAsia="Palatino Linotype" w:hAnsi="Palatino Linotype" w:cs="Palatino Linotype"/>
          <w:b/>
          <w:i/>
          <w:sz w:val="22"/>
          <w:szCs w:val="22"/>
        </w:rPr>
        <w:t>La información concerniente a una persona, identificada o identificable</w:t>
      </w:r>
      <w:r w:rsidRPr="004A3B87">
        <w:rPr>
          <w:rFonts w:ascii="Palatino Linotype" w:eastAsia="Palatino Linotype" w:hAnsi="Palatino Linotype" w:cs="Palatino Linotype"/>
          <w:i/>
          <w:sz w:val="22"/>
          <w:szCs w:val="22"/>
        </w:rPr>
        <w:t xml:space="preserve"> según lo dispuesto por la Ley de Protección de Datos Personales del Estado de México;</w:t>
      </w:r>
    </w:p>
    <w:p w14:paraId="3B461AEF" w14:textId="77777777" w:rsidR="005A26E7" w:rsidRPr="004A3B87" w:rsidRDefault="00D0537A">
      <w:pPr>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XX. Información clasificada:</w:t>
      </w:r>
      <w:r w:rsidRPr="004A3B87">
        <w:rPr>
          <w:rFonts w:ascii="Palatino Linotype" w:eastAsia="Palatino Linotype" w:hAnsi="Palatino Linotype" w:cs="Palatino Linotype"/>
          <w:i/>
          <w:sz w:val="22"/>
          <w:szCs w:val="22"/>
        </w:rPr>
        <w:t xml:space="preserve"> Aquella considerada por la presente Ley como reservada o confidencial;</w:t>
      </w:r>
    </w:p>
    <w:p w14:paraId="0B841D7E" w14:textId="77777777" w:rsidR="005A26E7" w:rsidRPr="004A3B87" w:rsidRDefault="00D0537A">
      <w:pPr>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XXXII. Protección de Datos Personales:</w:t>
      </w:r>
      <w:r w:rsidRPr="004A3B87">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666C1601" w14:textId="77777777" w:rsidR="005A26E7" w:rsidRPr="004A3B87" w:rsidRDefault="00D0537A">
      <w:pPr>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XLV. Versión pública</w:t>
      </w:r>
      <w:r w:rsidRPr="004A3B87">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B951D25" w14:textId="77777777" w:rsidR="005A26E7" w:rsidRPr="004A3B87" w:rsidRDefault="005A26E7">
      <w:pPr>
        <w:ind w:left="993" w:right="1041"/>
        <w:jc w:val="both"/>
        <w:rPr>
          <w:rFonts w:ascii="Palatino Linotype" w:eastAsia="Palatino Linotype" w:hAnsi="Palatino Linotype" w:cs="Palatino Linotype"/>
          <w:i/>
          <w:sz w:val="22"/>
          <w:szCs w:val="22"/>
        </w:rPr>
      </w:pPr>
    </w:p>
    <w:p w14:paraId="028C0D28" w14:textId="77777777" w:rsidR="005A26E7" w:rsidRPr="004A3B87" w:rsidRDefault="00D0537A">
      <w:pPr>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“Artículo 6.</w:t>
      </w:r>
      <w:r w:rsidRPr="004A3B87">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1E15C8C" w14:textId="77777777" w:rsidR="005A26E7" w:rsidRPr="004A3B87" w:rsidRDefault="005A26E7">
      <w:pPr>
        <w:ind w:left="993" w:right="1041"/>
        <w:jc w:val="both"/>
        <w:rPr>
          <w:rFonts w:ascii="Palatino Linotype" w:eastAsia="Palatino Linotype" w:hAnsi="Palatino Linotype" w:cs="Palatino Linotype"/>
          <w:i/>
          <w:sz w:val="22"/>
          <w:szCs w:val="22"/>
        </w:rPr>
      </w:pPr>
    </w:p>
    <w:p w14:paraId="4DA8365C" w14:textId="77777777" w:rsidR="005A26E7" w:rsidRPr="004A3B87" w:rsidRDefault="00D0537A">
      <w:pPr>
        <w:ind w:left="993" w:right="1041"/>
        <w:jc w:val="both"/>
        <w:rPr>
          <w:rFonts w:ascii="Palatino Linotype" w:eastAsia="Palatino Linotype" w:hAnsi="Palatino Linotype" w:cs="Palatino Linotype"/>
          <w:b/>
          <w:i/>
          <w:sz w:val="22"/>
          <w:szCs w:val="22"/>
        </w:rPr>
      </w:pPr>
      <w:r w:rsidRPr="004A3B87">
        <w:rPr>
          <w:rFonts w:ascii="Palatino Linotype" w:eastAsia="Palatino Linotype" w:hAnsi="Palatino Linotype" w:cs="Palatino Linotype"/>
          <w:b/>
          <w:i/>
          <w:sz w:val="22"/>
          <w:szCs w:val="22"/>
        </w:rPr>
        <w:t>“Artículo 137.</w:t>
      </w:r>
      <w:r w:rsidRPr="004A3B87">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93A4D8D" w14:textId="77777777" w:rsidR="005A26E7" w:rsidRPr="004A3B87" w:rsidRDefault="005A26E7">
      <w:pPr>
        <w:ind w:left="993" w:right="1041"/>
        <w:jc w:val="both"/>
        <w:rPr>
          <w:rFonts w:ascii="Palatino Linotype" w:eastAsia="Palatino Linotype" w:hAnsi="Palatino Linotype" w:cs="Palatino Linotype"/>
          <w:b/>
          <w:i/>
          <w:sz w:val="22"/>
          <w:szCs w:val="22"/>
        </w:rPr>
      </w:pPr>
    </w:p>
    <w:p w14:paraId="5CBDE3CD" w14:textId="77777777" w:rsidR="005A26E7" w:rsidRPr="004A3B87" w:rsidRDefault="00D0537A">
      <w:pPr>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“Artículo 143</w:t>
      </w:r>
      <w:r w:rsidRPr="004A3B8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BD9178B" w14:textId="77777777" w:rsidR="005A26E7" w:rsidRPr="004A3B87" w:rsidRDefault="00D0537A">
      <w:pPr>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I.</w:t>
      </w:r>
      <w:r w:rsidRPr="004A3B87">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2693B29" w14:textId="77777777" w:rsidR="005A26E7" w:rsidRPr="004A3B87" w:rsidRDefault="00D0537A">
      <w:pPr>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A0F83EA" w14:textId="77777777" w:rsidR="005A26E7" w:rsidRPr="004A3B87" w:rsidRDefault="00D0537A">
      <w:pPr>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304470B1" w14:textId="77777777" w:rsidR="005A26E7" w:rsidRPr="004A3B87" w:rsidRDefault="005A26E7">
      <w:pPr>
        <w:ind w:left="993" w:right="1041"/>
        <w:jc w:val="both"/>
        <w:rPr>
          <w:rFonts w:ascii="Palatino Linotype" w:eastAsia="Palatino Linotype" w:hAnsi="Palatino Linotype" w:cs="Palatino Linotype"/>
          <w:i/>
          <w:sz w:val="22"/>
          <w:szCs w:val="22"/>
        </w:rPr>
      </w:pPr>
    </w:p>
    <w:p w14:paraId="4CA3F11E" w14:textId="77777777" w:rsidR="005A26E7" w:rsidRPr="004A3B87" w:rsidRDefault="00D0537A">
      <w:pPr>
        <w:spacing w:line="360" w:lineRule="auto"/>
        <w:ind w:right="51"/>
        <w:jc w:val="both"/>
        <w:rPr>
          <w:rFonts w:ascii="Palatino Linotype" w:eastAsia="Palatino Linotype" w:hAnsi="Palatino Linotype" w:cs="Palatino Linotype"/>
        </w:rPr>
      </w:pPr>
      <w:r w:rsidRPr="004A3B87">
        <w:rPr>
          <w:rFonts w:ascii="Palatino Linotype" w:eastAsia="Palatino Linotype" w:hAnsi="Palatino Linotype" w:cs="Palatino Linotype"/>
        </w:rPr>
        <w:lastRenderedPageBreak/>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865FC4A" w14:textId="77777777" w:rsidR="005A26E7" w:rsidRPr="004A3B87" w:rsidRDefault="005A26E7">
      <w:pPr>
        <w:spacing w:line="360" w:lineRule="auto"/>
        <w:ind w:right="51"/>
        <w:jc w:val="both"/>
        <w:rPr>
          <w:rFonts w:ascii="Palatino Linotype" w:eastAsia="Palatino Linotype" w:hAnsi="Palatino Linotype" w:cs="Palatino Linotype"/>
        </w:rPr>
      </w:pPr>
    </w:p>
    <w:p w14:paraId="0B8C8E69" w14:textId="77777777" w:rsidR="005A26E7" w:rsidRPr="004A3B87" w:rsidRDefault="00D0537A">
      <w:pPr>
        <w:spacing w:line="360" w:lineRule="auto"/>
        <w:ind w:right="50"/>
        <w:jc w:val="both"/>
        <w:rPr>
          <w:rFonts w:ascii="Palatino Linotype" w:eastAsia="Palatino Linotype" w:hAnsi="Palatino Linotype" w:cs="Palatino Linotype"/>
        </w:rPr>
      </w:pPr>
      <w:r w:rsidRPr="004A3B87">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A3FF85C" w14:textId="77777777" w:rsidR="005A26E7" w:rsidRPr="004A3B87" w:rsidRDefault="005A26E7">
      <w:pPr>
        <w:spacing w:line="360" w:lineRule="auto"/>
        <w:ind w:right="50"/>
        <w:jc w:val="both"/>
        <w:rPr>
          <w:rFonts w:ascii="Palatino Linotype" w:eastAsia="Palatino Linotype" w:hAnsi="Palatino Linotype" w:cs="Palatino Linotype"/>
        </w:rPr>
      </w:pPr>
    </w:p>
    <w:p w14:paraId="7327AD52" w14:textId="77777777" w:rsidR="005A26E7" w:rsidRPr="004A3B87" w:rsidRDefault="00D0537A">
      <w:pPr>
        <w:spacing w:line="360" w:lineRule="auto"/>
        <w:ind w:right="51"/>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w:t>
      </w:r>
      <w:r w:rsidRPr="004A3B87">
        <w:rPr>
          <w:rFonts w:ascii="Palatino Linotype" w:eastAsia="Palatino Linotype" w:hAnsi="Palatino Linotype" w:cs="Palatino Linotype"/>
        </w:rPr>
        <w:lastRenderedPageBreak/>
        <w:t>lo que disponen los artículos 49 fracción VIII, 53, fracción X y 59, fracción V, de la Ley en consulta, cuyo sentido literal es el siguiente:</w:t>
      </w:r>
    </w:p>
    <w:p w14:paraId="54312311" w14:textId="77777777" w:rsidR="005A26E7" w:rsidRPr="004A3B87" w:rsidRDefault="005A26E7">
      <w:pPr>
        <w:spacing w:line="360" w:lineRule="auto"/>
        <w:ind w:right="51"/>
        <w:jc w:val="both"/>
        <w:rPr>
          <w:rFonts w:ascii="Palatino Linotype" w:eastAsia="Palatino Linotype" w:hAnsi="Palatino Linotype" w:cs="Palatino Linotype"/>
        </w:rPr>
      </w:pPr>
    </w:p>
    <w:p w14:paraId="7C1B1BD0" w14:textId="77777777" w:rsidR="005A26E7" w:rsidRPr="004A3B87" w:rsidRDefault="00D0537A">
      <w:pPr>
        <w:ind w:left="992" w:right="1043"/>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“Artículo 49.</w:t>
      </w:r>
      <w:r w:rsidRPr="004A3B87">
        <w:rPr>
          <w:rFonts w:ascii="Palatino Linotype" w:eastAsia="Palatino Linotype" w:hAnsi="Palatino Linotype" w:cs="Palatino Linotype"/>
          <w:i/>
          <w:sz w:val="22"/>
          <w:szCs w:val="22"/>
        </w:rPr>
        <w:t xml:space="preserve"> </w:t>
      </w:r>
      <w:r w:rsidRPr="004A3B87">
        <w:rPr>
          <w:rFonts w:ascii="Palatino Linotype" w:eastAsia="Palatino Linotype" w:hAnsi="Palatino Linotype" w:cs="Palatino Linotype"/>
          <w:b/>
          <w:i/>
          <w:sz w:val="22"/>
          <w:szCs w:val="22"/>
        </w:rPr>
        <w:t>Los Comités de Transparencia</w:t>
      </w:r>
      <w:r w:rsidRPr="004A3B87">
        <w:rPr>
          <w:rFonts w:ascii="Palatino Linotype" w:eastAsia="Palatino Linotype" w:hAnsi="Palatino Linotype" w:cs="Palatino Linotype"/>
          <w:i/>
          <w:sz w:val="22"/>
          <w:szCs w:val="22"/>
        </w:rPr>
        <w:t xml:space="preserve"> tendrán las siguientes atribuciones:</w:t>
      </w:r>
    </w:p>
    <w:p w14:paraId="3706F632" w14:textId="77777777" w:rsidR="005A26E7" w:rsidRPr="004A3B87" w:rsidRDefault="00D0537A">
      <w:pPr>
        <w:ind w:left="992" w:right="1043"/>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VIII. Aprobar, modificar o revocar la clasificación de la información</w:t>
      </w:r>
      <w:r w:rsidRPr="004A3B87">
        <w:rPr>
          <w:rFonts w:ascii="Palatino Linotype" w:eastAsia="Palatino Linotype" w:hAnsi="Palatino Linotype" w:cs="Palatino Linotype"/>
          <w:i/>
          <w:sz w:val="22"/>
          <w:szCs w:val="22"/>
        </w:rPr>
        <w:t>…”</w:t>
      </w:r>
    </w:p>
    <w:p w14:paraId="211FAAEA" w14:textId="77777777" w:rsidR="005A26E7" w:rsidRPr="004A3B87" w:rsidRDefault="00D0537A">
      <w:pPr>
        <w:ind w:left="992" w:right="1043"/>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w:t>
      </w:r>
      <w:r w:rsidRPr="004A3B87">
        <w:rPr>
          <w:rFonts w:ascii="Palatino Linotype" w:eastAsia="Palatino Linotype" w:hAnsi="Palatino Linotype" w:cs="Palatino Linotype"/>
          <w:b/>
          <w:i/>
          <w:sz w:val="22"/>
          <w:szCs w:val="22"/>
        </w:rPr>
        <w:t>Artículo 53.</w:t>
      </w:r>
      <w:r w:rsidRPr="004A3B87">
        <w:rPr>
          <w:rFonts w:ascii="Palatino Linotype" w:eastAsia="Palatino Linotype" w:hAnsi="Palatino Linotype" w:cs="Palatino Linotype"/>
          <w:i/>
          <w:sz w:val="22"/>
          <w:szCs w:val="22"/>
        </w:rPr>
        <w:t xml:space="preserve"> Las </w:t>
      </w:r>
      <w:r w:rsidRPr="004A3B87">
        <w:rPr>
          <w:rFonts w:ascii="Palatino Linotype" w:eastAsia="Palatino Linotype" w:hAnsi="Palatino Linotype" w:cs="Palatino Linotype"/>
          <w:b/>
          <w:i/>
          <w:sz w:val="22"/>
          <w:szCs w:val="22"/>
        </w:rPr>
        <w:t>Unidades de Transparencia</w:t>
      </w:r>
      <w:r w:rsidRPr="004A3B87">
        <w:rPr>
          <w:rFonts w:ascii="Palatino Linotype" w:eastAsia="Palatino Linotype" w:hAnsi="Palatino Linotype" w:cs="Palatino Linotype"/>
          <w:i/>
          <w:sz w:val="22"/>
          <w:szCs w:val="22"/>
        </w:rPr>
        <w:t xml:space="preserve"> tendrán las siguientes </w:t>
      </w:r>
      <w:r w:rsidRPr="004A3B87">
        <w:rPr>
          <w:rFonts w:ascii="Palatino Linotype" w:eastAsia="Palatino Linotype" w:hAnsi="Palatino Linotype" w:cs="Palatino Linotype"/>
          <w:b/>
          <w:i/>
          <w:sz w:val="22"/>
          <w:szCs w:val="22"/>
        </w:rPr>
        <w:t>funciones</w:t>
      </w:r>
      <w:r w:rsidRPr="004A3B87">
        <w:rPr>
          <w:rFonts w:ascii="Palatino Linotype" w:eastAsia="Palatino Linotype" w:hAnsi="Palatino Linotype" w:cs="Palatino Linotype"/>
          <w:i/>
          <w:sz w:val="22"/>
          <w:szCs w:val="22"/>
        </w:rPr>
        <w:t>:</w:t>
      </w:r>
    </w:p>
    <w:p w14:paraId="56ECA92D" w14:textId="77777777" w:rsidR="005A26E7" w:rsidRPr="004A3B87" w:rsidRDefault="00D0537A">
      <w:pPr>
        <w:ind w:left="992" w:right="1043"/>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X. Presentar ante el Comité, el proyecto de clasificación de información</w:t>
      </w:r>
      <w:r w:rsidRPr="004A3B87">
        <w:rPr>
          <w:rFonts w:ascii="Palatino Linotype" w:eastAsia="Palatino Linotype" w:hAnsi="Palatino Linotype" w:cs="Palatino Linotype"/>
          <w:i/>
          <w:sz w:val="22"/>
          <w:szCs w:val="22"/>
        </w:rPr>
        <w:t xml:space="preserve">…” </w:t>
      </w:r>
    </w:p>
    <w:p w14:paraId="5022F8D7" w14:textId="77777777" w:rsidR="005A26E7" w:rsidRPr="004A3B87" w:rsidRDefault="00D0537A">
      <w:pPr>
        <w:ind w:left="992" w:right="1043"/>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“Artículo 59.</w:t>
      </w:r>
      <w:r w:rsidRPr="004A3B87">
        <w:rPr>
          <w:rFonts w:ascii="Palatino Linotype" w:eastAsia="Palatino Linotype" w:hAnsi="Palatino Linotype" w:cs="Palatino Linotype"/>
          <w:i/>
          <w:sz w:val="22"/>
          <w:szCs w:val="22"/>
        </w:rPr>
        <w:t xml:space="preserve"> Los </w:t>
      </w:r>
      <w:r w:rsidRPr="004A3B87">
        <w:rPr>
          <w:rFonts w:ascii="Palatino Linotype" w:eastAsia="Palatino Linotype" w:hAnsi="Palatino Linotype" w:cs="Palatino Linotype"/>
          <w:b/>
          <w:i/>
          <w:sz w:val="22"/>
          <w:szCs w:val="22"/>
        </w:rPr>
        <w:t>servidores públicos habilitados</w:t>
      </w:r>
      <w:r w:rsidRPr="004A3B87">
        <w:rPr>
          <w:rFonts w:ascii="Palatino Linotype" w:eastAsia="Palatino Linotype" w:hAnsi="Palatino Linotype" w:cs="Palatino Linotype"/>
          <w:i/>
          <w:sz w:val="22"/>
          <w:szCs w:val="22"/>
        </w:rPr>
        <w:t xml:space="preserve"> tendrán las </w:t>
      </w:r>
      <w:r w:rsidRPr="004A3B87">
        <w:rPr>
          <w:rFonts w:ascii="Palatino Linotype" w:eastAsia="Palatino Linotype" w:hAnsi="Palatino Linotype" w:cs="Palatino Linotype"/>
          <w:b/>
          <w:i/>
          <w:sz w:val="22"/>
          <w:szCs w:val="22"/>
        </w:rPr>
        <w:t>funciones</w:t>
      </w:r>
      <w:r w:rsidRPr="004A3B87">
        <w:rPr>
          <w:rFonts w:ascii="Palatino Linotype" w:eastAsia="Palatino Linotype" w:hAnsi="Palatino Linotype" w:cs="Palatino Linotype"/>
          <w:i/>
          <w:sz w:val="22"/>
          <w:szCs w:val="22"/>
        </w:rPr>
        <w:t xml:space="preserve"> siguientes:</w:t>
      </w:r>
    </w:p>
    <w:p w14:paraId="68B1339C" w14:textId="77777777" w:rsidR="005A26E7" w:rsidRPr="004A3B87" w:rsidRDefault="00D0537A">
      <w:pPr>
        <w:ind w:left="992" w:right="1043"/>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4A3B87">
        <w:rPr>
          <w:rFonts w:ascii="Palatino Linotype" w:eastAsia="Palatino Linotype" w:hAnsi="Palatino Linotype" w:cs="Palatino Linotype"/>
          <w:i/>
          <w:sz w:val="22"/>
          <w:szCs w:val="22"/>
        </w:rPr>
        <w:t>, la cual tendrá los fundamentos y argumentos en que se basa dicha propuesta…”(Sic)</w:t>
      </w:r>
    </w:p>
    <w:p w14:paraId="7115C9E6" w14:textId="77777777" w:rsidR="005A26E7" w:rsidRPr="004A3B87" w:rsidRDefault="005A26E7">
      <w:pPr>
        <w:ind w:left="992" w:right="1043"/>
        <w:jc w:val="both"/>
        <w:rPr>
          <w:rFonts w:ascii="Palatino Linotype" w:eastAsia="Palatino Linotype" w:hAnsi="Palatino Linotype" w:cs="Palatino Linotype"/>
          <w:i/>
          <w:sz w:val="22"/>
          <w:szCs w:val="22"/>
        </w:rPr>
      </w:pPr>
    </w:p>
    <w:p w14:paraId="6BEF81C6"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E5287A2" w14:textId="77777777" w:rsidR="005A26E7" w:rsidRPr="004A3B87" w:rsidRDefault="005A26E7">
      <w:pPr>
        <w:spacing w:line="360" w:lineRule="auto"/>
        <w:jc w:val="both"/>
        <w:rPr>
          <w:rFonts w:ascii="Palatino Linotype" w:eastAsia="Palatino Linotype" w:hAnsi="Palatino Linotype" w:cs="Palatino Linotype"/>
        </w:rPr>
      </w:pPr>
    </w:p>
    <w:p w14:paraId="1F2A31B0"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0C0ECA1" w14:textId="77777777" w:rsidR="005A26E7" w:rsidRPr="004A3B87" w:rsidRDefault="005A26E7">
      <w:pPr>
        <w:spacing w:line="360" w:lineRule="auto"/>
        <w:jc w:val="both"/>
        <w:rPr>
          <w:rFonts w:ascii="Palatino Linotype" w:eastAsia="Palatino Linotype" w:hAnsi="Palatino Linotype" w:cs="Palatino Linotype"/>
        </w:rPr>
      </w:pPr>
    </w:p>
    <w:p w14:paraId="74429F19" w14:textId="77777777" w:rsidR="005A26E7" w:rsidRPr="004A3B87" w:rsidRDefault="00D0537A">
      <w:pPr>
        <w:spacing w:after="240"/>
        <w:ind w:left="993" w:right="1041"/>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lastRenderedPageBreak/>
        <w:t>“</w:t>
      </w:r>
      <w:r w:rsidRPr="004A3B87">
        <w:rPr>
          <w:rFonts w:ascii="Palatino Linotype" w:eastAsia="Palatino Linotype" w:hAnsi="Palatino Linotype" w:cs="Palatino Linotype"/>
          <w:b/>
          <w:i/>
          <w:sz w:val="22"/>
          <w:szCs w:val="22"/>
        </w:rPr>
        <w:t>Artículo 149.</w:t>
      </w:r>
      <w:r w:rsidRPr="004A3B87">
        <w:rPr>
          <w:rFonts w:ascii="Palatino Linotype" w:eastAsia="Palatino Linotype" w:hAnsi="Palatino Linotype" w:cs="Palatino Linotype"/>
          <w:i/>
          <w:sz w:val="22"/>
          <w:szCs w:val="22"/>
        </w:rPr>
        <w:t xml:space="preserve"> El </w:t>
      </w:r>
      <w:r w:rsidRPr="004A3B87">
        <w:rPr>
          <w:rFonts w:ascii="Palatino Linotype" w:eastAsia="Palatino Linotype" w:hAnsi="Palatino Linotype" w:cs="Palatino Linotype"/>
          <w:b/>
          <w:i/>
          <w:sz w:val="22"/>
          <w:szCs w:val="22"/>
        </w:rPr>
        <w:t>acuerdo que clasifique la información como confidencial</w:t>
      </w:r>
      <w:r w:rsidRPr="004A3B87">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3ADE6E47" w14:textId="77777777" w:rsidR="005A26E7" w:rsidRPr="004A3B87" w:rsidRDefault="005A26E7">
      <w:pPr>
        <w:spacing w:before="240" w:line="360" w:lineRule="auto"/>
        <w:ind w:right="51"/>
        <w:jc w:val="both"/>
        <w:rPr>
          <w:rFonts w:ascii="Palatino Linotype" w:eastAsia="Palatino Linotype" w:hAnsi="Palatino Linotype" w:cs="Palatino Linotype"/>
          <w:i/>
          <w:sz w:val="22"/>
          <w:szCs w:val="22"/>
        </w:rPr>
      </w:pPr>
    </w:p>
    <w:p w14:paraId="02397EBA" w14:textId="77777777" w:rsidR="005A26E7" w:rsidRPr="004A3B87" w:rsidRDefault="00D0537A">
      <w:pPr>
        <w:spacing w:line="360" w:lineRule="auto"/>
        <w:ind w:right="51"/>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Es decir,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2BF4C61" w14:textId="77777777" w:rsidR="005A26E7" w:rsidRPr="004A3B87" w:rsidRDefault="005A26E7">
      <w:pPr>
        <w:spacing w:line="360" w:lineRule="auto"/>
        <w:ind w:right="51"/>
        <w:jc w:val="both"/>
        <w:rPr>
          <w:rFonts w:ascii="Palatino Linotype" w:eastAsia="Palatino Linotype" w:hAnsi="Palatino Linotype" w:cs="Palatino Linotype"/>
        </w:rPr>
      </w:pPr>
    </w:p>
    <w:p w14:paraId="2FE228E4"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Al respecto, se destaca que la versión pública que elabore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4A3B87">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4A3B87">
        <w:rPr>
          <w:rFonts w:ascii="Palatino Linotype" w:eastAsia="Palatino Linotype" w:hAnsi="Palatino Linotype" w:cs="Palatino Linotype"/>
        </w:rPr>
        <w:t xml:space="preserve">, publicados en el Diario Oficial de </w:t>
      </w:r>
      <w:r w:rsidRPr="004A3B87">
        <w:rPr>
          <w:rFonts w:ascii="Palatino Linotype" w:eastAsia="Palatino Linotype" w:hAnsi="Palatino Linotype" w:cs="Palatino Linotype"/>
        </w:rPr>
        <w:lastRenderedPageBreak/>
        <w:t>la Federación en fecha dieciocho de noviembre del año dos mil veintidós, mediante Acuerdo del Consejo Nacional del Sistema Nacional de Transparencia, Acceso a la Información Pública y Protección de Datos Personales, que literalmente expresan:</w:t>
      </w:r>
    </w:p>
    <w:p w14:paraId="124782C8" w14:textId="77777777" w:rsidR="005A26E7" w:rsidRPr="004A3B87" w:rsidRDefault="005A26E7">
      <w:pPr>
        <w:ind w:left="709" w:right="709"/>
        <w:jc w:val="both"/>
        <w:rPr>
          <w:rFonts w:ascii="Palatino Linotype" w:eastAsia="Palatino Linotype" w:hAnsi="Palatino Linotype" w:cs="Palatino Linotype"/>
          <w:b/>
          <w:i/>
          <w:sz w:val="22"/>
          <w:szCs w:val="22"/>
        </w:rPr>
      </w:pPr>
    </w:p>
    <w:p w14:paraId="5C70DEDD"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122A491"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i/>
          <w:sz w:val="22"/>
          <w:szCs w:val="22"/>
        </w:rPr>
        <w:t>“</w:t>
      </w:r>
      <w:r w:rsidRPr="004A3B87">
        <w:rPr>
          <w:rFonts w:ascii="Palatino Linotype" w:eastAsia="Palatino Linotype" w:hAnsi="Palatino Linotype" w:cs="Palatino Linotype"/>
          <w:b/>
          <w:i/>
          <w:sz w:val="22"/>
          <w:szCs w:val="22"/>
        </w:rPr>
        <w:t>Segundo.-</w:t>
      </w:r>
      <w:r w:rsidRPr="004A3B87">
        <w:rPr>
          <w:rFonts w:ascii="Palatino Linotype" w:eastAsia="Palatino Linotype" w:hAnsi="Palatino Linotype" w:cs="Palatino Linotype"/>
          <w:i/>
          <w:sz w:val="22"/>
          <w:szCs w:val="22"/>
        </w:rPr>
        <w:t xml:space="preserve"> Para efectos de los presentes Lineamientos Generales, se entenderá por:</w:t>
      </w:r>
    </w:p>
    <w:p w14:paraId="5910382C"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b/>
          <w:i/>
          <w:sz w:val="22"/>
          <w:szCs w:val="22"/>
        </w:rPr>
        <w:t>XVIII.</w:t>
      </w:r>
      <w:r w:rsidRPr="004A3B87">
        <w:rPr>
          <w:rFonts w:ascii="Palatino Linotype" w:eastAsia="Palatino Linotype" w:hAnsi="Palatino Linotype" w:cs="Palatino Linotype"/>
          <w:i/>
          <w:sz w:val="22"/>
          <w:szCs w:val="22"/>
        </w:rPr>
        <w:t xml:space="preserve"> </w:t>
      </w:r>
      <w:r w:rsidRPr="004A3B87">
        <w:rPr>
          <w:rFonts w:ascii="Palatino Linotype" w:eastAsia="Palatino Linotype" w:hAnsi="Palatino Linotype" w:cs="Palatino Linotype"/>
          <w:b/>
          <w:i/>
          <w:sz w:val="22"/>
          <w:szCs w:val="22"/>
        </w:rPr>
        <w:t>Versión pública:</w:t>
      </w:r>
      <w:r w:rsidRPr="004A3B87">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4A3B87">
        <w:rPr>
          <w:rFonts w:ascii="Palatino Linotype" w:eastAsia="Palatino Linotype" w:hAnsi="Palatino Linotype" w:cs="Palatino Linotype"/>
          <w:b/>
          <w:i/>
          <w:sz w:val="22"/>
          <w:szCs w:val="22"/>
          <w:u w:val="single"/>
        </w:rPr>
        <w:t>fundando y motivando la</w:t>
      </w:r>
      <w:r w:rsidRPr="004A3B87">
        <w:rPr>
          <w:rFonts w:ascii="Palatino Linotype" w:eastAsia="Palatino Linotype" w:hAnsi="Palatino Linotype" w:cs="Palatino Linotype"/>
          <w:i/>
          <w:sz w:val="22"/>
          <w:szCs w:val="22"/>
        </w:rPr>
        <w:t xml:space="preserve"> reserva o </w:t>
      </w:r>
      <w:r w:rsidRPr="004A3B87">
        <w:rPr>
          <w:rFonts w:ascii="Palatino Linotype" w:eastAsia="Palatino Linotype" w:hAnsi="Palatino Linotype" w:cs="Palatino Linotype"/>
          <w:b/>
          <w:i/>
          <w:sz w:val="22"/>
          <w:szCs w:val="22"/>
          <w:u w:val="single"/>
        </w:rPr>
        <w:t>confidencialidad</w:t>
      </w:r>
      <w:r w:rsidRPr="004A3B87">
        <w:rPr>
          <w:rFonts w:ascii="Palatino Linotype" w:eastAsia="Palatino Linotype" w:hAnsi="Palatino Linotype" w:cs="Palatino Linotype"/>
          <w:i/>
          <w:sz w:val="22"/>
          <w:szCs w:val="22"/>
        </w:rPr>
        <w:t>, a través de la resolución que para tal efecto emita el Comité de Transparencia.</w:t>
      </w:r>
    </w:p>
    <w:p w14:paraId="5E47E698"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b/>
          <w:i/>
          <w:sz w:val="22"/>
          <w:szCs w:val="22"/>
        </w:rPr>
        <w:t>Cuarto.</w:t>
      </w:r>
      <w:r w:rsidRPr="004A3B87">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76643AB"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93EA08E"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b/>
          <w:i/>
          <w:sz w:val="22"/>
          <w:szCs w:val="22"/>
        </w:rPr>
        <w:t>Quinto.</w:t>
      </w:r>
      <w:r w:rsidRPr="004A3B87">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2A25295"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b/>
          <w:i/>
          <w:sz w:val="22"/>
          <w:szCs w:val="22"/>
        </w:rPr>
        <w:t>…</w:t>
      </w:r>
    </w:p>
    <w:p w14:paraId="584706A7"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b/>
          <w:i/>
          <w:sz w:val="22"/>
          <w:szCs w:val="22"/>
        </w:rPr>
        <w:t>Séptimo.</w:t>
      </w:r>
      <w:r w:rsidRPr="004A3B87">
        <w:rPr>
          <w:rFonts w:ascii="Palatino Linotype" w:eastAsia="Palatino Linotype" w:hAnsi="Palatino Linotype" w:cs="Palatino Linotype"/>
          <w:i/>
          <w:sz w:val="22"/>
          <w:szCs w:val="22"/>
        </w:rPr>
        <w:t xml:space="preserve"> La clasificación de la información se llevará a cabo en el momento en que:</w:t>
      </w:r>
    </w:p>
    <w:p w14:paraId="37D71D7E"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b/>
          <w:i/>
          <w:sz w:val="22"/>
          <w:szCs w:val="22"/>
        </w:rPr>
        <w:t>I.</w:t>
      </w:r>
      <w:r w:rsidRPr="004A3B87">
        <w:rPr>
          <w:rFonts w:ascii="Palatino Linotype" w:eastAsia="Palatino Linotype" w:hAnsi="Palatino Linotype" w:cs="Palatino Linotype"/>
          <w:i/>
          <w:sz w:val="22"/>
          <w:szCs w:val="22"/>
        </w:rPr>
        <w:t xml:space="preserve"> Se reciba una solicitud de acceso a la información;</w:t>
      </w:r>
    </w:p>
    <w:p w14:paraId="52934908" w14:textId="77777777" w:rsidR="005A26E7" w:rsidRPr="004A3B87" w:rsidRDefault="00D0537A">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II.</w:t>
      </w:r>
      <w:r w:rsidRPr="004A3B87">
        <w:rPr>
          <w:rFonts w:ascii="Palatino Linotype" w:eastAsia="Palatino Linotype" w:hAnsi="Palatino Linotype" w:cs="Palatino Linotype"/>
          <w:i/>
          <w:sz w:val="22"/>
          <w:szCs w:val="22"/>
        </w:rPr>
        <w:t xml:space="preserve"> Se  determine mediante resolución del Comité de Transparencia, el órgano garante </w:t>
      </w:r>
    </w:p>
    <w:p w14:paraId="7765A513"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i/>
          <w:sz w:val="22"/>
          <w:szCs w:val="22"/>
        </w:rPr>
        <w:t>competente, o en cumplimiento a una sentencia del Poder Judicial; o</w:t>
      </w:r>
    </w:p>
    <w:p w14:paraId="117ABCB2"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b/>
          <w:i/>
          <w:sz w:val="22"/>
          <w:szCs w:val="22"/>
        </w:rPr>
        <w:t>III.</w:t>
      </w:r>
      <w:r w:rsidRPr="004A3B87">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CA5B6A2"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C5C20A4"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b/>
          <w:i/>
          <w:sz w:val="22"/>
          <w:szCs w:val="22"/>
        </w:rPr>
        <w:lastRenderedPageBreak/>
        <w:t>Octavo.</w:t>
      </w:r>
      <w:r w:rsidRPr="004A3B87">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5D31D6"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34D94C5" w14:textId="77777777" w:rsidR="005A26E7" w:rsidRPr="004A3B87" w:rsidRDefault="00D0537A">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250FB9E"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b/>
          <w:i/>
          <w:sz w:val="22"/>
          <w:szCs w:val="22"/>
        </w:rPr>
        <w:t>Noveno.</w:t>
      </w:r>
      <w:r w:rsidRPr="004A3B87">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7D1C322"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b/>
          <w:i/>
          <w:sz w:val="22"/>
          <w:szCs w:val="22"/>
        </w:rPr>
        <w:t>Décimo.</w:t>
      </w:r>
      <w:r w:rsidRPr="004A3B87">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5379498"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04C4943" w14:textId="77777777" w:rsidR="005A26E7" w:rsidRPr="004A3B87" w:rsidRDefault="00D0537A">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Décimo primero.</w:t>
      </w:r>
      <w:r w:rsidRPr="004A3B87">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9A3521A" w14:textId="77777777" w:rsidR="005A26E7" w:rsidRPr="004A3B87" w:rsidRDefault="005A26E7">
      <w:pPr>
        <w:pBdr>
          <w:top w:val="nil"/>
          <w:left w:val="nil"/>
          <w:bottom w:val="nil"/>
          <w:right w:val="nil"/>
          <w:between w:val="nil"/>
        </w:pBdr>
        <w:ind w:right="709"/>
        <w:jc w:val="both"/>
      </w:pPr>
    </w:p>
    <w:p w14:paraId="69918337" w14:textId="77777777" w:rsidR="005A26E7" w:rsidRPr="004A3B87" w:rsidRDefault="00D0537A">
      <w:pPr>
        <w:pBdr>
          <w:top w:val="nil"/>
          <w:left w:val="nil"/>
          <w:bottom w:val="nil"/>
          <w:right w:val="nil"/>
          <w:between w:val="nil"/>
        </w:pBdr>
        <w:ind w:left="709" w:right="709"/>
        <w:jc w:val="both"/>
      </w:pPr>
      <w:r w:rsidRPr="004A3B87">
        <w:rPr>
          <w:rFonts w:ascii="Palatino Linotype" w:eastAsia="Palatino Linotype" w:hAnsi="Palatino Linotype" w:cs="Palatino Linotype"/>
          <w:i/>
          <w:sz w:val="22"/>
          <w:szCs w:val="22"/>
        </w:rPr>
        <w:t>[…]</w:t>
      </w:r>
    </w:p>
    <w:p w14:paraId="0E63B1AC" w14:textId="77777777" w:rsidR="005A26E7" w:rsidRPr="004A3B87" w:rsidRDefault="00D0537A">
      <w:pPr>
        <w:pBdr>
          <w:top w:val="nil"/>
          <w:left w:val="nil"/>
          <w:bottom w:val="nil"/>
          <w:right w:val="nil"/>
          <w:between w:val="nil"/>
        </w:pBdr>
        <w:ind w:left="709" w:right="709"/>
        <w:jc w:val="center"/>
      </w:pPr>
      <w:r w:rsidRPr="004A3B87">
        <w:rPr>
          <w:rFonts w:ascii="Palatino Linotype" w:eastAsia="Palatino Linotype" w:hAnsi="Palatino Linotype" w:cs="Palatino Linotype"/>
          <w:b/>
          <w:i/>
          <w:sz w:val="22"/>
          <w:szCs w:val="22"/>
        </w:rPr>
        <w:t>CAPÍTULO VIII</w:t>
      </w:r>
    </w:p>
    <w:p w14:paraId="21A3BB0C" w14:textId="77777777" w:rsidR="005A26E7" w:rsidRPr="004A3B87" w:rsidRDefault="00D0537A">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4A3B87">
        <w:rPr>
          <w:rFonts w:ascii="Palatino Linotype" w:eastAsia="Palatino Linotype" w:hAnsi="Palatino Linotype" w:cs="Palatino Linotype"/>
          <w:b/>
          <w:i/>
          <w:sz w:val="22"/>
          <w:szCs w:val="22"/>
        </w:rPr>
        <w:t>DE LOS ELEMENTOS PARA LA CLASIFICACIÓN</w:t>
      </w:r>
    </w:p>
    <w:p w14:paraId="214B919B"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Quincuagésimo</w:t>
      </w:r>
      <w:r w:rsidRPr="004A3B87">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B1D9D68"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Quincuagésimo primero</w:t>
      </w:r>
      <w:r w:rsidRPr="004A3B87">
        <w:rPr>
          <w:rFonts w:ascii="Palatino Linotype" w:eastAsia="Palatino Linotype" w:hAnsi="Palatino Linotype" w:cs="Palatino Linotype"/>
          <w:i/>
          <w:sz w:val="22"/>
          <w:szCs w:val="22"/>
        </w:rPr>
        <w:t>. Toda acta del Comité de Transparencia deberá contener:</w:t>
      </w:r>
    </w:p>
    <w:p w14:paraId="6A2C7E2A"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lastRenderedPageBreak/>
        <w:t xml:space="preserve">I. El número de sesión y fecha; </w:t>
      </w:r>
    </w:p>
    <w:p w14:paraId="47F0F3F0"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II. El nombre del área que solicitó la clasificación de información;</w:t>
      </w:r>
    </w:p>
    <w:p w14:paraId="01CB207F"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III. La fundamentación legal y motivación correspondiente;</w:t>
      </w:r>
    </w:p>
    <w:p w14:paraId="68AA6799"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IV. La resolución o resoluciones aprobadas; y</w:t>
      </w:r>
    </w:p>
    <w:p w14:paraId="6C555304"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V. La rúbrica o firma digital de cada integrante del Comité de Transparencia. </w:t>
      </w:r>
    </w:p>
    <w:p w14:paraId="205EA9A8"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6A9F4667"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I. Los motivos y razonamientos que sustenten la confirmación o modificación de la prueba de daño;</w:t>
      </w:r>
    </w:p>
    <w:p w14:paraId="7B5CDC58"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II. Descripción de las partes o secciones reservadas, en caso de clasificación parcial;</w:t>
      </w:r>
    </w:p>
    <w:p w14:paraId="347E10A2"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III. El periodo por el que mantendrá su clasificación y fecha de expiración; y</w:t>
      </w:r>
    </w:p>
    <w:p w14:paraId="6350E9A5"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IV. El nombre del titular y área encargada de realizar la versión pública del documento, en su caso.</w:t>
      </w:r>
    </w:p>
    <w:p w14:paraId="32205421"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D485320"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AA9C3FE"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b/>
          <w:i/>
          <w:sz w:val="22"/>
          <w:szCs w:val="22"/>
        </w:rPr>
        <w:t>Quincuagésimo segundo</w:t>
      </w:r>
      <w:r w:rsidRPr="004A3B87">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DD0F184"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33CE33BD"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8A3AAE3"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9DF760C"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lastRenderedPageBreak/>
        <w:t>III. Señalar las personas o instancias autorizadas a acceder a la información clasificada.</w:t>
      </w:r>
    </w:p>
    <w:p w14:paraId="5CC06AF2"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CD3B5C8" w14:textId="77777777" w:rsidR="005A26E7" w:rsidRPr="004A3B87" w:rsidRDefault="00D0537A">
      <w:pPr>
        <w:pBdr>
          <w:top w:val="nil"/>
          <w:left w:val="nil"/>
          <w:bottom w:val="nil"/>
          <w:right w:val="nil"/>
          <w:between w:val="nil"/>
        </w:pBdr>
        <w:spacing w:after="160"/>
        <w:ind w:left="709" w:right="709"/>
        <w:jc w:val="both"/>
      </w:pPr>
      <w:r w:rsidRPr="004A3B87">
        <w:rPr>
          <w:rFonts w:ascii="Palatino Linotype" w:eastAsia="Palatino Linotype" w:hAnsi="Palatino Linotype" w:cs="Palatino Linotype"/>
          <w:b/>
          <w:i/>
          <w:sz w:val="22"/>
          <w:szCs w:val="22"/>
        </w:rPr>
        <w:t xml:space="preserve">Quincuagésimo tercero. </w:t>
      </w:r>
      <w:r w:rsidRPr="004A3B87">
        <w:rPr>
          <w:rFonts w:ascii="Palatino Linotype" w:eastAsia="Palatino Linotype" w:hAnsi="Palatino Linotype" w:cs="Palatino Linotype"/>
          <w:b/>
          <w:i/>
          <w:sz w:val="22"/>
          <w:szCs w:val="22"/>
          <w:u w:val="single"/>
        </w:rPr>
        <w:t xml:space="preserve">El formato para señalar la clasificación de un documento o expediente que contenga información reservada, es el </w:t>
      </w:r>
      <w:proofErr w:type="gramStart"/>
      <w:r w:rsidRPr="004A3B87">
        <w:rPr>
          <w:rFonts w:ascii="Palatino Linotype" w:eastAsia="Palatino Linotype" w:hAnsi="Palatino Linotype" w:cs="Palatino Linotype"/>
          <w:b/>
          <w:i/>
          <w:sz w:val="22"/>
          <w:szCs w:val="22"/>
          <w:u w:val="single"/>
        </w:rPr>
        <w:t>siguiente:</w:t>
      </w:r>
      <w:r w:rsidRPr="004A3B87">
        <w:rPr>
          <w:rFonts w:ascii="Palatino Linotype" w:eastAsia="Palatino Linotype" w:hAnsi="Palatino Linotype" w:cs="Palatino Linotype"/>
          <w:i/>
          <w:sz w:val="22"/>
          <w:szCs w:val="22"/>
        </w:rPr>
        <w:t>:</w:t>
      </w:r>
      <w:proofErr w:type="gramEnd"/>
    </w:p>
    <w:tbl>
      <w:tblPr>
        <w:tblStyle w:val="af4"/>
        <w:tblW w:w="8833" w:type="dxa"/>
        <w:jc w:val="center"/>
        <w:tblInd w:w="0" w:type="dxa"/>
        <w:tblLayout w:type="fixed"/>
        <w:tblLook w:val="0400" w:firstRow="0" w:lastRow="0" w:firstColumn="0" w:lastColumn="0" w:noHBand="0" w:noVBand="1"/>
      </w:tblPr>
      <w:tblGrid>
        <w:gridCol w:w="1660"/>
        <w:gridCol w:w="1980"/>
        <w:gridCol w:w="5193"/>
      </w:tblGrid>
      <w:tr w:rsidR="004A3B87" w:rsidRPr="004A3B87" w14:paraId="1BB7B8C0"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40F19AC3" w14:textId="77777777" w:rsidR="005A26E7" w:rsidRPr="004A3B87" w:rsidRDefault="005A26E7"/>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CB1444" w14:textId="77777777" w:rsidR="005A26E7" w:rsidRPr="004A3B87" w:rsidRDefault="00D0537A">
            <w:pPr>
              <w:pBdr>
                <w:top w:val="nil"/>
                <w:left w:val="nil"/>
                <w:bottom w:val="nil"/>
                <w:right w:val="nil"/>
                <w:between w:val="nil"/>
              </w:pBdr>
              <w:jc w:val="center"/>
            </w:pPr>
            <w:r w:rsidRPr="004A3B87">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D53DFB" w14:textId="77777777" w:rsidR="005A26E7" w:rsidRPr="004A3B87" w:rsidRDefault="00D0537A">
            <w:pPr>
              <w:pBdr>
                <w:top w:val="nil"/>
                <w:left w:val="nil"/>
                <w:bottom w:val="nil"/>
                <w:right w:val="nil"/>
                <w:between w:val="nil"/>
              </w:pBdr>
              <w:jc w:val="center"/>
            </w:pPr>
            <w:r w:rsidRPr="004A3B87">
              <w:rPr>
                <w:rFonts w:ascii="Palatino Linotype" w:eastAsia="Palatino Linotype" w:hAnsi="Palatino Linotype" w:cs="Palatino Linotype"/>
                <w:b/>
                <w:i/>
              </w:rPr>
              <w:t>Dónde:</w:t>
            </w:r>
          </w:p>
        </w:tc>
      </w:tr>
      <w:tr w:rsidR="004A3B87" w:rsidRPr="004A3B87" w14:paraId="45024D91"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376D3F" w14:textId="77777777" w:rsidR="005A26E7" w:rsidRPr="004A3B87" w:rsidRDefault="00D0537A">
            <w:pPr>
              <w:pBdr>
                <w:top w:val="nil"/>
                <w:left w:val="nil"/>
                <w:bottom w:val="nil"/>
                <w:right w:val="nil"/>
                <w:between w:val="nil"/>
              </w:pBdr>
              <w:jc w:val="center"/>
            </w:pPr>
            <w:r w:rsidRPr="004A3B87">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66FF60" w14:textId="77777777" w:rsidR="005A26E7" w:rsidRPr="004A3B87" w:rsidRDefault="00D0537A">
            <w:pPr>
              <w:pBdr>
                <w:top w:val="nil"/>
                <w:left w:val="nil"/>
                <w:bottom w:val="nil"/>
                <w:right w:val="nil"/>
                <w:between w:val="nil"/>
              </w:pBdr>
              <w:jc w:val="center"/>
            </w:pPr>
            <w:r w:rsidRPr="004A3B87">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5FD886" w14:textId="77777777" w:rsidR="005A26E7" w:rsidRPr="004A3B87" w:rsidRDefault="00D0537A">
            <w:pPr>
              <w:pBdr>
                <w:top w:val="nil"/>
                <w:left w:val="nil"/>
                <w:bottom w:val="nil"/>
                <w:right w:val="nil"/>
                <w:between w:val="nil"/>
              </w:pBdr>
              <w:jc w:val="both"/>
            </w:pPr>
            <w:r w:rsidRPr="004A3B87">
              <w:rPr>
                <w:rFonts w:ascii="Palatino Linotype" w:eastAsia="Palatino Linotype" w:hAnsi="Palatino Linotype" w:cs="Palatino Linotype"/>
                <w:i/>
              </w:rPr>
              <w:t>Se anotará la fecha en la que el Comité de Transparencia confirmó la clasificación del documento o expediente, en su caso.</w:t>
            </w:r>
          </w:p>
        </w:tc>
      </w:tr>
      <w:tr w:rsidR="004A3B87" w:rsidRPr="004A3B87" w14:paraId="5A715E7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66990F" w14:textId="77777777" w:rsidR="005A26E7" w:rsidRPr="004A3B87" w:rsidRDefault="005A26E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0A7EB5" w14:textId="77777777" w:rsidR="005A26E7" w:rsidRPr="004A3B87" w:rsidRDefault="00D0537A">
            <w:pPr>
              <w:pBdr>
                <w:top w:val="nil"/>
                <w:left w:val="nil"/>
                <w:bottom w:val="nil"/>
                <w:right w:val="nil"/>
                <w:between w:val="nil"/>
              </w:pBdr>
              <w:jc w:val="center"/>
            </w:pPr>
            <w:r w:rsidRPr="004A3B87">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ABD0AE" w14:textId="77777777" w:rsidR="005A26E7" w:rsidRPr="004A3B87" w:rsidRDefault="00D0537A">
            <w:pPr>
              <w:pBdr>
                <w:top w:val="nil"/>
                <w:left w:val="nil"/>
                <w:bottom w:val="nil"/>
                <w:right w:val="nil"/>
                <w:between w:val="nil"/>
              </w:pBdr>
              <w:jc w:val="both"/>
            </w:pPr>
            <w:r w:rsidRPr="004A3B87">
              <w:rPr>
                <w:rFonts w:ascii="Palatino Linotype" w:eastAsia="Palatino Linotype" w:hAnsi="Palatino Linotype" w:cs="Palatino Linotype"/>
                <w:i/>
              </w:rPr>
              <w:t>Se señalará el nombre del área del cual es titular quien clasifica.</w:t>
            </w:r>
          </w:p>
        </w:tc>
      </w:tr>
      <w:tr w:rsidR="004A3B87" w:rsidRPr="004A3B87" w14:paraId="5829AC1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26229" w14:textId="77777777" w:rsidR="005A26E7" w:rsidRPr="004A3B87" w:rsidRDefault="005A26E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C9D27" w14:textId="77777777" w:rsidR="005A26E7" w:rsidRPr="004A3B87" w:rsidRDefault="00D0537A">
            <w:pPr>
              <w:pBdr>
                <w:top w:val="nil"/>
                <w:left w:val="nil"/>
                <w:bottom w:val="nil"/>
                <w:right w:val="nil"/>
                <w:between w:val="nil"/>
              </w:pBdr>
              <w:jc w:val="center"/>
            </w:pPr>
            <w:r w:rsidRPr="004A3B87">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E5CE57" w14:textId="77777777" w:rsidR="005A26E7" w:rsidRPr="004A3B87" w:rsidRDefault="00D0537A">
            <w:pPr>
              <w:pBdr>
                <w:top w:val="nil"/>
                <w:left w:val="nil"/>
                <w:bottom w:val="nil"/>
                <w:right w:val="nil"/>
                <w:between w:val="nil"/>
              </w:pBdr>
              <w:jc w:val="both"/>
            </w:pPr>
            <w:r w:rsidRPr="004A3B87">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4A3B87" w:rsidRPr="004A3B87" w14:paraId="5F6BD31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BC731B" w14:textId="77777777" w:rsidR="005A26E7" w:rsidRPr="004A3B87" w:rsidRDefault="005A26E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98B0D8" w14:textId="77777777" w:rsidR="005A26E7" w:rsidRPr="004A3B87" w:rsidRDefault="00D0537A">
            <w:pPr>
              <w:pBdr>
                <w:top w:val="nil"/>
                <w:left w:val="nil"/>
                <w:bottom w:val="nil"/>
                <w:right w:val="nil"/>
                <w:between w:val="nil"/>
              </w:pBdr>
              <w:jc w:val="center"/>
            </w:pPr>
            <w:r w:rsidRPr="004A3B87">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C526BD" w14:textId="77777777" w:rsidR="005A26E7" w:rsidRPr="004A3B87" w:rsidRDefault="00D0537A">
            <w:pPr>
              <w:pBdr>
                <w:top w:val="nil"/>
                <w:left w:val="nil"/>
                <w:bottom w:val="nil"/>
                <w:right w:val="nil"/>
                <w:between w:val="nil"/>
              </w:pBdr>
              <w:jc w:val="both"/>
            </w:pPr>
            <w:r w:rsidRPr="004A3B87">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4A3B87" w:rsidRPr="004A3B87" w14:paraId="6ACACD1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8DD632" w14:textId="77777777" w:rsidR="005A26E7" w:rsidRPr="004A3B87" w:rsidRDefault="005A26E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5F28E2" w14:textId="77777777" w:rsidR="005A26E7" w:rsidRPr="004A3B87" w:rsidRDefault="00D0537A">
            <w:pPr>
              <w:pBdr>
                <w:top w:val="nil"/>
                <w:left w:val="nil"/>
                <w:bottom w:val="nil"/>
                <w:right w:val="nil"/>
                <w:between w:val="nil"/>
              </w:pBdr>
              <w:jc w:val="center"/>
            </w:pPr>
            <w:r w:rsidRPr="004A3B87">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B05572" w14:textId="77777777" w:rsidR="005A26E7" w:rsidRPr="004A3B87" w:rsidRDefault="00D0537A">
            <w:pPr>
              <w:pBdr>
                <w:top w:val="nil"/>
                <w:left w:val="nil"/>
                <w:bottom w:val="nil"/>
                <w:right w:val="nil"/>
                <w:between w:val="nil"/>
              </w:pBdr>
              <w:jc w:val="both"/>
            </w:pPr>
            <w:r w:rsidRPr="004A3B87">
              <w:rPr>
                <w:rFonts w:ascii="Palatino Linotype" w:eastAsia="Palatino Linotype" w:hAnsi="Palatino Linotype" w:cs="Palatino Linotype"/>
                <w:i/>
              </w:rPr>
              <w:t>Se señalará el nombre del ordenamiento, el o los artículos, fracción(es), párrafo(s) con base en los cuales se sustente la reserva.</w:t>
            </w:r>
          </w:p>
        </w:tc>
      </w:tr>
      <w:tr w:rsidR="004A3B87" w:rsidRPr="004A3B87" w14:paraId="13EF30C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2B64B9" w14:textId="77777777" w:rsidR="005A26E7" w:rsidRPr="004A3B87" w:rsidRDefault="005A26E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C3AD7F" w14:textId="77777777" w:rsidR="005A26E7" w:rsidRPr="004A3B87" w:rsidRDefault="00D0537A">
            <w:pPr>
              <w:pBdr>
                <w:top w:val="nil"/>
                <w:left w:val="nil"/>
                <w:bottom w:val="nil"/>
                <w:right w:val="nil"/>
                <w:between w:val="nil"/>
              </w:pBdr>
              <w:jc w:val="center"/>
            </w:pPr>
            <w:r w:rsidRPr="004A3B87">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3EC5C" w14:textId="77777777" w:rsidR="005A26E7" w:rsidRPr="004A3B87" w:rsidRDefault="00D0537A">
            <w:pPr>
              <w:pBdr>
                <w:top w:val="nil"/>
                <w:left w:val="nil"/>
                <w:bottom w:val="nil"/>
                <w:right w:val="nil"/>
                <w:between w:val="nil"/>
              </w:pBdr>
              <w:jc w:val="both"/>
            </w:pPr>
            <w:r w:rsidRPr="004A3B87">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4A3B87" w:rsidRPr="004A3B87" w14:paraId="7A6B709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02F31" w14:textId="77777777" w:rsidR="005A26E7" w:rsidRPr="004A3B87" w:rsidRDefault="005A26E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8F5B46" w14:textId="77777777" w:rsidR="005A26E7" w:rsidRPr="004A3B87" w:rsidRDefault="00D0537A">
            <w:pPr>
              <w:pBdr>
                <w:top w:val="nil"/>
                <w:left w:val="nil"/>
                <w:bottom w:val="nil"/>
                <w:right w:val="nil"/>
                <w:between w:val="nil"/>
              </w:pBdr>
              <w:jc w:val="center"/>
            </w:pPr>
            <w:r w:rsidRPr="004A3B87">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AD3231" w14:textId="77777777" w:rsidR="005A26E7" w:rsidRPr="004A3B87" w:rsidRDefault="00D0537A">
            <w:pPr>
              <w:pBdr>
                <w:top w:val="nil"/>
                <w:left w:val="nil"/>
                <w:bottom w:val="nil"/>
                <w:right w:val="nil"/>
                <w:between w:val="nil"/>
              </w:pBdr>
              <w:jc w:val="both"/>
            </w:pPr>
            <w:r w:rsidRPr="004A3B87">
              <w:rPr>
                <w:rFonts w:ascii="Palatino Linotype" w:eastAsia="Palatino Linotype" w:hAnsi="Palatino Linotype" w:cs="Palatino Linotype"/>
                <w:i/>
              </w:rPr>
              <w:t>Rúbrica autógrafa o firma digital de quien clasifica.</w:t>
            </w:r>
          </w:p>
        </w:tc>
      </w:tr>
      <w:tr w:rsidR="004A3B87" w:rsidRPr="004A3B87" w14:paraId="06D17EB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CC500B" w14:textId="77777777" w:rsidR="005A26E7" w:rsidRPr="004A3B87" w:rsidRDefault="005A26E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27662C" w14:textId="77777777" w:rsidR="005A26E7" w:rsidRPr="004A3B87" w:rsidRDefault="00D0537A">
            <w:pPr>
              <w:pBdr>
                <w:top w:val="nil"/>
                <w:left w:val="nil"/>
                <w:bottom w:val="nil"/>
                <w:right w:val="nil"/>
                <w:between w:val="nil"/>
              </w:pBdr>
              <w:jc w:val="center"/>
            </w:pPr>
            <w:r w:rsidRPr="004A3B87">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879E51" w14:textId="77777777" w:rsidR="005A26E7" w:rsidRPr="004A3B87" w:rsidRDefault="00D0537A">
            <w:pPr>
              <w:pBdr>
                <w:top w:val="nil"/>
                <w:left w:val="nil"/>
                <w:bottom w:val="nil"/>
                <w:right w:val="nil"/>
                <w:between w:val="nil"/>
              </w:pBdr>
              <w:jc w:val="both"/>
            </w:pPr>
            <w:r w:rsidRPr="004A3B87">
              <w:rPr>
                <w:rFonts w:ascii="Palatino Linotype" w:eastAsia="Palatino Linotype" w:hAnsi="Palatino Linotype" w:cs="Palatino Linotype"/>
                <w:i/>
              </w:rPr>
              <w:t>Se anotará la fecha en que se desclasifica el documento.</w:t>
            </w:r>
          </w:p>
        </w:tc>
      </w:tr>
      <w:tr w:rsidR="004A3B87" w:rsidRPr="004A3B87" w14:paraId="57F6EE7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60A1E" w14:textId="77777777" w:rsidR="005A26E7" w:rsidRPr="004A3B87" w:rsidRDefault="005A26E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EF51E" w14:textId="77777777" w:rsidR="005A26E7" w:rsidRPr="004A3B87" w:rsidRDefault="00D0537A">
            <w:pPr>
              <w:pBdr>
                <w:top w:val="nil"/>
                <w:left w:val="nil"/>
                <w:bottom w:val="nil"/>
                <w:right w:val="nil"/>
                <w:between w:val="nil"/>
              </w:pBdr>
              <w:jc w:val="center"/>
            </w:pPr>
            <w:r w:rsidRPr="004A3B87">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3E6008" w14:textId="77777777" w:rsidR="005A26E7" w:rsidRPr="004A3B87" w:rsidRDefault="00D0537A">
            <w:pPr>
              <w:pBdr>
                <w:top w:val="nil"/>
                <w:left w:val="nil"/>
                <w:bottom w:val="nil"/>
                <w:right w:val="nil"/>
                <w:between w:val="nil"/>
              </w:pBdr>
              <w:jc w:val="both"/>
            </w:pPr>
            <w:r w:rsidRPr="004A3B87">
              <w:rPr>
                <w:rFonts w:ascii="Palatino Linotype" w:eastAsia="Palatino Linotype" w:hAnsi="Palatino Linotype" w:cs="Palatino Linotype"/>
                <w:i/>
              </w:rPr>
              <w:t>Rúbrica autógrafa o firma digital de quien desclasifica.</w:t>
            </w:r>
          </w:p>
        </w:tc>
      </w:tr>
      <w:tr w:rsidR="004A3B87" w:rsidRPr="004A3B87" w14:paraId="7951F552"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274A16" w14:textId="77777777" w:rsidR="005A26E7" w:rsidRPr="004A3B87" w:rsidRDefault="005A26E7">
            <w:pPr>
              <w:widowControl w:val="0"/>
              <w:pBdr>
                <w:top w:val="nil"/>
                <w:left w:val="nil"/>
                <w:bottom w:val="nil"/>
                <w:right w:val="nil"/>
                <w:between w:val="nil"/>
              </w:pBdr>
              <w:spacing w:line="276" w:lineRule="auto"/>
            </w:pPr>
          </w:p>
        </w:tc>
      </w:tr>
    </w:tbl>
    <w:p w14:paraId="583D47FE" w14:textId="77777777" w:rsidR="005A26E7" w:rsidRPr="004A3B87" w:rsidRDefault="00D0537A">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lastRenderedPageBreak/>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1FFC932" w14:textId="77777777" w:rsidR="005A26E7" w:rsidRPr="004A3B87" w:rsidRDefault="00D0537A">
      <w:pPr>
        <w:pBdr>
          <w:top w:val="nil"/>
          <w:left w:val="nil"/>
          <w:bottom w:val="nil"/>
          <w:right w:val="nil"/>
          <w:between w:val="nil"/>
        </w:pBdr>
        <w:spacing w:after="160"/>
        <w:ind w:left="709" w:right="709"/>
        <w:jc w:val="both"/>
      </w:pPr>
      <w:r w:rsidRPr="004A3B87">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4A3B87">
        <w:rPr>
          <w:rFonts w:ascii="Palatino Linotype" w:eastAsia="Palatino Linotype" w:hAnsi="Palatino Linotype" w:cs="Palatino Linotype"/>
          <w:i/>
          <w:sz w:val="22"/>
          <w:szCs w:val="22"/>
        </w:rPr>
        <w:t>testado</w:t>
      </w:r>
      <w:proofErr w:type="spellEnd"/>
      <w:r w:rsidRPr="004A3B87">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0CD6488D" w14:textId="77777777" w:rsidR="005A26E7" w:rsidRPr="004A3B87" w:rsidRDefault="005A26E7">
      <w:pPr>
        <w:jc w:val="both"/>
      </w:pPr>
    </w:p>
    <w:p w14:paraId="13AA0458" w14:textId="77777777" w:rsidR="005A26E7" w:rsidRPr="004A3B87" w:rsidRDefault="005A26E7"/>
    <w:p w14:paraId="7C756381"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E774D44" w14:textId="77777777" w:rsidR="005A26E7" w:rsidRPr="004A3B87" w:rsidRDefault="005A26E7">
      <w:pPr>
        <w:spacing w:line="360" w:lineRule="auto"/>
        <w:jc w:val="both"/>
        <w:rPr>
          <w:rFonts w:ascii="Palatino Linotype" w:eastAsia="Palatino Linotype" w:hAnsi="Palatino Linotype" w:cs="Palatino Linotype"/>
        </w:rPr>
      </w:pPr>
    </w:p>
    <w:p w14:paraId="01DBF7DC" w14:textId="77777777" w:rsidR="005A26E7" w:rsidRPr="004A3B87" w:rsidRDefault="00D0537A">
      <w:pPr>
        <w:shd w:val="clear" w:color="auto" w:fill="FFFFFF"/>
        <w:spacing w:line="360" w:lineRule="auto"/>
        <w:ind w:right="51"/>
        <w:jc w:val="both"/>
        <w:rPr>
          <w:rFonts w:ascii="Palatino Linotype" w:eastAsia="Palatino Linotype" w:hAnsi="Palatino Linotype" w:cs="Palatino Linotype"/>
        </w:rPr>
      </w:pPr>
      <w:r w:rsidRPr="004A3B8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4A3B87">
        <w:rPr>
          <w:rFonts w:ascii="Palatino Linotype" w:eastAsia="Palatino Linotype" w:hAnsi="Palatino Linotype" w:cs="Palatino Linotype"/>
          <w:b/>
        </w:rPr>
        <w:t>RECURRENTE</w:t>
      </w:r>
      <w:r w:rsidRPr="004A3B87">
        <w:rPr>
          <w:rFonts w:ascii="Palatino Linotype" w:eastAsia="Palatino Linotype" w:hAnsi="Palatino Linotype" w:cs="Palatino Linotype"/>
        </w:rPr>
        <w:t>.</w:t>
      </w:r>
    </w:p>
    <w:p w14:paraId="6EC05157"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rPr>
        <w:lastRenderedPageBreak/>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62FD6D11" w14:textId="77777777" w:rsidR="005A26E7" w:rsidRPr="004A3B87" w:rsidRDefault="00D0537A">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4A3B87">
        <w:rPr>
          <w:rFonts w:ascii="Palatino Linotype" w:eastAsia="Palatino Linotype" w:hAnsi="Palatino Linotype" w:cs="Palatino Linotype"/>
          <w:b/>
          <w:sz w:val="22"/>
          <w:szCs w:val="22"/>
        </w:rPr>
        <w:t>R E S U E L V E:</w:t>
      </w:r>
    </w:p>
    <w:p w14:paraId="2F4E1CB0" w14:textId="77777777" w:rsidR="005A26E7" w:rsidRPr="004A3B87" w:rsidRDefault="00D0537A">
      <w:pPr>
        <w:spacing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t xml:space="preserve">Primero. </w:t>
      </w:r>
      <w:r w:rsidRPr="004A3B87">
        <w:rPr>
          <w:rFonts w:ascii="Palatino Linotype" w:eastAsia="Palatino Linotype" w:hAnsi="Palatino Linotype" w:cs="Palatino Linotype"/>
        </w:rPr>
        <w:t>Resulta</w:t>
      </w:r>
      <w:r w:rsidRPr="004A3B87">
        <w:rPr>
          <w:rFonts w:ascii="Palatino Linotype" w:eastAsia="Palatino Linotype" w:hAnsi="Palatino Linotype" w:cs="Palatino Linotype"/>
          <w:b/>
        </w:rPr>
        <w:t xml:space="preserve"> FUNDADO</w:t>
      </w:r>
      <w:r w:rsidRPr="004A3B87">
        <w:rPr>
          <w:rFonts w:ascii="Palatino Linotype" w:eastAsia="Palatino Linotype" w:hAnsi="Palatino Linotype" w:cs="Palatino Linotype"/>
        </w:rPr>
        <w:t xml:space="preserve"> el motivo de inconformidad hecho valer por el </w:t>
      </w:r>
      <w:r w:rsidRPr="004A3B87">
        <w:rPr>
          <w:rFonts w:ascii="Palatino Linotype" w:eastAsia="Palatino Linotype" w:hAnsi="Palatino Linotype" w:cs="Palatino Linotype"/>
          <w:b/>
        </w:rPr>
        <w:t>RECURRENTE</w:t>
      </w:r>
      <w:r w:rsidRPr="004A3B87">
        <w:rPr>
          <w:rFonts w:ascii="Palatino Linotype" w:eastAsia="Palatino Linotype" w:hAnsi="Palatino Linotype" w:cs="Palatino Linotype"/>
        </w:rPr>
        <w:t xml:space="preserve"> en el Recurso de Revisión </w:t>
      </w:r>
      <w:r w:rsidRPr="004A3B87">
        <w:rPr>
          <w:rFonts w:ascii="Palatino Linotype" w:eastAsia="Palatino Linotype" w:hAnsi="Palatino Linotype" w:cs="Palatino Linotype"/>
          <w:b/>
        </w:rPr>
        <w:t xml:space="preserve">07959/INFOEM/IP/RR/2023, </w:t>
      </w:r>
      <w:r w:rsidRPr="004A3B87">
        <w:rPr>
          <w:rFonts w:ascii="Palatino Linotype" w:eastAsia="Palatino Linotype" w:hAnsi="Palatino Linotype" w:cs="Palatino Linotype"/>
        </w:rPr>
        <w:t xml:space="preserve">por lo que, en términos del considerando </w:t>
      </w:r>
      <w:r w:rsidRPr="004A3B87">
        <w:rPr>
          <w:rFonts w:ascii="Palatino Linotype" w:eastAsia="Palatino Linotype" w:hAnsi="Palatino Linotype" w:cs="Palatino Linotype"/>
          <w:b/>
        </w:rPr>
        <w:t xml:space="preserve">Cuarto </w:t>
      </w:r>
      <w:r w:rsidRPr="004A3B87">
        <w:rPr>
          <w:rFonts w:ascii="Palatino Linotype" w:eastAsia="Palatino Linotype" w:hAnsi="Palatino Linotype" w:cs="Palatino Linotype"/>
        </w:rPr>
        <w:t xml:space="preserve">de esta resolución, se </w:t>
      </w:r>
      <w:r w:rsidRPr="004A3B87">
        <w:rPr>
          <w:rFonts w:ascii="Palatino Linotype" w:eastAsia="Palatino Linotype" w:hAnsi="Palatino Linotype" w:cs="Palatino Linotype"/>
          <w:b/>
        </w:rPr>
        <w:t xml:space="preserve">MODIFICA </w:t>
      </w:r>
      <w:r w:rsidRPr="004A3B87">
        <w:rPr>
          <w:rFonts w:ascii="Palatino Linotype" w:eastAsia="Palatino Linotype" w:hAnsi="Palatino Linotype" w:cs="Palatino Linotype"/>
        </w:rPr>
        <w:t xml:space="preserve">la respuesta emitida por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w:t>
      </w:r>
    </w:p>
    <w:p w14:paraId="62AF5AE9" w14:textId="77777777" w:rsidR="005A26E7" w:rsidRPr="004A3B87" w:rsidRDefault="005A26E7">
      <w:pPr>
        <w:spacing w:line="360" w:lineRule="auto"/>
        <w:ind w:right="49"/>
        <w:jc w:val="both"/>
        <w:rPr>
          <w:rFonts w:ascii="Palatino Linotype" w:eastAsia="Palatino Linotype" w:hAnsi="Palatino Linotype" w:cs="Palatino Linotype"/>
          <w:b/>
        </w:rPr>
      </w:pPr>
    </w:p>
    <w:p w14:paraId="7C3F87B7" w14:textId="77777777" w:rsidR="005A26E7" w:rsidRPr="004A3B87" w:rsidRDefault="00D0537A">
      <w:pPr>
        <w:spacing w:line="360" w:lineRule="auto"/>
        <w:ind w:right="49"/>
        <w:jc w:val="both"/>
        <w:rPr>
          <w:rFonts w:ascii="Palatino Linotype" w:eastAsia="Palatino Linotype" w:hAnsi="Palatino Linotype" w:cs="Palatino Linotype"/>
        </w:rPr>
      </w:pPr>
      <w:r w:rsidRPr="004A3B87">
        <w:rPr>
          <w:rFonts w:ascii="Palatino Linotype" w:eastAsia="Palatino Linotype" w:hAnsi="Palatino Linotype" w:cs="Palatino Linotype"/>
          <w:b/>
        </w:rPr>
        <w:t xml:space="preserve">Segundo. </w:t>
      </w:r>
      <w:r w:rsidRPr="004A3B87">
        <w:rPr>
          <w:rFonts w:ascii="Palatino Linotype" w:eastAsia="Palatino Linotype" w:hAnsi="Palatino Linotype" w:cs="Palatino Linotype"/>
        </w:rPr>
        <w:t>Se</w:t>
      </w:r>
      <w:r w:rsidRPr="004A3B87">
        <w:rPr>
          <w:rFonts w:ascii="Palatino Linotype" w:eastAsia="Palatino Linotype" w:hAnsi="Palatino Linotype" w:cs="Palatino Linotype"/>
          <w:b/>
        </w:rPr>
        <w:t xml:space="preserve"> ORDENA </w:t>
      </w:r>
      <w:r w:rsidRPr="004A3B87">
        <w:rPr>
          <w:rFonts w:ascii="Palatino Linotype" w:eastAsia="Palatino Linotype" w:hAnsi="Palatino Linotype" w:cs="Palatino Linotype"/>
        </w:rPr>
        <w:t xml:space="preserve">al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a que,</w:t>
      </w:r>
      <w:r w:rsidRPr="004A3B87">
        <w:rPr>
          <w:rFonts w:ascii="Palatino Linotype" w:eastAsia="Palatino Linotype" w:hAnsi="Palatino Linotype" w:cs="Palatino Linotype"/>
          <w:b/>
        </w:rPr>
        <w:t xml:space="preserve"> </w:t>
      </w:r>
      <w:r w:rsidRPr="004A3B87">
        <w:rPr>
          <w:rFonts w:ascii="Palatino Linotype" w:eastAsia="Palatino Linotype" w:hAnsi="Palatino Linotype" w:cs="Palatino Linotype"/>
        </w:rPr>
        <w:t>en términos del Considerando Cuarto y Quinto, haga entrega vía Sistema de Acceso a la Información Mexiquense (SAIMEX), previa búsqueda exhaustiva y razonable, en versión pública de ser procedente, del documento o documentos en donde conste lo siguiente:</w:t>
      </w:r>
    </w:p>
    <w:p w14:paraId="2C4666FA" w14:textId="77777777" w:rsidR="005A26E7" w:rsidRPr="004A3B87" w:rsidRDefault="00D0537A">
      <w:pPr>
        <w:numPr>
          <w:ilvl w:val="0"/>
          <w:numId w:val="1"/>
        </w:numPr>
        <w:pBdr>
          <w:top w:val="nil"/>
          <w:left w:val="nil"/>
          <w:bottom w:val="nil"/>
          <w:right w:val="nil"/>
          <w:between w:val="nil"/>
        </w:pBdr>
        <w:spacing w:before="240" w:after="240" w:line="360" w:lineRule="auto"/>
        <w:ind w:left="714" w:right="51" w:hanging="357"/>
        <w:jc w:val="both"/>
        <w:rPr>
          <w:rFonts w:ascii="Palatino Linotype" w:eastAsia="Palatino Linotype" w:hAnsi="Palatino Linotype" w:cs="Palatino Linotype"/>
          <w:i/>
        </w:rPr>
      </w:pPr>
      <w:r w:rsidRPr="004A3B87">
        <w:rPr>
          <w:rFonts w:ascii="Palatino Linotype" w:eastAsia="Palatino Linotype" w:hAnsi="Palatino Linotype" w:cs="Palatino Linotype"/>
        </w:rPr>
        <w:t>Los estudios técnicos de las rutas que reestructuraron las empresas del transporte público en el Municipio de Toluca para conectar con el tren interurbano México-Toluca, también conocido como “el insurgentes”, del once de octubre del año dos mil veintidós al once de octubre del año dos mil veintitrés.</w:t>
      </w:r>
    </w:p>
    <w:p w14:paraId="23E94316" w14:textId="77777777" w:rsidR="005A26E7" w:rsidRPr="004A3B87" w:rsidRDefault="00D0537A">
      <w:pPr>
        <w:pBdr>
          <w:top w:val="nil"/>
          <w:left w:val="nil"/>
          <w:bottom w:val="nil"/>
          <w:right w:val="nil"/>
          <w:between w:val="nil"/>
        </w:pBdr>
        <w:spacing w:before="240" w:after="240" w:line="276" w:lineRule="auto"/>
        <w:ind w:left="360" w:right="49"/>
        <w:jc w:val="both"/>
        <w:rPr>
          <w:rFonts w:ascii="Palatino Linotype" w:eastAsia="Palatino Linotype" w:hAnsi="Palatino Linotype" w:cs="Palatino Linotype"/>
          <w:i/>
          <w:sz w:val="22"/>
          <w:szCs w:val="22"/>
        </w:rPr>
      </w:pPr>
      <w:r w:rsidRPr="004A3B87">
        <w:rPr>
          <w:rFonts w:ascii="Palatino Linotype" w:eastAsia="Palatino Linotype" w:hAnsi="Palatino Linotype" w:cs="Palatino Linotype"/>
          <w:i/>
          <w:sz w:val="22"/>
          <w:szCs w:val="22"/>
        </w:rPr>
        <w:t xml:space="preserve">De ser procedente para la versión pública, se deberá emitir el Acuerdo del Comité de Transparencia de acuerdo con la Ley de Transparencia y Acceso a la Información Pública del </w:t>
      </w:r>
      <w:r w:rsidRPr="004A3B87">
        <w:rPr>
          <w:rFonts w:ascii="Palatino Linotype" w:eastAsia="Palatino Linotype" w:hAnsi="Palatino Linotype" w:cs="Palatino Linotype"/>
          <w:i/>
          <w:sz w:val="22"/>
          <w:szCs w:val="22"/>
        </w:rPr>
        <w:lastRenderedPageBreak/>
        <w:t>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46BF7AA9" w14:textId="77777777" w:rsidR="005A26E7" w:rsidRPr="004A3B87" w:rsidRDefault="00D0537A">
      <w:pPr>
        <w:pBdr>
          <w:top w:val="nil"/>
          <w:left w:val="nil"/>
          <w:bottom w:val="nil"/>
          <w:right w:val="nil"/>
          <w:between w:val="nil"/>
        </w:pBdr>
        <w:spacing w:before="240" w:after="240" w:line="276" w:lineRule="auto"/>
        <w:ind w:left="360" w:right="49"/>
        <w:jc w:val="both"/>
        <w:rPr>
          <w:rFonts w:ascii="Palatino Linotype" w:eastAsia="Palatino Linotype" w:hAnsi="Palatino Linotype" w:cs="Palatino Linotype"/>
          <w:i/>
          <w:sz w:val="22"/>
          <w:szCs w:val="22"/>
        </w:rPr>
      </w:pPr>
      <w:bookmarkStart w:id="3" w:name="_heading=h.2et92p0" w:colFirst="0" w:colLast="0"/>
      <w:bookmarkEnd w:id="3"/>
      <w:r w:rsidRPr="004A3B87">
        <w:rPr>
          <w:rFonts w:ascii="Palatino Linotype" w:eastAsia="Palatino Linotype" w:hAnsi="Palatino Linotype" w:cs="Palatino Linotype"/>
          <w:i/>
          <w:sz w:val="22"/>
          <w:szCs w:val="22"/>
        </w:rPr>
        <w:t>Para el caso de que no haya generado la información que se ordena, bastará que así se lo haga saber de manera fundada y motivada en términos de lo señalado por el segundo párrafo del artículo 19 de la Ley en la materia.</w:t>
      </w:r>
    </w:p>
    <w:p w14:paraId="3AD16CCD" w14:textId="77777777" w:rsidR="005A26E7" w:rsidRPr="004A3B87" w:rsidRDefault="00D0537A">
      <w:pPr>
        <w:spacing w:line="360" w:lineRule="auto"/>
        <w:ind w:right="49"/>
        <w:jc w:val="both"/>
        <w:rPr>
          <w:rFonts w:ascii="Palatino Linotype" w:eastAsia="Palatino Linotype" w:hAnsi="Palatino Linotype" w:cs="Palatino Linotype"/>
        </w:rPr>
      </w:pPr>
      <w:r w:rsidRPr="004A3B87">
        <w:rPr>
          <w:rFonts w:ascii="Palatino Linotype" w:eastAsia="Palatino Linotype" w:hAnsi="Palatino Linotype" w:cs="Palatino Linotype"/>
          <w:b/>
        </w:rPr>
        <w:t xml:space="preserve">Tercero. Notifíquese, </w:t>
      </w:r>
      <w:r w:rsidRPr="004A3B87">
        <w:rPr>
          <w:rFonts w:ascii="Palatino Linotype" w:eastAsia="Palatino Linotype" w:hAnsi="Palatino Linotype" w:cs="Palatino Linotype"/>
        </w:rPr>
        <w:t xml:space="preserve">vía </w:t>
      </w:r>
      <w:r w:rsidRPr="004A3B87">
        <w:rPr>
          <w:rFonts w:ascii="Palatino Linotype" w:eastAsia="Palatino Linotype" w:hAnsi="Palatino Linotype" w:cs="Palatino Linotype"/>
          <w:b/>
        </w:rPr>
        <w:t>SAIMEX</w:t>
      </w:r>
      <w:r w:rsidRPr="004A3B87">
        <w:rPr>
          <w:rFonts w:ascii="Palatino Linotype" w:eastAsia="Palatino Linotype" w:hAnsi="Palatino Linotype" w:cs="Palatino Linotype"/>
        </w:rPr>
        <w:t xml:space="preserve">, al Titular de la Unidad de Transparencia del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F47D249" w14:textId="77777777" w:rsidR="005A26E7" w:rsidRPr="004A3B87" w:rsidRDefault="005A26E7">
      <w:pPr>
        <w:spacing w:line="360" w:lineRule="auto"/>
        <w:ind w:right="49"/>
        <w:jc w:val="both"/>
        <w:rPr>
          <w:rFonts w:ascii="Palatino Linotype" w:eastAsia="Palatino Linotype" w:hAnsi="Palatino Linotype" w:cs="Palatino Linotype"/>
        </w:rPr>
      </w:pPr>
    </w:p>
    <w:p w14:paraId="515AFDE1" w14:textId="77777777" w:rsidR="005A26E7" w:rsidRPr="004A3B87" w:rsidRDefault="00D0537A">
      <w:pPr>
        <w:spacing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t xml:space="preserve">Cuarto. </w:t>
      </w:r>
      <w:r w:rsidRPr="004A3B87">
        <w:rPr>
          <w:rFonts w:ascii="Palatino Linotype" w:eastAsia="Palatino Linotype" w:hAnsi="Palatino Linotype" w:cs="Palatino Linotype"/>
        </w:rPr>
        <w:t xml:space="preserve">Notifíquese, vía </w:t>
      </w:r>
      <w:r w:rsidRPr="004A3B87">
        <w:rPr>
          <w:rFonts w:ascii="Palatino Linotype" w:eastAsia="Palatino Linotype" w:hAnsi="Palatino Linotype" w:cs="Palatino Linotype"/>
          <w:b/>
        </w:rPr>
        <w:t>SAIMEX</w:t>
      </w:r>
      <w:r w:rsidRPr="004A3B87">
        <w:rPr>
          <w:rFonts w:ascii="Palatino Linotype" w:eastAsia="Palatino Linotype" w:hAnsi="Palatino Linotype" w:cs="Palatino Linotype"/>
        </w:rPr>
        <w:t xml:space="preserve">, a la parte </w:t>
      </w:r>
      <w:r w:rsidRPr="004A3B87">
        <w:rPr>
          <w:rFonts w:ascii="Palatino Linotype" w:eastAsia="Palatino Linotype" w:hAnsi="Palatino Linotype" w:cs="Palatino Linotype"/>
          <w:b/>
        </w:rPr>
        <w:t>RECURRENTE</w:t>
      </w:r>
      <w:r w:rsidRPr="004A3B8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ACA85E5" w14:textId="77777777" w:rsidR="005A26E7" w:rsidRPr="004A3B87" w:rsidRDefault="00D0537A">
      <w:pPr>
        <w:spacing w:before="240" w:after="240" w:line="360" w:lineRule="auto"/>
        <w:jc w:val="both"/>
        <w:rPr>
          <w:rFonts w:ascii="Palatino Linotype" w:eastAsia="Palatino Linotype" w:hAnsi="Palatino Linotype" w:cs="Palatino Linotype"/>
        </w:rPr>
      </w:pPr>
      <w:r w:rsidRPr="004A3B87">
        <w:rPr>
          <w:rFonts w:ascii="Palatino Linotype" w:eastAsia="Palatino Linotype" w:hAnsi="Palatino Linotype" w:cs="Palatino Linotype"/>
          <w:b/>
        </w:rPr>
        <w:lastRenderedPageBreak/>
        <w:t>Quinto.</w:t>
      </w:r>
      <w:r w:rsidRPr="004A3B87">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4A3B87">
        <w:rPr>
          <w:rFonts w:ascii="Palatino Linotype" w:eastAsia="Palatino Linotype" w:hAnsi="Palatino Linotype" w:cs="Palatino Linotype"/>
          <w:b/>
        </w:rPr>
        <w:t>SUJETO OBLIGADO</w:t>
      </w:r>
      <w:r w:rsidRPr="004A3B87">
        <w:rPr>
          <w:rFonts w:ascii="Palatino Linotype" w:eastAsia="Palatino Linotype" w:hAnsi="Palatino Linotype" w:cs="Palatino Linotype"/>
        </w:rPr>
        <w:t xml:space="preserve"> de manera fundada y motivada, podrá solicitar una ampliación de plazo para el cumplimiento de la presente resolución.</w:t>
      </w:r>
    </w:p>
    <w:p w14:paraId="367F5DE9" w14:textId="77777777" w:rsidR="005A26E7" w:rsidRPr="004A3B87" w:rsidRDefault="00D0537A">
      <w:pPr>
        <w:spacing w:before="240" w:after="240" w:line="360" w:lineRule="auto"/>
        <w:jc w:val="both"/>
        <w:rPr>
          <w:rFonts w:ascii="Palatino Linotype" w:eastAsia="Palatino Linotype" w:hAnsi="Palatino Linotype" w:cs="Palatino Linotype"/>
        </w:rPr>
        <w:sectPr w:rsidR="005A26E7" w:rsidRPr="004A3B87">
          <w:headerReference w:type="default" r:id="rId21"/>
          <w:footerReference w:type="default" r:id="rId22"/>
          <w:headerReference w:type="first" r:id="rId23"/>
          <w:footerReference w:type="first" r:id="rId24"/>
          <w:pgSz w:w="12240" w:h="15840"/>
          <w:pgMar w:top="2041" w:right="1701" w:bottom="1701" w:left="1701" w:header="709" w:footer="709" w:gutter="0"/>
          <w:pgNumType w:start="1"/>
          <w:cols w:space="720"/>
          <w:titlePg/>
        </w:sectPr>
      </w:pPr>
      <w:bookmarkStart w:id="4" w:name="_heading=h.1fob9te" w:colFirst="0" w:colLast="0"/>
      <w:bookmarkEnd w:id="4"/>
      <w:r w:rsidRPr="004A3B8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TRES DE ABRIL DEL DOS MIL VEINTICUATRO, ANTE EL SECRETARIO TÉCNICO DEL PLENO ALEXIS TAPIA RAMÍREZ.                             </w:t>
      </w:r>
    </w:p>
    <w:p w14:paraId="4F428491" w14:textId="77777777" w:rsidR="005A26E7" w:rsidRPr="004A3B87" w:rsidRDefault="005A26E7">
      <w:pPr>
        <w:spacing w:before="240" w:after="240" w:line="360" w:lineRule="auto"/>
        <w:jc w:val="both"/>
        <w:rPr>
          <w:rFonts w:ascii="Palatino Linotype" w:eastAsia="Palatino Linotype" w:hAnsi="Palatino Linotype" w:cs="Palatino Linotype"/>
        </w:rPr>
      </w:pPr>
    </w:p>
    <w:sectPr w:rsidR="005A26E7" w:rsidRPr="004A3B87">
      <w:headerReference w:type="first" r:id="rId25"/>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EBB1D" w14:textId="77777777" w:rsidR="00A33E6B" w:rsidRDefault="00A33E6B">
      <w:r>
        <w:separator/>
      </w:r>
    </w:p>
  </w:endnote>
  <w:endnote w:type="continuationSeparator" w:id="0">
    <w:p w14:paraId="205BAAD3" w14:textId="77777777" w:rsidR="00A33E6B" w:rsidRDefault="00A33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64D1" w14:textId="77777777" w:rsidR="005A26E7" w:rsidRDefault="00D0537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E01DF">
      <w:rPr>
        <w:rFonts w:ascii="Arial" w:eastAsia="Arial" w:hAnsi="Arial" w:cs="Arial"/>
        <w:b/>
        <w:noProof/>
        <w:color w:val="000000"/>
        <w:sz w:val="20"/>
        <w:szCs w:val="20"/>
      </w:rPr>
      <w:t>42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E01DF">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14:paraId="21A19173" w14:textId="77777777" w:rsidR="005A26E7" w:rsidRDefault="005A26E7">
    <w:pPr>
      <w:pBdr>
        <w:top w:val="nil"/>
        <w:left w:val="nil"/>
        <w:bottom w:val="nil"/>
        <w:right w:val="nil"/>
        <w:between w:val="nil"/>
      </w:pBdr>
      <w:tabs>
        <w:tab w:val="center" w:pos="4252"/>
        <w:tab w:val="right" w:pos="8504"/>
      </w:tabs>
      <w:rPr>
        <w:color w:val="000000"/>
      </w:rPr>
    </w:pPr>
  </w:p>
  <w:p w14:paraId="4E55B55A" w14:textId="77777777" w:rsidR="005A26E7" w:rsidRDefault="005A26E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EFB3" w14:textId="77777777" w:rsidR="005A26E7" w:rsidRDefault="00D0537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E01DF">
      <w:rPr>
        <w:rFonts w:ascii="Arial" w:eastAsia="Arial" w:hAnsi="Arial" w:cs="Arial"/>
        <w:b/>
        <w:noProof/>
        <w:color w:val="000000"/>
        <w:sz w:val="20"/>
        <w:szCs w:val="20"/>
      </w:rPr>
      <w:t>44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E01DF">
      <w:rPr>
        <w:rFonts w:ascii="Arial" w:eastAsia="Arial" w:hAnsi="Arial" w:cs="Arial"/>
        <w:b/>
        <w:noProof/>
        <w:color w:val="000000"/>
        <w:sz w:val="20"/>
        <w:szCs w:val="20"/>
      </w:rPr>
      <w:t>44</w:t>
    </w:r>
    <w:r>
      <w:rPr>
        <w:rFonts w:ascii="Arial" w:eastAsia="Arial" w:hAnsi="Arial" w:cs="Arial"/>
        <w:b/>
        <w:color w:val="000000"/>
        <w:sz w:val="20"/>
        <w:szCs w:val="20"/>
      </w:rPr>
      <w:fldChar w:fldCharType="end"/>
    </w:r>
  </w:p>
  <w:p w14:paraId="62C57453" w14:textId="77777777" w:rsidR="005A26E7" w:rsidRDefault="005A26E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2535F" w14:textId="77777777" w:rsidR="00A33E6B" w:rsidRDefault="00A33E6B">
      <w:r>
        <w:separator/>
      </w:r>
    </w:p>
  </w:footnote>
  <w:footnote w:type="continuationSeparator" w:id="0">
    <w:p w14:paraId="41317970" w14:textId="77777777" w:rsidR="00A33E6B" w:rsidRDefault="00A33E6B">
      <w:r>
        <w:continuationSeparator/>
      </w:r>
    </w:p>
  </w:footnote>
  <w:footnote w:id="1">
    <w:p w14:paraId="60F0EBF2" w14:textId="77777777" w:rsidR="005A26E7" w:rsidRDefault="00D0537A">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15987DA8" w14:textId="77777777" w:rsidR="005A26E7" w:rsidRDefault="00D0537A">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A5C1" w14:textId="77777777" w:rsidR="005A26E7" w:rsidRDefault="005A26E7">
    <w:pPr>
      <w:widowControl w:val="0"/>
      <w:pBdr>
        <w:top w:val="nil"/>
        <w:left w:val="nil"/>
        <w:bottom w:val="nil"/>
        <w:right w:val="nil"/>
        <w:between w:val="nil"/>
      </w:pBdr>
      <w:spacing w:line="276" w:lineRule="auto"/>
      <w:rPr>
        <w:rFonts w:ascii="Calibri" w:eastAsia="Calibri" w:hAnsi="Calibri" w:cs="Calibri"/>
        <w:color w:val="000000"/>
      </w:rPr>
    </w:pPr>
  </w:p>
  <w:tbl>
    <w:tblPr>
      <w:tblStyle w:val="af6"/>
      <w:tblW w:w="5528" w:type="dxa"/>
      <w:tblInd w:w="3261" w:type="dxa"/>
      <w:tblLayout w:type="fixed"/>
      <w:tblLook w:val="0400" w:firstRow="0" w:lastRow="0" w:firstColumn="0" w:lastColumn="0" w:noHBand="0" w:noVBand="1"/>
    </w:tblPr>
    <w:tblGrid>
      <w:gridCol w:w="2551"/>
      <w:gridCol w:w="2977"/>
    </w:tblGrid>
    <w:tr w:rsidR="005A26E7" w14:paraId="174274BC" w14:textId="77777777">
      <w:tc>
        <w:tcPr>
          <w:tcW w:w="2551" w:type="dxa"/>
          <w:vAlign w:val="center"/>
        </w:tcPr>
        <w:p w14:paraId="0843AFEA" w14:textId="77777777" w:rsidR="005A26E7" w:rsidRDefault="00D05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27C04C79" w14:textId="77777777" w:rsidR="005A26E7" w:rsidRDefault="00D0537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07959/INFOEM/IP/RR/2023</w:t>
          </w:r>
        </w:p>
      </w:tc>
    </w:tr>
    <w:tr w:rsidR="005A26E7" w14:paraId="76B2F3C3" w14:textId="77777777">
      <w:trPr>
        <w:trHeight w:val="228"/>
      </w:trPr>
      <w:tc>
        <w:tcPr>
          <w:tcW w:w="2551" w:type="dxa"/>
          <w:vAlign w:val="center"/>
        </w:tcPr>
        <w:p w14:paraId="6B84FB4E" w14:textId="77777777" w:rsidR="005A26E7" w:rsidRDefault="00D05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67A9C337" w14:textId="77777777" w:rsidR="005A26E7" w:rsidRDefault="00D0537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5A26E7" w14:paraId="7B02A315" w14:textId="77777777">
      <w:tc>
        <w:tcPr>
          <w:tcW w:w="2551" w:type="dxa"/>
          <w:vAlign w:val="center"/>
        </w:tcPr>
        <w:p w14:paraId="4A3E776D" w14:textId="77777777" w:rsidR="005A26E7" w:rsidRDefault="00D05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5978668A" w14:textId="77777777" w:rsidR="005A26E7" w:rsidRDefault="00D0537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374C80" w14:textId="77777777" w:rsidR="005A26E7" w:rsidRDefault="00D0537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14DB4D24" wp14:editId="3C2B2676">
          <wp:simplePos x="0" y="0"/>
          <wp:positionH relativeFrom="column">
            <wp:posOffset>-695765</wp:posOffset>
          </wp:positionH>
          <wp:positionV relativeFrom="paragraph">
            <wp:posOffset>-1200940</wp:posOffset>
          </wp:positionV>
          <wp:extent cx="7809876" cy="10165823"/>
          <wp:effectExtent l="0" t="0" r="0" b="0"/>
          <wp:wrapNone/>
          <wp:docPr id="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CA48" w14:textId="77777777" w:rsidR="005A26E7" w:rsidRDefault="00D0537A">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5E6F422D" wp14:editId="6D4A92DC">
          <wp:simplePos x="0" y="0"/>
          <wp:positionH relativeFrom="column">
            <wp:posOffset>-846155</wp:posOffset>
          </wp:positionH>
          <wp:positionV relativeFrom="paragraph">
            <wp:posOffset>-171226</wp:posOffset>
          </wp:positionV>
          <wp:extent cx="7809876" cy="10165823"/>
          <wp:effectExtent l="0" t="0" r="0" b="0"/>
          <wp:wrapNone/>
          <wp:docPr id="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670" w:type="dxa"/>
      <w:tblInd w:w="3119" w:type="dxa"/>
      <w:tblLayout w:type="fixed"/>
      <w:tblLook w:val="0400" w:firstRow="0" w:lastRow="0" w:firstColumn="0" w:lastColumn="0" w:noHBand="0" w:noVBand="1"/>
    </w:tblPr>
    <w:tblGrid>
      <w:gridCol w:w="2551"/>
      <w:gridCol w:w="3119"/>
    </w:tblGrid>
    <w:tr w:rsidR="005A26E7" w14:paraId="345CE6D7" w14:textId="77777777">
      <w:tc>
        <w:tcPr>
          <w:tcW w:w="2551" w:type="dxa"/>
          <w:vAlign w:val="center"/>
        </w:tcPr>
        <w:p w14:paraId="665C04CB" w14:textId="77777777" w:rsidR="005A26E7" w:rsidRDefault="00D05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7330DB60" w14:textId="77777777" w:rsidR="005A26E7" w:rsidRDefault="00D0537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07959/INFOEM/IP/RR/2023. </w:t>
          </w:r>
        </w:p>
      </w:tc>
    </w:tr>
    <w:tr w:rsidR="005A26E7" w14:paraId="6F290177" w14:textId="77777777">
      <w:tc>
        <w:tcPr>
          <w:tcW w:w="2551" w:type="dxa"/>
          <w:vAlign w:val="center"/>
        </w:tcPr>
        <w:p w14:paraId="6B108E69" w14:textId="77777777" w:rsidR="005A26E7" w:rsidRDefault="00D0537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53436D8" w14:textId="77777777" w:rsidR="005A26E7" w:rsidRDefault="005A26E7">
          <w:pPr>
            <w:jc w:val="both"/>
            <w:rPr>
              <w:rFonts w:ascii="Palatino Linotype" w:eastAsia="Palatino Linotype" w:hAnsi="Palatino Linotype" w:cs="Palatino Linotype"/>
              <w:b/>
              <w:sz w:val="22"/>
              <w:szCs w:val="22"/>
            </w:rPr>
          </w:pPr>
        </w:p>
      </w:tc>
    </w:tr>
    <w:tr w:rsidR="005A26E7" w14:paraId="1A81E1B3" w14:textId="77777777">
      <w:trPr>
        <w:trHeight w:val="228"/>
      </w:trPr>
      <w:tc>
        <w:tcPr>
          <w:tcW w:w="2551" w:type="dxa"/>
          <w:vAlign w:val="center"/>
        </w:tcPr>
        <w:p w14:paraId="132A1BF5" w14:textId="77777777" w:rsidR="005A26E7" w:rsidRDefault="00D05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17F44DE" w14:textId="77777777" w:rsidR="005A26E7" w:rsidRDefault="00D0537A">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5A26E7" w14:paraId="3DB29934" w14:textId="77777777">
      <w:tc>
        <w:tcPr>
          <w:tcW w:w="2551" w:type="dxa"/>
          <w:vAlign w:val="center"/>
        </w:tcPr>
        <w:p w14:paraId="03BC5CD5" w14:textId="77777777" w:rsidR="005A26E7" w:rsidRDefault="00D0537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C4211D2" w14:textId="77777777" w:rsidR="005A26E7" w:rsidRDefault="00D0537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7AC39BC" w14:textId="77777777" w:rsidR="005A26E7" w:rsidRDefault="005A26E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32505" w14:textId="77777777" w:rsidR="005A26E7" w:rsidRDefault="005A26E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FFFEBB5" w14:textId="77777777" w:rsidR="005A26E7" w:rsidRDefault="005A26E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02A63"/>
    <w:multiLevelType w:val="multilevel"/>
    <w:tmpl w:val="A13A963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BDD6DB3"/>
    <w:multiLevelType w:val="multilevel"/>
    <w:tmpl w:val="700CFAB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EB404E7"/>
    <w:multiLevelType w:val="multilevel"/>
    <w:tmpl w:val="74AC8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87489D"/>
    <w:multiLevelType w:val="multilevel"/>
    <w:tmpl w:val="F2AE7DE4"/>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 w15:restartNumberingAfterBreak="0">
    <w:nsid w:val="79BC71B8"/>
    <w:multiLevelType w:val="multilevel"/>
    <w:tmpl w:val="FE6E7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6E7"/>
    <w:rsid w:val="00226B8F"/>
    <w:rsid w:val="004A3B87"/>
    <w:rsid w:val="005A26E7"/>
    <w:rsid w:val="00641479"/>
    <w:rsid w:val="00A33E6B"/>
    <w:rsid w:val="00BE01DF"/>
    <w:rsid w:val="00C265B7"/>
    <w:rsid w:val="00D0537A"/>
    <w:rsid w:val="00D471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4AB28"/>
  <w15:docId w15:val="{EC5A9DFF-1781-4D95-8942-6B7C4D5C0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944277.page" TargetMode="Externa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aimex.org.mx/saimex/solicitud/downloadAttach/1969986.page" TargetMode="External"/><Relationship Id="rId17" Type="http://schemas.openxmlformats.org/officeDocument/2006/relationships/hyperlink" Target="https://www.telediario.mx/comunidad/tren-interurbano-mexico-toluca-conectara-transporte-edomex"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969985.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hyperlink" Target="https://saimex.org.mx/saimex/solicitud/downloadAttach/1969984.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saimex.org.mx/saimex/solicitud/downloadAttach/1969983.page" TargetMode="External"/><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xaHBX8hbsRwa5D7Xf0dTDT0Rg==">CgMxLjAyCGguZ2pkZ3hzMgloLjMwajB6bGwyCWguM3pueXNoNzIJaC4yZXQ5MnAwMgloLjFmb2I5dGU4AHIhMVN0c0tkTWNIVmdabHRObERaaThrelhIYnVuclJXb2ZX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11164</Words>
  <Characters>61405</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2024-04-05T20:40:00Z</cp:lastPrinted>
  <dcterms:created xsi:type="dcterms:W3CDTF">2024-04-29T18:49:00Z</dcterms:created>
  <dcterms:modified xsi:type="dcterms:W3CDTF">2024-04-29T18:49:00Z</dcterms:modified>
</cp:coreProperties>
</file>