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1B133D4" w:rsidR="00A970D5" w:rsidRPr="00F04C02" w:rsidRDefault="00A970D5" w:rsidP="006922F5">
      <w:pPr>
        <w:pBdr>
          <w:top w:val="nil"/>
          <w:left w:val="nil"/>
          <w:bottom w:val="nil"/>
          <w:right w:val="nil"/>
          <w:between w:val="nil"/>
        </w:pBdr>
        <w:contextualSpacing/>
        <w:rPr>
          <w:rFonts w:eastAsia="Palatino Linotype" w:cs="Palatino Linotype"/>
          <w:color w:val="000000"/>
          <w:szCs w:val="24"/>
        </w:rPr>
      </w:pPr>
      <w:r w:rsidRPr="00F04C02">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F04C02">
        <w:rPr>
          <w:rFonts w:eastAsia="Palatino Linotype" w:cs="Palatino Linotype"/>
          <w:color w:val="000000"/>
          <w:szCs w:val="24"/>
        </w:rPr>
        <w:t>México, a</w:t>
      </w:r>
      <w:r w:rsidR="00857348">
        <w:rPr>
          <w:rFonts w:eastAsia="Palatino Linotype" w:cs="Palatino Linotype"/>
          <w:color w:val="000000"/>
          <w:szCs w:val="24"/>
        </w:rPr>
        <w:t xml:space="preserve"> </w:t>
      </w:r>
      <w:r w:rsidR="008B1F00">
        <w:rPr>
          <w:rFonts w:eastAsia="Palatino Linotype" w:cs="Palatino Linotype"/>
          <w:color w:val="000000"/>
          <w:szCs w:val="24"/>
        </w:rPr>
        <w:t>veintiuno de marzo de dos mil veinticuatro</w:t>
      </w:r>
      <w:r w:rsidRPr="00F04C02">
        <w:rPr>
          <w:rFonts w:eastAsia="Palatino Linotype" w:cs="Palatino Linotype"/>
          <w:color w:val="000000"/>
          <w:szCs w:val="24"/>
        </w:rPr>
        <w:t>.</w:t>
      </w:r>
    </w:p>
    <w:p w14:paraId="60399B74" w14:textId="77777777" w:rsidR="00A970D5" w:rsidRPr="00F04C02"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642037A" w:rsidR="00A970D5" w:rsidRPr="00F04C02" w:rsidRDefault="00A970D5" w:rsidP="006922F5">
      <w:pPr>
        <w:pBdr>
          <w:top w:val="nil"/>
          <w:left w:val="nil"/>
          <w:bottom w:val="nil"/>
          <w:right w:val="nil"/>
          <w:between w:val="nil"/>
        </w:pBdr>
        <w:contextualSpacing/>
        <w:rPr>
          <w:rFonts w:eastAsia="Palatino Linotype" w:cs="Palatino Linotype"/>
          <w:color w:val="000000"/>
          <w:szCs w:val="24"/>
        </w:rPr>
      </w:pPr>
      <w:r w:rsidRPr="00F04C02">
        <w:rPr>
          <w:rFonts w:eastAsia="Palatino Linotype" w:cs="Palatino Linotype"/>
          <w:b/>
          <w:color w:val="000000"/>
          <w:szCs w:val="24"/>
        </w:rPr>
        <w:t>VISTO</w:t>
      </w:r>
      <w:r w:rsidRPr="00F04C02">
        <w:rPr>
          <w:rFonts w:eastAsia="Palatino Linotype" w:cs="Palatino Linotype"/>
          <w:color w:val="000000"/>
          <w:szCs w:val="24"/>
        </w:rPr>
        <w:t xml:space="preserve"> el expediente electrónico formado con motivo del recurso de revisión número </w:t>
      </w:r>
      <w:r w:rsidR="008B1F00">
        <w:rPr>
          <w:rFonts w:eastAsia="Palatino Linotype" w:cs="Palatino Linotype"/>
          <w:b/>
          <w:color w:val="000000"/>
          <w:szCs w:val="24"/>
        </w:rPr>
        <w:t>0771</w:t>
      </w:r>
      <w:r w:rsidR="002F1C3D">
        <w:rPr>
          <w:rFonts w:eastAsia="Palatino Linotype" w:cs="Palatino Linotype"/>
          <w:b/>
          <w:color w:val="000000"/>
          <w:szCs w:val="24"/>
        </w:rPr>
        <w:t>0</w:t>
      </w:r>
      <w:r w:rsidRPr="00F04C02">
        <w:rPr>
          <w:rFonts w:eastAsia="Palatino Linotype" w:cs="Palatino Linotype"/>
          <w:b/>
          <w:color w:val="000000"/>
          <w:szCs w:val="24"/>
        </w:rPr>
        <w:t>/INFOEM/IP/RR/202</w:t>
      </w:r>
      <w:r w:rsidR="001D0070" w:rsidRPr="00F04C02">
        <w:rPr>
          <w:rFonts w:eastAsia="Palatino Linotype" w:cs="Palatino Linotype"/>
          <w:b/>
          <w:color w:val="000000"/>
          <w:szCs w:val="24"/>
        </w:rPr>
        <w:t>3</w:t>
      </w:r>
      <w:r w:rsidR="00B54BC7" w:rsidRPr="00F04C02">
        <w:rPr>
          <w:rFonts w:eastAsia="Palatino Linotype" w:cs="Palatino Linotype"/>
          <w:color w:val="000000"/>
          <w:szCs w:val="24"/>
        </w:rPr>
        <w:t>, interpuesto po</w:t>
      </w:r>
      <w:r w:rsidR="00430C63" w:rsidRPr="00F04C02">
        <w:rPr>
          <w:rFonts w:eastAsia="Palatino Linotype" w:cs="Palatino Linotype"/>
          <w:color w:val="000000"/>
          <w:szCs w:val="24"/>
        </w:rPr>
        <w:t>r</w:t>
      </w:r>
      <w:r w:rsidR="00100663" w:rsidRPr="00F04C02">
        <w:rPr>
          <w:rFonts w:eastAsia="Palatino Linotype" w:cs="Palatino Linotype"/>
          <w:color w:val="000000"/>
          <w:szCs w:val="24"/>
        </w:rPr>
        <w:t xml:space="preserve"> </w:t>
      </w:r>
      <w:r w:rsidR="0020632E">
        <w:rPr>
          <w:rFonts w:eastAsia="Palatino Linotype" w:cs="Palatino Linotype"/>
          <w:b/>
          <w:color w:val="000000"/>
          <w:szCs w:val="24"/>
        </w:rPr>
        <w:t>XXXXXXXXXXXXXXXXXXXX</w:t>
      </w:r>
      <w:r w:rsidR="00B54BC7" w:rsidRPr="00F04C02">
        <w:rPr>
          <w:rFonts w:eastAsia="Palatino Linotype" w:cs="Palatino Linotype"/>
          <w:color w:val="000000"/>
          <w:szCs w:val="24"/>
        </w:rPr>
        <w:t xml:space="preserve">, en lo sucesivo </w:t>
      </w:r>
      <w:r w:rsidR="008E5682" w:rsidRPr="00F04C02">
        <w:rPr>
          <w:rFonts w:eastAsia="Palatino Linotype" w:cs="Palatino Linotype"/>
          <w:color w:val="000000"/>
          <w:szCs w:val="24"/>
        </w:rPr>
        <w:t>el</w:t>
      </w:r>
      <w:r w:rsidR="00B54BC7" w:rsidRPr="00F04C02">
        <w:rPr>
          <w:rFonts w:eastAsia="Palatino Linotype" w:cs="Palatino Linotype"/>
          <w:color w:val="000000"/>
          <w:szCs w:val="24"/>
        </w:rPr>
        <w:t xml:space="preserve"> </w:t>
      </w:r>
      <w:r w:rsidRPr="00F04C02">
        <w:rPr>
          <w:rFonts w:eastAsia="Palatino Linotype" w:cs="Palatino Linotype"/>
          <w:b/>
          <w:color w:val="000000"/>
          <w:szCs w:val="24"/>
        </w:rPr>
        <w:t>Recurrente</w:t>
      </w:r>
      <w:r w:rsidRPr="00F04C02">
        <w:rPr>
          <w:rFonts w:eastAsia="Palatino Linotype" w:cs="Palatino Linotype"/>
          <w:color w:val="000000"/>
          <w:szCs w:val="24"/>
        </w:rPr>
        <w:t>, en contra de la respuesta de</w:t>
      </w:r>
      <w:r w:rsidR="001D0070" w:rsidRPr="00F04C02">
        <w:rPr>
          <w:rFonts w:eastAsia="Palatino Linotype" w:cs="Palatino Linotype"/>
          <w:color w:val="000000"/>
          <w:szCs w:val="24"/>
        </w:rPr>
        <w:t>l</w:t>
      </w:r>
      <w:r w:rsidRPr="00F04C02">
        <w:rPr>
          <w:rFonts w:eastAsia="Palatino Linotype" w:cs="Palatino Linotype"/>
          <w:color w:val="000000"/>
          <w:szCs w:val="24"/>
        </w:rPr>
        <w:t xml:space="preserve"> </w:t>
      </w:r>
      <w:r w:rsidR="002F1C3D" w:rsidRPr="002F1C3D">
        <w:rPr>
          <w:rFonts w:eastAsia="Palatino Linotype" w:cs="Palatino Linotype"/>
          <w:b/>
          <w:color w:val="000000"/>
          <w:szCs w:val="24"/>
        </w:rPr>
        <w:t>Sistema</w:t>
      </w:r>
      <w:r w:rsidR="008B1F00">
        <w:rPr>
          <w:rFonts w:eastAsia="Palatino Linotype" w:cs="Palatino Linotype"/>
          <w:b/>
          <w:color w:val="000000"/>
          <w:szCs w:val="24"/>
        </w:rPr>
        <w:t xml:space="preserve"> para el Desarrollo Integral de la Familia del Municipio de Atizapán de Zaragoza</w:t>
      </w:r>
      <w:r w:rsidR="0051074E" w:rsidRPr="00F04C02">
        <w:rPr>
          <w:rFonts w:eastAsia="Palatino Linotype" w:cs="Palatino Linotype"/>
          <w:color w:val="000000"/>
          <w:szCs w:val="24"/>
        </w:rPr>
        <w:t xml:space="preserve">, </w:t>
      </w:r>
      <w:r w:rsidRPr="00F04C02">
        <w:rPr>
          <w:rFonts w:eastAsia="Palatino Linotype" w:cs="Palatino Linotype"/>
          <w:color w:val="000000"/>
          <w:szCs w:val="24"/>
        </w:rPr>
        <w:t>en lo subsecuente</w:t>
      </w:r>
      <w:r w:rsidRPr="00F04C02">
        <w:rPr>
          <w:rFonts w:eastAsia="Palatino Linotype" w:cs="Palatino Linotype"/>
          <w:b/>
          <w:color w:val="000000"/>
          <w:szCs w:val="24"/>
        </w:rPr>
        <w:t xml:space="preserve"> </w:t>
      </w:r>
      <w:r w:rsidRPr="00F04C02">
        <w:rPr>
          <w:rFonts w:eastAsia="Palatino Linotype" w:cs="Palatino Linotype"/>
          <w:color w:val="000000"/>
          <w:szCs w:val="24"/>
        </w:rPr>
        <w:t>el</w:t>
      </w:r>
      <w:r w:rsidRPr="00F04C02">
        <w:rPr>
          <w:rFonts w:eastAsia="Palatino Linotype" w:cs="Palatino Linotype"/>
          <w:b/>
          <w:color w:val="000000"/>
          <w:szCs w:val="24"/>
        </w:rPr>
        <w:t xml:space="preserve"> Sujeto Obligado, </w:t>
      </w:r>
      <w:r w:rsidRPr="00F04C02">
        <w:rPr>
          <w:rFonts w:eastAsia="Palatino Linotype" w:cs="Palatino Linotype"/>
          <w:color w:val="000000"/>
          <w:szCs w:val="24"/>
        </w:rPr>
        <w:t>se procede a dictar la presente resolución.</w:t>
      </w:r>
    </w:p>
    <w:p w14:paraId="2E2053C2" w14:textId="77777777" w:rsidR="00A970D5" w:rsidRPr="00F04C02"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F04C02"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100663" w:rsidRDefault="00A970D5" w:rsidP="006922F5">
      <w:pPr>
        <w:pStyle w:val="Ttulo2"/>
        <w:rPr>
          <w:rFonts w:eastAsia="Palatino Linotype"/>
          <w:sz w:val="24"/>
          <w:szCs w:val="24"/>
        </w:rPr>
      </w:pPr>
      <w:r w:rsidRPr="00100663">
        <w:rPr>
          <w:rFonts w:eastAsia="Palatino Linotype"/>
          <w:sz w:val="24"/>
          <w:szCs w:val="24"/>
        </w:rPr>
        <w:t>PRIMERO. De la Solicitud de Información.</w:t>
      </w:r>
    </w:p>
    <w:p w14:paraId="0870C154" w14:textId="1E18F603" w:rsidR="00A970D5" w:rsidRPr="00100663" w:rsidRDefault="00B36B86" w:rsidP="006922F5">
      <w:pPr>
        <w:pBdr>
          <w:top w:val="nil"/>
          <w:left w:val="nil"/>
          <w:bottom w:val="nil"/>
          <w:right w:val="nil"/>
          <w:between w:val="nil"/>
        </w:pBdr>
        <w:contextualSpacing/>
        <w:rPr>
          <w:rFonts w:eastAsia="Palatino Linotype" w:cs="Palatino Linotype"/>
          <w:color w:val="000000"/>
          <w:szCs w:val="24"/>
        </w:rPr>
      </w:pPr>
      <w:r w:rsidRPr="00100663">
        <w:rPr>
          <w:rFonts w:eastAsia="Palatino Linotype" w:cs="Palatino Linotype"/>
          <w:color w:val="000000"/>
          <w:szCs w:val="24"/>
        </w:rPr>
        <w:t xml:space="preserve">Con fecha </w:t>
      </w:r>
      <w:r w:rsidR="008B1F00">
        <w:rPr>
          <w:rFonts w:eastAsia="Palatino Linotype" w:cs="Palatino Linotype"/>
          <w:color w:val="000000"/>
          <w:szCs w:val="24"/>
        </w:rPr>
        <w:t>diecinueve de octubre</w:t>
      </w:r>
      <w:r w:rsidR="002F1C3D">
        <w:rPr>
          <w:rFonts w:eastAsia="Palatino Linotype" w:cs="Palatino Linotype"/>
          <w:color w:val="000000"/>
          <w:szCs w:val="24"/>
        </w:rPr>
        <w:t xml:space="preserve"> </w:t>
      </w:r>
      <w:r w:rsidR="001D0070">
        <w:rPr>
          <w:rFonts w:eastAsia="Palatino Linotype" w:cs="Palatino Linotype"/>
          <w:color w:val="000000"/>
          <w:szCs w:val="24"/>
        </w:rPr>
        <w:t>de dos mil veintitrés</w:t>
      </w:r>
      <w:r w:rsidR="00B54BC7" w:rsidRPr="00100663">
        <w:rPr>
          <w:rFonts w:eastAsia="Palatino Linotype" w:cs="Palatino Linotype"/>
          <w:color w:val="000000"/>
          <w:szCs w:val="24"/>
        </w:rPr>
        <w:t xml:space="preserve">, </w:t>
      </w:r>
      <w:r w:rsidR="008B1F00">
        <w:rPr>
          <w:rFonts w:eastAsia="Palatino Linotype" w:cs="Palatino Linotype"/>
          <w:color w:val="000000"/>
          <w:szCs w:val="24"/>
        </w:rPr>
        <w:t>el</w:t>
      </w:r>
      <w:r w:rsidR="00A970D5" w:rsidRPr="00100663">
        <w:rPr>
          <w:rFonts w:eastAsia="Palatino Linotype" w:cs="Palatino Linotype"/>
          <w:color w:val="000000"/>
          <w:szCs w:val="24"/>
        </w:rPr>
        <w:t xml:space="preserve"> Recurrente presentó </w:t>
      </w:r>
      <w:r w:rsidR="00F04C02">
        <w:rPr>
          <w:rFonts w:eastAsia="Palatino Linotype" w:cs="Palatino Linotype"/>
          <w:color w:val="000000"/>
          <w:szCs w:val="24"/>
        </w:rPr>
        <w:t xml:space="preserve">solicitud de información pública que fue registrada en </w:t>
      </w:r>
      <w:r w:rsidR="00A970D5" w:rsidRPr="00100663">
        <w:rPr>
          <w:rFonts w:eastAsia="Palatino Linotype" w:cs="Palatino Linotype"/>
          <w:color w:val="000000"/>
          <w:szCs w:val="24"/>
        </w:rPr>
        <w:t>el Sistema de Acceso a la Información Mexiquense (SAIMEX), con el número de expediente</w:t>
      </w:r>
      <w:r w:rsidR="00100663" w:rsidRPr="00100663">
        <w:rPr>
          <w:rFonts w:eastAsia="Palatino Linotype" w:cs="Palatino Linotype"/>
          <w:b/>
          <w:bCs/>
          <w:color w:val="000000"/>
          <w:szCs w:val="24"/>
        </w:rPr>
        <w:t xml:space="preserve"> </w:t>
      </w:r>
      <w:r w:rsidR="008B1F00">
        <w:rPr>
          <w:rFonts w:eastAsia="Palatino Linotype" w:cs="Palatino Linotype"/>
          <w:b/>
          <w:bCs/>
          <w:color w:val="000000"/>
          <w:szCs w:val="24"/>
        </w:rPr>
        <w:t>00038/DIFATIZARA/IP/2023</w:t>
      </w:r>
      <w:r w:rsidR="00A970D5" w:rsidRPr="00100663">
        <w:rPr>
          <w:rFonts w:eastAsia="Palatino Linotype" w:cs="Palatino Linotype"/>
          <w:color w:val="000000"/>
          <w:szCs w:val="24"/>
        </w:rPr>
        <w:t>,</w:t>
      </w:r>
      <w:r w:rsidR="00A970D5" w:rsidRPr="00100663">
        <w:rPr>
          <w:rFonts w:eastAsia="Palatino Linotype" w:cs="Palatino Linotype"/>
          <w:b/>
          <w:color w:val="000000"/>
          <w:szCs w:val="24"/>
        </w:rPr>
        <w:t xml:space="preserve"> </w:t>
      </w:r>
      <w:r w:rsidR="00A970D5" w:rsidRPr="00100663">
        <w:rPr>
          <w:rFonts w:eastAsia="Palatino Linotype" w:cs="Palatino Linotype"/>
          <w:color w:val="000000"/>
          <w:szCs w:val="24"/>
        </w:rPr>
        <w:t>mediante la cual solicitó información en el tenor siguiente:</w:t>
      </w:r>
    </w:p>
    <w:p w14:paraId="68B56D82"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4E05151" w:rsidR="00A970D5" w:rsidRPr="008B6CDF" w:rsidRDefault="008B1F00" w:rsidP="00F04C02">
      <w:pPr>
        <w:pStyle w:val="Fundamentos"/>
      </w:pPr>
      <w:r>
        <w:t>«</w:t>
      </w:r>
      <w:r w:rsidRPr="008B1F00">
        <w:t>Buen Día. Solicito por este conducto ejerciendo mi derecho a la información catalogada como pública, las comprobaciones fiscales ante el SAT y Hacienda de los gastos realizados desde la apertura y hasta la fecha actual de los 43 comedores comunitarios que tienen publicados en páginas de Facebook y medios de difusión del DIF como del Ayuntamiento constitucional del municipio, esto lo solicito en archivo pdf o word. Gracia</w:t>
      </w:r>
      <w:r>
        <w:t>»</w:t>
      </w:r>
      <w:r w:rsidR="723045DB" w:rsidRPr="008B6CDF">
        <w:t xml:space="preserve"> (Sic)</w:t>
      </w:r>
    </w:p>
    <w:p w14:paraId="40BBECCB"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48D6A926" w:rsidR="00A970D5" w:rsidRPr="00100663" w:rsidRDefault="00A970D5" w:rsidP="006922F5">
      <w:pPr>
        <w:pBdr>
          <w:top w:val="nil"/>
          <w:left w:val="nil"/>
          <w:bottom w:val="nil"/>
          <w:right w:val="nil"/>
          <w:between w:val="nil"/>
        </w:pBdr>
        <w:contextualSpacing/>
        <w:rPr>
          <w:rFonts w:eastAsia="Palatino Linotype" w:cs="Palatino Linotype"/>
          <w:b/>
          <w:color w:val="000000"/>
          <w:szCs w:val="24"/>
        </w:rPr>
      </w:pPr>
      <w:r w:rsidRPr="00100663">
        <w:rPr>
          <w:rFonts w:eastAsia="Palatino Linotype" w:cs="Palatino Linotype"/>
          <w:color w:val="000000"/>
          <w:szCs w:val="24"/>
        </w:rPr>
        <w:t xml:space="preserve">Modalidad de entrega: </w:t>
      </w:r>
      <w:r w:rsidR="001B4435" w:rsidRPr="001B4435">
        <w:rPr>
          <w:rFonts w:eastAsia="Palatino Linotype" w:cs="Palatino Linotype"/>
          <w:b/>
          <w:color w:val="000000"/>
          <w:szCs w:val="24"/>
        </w:rPr>
        <w:t>A través del SAIMEX</w:t>
      </w:r>
      <w:r w:rsidR="001B4435">
        <w:rPr>
          <w:rFonts w:eastAsia="Palatino Linotype" w:cs="Palatino Linotype"/>
          <w:color w:val="000000"/>
          <w:szCs w:val="24"/>
        </w:rPr>
        <w:t>.</w:t>
      </w:r>
    </w:p>
    <w:p w14:paraId="474DB373" w14:textId="77777777" w:rsidR="00430C63" w:rsidRPr="00100663" w:rsidRDefault="00430C63" w:rsidP="006922F5">
      <w:pPr>
        <w:pBdr>
          <w:top w:val="nil"/>
          <w:left w:val="nil"/>
          <w:bottom w:val="nil"/>
          <w:right w:val="nil"/>
          <w:between w:val="nil"/>
        </w:pBdr>
        <w:contextualSpacing/>
        <w:rPr>
          <w:rFonts w:eastAsia="Palatino Linotype" w:cs="Palatino Linotype"/>
          <w:color w:val="000000"/>
          <w:szCs w:val="24"/>
        </w:rPr>
      </w:pPr>
    </w:p>
    <w:p w14:paraId="1AEDC68E" w14:textId="47766114" w:rsidR="00A970D5" w:rsidRPr="006922F5" w:rsidRDefault="00100663"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9E46A9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8B6CDF">
        <w:rPr>
          <w:rFonts w:eastAsia="Palatino Linotype" w:cs="Palatino Linotype"/>
          <w:color w:val="000000"/>
          <w:szCs w:val="24"/>
        </w:rPr>
        <w:t xml:space="preserve"> </w:t>
      </w:r>
      <w:r w:rsidR="008B1F00">
        <w:rPr>
          <w:rFonts w:eastAsia="Palatino Linotype" w:cs="Palatino Linotype"/>
          <w:color w:val="000000"/>
          <w:szCs w:val="24"/>
        </w:rPr>
        <w:t xml:space="preserve">tres de noviembre </w:t>
      </w:r>
      <w:r w:rsidR="00F04C02" w:rsidRPr="00F04C02">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39D3102" w14:textId="77777777" w:rsidR="008B1F00" w:rsidRDefault="008B1F00" w:rsidP="008B1F00">
      <w:pPr>
        <w:pStyle w:val="Fundamento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62F855A7" w14:textId="77777777" w:rsidR="008B1F00" w:rsidRDefault="008B1F00" w:rsidP="008B1F00">
      <w:pPr>
        <w:pStyle w:val="Fundamentos"/>
      </w:pPr>
    </w:p>
    <w:p w14:paraId="506DF98F" w14:textId="77777777" w:rsidR="008B1F00" w:rsidRDefault="008B1F00" w:rsidP="008B1F00">
      <w:pPr>
        <w:pStyle w:val="Fundamentos"/>
      </w:pPr>
      <w:r>
        <w:t>SE ADJUNTA RESPUESTA FINAL A SOLICITUD 00038/DIFATIZARA/IP/2023 REMITIDA POR LA SEVIDORA PUBLICA HABILITADA DEL AREA A LA CUAL FUE TURNADA SU SOLICITUD EN FORMATO PDF PARA SU SEGUIMIENTO. CON FUNDAMENTO AL ARTICULO 12 DE LA LEY DE TRANSPARENCIA Y ACCESO A LA INFORMACION PÚBLICA DEL ESTADO DE MEXICO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investigaciones….”(SIC). Por lo anterior hago de su conocimiento que ante cualquier inconformidad relacionada con la presente respuesta como lo establece el Artículo 178 de la Ley de referencia podrá interponer recurso de revisión dentro de los siguientes 15 días hábiles a través del mismo Sistema SAIMEX y/o directamente en las oficinas que ocupa esta Unidad de Transparencia ubicadas en Av. Ruiz Cortínes s/n, esquina Acambay, col. Lomas de Atizapán, Atizapán de Zaragoza Estado de México. C.P 52977, de lunes a viernes de 9:00 a 18:00 horas.</w:t>
      </w:r>
    </w:p>
    <w:p w14:paraId="6BFACC98" w14:textId="77777777" w:rsidR="008B1F00" w:rsidRDefault="008B1F00" w:rsidP="008B1F00">
      <w:pPr>
        <w:pStyle w:val="Fundamentos"/>
      </w:pPr>
    </w:p>
    <w:p w14:paraId="260BC901" w14:textId="77777777" w:rsidR="008B1F00" w:rsidRDefault="008B1F00" w:rsidP="008B1F00">
      <w:pPr>
        <w:pStyle w:val="Fundamentos"/>
      </w:pPr>
      <w:r>
        <w:t>ATENTAMENTE</w:t>
      </w:r>
    </w:p>
    <w:p w14:paraId="3FE4A9EF" w14:textId="2D2AEDFA" w:rsidR="00A970D5" w:rsidRPr="00404754" w:rsidRDefault="008B1F00" w:rsidP="008B1F00">
      <w:pPr>
        <w:pStyle w:val="Fundamentos"/>
        <w:rPr>
          <w:lang w:val="es-MX"/>
        </w:rPr>
      </w:pPr>
      <w:r>
        <w:t>LIC. JUAN CARLOS SOLANO DE LA O»</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A54538A" w:rsidR="0037112D" w:rsidRPr="0037112D" w:rsidRDefault="0037112D" w:rsidP="006922F5">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8B6CDF">
        <w:rPr>
          <w:rFonts w:eastAsia="Palatino Linotype" w:cs="Palatino Linotype"/>
          <w:color w:val="000000"/>
          <w:szCs w:val="24"/>
        </w:rPr>
        <w:t>adjuntó a su respuesta el documento denominado</w:t>
      </w:r>
      <w:r w:rsidR="00100663">
        <w:rPr>
          <w:rFonts w:eastAsia="Palatino Linotype" w:cs="Palatino Linotype"/>
          <w:color w:val="000000"/>
          <w:szCs w:val="24"/>
        </w:rPr>
        <w:t xml:space="preserve"> </w:t>
      </w:r>
      <w:r w:rsidR="008B1F00">
        <w:rPr>
          <w:rFonts w:eastAsia="Palatino Linotype" w:cs="Palatino Linotype"/>
          <w:b/>
          <w:bCs/>
          <w:color w:val="000000"/>
          <w:szCs w:val="24"/>
        </w:rPr>
        <w:t>«TES285FINAL</w:t>
      </w:r>
      <w:r w:rsidR="002F1C3D" w:rsidRPr="002F1C3D">
        <w:rPr>
          <w:rFonts w:eastAsia="Palatino Linotype" w:cs="Palatino Linotype"/>
          <w:b/>
          <w:bCs/>
          <w:color w:val="000000"/>
          <w:szCs w:val="24"/>
        </w:rPr>
        <w:t>.pdf</w:t>
      </w:r>
      <w:r w:rsidR="008B1F00">
        <w:rPr>
          <w:rFonts w:eastAsia="Palatino Linotype" w:cs="Palatino Linotype"/>
          <w:b/>
          <w:bCs/>
          <w:color w:val="000000"/>
          <w:szCs w:val="24"/>
        </w:rPr>
        <w:t>»</w:t>
      </w:r>
      <w:r>
        <w:rPr>
          <w:rFonts w:eastAsia="Palatino Linotype" w:cs="Palatino Linotype"/>
          <w:color w:val="000000"/>
          <w:szCs w:val="24"/>
        </w:rPr>
        <w:t xml:space="preserve">, </w:t>
      </w:r>
      <w:r w:rsidR="009B321A">
        <w:rPr>
          <w:rFonts w:eastAsia="Palatino Linotype" w:cs="Palatino Linotype"/>
          <w:color w:val="000000"/>
          <w:szCs w:val="24"/>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C6EDAC3" w:rsidR="00A970D5" w:rsidRPr="006922F5" w:rsidRDefault="00A524B2"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428282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F04C0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C77CBD">
        <w:rPr>
          <w:rFonts w:eastAsia="Palatino Linotype" w:cs="Palatino Linotype"/>
          <w:color w:val="000000"/>
          <w:szCs w:val="24"/>
        </w:rPr>
        <w:t xml:space="preserve"> </w:t>
      </w:r>
      <w:r w:rsidR="00DD46D7">
        <w:rPr>
          <w:rFonts w:eastAsia="Palatino Linotype" w:cs="Palatino Linotype"/>
          <w:color w:val="000000"/>
          <w:szCs w:val="24"/>
        </w:rPr>
        <w:t>seis de noviembre</w:t>
      </w:r>
      <w:r w:rsidR="002F1C3D">
        <w:rPr>
          <w:rFonts w:eastAsia="Palatino Linotype" w:cs="Palatino Linotype"/>
          <w:color w:val="000000"/>
          <w:szCs w:val="24"/>
        </w:rPr>
        <w:t xml:space="preserve"> </w:t>
      </w:r>
      <w:r w:rsidR="00C77CBD">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DD46D7">
        <w:rPr>
          <w:rFonts w:eastAsia="Palatino Linotype" w:cs="Palatino Linotype"/>
          <w:b/>
          <w:color w:val="000000"/>
          <w:szCs w:val="24"/>
        </w:rPr>
        <w:t>07710</w:t>
      </w:r>
      <w:r w:rsidRPr="006922F5">
        <w:rPr>
          <w:rFonts w:eastAsia="Palatino Linotype" w:cs="Palatino Linotype"/>
          <w:b/>
          <w:color w:val="000000"/>
          <w:szCs w:val="24"/>
        </w:rPr>
        <w:t>/INFOEM/IP/RR/202</w:t>
      </w:r>
      <w:r w:rsidR="00C77CBD">
        <w:rPr>
          <w:rFonts w:eastAsia="Palatino Linotype" w:cs="Palatino Linotype"/>
          <w:b/>
          <w:color w:val="000000"/>
          <w:szCs w:val="24"/>
        </w:rPr>
        <w:t>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468746AB" w14:textId="77777777" w:rsidR="002F1C3D" w:rsidRPr="006922F5" w:rsidRDefault="002F1C3D" w:rsidP="006922F5">
      <w:pPr>
        <w:pBdr>
          <w:top w:val="nil"/>
          <w:left w:val="nil"/>
          <w:bottom w:val="nil"/>
          <w:right w:val="nil"/>
          <w:between w:val="nil"/>
        </w:pBdr>
        <w:contextualSpacing/>
        <w:rPr>
          <w:rFonts w:eastAsia="Palatino Linotype" w:cs="Palatino Linotype"/>
          <w:color w:val="000000"/>
          <w:szCs w:val="24"/>
        </w:rPr>
      </w:pPr>
    </w:p>
    <w:p w14:paraId="3A1919EA" w14:textId="042F3D32"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p>
    <w:p w14:paraId="4A0EFE5A" w14:textId="7B324BC7" w:rsidR="00A970D5" w:rsidRPr="006922F5" w:rsidRDefault="00BA419D" w:rsidP="006922F5">
      <w:pPr>
        <w:pStyle w:val="Fundamentos"/>
        <w:rPr>
          <w:b/>
        </w:rPr>
      </w:pPr>
      <w:r>
        <w:t>«</w:t>
      </w:r>
      <w:r w:rsidRPr="00BA419D">
        <w:t>Buen Día. Solicito por este conducto ejerciendo mi derecho a la información catalogada como pública, las comprobaciones fiscales ante el SAT y Hacienda de los gastos realizados desde la apertura y hasta la fecha actual de los 43 comedores comunitarios que tienen publicados en páginas de Facebook y medios de difusión del DIF como del Ayuntamiento constitucional del municipio, esto lo solicito en archivo pdf o word. Gracia</w:t>
      </w:r>
      <w:r>
        <w:t>»</w:t>
      </w:r>
      <w:r w:rsidR="002806D1">
        <w:t xml:space="preserve"> </w:t>
      </w:r>
      <w:r w:rsidR="00F04C02">
        <w:t>(</w:t>
      </w:r>
      <w:r w:rsidR="00A970D5" w:rsidRPr="006922F5">
        <w:t>Sic)</w:t>
      </w:r>
    </w:p>
    <w:p w14:paraId="3C40A441" w14:textId="77777777" w:rsidR="00A970D5" w:rsidRDefault="00A970D5" w:rsidP="006922F5">
      <w:pPr>
        <w:contextualSpacing/>
        <w:rPr>
          <w:rFonts w:eastAsia="Palatino Linotype" w:cs="Palatino Linotype"/>
          <w:iCs/>
          <w:szCs w:val="24"/>
        </w:rPr>
      </w:pPr>
    </w:p>
    <w:p w14:paraId="4A6BD80B" w14:textId="6930D3DE" w:rsidR="000A7164" w:rsidRPr="006922F5" w:rsidRDefault="000A7164" w:rsidP="000A7164">
      <w:pPr>
        <w:contextualSpacing/>
        <w:rPr>
          <w:rFonts w:eastAsia="Palatino Linotype" w:cs="Palatino Linotype"/>
          <w:b/>
        </w:rPr>
      </w:pPr>
      <w:r>
        <w:rPr>
          <w:rFonts w:eastAsia="Palatino Linotype" w:cs="Palatino Linotype"/>
          <w:b/>
        </w:rPr>
        <w:t>Razones o Motivos de Inconformidad</w:t>
      </w:r>
      <w:r w:rsidRPr="006922F5">
        <w:rPr>
          <w:rFonts w:eastAsia="Palatino Linotype" w:cs="Palatino Linotype"/>
          <w:b/>
        </w:rPr>
        <w:t>:</w:t>
      </w:r>
    </w:p>
    <w:p w14:paraId="264BE7A7" w14:textId="704C7931" w:rsidR="000A7164" w:rsidRPr="006922F5" w:rsidRDefault="00BA419D" w:rsidP="000A7164">
      <w:pPr>
        <w:pStyle w:val="Fundamentos"/>
        <w:rPr>
          <w:b/>
        </w:rPr>
      </w:pPr>
      <w:r>
        <w:t>«</w:t>
      </w:r>
      <w:r w:rsidRPr="00BA419D">
        <w:t>Expongo que la solicitud fue precisa en cuanto al requerimiento, sin tomar en cuenta el formato solicitado ya sea ese o el que le corresponda, no se puede fundamentar que es una carga documental porque lo que se requiere es respecto a un solo programa que maneja el sistema municipal DIF y no en cuanto a todos los que le compete.</w:t>
      </w:r>
      <w:r>
        <w:t>»</w:t>
      </w:r>
      <w:r w:rsidR="000A7164">
        <w:t xml:space="preserve"> (</w:t>
      </w:r>
      <w:r w:rsidR="000A7164" w:rsidRPr="006922F5">
        <w:t>Sic)</w:t>
      </w:r>
    </w:p>
    <w:p w14:paraId="057706FA" w14:textId="77777777" w:rsidR="00391DD0" w:rsidRPr="006922F5" w:rsidRDefault="00391DD0" w:rsidP="006922F5">
      <w:pPr>
        <w:pBdr>
          <w:top w:val="nil"/>
          <w:left w:val="nil"/>
          <w:bottom w:val="nil"/>
          <w:right w:val="nil"/>
          <w:between w:val="nil"/>
        </w:pBdr>
        <w:contextualSpacing/>
        <w:rPr>
          <w:rFonts w:eastAsia="Palatino Linotype" w:cs="Palatino Linotype"/>
          <w:color w:val="000000"/>
          <w:szCs w:val="24"/>
        </w:rPr>
      </w:pPr>
    </w:p>
    <w:p w14:paraId="11D7F189" w14:textId="244365E7" w:rsidR="00A970D5" w:rsidRPr="006922F5" w:rsidRDefault="00A524B2" w:rsidP="006922F5">
      <w:pPr>
        <w:pStyle w:val="Ttulo2"/>
        <w:rPr>
          <w:rFonts w:eastAsia="Palatino Linotype"/>
        </w:rPr>
      </w:pPr>
      <w:r>
        <w:rPr>
          <w:rFonts w:eastAsia="Palatino Linotype"/>
        </w:rPr>
        <w:t>CUAR</w:t>
      </w:r>
      <w:r w:rsidR="00EB47A3">
        <w:rPr>
          <w:rFonts w:eastAsia="Palatino Linotype"/>
        </w:rPr>
        <w:t>TO</w:t>
      </w:r>
      <w:r w:rsidR="00A970D5" w:rsidRPr="006922F5">
        <w:rPr>
          <w:rFonts w:eastAsia="Palatino Linotype"/>
        </w:rPr>
        <w:t>. Del turno y admisión del recurso de revisión.</w:t>
      </w:r>
    </w:p>
    <w:p w14:paraId="2459DEBA" w14:textId="5E3D188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C77CBD">
        <w:rPr>
          <w:rFonts w:eastAsia="Palatino Linotype" w:cs="Palatino Linotype"/>
          <w:color w:val="000000"/>
          <w:szCs w:val="24"/>
        </w:rPr>
        <w:t xml:space="preserve"> </w:t>
      </w:r>
      <w:r w:rsidR="00BA419D">
        <w:rPr>
          <w:rFonts w:eastAsia="Palatino Linotype" w:cs="Palatino Linotype"/>
          <w:color w:val="000000"/>
          <w:szCs w:val="24"/>
        </w:rPr>
        <w:t>nueve de noviembre</w:t>
      </w:r>
      <w:r w:rsidR="001B4435">
        <w:rPr>
          <w:rFonts w:eastAsia="Palatino Linotype" w:cs="Palatino Linotype"/>
          <w:color w:val="000000"/>
          <w:szCs w:val="24"/>
        </w:rPr>
        <w:t xml:space="preserve"> </w:t>
      </w:r>
      <w:r w:rsidR="00C77CBD">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19712FF9" w:rsidR="00A970D5" w:rsidRPr="006922F5" w:rsidRDefault="00A524B2" w:rsidP="006922F5">
      <w:pPr>
        <w:pStyle w:val="Ttulo2"/>
        <w:rPr>
          <w:rFonts w:eastAsia="Palatino Linotype"/>
        </w:rPr>
      </w:pPr>
      <w:r>
        <w:rPr>
          <w:rFonts w:eastAsia="Palatino Linotype"/>
        </w:rPr>
        <w:t>QUIN</w:t>
      </w:r>
      <w:r w:rsidR="00F36B72">
        <w:rPr>
          <w:rFonts w:eastAsia="Palatino Linotype"/>
        </w:rPr>
        <w:t>TO</w:t>
      </w:r>
      <w:r w:rsidR="00A970D5" w:rsidRPr="006922F5">
        <w:rPr>
          <w:rFonts w:eastAsia="Palatino Linotype"/>
        </w:rPr>
        <w:t>. De la etapa de instrucción.</w:t>
      </w:r>
    </w:p>
    <w:p w14:paraId="134297B7" w14:textId="55C68D52" w:rsidR="00EB47A3" w:rsidRPr="009849E0" w:rsidRDefault="001B4435" w:rsidP="00EB47A3">
      <w:pPr>
        <w:pBdr>
          <w:top w:val="nil"/>
          <w:left w:val="nil"/>
          <w:bottom w:val="nil"/>
          <w:right w:val="nil"/>
          <w:between w:val="nil"/>
        </w:pBdr>
        <w:contextualSpacing/>
        <w:rPr>
          <w:rFonts w:eastAsia="Palatino Linotype" w:cs="Palatino Linotype"/>
          <w:color w:val="000000"/>
          <w:szCs w:val="24"/>
        </w:rPr>
      </w:pPr>
      <w:r w:rsidRPr="000A027B">
        <w:rPr>
          <w:rFonts w:eastAsia="Palatino Linotype" w:cs="Palatino Linotype"/>
          <w:color w:val="000000"/>
          <w:szCs w:val="24"/>
        </w:rPr>
        <w:t>Una vez abierta la etapa de instrucción, se observa que el Sujeto Obligado omitió rendir su Informe Justificado. Asimismo, el Recurrente no presentó manifestaciones, rindió alegatos ni presentó pruebas que a su derecho convinieran.</w:t>
      </w:r>
    </w:p>
    <w:p w14:paraId="5B536618" w14:textId="7ED50870" w:rsidR="00C02596" w:rsidRDefault="00C02596" w:rsidP="006922F5">
      <w:pPr>
        <w:pBdr>
          <w:top w:val="nil"/>
          <w:left w:val="nil"/>
          <w:bottom w:val="nil"/>
          <w:right w:val="nil"/>
          <w:between w:val="nil"/>
        </w:pBdr>
        <w:contextualSpacing/>
        <w:rPr>
          <w:rFonts w:eastAsia="Palatino Linotype" w:cs="Palatino Linotype"/>
          <w:color w:val="000000"/>
          <w:szCs w:val="24"/>
        </w:rPr>
      </w:pPr>
    </w:p>
    <w:p w14:paraId="01332637" w14:textId="61C4A372" w:rsidR="00123A80" w:rsidRPr="006922F5" w:rsidRDefault="00123A80" w:rsidP="00123A80">
      <w:pPr>
        <w:pStyle w:val="Ttulo2"/>
        <w:rPr>
          <w:rFonts w:eastAsiaTheme="minorHAnsi"/>
          <w:lang w:eastAsia="en-US"/>
        </w:rPr>
      </w:pPr>
      <w:r>
        <w:rPr>
          <w:rFonts w:eastAsiaTheme="minorHAnsi"/>
          <w:lang w:eastAsia="en-US"/>
        </w:rPr>
        <w:t>SEXTO</w:t>
      </w:r>
      <w:r w:rsidRPr="006922F5">
        <w:rPr>
          <w:rFonts w:eastAsiaTheme="minorHAnsi"/>
          <w:lang w:eastAsia="en-US"/>
        </w:rPr>
        <w:t xml:space="preserve">. </w:t>
      </w:r>
      <w:r w:rsidRPr="006922F5">
        <w:rPr>
          <w:rFonts w:eastAsia="Palatino Linotype"/>
        </w:rPr>
        <w:t>Del cierre de instrucción.</w:t>
      </w:r>
    </w:p>
    <w:p w14:paraId="224DAA2E" w14:textId="6E693FE2" w:rsidR="00123A80" w:rsidRPr="006922F5" w:rsidRDefault="00123A80" w:rsidP="00123A8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U</w:t>
      </w:r>
      <w:r w:rsidRPr="006922F5">
        <w:rPr>
          <w:rFonts w:eastAsia="Palatino Linotype" w:cs="Palatino Linotype"/>
          <w:color w:val="000000"/>
          <w:szCs w:val="24"/>
        </w:rPr>
        <w:t>na vez transcurrido el término legal, se decretó el cierre de instrucción en fecha</w:t>
      </w:r>
      <w:r>
        <w:rPr>
          <w:rFonts w:eastAsia="Palatino Linotype" w:cs="Palatino Linotype"/>
          <w:color w:val="000000"/>
          <w:szCs w:val="24"/>
        </w:rPr>
        <w:t xml:space="preserve"> </w:t>
      </w:r>
      <w:r w:rsidR="00BA419D">
        <w:rPr>
          <w:rFonts w:eastAsiaTheme="minorHAnsi" w:cstheme="minorBidi"/>
          <w:szCs w:val="24"/>
          <w:lang w:eastAsia="en-US"/>
        </w:rPr>
        <w:t>veintidós de noviembre</w:t>
      </w:r>
      <w:r w:rsidR="001B4435">
        <w:rPr>
          <w:rFonts w:eastAsiaTheme="minorHAnsi" w:cstheme="minorBidi"/>
          <w:szCs w:val="24"/>
          <w:lang w:eastAsia="en-US"/>
        </w:rPr>
        <w:t xml:space="preserve"> </w:t>
      </w:r>
      <w:r>
        <w:rPr>
          <w:rFonts w:eastAsia="Palatino Linotype" w:cs="Palatino Linotype"/>
          <w:color w:val="000000"/>
          <w:szCs w:val="24"/>
        </w:rPr>
        <w:t>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6F1484AF" w14:textId="77777777" w:rsidR="00123A80" w:rsidRPr="006922F5" w:rsidRDefault="00123A80" w:rsidP="006922F5">
      <w:pPr>
        <w:pBdr>
          <w:top w:val="nil"/>
          <w:left w:val="nil"/>
          <w:bottom w:val="nil"/>
          <w:right w:val="nil"/>
          <w:between w:val="nil"/>
        </w:pBdr>
        <w:contextualSpacing/>
        <w:rPr>
          <w:rFonts w:eastAsia="Palatino Linotype" w:cs="Palatino Linotype"/>
          <w:color w:val="000000"/>
          <w:szCs w:val="24"/>
        </w:rPr>
      </w:pPr>
    </w:p>
    <w:p w14:paraId="65310342" w14:textId="0A51F6E5" w:rsidR="00A970D5" w:rsidRPr="006922F5" w:rsidRDefault="00E27953" w:rsidP="006922F5">
      <w:pPr>
        <w:pStyle w:val="Ttulo2"/>
        <w:rPr>
          <w:rFonts w:eastAsia="Palatino Linotype"/>
        </w:rPr>
      </w:pPr>
      <w:r w:rsidRPr="006922F5">
        <w:rPr>
          <w:rFonts w:eastAsia="Palatino Linotype"/>
        </w:rPr>
        <w:t>S</w:t>
      </w:r>
      <w:r w:rsidR="00123A80">
        <w:rPr>
          <w:rFonts w:eastAsia="Palatino Linotype"/>
        </w:rPr>
        <w:t>ÉPTIMO</w:t>
      </w:r>
      <w:r w:rsidR="00A970D5" w:rsidRPr="006922F5">
        <w:rPr>
          <w:rFonts w:eastAsia="Palatino Linotype"/>
        </w:rPr>
        <w:t xml:space="preserve">. </w:t>
      </w:r>
      <w:r w:rsidR="006967F6" w:rsidRPr="006922F5">
        <w:rPr>
          <w:rFonts w:eastAsiaTheme="minorHAnsi"/>
          <w:lang w:eastAsia="en-US"/>
        </w:rPr>
        <w:t>De la ampliación del término para resolver.</w:t>
      </w:r>
    </w:p>
    <w:p w14:paraId="364CFBE5" w14:textId="7A22AD0C" w:rsidR="00A914F3" w:rsidRDefault="006967F6" w:rsidP="006922F5">
      <w:pPr>
        <w:pBdr>
          <w:top w:val="nil"/>
          <w:left w:val="nil"/>
          <w:bottom w:val="nil"/>
          <w:right w:val="nil"/>
          <w:between w:val="nil"/>
        </w:pBdr>
        <w:contextualSpacing/>
        <w:rPr>
          <w:rFonts w:eastAsiaTheme="minorHAnsi" w:cstheme="minorBidi"/>
          <w:szCs w:val="24"/>
          <w:lang w:eastAsia="en-US"/>
        </w:rPr>
      </w:pPr>
      <w:r w:rsidRPr="006922F5">
        <w:rPr>
          <w:rFonts w:eastAsiaTheme="minorHAnsi" w:cstheme="minorBidi"/>
          <w:szCs w:val="24"/>
          <w:lang w:eastAsia="en-US"/>
        </w:rPr>
        <w:t>En fecha</w:t>
      </w:r>
      <w:r w:rsidR="00C77CBD">
        <w:rPr>
          <w:rFonts w:eastAsiaTheme="minorHAnsi" w:cstheme="minorBidi"/>
          <w:szCs w:val="24"/>
          <w:lang w:eastAsia="en-US"/>
        </w:rPr>
        <w:t xml:space="preserve"> </w:t>
      </w:r>
      <w:r w:rsidR="00BA419D">
        <w:rPr>
          <w:rFonts w:eastAsia="Palatino Linotype" w:cs="Palatino Linotype"/>
          <w:color w:val="000000"/>
          <w:szCs w:val="24"/>
        </w:rPr>
        <w:t>doce de enero de dos mil veinticuatro</w:t>
      </w:r>
      <w:r w:rsidR="00123A80">
        <w:rPr>
          <w:rFonts w:eastAsia="Palatino Linotype" w:cs="Palatino Linotype"/>
          <w:color w:val="000000"/>
          <w:szCs w:val="24"/>
        </w:rPr>
        <w:t xml:space="preserve"> </w:t>
      </w:r>
      <w:r>
        <w:rPr>
          <w:rFonts w:eastAsiaTheme="minorHAnsi" w:cstheme="minorBidi"/>
          <w:szCs w:val="24"/>
          <w:lang w:eastAsia="en-US"/>
        </w:rPr>
        <w:t>de dos mil veintitrés</w:t>
      </w:r>
      <w:r w:rsidRPr="006922F5">
        <w:rPr>
          <w:rFonts w:eastAsiaTheme="minorHAnsi" w:cstheme="minorBidi"/>
          <w:szCs w:val="24"/>
          <w:lang w:eastAsia="en-US"/>
        </w:rPr>
        <w:t xml:space="preserve">, se amplió el término para resolver el recurso de revisión </w:t>
      </w:r>
      <w:r w:rsidR="001B4435">
        <w:rPr>
          <w:rFonts w:eastAsiaTheme="minorHAnsi" w:cstheme="minorBidi"/>
          <w:szCs w:val="24"/>
          <w:lang w:eastAsia="en-US"/>
        </w:rPr>
        <w:t xml:space="preserve">por el término de quince días hábiles adicionales, </w:t>
      </w:r>
      <w:r w:rsidRPr="006922F5">
        <w:rPr>
          <w:rFonts w:eastAsiaTheme="minorHAnsi" w:cstheme="minorBidi"/>
          <w:szCs w:val="24"/>
          <w:lang w:eastAsia="en-US"/>
        </w:rPr>
        <w:t>en términos del artículo 181 párrafo tercero de la Ley de Transparencia y Acceso a la Información Pública del Estado de México y Municipios.</w:t>
      </w:r>
    </w:p>
    <w:p w14:paraId="155DB399" w14:textId="77777777" w:rsidR="009C7ED0" w:rsidRDefault="009C7ED0" w:rsidP="006922F5">
      <w:pPr>
        <w:pBdr>
          <w:top w:val="nil"/>
          <w:left w:val="nil"/>
          <w:bottom w:val="nil"/>
          <w:right w:val="nil"/>
          <w:between w:val="nil"/>
        </w:pBdr>
        <w:contextualSpacing/>
        <w:rPr>
          <w:rFonts w:eastAsiaTheme="minorHAnsi" w:cstheme="minorBidi"/>
          <w:szCs w:val="24"/>
          <w:lang w:eastAsia="en-US"/>
        </w:rPr>
      </w:pPr>
    </w:p>
    <w:p w14:paraId="447098A9"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4926E7">
        <w:rPr>
          <w:rFonts w:eastAsiaTheme="minorHAnsi" w:cstheme="minorBidi"/>
          <w:szCs w:val="24"/>
          <w:lang w:eastAsia="en-US"/>
        </w:rPr>
        <w:lastRenderedPageBreak/>
        <w:t>técnicas y humanas del personal encargado de la proyección de las resoluciones a dichos medios de impugnación.</w:t>
      </w:r>
    </w:p>
    <w:p w14:paraId="2E9D6636"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6766DEC9"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7DB58F"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21AB2869"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3A088E"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3670334"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F2D701"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4C2F1788"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5A691E6"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22380810"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a)</w:t>
      </w:r>
      <w:r w:rsidRPr="004926E7">
        <w:rPr>
          <w:rFonts w:eastAsiaTheme="minorHAnsi" w:cstheme="minorBidi"/>
          <w:szCs w:val="24"/>
          <w:lang w:eastAsia="en-US"/>
        </w:rPr>
        <w:tab/>
        <w:t>Complejidad del asunto: La complejidad de la prueba, la pluralidad de sujetos procesales, el tiempo transcurrido, las características y contexto del recurso.</w:t>
      </w:r>
    </w:p>
    <w:p w14:paraId="5A9A09AE"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b)</w:t>
      </w:r>
      <w:r w:rsidRPr="004926E7">
        <w:rPr>
          <w:rFonts w:eastAsiaTheme="minorHAnsi" w:cstheme="minorBidi"/>
          <w:szCs w:val="24"/>
          <w:lang w:eastAsia="en-US"/>
        </w:rPr>
        <w:tab/>
        <w:t>Actividad Procesal del interesado: Acciones u omisiones del interesado.</w:t>
      </w:r>
    </w:p>
    <w:p w14:paraId="62723712"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c)</w:t>
      </w:r>
      <w:r w:rsidRPr="004926E7">
        <w:rPr>
          <w:rFonts w:eastAsiaTheme="minorHAnsi" w:cstheme="minorBidi"/>
          <w:szCs w:val="24"/>
          <w:lang w:eastAsia="en-US"/>
        </w:rPr>
        <w:tab/>
        <w:t>Conducta de la Autoridad: Las Acciones u omisiones realizadas en el procedimiento. Así como si la autoridad actuó con la debida diligencia.</w:t>
      </w:r>
    </w:p>
    <w:p w14:paraId="52B785BB"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w:t>
      </w:r>
      <w:r w:rsidRPr="004926E7">
        <w:rPr>
          <w:rFonts w:eastAsiaTheme="minorHAnsi" w:cstheme="minorBidi"/>
          <w:szCs w:val="24"/>
          <w:lang w:eastAsia="en-US"/>
        </w:rPr>
        <w:tab/>
        <w:t>La afectación generada en la situación jurídica de la persona involucrada en el proceso: Violación a sus derechos humanos.</w:t>
      </w:r>
    </w:p>
    <w:p w14:paraId="659228C1"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33325B71"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EAC409"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226F59C6"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4D3C5DE"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1F55A351" w14:textId="77777777" w:rsidR="00BA419D"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4926E7">
        <w:rPr>
          <w:rFonts w:eastAsiaTheme="minorHAnsi" w:cstheme="minorBidi"/>
          <w:szCs w:val="24"/>
          <w:lang w:eastAsia="en-US"/>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15815217" w14:textId="77777777" w:rsidR="00BA419D" w:rsidRDefault="00BA419D" w:rsidP="009C7ED0">
      <w:pPr>
        <w:pBdr>
          <w:top w:val="nil"/>
          <w:left w:val="nil"/>
          <w:bottom w:val="nil"/>
          <w:right w:val="nil"/>
          <w:between w:val="nil"/>
        </w:pBdr>
        <w:contextualSpacing/>
        <w:rPr>
          <w:rFonts w:eastAsiaTheme="minorHAnsi" w:cstheme="minorBidi"/>
          <w:szCs w:val="24"/>
          <w:lang w:eastAsia="en-US"/>
        </w:rPr>
      </w:pPr>
    </w:p>
    <w:p w14:paraId="6B5A8D51" w14:textId="33671AF1"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0BEC5B0F"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056E0108"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682A3452"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36261245"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6D97AACB" w14:textId="77777777" w:rsidR="009C7ED0" w:rsidRPr="004926E7" w:rsidRDefault="009C7ED0" w:rsidP="009C7ED0">
      <w:pPr>
        <w:pBdr>
          <w:top w:val="nil"/>
          <w:left w:val="nil"/>
          <w:bottom w:val="nil"/>
          <w:right w:val="nil"/>
          <w:between w:val="nil"/>
        </w:pBdr>
        <w:contextualSpacing/>
        <w:rPr>
          <w:rFonts w:eastAsiaTheme="minorHAnsi" w:cstheme="minorBidi"/>
          <w:szCs w:val="24"/>
          <w:lang w:eastAsia="en-US"/>
        </w:rPr>
      </w:pPr>
    </w:p>
    <w:p w14:paraId="6E8023C1" w14:textId="77777777" w:rsidR="009C7ED0" w:rsidRDefault="009C7ED0" w:rsidP="009C7ED0">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14C9DF9B" w14:textId="77777777" w:rsidR="006967F6" w:rsidRPr="006922F5" w:rsidRDefault="006967F6"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C8E14B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123A80">
        <w:rPr>
          <w:rFonts w:eastAsia="Palatino Linotype" w:cs="Palatino Linotype"/>
          <w:color w:val="000000"/>
          <w:szCs w:val="24"/>
        </w:rPr>
        <w:t>tercero</w:t>
      </w:r>
      <w:r w:rsidRPr="006922F5">
        <w:rPr>
          <w:rFonts w:eastAsia="Palatino Linotype" w:cs="Palatino Linotype"/>
          <w:color w:val="000000"/>
          <w:szCs w:val="24"/>
        </w:rPr>
        <w:t xml:space="preserve"> y trigésimo </w:t>
      </w:r>
      <w:r w:rsidR="00123A80">
        <w:rPr>
          <w:rFonts w:eastAsia="Palatino Linotype" w:cs="Palatino Linotype"/>
          <w:color w:val="000000"/>
          <w:szCs w:val="24"/>
        </w:rPr>
        <w:t>cuarto</w:t>
      </w:r>
      <w:r w:rsidRPr="006922F5">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B712C82" w14:textId="77777777" w:rsidR="006967F6" w:rsidRDefault="006967F6" w:rsidP="006922F5">
      <w:pPr>
        <w:pBdr>
          <w:top w:val="nil"/>
          <w:left w:val="nil"/>
          <w:bottom w:val="nil"/>
          <w:right w:val="nil"/>
          <w:between w:val="nil"/>
        </w:pBdr>
        <w:contextualSpacing/>
        <w:rPr>
          <w:rFonts w:eastAsia="Palatino Linotype" w:cs="Palatino Linotype"/>
          <w:color w:val="000000"/>
          <w:szCs w:val="24"/>
        </w:rPr>
      </w:pPr>
    </w:p>
    <w:p w14:paraId="57A6232D" w14:textId="77777777" w:rsidR="00BA419D" w:rsidRPr="00E06B6E" w:rsidRDefault="00BA419D" w:rsidP="00BA419D">
      <w:pPr>
        <w:pStyle w:val="Ttulo2"/>
        <w:rPr>
          <w:rFonts w:eastAsia="Palatino Linotype"/>
        </w:rPr>
      </w:pPr>
      <w:r w:rsidRPr="00E06B6E">
        <w:rPr>
          <w:rFonts w:eastAsia="Palatino Linotype"/>
        </w:rPr>
        <w:t>TERCERO. Cuestiones de previo y especial pronunciamiento.</w:t>
      </w:r>
    </w:p>
    <w:p w14:paraId="1BA051E3" w14:textId="77777777" w:rsidR="00BA419D" w:rsidRPr="00FB173E" w:rsidRDefault="00BA419D" w:rsidP="00BA419D">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0723173" w14:textId="77777777" w:rsidR="00BA419D" w:rsidRPr="00FB173E" w:rsidRDefault="00BA419D" w:rsidP="00BA419D">
      <w:pPr>
        <w:contextualSpacing/>
        <w:rPr>
          <w:rFonts w:eastAsia="Palatino Linotype" w:cs="Palatino Linotype"/>
          <w:szCs w:val="24"/>
        </w:rPr>
      </w:pPr>
    </w:p>
    <w:p w14:paraId="67E00DA0" w14:textId="77777777" w:rsidR="00BA419D"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9778EEA" w14:textId="77777777" w:rsidR="00BA419D" w:rsidRPr="00FB173E" w:rsidRDefault="00BA419D" w:rsidP="00BA419D">
      <w:pPr>
        <w:spacing w:line="240" w:lineRule="auto"/>
        <w:ind w:left="567" w:right="567"/>
        <w:contextualSpacing/>
        <w:rPr>
          <w:rFonts w:eastAsia="Palatino Linotype" w:cs="Palatino Linotype"/>
          <w:i/>
          <w:sz w:val="22"/>
        </w:rPr>
      </w:pPr>
    </w:p>
    <w:p w14:paraId="1AB26E0B"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A3456F7"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54F919B2"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735BA4F1"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1DD3A53E"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5B770062"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7F5686AA"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35792A82"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046095B9" w14:textId="77777777" w:rsidR="00BA419D" w:rsidRPr="00FB173E" w:rsidRDefault="00BA419D" w:rsidP="00BA419D">
      <w:pPr>
        <w:spacing w:line="240" w:lineRule="auto"/>
        <w:ind w:left="567" w:right="567"/>
        <w:contextualSpacing/>
        <w:rPr>
          <w:rFonts w:eastAsia="Palatino Linotype" w:cs="Palatino Linotype"/>
          <w:i/>
          <w:sz w:val="22"/>
        </w:rPr>
      </w:pPr>
    </w:p>
    <w:p w14:paraId="085C7B2E"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5EEE4430" w14:textId="77777777" w:rsidR="00BA419D" w:rsidRPr="00FB173E" w:rsidRDefault="00BA419D" w:rsidP="00BA419D">
      <w:pPr>
        <w:spacing w:line="240" w:lineRule="auto"/>
        <w:ind w:left="567" w:right="567"/>
        <w:contextualSpacing/>
        <w:rPr>
          <w:rFonts w:eastAsia="Palatino Linotype" w:cs="Palatino Linotype"/>
          <w:i/>
          <w:sz w:val="22"/>
        </w:rPr>
      </w:pPr>
    </w:p>
    <w:p w14:paraId="75BAD348"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1B4855F0" w14:textId="77777777" w:rsidR="00BA419D" w:rsidRPr="00FB173E" w:rsidRDefault="00BA419D" w:rsidP="00BA419D">
      <w:pPr>
        <w:spacing w:line="240" w:lineRule="auto"/>
        <w:ind w:left="567" w:right="567"/>
        <w:contextualSpacing/>
        <w:rPr>
          <w:rFonts w:eastAsia="Palatino Linotype" w:cs="Palatino Linotype"/>
          <w:i/>
          <w:sz w:val="22"/>
        </w:rPr>
      </w:pPr>
    </w:p>
    <w:p w14:paraId="41159781"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En caso de que el recurso se interponga de manera electrónica no será indispensable que contengan los requisitos establecidos en las fracciones II</w:t>
      </w:r>
      <w:r w:rsidRPr="00FB173E">
        <w:rPr>
          <w:rFonts w:eastAsia="Palatino Linotype" w:cs="Palatino Linotype"/>
          <w:i/>
          <w:sz w:val="22"/>
        </w:rPr>
        <w:t>, IV, VII y VIII.</w:t>
      </w:r>
    </w:p>
    <w:p w14:paraId="7461F5FE" w14:textId="77777777" w:rsidR="00BA419D" w:rsidRPr="00FB173E" w:rsidRDefault="00BA419D" w:rsidP="00BA419D">
      <w:pPr>
        <w:contextualSpacing/>
        <w:rPr>
          <w:rFonts w:eastAsia="Palatino Linotype" w:cs="Palatino Linotype"/>
          <w:b/>
          <w:i/>
          <w:szCs w:val="24"/>
        </w:rPr>
      </w:pPr>
    </w:p>
    <w:p w14:paraId="6D271213" w14:textId="012AE14F" w:rsidR="00BA419D" w:rsidRPr="00FB173E" w:rsidRDefault="00BA419D" w:rsidP="00BA419D">
      <w:pPr>
        <w:contextualSpacing/>
        <w:rPr>
          <w:rFonts w:eastAsia="Palatino Linotype" w:cs="Palatino Linotype"/>
          <w:szCs w:val="24"/>
        </w:rPr>
      </w:pPr>
      <w:r w:rsidRPr="00FB173E">
        <w:rPr>
          <w:rFonts w:eastAsia="Palatino Linotype" w:cs="Palatino Linotype"/>
          <w:szCs w:val="24"/>
        </w:rPr>
        <w:t>Cabe señalar que el hoy Recurrente</w:t>
      </w:r>
      <w:r>
        <w:rPr>
          <w:rFonts w:eastAsia="Palatino Linotype" w:cs="Palatino Linotype"/>
          <w:szCs w:val="24"/>
        </w:rPr>
        <w:t xml:space="preserve"> se identificó como </w:t>
      </w:r>
      <w:r w:rsidRPr="00877E05">
        <w:rPr>
          <w:rFonts w:eastAsia="Palatino Linotype" w:cs="Palatino Linotype"/>
          <w:b/>
          <w:szCs w:val="24"/>
        </w:rPr>
        <w:t>«</w:t>
      </w:r>
      <w:r w:rsidR="0020632E">
        <w:rPr>
          <w:rFonts w:eastAsia="Palatino Linotype" w:cs="Palatino Linotype"/>
          <w:b/>
          <w:szCs w:val="24"/>
        </w:rPr>
        <w:t>XXXXXXXXXXXXXXX</w:t>
      </w:r>
      <w:r w:rsidR="00877E05" w:rsidRPr="00877E05">
        <w:rPr>
          <w:rFonts w:eastAsia="Palatino Linotype" w:cs="Palatino Linotype"/>
          <w:b/>
          <w:szCs w:val="24"/>
        </w:rPr>
        <w:t xml:space="preserve"> </w:t>
      </w:r>
      <w:r w:rsidR="0020632E">
        <w:rPr>
          <w:rFonts w:eastAsia="Palatino Linotype" w:cs="Palatino Linotype"/>
          <w:b/>
          <w:szCs w:val="24"/>
        </w:rPr>
        <w:t>XXXXXX</w:t>
      </w:r>
      <w:r w:rsidR="00877E05" w:rsidRPr="00877E05">
        <w:rPr>
          <w:rFonts w:eastAsia="Palatino Linotype" w:cs="Palatino Linotype"/>
          <w:b/>
          <w:szCs w:val="24"/>
        </w:rPr>
        <w:t>»</w:t>
      </w:r>
      <w:r w:rsidRPr="00FB173E">
        <w:rPr>
          <w:rFonts w:eastAsia="Palatino Linotype" w:cs="Palatino Linotype"/>
          <w:szCs w:val="24"/>
        </w:rPr>
        <w:t>; no obstante, proporcionar el nombre incompleto, seudónimo o, como en el presente caso, realiza</w:t>
      </w:r>
      <w:bookmarkStart w:id="0" w:name="_GoBack"/>
      <w:bookmarkEnd w:id="0"/>
      <w:r w:rsidRPr="00FB173E">
        <w:rPr>
          <w:rFonts w:eastAsia="Palatino Linotype" w:cs="Palatino Linotype"/>
          <w:szCs w:val="24"/>
        </w:rPr>
        <w:t xml:space="preserve">r la solicitud de manera anónima, no es motivo para desechar las </w:t>
      </w:r>
      <w:r w:rsidRPr="00FB173E">
        <w:rPr>
          <w:rFonts w:eastAsia="Palatino Linotype" w:cs="Palatino Linotype"/>
          <w:szCs w:val="24"/>
        </w:rPr>
        <w:lastRenderedPageBreak/>
        <w:t>solicitudes de acceso a la información pública conforme a lo previsto en el artículo 155, penúltimo párrafo de la Ley de Transparencia y Acceso a la Información Pública del Estado de México y Municipios que señala lo siguiente:</w:t>
      </w:r>
    </w:p>
    <w:p w14:paraId="0EED4609" w14:textId="77777777" w:rsidR="00BA419D" w:rsidRPr="00FB173E" w:rsidRDefault="00BA419D" w:rsidP="00BA419D">
      <w:pPr>
        <w:contextualSpacing/>
        <w:rPr>
          <w:rFonts w:eastAsia="Palatino Linotype" w:cs="Palatino Linotype"/>
          <w:szCs w:val="24"/>
        </w:rPr>
      </w:pPr>
    </w:p>
    <w:p w14:paraId="3FA486BC"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25D1AE5E" w14:textId="77777777" w:rsidR="00BA419D" w:rsidRPr="00FB173E" w:rsidRDefault="00BA419D" w:rsidP="00BA419D">
      <w:pPr>
        <w:spacing w:line="240" w:lineRule="auto"/>
        <w:ind w:left="567" w:right="567"/>
        <w:contextualSpacing/>
        <w:rPr>
          <w:rFonts w:eastAsia="Palatino Linotype" w:cs="Palatino Linotype"/>
          <w:i/>
          <w:sz w:val="22"/>
        </w:rPr>
      </w:pPr>
    </w:p>
    <w:p w14:paraId="781B1E57"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4367F9C6" w14:textId="77777777" w:rsidR="00BA419D" w:rsidRPr="00FB173E" w:rsidRDefault="00BA419D" w:rsidP="00BA419D">
      <w:pPr>
        <w:contextualSpacing/>
        <w:rPr>
          <w:rFonts w:eastAsia="Palatino Linotype" w:cs="Palatino Linotype"/>
          <w:szCs w:val="24"/>
        </w:rPr>
      </w:pPr>
    </w:p>
    <w:p w14:paraId="06E5F8AD" w14:textId="77777777" w:rsidR="00BA419D" w:rsidRPr="00FB173E" w:rsidRDefault="00BA419D" w:rsidP="00BA419D">
      <w:pPr>
        <w:contextualSpacing/>
        <w:rPr>
          <w:rFonts w:eastAsia="Palatino Linotype" w:cs="Palatino Linotype"/>
          <w:szCs w:val="24"/>
        </w:rPr>
      </w:pPr>
      <w:r w:rsidRPr="00FB173E">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F81ACDC" w14:textId="77777777" w:rsidR="00BA419D" w:rsidRPr="00FB173E" w:rsidRDefault="00BA419D" w:rsidP="00BA419D">
      <w:pPr>
        <w:contextualSpacing/>
        <w:rPr>
          <w:rFonts w:eastAsia="Palatino Linotype" w:cs="Palatino Linotype"/>
          <w:szCs w:val="24"/>
        </w:rPr>
      </w:pPr>
    </w:p>
    <w:p w14:paraId="6CD14D9C" w14:textId="77777777" w:rsidR="00BA419D" w:rsidRPr="00FB173E" w:rsidRDefault="00BA419D" w:rsidP="00BA419D">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349B43C5"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6</w:t>
      </w:r>
      <w:r w:rsidRPr="00FB173E">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383BE33"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30247801" w14:textId="77777777" w:rsidR="00BA419D"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021C912A" w14:textId="77777777" w:rsidR="00BA419D" w:rsidRPr="00FB173E" w:rsidRDefault="00BA419D" w:rsidP="00BA419D">
      <w:pPr>
        <w:spacing w:line="240" w:lineRule="auto"/>
        <w:ind w:left="567" w:right="567"/>
        <w:contextualSpacing/>
        <w:rPr>
          <w:rFonts w:eastAsia="Palatino Linotype" w:cs="Palatino Linotype"/>
          <w:i/>
          <w:sz w:val="22"/>
        </w:rPr>
      </w:pPr>
    </w:p>
    <w:p w14:paraId="1CF9A0B9"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2F978FFC"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647B788F"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6FCCE0C2"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21D77860" w14:textId="77777777" w:rsidR="00BA419D" w:rsidRPr="00FB173E" w:rsidRDefault="00BA419D" w:rsidP="00BA419D">
      <w:pPr>
        <w:spacing w:line="240" w:lineRule="auto"/>
        <w:ind w:left="567" w:right="567"/>
        <w:contextualSpacing/>
        <w:rPr>
          <w:rFonts w:eastAsia="Palatino Linotype" w:cs="Palatino Linotype"/>
          <w:i/>
          <w:sz w:val="22"/>
        </w:rPr>
      </w:pPr>
    </w:p>
    <w:p w14:paraId="6231C521" w14:textId="77777777" w:rsidR="00BA419D" w:rsidRPr="00FB173E" w:rsidRDefault="00BA419D" w:rsidP="00BA419D">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2A645D0E"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752A24C"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682930FF"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0F499C5A"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15FFE9E3"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BC5DFE" w14:textId="77777777" w:rsidR="00BA419D" w:rsidRPr="00FB173E" w:rsidRDefault="00BA419D" w:rsidP="00BA419D">
      <w:pPr>
        <w:spacing w:line="240" w:lineRule="auto"/>
        <w:ind w:left="567" w:right="567"/>
        <w:contextualSpacing/>
        <w:rPr>
          <w:rFonts w:eastAsia="Palatino Linotype" w:cs="Palatino Linotype"/>
          <w:i/>
          <w:sz w:val="22"/>
        </w:rPr>
      </w:pPr>
    </w:p>
    <w:p w14:paraId="766E9969"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C003D92" w14:textId="77777777" w:rsidR="00BA419D" w:rsidRPr="00FB173E" w:rsidRDefault="00BA419D" w:rsidP="00BA419D">
      <w:pPr>
        <w:spacing w:line="240" w:lineRule="auto"/>
        <w:ind w:left="567" w:right="567"/>
        <w:contextualSpacing/>
        <w:rPr>
          <w:rFonts w:eastAsia="Palatino Linotype" w:cs="Palatino Linotype"/>
          <w:i/>
          <w:sz w:val="22"/>
        </w:rPr>
      </w:pPr>
    </w:p>
    <w:p w14:paraId="0046B73A"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33EFCD7D"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11AB0EB4"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A5FCC88"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78365FA2"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58FFCF13"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68B7E43E" w14:textId="77777777" w:rsidR="00BA419D" w:rsidRPr="00FB173E" w:rsidRDefault="00BA419D" w:rsidP="00BA419D">
      <w:pPr>
        <w:spacing w:line="240" w:lineRule="auto"/>
        <w:ind w:left="567" w:right="567"/>
        <w:contextualSpacing/>
        <w:rPr>
          <w:rFonts w:eastAsia="Palatino Linotype" w:cs="Palatino Linotype"/>
          <w:i/>
          <w:sz w:val="22"/>
        </w:rPr>
      </w:pPr>
      <w:r>
        <w:rPr>
          <w:rFonts w:eastAsia="Palatino Linotype" w:cs="Palatino Linotype"/>
          <w:i/>
          <w:sz w:val="22"/>
        </w:rPr>
        <w:t>[…]</w:t>
      </w:r>
    </w:p>
    <w:p w14:paraId="71BBFE47" w14:textId="77777777" w:rsidR="00BA419D" w:rsidRPr="00FB173E" w:rsidRDefault="00BA419D" w:rsidP="00BA419D">
      <w:pPr>
        <w:ind w:left="567" w:right="567"/>
        <w:contextualSpacing/>
        <w:rPr>
          <w:rFonts w:eastAsia="Palatino Linotype" w:cs="Palatino Linotype"/>
          <w:szCs w:val="24"/>
        </w:rPr>
      </w:pPr>
    </w:p>
    <w:p w14:paraId="5416EF3D" w14:textId="77777777" w:rsidR="00BA419D" w:rsidRDefault="00BA419D" w:rsidP="00BA419D">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0EE4E456" w14:textId="77777777" w:rsidR="00BA419D" w:rsidRPr="00FB173E" w:rsidRDefault="00BA419D" w:rsidP="00BA419D">
      <w:pPr>
        <w:ind w:right="49"/>
        <w:contextualSpacing/>
        <w:rPr>
          <w:rFonts w:eastAsia="Palatino Linotype" w:cs="Palatino Linotype"/>
          <w:szCs w:val="24"/>
        </w:rPr>
      </w:pPr>
    </w:p>
    <w:p w14:paraId="7E185D4D"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7C05DAB" w14:textId="77777777" w:rsidR="00BA419D" w:rsidRPr="00FB173E" w:rsidRDefault="00BA419D" w:rsidP="00BA419D">
      <w:pPr>
        <w:spacing w:line="240" w:lineRule="auto"/>
        <w:ind w:left="567" w:right="567"/>
        <w:contextualSpacing/>
        <w:rPr>
          <w:rFonts w:eastAsia="Palatino Linotype" w:cs="Palatino Linotype"/>
          <w:i/>
          <w:sz w:val="22"/>
        </w:rPr>
      </w:pPr>
    </w:p>
    <w:p w14:paraId="79D624FC"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2755DCC5" w14:textId="77777777" w:rsidR="00BA419D" w:rsidRPr="00FB173E" w:rsidRDefault="00BA419D" w:rsidP="00BA419D">
      <w:pPr>
        <w:spacing w:line="240" w:lineRule="auto"/>
        <w:ind w:left="567" w:right="567"/>
        <w:contextualSpacing/>
        <w:rPr>
          <w:rFonts w:eastAsia="Palatino Linotype" w:cs="Palatino Linotype"/>
          <w:i/>
          <w:sz w:val="22"/>
        </w:rPr>
      </w:pPr>
    </w:p>
    <w:p w14:paraId="240349E9" w14:textId="77777777" w:rsidR="00BA419D" w:rsidRPr="00FB173E" w:rsidRDefault="00BA419D" w:rsidP="00BA419D">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D37290B" w14:textId="77777777" w:rsidR="00BA419D" w:rsidRPr="00FB173E" w:rsidRDefault="00BA419D" w:rsidP="00BA419D"/>
    <w:p w14:paraId="382E43B8" w14:textId="77777777" w:rsidR="00BA419D" w:rsidRPr="00FB173E" w:rsidRDefault="00BA419D" w:rsidP="00BA419D">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1E8B093" w14:textId="77777777" w:rsidR="00BA419D" w:rsidRPr="00FB173E" w:rsidRDefault="00BA419D" w:rsidP="00BA419D">
      <w:pPr>
        <w:rPr>
          <w:rFonts w:eastAsia="Palatino Linotype" w:cs="Palatino Linotype"/>
          <w:szCs w:val="24"/>
        </w:rPr>
      </w:pPr>
    </w:p>
    <w:p w14:paraId="36CAE33A" w14:textId="77777777" w:rsidR="00BA419D" w:rsidRDefault="00BA419D" w:rsidP="00BA419D">
      <w:pPr>
        <w:rPr>
          <w:rFonts w:eastAsia="Palatino Linotype" w:cs="Palatino Linotype"/>
          <w:color w:val="000000"/>
          <w:szCs w:val="24"/>
        </w:rPr>
      </w:pPr>
      <w:r w:rsidRPr="00FB173E">
        <w:rPr>
          <w:rFonts w:eastAsia="Palatino Linotype" w:cs="Palatino Linotype"/>
          <w:color w:val="000000"/>
          <w:szCs w:val="24"/>
        </w:rPr>
        <w:t>En conclusión, se cubrieron los requisitos de procedencia y procedibilidad y conforme a las constancias que obran en el expediente.</w:t>
      </w:r>
    </w:p>
    <w:p w14:paraId="63B7919B" w14:textId="77777777" w:rsidR="00BA419D" w:rsidRDefault="00BA419D" w:rsidP="006922F5">
      <w:pPr>
        <w:pBdr>
          <w:top w:val="nil"/>
          <w:left w:val="nil"/>
          <w:bottom w:val="nil"/>
          <w:right w:val="nil"/>
          <w:between w:val="nil"/>
        </w:pBdr>
        <w:contextualSpacing/>
        <w:rPr>
          <w:rFonts w:eastAsia="Palatino Linotype" w:cs="Palatino Linotype"/>
          <w:color w:val="000000"/>
          <w:szCs w:val="24"/>
        </w:rPr>
      </w:pPr>
    </w:p>
    <w:p w14:paraId="13B28D16" w14:textId="4B0EA61B" w:rsidR="006967F6" w:rsidRPr="006967F6" w:rsidRDefault="009447FE" w:rsidP="006967F6">
      <w:pPr>
        <w:pStyle w:val="Ttulo2"/>
        <w:rPr>
          <w:rFonts w:eastAsia="Palatino Linotype"/>
        </w:rPr>
      </w:pPr>
      <w:r>
        <w:rPr>
          <w:rFonts w:eastAsia="Palatino Linotype"/>
        </w:rPr>
        <w:t>CUARTO</w:t>
      </w:r>
      <w:r w:rsidR="00A970D5" w:rsidRPr="006922F5">
        <w:rPr>
          <w:rFonts w:eastAsia="Palatino Linotype"/>
        </w:rPr>
        <w:t>. De las causas de improcedencia.</w:t>
      </w:r>
    </w:p>
    <w:p w14:paraId="555D16DA"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428342"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65B2618D"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D1870">
        <w:rPr>
          <w:rFonts w:eastAsia="Palatino Linotype" w:cs="Palatino Linotype"/>
          <w:color w:val="000000"/>
          <w:szCs w:val="24"/>
          <w:vertAlign w:val="superscript"/>
        </w:rPr>
        <w:footnoteReference w:id="2"/>
      </w:r>
      <w:r w:rsidRPr="00FD1870">
        <w:rPr>
          <w:rFonts w:eastAsia="Palatino Linotype" w:cs="Palatino Linotype"/>
          <w:color w:val="000000"/>
          <w:szCs w:val="24"/>
        </w:rPr>
        <w:t xml:space="preserve">, la cual permite dilucidar alguna </w:t>
      </w:r>
      <w:r w:rsidRPr="00FD1870">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075551B1"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1E21B26C" w14:textId="11350076" w:rsidR="00A970D5"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95F72AE" w14:textId="77777777" w:rsidR="00B728EA" w:rsidRPr="006922F5" w:rsidRDefault="00B728EA" w:rsidP="00B728EA">
      <w:pPr>
        <w:pBdr>
          <w:top w:val="nil"/>
          <w:left w:val="nil"/>
          <w:bottom w:val="nil"/>
          <w:right w:val="nil"/>
          <w:between w:val="nil"/>
        </w:pBdr>
        <w:contextualSpacing/>
        <w:rPr>
          <w:rFonts w:eastAsia="Palatino Linotype" w:cs="Palatino Linotype"/>
          <w:color w:val="000000"/>
          <w:szCs w:val="24"/>
        </w:rPr>
      </w:pPr>
    </w:p>
    <w:p w14:paraId="0DC69ACD" w14:textId="0EB3922F" w:rsidR="00A970D5" w:rsidRPr="006922F5" w:rsidRDefault="009447FE" w:rsidP="006922F5">
      <w:pPr>
        <w:pStyle w:val="Ttulo2"/>
        <w:rPr>
          <w:rFonts w:eastAsia="Palatino Linotype"/>
        </w:rPr>
      </w:pPr>
      <w:r>
        <w:rPr>
          <w:rFonts w:eastAsia="Palatino Linotype"/>
        </w:rPr>
        <w:t>QUIN</w:t>
      </w:r>
      <w:r w:rsidR="006967F6">
        <w:rPr>
          <w:rFonts w:eastAsia="Palatino Linotype"/>
        </w:rPr>
        <w:t>TO</w:t>
      </w:r>
      <w:r w:rsidR="00A970D5" w:rsidRPr="006922F5">
        <w:rPr>
          <w:rFonts w:eastAsia="Palatino Linotype"/>
        </w:rPr>
        <w:t>. Estudio y resolución del asunto.</w:t>
      </w:r>
    </w:p>
    <w:p w14:paraId="102DA030"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3CF682A" w14:textId="457B104A" w:rsidR="00514C55" w:rsidRDefault="00A970D5" w:rsidP="006D43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9447FE">
        <w:rPr>
          <w:rFonts w:eastAsia="Palatino Linotype" w:cs="Palatino Linotype"/>
          <w:color w:val="000000"/>
          <w:szCs w:val="24"/>
        </w:rPr>
        <w:t>el</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CF6592" w:rsidRPr="006922F5">
        <w:rPr>
          <w:rFonts w:eastAsia="Palatino Linotype" w:cs="Palatino Linotype"/>
          <w:color w:val="000000"/>
          <w:szCs w:val="24"/>
        </w:rPr>
        <w:t xml:space="preserve"> </w:t>
      </w:r>
      <w:r w:rsidR="00BC4869">
        <w:rPr>
          <w:rFonts w:eastAsia="Palatino Linotype" w:cs="Palatino Linotype"/>
          <w:color w:val="000000"/>
          <w:szCs w:val="24"/>
        </w:rPr>
        <w:t xml:space="preserve">que </w:t>
      </w:r>
      <w:r w:rsidR="006D438A">
        <w:rPr>
          <w:rFonts w:eastAsia="Palatino Linotype" w:cs="Palatino Linotype"/>
          <w:color w:val="000000"/>
          <w:szCs w:val="24"/>
        </w:rPr>
        <w:t xml:space="preserve">se le </w:t>
      </w:r>
      <w:r w:rsidR="002437A2">
        <w:rPr>
          <w:rFonts w:eastAsia="Palatino Linotype" w:cs="Palatino Linotype"/>
          <w:color w:val="000000"/>
          <w:szCs w:val="24"/>
        </w:rPr>
        <w:t xml:space="preserve">entregaran </w:t>
      </w:r>
      <w:r w:rsidR="00BC4454">
        <w:rPr>
          <w:rFonts w:eastAsia="Palatino Linotype" w:cs="Palatino Linotype"/>
          <w:color w:val="000000"/>
          <w:szCs w:val="24"/>
        </w:rPr>
        <w:t xml:space="preserve">los comprobantes fiscales generados por los gastos realizados desde la apertura hasta el diecinueve de octubre de dos mil veintitrés, de los cuarenta y tres comedores comunitarios </w:t>
      </w:r>
      <w:r w:rsidR="00582D85">
        <w:rPr>
          <w:rFonts w:eastAsia="Palatino Linotype" w:cs="Palatino Linotype"/>
          <w:color w:val="000000"/>
          <w:szCs w:val="24"/>
        </w:rPr>
        <w:t>referidos en las páginas de Facebook y medios de difusión del Sujeto Obligado y del Ayuntamiento de Atizapán de Zaragoza, en formato PDF o Word.</w:t>
      </w:r>
    </w:p>
    <w:p w14:paraId="6E35799A" w14:textId="77777777" w:rsidR="00877767" w:rsidRPr="006922F5" w:rsidRDefault="00877767" w:rsidP="006922F5">
      <w:pPr>
        <w:pBdr>
          <w:top w:val="nil"/>
          <w:left w:val="nil"/>
          <w:bottom w:val="nil"/>
          <w:right w:val="nil"/>
          <w:between w:val="nil"/>
        </w:pBdr>
        <w:contextualSpacing/>
        <w:rPr>
          <w:rFonts w:eastAsia="Palatino Linotype" w:cs="Palatino Linotype"/>
          <w:color w:val="000000"/>
          <w:szCs w:val="24"/>
        </w:rPr>
      </w:pPr>
    </w:p>
    <w:p w14:paraId="46A58DB1" w14:textId="3A48A3EF"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2C2D27">
        <w:rPr>
          <w:rFonts w:eastAsia="Palatino Linotype" w:cs="Palatino Linotype"/>
          <w:color w:val="000000"/>
          <w:szCs w:val="24"/>
        </w:rPr>
        <w:t xml:space="preserve">hizo </w:t>
      </w:r>
      <w:r w:rsidR="00A978AF">
        <w:rPr>
          <w:rFonts w:eastAsia="Palatino Linotype" w:cs="Palatino Linotype"/>
          <w:color w:val="000000"/>
          <w:szCs w:val="24"/>
        </w:rPr>
        <w:t>entrega de</w:t>
      </w:r>
      <w:r w:rsidR="00287C9D">
        <w:rPr>
          <w:rFonts w:eastAsia="Palatino Linotype" w:cs="Palatino Linotype"/>
          <w:color w:val="000000"/>
          <w:szCs w:val="24"/>
        </w:rPr>
        <w:t>l siguiente</w:t>
      </w:r>
      <w:r w:rsidR="0026459C">
        <w:rPr>
          <w:rFonts w:eastAsia="Palatino Linotype" w:cs="Palatino Linotype"/>
          <w:color w:val="000000"/>
          <w:szCs w:val="24"/>
        </w:rPr>
        <w:t xml:space="preserve"> documento</w:t>
      </w:r>
      <w:r w:rsidR="00A978AF">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13551F9B" w14:textId="5CF8B08F" w:rsidR="002437A2" w:rsidRPr="0026459C" w:rsidRDefault="00582D85" w:rsidP="00582D85">
      <w:pPr>
        <w:pStyle w:val="Prrafodelista"/>
        <w:numPr>
          <w:ilvl w:val="0"/>
          <w:numId w:val="33"/>
        </w:numPr>
        <w:pBdr>
          <w:top w:val="nil"/>
          <w:left w:val="nil"/>
          <w:bottom w:val="nil"/>
          <w:right w:val="nil"/>
          <w:between w:val="nil"/>
        </w:pBdr>
        <w:contextualSpacing/>
        <w:rPr>
          <w:rFonts w:eastAsia="Palatino Linotype" w:cs="Palatino Linotype"/>
          <w:color w:val="000000"/>
        </w:rPr>
      </w:pPr>
      <w:r w:rsidRPr="00582D85">
        <w:rPr>
          <w:rFonts w:eastAsia="Palatino Linotype" w:cs="Palatino Linotype"/>
          <w:b/>
          <w:bCs/>
          <w:color w:val="000000"/>
        </w:rPr>
        <w:t>TES285FINAL.pdf</w:t>
      </w:r>
      <w:r w:rsidR="002437A2" w:rsidRPr="0026459C">
        <w:rPr>
          <w:rFonts w:eastAsia="Palatino Linotype" w:cs="Palatino Linotype"/>
          <w:bCs/>
          <w:color w:val="000000"/>
        </w:rPr>
        <w:t xml:space="preserve">. </w:t>
      </w:r>
      <w:r w:rsidR="0026459C">
        <w:rPr>
          <w:rFonts w:eastAsia="Palatino Linotype" w:cs="Palatino Linotype"/>
          <w:bCs/>
          <w:color w:val="000000"/>
        </w:rPr>
        <w:t xml:space="preserve">Oficio número </w:t>
      </w:r>
      <w:r w:rsidR="00A31230">
        <w:rPr>
          <w:rFonts w:eastAsia="Palatino Linotype" w:cs="Palatino Linotype"/>
          <w:bCs/>
          <w:color w:val="000000"/>
        </w:rPr>
        <w:t>DIF/UIPPEyUT/229/2023 suscrito por la Tesorera de Sujeto Obligado, mediante el cual informó que, dado que se trata de mucha documentaci</w:t>
      </w:r>
      <w:r w:rsidR="005346BD">
        <w:rPr>
          <w:rFonts w:eastAsia="Palatino Linotype" w:cs="Palatino Linotype"/>
          <w:bCs/>
          <w:color w:val="000000"/>
        </w:rPr>
        <w:t>ón, la información se pone a disposición del Recurrente en la oficina de la Tesorería, señalando la ubicación y el número de contacto, para programar una cita y se le brinde la atención necesaria.</w:t>
      </w:r>
    </w:p>
    <w:p w14:paraId="66A22E94" w14:textId="154E7C28" w:rsidR="0026459C" w:rsidRDefault="0026459C" w:rsidP="00502DAB">
      <w:pPr>
        <w:pBdr>
          <w:top w:val="nil"/>
          <w:left w:val="nil"/>
          <w:bottom w:val="nil"/>
          <w:right w:val="nil"/>
          <w:between w:val="nil"/>
        </w:pBdr>
        <w:tabs>
          <w:tab w:val="left" w:pos="1290"/>
        </w:tabs>
        <w:contextualSpacing/>
        <w:rPr>
          <w:rFonts w:eastAsia="Palatino Linotype" w:cs="Palatino Linotype"/>
          <w:color w:val="000000"/>
          <w:szCs w:val="24"/>
        </w:rPr>
      </w:pPr>
    </w:p>
    <w:p w14:paraId="7E1DE62A" w14:textId="77777777" w:rsidR="00502DAB" w:rsidRPr="00012AFA" w:rsidRDefault="00502DAB" w:rsidP="00502DAB">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 xml:space="preserve">Es de destacar que, al haber un pronunciamiento por parte del Sujeto Obligado, dentro de sus atribuciones, este Órgano Garante, no está facultado para manifestarse sobre la veracidad de lo afirmado, pues no existe precepto legal alguno en la Ley de la materia que lo faculte para ello. </w:t>
      </w:r>
    </w:p>
    <w:p w14:paraId="5C13E260" w14:textId="77777777" w:rsidR="00502DAB" w:rsidRPr="00012AFA" w:rsidRDefault="00502DAB" w:rsidP="00502DAB">
      <w:pPr>
        <w:pBdr>
          <w:top w:val="nil"/>
          <w:left w:val="nil"/>
          <w:bottom w:val="nil"/>
          <w:right w:val="nil"/>
          <w:between w:val="nil"/>
        </w:pBdr>
        <w:contextualSpacing/>
        <w:rPr>
          <w:rFonts w:eastAsia="Palatino Linotype" w:cs="Palatino Linotype"/>
          <w:color w:val="000000"/>
          <w:szCs w:val="24"/>
        </w:rPr>
      </w:pPr>
    </w:p>
    <w:p w14:paraId="01E0664E" w14:textId="77777777" w:rsidR="00502DAB" w:rsidRPr="00012AFA" w:rsidRDefault="00502DAB" w:rsidP="00502DAB">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18C16141" w14:textId="77777777" w:rsidR="00502DAB" w:rsidRPr="00012AFA" w:rsidRDefault="00502DAB" w:rsidP="00502DAB">
      <w:pPr>
        <w:pBdr>
          <w:top w:val="nil"/>
          <w:left w:val="nil"/>
          <w:bottom w:val="nil"/>
          <w:right w:val="nil"/>
          <w:between w:val="nil"/>
        </w:pBdr>
        <w:contextualSpacing/>
        <w:rPr>
          <w:rFonts w:eastAsia="Palatino Linotype" w:cs="Palatino Linotype"/>
          <w:color w:val="000000"/>
          <w:szCs w:val="24"/>
        </w:rPr>
      </w:pPr>
    </w:p>
    <w:p w14:paraId="4DBCC6D1" w14:textId="77777777" w:rsidR="00502DAB" w:rsidRPr="00012AFA" w:rsidRDefault="00502DAB" w:rsidP="00502DAB">
      <w:pPr>
        <w:pBdr>
          <w:top w:val="nil"/>
          <w:left w:val="nil"/>
          <w:bottom w:val="nil"/>
          <w:right w:val="nil"/>
          <w:between w:val="nil"/>
        </w:pBdr>
        <w:spacing w:line="240" w:lineRule="auto"/>
        <w:ind w:left="567" w:right="616"/>
        <w:contextualSpacing/>
        <w:rPr>
          <w:rFonts w:eastAsia="Palatino Linotype" w:cs="Palatino Linotype"/>
          <w:color w:val="000000"/>
          <w:sz w:val="22"/>
        </w:rPr>
      </w:pPr>
      <w:r w:rsidRPr="00012AFA">
        <w:rPr>
          <w:rFonts w:eastAsia="Palatino Linotype" w:cs="Palatino Linotype"/>
          <w:b/>
          <w:i/>
          <w:color w:val="000000"/>
          <w:sz w:val="22"/>
        </w:rPr>
        <w:t>El Instituto Federal de Acceso a la Información y Protección de Datos no cuenta con facultades para pronunciarse respecto de la veracidad de los documentos proporcionados por los sujetos obligados.</w:t>
      </w:r>
      <w:r w:rsidRPr="00012AFA">
        <w:rPr>
          <w:rFonts w:eastAsia="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24265A" w14:textId="77777777" w:rsidR="00502DAB" w:rsidRPr="00C164E8" w:rsidRDefault="00502DAB" w:rsidP="00502DAB">
      <w:pPr>
        <w:pBdr>
          <w:top w:val="nil"/>
          <w:left w:val="nil"/>
          <w:bottom w:val="nil"/>
          <w:right w:val="nil"/>
          <w:between w:val="nil"/>
        </w:pBdr>
        <w:tabs>
          <w:tab w:val="left" w:pos="1005"/>
        </w:tabs>
        <w:contextualSpacing/>
        <w:rPr>
          <w:rFonts w:eastAsia="Palatino Linotype" w:cs="Palatino Linotype"/>
          <w:color w:val="000000"/>
        </w:rPr>
      </w:pPr>
    </w:p>
    <w:p w14:paraId="32B4EE52" w14:textId="57400ED4" w:rsidR="002437A2"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w:t>
      </w:r>
      <w:r w:rsidR="005346BD">
        <w:rPr>
          <w:rFonts w:eastAsia="Palatino Linotype" w:cs="Palatino Linotype"/>
          <w:color w:val="000000"/>
          <w:szCs w:val="24"/>
        </w:rPr>
        <w:t>isión al rubro citado, señalando</w:t>
      </w:r>
      <w:r w:rsidR="00A970D5" w:rsidRPr="006922F5">
        <w:rPr>
          <w:rFonts w:eastAsia="Palatino Linotype" w:cs="Palatino Linotype"/>
          <w:color w:val="000000"/>
          <w:szCs w:val="24"/>
        </w:rPr>
        <w:t xml:space="preserve"> como acto impugnado</w:t>
      </w:r>
      <w:r w:rsidR="005346BD">
        <w:rPr>
          <w:rFonts w:eastAsia="Palatino Linotype" w:cs="Palatino Linotype"/>
          <w:color w:val="000000"/>
          <w:szCs w:val="24"/>
        </w:rPr>
        <w:t xml:space="preserve"> el texto de la solicitud de información y</w:t>
      </w:r>
      <w:r w:rsidR="00502DAB">
        <w:rPr>
          <w:rFonts w:eastAsia="Palatino Linotype" w:cs="Palatino Linotype"/>
          <w:color w:val="000000"/>
          <w:szCs w:val="24"/>
        </w:rPr>
        <w:t xml:space="preserve"> dando como razones o motivos de inconformidad </w:t>
      </w:r>
      <w:r w:rsidR="005346BD">
        <w:rPr>
          <w:rFonts w:eastAsia="Palatino Linotype" w:cs="Palatino Linotype"/>
          <w:color w:val="000000"/>
          <w:szCs w:val="24"/>
        </w:rPr>
        <w:t>que la solicitud fue precisa en cuanto al requerimiento sin tomar en cuenta el formato solicitado, expresando que no se puede fundamentar que es una carga documental porque lo que se requiere es respecto de un solo programa que maneja el Sujeto Obligado y no en cuanto a todos los que le compete.</w:t>
      </w:r>
    </w:p>
    <w:p w14:paraId="2468A539" w14:textId="77777777" w:rsidR="002437A2" w:rsidRDefault="002437A2" w:rsidP="006922F5">
      <w:pPr>
        <w:pBdr>
          <w:top w:val="nil"/>
          <w:left w:val="nil"/>
          <w:bottom w:val="nil"/>
          <w:right w:val="nil"/>
          <w:between w:val="nil"/>
        </w:pBdr>
        <w:contextualSpacing/>
        <w:rPr>
          <w:rFonts w:eastAsia="Palatino Linotype" w:cs="Palatino Linotype"/>
          <w:color w:val="000000"/>
          <w:szCs w:val="24"/>
        </w:rPr>
      </w:pPr>
    </w:p>
    <w:p w14:paraId="36FE16CD" w14:textId="77777777" w:rsidR="001B4435" w:rsidRDefault="001B4435" w:rsidP="001B4435">
      <w:pPr>
        <w:pBdr>
          <w:top w:val="nil"/>
          <w:left w:val="nil"/>
          <w:bottom w:val="nil"/>
          <w:right w:val="nil"/>
          <w:between w:val="nil"/>
        </w:pBdr>
        <w:contextualSpacing/>
        <w:rPr>
          <w:rFonts w:eastAsia="Palatino Linotype" w:cs="Palatino Linotype"/>
          <w:color w:val="000000"/>
          <w:szCs w:val="24"/>
        </w:rPr>
      </w:pPr>
      <w:r w:rsidRPr="006939B2">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6939B2">
        <w:lastRenderedPageBreak/>
        <w:t>a emitir la respuesta que ahora se impugna; no obstante, la falta de informe justificado no es óbice para que este Órgano Garante conozca y resuelva el recurso de revisión.</w:t>
      </w:r>
    </w:p>
    <w:p w14:paraId="3D285E21" w14:textId="77777777" w:rsidR="001B4435" w:rsidRDefault="001B4435" w:rsidP="006922F5">
      <w:pPr>
        <w:pBdr>
          <w:top w:val="nil"/>
          <w:left w:val="nil"/>
          <w:bottom w:val="nil"/>
          <w:right w:val="nil"/>
          <w:between w:val="nil"/>
        </w:pBdr>
        <w:contextualSpacing/>
        <w:rPr>
          <w:rFonts w:eastAsia="Palatino Linotype" w:cs="Palatino Linotype"/>
          <w:color w:val="000000"/>
          <w:szCs w:val="24"/>
        </w:rPr>
      </w:pPr>
    </w:p>
    <w:p w14:paraId="2195829A"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7FC0079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04EF134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6o.</w:t>
      </w:r>
      <w:r w:rsidRPr="00286AA3">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86AA3">
        <w:rPr>
          <w:rFonts w:eastAsia="Palatino Linotype" w:cs="Palatino Linotype"/>
          <w:b/>
          <w:bCs/>
          <w:i/>
          <w:iCs/>
          <w:color w:val="000000" w:themeColor="text1"/>
          <w:sz w:val="22"/>
          <w:lang w:val="es-ES"/>
        </w:rPr>
        <w:t>El derecho a la información será garantizado por el Estado.</w:t>
      </w:r>
      <w:r w:rsidRPr="00286AA3">
        <w:rPr>
          <w:rFonts w:eastAsia="Palatino Linotype" w:cs="Palatino Linotype"/>
          <w:i/>
          <w:iCs/>
          <w:color w:val="000000" w:themeColor="text1"/>
          <w:sz w:val="22"/>
          <w:lang w:val="es-ES"/>
        </w:rPr>
        <w:t xml:space="preserve"> </w:t>
      </w:r>
    </w:p>
    <w:p w14:paraId="62C451B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7F535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Toda persona tiene derecho al libre acceso a información plural y oportuna, así como a buscar, recibir y difundir información e ideas de toda índole por cualquier medio de expresión.</w:t>
      </w:r>
    </w:p>
    <w:p w14:paraId="4FACE820"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752045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Para efectos de lo dispuesto en el presente artículo se observará lo siguiente:</w:t>
      </w:r>
    </w:p>
    <w:p w14:paraId="607C787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22602F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A. Para el ejercicio del derecho de acceso a la información, la Federación, los Estados y el Distrito Federal, en el ámbito de sus respectivas competencias, se regirán por los siguientes principios y bases:</w:t>
      </w:r>
    </w:p>
    <w:p w14:paraId="274C64C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8C2A56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I. Toda la información en posesión de</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cualquier autoridad</w:t>
      </w:r>
      <w:r w:rsidRPr="00286AA3">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86AA3">
        <w:rPr>
          <w:rFonts w:eastAsia="Palatino Linotype" w:cs="Palatino Linotype"/>
          <w:b/>
          <w:bCs/>
          <w:i/>
          <w:iCs/>
          <w:color w:val="000000" w:themeColor="text1"/>
          <w:sz w:val="22"/>
          <w:lang w:val="es-ES"/>
        </w:rPr>
        <w:t>en el ámbito federal, estatal y municipal, es pública</w:t>
      </w:r>
      <w:r w:rsidRPr="00286AA3">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00286AA3">
        <w:rPr>
          <w:rFonts w:eastAsia="Palatino Linotype" w:cs="Palatino Linotype"/>
          <w:b/>
          <w:bCs/>
          <w:i/>
          <w:iCs/>
          <w:color w:val="000000" w:themeColor="text1"/>
          <w:sz w:val="22"/>
          <w:lang w:val="es-ES"/>
        </w:rPr>
        <w:t>Los sujetos obligados deberán documentar todo acto que derive del ejercicio de sus facultades, competencias o funciones</w:t>
      </w:r>
      <w:r w:rsidRPr="00286AA3">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1E4FE6A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lastRenderedPageBreak/>
        <w:t>II. La información que se refiere a la vida privada y los datos personales será protegida en los términos y con las excepciones que fijen las leyes.</w:t>
      </w:r>
    </w:p>
    <w:p w14:paraId="7A4FD7F9"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641D66B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56FA4CAD"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 xml:space="preserve">la información completa y actualizada sobre el ejercicio de los recursos públicos </w:t>
      </w:r>
      <w:r w:rsidRPr="00286AA3">
        <w:rPr>
          <w:rFonts w:eastAsia="Palatino Linotype" w:cs="Palatino Linotype"/>
          <w:i/>
          <w:iCs/>
          <w:color w:val="000000" w:themeColor="text1"/>
          <w:sz w:val="22"/>
          <w:lang w:val="es-ES"/>
        </w:rPr>
        <w:t>y los indicadores que permitan rendir cuenta del cumplimiento de sus objetivos y de los resultados obtenidos.</w:t>
      </w:r>
    </w:p>
    <w:p w14:paraId="5B5C6CA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03C11A6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221EFC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9CA5402"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w:t>
      </w:r>
    </w:p>
    <w:p w14:paraId="0205947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La ley establecerá aquella información que se considere reservada o confidencial.</w:t>
      </w:r>
    </w:p>
    <w:p w14:paraId="2B1D548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 w:val="22"/>
          <w:lang w:val="es-ES"/>
        </w:rPr>
      </w:pPr>
    </w:p>
    <w:p w14:paraId="1F3F7FFB"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Por su parte, la Constitución Política del Estado Libre y Soberano de México, en su artículo 5°, dispone en su parte conducente, lo siguiente:</w:t>
      </w:r>
    </w:p>
    <w:p w14:paraId="621D839E"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214F30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5</w:t>
      </w:r>
      <w:r w:rsidRPr="00286AA3">
        <w:rPr>
          <w:rFonts w:eastAsia="Palatino Linotype" w:cs="Palatino Linotype"/>
          <w:i/>
          <w:iCs/>
          <w:color w:val="000000" w:themeColor="text1"/>
          <w:sz w:val="22"/>
          <w:lang w:val="es-ES"/>
        </w:rPr>
        <w:t xml:space="preserve">. … </w:t>
      </w:r>
    </w:p>
    <w:p w14:paraId="76053C4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41E641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5BEC5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686AF6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4803EE8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Este derecho se regirá por los principios y bases siguientes:</w:t>
      </w:r>
    </w:p>
    <w:p w14:paraId="59E302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74D42403"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768A5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23A6F49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7031B4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2D3A506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12A6E0F"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CD009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2A9CF4E7"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626C1D67" w14:textId="4363368E" w:rsidR="00286AA3" w:rsidRPr="00286AA3" w:rsidRDefault="00286AA3" w:rsidP="00286AA3">
      <w:pPr>
        <w:rPr>
          <w:rFonts w:eastAsia="Palatino Linotype" w:cs="Palatino Linotype"/>
          <w:szCs w:val="24"/>
        </w:rPr>
      </w:pPr>
      <w:r w:rsidRPr="00286AA3">
        <w:rPr>
          <w:rFonts w:eastAsia="Palatino Linotype" w:cs="Palatino Linotype"/>
          <w:szCs w:val="24"/>
        </w:rPr>
        <w:lastRenderedPageBreak/>
        <w:t>En ese orden de ideas, la Ley de Transparencia y Acceso a la Información Pública del Estado de México y Municipios, prevé en su artículo 23 fracción I</w:t>
      </w:r>
      <w:r w:rsidR="008240F4">
        <w:rPr>
          <w:rFonts w:eastAsia="Palatino Linotype" w:cs="Palatino Linotype"/>
          <w:szCs w:val="24"/>
        </w:rPr>
        <w:t>V</w:t>
      </w:r>
      <w:r w:rsidRPr="00286AA3">
        <w:rPr>
          <w:rFonts w:eastAsia="Palatino Linotype" w:cs="Palatino Linotype"/>
          <w:szCs w:val="24"/>
        </w:rPr>
        <w:t>, lo siguiente:</w:t>
      </w:r>
    </w:p>
    <w:p w14:paraId="68B0F04D" w14:textId="77777777" w:rsidR="00286AA3" w:rsidRPr="00286AA3" w:rsidRDefault="00286AA3" w:rsidP="00286AA3">
      <w:pPr>
        <w:rPr>
          <w:rFonts w:eastAsia="Palatino Linotype" w:cs="Palatino Linotype"/>
          <w:szCs w:val="24"/>
        </w:rPr>
      </w:pPr>
    </w:p>
    <w:p w14:paraId="66FFABC9" w14:textId="77777777"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Artículo 23.</w:t>
      </w:r>
      <w:r w:rsidRPr="00286AA3">
        <w:rPr>
          <w:rFonts w:eastAsia="Palatino Linotype" w:cs="Palatino Linotype"/>
          <w:i/>
          <w:iCs/>
          <w:sz w:val="22"/>
          <w:lang w:val="es-ES"/>
        </w:rPr>
        <w:t xml:space="preserve"> Son sujetos obligados a transparentar y permitir el acceso a su información y proteger los datos personales que obren en su poder:</w:t>
      </w:r>
    </w:p>
    <w:p w14:paraId="796E3AD9" w14:textId="14F78E23" w:rsidR="00286AA3" w:rsidRPr="00286AA3" w:rsidRDefault="008240F4" w:rsidP="00286AA3">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14D48834" w14:textId="1BC45548"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I</w:t>
      </w:r>
      <w:r w:rsidR="008240F4">
        <w:rPr>
          <w:rFonts w:eastAsia="Palatino Linotype" w:cs="Palatino Linotype"/>
          <w:b/>
          <w:bCs/>
          <w:i/>
          <w:iCs/>
          <w:sz w:val="22"/>
          <w:lang w:val="es-ES"/>
        </w:rPr>
        <w:t>V</w:t>
      </w:r>
      <w:r w:rsidRPr="00286AA3">
        <w:rPr>
          <w:rFonts w:eastAsia="Palatino Linotype" w:cs="Palatino Linotype"/>
          <w:b/>
          <w:bCs/>
          <w:i/>
          <w:iCs/>
          <w:sz w:val="22"/>
          <w:lang w:val="es-ES"/>
        </w:rPr>
        <w:t>.</w:t>
      </w:r>
      <w:r w:rsidR="008240F4">
        <w:rPr>
          <w:rFonts w:eastAsia="Palatino Linotype" w:cs="Palatino Linotype"/>
          <w:i/>
          <w:iCs/>
          <w:sz w:val="22"/>
          <w:lang w:val="es-ES"/>
        </w:rPr>
        <w:t xml:space="preserve"> Los</w:t>
      </w:r>
      <w:r w:rsidRPr="00286AA3">
        <w:rPr>
          <w:rFonts w:eastAsia="Palatino Linotype" w:cs="Palatino Linotype"/>
          <w:i/>
          <w:iCs/>
          <w:sz w:val="22"/>
          <w:lang w:val="es-ES"/>
        </w:rPr>
        <w:t xml:space="preserve"> </w:t>
      </w:r>
      <w:r w:rsidR="008240F4" w:rsidRPr="008240F4">
        <w:rPr>
          <w:rFonts w:eastAsia="Palatino Linotype" w:cs="Palatino Linotype"/>
          <w:i/>
          <w:iCs/>
          <w:sz w:val="22"/>
          <w:lang w:val="es-ES"/>
        </w:rPr>
        <w:t>ayuntamientos y las dependencias, organismos, órganos y entidades de la administración municipal</w:t>
      </w:r>
      <w:r w:rsidRPr="00286AA3">
        <w:rPr>
          <w:rFonts w:eastAsia="Palatino Linotype" w:cs="Palatino Linotype"/>
          <w:i/>
          <w:iCs/>
          <w:sz w:val="22"/>
          <w:lang w:val="es-ES"/>
        </w:rPr>
        <w:t>;</w:t>
      </w:r>
    </w:p>
    <w:p w14:paraId="3879DFA0" w14:textId="77777777"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i/>
          <w:iCs/>
          <w:sz w:val="22"/>
          <w:lang w:val="es-ES"/>
        </w:rPr>
        <w:t>(…)</w:t>
      </w:r>
    </w:p>
    <w:p w14:paraId="3684C176"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1DFE9885"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4B2DF930" w14:textId="77777777" w:rsidR="00286AA3" w:rsidRDefault="00286AA3" w:rsidP="00286AA3">
      <w:pPr>
        <w:pBdr>
          <w:top w:val="nil"/>
          <w:left w:val="nil"/>
          <w:bottom w:val="nil"/>
          <w:right w:val="nil"/>
          <w:between w:val="nil"/>
        </w:pBdr>
        <w:contextualSpacing/>
        <w:rPr>
          <w:rFonts w:eastAsia="Palatino Linotype" w:cs="Palatino Linotype"/>
          <w:color w:val="000000"/>
          <w:szCs w:val="24"/>
        </w:rPr>
      </w:pPr>
    </w:p>
    <w:p w14:paraId="5EBBF285" w14:textId="77777777" w:rsidR="00502DAB" w:rsidRPr="00012AFA" w:rsidRDefault="00502DAB" w:rsidP="00502DAB">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6B53C7CF" w14:textId="77777777" w:rsidR="00502DAB" w:rsidRPr="00012AFA" w:rsidRDefault="00502DAB" w:rsidP="00502DAB">
      <w:pPr>
        <w:pBdr>
          <w:top w:val="nil"/>
          <w:left w:val="nil"/>
          <w:bottom w:val="nil"/>
          <w:right w:val="nil"/>
          <w:between w:val="nil"/>
        </w:pBdr>
        <w:contextualSpacing/>
        <w:rPr>
          <w:szCs w:val="24"/>
        </w:rPr>
      </w:pPr>
    </w:p>
    <w:p w14:paraId="082534D5" w14:textId="77777777" w:rsidR="00502DAB" w:rsidRPr="00012AFA" w:rsidRDefault="00502DAB" w:rsidP="00502DAB">
      <w:pPr>
        <w:pBdr>
          <w:top w:val="nil"/>
          <w:left w:val="nil"/>
          <w:bottom w:val="nil"/>
          <w:right w:val="nil"/>
          <w:between w:val="nil"/>
        </w:pBdr>
        <w:spacing w:line="240" w:lineRule="auto"/>
        <w:ind w:left="567" w:right="616"/>
        <w:contextualSpacing/>
        <w:rPr>
          <w:i/>
          <w:sz w:val="22"/>
        </w:rPr>
      </w:pPr>
      <w:r w:rsidRPr="00012AFA">
        <w:rPr>
          <w:b/>
          <w:i/>
          <w:sz w:val="22"/>
        </w:rPr>
        <w:t>Artículo 4. (</w:t>
      </w:r>
      <w:r w:rsidRPr="00012AFA">
        <w:rPr>
          <w:i/>
          <w:sz w:val="22"/>
        </w:rPr>
        <w:t>…)</w:t>
      </w:r>
    </w:p>
    <w:p w14:paraId="166880C2" w14:textId="77777777" w:rsidR="00502DAB" w:rsidRPr="00012AFA" w:rsidRDefault="00502DAB" w:rsidP="00502DAB">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422060DA" w14:textId="77777777" w:rsidR="00502DAB" w:rsidRPr="00012AFA" w:rsidRDefault="00502DAB" w:rsidP="00502DAB">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F3064E2" w14:textId="77777777" w:rsidR="00502DAB" w:rsidRPr="00012AFA" w:rsidRDefault="00502DAB" w:rsidP="00502DAB">
      <w:pPr>
        <w:pBdr>
          <w:top w:val="nil"/>
          <w:left w:val="nil"/>
          <w:bottom w:val="nil"/>
          <w:right w:val="nil"/>
          <w:between w:val="nil"/>
        </w:pBdr>
        <w:spacing w:line="240" w:lineRule="auto"/>
        <w:ind w:left="567" w:right="616"/>
        <w:contextualSpacing/>
        <w:rPr>
          <w:i/>
          <w:sz w:val="22"/>
        </w:rPr>
      </w:pPr>
    </w:p>
    <w:p w14:paraId="2E9B1C34" w14:textId="77777777" w:rsidR="00502DAB" w:rsidRPr="00012AFA" w:rsidRDefault="00502DAB" w:rsidP="00502DAB">
      <w:pPr>
        <w:pBdr>
          <w:top w:val="nil"/>
          <w:left w:val="nil"/>
          <w:bottom w:val="nil"/>
          <w:right w:val="nil"/>
          <w:between w:val="nil"/>
        </w:pBdr>
        <w:spacing w:line="240" w:lineRule="auto"/>
        <w:ind w:left="567" w:right="616"/>
        <w:contextualSpacing/>
        <w:rPr>
          <w:i/>
          <w:sz w:val="22"/>
        </w:rPr>
      </w:pPr>
      <w:r w:rsidRPr="00012AFA">
        <w:rPr>
          <w:i/>
          <w:sz w:val="22"/>
        </w:rPr>
        <w:lastRenderedPageBreak/>
        <w:t>Solo podrá ser clasificada excepcionalmente como reservada temporalmente por razones de interés público, en los términos de las causas legítimas y estrictamente necesarias previstas por esta Ley.</w:t>
      </w:r>
    </w:p>
    <w:p w14:paraId="0F95B22A" w14:textId="77777777" w:rsidR="00502DAB" w:rsidRPr="00012AFA" w:rsidRDefault="00502DAB" w:rsidP="00502DAB">
      <w:pPr>
        <w:pBdr>
          <w:top w:val="nil"/>
          <w:left w:val="nil"/>
          <w:bottom w:val="nil"/>
          <w:right w:val="nil"/>
          <w:between w:val="nil"/>
        </w:pBdr>
        <w:contextualSpacing/>
        <w:rPr>
          <w:szCs w:val="24"/>
        </w:rPr>
      </w:pPr>
    </w:p>
    <w:p w14:paraId="7CE09C5E" w14:textId="77777777" w:rsidR="00502DAB" w:rsidRPr="00012AFA" w:rsidRDefault="00502DAB" w:rsidP="00502DAB">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FDBBB4F" w14:textId="77777777" w:rsidR="00502DAB" w:rsidRPr="00012AFA" w:rsidRDefault="00502DAB" w:rsidP="00502DAB">
      <w:pPr>
        <w:rPr>
          <w:rFonts w:cs="Arial"/>
          <w:iCs/>
        </w:rPr>
      </w:pPr>
    </w:p>
    <w:p w14:paraId="3BAD9499" w14:textId="77777777" w:rsidR="00502DAB" w:rsidRPr="00012AFA" w:rsidRDefault="00502DAB" w:rsidP="00502DAB">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D2A95B1" w14:textId="77777777" w:rsidR="00502DAB" w:rsidRPr="00012AFA" w:rsidRDefault="00502DAB" w:rsidP="00502DAB">
      <w:pPr>
        <w:spacing w:line="259" w:lineRule="auto"/>
        <w:ind w:right="567"/>
        <w:rPr>
          <w:rFonts w:cs="Arial"/>
          <w:szCs w:val="24"/>
        </w:rPr>
      </w:pPr>
    </w:p>
    <w:p w14:paraId="35BD4E31" w14:textId="77777777" w:rsidR="00502DAB" w:rsidRPr="00012AFA" w:rsidRDefault="00502DAB" w:rsidP="00502DAB">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3A6D6BB1" w14:textId="77777777" w:rsidR="00502DAB" w:rsidRPr="00012AFA" w:rsidRDefault="00502DAB" w:rsidP="00502DAB">
      <w:pPr>
        <w:spacing w:line="240" w:lineRule="auto"/>
        <w:ind w:left="567" w:right="567"/>
        <w:rPr>
          <w:rFonts w:cs="Arial"/>
          <w:i/>
          <w:sz w:val="22"/>
        </w:rPr>
      </w:pPr>
    </w:p>
    <w:p w14:paraId="12C9407E" w14:textId="77777777" w:rsidR="00502DAB" w:rsidRPr="00012AFA" w:rsidRDefault="00502DAB" w:rsidP="00502DAB">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DBBD76C" w14:textId="77777777" w:rsidR="00502DAB" w:rsidRPr="00012AFA" w:rsidRDefault="00502DAB" w:rsidP="00502DAB">
      <w:pPr>
        <w:rPr>
          <w:rFonts w:cs="Arial"/>
          <w:color w:val="000000"/>
        </w:rPr>
      </w:pPr>
    </w:p>
    <w:p w14:paraId="3A44262C" w14:textId="77777777" w:rsidR="00502DAB" w:rsidRPr="00012AFA" w:rsidRDefault="00502DAB" w:rsidP="00502DAB">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w:t>
      </w:r>
      <w:r w:rsidRPr="00012AFA">
        <w:rPr>
          <w:rFonts w:cs="Arial"/>
          <w:color w:val="000000"/>
        </w:rPr>
        <w:lastRenderedPageBreak/>
        <w:t xml:space="preserve">generar un documento </w:t>
      </w:r>
      <w:r w:rsidRPr="00012AFA">
        <w:rPr>
          <w:rFonts w:cs="Arial"/>
          <w:i/>
          <w:color w:val="000000"/>
        </w:rPr>
        <w:t>ad hoc</w:t>
      </w:r>
      <w:r w:rsidRPr="00012AFA">
        <w:rPr>
          <w:rFonts w:cs="Arial"/>
          <w:color w:val="000000"/>
        </w:rPr>
        <w:t>, para satisfacer el derecho de acceso a la información pública.</w:t>
      </w:r>
    </w:p>
    <w:p w14:paraId="63793AF4" w14:textId="77777777" w:rsidR="00502DAB" w:rsidRPr="00012AFA" w:rsidRDefault="00502DAB" w:rsidP="00502DAB">
      <w:pPr>
        <w:rPr>
          <w:rFonts w:cs="Arial"/>
          <w:color w:val="000000"/>
        </w:rPr>
      </w:pPr>
    </w:p>
    <w:p w14:paraId="3CD77BBB" w14:textId="77777777" w:rsidR="00502DAB" w:rsidRPr="00012AFA" w:rsidRDefault="00502DAB" w:rsidP="00502DAB">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31B28DA6" w14:textId="77777777" w:rsidR="00502DAB" w:rsidRPr="00012AFA" w:rsidRDefault="00502DAB" w:rsidP="00502DAB">
      <w:pPr>
        <w:jc w:val="left"/>
        <w:rPr>
          <w:rFonts w:eastAsia="Times New Roman" w:cs="Times New Roman"/>
          <w:szCs w:val="24"/>
          <w:lang w:eastAsia="es-ES"/>
        </w:rPr>
      </w:pPr>
    </w:p>
    <w:p w14:paraId="29F0F58B" w14:textId="77777777" w:rsidR="00502DAB" w:rsidRPr="00012AFA" w:rsidRDefault="00502DAB" w:rsidP="00502DAB">
      <w:pPr>
        <w:spacing w:line="259" w:lineRule="auto"/>
        <w:ind w:left="851" w:right="850"/>
        <w:rPr>
          <w:rFonts w:cs="Arial"/>
          <w:color w:val="000000"/>
          <w:sz w:val="2"/>
        </w:rPr>
      </w:pPr>
    </w:p>
    <w:p w14:paraId="1C089FFA" w14:textId="77777777" w:rsidR="00502DAB" w:rsidRPr="00012AFA" w:rsidRDefault="00502DAB" w:rsidP="00502DAB">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EE026E" w14:textId="77777777" w:rsidR="00502DAB" w:rsidRPr="00012AFA" w:rsidRDefault="00502DAB" w:rsidP="00502DAB">
      <w:pPr>
        <w:spacing w:line="240" w:lineRule="auto"/>
        <w:ind w:left="567" w:right="567"/>
        <w:rPr>
          <w:rFonts w:cs="Arial"/>
          <w:i/>
          <w:color w:val="000000"/>
          <w:sz w:val="2"/>
        </w:rPr>
      </w:pPr>
    </w:p>
    <w:p w14:paraId="72DFE9CF" w14:textId="77777777" w:rsidR="00502DAB" w:rsidRPr="00012AFA" w:rsidRDefault="00502DAB" w:rsidP="00502DAB">
      <w:pPr>
        <w:rPr>
          <w:rFonts w:cs="Arial"/>
          <w:color w:val="000000" w:themeColor="text1"/>
        </w:rPr>
      </w:pPr>
    </w:p>
    <w:p w14:paraId="13199EB7" w14:textId="77777777" w:rsidR="00502DAB" w:rsidRPr="00012AFA" w:rsidRDefault="00502DAB" w:rsidP="00502DAB">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EA9757" w14:textId="77777777" w:rsidR="00502DAB" w:rsidRPr="00012AFA" w:rsidRDefault="00502DAB" w:rsidP="00502DAB">
      <w:pPr>
        <w:rPr>
          <w:rFonts w:cs="Arial"/>
          <w:color w:val="000000" w:themeColor="text1"/>
        </w:rPr>
      </w:pPr>
    </w:p>
    <w:p w14:paraId="3ABCBBAC" w14:textId="77777777" w:rsidR="00502DAB" w:rsidRPr="00012AFA" w:rsidRDefault="00502DAB" w:rsidP="00502DAB">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 xml:space="preserve">expedientes, reportes, estudios, actas, resoluciones, oficios, correspondencia, acuerdos, directivas, directrices, circulares, contratos, convenios, instructivos, notas, memorandos, estadísticas o bien, cualquier otro registro que </w:t>
      </w:r>
      <w:r w:rsidRPr="00012AFA">
        <w:rPr>
          <w:rFonts w:cs="Arial"/>
        </w:rPr>
        <w:lastRenderedPageBreak/>
        <w:t>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757891DE" w14:textId="77777777" w:rsidR="00502DAB" w:rsidRPr="00012AFA" w:rsidRDefault="00502DAB" w:rsidP="00502DAB">
      <w:pPr>
        <w:pBdr>
          <w:top w:val="nil"/>
          <w:left w:val="nil"/>
          <w:bottom w:val="nil"/>
          <w:right w:val="nil"/>
          <w:between w:val="nil"/>
        </w:pBdr>
        <w:contextualSpacing/>
        <w:rPr>
          <w:szCs w:val="24"/>
        </w:rPr>
      </w:pPr>
    </w:p>
    <w:p w14:paraId="2D80F06E" w14:textId="77777777" w:rsidR="00502DAB" w:rsidRPr="00012AFA" w:rsidRDefault="00502DAB" w:rsidP="00502DAB">
      <w:pPr>
        <w:spacing w:line="240" w:lineRule="auto"/>
        <w:ind w:left="567" w:right="567"/>
        <w:rPr>
          <w:rFonts w:cs="Arial"/>
          <w:i/>
          <w:color w:val="000000"/>
          <w:sz w:val="22"/>
        </w:rPr>
      </w:pPr>
      <w:r w:rsidRPr="00012AFA">
        <w:rPr>
          <w:rFonts w:cs="Arial"/>
          <w:b/>
          <w:i/>
          <w:color w:val="000000"/>
          <w:sz w:val="22"/>
        </w:rPr>
        <w:t xml:space="preserve">Artículo 3. </w:t>
      </w:r>
      <w:r w:rsidRPr="00012AFA">
        <w:rPr>
          <w:rFonts w:cs="Arial"/>
          <w:i/>
          <w:color w:val="000000"/>
          <w:sz w:val="22"/>
        </w:rPr>
        <w:t>Para los efectos de la presente Ley se entenderá por:</w:t>
      </w:r>
    </w:p>
    <w:p w14:paraId="46946C53" w14:textId="77777777" w:rsidR="00502DAB" w:rsidRPr="00012AFA" w:rsidRDefault="00502DAB" w:rsidP="00502DAB">
      <w:pPr>
        <w:spacing w:line="240" w:lineRule="auto"/>
        <w:ind w:left="567" w:right="567"/>
        <w:rPr>
          <w:rFonts w:cs="Arial"/>
          <w:i/>
          <w:color w:val="000000"/>
          <w:sz w:val="22"/>
        </w:rPr>
      </w:pPr>
      <w:r w:rsidRPr="00012AFA">
        <w:rPr>
          <w:rFonts w:cs="Arial"/>
          <w:i/>
          <w:color w:val="000000"/>
          <w:sz w:val="22"/>
        </w:rPr>
        <w:t>(…)</w:t>
      </w:r>
    </w:p>
    <w:p w14:paraId="470C871D" w14:textId="77777777" w:rsidR="00502DAB" w:rsidRPr="00012AFA" w:rsidRDefault="00502DAB" w:rsidP="00502DAB">
      <w:pPr>
        <w:spacing w:line="240" w:lineRule="auto"/>
        <w:ind w:left="567" w:right="567"/>
        <w:rPr>
          <w:rFonts w:cs="Arial"/>
          <w:i/>
          <w:color w:val="000000"/>
          <w:sz w:val="22"/>
        </w:rPr>
      </w:pPr>
      <w:r w:rsidRPr="00012AFA">
        <w:rPr>
          <w:rFonts w:cs="Arial"/>
          <w:b/>
          <w:i/>
          <w:color w:val="000000"/>
          <w:sz w:val="22"/>
        </w:rPr>
        <w:t>XI. Documento:</w:t>
      </w:r>
      <w:r w:rsidRPr="00012AFA">
        <w:rPr>
          <w:rFonts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rFonts w:cs="Arial"/>
          <w:b/>
          <w:i/>
          <w:color w:val="000000"/>
          <w:sz w:val="22"/>
          <w:u w:val="single"/>
        </w:rPr>
        <w:t>Los documentos podrán estar en cualquier medio, sea escrito, impreso, sonoro, visual, electrónico, informático u holográfico</w:t>
      </w:r>
      <w:r w:rsidRPr="00012AFA">
        <w:rPr>
          <w:rFonts w:cs="Arial"/>
          <w:i/>
          <w:color w:val="000000"/>
          <w:sz w:val="22"/>
        </w:rPr>
        <w:t>;</w:t>
      </w:r>
    </w:p>
    <w:p w14:paraId="46A85101" w14:textId="77777777" w:rsidR="00502DAB" w:rsidRPr="00012AFA" w:rsidRDefault="00502DAB" w:rsidP="00502DAB">
      <w:pPr>
        <w:spacing w:line="240" w:lineRule="auto"/>
        <w:ind w:left="567" w:right="567"/>
        <w:rPr>
          <w:rFonts w:cs="Arial"/>
          <w:i/>
          <w:color w:val="000000"/>
          <w:sz w:val="22"/>
        </w:rPr>
      </w:pPr>
      <w:r w:rsidRPr="00012AFA">
        <w:rPr>
          <w:rFonts w:cs="Arial"/>
          <w:i/>
          <w:color w:val="000000"/>
          <w:sz w:val="22"/>
        </w:rPr>
        <w:t>(…)</w:t>
      </w:r>
    </w:p>
    <w:p w14:paraId="42387BAA" w14:textId="77777777" w:rsidR="00502DAB" w:rsidRPr="00012AFA" w:rsidRDefault="00502DAB" w:rsidP="00502DAB">
      <w:pPr>
        <w:pBdr>
          <w:top w:val="nil"/>
          <w:left w:val="nil"/>
          <w:bottom w:val="nil"/>
          <w:right w:val="nil"/>
          <w:between w:val="nil"/>
        </w:pBdr>
        <w:contextualSpacing/>
        <w:rPr>
          <w:szCs w:val="24"/>
        </w:rPr>
      </w:pPr>
    </w:p>
    <w:p w14:paraId="0BECFC9B" w14:textId="77777777" w:rsidR="00502DAB" w:rsidRPr="00012AFA" w:rsidRDefault="00502DAB" w:rsidP="00502DAB">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1DA3839A" w14:textId="77777777" w:rsidR="00502DAB" w:rsidRPr="00012AFA" w:rsidRDefault="00502DAB" w:rsidP="00502DAB">
      <w:pPr>
        <w:jc w:val="left"/>
        <w:rPr>
          <w:rFonts w:eastAsia="Times New Roman" w:cs="Times New Roman"/>
          <w:szCs w:val="24"/>
          <w:lang w:eastAsia="es-ES"/>
        </w:rPr>
      </w:pPr>
    </w:p>
    <w:p w14:paraId="24FC74C0" w14:textId="77777777" w:rsidR="00502DAB" w:rsidRPr="00012AFA" w:rsidRDefault="00502DAB" w:rsidP="00502DAB">
      <w:pPr>
        <w:spacing w:line="259" w:lineRule="auto"/>
        <w:ind w:left="567" w:right="567"/>
        <w:rPr>
          <w:rFonts w:cs="Arial"/>
          <w:sz w:val="2"/>
        </w:rPr>
      </w:pPr>
    </w:p>
    <w:p w14:paraId="0417C05F" w14:textId="77777777" w:rsidR="00502DAB" w:rsidRPr="00012AFA" w:rsidRDefault="00502DAB" w:rsidP="00502DAB">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3BAF17" w14:textId="77777777" w:rsidR="00502DAB" w:rsidRPr="00012AFA" w:rsidRDefault="00502DAB" w:rsidP="00502DAB">
      <w:pPr>
        <w:spacing w:line="240" w:lineRule="auto"/>
        <w:ind w:left="567" w:right="567"/>
        <w:rPr>
          <w:rFonts w:cs="Arial"/>
          <w:i/>
          <w:sz w:val="22"/>
        </w:rPr>
      </w:pPr>
      <w:r w:rsidRPr="00012AFA">
        <w:rPr>
          <w:rFonts w:cs="Arial"/>
          <w:i/>
          <w:sz w:val="22"/>
        </w:rPr>
        <w:t>En consecuencia el acceso a la información se refiere a que se cumplan cualquiera de los siguientes tres supuestos:</w:t>
      </w:r>
    </w:p>
    <w:p w14:paraId="72B8D022" w14:textId="77777777" w:rsidR="00502DAB" w:rsidRPr="00012AFA" w:rsidRDefault="00502DAB" w:rsidP="00502DAB">
      <w:pPr>
        <w:spacing w:line="240" w:lineRule="auto"/>
        <w:ind w:left="567" w:right="567"/>
        <w:rPr>
          <w:rFonts w:cs="Arial"/>
          <w:b/>
          <w:i/>
          <w:sz w:val="22"/>
        </w:rPr>
      </w:pPr>
    </w:p>
    <w:p w14:paraId="37158CD5" w14:textId="77777777" w:rsidR="00502DAB" w:rsidRPr="00012AFA" w:rsidRDefault="00502DAB" w:rsidP="00502DAB">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Que se trate de información registrada en cualquier soporte documental, que en ejercicio de las atribuciones conferidas, sea generada por los Sujetos Obligados;</w:t>
      </w:r>
    </w:p>
    <w:p w14:paraId="50C8912F" w14:textId="77777777" w:rsidR="00502DAB" w:rsidRPr="00012AFA" w:rsidRDefault="00502DAB" w:rsidP="00502DAB">
      <w:pPr>
        <w:spacing w:line="240" w:lineRule="auto"/>
        <w:ind w:left="567" w:right="567"/>
        <w:rPr>
          <w:rFonts w:cs="Arial"/>
          <w:i/>
          <w:sz w:val="22"/>
        </w:rPr>
      </w:pPr>
      <w:r w:rsidRPr="00012AFA">
        <w:rPr>
          <w:rFonts w:cs="Arial"/>
          <w:i/>
          <w:sz w:val="22"/>
        </w:rPr>
        <w:t>2) Que se trate de información registrada en cualquier soporte documental, que en ejercicio de las atribuciones conferidas, sea administrada por los Sujetos Obligados, y</w:t>
      </w:r>
    </w:p>
    <w:p w14:paraId="39768EB1" w14:textId="77777777" w:rsidR="00502DAB" w:rsidRPr="00012AFA" w:rsidRDefault="00502DAB" w:rsidP="00502DAB">
      <w:pPr>
        <w:spacing w:line="240" w:lineRule="auto"/>
        <w:ind w:left="567" w:right="567"/>
        <w:rPr>
          <w:rFonts w:cs="Arial"/>
          <w:i/>
          <w:sz w:val="18"/>
        </w:rPr>
      </w:pPr>
      <w:r w:rsidRPr="00012AFA">
        <w:rPr>
          <w:rFonts w:cs="Arial"/>
          <w:i/>
          <w:sz w:val="22"/>
        </w:rPr>
        <w:t>3) Que se trate de información registrada en cualquier soporte documental, que en ejercicio de las atribuciones conferidas, se encuentre en posesión de los Sujetos Obligados.</w:t>
      </w:r>
    </w:p>
    <w:p w14:paraId="144CF53E" w14:textId="77777777" w:rsidR="00502DAB" w:rsidRDefault="00502DAB" w:rsidP="00502DAB">
      <w:pPr>
        <w:pBdr>
          <w:top w:val="nil"/>
          <w:left w:val="nil"/>
          <w:bottom w:val="nil"/>
          <w:right w:val="nil"/>
          <w:between w:val="nil"/>
        </w:pBdr>
        <w:contextualSpacing/>
        <w:rPr>
          <w:rFonts w:eastAsia="Palatino Linotype" w:cs="Palatino Linotype"/>
          <w:color w:val="000000"/>
          <w:szCs w:val="24"/>
        </w:rPr>
      </w:pPr>
    </w:p>
    <w:p w14:paraId="45896C74" w14:textId="390B2175" w:rsidR="00502DAB" w:rsidRPr="00502DAB" w:rsidRDefault="00502DAB" w:rsidP="00502DAB">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 xml:space="preserve">ser consultada 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2BE03026"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52A3F965" w14:textId="1C82ECF9" w:rsidR="00502DAB" w:rsidRDefault="00502DAB" w:rsidP="00286AA3">
      <w:pPr>
        <w:pBdr>
          <w:top w:val="nil"/>
          <w:left w:val="nil"/>
          <w:bottom w:val="nil"/>
          <w:right w:val="nil"/>
          <w:between w:val="nil"/>
        </w:pBdr>
        <w:contextualSpacing/>
        <w:rPr>
          <w:rFonts w:eastAsia="Palatino Linotype" w:cs="Palatino Linotype"/>
          <w:color w:val="000000"/>
          <w:szCs w:val="24"/>
        </w:rPr>
      </w:pPr>
      <w:r w:rsidRPr="0095552E">
        <w:rPr>
          <w:rFonts w:eastAsia="Palatino Linotype" w:cs="Palatino Linotype"/>
          <w:color w:val="000000"/>
          <w:szCs w:val="24"/>
        </w:rPr>
        <w:t>En esa tesitura, tampoco se soslaya q</w:t>
      </w:r>
      <w:r w:rsidR="00A82B72" w:rsidRPr="0095552E">
        <w:rPr>
          <w:rFonts w:eastAsia="Palatino Linotype" w:cs="Palatino Linotype"/>
          <w:color w:val="000000"/>
          <w:szCs w:val="24"/>
        </w:rPr>
        <w:t>ue la respuesta fue emitida</w:t>
      </w:r>
      <w:r w:rsidRPr="0095552E">
        <w:rPr>
          <w:rFonts w:eastAsia="Palatino Linotype" w:cs="Palatino Linotype"/>
          <w:color w:val="000000"/>
          <w:szCs w:val="24"/>
        </w:rPr>
        <w:t xml:space="preserve"> por la </w:t>
      </w:r>
      <w:r w:rsidR="005346BD" w:rsidRPr="0095552E">
        <w:rPr>
          <w:rFonts w:eastAsia="Palatino Linotype" w:cs="Palatino Linotype"/>
          <w:color w:val="000000"/>
          <w:szCs w:val="24"/>
        </w:rPr>
        <w:t>Tesorería  del Sujeto Obligado.</w:t>
      </w:r>
      <w:r w:rsidR="00A7621E" w:rsidRPr="0095552E">
        <w:rPr>
          <w:rFonts w:eastAsia="Palatino Linotype" w:cs="Palatino Linotype"/>
          <w:color w:val="000000"/>
          <w:szCs w:val="24"/>
        </w:rPr>
        <w:t xml:space="preserve"> Al respecto, el Reglamento Interno del Sistema Municipal para el</w:t>
      </w:r>
      <w:r w:rsidR="00A7621E" w:rsidRPr="00A82B72">
        <w:rPr>
          <w:rFonts w:eastAsia="Palatino Linotype" w:cs="Palatino Linotype"/>
          <w:color w:val="000000"/>
          <w:szCs w:val="24"/>
        </w:rPr>
        <w:t xml:space="preserve"> Desarrollo Integral de la Familia de </w:t>
      </w:r>
      <w:r w:rsidR="00AC76AD">
        <w:rPr>
          <w:rFonts w:eastAsia="Palatino Linotype" w:cs="Palatino Linotype"/>
          <w:color w:val="000000"/>
          <w:szCs w:val="24"/>
        </w:rPr>
        <w:t>Atizapán de Zaragoza</w:t>
      </w:r>
      <w:r w:rsidR="00A7621E">
        <w:rPr>
          <w:rFonts w:eastAsia="Palatino Linotype" w:cs="Palatino Linotype"/>
          <w:color w:val="000000"/>
          <w:szCs w:val="24"/>
        </w:rPr>
        <w:t xml:space="preserve">, Estado de México, establece en su artículo </w:t>
      </w:r>
      <w:r w:rsidR="00C9690A">
        <w:rPr>
          <w:rFonts w:eastAsia="Palatino Linotype" w:cs="Palatino Linotype"/>
          <w:color w:val="000000"/>
          <w:szCs w:val="24"/>
        </w:rPr>
        <w:t xml:space="preserve">58 fracciones </w:t>
      </w:r>
      <w:r w:rsidR="00270AD6">
        <w:rPr>
          <w:rFonts w:eastAsia="Palatino Linotype" w:cs="Palatino Linotype"/>
          <w:color w:val="000000"/>
          <w:szCs w:val="24"/>
        </w:rPr>
        <w:t xml:space="preserve">I, V, </w:t>
      </w:r>
      <w:r w:rsidR="00C727AF">
        <w:rPr>
          <w:rFonts w:eastAsia="Palatino Linotype" w:cs="Palatino Linotype"/>
          <w:color w:val="000000"/>
          <w:szCs w:val="24"/>
        </w:rPr>
        <w:t xml:space="preserve">XVI y </w:t>
      </w:r>
      <w:r w:rsidR="006F6C4A">
        <w:rPr>
          <w:rFonts w:eastAsia="Palatino Linotype" w:cs="Palatino Linotype"/>
          <w:color w:val="000000"/>
          <w:szCs w:val="24"/>
        </w:rPr>
        <w:t>XVII</w:t>
      </w:r>
      <w:r w:rsidR="00036439">
        <w:rPr>
          <w:rFonts w:eastAsia="Palatino Linotype" w:cs="Palatino Linotype"/>
          <w:color w:val="000000"/>
          <w:szCs w:val="24"/>
        </w:rPr>
        <w:t xml:space="preserve"> </w:t>
      </w:r>
      <w:r w:rsidR="00A7621E">
        <w:rPr>
          <w:rFonts w:eastAsia="Palatino Linotype" w:cs="Palatino Linotype"/>
          <w:color w:val="000000"/>
          <w:szCs w:val="24"/>
        </w:rPr>
        <w:t>lo siguiente:</w:t>
      </w:r>
    </w:p>
    <w:p w14:paraId="6327D295" w14:textId="77777777" w:rsidR="00A7621E" w:rsidRDefault="00A7621E" w:rsidP="00286AA3">
      <w:pPr>
        <w:pBdr>
          <w:top w:val="nil"/>
          <w:left w:val="nil"/>
          <w:bottom w:val="nil"/>
          <w:right w:val="nil"/>
          <w:between w:val="nil"/>
        </w:pBdr>
        <w:contextualSpacing/>
        <w:rPr>
          <w:rFonts w:eastAsia="Palatino Linotype" w:cs="Palatino Linotype"/>
          <w:color w:val="000000"/>
          <w:szCs w:val="24"/>
        </w:rPr>
      </w:pPr>
    </w:p>
    <w:p w14:paraId="0ABDC636" w14:textId="5BE329E9" w:rsidR="00502DAB" w:rsidRDefault="00F42507" w:rsidP="00341D73">
      <w:pPr>
        <w:pStyle w:val="Fundamentos"/>
      </w:pPr>
      <w:r w:rsidRPr="00341D73">
        <w:rPr>
          <w:b/>
          <w:bCs/>
        </w:rPr>
        <w:t>Artículo 58.-</w:t>
      </w:r>
      <w:r w:rsidRPr="00F42507">
        <w:t xml:space="preserve"> Corresponde a la Tesorería a través de su Titular, el despacho de los</w:t>
      </w:r>
      <w:r w:rsidR="00341D73">
        <w:t xml:space="preserve"> </w:t>
      </w:r>
      <w:r w:rsidRPr="00F42507">
        <w:t>siguientes asuntos:</w:t>
      </w:r>
    </w:p>
    <w:p w14:paraId="19298C90" w14:textId="77777777" w:rsidR="00F42507" w:rsidRDefault="00F42507" w:rsidP="00341D73">
      <w:pPr>
        <w:pStyle w:val="Fundamentos"/>
      </w:pPr>
    </w:p>
    <w:p w14:paraId="73511DF1" w14:textId="3E106A68" w:rsidR="00F42507" w:rsidRDefault="00641937" w:rsidP="00341D73">
      <w:pPr>
        <w:pStyle w:val="Fundamentos"/>
      </w:pPr>
      <w:r w:rsidRPr="00641937">
        <w:t>I. Dirigir, coordinar, administrar y supervisar los recursos económicos, humanos, materiales y de</w:t>
      </w:r>
      <w:r>
        <w:t xml:space="preserve"> </w:t>
      </w:r>
      <w:r w:rsidRPr="00641937">
        <w:t>equipamiento de las diferentes áreas administrativas del Sistema Municipal DIF de Atizapán de</w:t>
      </w:r>
      <w:r>
        <w:t xml:space="preserve"> </w:t>
      </w:r>
      <w:r w:rsidRPr="00641937">
        <w:t>Zaragoza;</w:t>
      </w:r>
    </w:p>
    <w:p w14:paraId="5CD3B898" w14:textId="34199F19" w:rsidR="00F42507" w:rsidRDefault="006F6C4A" w:rsidP="00341D73">
      <w:pPr>
        <w:pStyle w:val="Fundamentos"/>
      </w:pPr>
      <w:r>
        <w:t>[…]</w:t>
      </w:r>
    </w:p>
    <w:p w14:paraId="5609AF4A" w14:textId="4B2F258A" w:rsidR="006F6C4A" w:rsidRDefault="004927A5" w:rsidP="00341D73">
      <w:pPr>
        <w:pStyle w:val="Fundamentos"/>
      </w:pPr>
      <w:r w:rsidRPr="004927A5">
        <w:t>V. Vigilar que el ejercicio del gasto público del Sistema Municipal DIF de Atizapán de Zaragoza se</w:t>
      </w:r>
      <w:r>
        <w:t xml:space="preserve"> </w:t>
      </w:r>
      <w:r w:rsidRPr="004927A5">
        <w:t>ejecute observando eficacia, eficiencia, calidad y transparencia;</w:t>
      </w:r>
    </w:p>
    <w:p w14:paraId="61CD997B" w14:textId="3A39EE03" w:rsidR="004927A5" w:rsidRDefault="004927A5" w:rsidP="00341D73">
      <w:pPr>
        <w:pStyle w:val="Fundamentos"/>
      </w:pPr>
      <w:r>
        <w:t>[…]</w:t>
      </w:r>
    </w:p>
    <w:p w14:paraId="349BD663" w14:textId="6CAE4646" w:rsidR="00341D73" w:rsidRPr="00341D73" w:rsidRDefault="00341D73" w:rsidP="00341D73">
      <w:pPr>
        <w:pStyle w:val="Fundamentos"/>
      </w:pPr>
      <w:r w:rsidRPr="00341D73">
        <w:t>XVI. Vigilar los registros contables y el control presupuestal en materia de patrimonio, finanzas,</w:t>
      </w:r>
      <w:r>
        <w:t xml:space="preserve"> </w:t>
      </w:r>
      <w:r w:rsidRPr="00341D73">
        <w:t>recursos humanos y materiales;</w:t>
      </w:r>
    </w:p>
    <w:p w14:paraId="3E69730A" w14:textId="4DFF5E7E" w:rsidR="00F42507" w:rsidRDefault="00341D73" w:rsidP="00341D73">
      <w:pPr>
        <w:pStyle w:val="Fundamentos"/>
      </w:pPr>
      <w:r w:rsidRPr="00341D73">
        <w:lastRenderedPageBreak/>
        <w:t>XVII. Vigilar y dar cumplimiento a las obligaciones fiscales del Sistema Municipal DIF de Atizapán de</w:t>
      </w:r>
      <w:r>
        <w:t xml:space="preserve"> </w:t>
      </w:r>
      <w:r w:rsidRPr="00341D73">
        <w:t>Zaragoza;</w:t>
      </w:r>
    </w:p>
    <w:p w14:paraId="14BE456A" w14:textId="40678AF8" w:rsidR="00341D73" w:rsidRDefault="00341D73" w:rsidP="00341D73">
      <w:pPr>
        <w:pStyle w:val="Fundamentos"/>
      </w:pPr>
      <w:r>
        <w:t>[…]</w:t>
      </w:r>
    </w:p>
    <w:p w14:paraId="35B110FD" w14:textId="77777777" w:rsidR="00F42507" w:rsidRDefault="00F42507" w:rsidP="00286AA3">
      <w:pPr>
        <w:pBdr>
          <w:top w:val="nil"/>
          <w:left w:val="nil"/>
          <w:bottom w:val="nil"/>
          <w:right w:val="nil"/>
          <w:between w:val="nil"/>
        </w:pBdr>
        <w:contextualSpacing/>
        <w:rPr>
          <w:rFonts w:eastAsia="Palatino Linotype" w:cs="Palatino Linotype"/>
          <w:color w:val="000000"/>
          <w:szCs w:val="24"/>
        </w:rPr>
      </w:pPr>
    </w:p>
    <w:p w14:paraId="2D69AB75" w14:textId="360434C3" w:rsidR="00502DAB" w:rsidRPr="00E90C51" w:rsidRDefault="00A7621E" w:rsidP="00286AA3">
      <w:pPr>
        <w:pBdr>
          <w:top w:val="nil"/>
          <w:left w:val="nil"/>
          <w:bottom w:val="nil"/>
          <w:right w:val="nil"/>
          <w:between w:val="nil"/>
        </w:pBdr>
        <w:contextualSpacing/>
        <w:rPr>
          <w:rFonts w:eastAsia="Palatino Linotype" w:cs="Palatino Linotype"/>
          <w:b/>
          <w:bCs/>
          <w:color w:val="000000"/>
          <w:szCs w:val="24"/>
        </w:rPr>
      </w:pPr>
      <w:r>
        <w:rPr>
          <w:rFonts w:eastAsia="Palatino Linotype" w:cs="Palatino Linotype"/>
          <w:color w:val="000000"/>
          <w:szCs w:val="24"/>
        </w:rPr>
        <w:t xml:space="preserve">De los preceptos citados se desprende que la </w:t>
      </w:r>
      <w:r w:rsidR="0095552E">
        <w:rPr>
          <w:rFonts w:eastAsia="Palatino Linotype" w:cs="Palatino Linotype"/>
          <w:color w:val="000000"/>
          <w:szCs w:val="24"/>
        </w:rPr>
        <w:t>Tesorería</w:t>
      </w:r>
      <w:r w:rsidR="00C760AB">
        <w:rPr>
          <w:rFonts w:eastAsia="Palatino Linotype" w:cs="Palatino Linotype"/>
          <w:color w:val="000000"/>
          <w:szCs w:val="24"/>
        </w:rPr>
        <w:t xml:space="preserve"> es el área facultada para administrar y supervisar los recursos económicos del Sujeto Obligado, así como para vigilar que el ejercicio del gasto </w:t>
      </w:r>
      <w:r w:rsidR="00811BFB">
        <w:rPr>
          <w:rFonts w:eastAsia="Palatino Linotype" w:cs="Palatino Linotype"/>
          <w:color w:val="000000"/>
          <w:szCs w:val="24"/>
        </w:rPr>
        <w:t>público</w:t>
      </w:r>
      <w:r w:rsidR="00C760AB">
        <w:rPr>
          <w:rFonts w:eastAsia="Palatino Linotype" w:cs="Palatino Linotype"/>
          <w:color w:val="000000"/>
          <w:szCs w:val="24"/>
        </w:rPr>
        <w:t xml:space="preserve"> </w:t>
      </w:r>
      <w:r w:rsidR="00811BFB">
        <w:rPr>
          <w:rFonts w:eastAsia="Palatino Linotype" w:cs="Palatino Linotype"/>
          <w:color w:val="000000"/>
          <w:szCs w:val="24"/>
        </w:rPr>
        <w:t xml:space="preserve">se ejecute con eficiencia, </w:t>
      </w:r>
      <w:r w:rsidR="0034730B">
        <w:rPr>
          <w:rFonts w:eastAsia="Palatino Linotype" w:cs="Palatino Linotype"/>
          <w:color w:val="000000"/>
          <w:szCs w:val="24"/>
        </w:rPr>
        <w:t>calidad y transparencia; de vigilar los registros contables y el control presupuestal</w:t>
      </w:r>
      <w:r w:rsidR="00E90C51">
        <w:rPr>
          <w:rFonts w:eastAsia="Palatino Linotype" w:cs="Palatino Linotype"/>
          <w:color w:val="000000"/>
          <w:szCs w:val="24"/>
        </w:rPr>
        <w:t xml:space="preserve"> y vigilar y </w:t>
      </w:r>
      <w:r w:rsidR="00E90C51" w:rsidRPr="00E90C51">
        <w:rPr>
          <w:rFonts w:eastAsia="Palatino Linotype" w:cs="Palatino Linotype"/>
          <w:b/>
          <w:bCs/>
          <w:color w:val="000000"/>
          <w:szCs w:val="24"/>
        </w:rPr>
        <w:t>dar cumplimiento a las obli</w:t>
      </w:r>
      <w:r w:rsidR="00E90C51">
        <w:rPr>
          <w:rFonts w:eastAsia="Palatino Linotype" w:cs="Palatino Linotype"/>
          <w:b/>
          <w:bCs/>
          <w:color w:val="000000"/>
          <w:szCs w:val="24"/>
        </w:rPr>
        <w:t>gaciones fiscales del Sujeto Obligado</w:t>
      </w:r>
      <w:r w:rsidR="00674B55">
        <w:rPr>
          <w:rFonts w:eastAsia="Palatino Linotype" w:cs="Palatino Linotype"/>
          <w:b/>
          <w:bCs/>
          <w:color w:val="000000"/>
          <w:szCs w:val="24"/>
        </w:rPr>
        <w:t>.</w:t>
      </w:r>
    </w:p>
    <w:p w14:paraId="4E8C5ED1" w14:textId="77777777" w:rsidR="00A7621E" w:rsidRDefault="00A7621E" w:rsidP="00286AA3">
      <w:pPr>
        <w:pBdr>
          <w:top w:val="nil"/>
          <w:left w:val="nil"/>
          <w:bottom w:val="nil"/>
          <w:right w:val="nil"/>
          <w:between w:val="nil"/>
        </w:pBdr>
        <w:contextualSpacing/>
        <w:rPr>
          <w:rFonts w:eastAsia="Palatino Linotype" w:cs="Palatino Linotype"/>
          <w:color w:val="000000"/>
          <w:szCs w:val="24"/>
        </w:rPr>
      </w:pPr>
    </w:p>
    <w:p w14:paraId="7B303B79" w14:textId="26F1B1AA" w:rsidR="00A7621E" w:rsidRDefault="00674B55" w:rsidP="00286AA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anterior, es dable colegir que la Tesorería</w:t>
      </w:r>
      <w:r w:rsidR="00D81D5E">
        <w:rPr>
          <w:rFonts w:eastAsia="Palatino Linotype" w:cs="Palatino Linotype"/>
          <w:color w:val="000000"/>
          <w:szCs w:val="24"/>
        </w:rPr>
        <w:t xml:space="preserve"> es la unidad administrativa </w:t>
      </w:r>
      <w:r w:rsidR="00A7621E">
        <w:rPr>
          <w:rFonts w:eastAsia="Palatino Linotype" w:cs="Palatino Linotype"/>
          <w:color w:val="000000"/>
          <w:szCs w:val="24"/>
        </w:rPr>
        <w:t>competente para generar, poseer o administrar la información solicitada.</w:t>
      </w:r>
    </w:p>
    <w:p w14:paraId="49E376ED"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1C1C0CA2" w14:textId="25CD68F8" w:rsidR="00A7621E" w:rsidRDefault="00A7621E" w:rsidP="00A7621E">
      <w:r w:rsidRPr="00191E53">
        <w:t xml:space="preserve">Por lo que este Órgano Garante estima conveniente delimitar el estudio de la presente resolución al cambio en la modalidad </w:t>
      </w:r>
      <w:r w:rsidR="00620B22" w:rsidRPr="00191E53">
        <w:t>a consulta directa</w:t>
      </w:r>
      <w:r w:rsidRPr="00191E53">
        <w:t>, propuesto por el Sujeto Obligado, pues son estos actos los que, a consideración de</w:t>
      </w:r>
      <w:r w:rsidR="00D81D5E" w:rsidRPr="00191E53">
        <w:t>l</w:t>
      </w:r>
      <w:r w:rsidRPr="00191E53">
        <w:t xml:space="preserve"> Recurrente, le causan agravio a su derecho de acceso a la información.</w:t>
      </w:r>
    </w:p>
    <w:p w14:paraId="7B1D7173" w14:textId="77777777" w:rsidR="00A7621E" w:rsidRDefault="00A7621E" w:rsidP="00A7621E"/>
    <w:p w14:paraId="3396375F" w14:textId="1F1470B2" w:rsidR="00A7621E" w:rsidRDefault="00A7621E" w:rsidP="00A7621E">
      <w:r w:rsidRPr="00992A0D">
        <w:t xml:space="preserve">Asimismo,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rsidR="00FC0957">
        <w:t xml:space="preserve"> </w:t>
      </w:r>
      <w:r w:rsidRPr="00992A0D">
        <w:t>l</w:t>
      </w:r>
      <w:r w:rsidR="00FC0957">
        <w:t>a</w:t>
      </w:r>
      <w:r w:rsidRPr="00992A0D">
        <w:t xml:space="preserve"> Recurrente la información</w:t>
      </w:r>
      <w:r w:rsidR="00FC0957">
        <w:t xml:space="preserve"> mediante consulta directa en las instalaciones del SMDIF, sin que se motivara o fundara dicho cambio en la modalidad de entrega.</w:t>
      </w:r>
    </w:p>
    <w:p w14:paraId="4FDFB00E" w14:textId="77777777" w:rsidR="00FC0957" w:rsidRDefault="00FC0957" w:rsidP="00FC0957">
      <w:pPr>
        <w:contextualSpacing/>
        <w:rPr>
          <w:rFonts w:eastAsia="Palatino Linotype" w:cs="Palatino Linotype"/>
          <w:szCs w:val="24"/>
        </w:rPr>
      </w:pPr>
    </w:p>
    <w:p w14:paraId="5371D5F6" w14:textId="61C16D69" w:rsidR="00FC0957" w:rsidRDefault="00FC0957" w:rsidP="00FC0957">
      <w:pPr>
        <w:contextualSpacing/>
        <w:rPr>
          <w:rFonts w:eastAsia="Palatino Linotype" w:cs="Palatino Linotype"/>
          <w:szCs w:val="24"/>
        </w:rPr>
      </w:pPr>
      <w:r>
        <w:rPr>
          <w:rFonts w:eastAsia="Palatino Linotype" w:cs="Palatino Linotype"/>
          <w:szCs w:val="24"/>
        </w:rPr>
        <w:lastRenderedPageBreak/>
        <w:t xml:space="preserve">Al respecto, el día </w:t>
      </w:r>
      <w:r w:rsidR="007108E2">
        <w:rPr>
          <w:rFonts w:eastAsia="Palatino Linotype" w:cs="Palatino Linotype"/>
          <w:szCs w:val="24"/>
        </w:rPr>
        <w:t>veintisiete de febrero de dos mil veinticuatro</w:t>
      </w:r>
      <w:r>
        <w:rPr>
          <w:rFonts w:eastAsia="Palatino Linotype" w:cs="Palatino Linotype"/>
          <w:szCs w:val="24"/>
        </w:rPr>
        <w:t xml:space="preserve"> se remitió un correo al Sujeto Obligado con la finalidad de que, para acreditar la necesidad del cambio de modalidad, manifestara </w:t>
      </w:r>
      <w:r w:rsidRPr="00571CA3">
        <w:rPr>
          <w:rFonts w:eastAsia="Palatino Linotype" w:cs="Palatino Linotype"/>
          <w:szCs w:val="24"/>
        </w:rPr>
        <w:t>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w:t>
      </w:r>
      <w:r>
        <w:rPr>
          <w:rFonts w:eastAsia="Palatino Linotype" w:cs="Palatino Linotype"/>
          <w:szCs w:val="24"/>
        </w:rPr>
        <w:t>asan las capacidades del SAIMEX. Empero, el Sujeto Obligado no dio contestación al mencionado correo electrónico.</w:t>
      </w:r>
    </w:p>
    <w:p w14:paraId="285F942B"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240A625A" w14:textId="5F6603C6" w:rsidR="00FC0957" w:rsidRDefault="00FC0957" w:rsidP="00FC0957">
      <w:r>
        <w:t>Por lo anterior</w:t>
      </w:r>
      <w:r w:rsidRPr="00992A0D">
        <w:t>, se solicitó mediante correo electrónico oficial a la Dirección General de Informática de este Instituto, el informe respecto a si existió reporte de incidencias realizado por el S</w:t>
      </w:r>
      <w:r>
        <w:t xml:space="preserve">ujeto Obligado en el presente </w:t>
      </w:r>
      <w:r w:rsidRPr="00A64201">
        <w:t xml:space="preserve">recurso de revisión, por lo que mediante correo electrónico de fecha </w:t>
      </w:r>
      <w:r w:rsidR="00A64201" w:rsidRPr="00A64201">
        <w:t>siete de marzo de dos mil veinticuatro</w:t>
      </w:r>
      <w:r w:rsidRPr="00A64201">
        <w:t>, la Dirección General de Informática de este Instituto de Transparencia, Acceso a la Información</w:t>
      </w:r>
      <w:r w:rsidRPr="00992A0D">
        <w:t xml:space="preserve"> Pública y Protección de Datos Personales del Estado de México y Municipios, notificó a esta Ponencia que no se tiene reporte de llamada alguna, ni tampoco se tiene registro de incidencia por parte del Sujeto Obligado </w:t>
      </w:r>
      <w:r>
        <w:t>al respecto.</w:t>
      </w:r>
    </w:p>
    <w:p w14:paraId="75C3F622"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1E09BBB1" w14:textId="7295C7B7" w:rsidR="00FC0957" w:rsidRPr="00992A0D" w:rsidRDefault="00FC0957" w:rsidP="00FC0957">
      <w:r w:rsidRPr="00992A0D">
        <w:t xml:space="preserve">Asimismo informó que en relación al peso máximo de archivos que soporta el SAIMEX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w:t>
      </w:r>
      <w:r w:rsidR="004805D3">
        <w:t>«</w:t>
      </w:r>
      <w:r w:rsidRPr="00992A0D">
        <w:t>PDF</w:t>
      </w:r>
      <w:r w:rsidR="004805D3">
        <w:t>»</w:t>
      </w:r>
      <w:r w:rsidRPr="00992A0D">
        <w:t xml:space="preserve"> extraído directamente del escáner.</w:t>
      </w:r>
    </w:p>
    <w:p w14:paraId="767247CB" w14:textId="77777777" w:rsidR="00FC0957" w:rsidRDefault="00FC0957" w:rsidP="00FC0957">
      <w:pPr>
        <w:contextualSpacing/>
        <w:rPr>
          <w:rFonts w:eastAsia="Palatino Linotype" w:cs="Palatino Linotype"/>
          <w:szCs w:val="24"/>
        </w:rPr>
      </w:pPr>
    </w:p>
    <w:p w14:paraId="1939366D" w14:textId="77777777" w:rsidR="00FC0957" w:rsidRDefault="00FC0957" w:rsidP="00FC0957">
      <w:r w:rsidRPr="00992A0D">
        <w:t>Por lo anterior, es de concluirse en este punto, que el Sujeto Obligado no acredita la necesidad del cambio de modalidad de la entrega de información, en consecuencia, es dable ordenar la entrega de la información en la vía peticionada, es decir a través del SAIMEX, al no tenerse por cumplidos los requisitos de procedencia.</w:t>
      </w:r>
    </w:p>
    <w:p w14:paraId="42E9BADB" w14:textId="77777777" w:rsidR="00FC0957" w:rsidRDefault="00FC0957" w:rsidP="00FC0957"/>
    <w:p w14:paraId="1BB2336F" w14:textId="77777777" w:rsidR="00FC0957" w:rsidRPr="00992A0D" w:rsidRDefault="00FC0957" w:rsidP="00FC0957">
      <w:pPr>
        <w:rPr>
          <w:rFonts w:cs="Arial"/>
          <w:szCs w:val="24"/>
        </w:rPr>
      </w:pPr>
      <w:r>
        <w:rPr>
          <w:szCs w:val="24"/>
        </w:rPr>
        <w:t>Consecuentemente</w:t>
      </w:r>
      <w:r w:rsidRPr="00992A0D">
        <w:rPr>
          <w:szCs w:val="24"/>
        </w:rPr>
        <w:t xml:space="preserve">, la actuación del Sujeto Obligado </w:t>
      </w:r>
      <w:r w:rsidRPr="00992A0D">
        <w:rPr>
          <w:rFonts w:eastAsia="MS Mincho" w:cs="Arial"/>
          <w:szCs w:val="24"/>
        </w:rPr>
        <w:t xml:space="preserve">constituye una afectación al derecho humano de acceso a la información pública del particular, toda vez que pretendió cambiar la modalidad de entrega de la información; </w:t>
      </w:r>
      <w:r w:rsidRPr="00992A0D">
        <w:rPr>
          <w:rFonts w:cs="Arial"/>
          <w:szCs w:val="24"/>
        </w:rPr>
        <w:t>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1E6BF4EE" w14:textId="77777777" w:rsidR="00FC0957" w:rsidRPr="00992A0D" w:rsidRDefault="00FC0957" w:rsidP="00FC0957">
      <w:pPr>
        <w:jc w:val="left"/>
        <w:rPr>
          <w:szCs w:val="24"/>
        </w:rPr>
      </w:pPr>
    </w:p>
    <w:p w14:paraId="2EA00C81" w14:textId="77777777" w:rsidR="00FC0957" w:rsidRPr="00992A0D" w:rsidRDefault="00FC0957" w:rsidP="00FC0957">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4D0C73A0" w14:textId="77777777" w:rsidR="00FC0957" w:rsidRPr="00992A0D" w:rsidRDefault="00FC0957" w:rsidP="00FC0957">
      <w:pPr>
        <w:tabs>
          <w:tab w:val="left" w:pos="709"/>
        </w:tabs>
        <w:spacing w:line="240" w:lineRule="auto"/>
        <w:ind w:left="567" w:right="567"/>
        <w:rPr>
          <w:rFonts w:cs="Arial"/>
          <w:b/>
          <w:i/>
          <w:sz w:val="22"/>
          <w:u w:val="single"/>
        </w:rPr>
      </w:pPr>
    </w:p>
    <w:p w14:paraId="71BC94E4" w14:textId="77777777" w:rsidR="00FC0957" w:rsidRPr="00992A0D" w:rsidRDefault="00FC0957" w:rsidP="00FC0957">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6AA8F1E0" w14:textId="77777777" w:rsidR="00FC0957" w:rsidRPr="00992A0D" w:rsidRDefault="00FC0957" w:rsidP="00FC0957">
      <w:pPr>
        <w:contextualSpacing/>
        <w:rPr>
          <w:szCs w:val="24"/>
        </w:rPr>
      </w:pPr>
    </w:p>
    <w:p w14:paraId="6E5412BC" w14:textId="77777777" w:rsidR="00FC0957" w:rsidRPr="00992A0D" w:rsidRDefault="00FC0957" w:rsidP="00FC0957">
      <w:pPr>
        <w:contextualSpacing/>
        <w:rPr>
          <w:b/>
          <w:szCs w:val="24"/>
        </w:rPr>
      </w:pPr>
      <w:r w:rsidRPr="00992A0D">
        <w:rPr>
          <w:szCs w:val="24"/>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w:t>
      </w:r>
      <w:r w:rsidRPr="00992A0D">
        <w:rPr>
          <w:szCs w:val="24"/>
        </w:rPr>
        <w:lastRenderedPageBreak/>
        <w:t xml:space="preserve">como lo haya señalado el requirente. En los casos en que esto no sea posible, el Sujeto Obligado podrá garantizar la entrega a través de cualquier otro medio, siempre y cuando funde y motive la razón para hacerlo. </w:t>
      </w:r>
    </w:p>
    <w:p w14:paraId="2A5FB9DF" w14:textId="77777777" w:rsidR="00FC0957" w:rsidRPr="00992A0D" w:rsidRDefault="00FC0957" w:rsidP="00FC0957">
      <w:pPr>
        <w:contextualSpacing/>
        <w:rPr>
          <w:b/>
          <w:szCs w:val="24"/>
        </w:rPr>
      </w:pPr>
    </w:p>
    <w:p w14:paraId="356A785A" w14:textId="77777777" w:rsidR="00FC0957" w:rsidRPr="00992A0D" w:rsidRDefault="00FC0957" w:rsidP="00FC0957">
      <w:pPr>
        <w:contextualSpacing/>
        <w:rPr>
          <w:szCs w:val="24"/>
        </w:rPr>
      </w:pPr>
      <w:r w:rsidRPr="00992A0D">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097F474" w14:textId="77777777" w:rsidR="00FC0957" w:rsidRPr="00992A0D" w:rsidRDefault="00FC0957" w:rsidP="00FC0957">
      <w:pPr>
        <w:contextualSpacing/>
        <w:rPr>
          <w:szCs w:val="24"/>
        </w:rPr>
      </w:pPr>
    </w:p>
    <w:p w14:paraId="7089E539" w14:textId="0F4B8856" w:rsidR="00FC0957" w:rsidRPr="00992A0D" w:rsidRDefault="00FC0957" w:rsidP="00FC0957">
      <w:pPr>
        <w:contextualSpacing/>
        <w:rPr>
          <w:rFonts w:cs="Arial"/>
          <w:color w:val="222222"/>
          <w:szCs w:val="24"/>
        </w:rPr>
      </w:pPr>
      <w:r w:rsidRPr="00992A0D">
        <w:rPr>
          <w:rFonts w:cs="Arial"/>
          <w:color w:val="222222"/>
          <w:szCs w:val="24"/>
        </w:rPr>
        <w:t xml:space="preserve">Han sido vastos los estudios doctrinarios relativos a estos derechos fundamentales y al principio de legalidad en ellos contenidos; como ejemplo, el procesalista José Ovalle Fabela, en su obra </w:t>
      </w:r>
      <w:r w:rsidR="00B07909">
        <w:rPr>
          <w:rFonts w:cs="Arial"/>
          <w:color w:val="222222"/>
          <w:szCs w:val="24"/>
        </w:rPr>
        <w:t>«</w:t>
      </w:r>
      <w:r w:rsidRPr="00992A0D">
        <w:rPr>
          <w:rFonts w:cs="Arial"/>
          <w:color w:val="222222"/>
          <w:szCs w:val="24"/>
        </w:rPr>
        <w:t>Garantías Constitucionales del Proceso</w:t>
      </w:r>
      <w:r w:rsidR="00B07909">
        <w:rPr>
          <w:rFonts w:cs="Arial"/>
          <w:color w:val="222222"/>
          <w:szCs w:val="24"/>
        </w:rPr>
        <w:t>»</w:t>
      </w:r>
      <w:r w:rsidRPr="00992A0D">
        <w:rPr>
          <w:rFonts w:cs="Arial"/>
          <w:color w:val="222222"/>
          <w:szCs w:val="24"/>
        </w:rPr>
        <w:t xml:space="preserve">, refiere que </w:t>
      </w:r>
      <w:r w:rsidR="00B07909">
        <w:rPr>
          <w:rFonts w:cs="Arial"/>
          <w:i/>
          <w:color w:val="222222"/>
          <w:szCs w:val="24"/>
        </w:rPr>
        <w:t>«</w:t>
      </w:r>
      <w:r w:rsidRPr="00992A0D">
        <w:rPr>
          <w:rFonts w:cs="Arial"/>
          <w:i/>
          <w:color w:val="222222"/>
          <w:szCs w:val="24"/>
        </w:rPr>
        <w:t>...</w:t>
      </w:r>
      <w:r w:rsidR="00B07909">
        <w:rPr>
          <w:rFonts w:cs="Arial"/>
          <w:i/>
          <w:color w:val="222222"/>
          <w:szCs w:val="24"/>
        </w:rPr>
        <w:t xml:space="preserve"> </w:t>
      </w:r>
      <w:r w:rsidRPr="00992A0D">
        <w:rPr>
          <w:rFonts w:cs="Arial"/>
          <w:i/>
          <w:color w:val="222222"/>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00B07909">
        <w:rPr>
          <w:rFonts w:cs="Arial"/>
          <w:i/>
          <w:color w:val="222222"/>
          <w:szCs w:val="24"/>
        </w:rPr>
        <w:t>»</w:t>
      </w:r>
      <w:r w:rsidRPr="00992A0D">
        <w:rPr>
          <w:rFonts w:ascii="Calibri" w:hAnsi="Calibri"/>
          <w:szCs w:val="24"/>
          <w:vertAlign w:val="superscript"/>
        </w:rPr>
        <w:footnoteReference w:id="3"/>
      </w:r>
    </w:p>
    <w:p w14:paraId="752BA8CD" w14:textId="77777777" w:rsidR="00FC0957" w:rsidRPr="00992A0D" w:rsidRDefault="00FC0957" w:rsidP="00FC0957">
      <w:pPr>
        <w:contextualSpacing/>
        <w:rPr>
          <w:rFonts w:cs="Arial"/>
          <w:color w:val="222222"/>
          <w:szCs w:val="24"/>
        </w:rPr>
      </w:pPr>
    </w:p>
    <w:p w14:paraId="26F7AC4C" w14:textId="77777777" w:rsidR="00FC0957" w:rsidRPr="00992A0D" w:rsidRDefault="00FC0957" w:rsidP="00FC0957">
      <w:pPr>
        <w:contextualSpacing/>
        <w:rPr>
          <w:rFonts w:cs="Arial"/>
          <w:color w:val="222222"/>
          <w:szCs w:val="24"/>
        </w:rPr>
      </w:pPr>
      <w:r w:rsidRPr="00992A0D">
        <w:rPr>
          <w:rFonts w:cs="Arial"/>
          <w:color w:val="222222"/>
          <w:szCs w:val="24"/>
        </w:rPr>
        <w:t>Por su parte, el intérprete judicial del país ha establecido una jurisprudencia respecto a qué debe entenderse por fundamentación y motivación, en los siguientes términos:</w:t>
      </w:r>
    </w:p>
    <w:p w14:paraId="0699A1C6" w14:textId="77777777" w:rsidR="00FC0957" w:rsidRPr="00992A0D" w:rsidRDefault="00FC0957" w:rsidP="00FC0957">
      <w:pPr>
        <w:jc w:val="left"/>
        <w:rPr>
          <w:szCs w:val="24"/>
        </w:rPr>
      </w:pPr>
    </w:p>
    <w:p w14:paraId="4EDFEB51" w14:textId="77777777" w:rsidR="00FC0957" w:rsidRPr="00992A0D" w:rsidRDefault="00FC0957" w:rsidP="00FC0957">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F5359B7" w14:textId="77777777" w:rsidR="00FC0957" w:rsidRPr="00992A0D" w:rsidRDefault="00FC0957" w:rsidP="00FC0957">
      <w:pPr>
        <w:ind w:right="618"/>
        <w:contextualSpacing/>
        <w:rPr>
          <w:rFonts w:cs="Arial"/>
          <w:color w:val="000000"/>
          <w:szCs w:val="24"/>
        </w:rPr>
      </w:pPr>
    </w:p>
    <w:p w14:paraId="3BA5B2C6" w14:textId="77777777" w:rsidR="00FC0957" w:rsidRPr="00992A0D" w:rsidRDefault="00FC0957" w:rsidP="00FC0957">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EC821FB" w14:textId="77777777" w:rsidR="00FC0957" w:rsidRPr="00992A0D" w:rsidRDefault="00FC0957" w:rsidP="00FC0957">
      <w:pPr>
        <w:contextualSpacing/>
        <w:rPr>
          <w:rFonts w:cs="Arial"/>
          <w:color w:val="222222"/>
          <w:szCs w:val="24"/>
        </w:rPr>
      </w:pPr>
    </w:p>
    <w:p w14:paraId="3ECC8209" w14:textId="77777777" w:rsidR="00FC0957" w:rsidRPr="00992A0D" w:rsidRDefault="00FC0957" w:rsidP="00FC0957">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6A563AB" w14:textId="77777777" w:rsidR="00FC0957" w:rsidRPr="00992A0D" w:rsidRDefault="00FC0957" w:rsidP="00FC0957">
      <w:pPr>
        <w:contextualSpacing/>
        <w:rPr>
          <w:rFonts w:cs="Arial"/>
          <w:color w:val="222222"/>
          <w:szCs w:val="24"/>
        </w:rPr>
      </w:pPr>
    </w:p>
    <w:p w14:paraId="51ED6D23" w14:textId="77777777" w:rsidR="00FC0957" w:rsidRPr="00992A0D" w:rsidRDefault="00FC0957" w:rsidP="00FC0957">
      <w:pPr>
        <w:rPr>
          <w:i/>
          <w:szCs w:val="24"/>
        </w:rPr>
      </w:pPr>
      <w:r w:rsidRPr="00992A0D">
        <w:rPr>
          <w:szCs w:val="24"/>
        </w:rPr>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1C80C5A3" w14:textId="77777777" w:rsidR="00FC0957" w:rsidRDefault="00FC0957" w:rsidP="00FC0957"/>
    <w:p w14:paraId="635599B7" w14:textId="5938D6D0" w:rsidR="00FC0957" w:rsidRPr="00992A0D" w:rsidRDefault="00FC0957" w:rsidP="00FC0957">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5F6DC84" w14:textId="77777777" w:rsidR="00FC0957" w:rsidRPr="00992A0D" w:rsidRDefault="00FC0957" w:rsidP="00FC0957"/>
    <w:p w14:paraId="4A76A864" w14:textId="77777777" w:rsidR="00FC0957" w:rsidRPr="00992A0D" w:rsidRDefault="00FC0957" w:rsidP="00FC0957">
      <w:r w:rsidRPr="00992A0D">
        <w:t xml:space="preserve">Ahora bien, la ley de la materia señala en su artículo 158, los casos en que de manera excepcional se puede proceder al cambio de modalidad: </w:t>
      </w:r>
    </w:p>
    <w:p w14:paraId="4526E882" w14:textId="77777777" w:rsidR="00FC0957" w:rsidRPr="00992A0D" w:rsidRDefault="00FC0957" w:rsidP="00FC0957"/>
    <w:p w14:paraId="00B29773" w14:textId="77777777" w:rsidR="00FC0957" w:rsidRPr="00992A0D" w:rsidRDefault="00FC0957" w:rsidP="00FC0957">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5E68D08C" w14:textId="77777777" w:rsidR="00FC0957" w:rsidRPr="00992A0D" w:rsidRDefault="00FC0957" w:rsidP="00FC0957"/>
    <w:p w14:paraId="7615666C" w14:textId="77777777" w:rsidR="00FC0957" w:rsidRPr="00992A0D" w:rsidRDefault="00FC0957" w:rsidP="00FC0957">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2E072131" w14:textId="77777777" w:rsidR="00FC0957" w:rsidRPr="00992A0D" w:rsidRDefault="00FC0957" w:rsidP="00FC0957"/>
    <w:p w14:paraId="62911443" w14:textId="77777777" w:rsidR="00FC0957" w:rsidRPr="00992A0D" w:rsidRDefault="00FC0957" w:rsidP="00FC0957">
      <w:r w:rsidRPr="00992A0D">
        <w:lastRenderedPageBreak/>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79C65F3F"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7495D7A1" w14:textId="77777777" w:rsidR="00FC0957" w:rsidRPr="00992A0D" w:rsidRDefault="00FC0957" w:rsidP="00FC0957">
      <w:r w:rsidRPr="00992A0D">
        <w:t xml:space="preserve">Por tal razón, este Órgano Garante en uso de las facultades que la propia legislación le otorga deberá ordenar la entrega de la información solicitada, dada la aceptación del Sujeto Obligado de generar, poseer o administrarla, es decir, de tener conocimiento de lo requerido. </w:t>
      </w:r>
    </w:p>
    <w:p w14:paraId="4A40FF7A" w14:textId="77777777" w:rsidR="00502DAB" w:rsidRDefault="00502DAB" w:rsidP="00286AA3">
      <w:pPr>
        <w:pBdr>
          <w:top w:val="nil"/>
          <w:left w:val="nil"/>
          <w:bottom w:val="nil"/>
          <w:right w:val="nil"/>
          <w:between w:val="nil"/>
        </w:pBdr>
        <w:contextualSpacing/>
        <w:rPr>
          <w:rFonts w:eastAsia="Palatino Linotype" w:cs="Palatino Linotype"/>
          <w:color w:val="000000"/>
          <w:szCs w:val="24"/>
        </w:rPr>
      </w:pPr>
    </w:p>
    <w:p w14:paraId="7FF51AF9" w14:textId="1778CB66" w:rsidR="003B6DD9" w:rsidRDefault="003B6DD9" w:rsidP="00286AA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No se omite señalar </w:t>
      </w:r>
      <w:r w:rsidR="005266D1">
        <w:rPr>
          <w:rFonts w:eastAsia="Palatino Linotype" w:cs="Palatino Linotype"/>
          <w:color w:val="000000"/>
          <w:szCs w:val="24"/>
        </w:rPr>
        <w:t xml:space="preserve">la temporalidad señalada por el Recurrente es </w:t>
      </w:r>
      <w:r w:rsidR="00FF5DB1">
        <w:rPr>
          <w:rFonts w:eastAsia="Palatino Linotype" w:cs="Palatino Linotype"/>
          <w:color w:val="000000"/>
          <w:szCs w:val="24"/>
        </w:rPr>
        <w:t xml:space="preserve">desde la fecha de apertura hasta el día en que se realizó la solicitud; por lo que este Instituto </w:t>
      </w:r>
      <w:r w:rsidR="00AD5512">
        <w:rPr>
          <w:rFonts w:eastAsia="Palatino Linotype" w:cs="Palatino Linotype"/>
          <w:color w:val="000000"/>
          <w:szCs w:val="24"/>
        </w:rPr>
        <w:t xml:space="preserve">realizó una indagación </w:t>
      </w:r>
      <w:r w:rsidR="0000390F">
        <w:rPr>
          <w:rFonts w:eastAsia="Palatino Linotype" w:cs="Palatino Linotype"/>
          <w:color w:val="000000"/>
          <w:szCs w:val="24"/>
        </w:rPr>
        <w:t xml:space="preserve">en páginas de internet y se encontró una nota </w:t>
      </w:r>
      <w:r w:rsidR="00AD5512">
        <w:rPr>
          <w:rFonts w:eastAsia="Palatino Linotype" w:cs="Palatino Linotype"/>
          <w:color w:val="000000"/>
          <w:szCs w:val="24"/>
        </w:rPr>
        <w:t>en la página oficial del</w:t>
      </w:r>
      <w:r w:rsidR="0000390F">
        <w:rPr>
          <w:rFonts w:eastAsia="Palatino Linotype" w:cs="Palatino Linotype"/>
          <w:color w:val="000000"/>
          <w:szCs w:val="24"/>
        </w:rPr>
        <w:t xml:space="preserve"> Ayuntamiento de Atizapán de Zaragoza</w:t>
      </w:r>
      <w:r w:rsidR="00AD5512">
        <w:rPr>
          <w:rFonts w:eastAsia="Palatino Linotype" w:cs="Palatino Linotype"/>
          <w:color w:val="000000"/>
          <w:szCs w:val="24"/>
        </w:rPr>
        <w:t>, en la que se encontró una nota</w:t>
      </w:r>
      <w:r w:rsidR="00D01660">
        <w:rPr>
          <w:rFonts w:eastAsia="Palatino Linotype" w:cs="Palatino Linotype"/>
          <w:color w:val="000000"/>
          <w:szCs w:val="24"/>
        </w:rPr>
        <w:t xml:space="preserve"> </w:t>
      </w:r>
      <w:r w:rsidR="009B1CA9">
        <w:rPr>
          <w:rFonts w:eastAsia="Palatino Linotype" w:cs="Palatino Linotype"/>
          <w:color w:val="000000"/>
          <w:szCs w:val="24"/>
        </w:rPr>
        <w:t xml:space="preserve">titulada </w:t>
      </w:r>
      <w:r w:rsidR="000F00DA">
        <w:rPr>
          <w:rFonts w:eastAsia="Palatino Linotype" w:cs="Palatino Linotype"/>
          <w:color w:val="000000"/>
          <w:szCs w:val="24"/>
        </w:rPr>
        <w:t>«</w:t>
      </w:r>
      <w:r w:rsidR="000F00DA" w:rsidRPr="000F00DA">
        <w:rPr>
          <w:rFonts w:eastAsia="Palatino Linotype" w:cs="Palatino Linotype"/>
          <w:color w:val="000000"/>
          <w:szCs w:val="24"/>
        </w:rPr>
        <w:t>PONE EN MARCHA PEDRO RODRÍGUEZ 43 COMEDORES COMUNITARIOS EN ATIZAPÁN DE ZARA</w:t>
      </w:r>
      <w:r w:rsidR="000F00DA">
        <w:rPr>
          <w:rFonts w:eastAsia="Palatino Linotype" w:cs="Palatino Linotype"/>
          <w:color w:val="000000"/>
          <w:szCs w:val="24"/>
        </w:rPr>
        <w:t>GOZA»</w:t>
      </w:r>
      <w:r w:rsidR="00753BF4">
        <w:rPr>
          <w:rFonts w:eastAsia="Palatino Linotype" w:cs="Palatino Linotype"/>
          <w:color w:val="000000"/>
          <w:szCs w:val="24"/>
        </w:rPr>
        <w:t xml:space="preserve"> de fecha veintiséis de agosto de dos mil veintidós</w:t>
      </w:r>
      <w:r w:rsidR="00EF208A">
        <w:rPr>
          <w:rStyle w:val="Refdenotaalpie"/>
          <w:rFonts w:eastAsia="Palatino Linotype" w:cs="Palatino Linotype"/>
          <w:color w:val="000000"/>
          <w:szCs w:val="24"/>
        </w:rPr>
        <w:footnoteReference w:id="4"/>
      </w:r>
      <w:r w:rsidR="00753BF4">
        <w:rPr>
          <w:rFonts w:eastAsia="Palatino Linotype" w:cs="Palatino Linotype"/>
          <w:color w:val="000000"/>
          <w:szCs w:val="24"/>
        </w:rPr>
        <w:t xml:space="preserve">, en </w:t>
      </w:r>
      <w:r w:rsidR="00033A6A">
        <w:rPr>
          <w:rFonts w:eastAsia="Palatino Linotype" w:cs="Palatino Linotype"/>
          <w:color w:val="000000"/>
          <w:szCs w:val="24"/>
        </w:rPr>
        <w:t>el que se observa la siguiente información:</w:t>
      </w:r>
    </w:p>
    <w:p w14:paraId="4CB44867" w14:textId="77777777" w:rsidR="00033A6A" w:rsidRDefault="00033A6A" w:rsidP="00286AA3">
      <w:pPr>
        <w:pBdr>
          <w:top w:val="nil"/>
          <w:left w:val="nil"/>
          <w:bottom w:val="nil"/>
          <w:right w:val="nil"/>
          <w:between w:val="nil"/>
        </w:pBdr>
        <w:contextualSpacing/>
        <w:rPr>
          <w:rFonts w:eastAsia="Palatino Linotype" w:cs="Palatino Linotype"/>
          <w:color w:val="000000"/>
          <w:szCs w:val="24"/>
        </w:rPr>
      </w:pPr>
    </w:p>
    <w:p w14:paraId="3D4A51D6" w14:textId="6AE67E9A" w:rsidR="000B5DAB" w:rsidRDefault="000B5DAB" w:rsidP="00017BDF">
      <w:pPr>
        <w:pStyle w:val="Fundamentos"/>
      </w:pPr>
      <w:r>
        <w:t>«</w:t>
      </w:r>
      <w:r w:rsidRPr="000B5DAB">
        <w:t xml:space="preserve">Con una inversión aproximada de 20 millones de pesos, el Presidente Municipal de Atizapán de Zaragoza, Pedro RodríguezVillegas, acompañado de los miembros del Cabildo, pusieron en </w:t>
      </w:r>
      <w:r w:rsidRPr="000B5DAB">
        <w:lastRenderedPageBreak/>
        <w:t>marcha la operación de 43 comedores comunitarios, los</w:t>
      </w:r>
      <w:r>
        <w:t xml:space="preserve"> </w:t>
      </w:r>
      <w:r w:rsidRPr="000B5DAB">
        <w:t>cuales servirán alrededor de 100 comidas calientes por día.</w:t>
      </w:r>
    </w:p>
    <w:p w14:paraId="6C198D16" w14:textId="77777777" w:rsidR="000B5DAB" w:rsidRPr="000B5DAB" w:rsidRDefault="000B5DAB" w:rsidP="00017BDF">
      <w:pPr>
        <w:pStyle w:val="Fundamentos"/>
      </w:pPr>
    </w:p>
    <w:p w14:paraId="67325176" w14:textId="0F321896" w:rsidR="000B5DAB" w:rsidRDefault="000B5DAB" w:rsidP="00017BDF">
      <w:pPr>
        <w:pStyle w:val="Fundamentos"/>
      </w:pPr>
      <w:r w:rsidRPr="000B5DAB">
        <w:t>Con la coordinación general del Sistema Municipal DIF, el cual dirige Juana Mendoza Becerril, los comedores comunitarios</w:t>
      </w:r>
      <w:r>
        <w:t xml:space="preserve"> </w:t>
      </w:r>
      <w:r w:rsidRPr="000B5DAB">
        <w:t>están dirigidos a personas en situación de vulnerabilidad y también para apoyar la economía familiar al ofrecer alimentos por</w:t>
      </w:r>
      <w:r>
        <w:t xml:space="preserve"> </w:t>
      </w:r>
      <w:r w:rsidRPr="000B5DAB">
        <w:t>una cuota de recuperación simbólica de 13 pesos.</w:t>
      </w:r>
    </w:p>
    <w:p w14:paraId="00529CAD" w14:textId="77777777" w:rsidR="000B5DAB" w:rsidRPr="000B5DAB" w:rsidRDefault="000B5DAB" w:rsidP="00017BDF">
      <w:pPr>
        <w:pStyle w:val="Fundamentos"/>
      </w:pPr>
    </w:p>
    <w:p w14:paraId="106C0A17" w14:textId="7C51540A" w:rsidR="000B5DAB" w:rsidRDefault="000B5DAB" w:rsidP="00017BDF">
      <w:pPr>
        <w:pStyle w:val="Fundamentos"/>
      </w:pPr>
      <w:r w:rsidRPr="000B5DAB">
        <w:t>El Alcalde, junto con su gabinete, acudieron a las colonias 5 de Mayo, México 86, General Cárdenas del Río, Monte María y</w:t>
      </w:r>
      <w:r>
        <w:t xml:space="preserve"> </w:t>
      </w:r>
      <w:r w:rsidRPr="000B5DAB">
        <w:t>Margarita Maza de Juárez, donde ayudaron a servir parte de los platillos que ofrecieron a casi 500 personas.</w:t>
      </w:r>
    </w:p>
    <w:p w14:paraId="66446A17" w14:textId="77777777" w:rsidR="000B5DAB" w:rsidRPr="000B5DAB" w:rsidRDefault="000B5DAB" w:rsidP="00017BDF">
      <w:pPr>
        <w:pStyle w:val="Fundamentos"/>
      </w:pPr>
    </w:p>
    <w:p w14:paraId="1BCBCF40" w14:textId="4188AB95" w:rsidR="000B5DAB" w:rsidRDefault="000B5DAB" w:rsidP="00017BDF">
      <w:pPr>
        <w:pStyle w:val="Fundamentos"/>
      </w:pPr>
      <w:r w:rsidRPr="000B5DAB">
        <w:t>Rodríguez Villegas agradeció a síndicos y regidores la autorización de recursos para implementar estos espacios con tanques</w:t>
      </w:r>
      <w:r>
        <w:t xml:space="preserve"> </w:t>
      </w:r>
      <w:r w:rsidRPr="000B5DAB">
        <w:t>de gas, hornos de microondas, mesas, sillas, tarjas y refrigeradores, entre otros artículos, así como utensilios de cocina como</w:t>
      </w:r>
      <w:r>
        <w:t xml:space="preserve"> </w:t>
      </w:r>
      <w:r w:rsidRPr="000B5DAB">
        <w:t>vasos, cucharas, ollas y platos.</w:t>
      </w:r>
    </w:p>
    <w:p w14:paraId="203FEBBE" w14:textId="77777777" w:rsidR="000B5DAB" w:rsidRPr="000B5DAB" w:rsidRDefault="000B5DAB" w:rsidP="00017BDF">
      <w:pPr>
        <w:pStyle w:val="Fundamentos"/>
      </w:pPr>
    </w:p>
    <w:p w14:paraId="74DA9B3F" w14:textId="6D489F4C" w:rsidR="000B5DAB" w:rsidRDefault="000B5DAB" w:rsidP="00017BDF">
      <w:pPr>
        <w:pStyle w:val="Fundamentos"/>
      </w:pPr>
      <w:r w:rsidRPr="000B5DAB">
        <w:t>“Invitamos a los empresarios, a los ciudadanos a sumarse a este proyecto que va a ser un ícono para nosotros en lo que se</w:t>
      </w:r>
      <w:r>
        <w:t xml:space="preserve"> </w:t>
      </w:r>
      <w:r w:rsidRPr="000B5DAB">
        <w:t>refiere a asistencia social y espero que poco a poco lo vayamos incrementando.</w:t>
      </w:r>
    </w:p>
    <w:p w14:paraId="319312ED" w14:textId="77777777" w:rsidR="00A50757" w:rsidRPr="000B5DAB" w:rsidRDefault="00A50757" w:rsidP="00017BDF">
      <w:pPr>
        <w:pStyle w:val="Fundamentos"/>
      </w:pPr>
    </w:p>
    <w:p w14:paraId="0182A74B" w14:textId="7249D44D" w:rsidR="000B5DAB" w:rsidRPr="000B5DAB" w:rsidRDefault="000B5DAB" w:rsidP="00017BDF">
      <w:pPr>
        <w:pStyle w:val="Fundamentos"/>
      </w:pPr>
      <w:r w:rsidRPr="000B5DAB">
        <w:t>“La idea es tener cerca de 85 comedores funcionando en Atizapán de Zaragoza y con esto estaríamos abarcando</w:t>
      </w:r>
      <w:r w:rsidR="00A50757">
        <w:t xml:space="preserve"> </w:t>
      </w:r>
      <w:r w:rsidRPr="000B5DAB">
        <w:t>prácticamente todas las colonias ubicadas en las zonas vulnerables de nuestro municipio”, dijo el Alcalde.</w:t>
      </w:r>
    </w:p>
    <w:p w14:paraId="0C588ED6" w14:textId="77777777" w:rsidR="000B5DAB" w:rsidRDefault="000B5DAB" w:rsidP="00017BDF">
      <w:pPr>
        <w:pStyle w:val="Fundamentos"/>
      </w:pPr>
      <w:r w:rsidRPr="000B5DAB">
        <w:t>Rodríguez Villegas agregó que los comedores comunitarios se implementaron con recursos cien por ciento municipales.</w:t>
      </w:r>
    </w:p>
    <w:p w14:paraId="246BB2FA" w14:textId="77777777" w:rsidR="00B47DDF" w:rsidRPr="000B5DAB" w:rsidRDefault="00B47DDF" w:rsidP="00017BDF">
      <w:pPr>
        <w:pStyle w:val="Fundamentos"/>
      </w:pPr>
    </w:p>
    <w:p w14:paraId="321000D7" w14:textId="52BDE527" w:rsidR="00033A6A" w:rsidRDefault="000B5DAB" w:rsidP="00017BDF">
      <w:pPr>
        <w:pStyle w:val="Fundamentos"/>
      </w:pPr>
      <w:r w:rsidRPr="000B5DAB">
        <w:t>También aprovechó para agradecer a las responsables de cada comedor su trabajo voluntario para ofrecer una comida</w:t>
      </w:r>
      <w:r w:rsidR="00B47DDF">
        <w:t xml:space="preserve"> </w:t>
      </w:r>
      <w:r w:rsidRPr="000B5DAB">
        <w:t>saludable a sus vecinas y vecinos. De igual forma reconoció el trabajo de los Comités de Participación Ciudadana (COPACI).</w:t>
      </w:r>
    </w:p>
    <w:p w14:paraId="46AF64BA" w14:textId="77777777" w:rsidR="00033A6A" w:rsidRDefault="00033A6A" w:rsidP="00017BDF">
      <w:pPr>
        <w:pStyle w:val="Fundamentos"/>
      </w:pPr>
    </w:p>
    <w:p w14:paraId="1D9E10DF" w14:textId="6F6E7DB3" w:rsidR="00D54DF0" w:rsidRDefault="00D54DF0" w:rsidP="00017BDF">
      <w:pPr>
        <w:pStyle w:val="Fundamentos"/>
      </w:pPr>
      <w:r w:rsidRPr="00D54DF0">
        <w:t>Por su parte, María Elizabeth Torres González, Coordinadora de Comedores Comunitarios del DIF Municipal, expresó que la</w:t>
      </w:r>
      <w:r w:rsidR="00017BDF">
        <w:t xml:space="preserve"> </w:t>
      </w:r>
      <w:r w:rsidRPr="00D54DF0">
        <w:t>Coordinación de Servicios Nutricionales busca con este tipo de acciones incrementar el nivel de bienestar en las</w:t>
      </w:r>
      <w:r>
        <w:t xml:space="preserve"> </w:t>
      </w:r>
      <w:r w:rsidRPr="00D54DF0">
        <w:t>comunidades más vulnerables.</w:t>
      </w:r>
      <w:r w:rsidR="00017BDF">
        <w:t>» (sic)</w:t>
      </w:r>
    </w:p>
    <w:p w14:paraId="1EE6EFCC" w14:textId="77777777" w:rsidR="00033A6A" w:rsidRDefault="00033A6A" w:rsidP="00286AA3">
      <w:pPr>
        <w:pBdr>
          <w:top w:val="nil"/>
          <w:left w:val="nil"/>
          <w:bottom w:val="nil"/>
          <w:right w:val="nil"/>
          <w:between w:val="nil"/>
        </w:pBdr>
        <w:contextualSpacing/>
        <w:rPr>
          <w:rFonts w:eastAsia="Palatino Linotype" w:cs="Palatino Linotype"/>
          <w:color w:val="000000"/>
          <w:szCs w:val="24"/>
        </w:rPr>
      </w:pPr>
    </w:p>
    <w:p w14:paraId="434D1D75" w14:textId="1A9FF909" w:rsidR="003B6DD9" w:rsidRDefault="00017BDF" w:rsidP="00286AA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Como se puede observar, </w:t>
      </w:r>
      <w:r w:rsidR="00E66927">
        <w:rPr>
          <w:rFonts w:eastAsia="Palatino Linotype" w:cs="Palatino Linotype"/>
          <w:color w:val="000000"/>
          <w:szCs w:val="24"/>
        </w:rPr>
        <w:t>en el contenido de la nota publicada en la página oficial del Ayuntamiento de Atizapán de Zaragoza</w:t>
      </w:r>
      <w:r w:rsidR="003F1D03">
        <w:rPr>
          <w:rFonts w:eastAsia="Palatino Linotype" w:cs="Palatino Linotype"/>
          <w:color w:val="000000"/>
          <w:szCs w:val="24"/>
        </w:rPr>
        <w:t xml:space="preserve"> no se identifica la fecha en la que </w:t>
      </w:r>
      <w:r w:rsidR="000710CB">
        <w:rPr>
          <w:rFonts w:eastAsia="Palatino Linotype" w:cs="Palatino Linotype"/>
          <w:color w:val="000000"/>
          <w:szCs w:val="24"/>
        </w:rPr>
        <w:t xml:space="preserve">iniciaron </w:t>
      </w:r>
      <w:r w:rsidR="000710CB">
        <w:rPr>
          <w:rFonts w:eastAsia="Palatino Linotype" w:cs="Palatino Linotype"/>
          <w:color w:val="000000"/>
          <w:szCs w:val="24"/>
        </w:rPr>
        <w:lastRenderedPageBreak/>
        <w:t xml:space="preserve">labores en dichos comedores comunitarios, por lo que </w:t>
      </w:r>
      <w:r w:rsidR="00AA3CD0">
        <w:rPr>
          <w:rFonts w:eastAsia="Palatino Linotype" w:cs="Palatino Linotype"/>
          <w:color w:val="000000"/>
          <w:szCs w:val="24"/>
        </w:rPr>
        <w:t xml:space="preserve">es procedente </w:t>
      </w:r>
      <w:r w:rsidR="00C64A04">
        <w:rPr>
          <w:rFonts w:eastAsia="Palatino Linotype" w:cs="Palatino Linotype"/>
          <w:color w:val="000000"/>
          <w:szCs w:val="24"/>
        </w:rPr>
        <w:t xml:space="preserve">ordenar que la información sea entregada desde la apertura de los cuarenta y tres comedores </w:t>
      </w:r>
      <w:r w:rsidR="00C06AD2">
        <w:rPr>
          <w:rFonts w:eastAsia="Palatino Linotype" w:cs="Palatino Linotype"/>
          <w:color w:val="000000"/>
          <w:szCs w:val="24"/>
        </w:rPr>
        <w:t>comunitarios hasta el diecinueve de octubre de dos mil veintitrés.</w:t>
      </w:r>
    </w:p>
    <w:p w14:paraId="47FC0AE5" w14:textId="77777777" w:rsidR="00017BDF" w:rsidRDefault="00017BDF" w:rsidP="00286AA3">
      <w:pPr>
        <w:pBdr>
          <w:top w:val="nil"/>
          <w:left w:val="nil"/>
          <w:bottom w:val="nil"/>
          <w:right w:val="nil"/>
          <w:between w:val="nil"/>
        </w:pBdr>
        <w:contextualSpacing/>
        <w:rPr>
          <w:rFonts w:eastAsia="Palatino Linotype" w:cs="Palatino Linotype"/>
          <w:color w:val="000000"/>
          <w:szCs w:val="24"/>
        </w:rPr>
      </w:pPr>
    </w:p>
    <w:p w14:paraId="63F50442" w14:textId="5F1119BB" w:rsidR="00F46937" w:rsidRDefault="00FC0957" w:rsidP="00FC0957">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rsidR="00EA502F" w:rsidRPr="002F1C3D">
        <w:t>l</w:t>
      </w:r>
      <w:r w:rsidR="002F1B73">
        <w:t>os compr</w:t>
      </w:r>
      <w:r w:rsidR="009446FA">
        <w:t xml:space="preserve">obantes fiscales </w:t>
      </w:r>
      <w:r w:rsidR="00E52D9C">
        <w:t>generados</w:t>
      </w:r>
      <w:r w:rsidR="005344BB">
        <w:t xml:space="preserve"> por los gastos realizados desde la a</w:t>
      </w:r>
      <w:r w:rsidR="00D541D7">
        <w:t>pertura y al día diecinueve de octubre de dos mil veintitrés</w:t>
      </w:r>
      <w:r w:rsidR="00EA502F">
        <w:t xml:space="preserve">, </w:t>
      </w:r>
      <w:r w:rsidR="00D541D7">
        <w:t xml:space="preserve">de los cuarenta y tres comedores comunitarios </w:t>
      </w:r>
      <w:r w:rsidR="0010331B">
        <w:t>referidos en redes sociales y medios de difusión del Sujeto Obligado y del Ayuntamiento de Atizapán de Zaragoza</w:t>
      </w:r>
      <w:r w:rsidR="00C06AD2">
        <w:t>, en versión pública de ser procedente.</w:t>
      </w:r>
    </w:p>
    <w:p w14:paraId="31D3226E" w14:textId="77777777" w:rsidR="00F46937" w:rsidRDefault="00F46937" w:rsidP="00FC0957">
      <w:pPr>
        <w:pBdr>
          <w:top w:val="nil"/>
          <w:left w:val="nil"/>
          <w:bottom w:val="nil"/>
          <w:right w:val="nil"/>
          <w:between w:val="nil"/>
        </w:pBdr>
        <w:contextualSpacing/>
      </w:pPr>
    </w:p>
    <w:p w14:paraId="1841E985" w14:textId="0CBEEFAF" w:rsidR="00EA502F" w:rsidRDefault="00EA502F" w:rsidP="004D2823">
      <w:pPr>
        <w:pStyle w:val="Ttulo3"/>
        <w:rPr>
          <w:rFonts w:eastAsia="Palatino Linotype"/>
        </w:rPr>
      </w:pPr>
      <w:r>
        <w:rPr>
          <w:rFonts w:eastAsia="Palatino Linotype"/>
        </w:rPr>
        <w:t>DE LA VERSIÓN PÚBLICA</w:t>
      </w:r>
    </w:p>
    <w:p w14:paraId="33A83FE6" w14:textId="77777777" w:rsidR="00EA502F" w:rsidRPr="00F42CE0" w:rsidRDefault="00EA502F" w:rsidP="00EA502F">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8A83751" w14:textId="77777777" w:rsidR="00EA502F" w:rsidRPr="00F42CE0" w:rsidRDefault="00EA502F" w:rsidP="00EA502F">
      <w:pPr>
        <w:rPr>
          <w:rFonts w:eastAsia="Palatino Linotype" w:cs="Palatino Linotype"/>
          <w:szCs w:val="24"/>
        </w:rPr>
      </w:pPr>
    </w:p>
    <w:p w14:paraId="485EF352"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7DA962E8"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6644617B"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685C879E"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40CBB3BB"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1BAE606"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5A174CE5"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4AEDC96E"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F554B71"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63BF6A8"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6572653E"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0A2F009"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35DF746B"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5881FD1E"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0DD85659"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3F753DC5"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0FCF7334" w14:textId="77777777" w:rsidR="00EA502F" w:rsidRPr="00F42CE0" w:rsidRDefault="00EA502F" w:rsidP="00EA502F">
      <w:pPr>
        <w:rPr>
          <w:rFonts w:eastAsia="Palatino Linotype" w:cs="Palatino Linotype"/>
          <w:i/>
          <w:szCs w:val="24"/>
        </w:rPr>
      </w:pPr>
    </w:p>
    <w:p w14:paraId="2483540E" w14:textId="77777777" w:rsidR="00EA502F" w:rsidRPr="00F42CE0" w:rsidRDefault="00EA502F" w:rsidP="00EA502F">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3C5F79" w14:textId="77777777" w:rsidR="00EA502F" w:rsidRPr="00F42CE0" w:rsidRDefault="00EA502F" w:rsidP="00EA502F">
      <w:pPr>
        <w:rPr>
          <w:rFonts w:eastAsia="Palatino Linotype" w:cs="Palatino Linotype"/>
          <w:szCs w:val="24"/>
        </w:rPr>
      </w:pPr>
    </w:p>
    <w:p w14:paraId="70277C3F" w14:textId="77777777" w:rsidR="00EA502F" w:rsidRPr="00F42CE0" w:rsidRDefault="00EA502F" w:rsidP="00EA502F">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Pr="00F42CE0">
        <w:rPr>
          <w:rFonts w:eastAsia="Palatino Linotype" w:cs="Palatino Linotype"/>
          <w:szCs w:val="24"/>
        </w:rPr>
        <w:lastRenderedPageBreak/>
        <w:t>que posean, desclasificarán y generarán, en su caso, versiones públicas de expedientes o documentos que contengan partes o secciones clasificadas.</w:t>
      </w:r>
    </w:p>
    <w:p w14:paraId="35D66E2E" w14:textId="77777777" w:rsidR="00EA502F" w:rsidRPr="00F42CE0" w:rsidRDefault="00EA502F" w:rsidP="00EA502F">
      <w:pPr>
        <w:rPr>
          <w:rFonts w:eastAsia="Palatino Linotype" w:cs="Palatino Linotype"/>
          <w:szCs w:val="24"/>
        </w:rPr>
      </w:pPr>
    </w:p>
    <w:p w14:paraId="7E4DA6C2" w14:textId="77777777" w:rsidR="00EA502F" w:rsidRPr="00F42CE0" w:rsidRDefault="00EA502F" w:rsidP="00EA502F">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04036EB2" w14:textId="77777777" w:rsidR="00EA502F" w:rsidRPr="00F42CE0" w:rsidRDefault="00EA502F" w:rsidP="00EA502F">
      <w:pPr>
        <w:rPr>
          <w:rFonts w:eastAsia="Palatino Linotype" w:cs="Palatino Linotype"/>
        </w:rPr>
      </w:pPr>
    </w:p>
    <w:p w14:paraId="102304CA" w14:textId="24BA0C55" w:rsidR="00EA502F"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11903C11"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A7B78B3"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5DD23129" w14:textId="483DEEB6"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3B4CC55"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A0FBBF0" w14:textId="62E5EFA8"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38A99E9C"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E3697E5"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F6E0222"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A54B94D" w14:textId="77777777"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55AEFD" w14:textId="693490F5" w:rsidR="00EA502F" w:rsidRPr="00F42CE0" w:rsidRDefault="00EA502F" w:rsidP="00EA502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sidR="00593F02">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5270EF5" w14:textId="77777777" w:rsidR="00EA502F" w:rsidRPr="00F42CE0" w:rsidRDefault="00EA502F" w:rsidP="00EA502F">
      <w:pPr>
        <w:rPr>
          <w:rFonts w:eastAsia="Palatino Linotype" w:cs="Palatino Linotype"/>
          <w:i/>
          <w:szCs w:val="24"/>
        </w:rPr>
      </w:pPr>
    </w:p>
    <w:p w14:paraId="667587D2" w14:textId="77777777" w:rsidR="00EA502F" w:rsidRPr="00F42CE0" w:rsidRDefault="00EA502F" w:rsidP="00EA502F">
      <w:pPr>
        <w:rPr>
          <w:rFonts w:eastAsia="Palatino Linotype" w:cs="Palatino Linotype"/>
          <w:szCs w:val="24"/>
        </w:rPr>
      </w:pPr>
      <w:r w:rsidRPr="00F42CE0">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F42CE0">
        <w:rPr>
          <w:rFonts w:eastAsia="Palatino Linotype" w:cs="Palatino Linotype"/>
          <w:szCs w:val="24"/>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5E873AE" w14:textId="77777777" w:rsidR="00EA502F" w:rsidRPr="00F42CE0" w:rsidRDefault="00EA502F" w:rsidP="00EA502F">
      <w:pPr>
        <w:rPr>
          <w:rFonts w:eastAsia="Palatino Linotype" w:cs="Palatino Linotype"/>
          <w:szCs w:val="24"/>
        </w:rPr>
      </w:pPr>
    </w:p>
    <w:p w14:paraId="01AAC5BD" w14:textId="77777777" w:rsidR="00EA502F" w:rsidRPr="00F42CE0" w:rsidRDefault="00EA502F" w:rsidP="00EA502F">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0F7089E0" w14:textId="77777777" w:rsidR="00EA502F" w:rsidRPr="00F42CE0" w:rsidRDefault="00EA502F" w:rsidP="00EA502F">
      <w:pPr>
        <w:rPr>
          <w:rFonts w:eastAsia="Palatino Linotype" w:cs="Palatino Linotype"/>
          <w:szCs w:val="24"/>
        </w:rPr>
      </w:pPr>
    </w:p>
    <w:p w14:paraId="6B662247" w14:textId="77777777" w:rsidR="00EA502F" w:rsidRDefault="00EA502F" w:rsidP="00EA502F">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5F172067" w14:textId="77777777" w:rsidR="00DB67DA" w:rsidRDefault="00DB67DA" w:rsidP="00F012D3">
      <w:pPr>
        <w:contextualSpacing/>
        <w:rPr>
          <w:rFonts w:eastAsia="Times New Roman" w:cs="Times New Roman"/>
          <w:color w:val="000000"/>
          <w:szCs w:val="24"/>
        </w:rPr>
      </w:pPr>
    </w:p>
    <w:p w14:paraId="0BED678B" w14:textId="57444CB2"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 xml:space="preserve">En mérito de lo expuesto en líneas anteriores, este Instituto considera que los motivos de inconformidad planteados por la Recurrente resultan fundados en el recurso de revisión que es materia de esta resolución; por ello </w:t>
      </w:r>
      <w:r w:rsidR="00D26DE4">
        <w:rPr>
          <w:rFonts w:eastAsia="Palatino Linotype" w:cs="Palatino Linotype"/>
          <w:b/>
          <w:color w:val="000000"/>
          <w:szCs w:val="24"/>
        </w:rPr>
        <w:t>con fundamento en la primera</w:t>
      </w:r>
      <w:r w:rsidRPr="005C5EB4">
        <w:rPr>
          <w:rFonts w:eastAsia="Palatino Linotype" w:cs="Palatino Linotype"/>
          <w:b/>
          <w:color w:val="000000"/>
          <w:szCs w:val="24"/>
        </w:rPr>
        <w:t xml:space="preserve"> hipótesis de la fracción III del artículo 186 </w:t>
      </w:r>
      <w:r w:rsidRPr="005C5EB4">
        <w:rPr>
          <w:rFonts w:eastAsia="Palatino Linotype" w:cs="Palatino Linotype"/>
          <w:color w:val="000000"/>
          <w:szCs w:val="24"/>
        </w:rPr>
        <w:t xml:space="preserve">de la Ley de Transparencia y Acceso a la Información Pública del Estado de México y Municipios, se </w:t>
      </w:r>
      <w:r w:rsidR="00D26DE4">
        <w:rPr>
          <w:rFonts w:eastAsia="Palatino Linotype" w:cs="Palatino Linotype"/>
          <w:b/>
          <w:color w:val="000000"/>
          <w:szCs w:val="24"/>
        </w:rPr>
        <w:t>REVO</w:t>
      </w:r>
      <w:r w:rsidRPr="005C5EB4">
        <w:rPr>
          <w:rFonts w:eastAsia="Palatino Linotype" w:cs="Palatino Linotype"/>
          <w:b/>
          <w:color w:val="000000"/>
          <w:szCs w:val="24"/>
        </w:rPr>
        <w:t xml:space="preserve">CA </w:t>
      </w:r>
      <w:r w:rsidRPr="005C5EB4">
        <w:rPr>
          <w:rFonts w:eastAsia="Palatino Linotype" w:cs="Palatino Linotype"/>
          <w:color w:val="000000"/>
          <w:szCs w:val="24"/>
        </w:rPr>
        <w:t>la respuesta a la solicitud de información número</w:t>
      </w:r>
      <w:r w:rsidRPr="005C5EB4">
        <w:rPr>
          <w:rFonts w:eastAsia="Palatino Linotype" w:cs="Palatino Linotype"/>
          <w:b/>
          <w:color w:val="000000"/>
          <w:szCs w:val="24"/>
        </w:rPr>
        <w:t xml:space="preserve"> </w:t>
      </w:r>
      <w:r w:rsidR="008B1F00">
        <w:rPr>
          <w:rFonts w:eastAsia="Palatino Linotype" w:cs="Palatino Linotype"/>
          <w:b/>
          <w:bCs/>
          <w:color w:val="000000"/>
          <w:szCs w:val="24"/>
        </w:rPr>
        <w:t>00038/DIFATIZARA/IP/2023</w:t>
      </w:r>
      <w:r w:rsidRPr="005C5EB4">
        <w:rPr>
          <w:rFonts w:eastAsia="Palatino Linotype" w:cs="Palatino Linotype"/>
          <w:color w:val="000000"/>
          <w:szCs w:val="24"/>
        </w:rPr>
        <w:t>, que ha sido materia del presente estudio.</w:t>
      </w:r>
    </w:p>
    <w:p w14:paraId="41A90339" w14:textId="0EE9DA60" w:rsidR="00B97B0E" w:rsidRPr="005C5EB4" w:rsidRDefault="00B97B0E" w:rsidP="00F012D3"/>
    <w:p w14:paraId="7ACEF5D9" w14:textId="4DA52709"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Por lo antes expuesto y fundado es de resolverse y,</w:t>
      </w:r>
    </w:p>
    <w:p w14:paraId="53D7684C" w14:textId="2F0D11F4" w:rsidR="00B97B0E" w:rsidRPr="005C5EB4" w:rsidRDefault="00B97B0E" w:rsidP="00B97B0E">
      <w:pPr>
        <w:pBdr>
          <w:top w:val="nil"/>
          <w:left w:val="nil"/>
          <w:bottom w:val="nil"/>
          <w:right w:val="nil"/>
          <w:between w:val="nil"/>
        </w:pBdr>
        <w:rPr>
          <w:rFonts w:eastAsia="Palatino Linotype" w:cs="Palatino Linotype"/>
          <w:color w:val="000000"/>
          <w:szCs w:val="24"/>
        </w:rPr>
      </w:pPr>
    </w:p>
    <w:p w14:paraId="70BA7519" w14:textId="77777777" w:rsidR="00B97B0E" w:rsidRPr="005C5EB4" w:rsidRDefault="00B97B0E" w:rsidP="005C5EB4">
      <w:pPr>
        <w:pStyle w:val="Ttulo1"/>
        <w:rPr>
          <w:rFonts w:eastAsia="Palatino Linotype"/>
        </w:rPr>
      </w:pPr>
      <w:r w:rsidRPr="005C5EB4">
        <w:rPr>
          <w:rFonts w:eastAsia="Palatino Linotype"/>
        </w:rPr>
        <w:t>S E    R E S U E L V E</w:t>
      </w:r>
    </w:p>
    <w:p w14:paraId="3C2B363F" w14:textId="77777777" w:rsidR="00B97B0E" w:rsidRPr="005C5EB4" w:rsidRDefault="00B97B0E" w:rsidP="00B97B0E">
      <w:pPr>
        <w:pBdr>
          <w:top w:val="nil"/>
          <w:left w:val="nil"/>
          <w:bottom w:val="nil"/>
          <w:right w:val="nil"/>
          <w:between w:val="nil"/>
        </w:pBdr>
        <w:rPr>
          <w:rFonts w:eastAsia="Palatino Linotype" w:cs="Palatino Linotype"/>
          <w:b/>
          <w:color w:val="000000"/>
          <w:szCs w:val="24"/>
        </w:rPr>
      </w:pPr>
    </w:p>
    <w:p w14:paraId="60CCD398" w14:textId="1AA0B79F" w:rsidR="00B97B0E" w:rsidRPr="005C5EB4" w:rsidRDefault="6011CFBC" w:rsidP="6011CFBC">
      <w:pPr>
        <w:pBdr>
          <w:top w:val="nil"/>
          <w:left w:val="nil"/>
          <w:bottom w:val="nil"/>
          <w:right w:val="nil"/>
          <w:between w:val="nil"/>
        </w:pBdr>
        <w:rPr>
          <w:rFonts w:eastAsia="Palatino Linotype" w:cs="Palatino Linotype"/>
          <w:color w:val="000000"/>
        </w:rPr>
      </w:pPr>
      <w:r w:rsidRPr="005C5EB4">
        <w:rPr>
          <w:rFonts w:eastAsia="Palatino Linotype" w:cs="Palatino Linotype"/>
          <w:b/>
          <w:bCs/>
          <w:color w:val="000000" w:themeColor="text1"/>
        </w:rPr>
        <w:t>PRIMERO.</w:t>
      </w:r>
      <w:r w:rsidRPr="005C5EB4">
        <w:rPr>
          <w:rFonts w:eastAsia="Palatino Linotype" w:cs="Palatino Linotype"/>
          <w:color w:val="000000" w:themeColor="text1"/>
        </w:rPr>
        <w:t xml:space="preserve"> Se </w:t>
      </w:r>
      <w:r w:rsidR="00D26DE4">
        <w:rPr>
          <w:rFonts w:eastAsia="Palatino Linotype" w:cs="Palatino Linotype"/>
          <w:b/>
          <w:bCs/>
          <w:color w:val="000000" w:themeColor="text1"/>
        </w:rPr>
        <w:t>REVO</w:t>
      </w:r>
      <w:r w:rsidRPr="005C5EB4">
        <w:rPr>
          <w:rFonts w:eastAsia="Palatino Linotype" w:cs="Palatino Linotype"/>
          <w:b/>
          <w:bCs/>
          <w:color w:val="000000" w:themeColor="text1"/>
        </w:rPr>
        <w:t>CA</w:t>
      </w:r>
      <w:r w:rsidRPr="005C5EB4">
        <w:rPr>
          <w:rFonts w:eastAsia="Palatino Linotype" w:cs="Palatino Linotype"/>
          <w:color w:val="000000" w:themeColor="text1"/>
        </w:rPr>
        <w:t xml:space="preserve"> la respuesta entregada por el Sujeto Obligado</w:t>
      </w:r>
      <w:r w:rsidRPr="005C5EB4">
        <w:rPr>
          <w:rFonts w:eastAsia="Palatino Linotype" w:cs="Palatino Linotype"/>
          <w:b/>
          <w:bCs/>
          <w:color w:val="000000" w:themeColor="text1"/>
        </w:rPr>
        <w:t xml:space="preserve"> </w:t>
      </w:r>
      <w:r w:rsidRPr="005C5EB4">
        <w:rPr>
          <w:rFonts w:eastAsia="Palatino Linotype" w:cs="Palatino Linotype"/>
          <w:color w:val="000000" w:themeColor="text1"/>
        </w:rPr>
        <w:t xml:space="preserve">a la solicitud de información número </w:t>
      </w:r>
      <w:r w:rsidR="008B1F00">
        <w:rPr>
          <w:rFonts w:eastAsia="Palatino Linotype" w:cs="Palatino Linotype"/>
          <w:b/>
          <w:bCs/>
          <w:color w:val="000000"/>
          <w:szCs w:val="24"/>
        </w:rPr>
        <w:t>00038/DIFATIZARA/IP/2023</w:t>
      </w:r>
      <w:r w:rsidRPr="005C5EB4">
        <w:rPr>
          <w:rFonts w:eastAsia="Palatino Linotype" w:cs="Palatino Linotype"/>
          <w:color w:val="000000" w:themeColor="text1"/>
        </w:rPr>
        <w:t>, por resultar fundados los motivos de inconformidad argüidos por el Recurrente, en términos del</w:t>
      </w:r>
      <w:r w:rsidR="00593F02">
        <w:rPr>
          <w:rFonts w:eastAsia="Palatino Linotype" w:cs="Palatino Linotype"/>
          <w:b/>
          <w:bCs/>
          <w:color w:val="000000" w:themeColor="text1"/>
        </w:rPr>
        <w:t xml:space="preserve"> Considerando </w:t>
      </w:r>
      <w:r w:rsidR="006310FC">
        <w:rPr>
          <w:rFonts w:eastAsia="Palatino Linotype" w:cs="Palatino Linotype"/>
          <w:b/>
          <w:bCs/>
          <w:color w:val="000000" w:themeColor="text1"/>
        </w:rPr>
        <w:t>QUIN</w:t>
      </w:r>
      <w:r w:rsidRPr="005C5EB4">
        <w:rPr>
          <w:rFonts w:eastAsia="Palatino Linotype" w:cs="Palatino Linotype"/>
          <w:b/>
          <w:bCs/>
          <w:color w:val="000000" w:themeColor="text1"/>
        </w:rPr>
        <w:t xml:space="preserve">TO </w:t>
      </w:r>
      <w:r w:rsidRPr="005C5EB4">
        <w:rPr>
          <w:rFonts w:eastAsia="Palatino Linotype" w:cs="Palatino Linotype"/>
          <w:color w:val="000000" w:themeColor="text1"/>
        </w:rPr>
        <w:t xml:space="preserve">de la presente resolución. </w:t>
      </w:r>
    </w:p>
    <w:p w14:paraId="2CDE5DB7" w14:textId="77777777" w:rsidR="00B97B0E" w:rsidRPr="005C5EB4" w:rsidRDefault="00B97B0E" w:rsidP="00B97B0E">
      <w:pPr>
        <w:pBdr>
          <w:top w:val="nil"/>
          <w:left w:val="nil"/>
          <w:bottom w:val="nil"/>
          <w:right w:val="nil"/>
          <w:between w:val="nil"/>
        </w:pBdr>
        <w:rPr>
          <w:rFonts w:eastAsia="Palatino Linotype" w:cs="Palatino Linotype"/>
          <w:color w:val="000000"/>
          <w:szCs w:val="24"/>
        </w:rPr>
      </w:pPr>
    </w:p>
    <w:p w14:paraId="0C9CBB44" w14:textId="07A36BC3" w:rsidR="00B97B0E"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t>SEGUNDO.</w:t>
      </w:r>
      <w:r w:rsidRPr="005C5EB4">
        <w:rPr>
          <w:rFonts w:eastAsia="Palatino Linotype" w:cs="Palatino Linotype"/>
          <w:color w:val="000000"/>
          <w:szCs w:val="24"/>
        </w:rPr>
        <w:t xml:space="preserve"> Se </w:t>
      </w:r>
      <w:r w:rsidRPr="005C5EB4">
        <w:rPr>
          <w:rFonts w:eastAsia="Palatino Linotype" w:cs="Palatino Linotype"/>
          <w:b/>
          <w:color w:val="000000"/>
          <w:szCs w:val="24"/>
        </w:rPr>
        <w:t>ORDENA</w:t>
      </w:r>
      <w:r w:rsidRPr="005C5EB4">
        <w:rPr>
          <w:rFonts w:eastAsia="Palatino Linotype" w:cs="Palatino Linotype"/>
          <w:color w:val="000000"/>
          <w:szCs w:val="24"/>
        </w:rPr>
        <w:t xml:space="preserve"> al Sujeto Obligado que haga entrega a</w:t>
      </w:r>
      <w:r w:rsidR="006310FC">
        <w:rPr>
          <w:rFonts w:eastAsia="Palatino Linotype" w:cs="Palatino Linotype"/>
          <w:color w:val="000000"/>
          <w:szCs w:val="24"/>
        </w:rPr>
        <w:t>l</w:t>
      </w:r>
      <w:r w:rsidRPr="005C5EB4">
        <w:rPr>
          <w:rFonts w:eastAsia="Palatino Linotype" w:cs="Palatino Linotype"/>
          <w:color w:val="000000"/>
          <w:szCs w:val="24"/>
        </w:rPr>
        <w:t xml:space="preserve"> Recurrente mediante el Sistema de Acceso a la Información Mexiquense (SAIMEX)</w:t>
      </w:r>
      <w:r w:rsidR="006310FC">
        <w:rPr>
          <w:rFonts w:eastAsia="Palatino Linotype" w:cs="Palatino Linotype"/>
          <w:color w:val="000000"/>
          <w:szCs w:val="24"/>
        </w:rPr>
        <w:t>, en versión pública de ser procedente</w:t>
      </w:r>
      <w:r w:rsidRPr="005C5EB4">
        <w:rPr>
          <w:rFonts w:eastAsia="Palatino Linotype" w:cs="Palatino Linotype"/>
          <w:color w:val="000000"/>
          <w:szCs w:val="24"/>
        </w:rPr>
        <w:t xml:space="preserve"> y en términos del </w:t>
      </w:r>
      <w:r w:rsidRPr="005C5EB4">
        <w:rPr>
          <w:rFonts w:eastAsia="Palatino Linotype" w:cs="Palatino Linotype"/>
          <w:b/>
          <w:color w:val="000000"/>
          <w:szCs w:val="24"/>
        </w:rPr>
        <w:t xml:space="preserve">Considerando </w:t>
      </w:r>
      <w:r w:rsidR="006310FC">
        <w:rPr>
          <w:rFonts w:eastAsia="Palatino Linotype" w:cs="Palatino Linotype"/>
          <w:b/>
          <w:color w:val="000000"/>
          <w:szCs w:val="24"/>
        </w:rPr>
        <w:t>QUIN</w:t>
      </w:r>
      <w:r w:rsidR="00114C24" w:rsidRPr="005C5EB4">
        <w:rPr>
          <w:rFonts w:eastAsia="Palatino Linotype" w:cs="Palatino Linotype"/>
          <w:b/>
          <w:color w:val="000000"/>
          <w:szCs w:val="24"/>
        </w:rPr>
        <w:t>TO</w:t>
      </w:r>
      <w:r w:rsidRPr="005C5EB4">
        <w:rPr>
          <w:rFonts w:eastAsia="Palatino Linotype" w:cs="Palatino Linotype"/>
          <w:color w:val="000000"/>
          <w:szCs w:val="24"/>
        </w:rPr>
        <w:t xml:space="preserve">, </w:t>
      </w:r>
      <w:r w:rsidR="00D26DE4">
        <w:rPr>
          <w:rFonts w:eastAsia="Palatino Linotype" w:cs="Palatino Linotype"/>
          <w:color w:val="000000"/>
          <w:szCs w:val="24"/>
        </w:rPr>
        <w:t>de</w:t>
      </w:r>
      <w:r w:rsidR="00593F02">
        <w:rPr>
          <w:rFonts w:eastAsia="Palatino Linotype" w:cs="Palatino Linotype"/>
          <w:color w:val="000000"/>
          <w:szCs w:val="24"/>
        </w:rPr>
        <w:t xml:space="preserve"> </w:t>
      </w:r>
      <w:r w:rsidR="00D26DE4">
        <w:rPr>
          <w:rFonts w:eastAsia="Palatino Linotype" w:cs="Palatino Linotype"/>
          <w:color w:val="000000"/>
          <w:szCs w:val="24"/>
        </w:rPr>
        <w:t>lo siguiente:</w:t>
      </w:r>
    </w:p>
    <w:p w14:paraId="1BD1E6A9" w14:textId="77777777" w:rsidR="00D26DE4" w:rsidRDefault="00D26DE4" w:rsidP="00B97B0E">
      <w:pPr>
        <w:pBdr>
          <w:top w:val="nil"/>
          <w:left w:val="nil"/>
          <w:bottom w:val="nil"/>
          <w:right w:val="nil"/>
          <w:between w:val="nil"/>
        </w:pBdr>
        <w:rPr>
          <w:rFonts w:eastAsia="Palatino Linotype" w:cs="Palatino Linotype"/>
          <w:color w:val="000000"/>
          <w:szCs w:val="24"/>
        </w:rPr>
      </w:pPr>
    </w:p>
    <w:p w14:paraId="5E8AA92D" w14:textId="0CF58562" w:rsidR="00D26DE4" w:rsidRPr="00D26DE4" w:rsidRDefault="00593F02" w:rsidP="006310FC">
      <w:pPr>
        <w:pStyle w:val="Prrafodelista"/>
        <w:numPr>
          <w:ilvl w:val="0"/>
          <w:numId w:val="35"/>
        </w:numPr>
        <w:pBdr>
          <w:top w:val="nil"/>
          <w:left w:val="nil"/>
          <w:bottom w:val="nil"/>
          <w:right w:val="nil"/>
          <w:between w:val="nil"/>
        </w:pBdr>
        <w:spacing w:line="276" w:lineRule="auto"/>
        <w:rPr>
          <w:rFonts w:eastAsia="Palatino Linotype" w:cs="Palatino Linotype"/>
          <w:i/>
          <w:iCs/>
          <w:color w:val="000000"/>
        </w:rPr>
      </w:pPr>
      <w:r>
        <w:rPr>
          <w:rFonts w:eastAsia="Palatino Linotype" w:cs="Palatino Linotype"/>
          <w:i/>
          <w:iCs/>
          <w:color w:val="000000" w:themeColor="text1"/>
        </w:rPr>
        <w:t>L</w:t>
      </w:r>
      <w:r w:rsidR="006310FC" w:rsidRPr="006310FC">
        <w:rPr>
          <w:rFonts w:eastAsia="Palatino Linotype" w:cs="Palatino Linotype"/>
          <w:i/>
          <w:iCs/>
          <w:color w:val="000000" w:themeColor="text1"/>
        </w:rPr>
        <w:t>os comprobantes fiscales generados por los gastos realizados desde la apertura y al día diecinueve de octubre de dos mil veintitrés, de los cuarenta y tres comedores comunitarios referidos en redes sociales y medios de difusión del Sujeto Obligado y del Ayuntamiento de Atizapán de Zaragoza</w:t>
      </w:r>
      <w:r w:rsidR="14E66B03" w:rsidRPr="14E66B03">
        <w:rPr>
          <w:rFonts w:eastAsia="Palatino Linotype" w:cs="Palatino Linotype"/>
          <w:i/>
          <w:iCs/>
          <w:color w:val="000000" w:themeColor="text1"/>
        </w:rPr>
        <w:t>.</w:t>
      </w:r>
    </w:p>
    <w:p w14:paraId="7D7F392B" w14:textId="77777777" w:rsidR="00B97B0E" w:rsidRDefault="00B97B0E" w:rsidP="00B97B0E">
      <w:pPr>
        <w:pBdr>
          <w:top w:val="nil"/>
          <w:left w:val="nil"/>
          <w:bottom w:val="nil"/>
          <w:right w:val="nil"/>
          <w:between w:val="nil"/>
        </w:pBdr>
        <w:rPr>
          <w:rFonts w:eastAsia="Palatino Linotype" w:cs="Palatino Linotype"/>
          <w:color w:val="000000"/>
          <w:szCs w:val="24"/>
        </w:rPr>
      </w:pPr>
    </w:p>
    <w:p w14:paraId="641CCC32" w14:textId="66E19455" w:rsidR="00E11B77" w:rsidRPr="004926E7" w:rsidRDefault="00E11B77" w:rsidP="00E11B77">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Pr="004926E7">
        <w:rPr>
          <w:rFonts w:eastAsia="Palatino Linotype" w:cs="Palatino Linotype"/>
          <w:color w:val="000000"/>
          <w:szCs w:val="24"/>
        </w:rPr>
        <w:t xml:space="preserve">omo sustento de la versión pública </w:t>
      </w:r>
      <w:r>
        <w:rPr>
          <w:rFonts w:eastAsia="Palatino Linotype" w:cs="Palatino Linotype"/>
          <w:color w:val="000000"/>
          <w:szCs w:val="24"/>
        </w:rPr>
        <w:t xml:space="preserve">de los documentos referidos, </w:t>
      </w:r>
      <w:r w:rsidRPr="004926E7">
        <w:rPr>
          <w:rFonts w:eastAsia="Palatino Linotype" w:cs="Palatino Linotype"/>
          <w:color w:val="000000"/>
          <w:szCs w:val="24"/>
        </w:rPr>
        <w:t>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A99AA08" w14:textId="77777777" w:rsidR="00E11B77" w:rsidRPr="005C5EB4" w:rsidRDefault="00E11B77" w:rsidP="00B97B0E">
      <w:pPr>
        <w:pBdr>
          <w:top w:val="nil"/>
          <w:left w:val="nil"/>
          <w:bottom w:val="nil"/>
          <w:right w:val="nil"/>
          <w:between w:val="nil"/>
        </w:pBdr>
        <w:rPr>
          <w:rFonts w:eastAsia="Palatino Linotype" w:cs="Palatino Linotype"/>
          <w:color w:val="000000"/>
          <w:szCs w:val="24"/>
        </w:rPr>
      </w:pPr>
    </w:p>
    <w:p w14:paraId="11B92982" w14:textId="0EF4EB73" w:rsidR="00B97B0E" w:rsidRPr="00F467A8"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t>TERCERO. Notifíquese</w:t>
      </w:r>
      <w:r w:rsidR="005C5EB4" w:rsidRPr="005C5EB4">
        <w:rPr>
          <w:rFonts w:eastAsia="Palatino Linotype" w:cs="Palatino Linotype"/>
          <w:color w:val="000000"/>
          <w:szCs w:val="24"/>
        </w:rPr>
        <w:t xml:space="preserve"> </w:t>
      </w:r>
      <w:r w:rsidR="005C5EB4">
        <w:rPr>
          <w:rFonts w:eastAsia="Palatino Linotype" w:cs="Palatino Linotype"/>
          <w:color w:val="000000"/>
          <w:szCs w:val="24"/>
        </w:rPr>
        <w:t>la presente resolución al</w:t>
      </w:r>
      <w:r w:rsidR="005C5EB4" w:rsidRPr="00B64678">
        <w:rPr>
          <w:rFonts w:eastAsia="Palatino Linotype" w:cs="Palatino Linotype"/>
          <w:color w:val="000000"/>
          <w:szCs w:val="24"/>
        </w:rPr>
        <w:t xml:space="preserve"> Titular de la Unidad de Transparencia del Sujeto Obligado para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conforme a</w:t>
      </w:r>
      <w:r w:rsidR="005C5EB4">
        <w:rPr>
          <w:rFonts w:eastAsia="Palatino Linotype" w:cs="Palatino Linotype"/>
          <w:color w:val="000000"/>
          <w:szCs w:val="24"/>
        </w:rPr>
        <w:t xml:space="preserve"> </w:t>
      </w:r>
      <w:r w:rsidR="005C5EB4" w:rsidRPr="00B64678">
        <w:rPr>
          <w:rFonts w:eastAsia="Palatino Linotype" w:cs="Palatino Linotype"/>
          <w:color w:val="000000"/>
          <w:szCs w:val="24"/>
        </w:rPr>
        <w:t>l</w:t>
      </w:r>
      <w:r w:rsidR="005C5EB4">
        <w:rPr>
          <w:rFonts w:eastAsia="Palatino Linotype" w:cs="Palatino Linotype"/>
          <w:color w:val="000000"/>
          <w:szCs w:val="24"/>
        </w:rPr>
        <w:t>os</w:t>
      </w:r>
      <w:r w:rsidR="005C5EB4" w:rsidRPr="00B64678">
        <w:rPr>
          <w:rFonts w:eastAsia="Palatino Linotype" w:cs="Palatino Linotype"/>
          <w:color w:val="000000"/>
          <w:szCs w:val="24"/>
        </w:rPr>
        <w:t xml:space="preserve"> artículo</w:t>
      </w:r>
      <w:r w:rsidR="005C5EB4">
        <w:rPr>
          <w:rFonts w:eastAsia="Palatino Linotype" w:cs="Palatino Linotype"/>
          <w:color w:val="000000"/>
          <w:szCs w:val="24"/>
        </w:rPr>
        <w:t>s</w:t>
      </w:r>
      <w:r w:rsidR="005C5EB4" w:rsidRPr="00B64678">
        <w:rPr>
          <w:rFonts w:eastAsia="Palatino Linotype" w:cs="Palatino Linotype"/>
          <w:color w:val="000000"/>
          <w:szCs w:val="24"/>
        </w:rPr>
        <w:t xml:space="preserve"> 186 último párrafo, 189 segundo párrafo y 194 de la Ley de Transparencia y Acceso a la Información Pública del Estado de México y Municipios</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dé cumplimiento a lo ordenado dentro del plazo de diez días hábiles e informe a este Instituto en un plazo de tres días hábiles siguientes sobre el cumplimiento dado a la presente</w:t>
      </w:r>
      <w:r w:rsidR="005C5EB4">
        <w:rPr>
          <w:rFonts w:eastAsia="Palatino Linotype" w:cs="Palatino Linotype"/>
          <w:color w:val="000000"/>
          <w:szCs w:val="24"/>
        </w:rPr>
        <w:t>; y</w:t>
      </w:r>
      <w:r w:rsidR="005C5EB4" w:rsidRPr="00B64678">
        <w:rPr>
          <w:rFonts w:eastAsia="Palatino Linotype" w:cs="Palatino Linotype"/>
          <w:color w:val="000000"/>
          <w:szCs w:val="24"/>
        </w:rPr>
        <w:t xml:space="preserve"> se le apercibe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en caso de negarse a cumplir la presente resolución o hacerlo de manera parcial, se le impondrá una medida de apremio de conformidad con lo previsto en los artículos 198, 200 fracción III</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214, 215 y 216 de la Ley de Transparencia y Acceso a la Información Pública del Estado de México y Municipios.</w:t>
      </w:r>
    </w:p>
    <w:p w14:paraId="077A2145"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p>
    <w:p w14:paraId="735AFAA7"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r w:rsidRPr="00F467A8">
        <w:rPr>
          <w:rFonts w:eastAsia="Palatino Linotype" w:cs="Palatino Linotype"/>
          <w:b/>
          <w:color w:val="000000"/>
          <w:szCs w:val="24"/>
        </w:rPr>
        <w:t xml:space="preserve">CUARTO. </w:t>
      </w:r>
      <w:r w:rsidRPr="00F467A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4EC76A" w14:textId="77777777" w:rsidR="00B97B0E" w:rsidRPr="00F467A8" w:rsidRDefault="00B97B0E" w:rsidP="00B97B0E">
      <w:pPr>
        <w:pBdr>
          <w:top w:val="nil"/>
          <w:left w:val="nil"/>
          <w:bottom w:val="nil"/>
          <w:right w:val="nil"/>
          <w:between w:val="nil"/>
        </w:pBdr>
        <w:rPr>
          <w:rFonts w:eastAsia="Palatino Linotype" w:cs="Palatino Linotype"/>
          <w:b/>
          <w:color w:val="000000"/>
          <w:szCs w:val="24"/>
        </w:rPr>
      </w:pPr>
    </w:p>
    <w:p w14:paraId="5D44F2F7" w14:textId="07A794D8" w:rsidR="00B97B0E" w:rsidRPr="00F467A8" w:rsidRDefault="00B97B0E" w:rsidP="00B97B0E">
      <w:pPr>
        <w:contextualSpacing/>
        <w:rPr>
          <w:rFonts w:eastAsia="Palatino Linotype" w:cs="Palatino Linotype"/>
          <w:color w:val="000000"/>
          <w:szCs w:val="24"/>
        </w:rPr>
      </w:pPr>
      <w:r w:rsidRPr="00F467A8">
        <w:rPr>
          <w:rFonts w:eastAsia="Palatino Linotype" w:cs="Palatino Linotype"/>
          <w:b/>
          <w:color w:val="000000"/>
          <w:szCs w:val="24"/>
        </w:rPr>
        <w:t xml:space="preserve">QUINTO. Notifíquese </w:t>
      </w:r>
      <w:r w:rsidRPr="00F467A8">
        <w:rPr>
          <w:rFonts w:eastAsia="Palatino Linotype" w:cs="Palatino Linotype"/>
          <w:color w:val="000000"/>
          <w:szCs w:val="24"/>
        </w:rPr>
        <w:t>la presente resolución a</w:t>
      </w:r>
      <w:r w:rsidR="00F81914">
        <w:rPr>
          <w:rFonts w:eastAsia="Palatino Linotype" w:cs="Palatino Linotype"/>
          <w:color w:val="000000"/>
          <w:szCs w:val="24"/>
        </w:rPr>
        <w:t>l</w:t>
      </w:r>
      <w:r w:rsidRPr="00F467A8">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w:t>
      </w:r>
      <w:r w:rsidRPr="00F467A8">
        <w:rPr>
          <w:rFonts w:eastAsia="Palatino Linotype" w:cs="Palatino Linotype"/>
          <w:color w:val="000000"/>
          <w:szCs w:val="24"/>
          <w:highlight w:val="white"/>
        </w:rPr>
        <w:t xml:space="preserve"> de conformidad con lo establecido en el artículo 196 de la Ley de Transparencia y Acceso a la Información Pública del Estado de México y Municipios.</w:t>
      </w:r>
    </w:p>
    <w:p w14:paraId="3C6B48A7" w14:textId="77777777" w:rsidR="00B97B0E" w:rsidRDefault="00B97B0E" w:rsidP="00F012D3"/>
    <w:p w14:paraId="14E6007E" w14:textId="23E28854" w:rsidR="00E11B77" w:rsidRDefault="006922F5" w:rsidP="00593F02">
      <w:pPr>
        <w:pBdr>
          <w:top w:val="nil"/>
          <w:left w:val="nil"/>
          <w:bottom w:val="nil"/>
          <w:right w:val="nil"/>
          <w:between w:val="nil"/>
        </w:pBdr>
        <w:ind w:right="-8"/>
        <w:contextualSpacing/>
        <w:rPr>
          <w:rFonts w:eastAsia="Palatino Linotype" w:cs="Palatino Linotype"/>
          <w:color w:val="000000"/>
          <w:szCs w:val="24"/>
        </w:rPr>
      </w:pPr>
      <w:r>
        <w:rPr>
          <w:rFonts w:eastAsia="Palatino Linotype" w:cs="Palatino Linotype"/>
          <w:color w:val="000000"/>
          <w:szCs w:val="24"/>
        </w:rPr>
        <w:lastRenderedPageBreak/>
        <w:t xml:space="preserve">ASÍ LO RESUELVE, POR </w:t>
      </w:r>
      <w:r w:rsidR="00593725">
        <w:rPr>
          <w:rFonts w:eastAsia="Palatino Linotype" w:cs="Palatino Linotype"/>
          <w:color w:val="000000"/>
          <w:szCs w:val="24"/>
        </w:rPr>
        <w:t xml:space="preserve">UNANIMIDAD </w:t>
      </w:r>
      <w:r>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1A5FBE">
        <w:rPr>
          <w:rFonts w:eastAsia="Palatino Linotype" w:cs="Palatino Linotype"/>
          <w:color w:val="000000"/>
          <w:szCs w:val="24"/>
        </w:rPr>
        <w:t xml:space="preserve"> (</w:t>
      </w:r>
      <w:r w:rsidR="00AE5076">
        <w:rPr>
          <w:rFonts w:eastAsia="Palatino Linotype" w:cs="Palatino Linotype"/>
          <w:color w:val="000000"/>
          <w:szCs w:val="24"/>
        </w:rPr>
        <w:t>AUSENCIA JUSTIFICADA)</w:t>
      </w:r>
      <w:r>
        <w:rPr>
          <w:rFonts w:eastAsia="Palatino Linotype" w:cs="Palatino Linotype"/>
          <w:color w:val="000000"/>
          <w:szCs w:val="24"/>
        </w:rPr>
        <w:t xml:space="preserve">, SHARON CRISTINA MORALES MARTÍNEZ, LUIS GUSTAVO PARRA NORIEGA </w:t>
      </w:r>
      <w:r w:rsidR="00095CDD">
        <w:rPr>
          <w:rFonts w:eastAsia="Palatino Linotype" w:cs="Palatino Linotype"/>
          <w:color w:val="000000"/>
          <w:szCs w:val="24"/>
        </w:rPr>
        <w:t xml:space="preserve">(EMITIENDO VOTO PARTICULAR) </w:t>
      </w:r>
      <w:r>
        <w:rPr>
          <w:rFonts w:eastAsia="Palatino Linotype" w:cs="Palatino Linotype"/>
          <w:color w:val="000000"/>
          <w:szCs w:val="24"/>
        </w:rPr>
        <w:t>Y GUADALUPE RAMÍREZ PEÑA</w:t>
      </w:r>
      <w:r w:rsidR="001A5FBE">
        <w:rPr>
          <w:rFonts w:eastAsia="Palatino Linotype" w:cs="Palatino Linotype"/>
          <w:color w:val="000000"/>
          <w:szCs w:val="24"/>
        </w:rPr>
        <w:t xml:space="preserve"> (</w:t>
      </w:r>
      <w:r w:rsidR="00095CDD">
        <w:rPr>
          <w:rFonts w:eastAsia="Palatino Linotype" w:cs="Palatino Linotype"/>
          <w:color w:val="000000"/>
          <w:szCs w:val="24"/>
        </w:rPr>
        <w:t>AUSENCIA JUSTIFICADA)</w:t>
      </w:r>
      <w:r>
        <w:rPr>
          <w:rFonts w:eastAsia="Palatino Linotype" w:cs="Palatino Linotype"/>
          <w:color w:val="000000"/>
          <w:szCs w:val="24"/>
        </w:rPr>
        <w:t xml:space="preserve">, EN </w:t>
      </w:r>
      <w:r w:rsidRPr="00857348">
        <w:rPr>
          <w:rFonts w:eastAsia="Palatino Linotype" w:cs="Palatino Linotype"/>
          <w:color w:val="000000"/>
          <w:szCs w:val="24"/>
        </w:rPr>
        <w:t xml:space="preserve">LA </w:t>
      </w:r>
      <w:r w:rsidR="00095CDD">
        <w:rPr>
          <w:rFonts w:eastAsia="Palatino Linotype" w:cs="Palatino Linotype"/>
          <w:color w:val="000000"/>
          <w:szCs w:val="24"/>
        </w:rPr>
        <w:t>DÉCIMA</w:t>
      </w:r>
      <w:r>
        <w:rPr>
          <w:rFonts w:eastAsia="Palatino Linotype" w:cs="Palatino Linotype"/>
          <w:color w:val="000000"/>
          <w:szCs w:val="24"/>
        </w:rPr>
        <w:t xml:space="preserve"> SESIÓN ORDINARIA CELEBRADA </w:t>
      </w:r>
      <w:r w:rsidRPr="00857348">
        <w:rPr>
          <w:rFonts w:eastAsia="Palatino Linotype" w:cs="Palatino Linotype"/>
          <w:color w:val="000000"/>
          <w:szCs w:val="24"/>
        </w:rPr>
        <w:t>EL</w:t>
      </w:r>
      <w:r w:rsidR="00593725" w:rsidRPr="00857348">
        <w:rPr>
          <w:rFonts w:eastAsia="Palatino Linotype" w:cs="Palatino Linotype"/>
          <w:color w:val="000000"/>
          <w:szCs w:val="24"/>
        </w:rPr>
        <w:t xml:space="preserve"> </w:t>
      </w:r>
      <w:r w:rsidR="00095CDD">
        <w:rPr>
          <w:rFonts w:eastAsia="Palatino Linotype" w:cs="Palatino Linotype"/>
          <w:color w:val="000000"/>
          <w:szCs w:val="24"/>
        </w:rPr>
        <w:t>VEINTIUNO DE MARZO</w:t>
      </w:r>
      <w:r w:rsidR="00593725">
        <w:rPr>
          <w:rFonts w:eastAsia="Palatino Linotype" w:cs="Palatino Linotype"/>
          <w:color w:val="000000"/>
          <w:szCs w:val="24"/>
        </w:rPr>
        <w:t xml:space="preserve"> DE DOS MIL VEINTI</w:t>
      </w:r>
      <w:r w:rsidR="00095CDD">
        <w:rPr>
          <w:rFonts w:eastAsia="Palatino Linotype" w:cs="Palatino Linotype"/>
          <w:color w:val="000000"/>
          <w:szCs w:val="24"/>
        </w:rPr>
        <w:t>CUATRO</w:t>
      </w:r>
      <w:r>
        <w:rPr>
          <w:rFonts w:eastAsia="Palatino Linotype" w:cs="Palatino Linotype"/>
          <w:color w:val="000000"/>
          <w:szCs w:val="24"/>
        </w:rPr>
        <w:t xml:space="preserve">, ANTE EL SECRETARIO TÉCNICO </w:t>
      </w:r>
      <w:r w:rsidR="00235736">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15FE" w:rsidRPr="006922F5">
        <w:rPr>
          <w:rFonts w:eastAsia="Palatino Linotype" w:cs="Palatino Linotype"/>
          <w:color w:val="000000"/>
          <w:szCs w:val="24"/>
        </w:rPr>
        <w:t>--------------</w:t>
      </w:r>
      <w:r>
        <w:rPr>
          <w:rFonts w:eastAsia="Palatino Linotype" w:cs="Palatino Linotype"/>
          <w:color w:val="000000"/>
          <w:szCs w:val="24"/>
        </w:rPr>
        <w:t>---------------------------------------------------------------------------------------------------------------------</w:t>
      </w:r>
      <w:r w:rsidR="00BB2A3A">
        <w:rPr>
          <w:rFonts w:eastAsia="Palatino Linotype" w:cs="Palatino Linotype"/>
          <w:color w:val="000000"/>
          <w:szCs w:val="24"/>
        </w:rPr>
        <w:t>---------------------</w:t>
      </w:r>
      <w:r w:rsidR="00235736">
        <w:rPr>
          <w:rFonts w:eastAsia="Palatino Linotype" w:cs="Palatino Linotype"/>
          <w:color w:val="000000"/>
          <w:szCs w:val="24"/>
        </w:rPr>
        <w:t>----------------------------------------------------------------------------------------------------------------------</w:t>
      </w:r>
      <w:r w:rsidR="00B25DBA">
        <w:rPr>
          <w:rFonts w:eastAsia="Palatino Linotype" w:cs="Palatino Linotype"/>
          <w:color w:val="000000"/>
          <w:szCs w:val="24"/>
        </w:rPr>
        <w:t>-----------------------------------------------------------------------------------------------------------------------------------------------------------------------------------------------------------------------------------------------------------------------</w:t>
      </w:r>
      <w:r w:rsidR="005C5EB4">
        <w:rPr>
          <w:rFonts w:eastAsia="Palatino Linotype" w:cs="Palatino Linotype"/>
          <w:color w:val="000000"/>
          <w:szCs w:val="24"/>
        </w:rPr>
        <w:t>--------------------------------------------------------------------------------------------------------------------------------------------------------------------------------------------------------------------------------------------------------------------------------------------------------------------------------------------------------------------------------------------------------------------------------------------------------------------------------------------------------------------------------------------------------------------------</w:t>
      </w:r>
      <w:r w:rsidR="00D26DE4">
        <w:rPr>
          <w:rFonts w:eastAsia="Palatino Linotype" w:cs="Palatino Linotype"/>
          <w:color w:val="000000"/>
          <w:szCs w:val="24"/>
        </w:rPr>
        <w:t>-------------------------------</w:t>
      </w:r>
      <w:r w:rsidR="00593F02">
        <w:rPr>
          <w:rFonts w:eastAsia="Palatino Linotype" w:cs="Palatino Linotype"/>
          <w:color w:val="000000"/>
          <w:szCs w:val="24"/>
        </w:rPr>
        <w:t>---------------------------------------------------------------------------------------------------------------------</w:t>
      </w:r>
      <w:r w:rsidR="00857348">
        <w:rPr>
          <w:rFonts w:eastAsia="Palatino Linotype" w:cs="Palatino Linotype"/>
          <w:color w:val="000000"/>
          <w:szCs w:val="24"/>
        </w:rPr>
        <w:t>---------</w:t>
      </w:r>
      <w:r w:rsidR="00095CDD">
        <w:rPr>
          <w:rFonts w:eastAsia="Palatino Linotype" w:cs="Palatino Linotype"/>
          <w:color w:val="000000"/>
          <w:szCs w:val="24"/>
        </w:rPr>
        <w:t>-------------------------------------------------------------------------------------------------------------------------------------------------------------------------------------------------------------------------------------------------------------------------------------------------------------------------</w:t>
      </w:r>
    </w:p>
    <w:p w14:paraId="4DA57669" w14:textId="0E280881" w:rsidR="00A970D5" w:rsidRPr="004B7011" w:rsidRDefault="00A970D5" w:rsidP="00593F02">
      <w:pPr>
        <w:pBdr>
          <w:top w:val="nil"/>
          <w:left w:val="nil"/>
          <w:bottom w:val="nil"/>
          <w:right w:val="nil"/>
          <w:between w:val="nil"/>
        </w:pBdr>
        <w:ind w:right="-8"/>
        <w:contextualSpacing/>
        <w:rPr>
          <w:rFonts w:eastAsia="Palatino Linotype" w:cs="Palatino Linotype"/>
          <w:color w:val="000000"/>
          <w:sz w:val="20"/>
          <w:szCs w:val="20"/>
        </w:rPr>
      </w:pPr>
      <w:r w:rsidRPr="006922F5">
        <w:rPr>
          <w:rFonts w:eastAsia="Palatino Linotype" w:cs="Palatino Linotype"/>
          <w:color w:val="000000"/>
          <w:sz w:val="20"/>
          <w:szCs w:val="20"/>
        </w:rPr>
        <w:t>JMV/CCR/fzh</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031184">
      <w:headerReference w:type="even" r:id="rId8"/>
      <w:headerReference w:type="default" r:id="rId9"/>
      <w:footerReference w:type="default" r:id="rId10"/>
      <w:headerReference w:type="first" r:id="rId11"/>
      <w:footerReference w:type="first" r:id="rId12"/>
      <w:pgSz w:w="12240" w:h="1584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293E7" w14:textId="77777777" w:rsidR="00031184" w:rsidRDefault="00031184" w:rsidP="00F2498E">
      <w:pPr>
        <w:spacing w:line="240" w:lineRule="auto"/>
      </w:pPr>
      <w:r>
        <w:separator/>
      </w:r>
    </w:p>
  </w:endnote>
  <w:endnote w:type="continuationSeparator" w:id="0">
    <w:p w14:paraId="3A5163F2" w14:textId="77777777" w:rsidR="00031184" w:rsidRDefault="00031184" w:rsidP="00F2498E">
      <w:pPr>
        <w:spacing w:line="240" w:lineRule="auto"/>
      </w:pPr>
      <w:r>
        <w:continuationSeparator/>
      </w:r>
    </w:p>
  </w:endnote>
  <w:endnote w:type="continuationNotice" w:id="1">
    <w:p w14:paraId="7FB24B4C" w14:textId="77777777" w:rsidR="00031184" w:rsidRDefault="000311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8240F4" w:rsidRPr="00871A91" w:rsidRDefault="008240F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632E">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632E">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8240F4" w:rsidRPr="00871A91" w:rsidRDefault="008240F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632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632E">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EFDE" w14:textId="77777777" w:rsidR="00031184" w:rsidRDefault="00031184" w:rsidP="00F2498E">
      <w:pPr>
        <w:spacing w:line="240" w:lineRule="auto"/>
      </w:pPr>
      <w:r>
        <w:separator/>
      </w:r>
    </w:p>
  </w:footnote>
  <w:footnote w:type="continuationSeparator" w:id="0">
    <w:p w14:paraId="764CC343" w14:textId="77777777" w:rsidR="00031184" w:rsidRDefault="00031184" w:rsidP="00F2498E">
      <w:pPr>
        <w:spacing w:line="240" w:lineRule="auto"/>
      </w:pPr>
      <w:r>
        <w:continuationSeparator/>
      </w:r>
    </w:p>
  </w:footnote>
  <w:footnote w:type="continuationNotice" w:id="1">
    <w:p w14:paraId="69B3FD9B" w14:textId="77777777" w:rsidR="00031184" w:rsidRDefault="00031184">
      <w:pPr>
        <w:spacing w:line="240" w:lineRule="auto"/>
      </w:pPr>
    </w:p>
  </w:footnote>
  <w:footnote w:id="2">
    <w:p w14:paraId="7822D80A" w14:textId="77777777" w:rsidR="008240F4" w:rsidRPr="0031280C" w:rsidRDefault="008240F4" w:rsidP="00B728EA">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BC6F955" w14:textId="77777777" w:rsidR="008240F4" w:rsidRPr="0031280C" w:rsidRDefault="008240F4" w:rsidP="00B728EA">
      <w:pPr>
        <w:pBdr>
          <w:top w:val="nil"/>
          <w:left w:val="nil"/>
          <w:bottom w:val="nil"/>
          <w:right w:val="nil"/>
          <w:between w:val="nil"/>
        </w:pBdr>
        <w:spacing w:line="240" w:lineRule="auto"/>
        <w:rPr>
          <w:rFonts w:eastAsia="Palatino Linotype" w:cs="Palatino Linotype"/>
          <w:color w:val="000000"/>
          <w:sz w:val="20"/>
          <w:szCs w:val="20"/>
        </w:rPr>
      </w:pPr>
    </w:p>
    <w:p w14:paraId="4B581BE7" w14:textId="77777777" w:rsidR="008240F4" w:rsidRPr="0031280C" w:rsidRDefault="008240F4" w:rsidP="00B728EA">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E3347A9" w14:textId="77777777" w:rsidR="008240F4" w:rsidRPr="0031280C" w:rsidRDefault="008240F4" w:rsidP="00B728EA">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2C348C5" w14:textId="77777777" w:rsidR="00FC0957" w:rsidRPr="007C3435" w:rsidRDefault="00FC0957" w:rsidP="00FC0957">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 w:id="4">
    <w:p w14:paraId="7E8E26E6" w14:textId="3CC3537B" w:rsidR="00EF208A" w:rsidRDefault="00EF208A">
      <w:pPr>
        <w:pStyle w:val="Textonotapie"/>
      </w:pPr>
      <w:r>
        <w:rPr>
          <w:rStyle w:val="Refdenotaalpie"/>
        </w:rPr>
        <w:footnoteRef/>
      </w:r>
      <w:r>
        <w:t xml:space="preserve"> </w:t>
      </w:r>
      <w:r w:rsidR="00251C34">
        <w:t>Consultado el siete de marzo de dos mil veinticuatr</w:t>
      </w:r>
      <w:r w:rsidR="00455946">
        <w:t xml:space="preserve">o, en el siguiente enlace: </w:t>
      </w:r>
      <w:hyperlink r:id="rId3" w:history="1">
        <w:r w:rsidR="00455946" w:rsidRPr="00273AD8">
          <w:rPr>
            <w:rStyle w:val="Hipervnculo"/>
          </w:rPr>
          <w:t>https://atizapan.gob.mx/2022/08/26/pone-en-marcha-pedro-rodriguez-43-comedores-comunitarios-en-atizapan-de-zaragoza/</w:t>
        </w:r>
      </w:hyperlink>
      <w:r w:rsidR="0045594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240F4" w:rsidRDefault="0020632E">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240F4" w:rsidRPr="00B17577" w14:paraId="37B9EBDE" w14:textId="77777777" w:rsidTr="003938ED">
      <w:trPr>
        <w:trHeight w:val="227"/>
      </w:trPr>
      <w:tc>
        <w:tcPr>
          <w:tcW w:w="5103" w:type="dxa"/>
          <w:hideMark/>
        </w:tcPr>
        <w:p w14:paraId="4964FBC5" w14:textId="54CDA645" w:rsidR="008240F4" w:rsidRPr="00096248" w:rsidRDefault="008240F4"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52A0037" w:rsidR="008240F4" w:rsidRPr="00096248" w:rsidRDefault="00DD46D7" w:rsidP="00011C4D">
          <w:pPr>
            <w:spacing w:after="120" w:line="240" w:lineRule="auto"/>
            <w:ind w:right="71"/>
            <w:jc w:val="right"/>
            <w:rPr>
              <w:rFonts w:cs="Arial"/>
              <w:b/>
              <w:szCs w:val="24"/>
            </w:rPr>
          </w:pPr>
          <w:r>
            <w:rPr>
              <w:rFonts w:cs="Arial"/>
              <w:b/>
              <w:bCs/>
              <w:szCs w:val="24"/>
            </w:rPr>
            <w:t>0771</w:t>
          </w:r>
          <w:r w:rsidR="002F1C3D">
            <w:rPr>
              <w:rFonts w:cs="Arial"/>
              <w:b/>
              <w:bCs/>
              <w:szCs w:val="24"/>
            </w:rPr>
            <w:t>0</w:t>
          </w:r>
          <w:r w:rsidR="008240F4" w:rsidRPr="001D0070">
            <w:rPr>
              <w:rFonts w:cs="Arial"/>
              <w:b/>
              <w:bCs/>
              <w:szCs w:val="24"/>
            </w:rPr>
            <w:t>/INFOEM/IP/RR/2023</w:t>
          </w:r>
        </w:p>
      </w:tc>
    </w:tr>
    <w:tr w:rsidR="008240F4" w14:paraId="7591D3C9" w14:textId="77777777" w:rsidTr="003938ED">
      <w:trPr>
        <w:trHeight w:val="242"/>
      </w:trPr>
      <w:tc>
        <w:tcPr>
          <w:tcW w:w="5103" w:type="dxa"/>
          <w:hideMark/>
        </w:tcPr>
        <w:p w14:paraId="729A65A8" w14:textId="77777777" w:rsidR="008240F4" w:rsidRPr="00096248" w:rsidRDefault="008240F4"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351C7B7" w:rsidR="008240F4" w:rsidRPr="00096248" w:rsidRDefault="008B1F00" w:rsidP="00100663">
          <w:pPr>
            <w:spacing w:after="120" w:line="240" w:lineRule="auto"/>
            <w:ind w:left="-81" w:right="71"/>
            <w:jc w:val="right"/>
            <w:rPr>
              <w:rFonts w:cs="Arial"/>
              <w:szCs w:val="24"/>
            </w:rPr>
          </w:pPr>
          <w:r>
            <w:rPr>
              <w:rFonts w:cs="Arial"/>
              <w:szCs w:val="24"/>
            </w:rPr>
            <w:t>Sistema para el Desarrollo Integral de la Familia del Municipio de Atizapán de Zaragoza</w:t>
          </w:r>
        </w:p>
      </w:tc>
    </w:tr>
    <w:tr w:rsidR="008240F4" w:rsidRPr="00F63239" w14:paraId="037E914D" w14:textId="77777777" w:rsidTr="003938ED">
      <w:trPr>
        <w:trHeight w:val="342"/>
      </w:trPr>
      <w:tc>
        <w:tcPr>
          <w:tcW w:w="5103" w:type="dxa"/>
          <w:hideMark/>
        </w:tcPr>
        <w:p w14:paraId="7676B68F" w14:textId="64D69EAF" w:rsidR="008240F4" w:rsidRPr="00096248" w:rsidRDefault="008240F4"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8240F4" w:rsidRDefault="008240F4"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8240F4" w:rsidRPr="00711916" w:rsidRDefault="008240F4" w:rsidP="00011C4D">
          <w:pPr>
            <w:spacing w:after="120" w:line="240" w:lineRule="auto"/>
            <w:ind w:left="-486" w:right="71" w:firstLine="567"/>
            <w:jc w:val="right"/>
            <w:rPr>
              <w:rFonts w:cs="Arial"/>
              <w:sz w:val="2"/>
              <w:szCs w:val="2"/>
            </w:rPr>
          </w:pPr>
        </w:p>
      </w:tc>
    </w:tr>
  </w:tbl>
  <w:p w14:paraId="2998DBFD" w14:textId="25A9F426" w:rsidR="008240F4" w:rsidRPr="00871A91" w:rsidRDefault="0020632E">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4.1pt;margin-top:-149.35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r w:rsidR="008240F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240F4" w14:paraId="0F9FE9B6" w14:textId="77777777" w:rsidTr="003938ED">
      <w:trPr>
        <w:trHeight w:val="227"/>
      </w:trPr>
      <w:tc>
        <w:tcPr>
          <w:tcW w:w="5103" w:type="dxa"/>
          <w:hideMark/>
        </w:tcPr>
        <w:p w14:paraId="6D1D9D71" w14:textId="11150E5A" w:rsidR="008240F4" w:rsidRPr="00663A37" w:rsidRDefault="008240F4"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E567839" w:rsidR="008240F4" w:rsidRPr="00C81ECD" w:rsidRDefault="008B1F00" w:rsidP="00011C4D">
          <w:pPr>
            <w:spacing w:after="120" w:line="240" w:lineRule="auto"/>
            <w:ind w:left="-486" w:right="68" w:firstLine="558"/>
            <w:jc w:val="right"/>
            <w:rPr>
              <w:rFonts w:cs="Arial"/>
              <w:b/>
              <w:szCs w:val="24"/>
            </w:rPr>
          </w:pPr>
          <w:r>
            <w:rPr>
              <w:rFonts w:cs="Arial"/>
              <w:b/>
              <w:bCs/>
              <w:szCs w:val="24"/>
            </w:rPr>
            <w:t>07710</w:t>
          </w:r>
          <w:r w:rsidR="008240F4" w:rsidRPr="001D0070">
            <w:rPr>
              <w:rFonts w:cs="Arial"/>
              <w:b/>
              <w:bCs/>
              <w:szCs w:val="24"/>
            </w:rPr>
            <w:t>/INFOEM/IP/RR/2023</w:t>
          </w:r>
        </w:p>
      </w:tc>
    </w:tr>
    <w:tr w:rsidR="008240F4" w:rsidRPr="001F57CD" w14:paraId="1377D264" w14:textId="77777777" w:rsidTr="003938ED">
      <w:trPr>
        <w:trHeight w:val="196"/>
      </w:trPr>
      <w:tc>
        <w:tcPr>
          <w:tcW w:w="5103" w:type="dxa"/>
          <w:hideMark/>
        </w:tcPr>
        <w:p w14:paraId="04D597A1" w14:textId="77777777" w:rsidR="008240F4" w:rsidRPr="00663A37" w:rsidRDefault="008240F4"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E4D5486" w:rsidR="008240F4" w:rsidRPr="00663A37" w:rsidRDefault="0020632E" w:rsidP="00011C4D">
          <w:pPr>
            <w:spacing w:after="120" w:line="240" w:lineRule="auto"/>
            <w:ind w:right="68"/>
            <w:jc w:val="right"/>
            <w:rPr>
              <w:rFonts w:cs="Arial"/>
              <w:szCs w:val="24"/>
            </w:rPr>
          </w:pPr>
          <w:r>
            <w:rPr>
              <w:rFonts w:cs="Arial"/>
              <w:szCs w:val="24"/>
            </w:rPr>
            <w:t>XXXXXXXXXXXXXXXXXXXXX</w:t>
          </w:r>
        </w:p>
      </w:tc>
    </w:tr>
    <w:tr w:rsidR="008240F4" w14:paraId="4DC11993" w14:textId="77777777" w:rsidTr="003938ED">
      <w:trPr>
        <w:trHeight w:val="242"/>
      </w:trPr>
      <w:tc>
        <w:tcPr>
          <w:tcW w:w="5103" w:type="dxa"/>
          <w:hideMark/>
        </w:tcPr>
        <w:p w14:paraId="76CEF1B5" w14:textId="77777777" w:rsidR="008240F4" w:rsidRPr="00663A37" w:rsidRDefault="008240F4"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BE85905" w:rsidR="008240F4" w:rsidRPr="00663A37" w:rsidRDefault="008B1F00" w:rsidP="008B1F00">
          <w:pPr>
            <w:spacing w:after="120" w:line="240" w:lineRule="auto"/>
            <w:ind w:left="-70" w:right="68"/>
            <w:jc w:val="right"/>
            <w:rPr>
              <w:rFonts w:cs="Arial"/>
              <w:szCs w:val="24"/>
            </w:rPr>
          </w:pPr>
          <w:r>
            <w:rPr>
              <w:rFonts w:cs="Arial"/>
              <w:szCs w:val="24"/>
            </w:rPr>
            <w:t>Sistema para el Desarrollo Integral de la Familia del Municipio de Atizapán de Zaragoza</w:t>
          </w:r>
        </w:p>
      </w:tc>
    </w:tr>
    <w:tr w:rsidR="008240F4" w14:paraId="5C2B511D" w14:textId="77777777" w:rsidTr="003938ED">
      <w:trPr>
        <w:trHeight w:val="342"/>
      </w:trPr>
      <w:tc>
        <w:tcPr>
          <w:tcW w:w="5103" w:type="dxa"/>
          <w:hideMark/>
        </w:tcPr>
        <w:p w14:paraId="03FEF68C" w14:textId="45E91CF4" w:rsidR="008240F4" w:rsidRPr="00663A37" w:rsidRDefault="008240F4"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240F4" w:rsidRPr="00663A37" w:rsidRDefault="008240F4"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8240F4" w:rsidRPr="00871A91" w:rsidRDefault="0020632E">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9pt;margin-top:-153.8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8240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35CB7CB8"/>
    <w:multiLevelType w:val="hybridMultilevel"/>
    <w:tmpl w:val="BE927FBC"/>
    <w:lvl w:ilvl="0" w:tplc="536CA59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278A4"/>
    <w:multiLevelType w:val="hybridMultilevel"/>
    <w:tmpl w:val="7160FAA8"/>
    <w:lvl w:ilvl="0" w:tplc="BEE4EC0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26"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96121A"/>
    <w:multiLevelType w:val="hybridMultilevel"/>
    <w:tmpl w:val="8B584792"/>
    <w:lvl w:ilvl="0" w:tplc="0E089F4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3" w15:restartNumberingAfterBreak="0">
    <w:nsid w:val="7C7D0EA7"/>
    <w:multiLevelType w:val="hybridMultilevel"/>
    <w:tmpl w:val="B6986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26"/>
  </w:num>
  <w:num w:numId="3">
    <w:abstractNumId w:val="4"/>
  </w:num>
  <w:num w:numId="4">
    <w:abstractNumId w:val="21"/>
  </w:num>
  <w:num w:numId="5">
    <w:abstractNumId w:val="19"/>
  </w:num>
  <w:num w:numId="6">
    <w:abstractNumId w:val="7"/>
  </w:num>
  <w:num w:numId="7">
    <w:abstractNumId w:val="23"/>
  </w:num>
  <w:num w:numId="8">
    <w:abstractNumId w:val="31"/>
  </w:num>
  <w:num w:numId="9">
    <w:abstractNumId w:val="25"/>
  </w:num>
  <w:num w:numId="10">
    <w:abstractNumId w:val="3"/>
  </w:num>
  <w:num w:numId="11">
    <w:abstractNumId w:val="22"/>
  </w:num>
  <w:num w:numId="12">
    <w:abstractNumId w:val="8"/>
  </w:num>
  <w:num w:numId="13">
    <w:abstractNumId w:val="9"/>
  </w:num>
  <w:num w:numId="14">
    <w:abstractNumId w:val="20"/>
  </w:num>
  <w:num w:numId="15">
    <w:abstractNumId w:val="12"/>
  </w:num>
  <w:num w:numId="16">
    <w:abstractNumId w:val="27"/>
  </w:num>
  <w:num w:numId="17">
    <w:abstractNumId w:val="29"/>
  </w:num>
  <w:num w:numId="18">
    <w:abstractNumId w:val="1"/>
  </w:num>
  <w:num w:numId="19">
    <w:abstractNumId w:val="24"/>
  </w:num>
  <w:num w:numId="20">
    <w:abstractNumId w:val="6"/>
  </w:num>
  <w:num w:numId="21">
    <w:abstractNumId w:val="16"/>
  </w:num>
  <w:num w:numId="22">
    <w:abstractNumId w:val="2"/>
  </w:num>
  <w:num w:numId="23">
    <w:abstractNumId w:val="0"/>
  </w:num>
  <w:num w:numId="24">
    <w:abstractNumId w:val="10"/>
  </w:num>
  <w:num w:numId="25">
    <w:abstractNumId w:val="13"/>
  </w:num>
  <w:num w:numId="26">
    <w:abstractNumId w:val="11"/>
  </w:num>
  <w:num w:numId="27">
    <w:abstractNumId w:val="30"/>
  </w:num>
  <w:num w:numId="28">
    <w:abstractNumId w:val="28"/>
  </w:num>
  <w:num w:numId="29">
    <w:abstractNumId w:val="5"/>
  </w:num>
  <w:num w:numId="30">
    <w:abstractNumId w:val="17"/>
  </w:num>
  <w:num w:numId="31">
    <w:abstractNumId w:val="14"/>
  </w:num>
  <w:num w:numId="32">
    <w:abstractNumId w:val="34"/>
  </w:num>
  <w:num w:numId="33">
    <w:abstractNumId w:val="32"/>
  </w:num>
  <w:num w:numId="34">
    <w:abstractNumId w:val="18"/>
  </w:num>
  <w:num w:numId="3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049"/>
    <w:rsid w:val="000002F3"/>
    <w:rsid w:val="000010A2"/>
    <w:rsid w:val="00002C6A"/>
    <w:rsid w:val="00002CED"/>
    <w:rsid w:val="00003412"/>
    <w:rsid w:val="000034AA"/>
    <w:rsid w:val="0000390F"/>
    <w:rsid w:val="00003F45"/>
    <w:rsid w:val="00004014"/>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17BDF"/>
    <w:rsid w:val="00021122"/>
    <w:rsid w:val="00021165"/>
    <w:rsid w:val="00021A08"/>
    <w:rsid w:val="000221D0"/>
    <w:rsid w:val="00024A6D"/>
    <w:rsid w:val="00025560"/>
    <w:rsid w:val="00026582"/>
    <w:rsid w:val="00031184"/>
    <w:rsid w:val="00031BA3"/>
    <w:rsid w:val="00032C99"/>
    <w:rsid w:val="00032FBE"/>
    <w:rsid w:val="00033479"/>
    <w:rsid w:val="00033562"/>
    <w:rsid w:val="00033A6A"/>
    <w:rsid w:val="0003521B"/>
    <w:rsid w:val="0003577D"/>
    <w:rsid w:val="00035A30"/>
    <w:rsid w:val="00036439"/>
    <w:rsid w:val="0003692B"/>
    <w:rsid w:val="00036D5F"/>
    <w:rsid w:val="00036EFC"/>
    <w:rsid w:val="000405E6"/>
    <w:rsid w:val="00040A10"/>
    <w:rsid w:val="00041421"/>
    <w:rsid w:val="00041670"/>
    <w:rsid w:val="000417BE"/>
    <w:rsid w:val="00041AE7"/>
    <w:rsid w:val="00041DEA"/>
    <w:rsid w:val="00042C95"/>
    <w:rsid w:val="00045F86"/>
    <w:rsid w:val="00046A15"/>
    <w:rsid w:val="00050D85"/>
    <w:rsid w:val="00050FF1"/>
    <w:rsid w:val="00051732"/>
    <w:rsid w:val="00051F5E"/>
    <w:rsid w:val="00051F7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4B"/>
    <w:rsid w:val="00061D9B"/>
    <w:rsid w:val="00064854"/>
    <w:rsid w:val="00065463"/>
    <w:rsid w:val="000666B3"/>
    <w:rsid w:val="000676A2"/>
    <w:rsid w:val="0007107B"/>
    <w:rsid w:val="000710CB"/>
    <w:rsid w:val="000739AF"/>
    <w:rsid w:val="00075586"/>
    <w:rsid w:val="00075D5E"/>
    <w:rsid w:val="00076332"/>
    <w:rsid w:val="00077A55"/>
    <w:rsid w:val="00077F28"/>
    <w:rsid w:val="000802BA"/>
    <w:rsid w:val="000818D6"/>
    <w:rsid w:val="00082E5D"/>
    <w:rsid w:val="00083498"/>
    <w:rsid w:val="0008496A"/>
    <w:rsid w:val="00085EA2"/>
    <w:rsid w:val="0008628E"/>
    <w:rsid w:val="000864CC"/>
    <w:rsid w:val="0008737D"/>
    <w:rsid w:val="00087935"/>
    <w:rsid w:val="00087AFB"/>
    <w:rsid w:val="00087F54"/>
    <w:rsid w:val="0009020C"/>
    <w:rsid w:val="00090297"/>
    <w:rsid w:val="00090A37"/>
    <w:rsid w:val="00091848"/>
    <w:rsid w:val="00092681"/>
    <w:rsid w:val="00092D82"/>
    <w:rsid w:val="0009320C"/>
    <w:rsid w:val="0009328A"/>
    <w:rsid w:val="0009397B"/>
    <w:rsid w:val="00094B23"/>
    <w:rsid w:val="00094FD7"/>
    <w:rsid w:val="000951B9"/>
    <w:rsid w:val="00095CDD"/>
    <w:rsid w:val="0009609D"/>
    <w:rsid w:val="00096248"/>
    <w:rsid w:val="00097890"/>
    <w:rsid w:val="000A00BB"/>
    <w:rsid w:val="000A110B"/>
    <w:rsid w:val="000A1D0D"/>
    <w:rsid w:val="000A2CA6"/>
    <w:rsid w:val="000A2F65"/>
    <w:rsid w:val="000A3F41"/>
    <w:rsid w:val="000A4202"/>
    <w:rsid w:val="000A4CE4"/>
    <w:rsid w:val="000A5EA1"/>
    <w:rsid w:val="000A7164"/>
    <w:rsid w:val="000B1F27"/>
    <w:rsid w:val="000B2390"/>
    <w:rsid w:val="000B28CF"/>
    <w:rsid w:val="000B491D"/>
    <w:rsid w:val="000B51CE"/>
    <w:rsid w:val="000B5608"/>
    <w:rsid w:val="000B5DAB"/>
    <w:rsid w:val="000B65C3"/>
    <w:rsid w:val="000C0203"/>
    <w:rsid w:val="000C066A"/>
    <w:rsid w:val="000C0E5D"/>
    <w:rsid w:val="000C2D59"/>
    <w:rsid w:val="000C416A"/>
    <w:rsid w:val="000C51AF"/>
    <w:rsid w:val="000C568A"/>
    <w:rsid w:val="000C661C"/>
    <w:rsid w:val="000C7472"/>
    <w:rsid w:val="000C7F8F"/>
    <w:rsid w:val="000D0CD3"/>
    <w:rsid w:val="000D14DA"/>
    <w:rsid w:val="000D2C63"/>
    <w:rsid w:val="000D3C8A"/>
    <w:rsid w:val="000D422C"/>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0DA"/>
    <w:rsid w:val="000F015F"/>
    <w:rsid w:val="000F0B57"/>
    <w:rsid w:val="000F114E"/>
    <w:rsid w:val="000F146C"/>
    <w:rsid w:val="000F196A"/>
    <w:rsid w:val="000F367A"/>
    <w:rsid w:val="000F54F6"/>
    <w:rsid w:val="000F7D93"/>
    <w:rsid w:val="00100663"/>
    <w:rsid w:val="0010147E"/>
    <w:rsid w:val="0010149D"/>
    <w:rsid w:val="0010331B"/>
    <w:rsid w:val="00103C89"/>
    <w:rsid w:val="00103D8C"/>
    <w:rsid w:val="00104611"/>
    <w:rsid w:val="001050A9"/>
    <w:rsid w:val="001059AF"/>
    <w:rsid w:val="001067FE"/>
    <w:rsid w:val="00107256"/>
    <w:rsid w:val="001107C4"/>
    <w:rsid w:val="0011110C"/>
    <w:rsid w:val="001116B7"/>
    <w:rsid w:val="0011295F"/>
    <w:rsid w:val="00114C24"/>
    <w:rsid w:val="00114F1E"/>
    <w:rsid w:val="00115495"/>
    <w:rsid w:val="00116E4B"/>
    <w:rsid w:val="00116F6B"/>
    <w:rsid w:val="00121842"/>
    <w:rsid w:val="00121F46"/>
    <w:rsid w:val="001235A0"/>
    <w:rsid w:val="00123A80"/>
    <w:rsid w:val="00123D0B"/>
    <w:rsid w:val="00130C18"/>
    <w:rsid w:val="00131262"/>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2C5"/>
    <w:rsid w:val="00155CC6"/>
    <w:rsid w:val="00155F53"/>
    <w:rsid w:val="001564E3"/>
    <w:rsid w:val="00156699"/>
    <w:rsid w:val="001568D5"/>
    <w:rsid w:val="00157D2B"/>
    <w:rsid w:val="001602ED"/>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990"/>
    <w:rsid w:val="00183F45"/>
    <w:rsid w:val="00184AEA"/>
    <w:rsid w:val="0018577B"/>
    <w:rsid w:val="00185C61"/>
    <w:rsid w:val="0018644B"/>
    <w:rsid w:val="00190B5A"/>
    <w:rsid w:val="00190D0F"/>
    <w:rsid w:val="00190F59"/>
    <w:rsid w:val="00191E53"/>
    <w:rsid w:val="00192D02"/>
    <w:rsid w:val="00194C85"/>
    <w:rsid w:val="0019539C"/>
    <w:rsid w:val="001957E6"/>
    <w:rsid w:val="00195845"/>
    <w:rsid w:val="0019584A"/>
    <w:rsid w:val="001960AD"/>
    <w:rsid w:val="00196AF7"/>
    <w:rsid w:val="001A057E"/>
    <w:rsid w:val="001A0AFD"/>
    <w:rsid w:val="001A0D28"/>
    <w:rsid w:val="001A0E96"/>
    <w:rsid w:val="001A1BDB"/>
    <w:rsid w:val="001A316F"/>
    <w:rsid w:val="001A3982"/>
    <w:rsid w:val="001A3C5F"/>
    <w:rsid w:val="001A3F75"/>
    <w:rsid w:val="001A4BDF"/>
    <w:rsid w:val="001A5FBE"/>
    <w:rsid w:val="001A6797"/>
    <w:rsid w:val="001A6849"/>
    <w:rsid w:val="001A773B"/>
    <w:rsid w:val="001B0259"/>
    <w:rsid w:val="001B0262"/>
    <w:rsid w:val="001B28D1"/>
    <w:rsid w:val="001B3FD2"/>
    <w:rsid w:val="001B4435"/>
    <w:rsid w:val="001B482D"/>
    <w:rsid w:val="001B5693"/>
    <w:rsid w:val="001B6181"/>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0070"/>
    <w:rsid w:val="001D1B77"/>
    <w:rsid w:val="001D225B"/>
    <w:rsid w:val="001D3563"/>
    <w:rsid w:val="001D3687"/>
    <w:rsid w:val="001D3EE2"/>
    <w:rsid w:val="001D41E0"/>
    <w:rsid w:val="001D4382"/>
    <w:rsid w:val="001D6CA8"/>
    <w:rsid w:val="001E04CC"/>
    <w:rsid w:val="001E1A95"/>
    <w:rsid w:val="001E2186"/>
    <w:rsid w:val="001E21A0"/>
    <w:rsid w:val="001E2646"/>
    <w:rsid w:val="001E2BA9"/>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632E"/>
    <w:rsid w:val="00206A67"/>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DBC"/>
    <w:rsid w:val="00230E13"/>
    <w:rsid w:val="0023118D"/>
    <w:rsid w:val="00232621"/>
    <w:rsid w:val="0023293E"/>
    <w:rsid w:val="00232A7A"/>
    <w:rsid w:val="00232DA5"/>
    <w:rsid w:val="00232F2F"/>
    <w:rsid w:val="00232F87"/>
    <w:rsid w:val="002338B9"/>
    <w:rsid w:val="00234061"/>
    <w:rsid w:val="002349A9"/>
    <w:rsid w:val="00234E3C"/>
    <w:rsid w:val="00235736"/>
    <w:rsid w:val="0023573F"/>
    <w:rsid w:val="00236B9A"/>
    <w:rsid w:val="002372F0"/>
    <w:rsid w:val="00240046"/>
    <w:rsid w:val="00241201"/>
    <w:rsid w:val="002432E1"/>
    <w:rsid w:val="00243315"/>
    <w:rsid w:val="002437A2"/>
    <w:rsid w:val="00244421"/>
    <w:rsid w:val="00245AC1"/>
    <w:rsid w:val="00246269"/>
    <w:rsid w:val="00251C34"/>
    <w:rsid w:val="00252443"/>
    <w:rsid w:val="002530AE"/>
    <w:rsid w:val="0025386E"/>
    <w:rsid w:val="00253E5E"/>
    <w:rsid w:val="002547B2"/>
    <w:rsid w:val="0025565C"/>
    <w:rsid w:val="00255FD1"/>
    <w:rsid w:val="00256CE0"/>
    <w:rsid w:val="00261886"/>
    <w:rsid w:val="00261A13"/>
    <w:rsid w:val="00261E57"/>
    <w:rsid w:val="0026459C"/>
    <w:rsid w:val="00264CA1"/>
    <w:rsid w:val="00264FB2"/>
    <w:rsid w:val="0026506A"/>
    <w:rsid w:val="00266604"/>
    <w:rsid w:val="00267A7B"/>
    <w:rsid w:val="002704DF"/>
    <w:rsid w:val="00270AD6"/>
    <w:rsid w:val="00270F03"/>
    <w:rsid w:val="002710B5"/>
    <w:rsid w:val="0027116F"/>
    <w:rsid w:val="002729A0"/>
    <w:rsid w:val="00273E61"/>
    <w:rsid w:val="00273F5F"/>
    <w:rsid w:val="00273F7C"/>
    <w:rsid w:val="0027555F"/>
    <w:rsid w:val="00275719"/>
    <w:rsid w:val="00275BE9"/>
    <w:rsid w:val="00277BEF"/>
    <w:rsid w:val="00280398"/>
    <w:rsid w:val="002806D1"/>
    <w:rsid w:val="002811E3"/>
    <w:rsid w:val="002813B2"/>
    <w:rsid w:val="00282431"/>
    <w:rsid w:val="00282E9E"/>
    <w:rsid w:val="00283BBD"/>
    <w:rsid w:val="00283D5E"/>
    <w:rsid w:val="00284245"/>
    <w:rsid w:val="00285034"/>
    <w:rsid w:val="00285A94"/>
    <w:rsid w:val="00286AA3"/>
    <w:rsid w:val="00287C9D"/>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2203"/>
    <w:rsid w:val="002A51B8"/>
    <w:rsid w:val="002A5ADD"/>
    <w:rsid w:val="002A5FDF"/>
    <w:rsid w:val="002A650A"/>
    <w:rsid w:val="002A6FCE"/>
    <w:rsid w:val="002A7501"/>
    <w:rsid w:val="002B0EA1"/>
    <w:rsid w:val="002B317E"/>
    <w:rsid w:val="002B3CE2"/>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1B73"/>
    <w:rsid w:val="002F1C3D"/>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039"/>
    <w:rsid w:val="00340ADD"/>
    <w:rsid w:val="00341178"/>
    <w:rsid w:val="00341B42"/>
    <w:rsid w:val="00341D73"/>
    <w:rsid w:val="00341DB4"/>
    <w:rsid w:val="003420E1"/>
    <w:rsid w:val="003423FC"/>
    <w:rsid w:val="0034444F"/>
    <w:rsid w:val="00344766"/>
    <w:rsid w:val="00344AD3"/>
    <w:rsid w:val="00345089"/>
    <w:rsid w:val="00345427"/>
    <w:rsid w:val="00345687"/>
    <w:rsid w:val="00345708"/>
    <w:rsid w:val="00346373"/>
    <w:rsid w:val="003467CD"/>
    <w:rsid w:val="003471F0"/>
    <w:rsid w:val="0034730B"/>
    <w:rsid w:val="003505B2"/>
    <w:rsid w:val="0035063B"/>
    <w:rsid w:val="003519DC"/>
    <w:rsid w:val="00352677"/>
    <w:rsid w:val="0035393E"/>
    <w:rsid w:val="00355981"/>
    <w:rsid w:val="00357437"/>
    <w:rsid w:val="00360189"/>
    <w:rsid w:val="0036188D"/>
    <w:rsid w:val="00362013"/>
    <w:rsid w:val="00362136"/>
    <w:rsid w:val="003623F5"/>
    <w:rsid w:val="0036336C"/>
    <w:rsid w:val="003637A1"/>
    <w:rsid w:val="00364169"/>
    <w:rsid w:val="003647C3"/>
    <w:rsid w:val="00364C0A"/>
    <w:rsid w:val="0037112D"/>
    <w:rsid w:val="003713C2"/>
    <w:rsid w:val="0037145D"/>
    <w:rsid w:val="0037172A"/>
    <w:rsid w:val="0037269A"/>
    <w:rsid w:val="0037526D"/>
    <w:rsid w:val="0037545E"/>
    <w:rsid w:val="00376405"/>
    <w:rsid w:val="0038157C"/>
    <w:rsid w:val="0038209B"/>
    <w:rsid w:val="003839F9"/>
    <w:rsid w:val="00385421"/>
    <w:rsid w:val="00386A48"/>
    <w:rsid w:val="00386F51"/>
    <w:rsid w:val="00387CF3"/>
    <w:rsid w:val="00390611"/>
    <w:rsid w:val="00391DD0"/>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94C"/>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6DD9"/>
    <w:rsid w:val="003B7208"/>
    <w:rsid w:val="003B7403"/>
    <w:rsid w:val="003B75A5"/>
    <w:rsid w:val="003C1100"/>
    <w:rsid w:val="003C1CFB"/>
    <w:rsid w:val="003C1DE6"/>
    <w:rsid w:val="003C30DA"/>
    <w:rsid w:val="003C4A15"/>
    <w:rsid w:val="003C4FF5"/>
    <w:rsid w:val="003C57BF"/>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5F"/>
    <w:rsid w:val="003E468A"/>
    <w:rsid w:val="003E4972"/>
    <w:rsid w:val="003E606D"/>
    <w:rsid w:val="003E6C77"/>
    <w:rsid w:val="003E6E17"/>
    <w:rsid w:val="003E7594"/>
    <w:rsid w:val="003F1D03"/>
    <w:rsid w:val="003F2491"/>
    <w:rsid w:val="003F308A"/>
    <w:rsid w:val="003F4582"/>
    <w:rsid w:val="003F5D5C"/>
    <w:rsid w:val="003F6192"/>
    <w:rsid w:val="003F61FA"/>
    <w:rsid w:val="00400915"/>
    <w:rsid w:val="0040187C"/>
    <w:rsid w:val="00402CBA"/>
    <w:rsid w:val="00403319"/>
    <w:rsid w:val="00404754"/>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B00"/>
    <w:rsid w:val="00421DD1"/>
    <w:rsid w:val="004232C6"/>
    <w:rsid w:val="00423414"/>
    <w:rsid w:val="00426124"/>
    <w:rsid w:val="00426F24"/>
    <w:rsid w:val="00430C63"/>
    <w:rsid w:val="004310BB"/>
    <w:rsid w:val="004325EA"/>
    <w:rsid w:val="004338C7"/>
    <w:rsid w:val="00433E65"/>
    <w:rsid w:val="00434C3F"/>
    <w:rsid w:val="00434EAD"/>
    <w:rsid w:val="00437085"/>
    <w:rsid w:val="004406B5"/>
    <w:rsid w:val="004431D5"/>
    <w:rsid w:val="004436C5"/>
    <w:rsid w:val="00444E7F"/>
    <w:rsid w:val="00445514"/>
    <w:rsid w:val="0044558A"/>
    <w:rsid w:val="00445853"/>
    <w:rsid w:val="00447748"/>
    <w:rsid w:val="00447A90"/>
    <w:rsid w:val="00451C0A"/>
    <w:rsid w:val="0045354B"/>
    <w:rsid w:val="00453687"/>
    <w:rsid w:val="004536F3"/>
    <w:rsid w:val="004558BD"/>
    <w:rsid w:val="00455946"/>
    <w:rsid w:val="004579DC"/>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69A4"/>
    <w:rsid w:val="00480212"/>
    <w:rsid w:val="004805D3"/>
    <w:rsid w:val="00480D99"/>
    <w:rsid w:val="00482C8B"/>
    <w:rsid w:val="00482D0F"/>
    <w:rsid w:val="004838A8"/>
    <w:rsid w:val="00483EC9"/>
    <w:rsid w:val="004841AE"/>
    <w:rsid w:val="0048423C"/>
    <w:rsid w:val="0048483C"/>
    <w:rsid w:val="00484C7F"/>
    <w:rsid w:val="00485194"/>
    <w:rsid w:val="0048529A"/>
    <w:rsid w:val="00487BBD"/>
    <w:rsid w:val="004900E8"/>
    <w:rsid w:val="0049095E"/>
    <w:rsid w:val="00490C99"/>
    <w:rsid w:val="0049216F"/>
    <w:rsid w:val="004927A5"/>
    <w:rsid w:val="004928F5"/>
    <w:rsid w:val="004933FC"/>
    <w:rsid w:val="0049368A"/>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2823"/>
    <w:rsid w:val="004D571F"/>
    <w:rsid w:val="004D6095"/>
    <w:rsid w:val="004D66AD"/>
    <w:rsid w:val="004D6995"/>
    <w:rsid w:val="004D7EE2"/>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2DAB"/>
    <w:rsid w:val="00504B42"/>
    <w:rsid w:val="00506DB2"/>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6D1"/>
    <w:rsid w:val="00526DCA"/>
    <w:rsid w:val="00527EF6"/>
    <w:rsid w:val="00531016"/>
    <w:rsid w:val="00532218"/>
    <w:rsid w:val="00533849"/>
    <w:rsid w:val="00533D56"/>
    <w:rsid w:val="005344BB"/>
    <w:rsid w:val="0053468B"/>
    <w:rsid w:val="005346BD"/>
    <w:rsid w:val="00535912"/>
    <w:rsid w:val="00536373"/>
    <w:rsid w:val="005367E7"/>
    <w:rsid w:val="00540926"/>
    <w:rsid w:val="005412A2"/>
    <w:rsid w:val="00542B22"/>
    <w:rsid w:val="00542CDB"/>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921"/>
    <w:rsid w:val="00565C1E"/>
    <w:rsid w:val="005660D0"/>
    <w:rsid w:val="00566380"/>
    <w:rsid w:val="0056658C"/>
    <w:rsid w:val="00567D41"/>
    <w:rsid w:val="005701EF"/>
    <w:rsid w:val="00570367"/>
    <w:rsid w:val="00570551"/>
    <w:rsid w:val="00571527"/>
    <w:rsid w:val="00571CCC"/>
    <w:rsid w:val="005727FC"/>
    <w:rsid w:val="00572C2A"/>
    <w:rsid w:val="00572F6A"/>
    <w:rsid w:val="00573B2C"/>
    <w:rsid w:val="00573B96"/>
    <w:rsid w:val="005742BF"/>
    <w:rsid w:val="00574D31"/>
    <w:rsid w:val="005807A8"/>
    <w:rsid w:val="00580D15"/>
    <w:rsid w:val="00581A2E"/>
    <w:rsid w:val="00582D85"/>
    <w:rsid w:val="00584C51"/>
    <w:rsid w:val="00587B1E"/>
    <w:rsid w:val="00587E84"/>
    <w:rsid w:val="005913E6"/>
    <w:rsid w:val="0059209A"/>
    <w:rsid w:val="00593725"/>
    <w:rsid w:val="00593F02"/>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6FFD"/>
    <w:rsid w:val="005B72D5"/>
    <w:rsid w:val="005C0894"/>
    <w:rsid w:val="005C16D1"/>
    <w:rsid w:val="005C196C"/>
    <w:rsid w:val="005C32BE"/>
    <w:rsid w:val="005C3DF3"/>
    <w:rsid w:val="005C5501"/>
    <w:rsid w:val="005C5AEA"/>
    <w:rsid w:val="005C5EB4"/>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7E9F"/>
    <w:rsid w:val="005F1439"/>
    <w:rsid w:val="005F21B0"/>
    <w:rsid w:val="005F30F1"/>
    <w:rsid w:val="005F3103"/>
    <w:rsid w:val="005F4D3D"/>
    <w:rsid w:val="005F5B10"/>
    <w:rsid w:val="005F6CAB"/>
    <w:rsid w:val="0060129A"/>
    <w:rsid w:val="0060244C"/>
    <w:rsid w:val="006055AB"/>
    <w:rsid w:val="00610A95"/>
    <w:rsid w:val="00613401"/>
    <w:rsid w:val="006136A8"/>
    <w:rsid w:val="0061516D"/>
    <w:rsid w:val="00615B10"/>
    <w:rsid w:val="006168EB"/>
    <w:rsid w:val="00616DEB"/>
    <w:rsid w:val="00620B22"/>
    <w:rsid w:val="00620DE2"/>
    <w:rsid w:val="00624E9E"/>
    <w:rsid w:val="0062573B"/>
    <w:rsid w:val="006263D3"/>
    <w:rsid w:val="0062694E"/>
    <w:rsid w:val="00630030"/>
    <w:rsid w:val="00630426"/>
    <w:rsid w:val="006310FC"/>
    <w:rsid w:val="00631753"/>
    <w:rsid w:val="0063561E"/>
    <w:rsid w:val="00635C2F"/>
    <w:rsid w:val="00635DA1"/>
    <w:rsid w:val="00636EB3"/>
    <w:rsid w:val="006377A9"/>
    <w:rsid w:val="0063788D"/>
    <w:rsid w:val="00637CA7"/>
    <w:rsid w:val="00637F6F"/>
    <w:rsid w:val="00640056"/>
    <w:rsid w:val="00640E61"/>
    <w:rsid w:val="00641937"/>
    <w:rsid w:val="006424D3"/>
    <w:rsid w:val="00642A8B"/>
    <w:rsid w:val="006439D3"/>
    <w:rsid w:val="006468ED"/>
    <w:rsid w:val="00647DF7"/>
    <w:rsid w:val="006512F6"/>
    <w:rsid w:val="006538FC"/>
    <w:rsid w:val="00653B0F"/>
    <w:rsid w:val="00655007"/>
    <w:rsid w:val="0065599C"/>
    <w:rsid w:val="00655B5C"/>
    <w:rsid w:val="00657B69"/>
    <w:rsid w:val="006609B3"/>
    <w:rsid w:val="00660E52"/>
    <w:rsid w:val="00661434"/>
    <w:rsid w:val="0066148E"/>
    <w:rsid w:val="00661B3F"/>
    <w:rsid w:val="006625F9"/>
    <w:rsid w:val="00663A37"/>
    <w:rsid w:val="00663B72"/>
    <w:rsid w:val="00664BB4"/>
    <w:rsid w:val="00665A8F"/>
    <w:rsid w:val="00667860"/>
    <w:rsid w:val="0067157E"/>
    <w:rsid w:val="00672247"/>
    <w:rsid w:val="00673EAA"/>
    <w:rsid w:val="00674B55"/>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7F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D1EC8"/>
    <w:rsid w:val="006D2D2B"/>
    <w:rsid w:val="006D3F59"/>
    <w:rsid w:val="006D41A6"/>
    <w:rsid w:val="006D438A"/>
    <w:rsid w:val="006D6830"/>
    <w:rsid w:val="006D719C"/>
    <w:rsid w:val="006D7DF3"/>
    <w:rsid w:val="006E15A2"/>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428B"/>
    <w:rsid w:val="006F676C"/>
    <w:rsid w:val="006F6AB6"/>
    <w:rsid w:val="006F6C4A"/>
    <w:rsid w:val="00700C90"/>
    <w:rsid w:val="00701D18"/>
    <w:rsid w:val="00701F34"/>
    <w:rsid w:val="007031A2"/>
    <w:rsid w:val="00704693"/>
    <w:rsid w:val="0070491A"/>
    <w:rsid w:val="00704AB9"/>
    <w:rsid w:val="007054D8"/>
    <w:rsid w:val="00706D47"/>
    <w:rsid w:val="007070E1"/>
    <w:rsid w:val="007108E2"/>
    <w:rsid w:val="00711916"/>
    <w:rsid w:val="00711EE2"/>
    <w:rsid w:val="00712D71"/>
    <w:rsid w:val="007130DA"/>
    <w:rsid w:val="00713380"/>
    <w:rsid w:val="00713DD5"/>
    <w:rsid w:val="007147B9"/>
    <w:rsid w:val="0071601C"/>
    <w:rsid w:val="007167AE"/>
    <w:rsid w:val="00720D8F"/>
    <w:rsid w:val="0072119A"/>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665B"/>
    <w:rsid w:val="00746DD6"/>
    <w:rsid w:val="00746E60"/>
    <w:rsid w:val="00746FA8"/>
    <w:rsid w:val="007479B5"/>
    <w:rsid w:val="007502BD"/>
    <w:rsid w:val="007514FB"/>
    <w:rsid w:val="00752886"/>
    <w:rsid w:val="00753070"/>
    <w:rsid w:val="00753A5C"/>
    <w:rsid w:val="00753ACF"/>
    <w:rsid w:val="00753BF4"/>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96785"/>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4416"/>
    <w:rsid w:val="007B46BF"/>
    <w:rsid w:val="007B6DD8"/>
    <w:rsid w:val="007C009D"/>
    <w:rsid w:val="007C05DC"/>
    <w:rsid w:val="007C0FF7"/>
    <w:rsid w:val="007C14EE"/>
    <w:rsid w:val="007C17F1"/>
    <w:rsid w:val="007C3040"/>
    <w:rsid w:val="007C354C"/>
    <w:rsid w:val="007C35DF"/>
    <w:rsid w:val="007C3BA4"/>
    <w:rsid w:val="007C3BBF"/>
    <w:rsid w:val="007C44C8"/>
    <w:rsid w:val="007C4E4F"/>
    <w:rsid w:val="007C5BB3"/>
    <w:rsid w:val="007C6783"/>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41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1BFB"/>
    <w:rsid w:val="008151D2"/>
    <w:rsid w:val="00815716"/>
    <w:rsid w:val="00816C5A"/>
    <w:rsid w:val="00817344"/>
    <w:rsid w:val="00817678"/>
    <w:rsid w:val="0082049D"/>
    <w:rsid w:val="008217BC"/>
    <w:rsid w:val="00822BA1"/>
    <w:rsid w:val="00822DED"/>
    <w:rsid w:val="008240F4"/>
    <w:rsid w:val="00824570"/>
    <w:rsid w:val="00824E58"/>
    <w:rsid w:val="008275DC"/>
    <w:rsid w:val="0082778F"/>
    <w:rsid w:val="00827D60"/>
    <w:rsid w:val="008302C5"/>
    <w:rsid w:val="00830D47"/>
    <w:rsid w:val="00831867"/>
    <w:rsid w:val="00831D6C"/>
    <w:rsid w:val="00832F6C"/>
    <w:rsid w:val="008341ED"/>
    <w:rsid w:val="008362CE"/>
    <w:rsid w:val="00837584"/>
    <w:rsid w:val="00841673"/>
    <w:rsid w:val="00841963"/>
    <w:rsid w:val="008441B1"/>
    <w:rsid w:val="00845B52"/>
    <w:rsid w:val="00846D3E"/>
    <w:rsid w:val="00846DE7"/>
    <w:rsid w:val="008477B9"/>
    <w:rsid w:val="00847C27"/>
    <w:rsid w:val="008505FB"/>
    <w:rsid w:val="008523FA"/>
    <w:rsid w:val="008529E6"/>
    <w:rsid w:val="00852CDD"/>
    <w:rsid w:val="008542A4"/>
    <w:rsid w:val="00855E11"/>
    <w:rsid w:val="0085719C"/>
    <w:rsid w:val="00857348"/>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77E05"/>
    <w:rsid w:val="00881947"/>
    <w:rsid w:val="00881D64"/>
    <w:rsid w:val="00882C01"/>
    <w:rsid w:val="00882CC7"/>
    <w:rsid w:val="00882E02"/>
    <w:rsid w:val="00883C16"/>
    <w:rsid w:val="008853EC"/>
    <w:rsid w:val="00885F19"/>
    <w:rsid w:val="00886866"/>
    <w:rsid w:val="00886880"/>
    <w:rsid w:val="00890A94"/>
    <w:rsid w:val="00891CFC"/>
    <w:rsid w:val="00891E79"/>
    <w:rsid w:val="008921AE"/>
    <w:rsid w:val="00893D2B"/>
    <w:rsid w:val="00895187"/>
    <w:rsid w:val="00895BD3"/>
    <w:rsid w:val="00896EDC"/>
    <w:rsid w:val="00897CF4"/>
    <w:rsid w:val="008A06D7"/>
    <w:rsid w:val="008A0C9F"/>
    <w:rsid w:val="008A14F6"/>
    <w:rsid w:val="008A1645"/>
    <w:rsid w:val="008A3E6F"/>
    <w:rsid w:val="008A56C3"/>
    <w:rsid w:val="008A7EF2"/>
    <w:rsid w:val="008B003A"/>
    <w:rsid w:val="008B0DFB"/>
    <w:rsid w:val="008B1F00"/>
    <w:rsid w:val="008B2951"/>
    <w:rsid w:val="008B2BBB"/>
    <w:rsid w:val="008B389B"/>
    <w:rsid w:val="008B60D9"/>
    <w:rsid w:val="008B646D"/>
    <w:rsid w:val="008B6842"/>
    <w:rsid w:val="008B6CDF"/>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E5682"/>
    <w:rsid w:val="008F1C22"/>
    <w:rsid w:val="008F2554"/>
    <w:rsid w:val="008F47DC"/>
    <w:rsid w:val="008F52B5"/>
    <w:rsid w:val="008F635E"/>
    <w:rsid w:val="008F738E"/>
    <w:rsid w:val="009002CE"/>
    <w:rsid w:val="009025FB"/>
    <w:rsid w:val="009029DB"/>
    <w:rsid w:val="009038A8"/>
    <w:rsid w:val="009042E8"/>
    <w:rsid w:val="00905C6E"/>
    <w:rsid w:val="0090753F"/>
    <w:rsid w:val="009118BA"/>
    <w:rsid w:val="00913E51"/>
    <w:rsid w:val="00914986"/>
    <w:rsid w:val="00914DFE"/>
    <w:rsid w:val="0091549C"/>
    <w:rsid w:val="0091614B"/>
    <w:rsid w:val="00916CEC"/>
    <w:rsid w:val="0091735D"/>
    <w:rsid w:val="0091759C"/>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46FA"/>
    <w:rsid w:val="009447FE"/>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52E"/>
    <w:rsid w:val="009558AA"/>
    <w:rsid w:val="009603E5"/>
    <w:rsid w:val="0096071A"/>
    <w:rsid w:val="00960A35"/>
    <w:rsid w:val="00960C91"/>
    <w:rsid w:val="00961AEB"/>
    <w:rsid w:val="00961B6D"/>
    <w:rsid w:val="00962A88"/>
    <w:rsid w:val="00963717"/>
    <w:rsid w:val="00963E37"/>
    <w:rsid w:val="00964678"/>
    <w:rsid w:val="00965CC4"/>
    <w:rsid w:val="0096624D"/>
    <w:rsid w:val="00966A2E"/>
    <w:rsid w:val="009674D4"/>
    <w:rsid w:val="009676E3"/>
    <w:rsid w:val="00970143"/>
    <w:rsid w:val="00970B7F"/>
    <w:rsid w:val="00970C38"/>
    <w:rsid w:val="00971614"/>
    <w:rsid w:val="00972340"/>
    <w:rsid w:val="009752FA"/>
    <w:rsid w:val="00977693"/>
    <w:rsid w:val="009776D7"/>
    <w:rsid w:val="00977BB1"/>
    <w:rsid w:val="009818E4"/>
    <w:rsid w:val="00982494"/>
    <w:rsid w:val="009845F3"/>
    <w:rsid w:val="009845FD"/>
    <w:rsid w:val="009849E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1CA9"/>
    <w:rsid w:val="009B321A"/>
    <w:rsid w:val="009B3A1D"/>
    <w:rsid w:val="009B41F0"/>
    <w:rsid w:val="009B4F7E"/>
    <w:rsid w:val="009B69E9"/>
    <w:rsid w:val="009B7FFD"/>
    <w:rsid w:val="009C0279"/>
    <w:rsid w:val="009C21B4"/>
    <w:rsid w:val="009C3225"/>
    <w:rsid w:val="009C3CB8"/>
    <w:rsid w:val="009C3E2A"/>
    <w:rsid w:val="009C4284"/>
    <w:rsid w:val="009C5DC4"/>
    <w:rsid w:val="009C61A3"/>
    <w:rsid w:val="009C66AA"/>
    <w:rsid w:val="009C6B84"/>
    <w:rsid w:val="009C7ED0"/>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45B"/>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09"/>
    <w:rsid w:val="00A215DD"/>
    <w:rsid w:val="00A21746"/>
    <w:rsid w:val="00A24265"/>
    <w:rsid w:val="00A24B55"/>
    <w:rsid w:val="00A24F34"/>
    <w:rsid w:val="00A24F60"/>
    <w:rsid w:val="00A254EA"/>
    <w:rsid w:val="00A274EF"/>
    <w:rsid w:val="00A27E41"/>
    <w:rsid w:val="00A300E8"/>
    <w:rsid w:val="00A30DB1"/>
    <w:rsid w:val="00A31101"/>
    <w:rsid w:val="00A31230"/>
    <w:rsid w:val="00A31FD9"/>
    <w:rsid w:val="00A32087"/>
    <w:rsid w:val="00A34451"/>
    <w:rsid w:val="00A34742"/>
    <w:rsid w:val="00A35811"/>
    <w:rsid w:val="00A35D0A"/>
    <w:rsid w:val="00A40E66"/>
    <w:rsid w:val="00A40FB6"/>
    <w:rsid w:val="00A41712"/>
    <w:rsid w:val="00A42629"/>
    <w:rsid w:val="00A42FC0"/>
    <w:rsid w:val="00A43620"/>
    <w:rsid w:val="00A438B9"/>
    <w:rsid w:val="00A43944"/>
    <w:rsid w:val="00A43A45"/>
    <w:rsid w:val="00A43D2B"/>
    <w:rsid w:val="00A4524B"/>
    <w:rsid w:val="00A45454"/>
    <w:rsid w:val="00A4637B"/>
    <w:rsid w:val="00A46BB9"/>
    <w:rsid w:val="00A476B4"/>
    <w:rsid w:val="00A476D0"/>
    <w:rsid w:val="00A50757"/>
    <w:rsid w:val="00A50D2F"/>
    <w:rsid w:val="00A50EE4"/>
    <w:rsid w:val="00A521D4"/>
    <w:rsid w:val="00A524B2"/>
    <w:rsid w:val="00A53511"/>
    <w:rsid w:val="00A541FE"/>
    <w:rsid w:val="00A55724"/>
    <w:rsid w:val="00A60841"/>
    <w:rsid w:val="00A61A4E"/>
    <w:rsid w:val="00A63700"/>
    <w:rsid w:val="00A64201"/>
    <w:rsid w:val="00A64575"/>
    <w:rsid w:val="00A64C36"/>
    <w:rsid w:val="00A65A26"/>
    <w:rsid w:val="00A67625"/>
    <w:rsid w:val="00A67EF4"/>
    <w:rsid w:val="00A73EF9"/>
    <w:rsid w:val="00A75324"/>
    <w:rsid w:val="00A756C6"/>
    <w:rsid w:val="00A7621E"/>
    <w:rsid w:val="00A76999"/>
    <w:rsid w:val="00A77200"/>
    <w:rsid w:val="00A80BB6"/>
    <w:rsid w:val="00A80C68"/>
    <w:rsid w:val="00A8147A"/>
    <w:rsid w:val="00A821AF"/>
    <w:rsid w:val="00A82B72"/>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54C"/>
    <w:rsid w:val="00A94751"/>
    <w:rsid w:val="00A954D7"/>
    <w:rsid w:val="00A95B2A"/>
    <w:rsid w:val="00A95E7F"/>
    <w:rsid w:val="00A96228"/>
    <w:rsid w:val="00A96DBD"/>
    <w:rsid w:val="00A970D5"/>
    <w:rsid w:val="00A97638"/>
    <w:rsid w:val="00A978AF"/>
    <w:rsid w:val="00AA0B4E"/>
    <w:rsid w:val="00AA1BBB"/>
    <w:rsid w:val="00AA1E74"/>
    <w:rsid w:val="00AA24D2"/>
    <w:rsid w:val="00AA3CD0"/>
    <w:rsid w:val="00AA423E"/>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4BF6"/>
    <w:rsid w:val="00AC5375"/>
    <w:rsid w:val="00AC5AF0"/>
    <w:rsid w:val="00AC6797"/>
    <w:rsid w:val="00AC6A7A"/>
    <w:rsid w:val="00AC6F68"/>
    <w:rsid w:val="00AC76AD"/>
    <w:rsid w:val="00AC7896"/>
    <w:rsid w:val="00AD104E"/>
    <w:rsid w:val="00AD124D"/>
    <w:rsid w:val="00AD1EAE"/>
    <w:rsid w:val="00AD2280"/>
    <w:rsid w:val="00AD26C0"/>
    <w:rsid w:val="00AD3CC4"/>
    <w:rsid w:val="00AD4839"/>
    <w:rsid w:val="00AD4C7C"/>
    <w:rsid w:val="00AD5512"/>
    <w:rsid w:val="00AD76EF"/>
    <w:rsid w:val="00AD7FA9"/>
    <w:rsid w:val="00AE19D1"/>
    <w:rsid w:val="00AE2666"/>
    <w:rsid w:val="00AE29DB"/>
    <w:rsid w:val="00AE2E9B"/>
    <w:rsid w:val="00AE3BE0"/>
    <w:rsid w:val="00AE5076"/>
    <w:rsid w:val="00AE50C7"/>
    <w:rsid w:val="00AE514C"/>
    <w:rsid w:val="00AE5D09"/>
    <w:rsid w:val="00AE6037"/>
    <w:rsid w:val="00AE6272"/>
    <w:rsid w:val="00AE6B11"/>
    <w:rsid w:val="00AE7EBC"/>
    <w:rsid w:val="00AF434D"/>
    <w:rsid w:val="00AF4EE4"/>
    <w:rsid w:val="00AF75A2"/>
    <w:rsid w:val="00B0036F"/>
    <w:rsid w:val="00B00C8E"/>
    <w:rsid w:val="00B02AA5"/>
    <w:rsid w:val="00B04F50"/>
    <w:rsid w:val="00B05CA6"/>
    <w:rsid w:val="00B07909"/>
    <w:rsid w:val="00B1073D"/>
    <w:rsid w:val="00B11CD7"/>
    <w:rsid w:val="00B12048"/>
    <w:rsid w:val="00B1205D"/>
    <w:rsid w:val="00B128F0"/>
    <w:rsid w:val="00B13307"/>
    <w:rsid w:val="00B1367C"/>
    <w:rsid w:val="00B13B7B"/>
    <w:rsid w:val="00B14F62"/>
    <w:rsid w:val="00B15202"/>
    <w:rsid w:val="00B1553A"/>
    <w:rsid w:val="00B17577"/>
    <w:rsid w:val="00B21CD1"/>
    <w:rsid w:val="00B23256"/>
    <w:rsid w:val="00B24CF5"/>
    <w:rsid w:val="00B25DBA"/>
    <w:rsid w:val="00B26507"/>
    <w:rsid w:val="00B269CE"/>
    <w:rsid w:val="00B3055A"/>
    <w:rsid w:val="00B31CD8"/>
    <w:rsid w:val="00B32535"/>
    <w:rsid w:val="00B3277B"/>
    <w:rsid w:val="00B32B21"/>
    <w:rsid w:val="00B367AA"/>
    <w:rsid w:val="00B36B86"/>
    <w:rsid w:val="00B37176"/>
    <w:rsid w:val="00B373AA"/>
    <w:rsid w:val="00B37787"/>
    <w:rsid w:val="00B40823"/>
    <w:rsid w:val="00B4085C"/>
    <w:rsid w:val="00B40DF9"/>
    <w:rsid w:val="00B42083"/>
    <w:rsid w:val="00B42270"/>
    <w:rsid w:val="00B427A9"/>
    <w:rsid w:val="00B42ED1"/>
    <w:rsid w:val="00B43455"/>
    <w:rsid w:val="00B435F8"/>
    <w:rsid w:val="00B4620E"/>
    <w:rsid w:val="00B46CB0"/>
    <w:rsid w:val="00B4725D"/>
    <w:rsid w:val="00B47DDF"/>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8EA"/>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97B0E"/>
    <w:rsid w:val="00BA088E"/>
    <w:rsid w:val="00BA152C"/>
    <w:rsid w:val="00BA2861"/>
    <w:rsid w:val="00BA3873"/>
    <w:rsid w:val="00BA419D"/>
    <w:rsid w:val="00BA636A"/>
    <w:rsid w:val="00BA6707"/>
    <w:rsid w:val="00BA74AF"/>
    <w:rsid w:val="00BA7C0B"/>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454"/>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A07"/>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9C1"/>
    <w:rsid w:val="00C01B8A"/>
    <w:rsid w:val="00C01E0C"/>
    <w:rsid w:val="00C01FED"/>
    <w:rsid w:val="00C02596"/>
    <w:rsid w:val="00C027B1"/>
    <w:rsid w:val="00C0468A"/>
    <w:rsid w:val="00C0496A"/>
    <w:rsid w:val="00C049A8"/>
    <w:rsid w:val="00C05398"/>
    <w:rsid w:val="00C056BE"/>
    <w:rsid w:val="00C06182"/>
    <w:rsid w:val="00C06249"/>
    <w:rsid w:val="00C068BC"/>
    <w:rsid w:val="00C06AD2"/>
    <w:rsid w:val="00C07871"/>
    <w:rsid w:val="00C0787B"/>
    <w:rsid w:val="00C07B7F"/>
    <w:rsid w:val="00C07EC8"/>
    <w:rsid w:val="00C10243"/>
    <w:rsid w:val="00C10601"/>
    <w:rsid w:val="00C134F6"/>
    <w:rsid w:val="00C13C38"/>
    <w:rsid w:val="00C1424F"/>
    <w:rsid w:val="00C14933"/>
    <w:rsid w:val="00C14D71"/>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2F0F"/>
    <w:rsid w:val="00C536D2"/>
    <w:rsid w:val="00C54558"/>
    <w:rsid w:val="00C558A4"/>
    <w:rsid w:val="00C559CD"/>
    <w:rsid w:val="00C57E04"/>
    <w:rsid w:val="00C606E2"/>
    <w:rsid w:val="00C61818"/>
    <w:rsid w:val="00C61B06"/>
    <w:rsid w:val="00C61FEC"/>
    <w:rsid w:val="00C62B4F"/>
    <w:rsid w:val="00C62FC2"/>
    <w:rsid w:val="00C64A04"/>
    <w:rsid w:val="00C65918"/>
    <w:rsid w:val="00C65FA7"/>
    <w:rsid w:val="00C7008E"/>
    <w:rsid w:val="00C71A87"/>
    <w:rsid w:val="00C727AF"/>
    <w:rsid w:val="00C72F35"/>
    <w:rsid w:val="00C73ED0"/>
    <w:rsid w:val="00C74F2A"/>
    <w:rsid w:val="00C760AB"/>
    <w:rsid w:val="00C76946"/>
    <w:rsid w:val="00C76CD4"/>
    <w:rsid w:val="00C77686"/>
    <w:rsid w:val="00C77CBD"/>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90A"/>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1E78"/>
    <w:rsid w:val="00CB2149"/>
    <w:rsid w:val="00CB2159"/>
    <w:rsid w:val="00CB252D"/>
    <w:rsid w:val="00CB4BBD"/>
    <w:rsid w:val="00CB4C86"/>
    <w:rsid w:val="00CB508B"/>
    <w:rsid w:val="00CB51F5"/>
    <w:rsid w:val="00CB5B7B"/>
    <w:rsid w:val="00CB5F3F"/>
    <w:rsid w:val="00CB6418"/>
    <w:rsid w:val="00CB740B"/>
    <w:rsid w:val="00CC0C48"/>
    <w:rsid w:val="00CC2F81"/>
    <w:rsid w:val="00CC3DCA"/>
    <w:rsid w:val="00CC435D"/>
    <w:rsid w:val="00CC4F1E"/>
    <w:rsid w:val="00CC5FBE"/>
    <w:rsid w:val="00CC6A79"/>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3CB"/>
    <w:rsid w:val="00CF31B4"/>
    <w:rsid w:val="00CF4606"/>
    <w:rsid w:val="00CF4CEF"/>
    <w:rsid w:val="00CF6431"/>
    <w:rsid w:val="00CF6592"/>
    <w:rsid w:val="00CF6E52"/>
    <w:rsid w:val="00D00B10"/>
    <w:rsid w:val="00D01660"/>
    <w:rsid w:val="00D01DCF"/>
    <w:rsid w:val="00D01F15"/>
    <w:rsid w:val="00D02606"/>
    <w:rsid w:val="00D0448D"/>
    <w:rsid w:val="00D04514"/>
    <w:rsid w:val="00D05D6D"/>
    <w:rsid w:val="00D062B1"/>
    <w:rsid w:val="00D067C4"/>
    <w:rsid w:val="00D076D9"/>
    <w:rsid w:val="00D100BF"/>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6DE4"/>
    <w:rsid w:val="00D278F0"/>
    <w:rsid w:val="00D32986"/>
    <w:rsid w:val="00D3335D"/>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41D7"/>
    <w:rsid w:val="00D54DF0"/>
    <w:rsid w:val="00D56683"/>
    <w:rsid w:val="00D574A2"/>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D5E"/>
    <w:rsid w:val="00D81EDD"/>
    <w:rsid w:val="00D8486E"/>
    <w:rsid w:val="00D84EA2"/>
    <w:rsid w:val="00D84F77"/>
    <w:rsid w:val="00D8663B"/>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2EDA"/>
    <w:rsid w:val="00DA432C"/>
    <w:rsid w:val="00DA4677"/>
    <w:rsid w:val="00DA5392"/>
    <w:rsid w:val="00DB0034"/>
    <w:rsid w:val="00DB08A2"/>
    <w:rsid w:val="00DB0D6D"/>
    <w:rsid w:val="00DB1035"/>
    <w:rsid w:val="00DB1F84"/>
    <w:rsid w:val="00DB2F12"/>
    <w:rsid w:val="00DB44A1"/>
    <w:rsid w:val="00DB5CD7"/>
    <w:rsid w:val="00DB6647"/>
    <w:rsid w:val="00DB67DA"/>
    <w:rsid w:val="00DC0C9F"/>
    <w:rsid w:val="00DC1727"/>
    <w:rsid w:val="00DC1843"/>
    <w:rsid w:val="00DC33BA"/>
    <w:rsid w:val="00DC4957"/>
    <w:rsid w:val="00DC4AE2"/>
    <w:rsid w:val="00DC63B3"/>
    <w:rsid w:val="00DC6B6C"/>
    <w:rsid w:val="00DD2877"/>
    <w:rsid w:val="00DD2EDE"/>
    <w:rsid w:val="00DD3144"/>
    <w:rsid w:val="00DD38A3"/>
    <w:rsid w:val="00DD46D7"/>
    <w:rsid w:val="00DD67AC"/>
    <w:rsid w:val="00DD7FD2"/>
    <w:rsid w:val="00DE0E0F"/>
    <w:rsid w:val="00DE0F3E"/>
    <w:rsid w:val="00DE1DEE"/>
    <w:rsid w:val="00DE2799"/>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1B77"/>
    <w:rsid w:val="00E120FC"/>
    <w:rsid w:val="00E12D07"/>
    <w:rsid w:val="00E14BA9"/>
    <w:rsid w:val="00E1701F"/>
    <w:rsid w:val="00E2168A"/>
    <w:rsid w:val="00E22FD4"/>
    <w:rsid w:val="00E23A0E"/>
    <w:rsid w:val="00E23EE3"/>
    <w:rsid w:val="00E245A1"/>
    <w:rsid w:val="00E24831"/>
    <w:rsid w:val="00E25228"/>
    <w:rsid w:val="00E27953"/>
    <w:rsid w:val="00E31001"/>
    <w:rsid w:val="00E314BF"/>
    <w:rsid w:val="00E34A4E"/>
    <w:rsid w:val="00E41D06"/>
    <w:rsid w:val="00E41D0D"/>
    <w:rsid w:val="00E41E33"/>
    <w:rsid w:val="00E426BD"/>
    <w:rsid w:val="00E43C83"/>
    <w:rsid w:val="00E44669"/>
    <w:rsid w:val="00E45508"/>
    <w:rsid w:val="00E46545"/>
    <w:rsid w:val="00E46685"/>
    <w:rsid w:val="00E507BE"/>
    <w:rsid w:val="00E50A06"/>
    <w:rsid w:val="00E51D63"/>
    <w:rsid w:val="00E5265D"/>
    <w:rsid w:val="00E52D9C"/>
    <w:rsid w:val="00E540BC"/>
    <w:rsid w:val="00E5413A"/>
    <w:rsid w:val="00E545D0"/>
    <w:rsid w:val="00E546D8"/>
    <w:rsid w:val="00E55480"/>
    <w:rsid w:val="00E55AC7"/>
    <w:rsid w:val="00E55C26"/>
    <w:rsid w:val="00E55EA0"/>
    <w:rsid w:val="00E56C8D"/>
    <w:rsid w:val="00E600CD"/>
    <w:rsid w:val="00E61239"/>
    <w:rsid w:val="00E62EF4"/>
    <w:rsid w:val="00E632EA"/>
    <w:rsid w:val="00E654A0"/>
    <w:rsid w:val="00E65521"/>
    <w:rsid w:val="00E65D6D"/>
    <w:rsid w:val="00E66927"/>
    <w:rsid w:val="00E67455"/>
    <w:rsid w:val="00E67FF3"/>
    <w:rsid w:val="00E701AC"/>
    <w:rsid w:val="00E70BF9"/>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51"/>
    <w:rsid w:val="00E90C8F"/>
    <w:rsid w:val="00E91006"/>
    <w:rsid w:val="00E91851"/>
    <w:rsid w:val="00E92106"/>
    <w:rsid w:val="00E92204"/>
    <w:rsid w:val="00E93276"/>
    <w:rsid w:val="00E93457"/>
    <w:rsid w:val="00E93F35"/>
    <w:rsid w:val="00EA04FB"/>
    <w:rsid w:val="00EA1F76"/>
    <w:rsid w:val="00EA4C1F"/>
    <w:rsid w:val="00EA502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238F"/>
    <w:rsid w:val="00EC291E"/>
    <w:rsid w:val="00EC2EEA"/>
    <w:rsid w:val="00EC6033"/>
    <w:rsid w:val="00EC690F"/>
    <w:rsid w:val="00EC6ABB"/>
    <w:rsid w:val="00EC7B44"/>
    <w:rsid w:val="00ED10D9"/>
    <w:rsid w:val="00ED28F4"/>
    <w:rsid w:val="00ED2D91"/>
    <w:rsid w:val="00ED30A9"/>
    <w:rsid w:val="00ED30BB"/>
    <w:rsid w:val="00ED3FD9"/>
    <w:rsid w:val="00ED42D5"/>
    <w:rsid w:val="00ED43C6"/>
    <w:rsid w:val="00ED52D1"/>
    <w:rsid w:val="00ED5476"/>
    <w:rsid w:val="00ED62D1"/>
    <w:rsid w:val="00ED7864"/>
    <w:rsid w:val="00ED7AAE"/>
    <w:rsid w:val="00ED7DAC"/>
    <w:rsid w:val="00EE0200"/>
    <w:rsid w:val="00EE0F0D"/>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08A"/>
    <w:rsid w:val="00EF2B23"/>
    <w:rsid w:val="00EF3A01"/>
    <w:rsid w:val="00EF4D0F"/>
    <w:rsid w:val="00EF4EEF"/>
    <w:rsid w:val="00EF52F1"/>
    <w:rsid w:val="00EF5FF8"/>
    <w:rsid w:val="00EF6F58"/>
    <w:rsid w:val="00EF7935"/>
    <w:rsid w:val="00F012D3"/>
    <w:rsid w:val="00F01526"/>
    <w:rsid w:val="00F023A7"/>
    <w:rsid w:val="00F02EDC"/>
    <w:rsid w:val="00F039E2"/>
    <w:rsid w:val="00F04A95"/>
    <w:rsid w:val="00F04C02"/>
    <w:rsid w:val="00F058D3"/>
    <w:rsid w:val="00F10A38"/>
    <w:rsid w:val="00F1176A"/>
    <w:rsid w:val="00F11FF3"/>
    <w:rsid w:val="00F123B3"/>
    <w:rsid w:val="00F12BF1"/>
    <w:rsid w:val="00F12F4D"/>
    <w:rsid w:val="00F12FB0"/>
    <w:rsid w:val="00F12FD5"/>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2507"/>
    <w:rsid w:val="00F43528"/>
    <w:rsid w:val="00F43916"/>
    <w:rsid w:val="00F44F84"/>
    <w:rsid w:val="00F466E6"/>
    <w:rsid w:val="00F46937"/>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C66"/>
    <w:rsid w:val="00F74FB9"/>
    <w:rsid w:val="00F775A3"/>
    <w:rsid w:val="00F77D38"/>
    <w:rsid w:val="00F809C6"/>
    <w:rsid w:val="00F81408"/>
    <w:rsid w:val="00F815F4"/>
    <w:rsid w:val="00F81914"/>
    <w:rsid w:val="00F82913"/>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0957"/>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5DB1"/>
    <w:rsid w:val="00FF67D7"/>
    <w:rsid w:val="14E66B03"/>
    <w:rsid w:val="6011CFBC"/>
    <w:rsid w:val="72304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5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character" w:customStyle="1" w:styleId="UnresolvedMention">
    <w:name w:val="Unresolved Mention"/>
    <w:basedOn w:val="Fuentedeprrafopredeter"/>
    <w:uiPriority w:val="99"/>
    <w:semiHidden/>
    <w:unhideWhenUsed/>
    <w:rsid w:val="0045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tizapan.gob.mx/2022/08/26/pone-en-marcha-pedro-rodriguez-43-comedores-comunitarios-en-atizapan-de-zaragoz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0EC0-C71E-4E2A-842D-9B62C773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40</Pages>
  <Words>10462</Words>
  <Characters>57546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78</cp:revision>
  <cp:lastPrinted>2019-06-13T15:30:00Z</cp:lastPrinted>
  <dcterms:created xsi:type="dcterms:W3CDTF">2023-09-27T18:01:00Z</dcterms:created>
  <dcterms:modified xsi:type="dcterms:W3CDTF">2024-04-11T14:59:00Z</dcterms:modified>
</cp:coreProperties>
</file>