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44545"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CF144D">
        <w:rPr>
          <w:rFonts w:ascii="Palatino Linotype" w:eastAsia="Palatino Linotype" w:hAnsi="Palatino Linotype" w:cs="Palatino Linotype"/>
          <w:b/>
          <w:bCs/>
        </w:rPr>
        <w:t>veintiuno de agosto de dos mil veinticuatro.</w:t>
      </w:r>
      <w:r>
        <w:rPr>
          <w:rFonts w:ascii="Palatino Linotype" w:eastAsia="Palatino Linotype" w:hAnsi="Palatino Linotype" w:cs="Palatino Linotype"/>
        </w:rPr>
        <w:t xml:space="preserve"> </w:t>
      </w:r>
    </w:p>
    <w:p w14:paraId="72421DB6"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02979/INFOEM/IP/RR/2024</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un particular que no proporcionó su nombre</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w:t>
      </w:r>
      <w:r>
        <w:rPr>
          <w:rFonts w:ascii="Palatino Linotype" w:eastAsia="Palatino Linotype" w:hAnsi="Palatino Linotype" w:cs="Palatino Linotype"/>
          <w:b/>
        </w:rPr>
        <w:t xml:space="preserve"> 00080/BIENESTAR/IP/2024, </w:t>
      </w:r>
      <w:r>
        <w:rPr>
          <w:rFonts w:ascii="Palatino Linotype" w:eastAsia="Palatino Linotype" w:hAnsi="Palatino Linotype" w:cs="Palatino Linotype"/>
        </w:rPr>
        <w:t xml:space="preserve">por parte de la </w:t>
      </w:r>
      <w:r>
        <w:rPr>
          <w:rFonts w:ascii="Palatino Linotype" w:eastAsia="Palatino Linotype" w:hAnsi="Palatino Linotype" w:cs="Palatino Linotype"/>
          <w:b/>
        </w:rPr>
        <w:t xml:space="preserve">Secretaría del Bienestar,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D7AD16A" w14:textId="77777777" w:rsidR="00F33246" w:rsidRDefault="00ED2851">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1BC0CAEB"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dos de mayo de dos mil veinticuatro,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mediante la cual requirió la información siguiente: </w:t>
      </w:r>
    </w:p>
    <w:p w14:paraId="4E355324" w14:textId="77777777" w:rsidR="00F33246" w:rsidRDefault="00ED2851">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“Solicito la factura de compra de las </w:t>
      </w:r>
      <w:proofErr w:type="spellStart"/>
      <w:r>
        <w:rPr>
          <w:rFonts w:ascii="Palatino Linotype" w:eastAsia="Palatino Linotype" w:hAnsi="Palatino Linotype" w:cs="Palatino Linotype"/>
          <w:i/>
          <w:sz w:val="22"/>
          <w:szCs w:val="22"/>
        </w:rPr>
        <w:t>camaras</w:t>
      </w:r>
      <w:proofErr w:type="spellEnd"/>
      <w:r>
        <w:rPr>
          <w:rFonts w:ascii="Palatino Linotype" w:eastAsia="Palatino Linotype" w:hAnsi="Palatino Linotype" w:cs="Palatino Linotype"/>
          <w:i/>
          <w:sz w:val="22"/>
          <w:szCs w:val="22"/>
        </w:rPr>
        <w:t xml:space="preserve"> de videovigilancia dónde vengan todas las especificaciones de las mismas Ubicación exacta de las cámaras de videovigilancia y en que oficinas de la secretaría de bienestar se encuentran operando, con la finalidad de que no estén violando la intimidad de las personas Solicito el aviso de privacidad integral de las cámaras de videovigilancia de la secretaría de bienestar” (Sic)</w:t>
      </w:r>
    </w:p>
    <w:p w14:paraId="6EC367A3" w14:textId="77777777" w:rsidR="00F33246" w:rsidRDefault="00F33246">
      <w:pPr>
        <w:spacing w:before="240"/>
        <w:ind w:left="851" w:right="902"/>
        <w:jc w:val="both"/>
        <w:rPr>
          <w:rFonts w:ascii="Palatino Linotype" w:eastAsia="Palatino Linotype" w:hAnsi="Palatino Linotype" w:cs="Palatino Linotype"/>
          <w:i/>
          <w:sz w:val="22"/>
          <w:szCs w:val="22"/>
        </w:rPr>
      </w:pPr>
    </w:p>
    <w:p w14:paraId="596BD711"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192694F3" w14:textId="77777777" w:rsidR="00F33246" w:rsidRDefault="00F33246">
      <w:pPr>
        <w:spacing w:line="360" w:lineRule="auto"/>
        <w:jc w:val="both"/>
        <w:rPr>
          <w:rFonts w:ascii="Palatino Linotype" w:eastAsia="Palatino Linotype" w:hAnsi="Palatino Linotype" w:cs="Palatino Linotype"/>
        </w:rPr>
      </w:pPr>
    </w:p>
    <w:p w14:paraId="782CE5B9" w14:textId="77777777" w:rsidR="00F33246" w:rsidRDefault="00ED2851">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mayo de dos mil veinticuatro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r>
        <w:rPr>
          <w:rFonts w:ascii="Palatino Linotype" w:eastAsia="Palatino Linotype" w:hAnsi="Palatino Linotype" w:cs="Palatino Linotype"/>
          <w:i/>
          <w:sz w:val="22"/>
          <w:szCs w:val="22"/>
        </w:rPr>
        <w:t xml:space="preserve">  </w:t>
      </w:r>
    </w:p>
    <w:p w14:paraId="6D75D3EE" w14:textId="77777777" w:rsidR="00F33246" w:rsidRDefault="00ED2851">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oficio de respuesta número SBIENESTAREDOMEX/UT/080/2024, de fecha 15 de mayo de 2024, así como el anexo de la factura número 19 del proveedor B&amp;BAANNEMERES MEICO, S.A. DE C.V., de fecha 30 de mayo de 2023...” (Sic)</w:t>
      </w:r>
    </w:p>
    <w:p w14:paraId="5C5036B0" w14:textId="77777777" w:rsidR="00F33246" w:rsidRDefault="00F33246">
      <w:pPr>
        <w:spacing w:after="240" w:line="360" w:lineRule="auto"/>
        <w:jc w:val="both"/>
        <w:rPr>
          <w:rFonts w:ascii="Palatino Linotype" w:eastAsia="Palatino Linotype" w:hAnsi="Palatino Linotype" w:cs="Palatino Linotype"/>
        </w:rPr>
      </w:pPr>
    </w:p>
    <w:p w14:paraId="0C4EE711"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siguientes archivos electrónicos:</w:t>
      </w:r>
    </w:p>
    <w:p w14:paraId="4A032495"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080 - C. Ciudadano - Unidad de Transparencia - 080.pdf</w:t>
        </w:r>
      </w:hyperlink>
      <w:r>
        <w:rPr>
          <w:rFonts w:ascii="Palatino Linotype" w:eastAsia="Palatino Linotype" w:hAnsi="Palatino Linotype" w:cs="Palatino Linotype"/>
        </w:rPr>
        <w:t xml:space="preserve">”, el cual contiene el oficio número SBIENESTAREDOMEX/UT/080/2024, por medio del cual el Titular de la Unidad de Información, Planeación, Programación y Evaluación, y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informó al solicitante que la Dirección de Recursos Materiales y Recursos Materiales le manifestó lo siguiente:</w:t>
      </w:r>
    </w:p>
    <w:p w14:paraId="759F44D0"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del punto uno de la solicitud, relacionado con:</w:t>
      </w:r>
    </w:p>
    <w:p w14:paraId="7A1FD3D9"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factura de compra de las cámaras de video vigilancia dónde vengan todas las especificaciones.</w:t>
      </w:r>
    </w:p>
    <w:p w14:paraId="320F2870"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Que esta Secretaría durante el ejercicio fiscal 2023, únicamente llevo a cabo una adquisición de cámaras de video, por lo que adjuntó copia simple de la factura número 19 del proveedor B&amp;BAANNEMERS MÉXICO S.A DE C.V., de fecha 30 de mayo de 2023, en el cual se señalan las especificaciones técnicas generales de las </w:t>
      </w:r>
      <w:r>
        <w:rPr>
          <w:rFonts w:ascii="Palatino Linotype" w:eastAsia="Palatino Linotype" w:hAnsi="Palatino Linotype" w:cs="Palatino Linotype"/>
        </w:rPr>
        <w:lastRenderedPageBreak/>
        <w:t>mismas; asimismo, con la finalidad de robustecer lo informado se proporcionan las siguientes ligas electrónicas:</w:t>
      </w:r>
    </w:p>
    <w:p w14:paraId="0A8F2D3A"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F09BEC0" wp14:editId="33E7C728">
            <wp:extent cx="5612130" cy="1894205"/>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38278"/>
                    <a:stretch>
                      <a:fillRect/>
                    </a:stretch>
                  </pic:blipFill>
                  <pic:spPr>
                    <a:xfrm>
                      <a:off x="0" y="0"/>
                      <a:ext cx="5612130" cy="1894205"/>
                    </a:xfrm>
                    <a:prstGeom prst="rect">
                      <a:avLst/>
                    </a:prstGeom>
                    <a:ln/>
                  </pic:spPr>
                </pic:pic>
              </a:graphicData>
            </a:graphic>
          </wp:inline>
        </w:drawing>
      </w:r>
    </w:p>
    <w:p w14:paraId="31C6CA0F"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en donde puede consultar las descripciones técnicas y especificaciones generales totales y a detalle de cada una de las cámaras referidas en la factura que se remite, en el supuesto de que el proveedor haya omitido algún dato que resulte relevante para quien requiere la información. </w:t>
      </w:r>
    </w:p>
    <w:p w14:paraId="32427FEF"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en cuanto al punto dos, relacionado con:</w:t>
      </w:r>
    </w:p>
    <w:p w14:paraId="3C32CF89"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Ubicación exacta de las cámaras de videovigilancia.</w:t>
      </w:r>
    </w:p>
    <w:p w14:paraId="0450A133"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Informó que las cámaras de video de circuito cerrado (vigilancia), se encuentran ubicadas en las entradas principales, así como los accesos peatonales y vehiculares de los inmuebles que ocupan las unidades administrativas adscritas a la Secretaría de Bienestar.</w:t>
      </w:r>
    </w:p>
    <w:p w14:paraId="2444E09E"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punto 3, relativo a:</w:t>
      </w:r>
    </w:p>
    <w:p w14:paraId="0169E4FE"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que oficinas de la secretaría de bienestar se encuentran operando.</w:t>
      </w:r>
    </w:p>
    <w:p w14:paraId="5682A4B6"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Informó que las oficinas (inmuebles) que ocupan las unidades administrativas adscritas a la Secretaría de Bienestar y que actualmente cuentan con cámaras de video de circuito cerrado (vigilancia), son las siguientes:</w:t>
      </w:r>
    </w:p>
    <w:p w14:paraId="6CF5BC0C"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DD029AA" wp14:editId="15DB3A53">
            <wp:extent cx="5612130" cy="445516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4455160"/>
                    </a:xfrm>
                    <a:prstGeom prst="rect">
                      <a:avLst/>
                    </a:prstGeom>
                    <a:ln/>
                  </pic:spPr>
                </pic:pic>
              </a:graphicData>
            </a:graphic>
          </wp:inline>
        </w:drawing>
      </w:r>
    </w:p>
    <w:p w14:paraId="2A3C0D2D" w14:textId="77777777" w:rsidR="00F33246" w:rsidRDefault="00ED2851">
      <w:pPr>
        <w:spacing w:after="240" w:line="360" w:lineRule="auto"/>
        <w:jc w:val="both"/>
        <w:rPr>
          <w:rFonts w:ascii="Palatino Linotype" w:eastAsia="Palatino Linotype" w:hAnsi="Palatino Linotype" w:cs="Palatino Linotype"/>
        </w:rPr>
      </w:pPr>
      <w:proofErr w:type="gramStart"/>
      <w:r>
        <w:rPr>
          <w:rFonts w:ascii="Palatino Linotype" w:eastAsia="Palatino Linotype" w:hAnsi="Palatino Linotype" w:cs="Palatino Linotype"/>
        </w:rPr>
        <w:t>Finalmente</w:t>
      </w:r>
      <w:proofErr w:type="gramEnd"/>
      <w:r>
        <w:rPr>
          <w:rFonts w:ascii="Palatino Linotype" w:eastAsia="Palatino Linotype" w:hAnsi="Palatino Linotype" w:cs="Palatino Linotype"/>
        </w:rPr>
        <w:t xml:space="preserve"> en cuanto al punto 4, concerniente a:</w:t>
      </w:r>
    </w:p>
    <w:p w14:paraId="5CD231B7"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la finalidad de que no estén violando la intimidad de las personas</w:t>
      </w:r>
    </w:p>
    <w:p w14:paraId="06CA266E"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Informó lo siguiente:</w:t>
      </w:r>
    </w:p>
    <w:p w14:paraId="1431017C"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6593448" wp14:editId="7737757C">
            <wp:extent cx="5612130" cy="169672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1696720"/>
                    </a:xfrm>
                    <a:prstGeom prst="rect">
                      <a:avLst/>
                    </a:prstGeom>
                    <a:ln/>
                  </pic:spPr>
                </pic:pic>
              </a:graphicData>
            </a:graphic>
          </wp:inline>
        </w:drawing>
      </w:r>
    </w:p>
    <w:p w14:paraId="3712BC60"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en cuanto al punto 5, el cual es:</w:t>
      </w:r>
    </w:p>
    <w:p w14:paraId="64D18FE8"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Solicito el aviso de privacidad integral de las cámaras de videovigilancia de la secretaría de bienestar.</w:t>
      </w:r>
    </w:p>
    <w:p w14:paraId="568A99BC"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Informó que no hay normatividad vigente que regule la obligatoriedad de elaborar un aviso de privacidad, ya que en ningún momento están vulnerando la privacidad de los servidores públicos adscritos a dicha dependencia. </w:t>
      </w:r>
    </w:p>
    <w:p w14:paraId="1E38B510"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indicó que la Dirección General de Desarrollo Institucional y Tecnologías de información, le informó de manera textual lo siguiente:</w:t>
      </w:r>
    </w:p>
    <w:p w14:paraId="0086F2A5"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5A31341" wp14:editId="7C266C2B">
            <wp:extent cx="5612130" cy="259397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2593975"/>
                    </a:xfrm>
                    <a:prstGeom prst="rect">
                      <a:avLst/>
                    </a:prstGeom>
                    <a:ln/>
                  </pic:spPr>
                </pic:pic>
              </a:graphicData>
            </a:graphic>
          </wp:inline>
        </w:drawing>
      </w:r>
    </w:p>
    <w:p w14:paraId="54175086"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910995E" wp14:editId="3CD88CA1">
            <wp:extent cx="5612130" cy="81534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815340"/>
                    </a:xfrm>
                    <a:prstGeom prst="rect">
                      <a:avLst/>
                    </a:prstGeom>
                    <a:ln/>
                  </pic:spPr>
                </pic:pic>
              </a:graphicData>
            </a:graphic>
          </wp:inline>
        </w:drawing>
      </w:r>
    </w:p>
    <w:p w14:paraId="1D790172"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ANEXO.pdf</w:t>
        </w:r>
      </w:hyperlink>
      <w:r>
        <w:rPr>
          <w:rFonts w:ascii="Palatino Linotype" w:eastAsia="Palatino Linotype" w:hAnsi="Palatino Linotype" w:cs="Palatino Linotype"/>
        </w:rPr>
        <w:t>”, el cual contiene la factura número 19 referida por la Dirección de Recursos Materiales y Recursos Materiales, en la descripción del archivo anterior.</w:t>
      </w:r>
    </w:p>
    <w:p w14:paraId="46392C69" w14:textId="77777777" w:rsidR="00F33246" w:rsidRDefault="00ED285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del dos mil veinticuatro,</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1A698240" w14:textId="77777777" w:rsidR="00F33246" w:rsidRDefault="00ED2851">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5CB69D60" w14:textId="77777777" w:rsidR="00F33246" w:rsidRDefault="00ED285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al aviso de privacidad” (Sic)</w:t>
      </w:r>
    </w:p>
    <w:p w14:paraId="64C05AB1" w14:textId="77777777" w:rsidR="00F33246" w:rsidRDefault="00F33246">
      <w:pPr>
        <w:ind w:left="851" w:right="902"/>
        <w:jc w:val="both"/>
        <w:rPr>
          <w:rFonts w:ascii="Palatino Linotype" w:eastAsia="Palatino Linotype" w:hAnsi="Palatino Linotype" w:cs="Palatino Linotype"/>
          <w:i/>
          <w:sz w:val="22"/>
          <w:szCs w:val="22"/>
        </w:rPr>
      </w:pPr>
    </w:p>
    <w:p w14:paraId="42642AF1"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17D035F2" w14:textId="77777777" w:rsidR="00F33246" w:rsidRDefault="00ED2851">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“Nunca se mencionó que soy servidor público y que se esté violando la privacidad, (total desconocimiento de la Ley), por otro lado a través de las imágenes captadas y probablemente almacenadas por las cámaras y de acuerdo a los artículos 6 </w:t>
      </w:r>
      <w:proofErr w:type="spellStart"/>
      <w:r>
        <w:rPr>
          <w:rFonts w:ascii="Palatino Linotype" w:eastAsia="Palatino Linotype" w:hAnsi="Palatino Linotype" w:cs="Palatino Linotype"/>
          <w:i/>
          <w:sz w:val="22"/>
          <w:szCs w:val="22"/>
        </w:rPr>
        <w:t>fracción.II</w:t>
      </w:r>
      <w:proofErr w:type="spellEnd"/>
      <w:r>
        <w:rPr>
          <w:rFonts w:ascii="Palatino Linotype" w:eastAsia="Palatino Linotype" w:hAnsi="Palatino Linotype" w:cs="Palatino Linotype"/>
          <w:i/>
          <w:sz w:val="22"/>
          <w:szCs w:val="22"/>
        </w:rPr>
        <w:t xml:space="preserve">, 16, párrafo segundo de la constitución política de los estados unidos mexicanos, artículos 2 </w:t>
      </w:r>
      <w:proofErr w:type="spellStart"/>
      <w:r>
        <w:rPr>
          <w:rFonts w:ascii="Palatino Linotype" w:eastAsia="Palatino Linotype" w:hAnsi="Palatino Linotype" w:cs="Palatino Linotype"/>
          <w:i/>
          <w:sz w:val="22"/>
          <w:szCs w:val="22"/>
        </w:rPr>
        <w:t>fracc.</w:t>
      </w:r>
      <w:proofErr w:type="spellEnd"/>
      <w:r>
        <w:rPr>
          <w:rFonts w:ascii="Palatino Linotype" w:eastAsia="Palatino Linotype" w:hAnsi="Palatino Linotype" w:cs="Palatino Linotype"/>
          <w:i/>
          <w:sz w:val="22"/>
          <w:szCs w:val="22"/>
        </w:rPr>
        <w:t xml:space="preserve"> I, III, 4 </w:t>
      </w:r>
      <w:proofErr w:type="spellStart"/>
      <w:r>
        <w:rPr>
          <w:rFonts w:ascii="Palatino Linotype" w:eastAsia="Palatino Linotype" w:hAnsi="Palatino Linotype" w:cs="Palatino Linotype"/>
          <w:i/>
          <w:sz w:val="22"/>
          <w:szCs w:val="22"/>
        </w:rPr>
        <w:t>fracc.</w:t>
      </w:r>
      <w:proofErr w:type="spellEnd"/>
      <w:r>
        <w:rPr>
          <w:rFonts w:ascii="Palatino Linotype" w:eastAsia="Palatino Linotype" w:hAnsi="Palatino Linotype" w:cs="Palatino Linotype"/>
          <w:i/>
          <w:sz w:val="22"/>
          <w:szCs w:val="22"/>
        </w:rPr>
        <w:t xml:space="preserve"> V, XI, 6, 23, 27 y 30 de. La Ley de protección de datos personales en posesión de sujetos obligados del estado de México, solicito se proporcione la información solicitada.” (Sic)</w:t>
      </w:r>
    </w:p>
    <w:p w14:paraId="29B248F3" w14:textId="77777777" w:rsidR="00F33246" w:rsidRDefault="00F33246">
      <w:pPr>
        <w:ind w:left="851" w:right="902"/>
        <w:jc w:val="both"/>
        <w:rPr>
          <w:rFonts w:ascii="Palatino Linotype" w:eastAsia="Palatino Linotype" w:hAnsi="Palatino Linotype" w:cs="Palatino Linotype"/>
          <w:i/>
          <w:sz w:val="22"/>
          <w:szCs w:val="22"/>
        </w:rPr>
      </w:pPr>
    </w:p>
    <w:p w14:paraId="37A5696B" w14:textId="77777777" w:rsidR="00F33246" w:rsidRDefault="00ED285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FCA1139"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veintidós de mayo de dos mil veinticuatro,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6603B25D" w14:textId="77777777" w:rsidR="00F33246" w:rsidRDefault="00ED2851">
      <w:pPr>
        <w:spacing w:before="240" w:after="240" w:line="360" w:lineRule="auto"/>
        <w:jc w:val="both"/>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omitió realizar manifestaciones. </w:t>
      </w:r>
    </w:p>
    <w:p w14:paraId="36DE80E3" w14:textId="77777777" w:rsidR="00F33246" w:rsidRDefault="00ED2851">
      <w:pPr>
        <w:spacing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En fecha veintisiete de mayo de dos mil veinticuatro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el siguiente archivo electrónico:</w:t>
      </w:r>
    </w:p>
    <w:p w14:paraId="11035BE9"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r>
          <w:rPr>
            <w:rFonts w:ascii="Palatino Linotype" w:eastAsia="Palatino Linotype" w:hAnsi="Palatino Linotype" w:cs="Palatino Linotype"/>
          </w:rPr>
          <w:t xml:space="preserve">080 - C. Ciudadano - Informe Justificado - RR - 02979 - Unidad de </w:t>
        </w:r>
        <w:proofErr w:type="spellStart"/>
        <w:r>
          <w:rPr>
            <w:rFonts w:ascii="Palatino Linotype" w:eastAsia="Palatino Linotype" w:hAnsi="Palatino Linotype" w:cs="Palatino Linotype"/>
          </w:rPr>
          <w:t>Tranparencia</w:t>
        </w:r>
        <w:proofErr w:type="spellEnd"/>
        <w:r>
          <w:rPr>
            <w:rFonts w:ascii="Palatino Linotype" w:eastAsia="Palatino Linotype" w:hAnsi="Palatino Linotype" w:cs="Palatino Linotype"/>
          </w:rPr>
          <w:t xml:space="preserve"> - 080.pdf</w:t>
        </w:r>
      </w:hyperlink>
      <w:r>
        <w:rPr>
          <w:rFonts w:ascii="Palatino Linotype" w:eastAsia="Palatino Linotype" w:hAnsi="Palatino Linotype" w:cs="Palatino Linotype"/>
        </w:rPr>
        <w:t xml:space="preserve">”, el cual contiene el informe justificado del </w:t>
      </w:r>
      <w:r>
        <w:rPr>
          <w:rFonts w:ascii="Palatino Linotype" w:eastAsia="Palatino Linotype" w:hAnsi="Palatino Linotype" w:cs="Palatino Linotype"/>
          <w:b/>
        </w:rPr>
        <w:t>SUJETO OBLIGADO</w:t>
      </w:r>
      <w:r>
        <w:rPr>
          <w:rFonts w:ascii="Palatino Linotype" w:eastAsia="Palatino Linotype" w:hAnsi="Palatino Linotype" w:cs="Palatino Linotype"/>
        </w:rPr>
        <w:t>, por medio del cual el SUJETO OBLIGADO, considero que los motivos de inconformidad es una ampliación a su solicitud inicial; es decir, una nueva solicitud de información.</w:t>
      </w:r>
    </w:p>
    <w:p w14:paraId="48E9AC25"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ratificó las respuestas dadas a los cinco requerimientos que enlisto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primigenia.</w:t>
      </w:r>
    </w:p>
    <w:p w14:paraId="477DF19D"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También, respecto del aviso privacidad solicitado, agregó lo siguiente:</w:t>
      </w:r>
    </w:p>
    <w:p w14:paraId="45AAFCA3"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A97E264" wp14:editId="0FD4F15F">
            <wp:extent cx="5612130" cy="108585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1085850"/>
                    </a:xfrm>
                    <a:prstGeom prst="rect">
                      <a:avLst/>
                    </a:prstGeom>
                    <a:ln/>
                  </pic:spPr>
                </pic:pic>
              </a:graphicData>
            </a:graphic>
          </wp:inline>
        </w:drawing>
      </w:r>
    </w:p>
    <w:p w14:paraId="4BAAC292"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noProof/>
          <w:lang w:val="es-MX"/>
        </w:rPr>
        <w:drawing>
          <wp:inline distT="0" distB="0" distL="0" distR="0" wp14:anchorId="773C7138" wp14:editId="64D07BE2">
            <wp:extent cx="5612130" cy="3053715"/>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612130" cy="3053715"/>
                    </a:xfrm>
                    <a:prstGeom prst="rect">
                      <a:avLst/>
                    </a:prstGeom>
                    <a:ln/>
                  </pic:spPr>
                </pic:pic>
              </a:graphicData>
            </a:graphic>
          </wp:inline>
        </w:drawing>
      </w:r>
    </w:p>
    <w:p w14:paraId="70F72E35"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D2D87C3" wp14:editId="46BE0494">
            <wp:extent cx="5612130" cy="4073525"/>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2130" cy="4073525"/>
                    </a:xfrm>
                    <a:prstGeom prst="rect">
                      <a:avLst/>
                    </a:prstGeom>
                    <a:ln/>
                  </pic:spPr>
                </pic:pic>
              </a:graphicData>
            </a:graphic>
          </wp:inline>
        </w:drawing>
      </w:r>
    </w:p>
    <w:p w14:paraId="55B498EB" w14:textId="77777777" w:rsidR="00F33246" w:rsidRDefault="00ED285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Solicitando que se sobresea el presente asunto o se confirme la respuesta. </w:t>
      </w:r>
    </w:p>
    <w:p w14:paraId="0C5B5E58" w14:textId="77777777" w:rsidR="00F33246" w:rsidRDefault="00ED285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w:t>
      </w:r>
      <w:r>
        <w:rPr>
          <w:rFonts w:ascii="Palatino Linotype" w:eastAsia="Palatino Linotype" w:hAnsi="Palatino Linotype" w:cs="Palatino Linotype"/>
        </w:rPr>
        <w:t xml:space="preserve"> En fecha catorce de agosto del año dos mil veinticuatro, con fundamento en el artículo 181, párrafo tercero de la Ley de Transparencia y Acceso a la Información Pública del Estado de México y Municipios, se acordó la ampliación del plazo para su resolución.</w:t>
      </w:r>
    </w:p>
    <w:p w14:paraId="283F09D2" w14:textId="77777777" w:rsidR="00F33246" w:rsidRDefault="00F33246">
      <w:pPr>
        <w:widowControl w:val="0"/>
        <w:spacing w:line="360" w:lineRule="auto"/>
        <w:jc w:val="both"/>
        <w:rPr>
          <w:rFonts w:ascii="Palatino Linotype" w:eastAsia="Palatino Linotype" w:hAnsi="Palatino Linotype" w:cs="Palatino Linotype"/>
        </w:rPr>
      </w:pPr>
    </w:p>
    <w:p w14:paraId="15688B71" w14:textId="77777777" w:rsidR="00F33246" w:rsidRDefault="00ED285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6BA32D5" w14:textId="77777777" w:rsidR="00F33246" w:rsidRDefault="00F33246">
      <w:pPr>
        <w:spacing w:line="360" w:lineRule="auto"/>
        <w:jc w:val="both"/>
        <w:rPr>
          <w:rFonts w:ascii="Palatino Linotype" w:eastAsia="Palatino Linotype" w:hAnsi="Palatino Linotype" w:cs="Palatino Linotype"/>
        </w:rPr>
      </w:pPr>
    </w:p>
    <w:p w14:paraId="103D0BD8"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0FC179E" w14:textId="77777777" w:rsidR="00F33246" w:rsidRDefault="00F33246">
      <w:pPr>
        <w:spacing w:line="360" w:lineRule="auto"/>
        <w:jc w:val="both"/>
        <w:rPr>
          <w:rFonts w:ascii="Palatino Linotype" w:eastAsia="Palatino Linotype" w:hAnsi="Palatino Linotype" w:cs="Palatino Linotype"/>
        </w:rPr>
      </w:pPr>
    </w:p>
    <w:p w14:paraId="3222BA14"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495526" w14:textId="77777777" w:rsidR="00F33246" w:rsidRDefault="00F33246">
      <w:pPr>
        <w:spacing w:line="360" w:lineRule="auto"/>
        <w:jc w:val="both"/>
        <w:rPr>
          <w:rFonts w:ascii="Palatino Linotype" w:eastAsia="Palatino Linotype" w:hAnsi="Palatino Linotype" w:cs="Palatino Linotype"/>
        </w:rPr>
      </w:pPr>
    </w:p>
    <w:p w14:paraId="0D548260"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E1A622E" w14:textId="77777777" w:rsidR="00F33246" w:rsidRDefault="00F33246">
      <w:pPr>
        <w:spacing w:line="360" w:lineRule="auto"/>
        <w:jc w:val="both"/>
        <w:rPr>
          <w:rFonts w:ascii="Palatino Linotype" w:eastAsia="Palatino Linotype" w:hAnsi="Palatino Linotype" w:cs="Palatino Linotype"/>
        </w:rPr>
      </w:pPr>
    </w:p>
    <w:p w14:paraId="55357F96" w14:textId="77777777" w:rsidR="00F33246" w:rsidRDefault="00ED2851">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06C8785" w14:textId="77777777" w:rsidR="00F33246" w:rsidRDefault="00F33246">
      <w:pPr>
        <w:spacing w:line="360" w:lineRule="auto"/>
        <w:jc w:val="both"/>
        <w:rPr>
          <w:rFonts w:ascii="Palatino Linotype" w:eastAsia="Palatino Linotype" w:hAnsi="Palatino Linotype" w:cs="Palatino Linotype"/>
        </w:rPr>
      </w:pPr>
    </w:p>
    <w:p w14:paraId="5E97AD9D" w14:textId="77777777" w:rsidR="00F33246" w:rsidRDefault="00ED2851">
      <w:pPr>
        <w:numPr>
          <w:ilvl w:val="0"/>
          <w:numId w:val="4"/>
        </w:numPr>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BEC57FE" w14:textId="77777777" w:rsidR="00F33246" w:rsidRDefault="00F33246">
      <w:pPr>
        <w:ind w:left="851" w:hanging="360"/>
        <w:jc w:val="both"/>
        <w:rPr>
          <w:rFonts w:ascii="Palatino Linotype" w:eastAsia="Palatino Linotype" w:hAnsi="Palatino Linotype" w:cs="Palatino Linotype"/>
        </w:rPr>
      </w:pPr>
    </w:p>
    <w:p w14:paraId="34F8AF86" w14:textId="77777777" w:rsidR="00F33246" w:rsidRDefault="00ED2851">
      <w:pPr>
        <w:numPr>
          <w:ilvl w:val="0"/>
          <w:numId w:val="4"/>
        </w:numPr>
        <w:ind w:left="851"/>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3727215" w14:textId="77777777" w:rsidR="00F33246" w:rsidRDefault="00F33246">
      <w:pPr>
        <w:ind w:left="851" w:hanging="360"/>
        <w:jc w:val="both"/>
        <w:rPr>
          <w:rFonts w:ascii="Palatino Linotype" w:eastAsia="Palatino Linotype" w:hAnsi="Palatino Linotype" w:cs="Palatino Linotype"/>
        </w:rPr>
      </w:pPr>
    </w:p>
    <w:p w14:paraId="188F77A2" w14:textId="77777777" w:rsidR="00F33246" w:rsidRDefault="00ED2851">
      <w:pPr>
        <w:numPr>
          <w:ilvl w:val="0"/>
          <w:numId w:val="4"/>
        </w:numPr>
        <w:ind w:left="851"/>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2ED39D2" w14:textId="77777777" w:rsidR="00F33246" w:rsidRDefault="00F33246">
      <w:pPr>
        <w:ind w:left="851" w:hanging="360"/>
        <w:rPr>
          <w:rFonts w:ascii="Palatino Linotype" w:eastAsia="Palatino Linotype" w:hAnsi="Palatino Linotype" w:cs="Palatino Linotype"/>
        </w:rPr>
      </w:pPr>
    </w:p>
    <w:p w14:paraId="71D0216D" w14:textId="77777777" w:rsidR="00F33246" w:rsidRDefault="00ED2851">
      <w:pPr>
        <w:ind w:left="851" w:hanging="360"/>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589F4144" w14:textId="77777777" w:rsidR="00F33246" w:rsidRDefault="00F33246">
      <w:pPr>
        <w:spacing w:line="360" w:lineRule="auto"/>
        <w:jc w:val="both"/>
        <w:rPr>
          <w:rFonts w:ascii="Palatino Linotype" w:eastAsia="Palatino Linotype" w:hAnsi="Palatino Linotype" w:cs="Palatino Linotype"/>
        </w:rPr>
      </w:pPr>
    </w:p>
    <w:p w14:paraId="7097B27B"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A6FE4A" w14:textId="77777777" w:rsidR="00F33246" w:rsidRDefault="00F33246">
      <w:pPr>
        <w:spacing w:line="360" w:lineRule="auto"/>
        <w:jc w:val="both"/>
        <w:rPr>
          <w:rFonts w:ascii="Palatino Linotype" w:eastAsia="Palatino Linotype" w:hAnsi="Palatino Linotype" w:cs="Palatino Linotype"/>
        </w:rPr>
      </w:pPr>
    </w:p>
    <w:p w14:paraId="4F761C0C" w14:textId="77777777" w:rsidR="00F33246" w:rsidRDefault="00ED285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011ED6EC" w14:textId="77777777" w:rsidR="00F33246" w:rsidRDefault="00F33246">
      <w:pPr>
        <w:spacing w:line="360" w:lineRule="auto"/>
        <w:jc w:val="both"/>
        <w:rPr>
          <w:rFonts w:ascii="Palatino Linotype" w:eastAsia="Palatino Linotype" w:hAnsi="Palatino Linotype" w:cs="Palatino Linotype"/>
        </w:rPr>
      </w:pPr>
    </w:p>
    <w:p w14:paraId="1727D80E"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984D07" w14:textId="77777777" w:rsidR="00F33246" w:rsidRDefault="00F33246">
      <w:pPr>
        <w:spacing w:line="360" w:lineRule="auto"/>
        <w:jc w:val="both"/>
        <w:rPr>
          <w:rFonts w:ascii="Palatino Linotype" w:eastAsia="Palatino Linotype" w:hAnsi="Palatino Linotype" w:cs="Palatino Linotype"/>
        </w:rPr>
      </w:pPr>
    </w:p>
    <w:p w14:paraId="63CFF6DF"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C3EABB1" w14:textId="77777777" w:rsidR="00F33246" w:rsidRDefault="00F33246">
      <w:pPr>
        <w:spacing w:line="360" w:lineRule="auto"/>
        <w:jc w:val="both"/>
        <w:rPr>
          <w:rFonts w:ascii="Palatino Linotype" w:eastAsia="Palatino Linotype" w:hAnsi="Palatino Linotype" w:cs="Palatino Linotype"/>
        </w:rPr>
      </w:pPr>
    </w:p>
    <w:p w14:paraId="4B4D879B"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78582B22" w14:textId="77777777" w:rsidR="00F33246" w:rsidRDefault="00F33246">
      <w:pPr>
        <w:spacing w:line="360" w:lineRule="auto"/>
        <w:jc w:val="both"/>
        <w:rPr>
          <w:rFonts w:ascii="Palatino Linotype" w:eastAsia="Palatino Linotype" w:hAnsi="Palatino Linotype" w:cs="Palatino Linotype"/>
          <w:b/>
        </w:rPr>
      </w:pPr>
    </w:p>
    <w:p w14:paraId="697BB1C8"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49603E37" w14:textId="77777777" w:rsidR="00F33246" w:rsidRDefault="00F33246">
      <w:pPr>
        <w:spacing w:line="360" w:lineRule="auto"/>
        <w:jc w:val="both"/>
        <w:rPr>
          <w:rFonts w:ascii="Palatino Linotype" w:eastAsia="Palatino Linotype" w:hAnsi="Palatino Linotype" w:cs="Palatino Linotype"/>
        </w:rPr>
      </w:pPr>
    </w:p>
    <w:p w14:paraId="0C3FA7CA"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114A1C4" w14:textId="77777777" w:rsidR="00F33246" w:rsidRDefault="00F33246">
      <w:pPr>
        <w:spacing w:line="360" w:lineRule="auto"/>
        <w:jc w:val="both"/>
        <w:rPr>
          <w:rFonts w:ascii="Palatino Linotype" w:eastAsia="Palatino Linotype" w:hAnsi="Palatino Linotype" w:cs="Palatino Linotype"/>
        </w:rPr>
      </w:pPr>
    </w:p>
    <w:p w14:paraId="0F8E8438" w14:textId="77777777" w:rsidR="00F33246" w:rsidRDefault="00ED285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veinte de agosto de dos mil veinticuatro</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69730BAB"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D9394B8" w14:textId="77777777" w:rsidR="00F33246" w:rsidRDefault="00ED2851">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21BD472A" w14:textId="77777777" w:rsidR="00F33246" w:rsidRDefault="00F33246">
      <w:pPr>
        <w:widowControl w:val="0"/>
        <w:spacing w:line="360" w:lineRule="auto"/>
        <w:jc w:val="center"/>
        <w:rPr>
          <w:rFonts w:ascii="Palatino Linotype" w:eastAsia="Palatino Linotype" w:hAnsi="Palatino Linotype" w:cs="Palatino Linotype"/>
          <w:b/>
        </w:rPr>
      </w:pPr>
    </w:p>
    <w:p w14:paraId="755FD485"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868F058" w14:textId="77777777" w:rsidR="00F33246" w:rsidRDefault="00ED2851">
      <w:pPr>
        <w:spacing w:before="240" w:after="240" w:line="360" w:lineRule="auto"/>
        <w:ind w:right="49"/>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parte solicitante el quince de mayo del año dos mil veinticuatro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diecisiete de mayo del dos mil veinticuatro, esto es, al segundo día hábil siguiente del conocimiento de la respuesta. </w:t>
      </w:r>
    </w:p>
    <w:p w14:paraId="6CD94DBC"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con el cual </w:t>
      </w:r>
      <w:r>
        <w:rPr>
          <w:rFonts w:ascii="Palatino Linotype" w:eastAsia="Palatino Linotype" w:hAnsi="Palatino Linotype" w:cs="Palatino Linotype"/>
        </w:rPr>
        <w:lastRenderedPageBreak/>
        <w:t>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788298B" w14:textId="77777777" w:rsidR="00F33246" w:rsidRDefault="00ED2851">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6DAEAA43" w14:textId="77777777" w:rsidR="00F33246" w:rsidRDefault="00F3324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60C6B457" w14:textId="77777777" w:rsidR="00F33246" w:rsidRDefault="00ED2851">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por cuanto hace a la procedibilidad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recurso de revisión una vez realizado el análisis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formato de interposición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42014BF1" w14:textId="77777777" w:rsidR="00F33246" w:rsidRDefault="00F3324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46CB2A54"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7B23A0D1" w14:textId="77777777" w:rsidR="00F33246" w:rsidRDefault="00ED2851">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0DD7CFF" w14:textId="77777777" w:rsidR="00F33246" w:rsidRDefault="00ED2851">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10FAE8" w14:textId="77777777" w:rsidR="00F33246" w:rsidRDefault="00ED2851">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entrega de información incompleta…” (Sic)</w:t>
      </w:r>
    </w:p>
    <w:p w14:paraId="62767FEE"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lastRenderedPageBreak/>
        <w:t xml:space="preserve">verificar si la respuesta como informe justificado otorgados por el SUJETO OBLIGADO son adecuados y suficientes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7716ABA5"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BC3BF25" w14:textId="77777777" w:rsidR="00F33246" w:rsidRDefault="00ED2851">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F88BEFD" w14:textId="77777777" w:rsidR="00F33246" w:rsidRDefault="00ED285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C13D3DE" w14:textId="77777777" w:rsidR="00F33246" w:rsidRDefault="00ED285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3FB3AAF7"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AB28BDC" w14:textId="77777777" w:rsidR="00F33246" w:rsidRDefault="00ED285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EAC77B9" w14:textId="77777777" w:rsidR="00F33246" w:rsidRDefault="00ED285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979D744" w14:textId="77777777" w:rsidR="00F33246" w:rsidRDefault="00F33246">
      <w:pPr>
        <w:spacing w:line="360" w:lineRule="auto"/>
        <w:ind w:right="-93"/>
        <w:jc w:val="both"/>
        <w:rPr>
          <w:rFonts w:ascii="Palatino Linotype" w:eastAsia="Palatino Linotype" w:hAnsi="Palatino Linotype" w:cs="Palatino Linotype"/>
          <w:color w:val="000000"/>
        </w:rPr>
      </w:pPr>
    </w:p>
    <w:p w14:paraId="7244041F" w14:textId="77777777" w:rsidR="00F33246" w:rsidRDefault="00ED2851">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365F10D9" w14:textId="77777777" w:rsidR="00F33246" w:rsidRDefault="00F33246">
      <w:pPr>
        <w:spacing w:line="360" w:lineRule="auto"/>
        <w:ind w:right="-93"/>
        <w:jc w:val="both"/>
        <w:rPr>
          <w:rFonts w:ascii="Palatino Linotype" w:eastAsia="Palatino Linotype" w:hAnsi="Palatino Linotype" w:cs="Palatino Linotype"/>
          <w:color w:val="000000"/>
        </w:rPr>
      </w:pPr>
    </w:p>
    <w:p w14:paraId="78162AC6" w14:textId="77777777" w:rsidR="00F33246" w:rsidRDefault="00ED285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0573D4E3" w14:textId="77777777" w:rsidR="00F33246" w:rsidRDefault="00F33246">
      <w:pPr>
        <w:spacing w:line="360" w:lineRule="auto"/>
        <w:jc w:val="both"/>
        <w:rPr>
          <w:rFonts w:ascii="Palatino Linotype" w:eastAsia="Palatino Linotype" w:hAnsi="Palatino Linotype" w:cs="Palatino Linotype"/>
          <w:b/>
          <w:color w:val="000000"/>
        </w:rPr>
      </w:pPr>
    </w:p>
    <w:p w14:paraId="47BAAB9B" w14:textId="77777777" w:rsidR="00F33246" w:rsidRDefault="00ED285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F563A6A" w14:textId="77777777" w:rsidR="00F33246" w:rsidRDefault="00ED285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0A0BDDEF" w14:textId="77777777" w:rsidR="00F33246" w:rsidRDefault="00ED2851">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044DE31C" w14:textId="77777777" w:rsidR="00F33246" w:rsidRDefault="00ED2851">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3B0E4F03" w14:textId="77777777" w:rsidR="00F33246" w:rsidRDefault="00ED2851">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2EF9F584" w14:textId="77777777" w:rsidR="00F33246" w:rsidRDefault="00F33246">
      <w:pPr>
        <w:spacing w:line="360" w:lineRule="auto"/>
        <w:jc w:val="both"/>
        <w:rPr>
          <w:rFonts w:ascii="Palatino Linotype" w:eastAsia="Palatino Linotype" w:hAnsi="Palatino Linotype" w:cs="Palatino Linotype"/>
        </w:rPr>
      </w:pPr>
    </w:p>
    <w:p w14:paraId="464C911C" w14:textId="77777777" w:rsidR="00F33246" w:rsidRDefault="00ED285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267B5F1" w14:textId="77777777" w:rsidR="00F33246" w:rsidRDefault="00F33246">
      <w:pPr>
        <w:spacing w:line="360" w:lineRule="auto"/>
        <w:jc w:val="both"/>
        <w:rPr>
          <w:rFonts w:ascii="Palatino Linotype" w:eastAsia="Palatino Linotype" w:hAnsi="Palatino Linotype" w:cs="Palatino Linotype"/>
          <w:color w:val="000000"/>
        </w:rPr>
      </w:pPr>
    </w:p>
    <w:p w14:paraId="5FBB9F10" w14:textId="77777777" w:rsidR="00F33246" w:rsidRDefault="00ED285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rPr>
        <w:lastRenderedPageBreak/>
        <w:t>Ley de Transparencia y Acceso a la Información Pública del Estado de México y Municipios.</w:t>
      </w:r>
    </w:p>
    <w:p w14:paraId="3BD211B7" w14:textId="77777777" w:rsidR="00F33246" w:rsidRDefault="00F33246">
      <w:pPr>
        <w:spacing w:line="360" w:lineRule="auto"/>
        <w:ind w:right="49"/>
        <w:jc w:val="both"/>
        <w:rPr>
          <w:rFonts w:ascii="Palatino Linotype" w:eastAsia="Palatino Linotype" w:hAnsi="Palatino Linotype" w:cs="Palatino Linotype"/>
        </w:rPr>
      </w:pPr>
    </w:p>
    <w:p w14:paraId="04FE6F5A"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0028951" w14:textId="77777777" w:rsidR="00F33246" w:rsidRDefault="00F33246">
      <w:pPr>
        <w:ind w:left="851" w:right="899"/>
        <w:jc w:val="both"/>
        <w:rPr>
          <w:rFonts w:ascii="Palatino Linotype" w:eastAsia="Palatino Linotype" w:hAnsi="Palatino Linotype" w:cs="Palatino Linotype"/>
          <w:i/>
          <w:sz w:val="22"/>
          <w:szCs w:val="22"/>
        </w:rPr>
      </w:pPr>
    </w:p>
    <w:p w14:paraId="6C5AB60D"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F06F174"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69DC28" w14:textId="77777777" w:rsidR="00F33246" w:rsidRDefault="00ED285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02FF5D4" w14:textId="77777777" w:rsidR="00F33246" w:rsidRDefault="00F33246">
      <w:pPr>
        <w:ind w:left="851" w:right="899"/>
        <w:jc w:val="both"/>
        <w:rPr>
          <w:rFonts w:ascii="Palatino Linotype" w:eastAsia="Palatino Linotype" w:hAnsi="Palatino Linotype" w:cs="Palatino Linotype"/>
          <w:sz w:val="22"/>
          <w:szCs w:val="22"/>
        </w:rPr>
      </w:pPr>
    </w:p>
    <w:p w14:paraId="1AF66CE8"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ABCBE2B" w14:textId="77777777" w:rsidR="00F33246" w:rsidRDefault="00F33246">
      <w:pPr>
        <w:ind w:left="851" w:right="899"/>
        <w:jc w:val="both"/>
        <w:rPr>
          <w:rFonts w:ascii="Palatino Linotype" w:eastAsia="Palatino Linotype" w:hAnsi="Palatino Linotype" w:cs="Palatino Linotype"/>
          <w:b/>
          <w:sz w:val="22"/>
          <w:szCs w:val="22"/>
        </w:rPr>
      </w:pPr>
    </w:p>
    <w:p w14:paraId="35D8792C" w14:textId="77777777" w:rsidR="00F33246" w:rsidRDefault="00ED285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4CAD6912"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A4BA72"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1917843"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4BF7BCE" w14:textId="77777777" w:rsidR="00F33246" w:rsidRDefault="00ED285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0FD6307" w14:textId="77777777" w:rsidR="00F33246" w:rsidRDefault="00ED285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23CCF18A"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 la Secretaría de Bienestar, de las cámaras de videovigilancia, lo siguiente:</w:t>
      </w:r>
    </w:p>
    <w:p w14:paraId="085B077D" w14:textId="77777777" w:rsidR="00F33246" w:rsidRDefault="00ED2851">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factura de compra dónde vengan todas las especificaciones. </w:t>
      </w:r>
    </w:p>
    <w:p w14:paraId="273AFD69" w14:textId="77777777" w:rsidR="00F33246" w:rsidRDefault="00ED2851">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Ubicación exacta.</w:t>
      </w:r>
    </w:p>
    <w:p w14:paraId="1D186510" w14:textId="77777777" w:rsidR="00F33246" w:rsidRDefault="00ED2851">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oficinas de la secretaría de bienestar en donde se encuentran operando. </w:t>
      </w:r>
    </w:p>
    <w:p w14:paraId="4BE9C7F7" w14:textId="77777777" w:rsidR="00F33246" w:rsidRDefault="00ED2851">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aviso de privacidad integral.</w:t>
      </w:r>
    </w:p>
    <w:p w14:paraId="62A92E90"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Titular de la Unidad de Información, Planeación, Programación y Evaluación, y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informó al solicitante que la Dirección de Recursos Materiales y Recursos Materiales le manifestó lo siguiente:</w:t>
      </w:r>
    </w:p>
    <w:p w14:paraId="0F6C305E"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del punto uno de la solicitud, relacionado con:</w:t>
      </w:r>
    </w:p>
    <w:p w14:paraId="448848C2"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La factura de compra de las cámaras de video vigilancia dónde vengan todas las especificaciones.</w:t>
      </w:r>
    </w:p>
    <w:p w14:paraId="3B5C26AC"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esta Secretaría durante el ejercicio fiscal 2023, únicamente llevo a cabo una adquisición de cámaras de video, por lo que adjuntó copia simple de la factura número 19 del proveedor B&amp;BAANNEMERS MÉXICO S.A DE C.V., de fecha 30 de mayo de 2023, en el cual se señalan las especificaciones técnicas generales de las mismas; asimismo, con la finalidad de robustecer lo informado se proporcionan las siguientes ligas electrónicas:</w:t>
      </w:r>
    </w:p>
    <w:p w14:paraId="59447969"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02C27936" wp14:editId="79B0BF1E">
            <wp:extent cx="5612130" cy="1894205"/>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38278"/>
                    <a:stretch>
                      <a:fillRect/>
                    </a:stretch>
                  </pic:blipFill>
                  <pic:spPr>
                    <a:xfrm>
                      <a:off x="0" y="0"/>
                      <a:ext cx="5612130" cy="1894205"/>
                    </a:xfrm>
                    <a:prstGeom prst="rect">
                      <a:avLst/>
                    </a:prstGeom>
                    <a:ln/>
                  </pic:spPr>
                </pic:pic>
              </a:graphicData>
            </a:graphic>
          </wp:inline>
        </w:drawing>
      </w:r>
    </w:p>
    <w:p w14:paraId="32F2A4AF"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en donde puede consultar las descripciones técnicas y especificaciones generales totales y a detalle de cada una de las cámaras referidas en la factura que se remite, en el supuesto de que el proveedor haya omitido algún dato que resulte relevante para quien requiere la información. </w:t>
      </w:r>
    </w:p>
    <w:p w14:paraId="21A4AADD"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en cuanto al punto dos, relacionado con:</w:t>
      </w:r>
    </w:p>
    <w:p w14:paraId="453B993B"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Ubicación exacta de las cámaras de videovigilancia.</w:t>
      </w:r>
    </w:p>
    <w:p w14:paraId="1A724813"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Informó que las cámaras de video de circuito cerrado (vigilancia), se encuentran ubicadas en las entradas principales, así como los accesos peatonales y vehiculares de los inmuebles que ocupan las unidades administrativas adscritas a la Secretaría de Bienestar.</w:t>
      </w:r>
    </w:p>
    <w:p w14:paraId="2D43BA00"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punto 3, relativo a:</w:t>
      </w:r>
    </w:p>
    <w:p w14:paraId="1A435537"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que oficinas de la secretaría de bienestar se encuentran operando.</w:t>
      </w:r>
    </w:p>
    <w:p w14:paraId="2428CFD6"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Informó que las oficinas (inmuebles) que ocupan las unidades administrativas adscritas a la Secretaría de Bienestar y que actualmente cuentan con cámaras de video de circuito cerrado (vigilancia), son las siguientes:</w:t>
      </w:r>
    </w:p>
    <w:p w14:paraId="4CBA08B4"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CA0CC14" wp14:editId="0FC1CE25">
            <wp:extent cx="5612130" cy="445516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4455160"/>
                    </a:xfrm>
                    <a:prstGeom prst="rect">
                      <a:avLst/>
                    </a:prstGeom>
                    <a:ln/>
                  </pic:spPr>
                </pic:pic>
              </a:graphicData>
            </a:graphic>
          </wp:inline>
        </w:drawing>
      </w:r>
    </w:p>
    <w:p w14:paraId="17ECB191" w14:textId="77777777" w:rsidR="00F33246" w:rsidRDefault="00ED2851">
      <w:pPr>
        <w:spacing w:after="240" w:line="360" w:lineRule="auto"/>
        <w:jc w:val="both"/>
        <w:rPr>
          <w:rFonts w:ascii="Palatino Linotype" w:eastAsia="Palatino Linotype" w:hAnsi="Palatino Linotype" w:cs="Palatino Linotype"/>
        </w:rPr>
      </w:pPr>
      <w:proofErr w:type="gramStart"/>
      <w:r>
        <w:rPr>
          <w:rFonts w:ascii="Palatino Linotype" w:eastAsia="Palatino Linotype" w:hAnsi="Palatino Linotype" w:cs="Palatino Linotype"/>
        </w:rPr>
        <w:t>Finalmente</w:t>
      </w:r>
      <w:proofErr w:type="gramEnd"/>
      <w:r>
        <w:rPr>
          <w:rFonts w:ascii="Palatino Linotype" w:eastAsia="Palatino Linotype" w:hAnsi="Palatino Linotype" w:cs="Palatino Linotype"/>
        </w:rPr>
        <w:t xml:space="preserve"> en cuanto al punto 4, concerniente a:</w:t>
      </w:r>
    </w:p>
    <w:p w14:paraId="6E64C8C9"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la finalidad de que no estén violando la intimidad de las personas</w:t>
      </w:r>
    </w:p>
    <w:p w14:paraId="2B77C14E"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Informó lo siguiente:</w:t>
      </w:r>
    </w:p>
    <w:p w14:paraId="2C3F9199"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90E21BC" wp14:editId="4E30D6ED">
            <wp:extent cx="5612130" cy="1696720"/>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1696720"/>
                    </a:xfrm>
                    <a:prstGeom prst="rect">
                      <a:avLst/>
                    </a:prstGeom>
                    <a:ln/>
                  </pic:spPr>
                </pic:pic>
              </a:graphicData>
            </a:graphic>
          </wp:inline>
        </w:drawing>
      </w:r>
    </w:p>
    <w:p w14:paraId="1DC16045"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en cuanto al punto 5, el cual es:</w:t>
      </w:r>
    </w:p>
    <w:p w14:paraId="1E96E7B2"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Solicito el aviso de privacidad integral de las cámaras de videovigilancia de la secretaría de bienestar.</w:t>
      </w:r>
    </w:p>
    <w:p w14:paraId="1E436D16"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Informó que no hay normatividad vigente que regule la obligatoriedad de elaborar un aviso de privacidad, ya que en ningún momento están vulnerando la privacidad de los servidores públicos adscritos a dicha dependencia. </w:t>
      </w:r>
    </w:p>
    <w:p w14:paraId="1BBC9B2B"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indicó que la Dirección General de Desarrollo Institucional y Tecnologías de información, le informó de manera textual lo siguiente:</w:t>
      </w:r>
    </w:p>
    <w:p w14:paraId="2D99809C"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2B233B0" wp14:editId="4975CEDD">
            <wp:extent cx="5612130" cy="2593975"/>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2593975"/>
                    </a:xfrm>
                    <a:prstGeom prst="rect">
                      <a:avLst/>
                    </a:prstGeom>
                    <a:ln/>
                  </pic:spPr>
                </pic:pic>
              </a:graphicData>
            </a:graphic>
          </wp:inline>
        </w:drawing>
      </w:r>
    </w:p>
    <w:p w14:paraId="74E7BF27" w14:textId="77777777" w:rsidR="00F33246" w:rsidRDefault="00ED285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78DCBA7" wp14:editId="25CA9791">
            <wp:extent cx="5612130" cy="81534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815340"/>
                    </a:xfrm>
                    <a:prstGeom prst="rect">
                      <a:avLst/>
                    </a:prstGeom>
                    <a:ln/>
                  </pic:spPr>
                </pic:pic>
              </a:graphicData>
            </a:graphic>
          </wp:inline>
        </w:drawing>
      </w:r>
    </w:p>
    <w:p w14:paraId="799D3D3E" w14:textId="77777777" w:rsidR="00F33246" w:rsidRDefault="00ED2851">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Una vez conocida la respuesta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en lo medular por la respuesta otorgada al aviso de privacidad. </w:t>
      </w:r>
    </w:p>
    <w:p w14:paraId="204359F4" w14:textId="77777777" w:rsidR="00F33246" w:rsidRDefault="00F33246">
      <w:pPr>
        <w:spacing w:line="360" w:lineRule="auto"/>
        <w:jc w:val="both"/>
        <w:rPr>
          <w:rFonts w:ascii="Palatino Linotype" w:eastAsia="Palatino Linotype" w:hAnsi="Palatino Linotype" w:cs="Palatino Linotype"/>
        </w:rPr>
      </w:pPr>
    </w:p>
    <w:p w14:paraId="52DEA4CE"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del cual en lo medular ratificó que no cuenta con el aviso de privacidad, solicitado.  </w:t>
      </w:r>
    </w:p>
    <w:p w14:paraId="42655165" w14:textId="77777777" w:rsidR="00F33246" w:rsidRDefault="00F33246">
      <w:pPr>
        <w:spacing w:line="360" w:lineRule="auto"/>
        <w:jc w:val="both"/>
        <w:rPr>
          <w:rFonts w:ascii="Palatino Linotype" w:eastAsia="Palatino Linotype" w:hAnsi="Palatino Linotype" w:cs="Palatino Linotype"/>
        </w:rPr>
      </w:pPr>
    </w:p>
    <w:p w14:paraId="43F0725F"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14:paraId="7A6088D0" w14:textId="77777777" w:rsidR="00F33246" w:rsidRDefault="00F33246">
      <w:pPr>
        <w:spacing w:line="360" w:lineRule="auto"/>
        <w:jc w:val="both"/>
        <w:rPr>
          <w:rFonts w:ascii="Palatino Linotype" w:eastAsia="Palatino Linotype" w:hAnsi="Palatino Linotype" w:cs="Palatino Linotype"/>
        </w:rPr>
      </w:pPr>
    </w:p>
    <w:p w14:paraId="646D9FC0"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del estudio de fondo, se debe precisar que de los motivos de inconformidad de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 advierte que se queje sobre los requerimientos de información relacionados con:</w:t>
      </w:r>
    </w:p>
    <w:p w14:paraId="5C968342" w14:textId="77777777" w:rsidR="00F33246" w:rsidRDefault="00ED2851">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factura de compra dónde vengan todas las especificaciones. </w:t>
      </w:r>
    </w:p>
    <w:p w14:paraId="15365425" w14:textId="77777777" w:rsidR="00F33246" w:rsidRDefault="00ED285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Ubicación exacta.</w:t>
      </w:r>
    </w:p>
    <w:p w14:paraId="6046C8C3" w14:textId="77777777" w:rsidR="00F33246" w:rsidRDefault="00ED2851">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oficinas de la secretaría de bienestar en donde se encuentran operando. </w:t>
      </w:r>
    </w:p>
    <w:p w14:paraId="1690B8F5"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91459DB" w14:textId="77777777" w:rsidR="00F33246" w:rsidRDefault="00ED285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2CC81202"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12679C57" w14:textId="77777777" w:rsidR="00F33246"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BE55F44" w14:textId="77777777" w:rsidR="00F33246" w:rsidRDefault="00ED285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w:t>
      </w:r>
      <w:r>
        <w:rPr>
          <w:rFonts w:ascii="Palatino Linotype" w:eastAsia="Palatino Linotype" w:hAnsi="Palatino Linotype" w:cs="Palatino Linotype"/>
          <w:i/>
          <w:sz w:val="22"/>
          <w:szCs w:val="22"/>
        </w:rPr>
        <w:lastRenderedPageBreak/>
        <w:t>jurídicos tendientes a revocar, confirmar o modificar el acto reclamado en amparo, lo que significa consentimiento del mismo por falta de impugnación eficaz.” (Sic)</w:t>
      </w:r>
    </w:p>
    <w:p w14:paraId="19848D3F" w14:textId="77777777" w:rsidR="00F33246" w:rsidRDefault="00F33246">
      <w:pPr>
        <w:spacing w:line="360" w:lineRule="auto"/>
        <w:jc w:val="both"/>
        <w:rPr>
          <w:rFonts w:ascii="Palatino Linotype" w:eastAsia="Palatino Linotype" w:hAnsi="Palatino Linotype" w:cs="Palatino Linotype"/>
        </w:rPr>
      </w:pPr>
    </w:p>
    <w:p w14:paraId="0D2B5FB0"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sobre el aviso de privacidad integral, el artículo 4, fracción V, 23, 29, 30, 31, 32, 33, 98 y 165 de la Ley de Protección de Datos Personales en Posesión de Sujetos Obligados del Estado de México y Municipios, señalan al respecto lo siguiente:</w:t>
      </w:r>
    </w:p>
    <w:p w14:paraId="5402A672"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“Glosario </w:t>
      </w:r>
    </w:p>
    <w:p w14:paraId="04B85682"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Para los efectos de esta Ley se entenderá por:</w:t>
      </w:r>
    </w:p>
    <w:p w14:paraId="2EDB6CB4"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E60710"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Aviso de Privacidad: al documento físico, electrónico o en cualquier formato generado por el responsable que es puesto a disposición del Titular con el objeto de informarle los propósitos del tratamiento al que serán sometidos sus datos personales</w:t>
      </w:r>
    </w:p>
    <w:p w14:paraId="3DA9CA34"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5BEFB1E"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Principio de Información</w:t>
      </w:r>
      <w:r>
        <w:rPr>
          <w:rFonts w:ascii="Palatino Linotype" w:eastAsia="Palatino Linotype" w:hAnsi="Palatino Linotype" w:cs="Palatino Linotype"/>
          <w:i/>
          <w:sz w:val="22"/>
          <w:szCs w:val="22"/>
        </w:rPr>
        <w:t xml:space="preserve"> </w:t>
      </w:r>
    </w:p>
    <w:p w14:paraId="7AB479A6"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78ABC7A4"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aviso de privacidad estará redactado y estructurado de manera clara precisa y sencilla, será difundido por los medios electrónicos y físicos con que cuente el responsable. </w:t>
      </w:r>
    </w:p>
    <w:p w14:paraId="7116E5D2"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167BA440"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058E193" w14:textId="77777777" w:rsidR="00F33246" w:rsidRDefault="00ED2851">
      <w:pPr>
        <w:spacing w:before="280" w:after="280"/>
        <w:ind w:left="850" w:right="90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Comunicación del Aviso de Privacidad </w:t>
      </w:r>
    </w:p>
    <w:p w14:paraId="0CD29255"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29.</w:t>
      </w:r>
      <w:r>
        <w:rPr>
          <w:rFonts w:ascii="Palatino Linotype" w:eastAsia="Palatino Linotype" w:hAnsi="Palatino Linotype" w:cs="Palatino Linotype"/>
          <w:i/>
          <w:sz w:val="22"/>
          <w:szCs w:val="22"/>
        </w:rPr>
        <w:t xml:space="preserve"> Los responsables pondrán a disposición de la o el titular en formatos impresos, digitales, visuales, sonoros o de cualquier otra tecnología, el aviso de privacidad, en las modalidades simplificado e integral. </w:t>
      </w:r>
    </w:p>
    <w:p w14:paraId="054476C3"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Del Aviso de Privacidad Integral </w:t>
      </w:r>
    </w:p>
    <w:p w14:paraId="2E8CCCF1"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30</w:t>
      </w:r>
      <w:r>
        <w:rPr>
          <w:rFonts w:ascii="Palatino Linotype" w:eastAsia="Palatino Linotype" w:hAnsi="Palatino Linotype" w:cs="Palatino Linotype"/>
          <w:i/>
          <w:sz w:val="22"/>
          <w:szCs w:val="22"/>
        </w:rPr>
        <w:t xml:space="preserve">.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6A9EF292"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6ECCADA4"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Contenido del Aviso de Privacidad Integral </w:t>
      </w:r>
    </w:p>
    <w:p w14:paraId="3D2E6E48"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31. El aviso de privacidad integral contendrá la información siguiente: </w:t>
      </w:r>
    </w:p>
    <w:p w14:paraId="394983D1"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denominación del responsable. </w:t>
      </w:r>
    </w:p>
    <w:p w14:paraId="5452C397"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El nombre y cargo del administrador, así como el área o unidad administrativa a la que se encuentra adscrito</w:t>
      </w:r>
      <w:r>
        <w:rPr>
          <w:rFonts w:ascii="Palatino Linotype" w:eastAsia="Palatino Linotype" w:hAnsi="Palatino Linotype" w:cs="Palatino Linotype"/>
          <w:i/>
          <w:sz w:val="22"/>
          <w:szCs w:val="22"/>
        </w:rPr>
        <w:t xml:space="preserve">. </w:t>
      </w:r>
    </w:p>
    <w:p w14:paraId="06264975"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14:paraId="05DCB991"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Los datos personales que serán sometidos a tratamiento, identificando los que son sensibles. </w:t>
      </w:r>
    </w:p>
    <w:p w14:paraId="7FC79BA8"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El carácter obligatorio o facultativo de la entrega de los datos personales. </w:t>
      </w:r>
    </w:p>
    <w:p w14:paraId="27AB6DC6"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Las consecuencias de la negativa a suministrarlos. </w:t>
      </w:r>
    </w:p>
    <w:p w14:paraId="769F146D"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14:paraId="4FDF8F16"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Cuando se realicen transferencias de datos personales se informará: </w:t>
      </w:r>
    </w:p>
    <w:p w14:paraId="4E8111A3"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Destinatario de los datos. </w:t>
      </w:r>
    </w:p>
    <w:p w14:paraId="488E8177"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Finalidad de la transferencia. </w:t>
      </w:r>
    </w:p>
    <w:p w14:paraId="1E09979C"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El fundamento que autoriza la transferencia. </w:t>
      </w:r>
    </w:p>
    <w:p w14:paraId="710A0C4B"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Los datos personales a transferir. </w:t>
      </w:r>
    </w:p>
    <w:p w14:paraId="2986842C"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Las implicaciones de otorgar, el consentimiento expreso. Cuando se realicen transferencias de datos personales que requieran consentimiento, se acreditará el otorgamiento. </w:t>
      </w:r>
    </w:p>
    <w:p w14:paraId="28894741"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357F5617"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 Los mecanismos, medios y procedimientos disponibles para ejercer los derechos ARCO, indicando la dirección electrónica del sistema para presentar sus solicitudes. </w:t>
      </w:r>
    </w:p>
    <w:p w14:paraId="71168326"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La indicación por la cual la o el titular podrá revocar el consentimiento para el tratamiento de sus datos, detallando el procedimiento a seguir para tal efecto. XII. Cuando aplique, las opciones y medios que el responsable ofrezca a las o los titulares para limitar el uso o divulgación, o la portabilidad de datos. </w:t>
      </w:r>
    </w:p>
    <w:p w14:paraId="07B23DFF" w14:textId="77777777" w:rsidR="00F33246" w:rsidRDefault="00ED2851">
      <w:pPr>
        <w:ind w:left="851" w:right="899"/>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i/>
          <w:sz w:val="22"/>
          <w:szCs w:val="22"/>
        </w:rPr>
        <w:t>XIII.Los</w:t>
      </w:r>
      <w:proofErr w:type="spellEnd"/>
      <w:r>
        <w:rPr>
          <w:rFonts w:ascii="Palatino Linotype" w:eastAsia="Palatino Linotype" w:hAnsi="Palatino Linotype" w:cs="Palatino Linotype"/>
          <w:i/>
          <w:sz w:val="22"/>
          <w:szCs w:val="22"/>
        </w:rPr>
        <w:t xml:space="preserve"> medios a través de los cuales el responsable comunicará a los titulares los cambios al aviso de privacidad, </w:t>
      </w:r>
    </w:p>
    <w:p w14:paraId="5C011668"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14:paraId="30C58B85"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El domicilio del responsable, y en su caso, cargo y domicilio del encargado, indicando su nombre o el medio por el cual se pueda conocer su identidad. </w:t>
      </w:r>
    </w:p>
    <w:p w14:paraId="25862AD6"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El fundamento legal que faculta al responsable para llevar a cabo el tratamiento. </w:t>
      </w:r>
    </w:p>
    <w:p w14:paraId="27260C17" w14:textId="77777777" w:rsidR="00F33246" w:rsidRDefault="00ED2851">
      <w:pPr>
        <w:ind w:left="851" w:right="899"/>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i/>
          <w:sz w:val="22"/>
          <w:szCs w:val="22"/>
        </w:rPr>
        <w:t>XVII.El</w:t>
      </w:r>
      <w:proofErr w:type="spellEnd"/>
      <w:r>
        <w:rPr>
          <w:rFonts w:ascii="Palatino Linotype" w:eastAsia="Palatino Linotype" w:hAnsi="Palatino Linotype" w:cs="Palatino Linotype"/>
          <w:i/>
          <w:sz w:val="22"/>
          <w:szCs w:val="22"/>
        </w:rPr>
        <w:t xml:space="preserve"> procedimiento para que se ejerza el derecho a la portabilidad. </w:t>
      </w:r>
    </w:p>
    <w:p w14:paraId="79AA989B"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El domicilio de la Unidad de Transparencia. </w:t>
      </w:r>
    </w:p>
    <w:p w14:paraId="20AD72BD"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39177CE0"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Del Aviso de Privacidad Simplificado </w:t>
      </w:r>
    </w:p>
    <w:p w14:paraId="551E6A66"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w:t>
      </w:r>
    </w:p>
    <w:p w14:paraId="0AE4C0C5"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puesta a disposición del aviso de privacidad, no exime al responsable de su obligación de proveer los mecanismos para que la o el titular pueda conocer el contenido del aviso de privacidad integral. Contenido del Aviso de Privacidad Simplificado </w:t>
      </w:r>
    </w:p>
    <w:p w14:paraId="04C406C2"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33.</w:t>
      </w:r>
      <w:r>
        <w:rPr>
          <w:rFonts w:ascii="Palatino Linotype" w:eastAsia="Palatino Linotype" w:hAnsi="Palatino Linotype" w:cs="Palatino Linotype"/>
          <w:i/>
          <w:sz w:val="22"/>
          <w:szCs w:val="22"/>
        </w:rPr>
        <w:t xml:space="preserve"> El aviso de privacidad simplificado deberá contener, al menos, la información a que se refieren las fracciones I, VII, VIII y IX del artículo relativo al contenido del aviso de privacidad integral. </w:t>
      </w:r>
    </w:p>
    <w:p w14:paraId="6F43F500" w14:textId="77777777" w:rsidR="00F33246" w:rsidRDefault="00ED285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1D1AE781" w14:textId="77777777" w:rsidR="00F33246" w:rsidRDefault="00ED2851">
      <w:pPr>
        <w:spacing w:before="280" w:after="280"/>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Derecho de Acceso</w:t>
      </w:r>
    </w:p>
    <w:p w14:paraId="2C3005EC"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titular tiene derecho</w:t>
      </w:r>
      <w:r>
        <w:rPr>
          <w:rFonts w:ascii="Palatino Linotype" w:eastAsia="Palatino Linotype" w:hAnsi="Palatino Linotype" w:cs="Palatino Linotype"/>
          <w:i/>
          <w:sz w:val="22"/>
          <w:szCs w:val="22"/>
        </w:rPr>
        <w:t xml:space="preserve"> a acceder, solicitar y ser informado sobre sus datos personales en posesión de los sujetos obligados, así como la información relacionada con las condiciones y generalidades de su tratamiento, tales como el </w:t>
      </w:r>
      <w:r>
        <w:rPr>
          <w:rFonts w:ascii="Palatino Linotype" w:eastAsia="Palatino Linotype" w:hAnsi="Palatino Linotype" w:cs="Palatino Linotype"/>
          <w:i/>
          <w:sz w:val="22"/>
          <w:szCs w:val="22"/>
        </w:rPr>
        <w:lastRenderedPageBreak/>
        <w:t xml:space="preserve">origen de los datos, las condiciones del tratamiento del cual sean objeto, las cesiones realizadas o que se pretendan realizar, así como tener </w:t>
      </w:r>
      <w:r>
        <w:rPr>
          <w:rFonts w:ascii="Palatino Linotype" w:eastAsia="Palatino Linotype" w:hAnsi="Palatino Linotype" w:cs="Palatino Linotype"/>
          <w:b/>
          <w:i/>
          <w:sz w:val="22"/>
          <w:szCs w:val="22"/>
        </w:rPr>
        <w:t>acceso al aviso de privacidad</w:t>
      </w:r>
      <w:r>
        <w:rPr>
          <w:rFonts w:ascii="Palatino Linotype" w:eastAsia="Palatino Linotype" w:hAnsi="Palatino Linotype" w:cs="Palatino Linotype"/>
          <w:i/>
          <w:sz w:val="22"/>
          <w:szCs w:val="22"/>
        </w:rPr>
        <w:t xml:space="preserve"> al que está sujeto el tratamiento y a cualquier otra generalidad del tratamiento, en los términos previstos en la Ley.</w:t>
      </w:r>
    </w:p>
    <w:p w14:paraId="49600234"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responsable debe responder al ejercicio del derecho de acceso, tenga o no datos de carácter personal del interesado en su sistema de datos.</w:t>
      </w:r>
    </w:p>
    <w:p w14:paraId="03416C12" w14:textId="77777777" w:rsidR="00F33246" w:rsidRDefault="00ED2851">
      <w:pPr>
        <w:spacing w:before="280" w:after="280"/>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Supuestos de responsabilidad </w:t>
      </w:r>
    </w:p>
    <w:p w14:paraId="7FDBA695"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165.</w:t>
      </w:r>
      <w:r>
        <w:rPr>
          <w:rFonts w:ascii="Palatino Linotype" w:eastAsia="Palatino Linotype" w:hAnsi="Palatino Linotype" w:cs="Palatino Linotype"/>
          <w:i/>
          <w:sz w:val="22"/>
          <w:szCs w:val="22"/>
        </w:rPr>
        <w:t xml:space="preserve"> Serán </w:t>
      </w:r>
      <w:r>
        <w:rPr>
          <w:rFonts w:ascii="Palatino Linotype" w:eastAsia="Palatino Linotype" w:hAnsi="Palatino Linotype" w:cs="Palatino Linotype"/>
          <w:b/>
          <w:i/>
          <w:sz w:val="22"/>
          <w:szCs w:val="22"/>
        </w:rPr>
        <w:t>causas de responsabilidad administrativa</w:t>
      </w:r>
      <w:r>
        <w:rPr>
          <w:rFonts w:ascii="Palatino Linotype" w:eastAsia="Palatino Linotype" w:hAnsi="Palatino Linotype" w:cs="Palatino Linotype"/>
          <w:i/>
          <w:sz w:val="22"/>
          <w:szCs w:val="22"/>
        </w:rPr>
        <w:t xml:space="preserve"> de las y los </w:t>
      </w:r>
      <w:r>
        <w:rPr>
          <w:rFonts w:ascii="Palatino Linotype" w:eastAsia="Palatino Linotype" w:hAnsi="Palatino Linotype" w:cs="Palatino Linotype"/>
          <w:b/>
          <w:i/>
          <w:sz w:val="22"/>
          <w:szCs w:val="22"/>
        </w:rPr>
        <w:t>servidores públicos por incumplimiento</w:t>
      </w:r>
      <w:r>
        <w:rPr>
          <w:rFonts w:ascii="Palatino Linotype" w:eastAsia="Palatino Linotype" w:hAnsi="Palatino Linotype" w:cs="Palatino Linotype"/>
          <w:i/>
          <w:sz w:val="22"/>
          <w:szCs w:val="22"/>
        </w:rPr>
        <w:t xml:space="preserve"> de las obligaciones establecidas en la presente Ley, las siguientes:</w:t>
      </w:r>
    </w:p>
    <w:p w14:paraId="28929D3D"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w:t>
      </w:r>
    </w:p>
    <w:p w14:paraId="1BA7085A" w14:textId="77777777" w:rsidR="00F33246" w:rsidRDefault="00ED2851">
      <w:pPr>
        <w:spacing w:before="280" w:after="280"/>
        <w:ind w:left="850"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No contar con aviso de privacidad u omitir en el aviso de privacidad, alguno o todos los elementos a que se refiere esta Ley</w:t>
      </w:r>
    </w:p>
    <w:p w14:paraId="71F81A57" w14:textId="77777777" w:rsidR="00F33246" w:rsidRDefault="00ED2851">
      <w:pPr>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No cumplir con las obligaciones relativas al aviso de privacidad…”</w:t>
      </w:r>
    </w:p>
    <w:p w14:paraId="56177DE8"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puede advertir que los Sujetos Obligados tienen a su cargo el  tratamiento de los datos personales y por ello deben generan el aviso de privacidad correspondiente y ponerlo a disposición de la o el titular de los datos personales en formatos impresos, digitales, visuales, sonoros o de cualquier otra tecnología, el mismo, con las especificaciones antes citadas. </w:t>
      </w:r>
    </w:p>
    <w:p w14:paraId="5E460253"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dicho cuerpo normativo, establece como responsabilidad administrativa de los servidores públicos el no contar con el aviso de privacidad u omitir los elementos regulados en los artículos citados; por lo que se dilucida que cada Sujeto Obligado debe contar con los avisos de privacidad respectivos. </w:t>
      </w:r>
    </w:p>
    <w:p w14:paraId="3ED40A36"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se advierte que cuando los datos personales se obtengan de manera indirecta, el responsable adoptará los mecanismos necesarios para que la o el titular acceda al  aviso de privacidad integral.</w:t>
      </w:r>
    </w:p>
    <w:p w14:paraId="67988E36"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y toda vez que particular requiere el aviso de privacidad integral de las cámaras de videovigilancia, el Instituto Nacional de Transparencia Acceso a la Información y Protección de Datos Personales, expuso un modelo de aviso de privacidad para video-vigilancia, el cual se puede consultar la siguiente liga electrónica: </w:t>
      </w:r>
      <w:hyperlink r:id="rId19">
        <w:r>
          <w:rPr>
            <w:rFonts w:ascii="Palatino Linotype" w:eastAsia="Palatino Linotype" w:hAnsi="Palatino Linotype" w:cs="Palatino Linotype"/>
            <w:color w:val="0000FF"/>
            <w:u w:val="single"/>
          </w:rPr>
          <w:t>https://home.inai.org.mx/wp-content/documentos/ABCAvisoPrivacidad/Modelo%20de%20aviso%20de%20privacidad%20corto%20para%20V-V.pdf</w:t>
        </w:r>
      </w:hyperlink>
      <w:r>
        <w:rPr>
          <w:rFonts w:ascii="Palatino Linotype" w:eastAsia="Palatino Linotype" w:hAnsi="Palatino Linotype" w:cs="Palatino Linotype"/>
        </w:rPr>
        <w:t xml:space="preserve">, para mayor referencia, en donde define a la   video-vigilancia como el uso de cámaras de video fijas o móviles con o sin sonido, o de sistemas cerrados de televisión que involucren la colocación de una o varias cámaras en espacios privados o públicos, limitadas a la supervisión o monitoreo de ese espacio y de las personas que en él se encuentran. </w:t>
      </w:r>
    </w:p>
    <w:p w14:paraId="62948A3A"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señaló que existen dos tipos de video-vigilancia: 1. La que se realiza en tiempo real, sin grabaciones de por medio, y 2. La que guarda las imágenes en dispositivos. </w:t>
      </w:r>
    </w:p>
    <w:p w14:paraId="7787C063"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consideró que aquellas imágenes que identifiquen a individuos o los hagan identificables constituyen un dato personal y que el tratamiento de datos personales conlleva cualquier actividad que se realice con relación a los mismos, incluidos la obtención, uso, divulgación, almacenamiento, acceso, manejo, aprovechamiento, transferencia y disposición de datos personales, a través de la video-vigilancia,  implica un tratamiento de datos personales de aquellas personas </w:t>
      </w:r>
      <w:r>
        <w:rPr>
          <w:rFonts w:ascii="Palatino Linotype" w:eastAsia="Palatino Linotype" w:hAnsi="Palatino Linotype" w:cs="Palatino Linotype"/>
        </w:rPr>
        <w:lastRenderedPageBreak/>
        <w:t>cuya imagen, es entre otras actividades, obtenida, almacenada, consultada o transferida.</w:t>
      </w:r>
    </w:p>
    <w:p w14:paraId="2DEC96B1" w14:textId="77777777" w:rsidR="00F33246" w:rsidRDefault="00ED285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el </w:t>
      </w:r>
      <w:r>
        <w:rPr>
          <w:rFonts w:ascii="Palatino Linotype" w:eastAsia="Palatino Linotype" w:hAnsi="Palatino Linotype" w:cs="Palatino Linotype"/>
          <w:b/>
        </w:rPr>
        <w:t>SUJETO OBLIGADO</w:t>
      </w:r>
      <w:r>
        <w:rPr>
          <w:rFonts w:ascii="Palatino Linotype" w:eastAsia="Palatino Linotype" w:hAnsi="Palatino Linotype" w:cs="Palatino Linotype"/>
        </w:rPr>
        <w:t>, tiene la obligación de observar lo señalado por la Ley de Protección de Datos Personales en Posesión de Sujetos Obligados del Estado de México y Municipios, relacionados con el principio de información y aviso de privacidad, toda vez, que como se señaló a través de la videovigilancia se recaban datos personales como la imagen de las personas, el cual puede ser almacena, consultada o transferida.</w:t>
      </w:r>
    </w:p>
    <w:p w14:paraId="685DE063"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regresando con la respuesta se advierte que esta fue proporcionada la Dirección General de Desarrollo Institucional y Tecnologías de información, en el sentido de que en relación a los circuitos de videovigilancia instalados en la Secretaria de Bienestar no hay normatividad vigente que regule la obligatoriedad de elaborar un aviso de privacidad; sin embargo, conforme a lo señalado en los párrafos anteriores al recabarse la imagen de personas a través de la videovigilancia, el cual puede ser almacena, consultada o transferida, si debió haber generado un aviso de privacidad correspondiente.</w:t>
      </w:r>
    </w:p>
    <w:p w14:paraId="747618DE" w14:textId="77777777" w:rsidR="00F33246" w:rsidRDefault="00F33246">
      <w:pPr>
        <w:spacing w:line="360" w:lineRule="auto"/>
        <w:jc w:val="both"/>
        <w:rPr>
          <w:rFonts w:ascii="Palatino Linotype" w:eastAsia="Palatino Linotype" w:hAnsi="Palatino Linotype" w:cs="Palatino Linotype"/>
        </w:rPr>
      </w:pPr>
    </w:p>
    <w:p w14:paraId="71A4F3DB"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mediante informe justificado señaló “que si bien es cierto que no se cuenta con un aviso de privacidad respecto de las cámaras de circuito cerrado y atendiendo al derecho que le asiste a todas las personas a que se le informe en qué lugares se realizaran las actividades de vigilancia, para tal efecto, informó que en todos acceso a los inmuebles que albergan las unidades administrativas de la Secretaría del Bienestar se cuentan con anuncios pictográficos que contiene las siguiente leyenda:</w:t>
      </w:r>
    </w:p>
    <w:p w14:paraId="602C1876"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p>
    <w:p w14:paraId="16B3431B"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8255D9B" wp14:editId="7C84EB88">
            <wp:extent cx="5612130" cy="984250"/>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1245" t="38637" r="-1245" b="27719"/>
                    <a:stretch>
                      <a:fillRect/>
                    </a:stretch>
                  </pic:blipFill>
                  <pic:spPr>
                    <a:xfrm>
                      <a:off x="0" y="0"/>
                      <a:ext cx="5612130" cy="984250"/>
                    </a:xfrm>
                    <a:prstGeom prst="rect">
                      <a:avLst/>
                    </a:prstGeom>
                    <a:ln/>
                  </pic:spPr>
                </pic:pic>
              </a:graphicData>
            </a:graphic>
          </wp:inline>
        </w:drawing>
      </w:r>
    </w:p>
    <w:p w14:paraId="76222D49" w14:textId="77777777" w:rsidR="00F33246" w:rsidRDefault="00F33246">
      <w:pPr>
        <w:spacing w:line="360" w:lineRule="auto"/>
        <w:jc w:val="both"/>
        <w:rPr>
          <w:rFonts w:ascii="Palatino Linotype" w:eastAsia="Palatino Linotype" w:hAnsi="Palatino Linotype" w:cs="Palatino Linotype"/>
        </w:rPr>
      </w:pPr>
    </w:p>
    <w:p w14:paraId="1830387E"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Justificando en cuanto a las imágenes de terceras personas, que sólo se adoptaran las medidas de seguridad oportunas y de acuerdo a lo estipulado en la normatividad aplicable, con la finalidad de no vulnerar su imagen y sólo ser utilizadas para la finalidad principal; no obstante, dicha justificación no se observa en dicha leyenda. </w:t>
      </w:r>
    </w:p>
    <w:p w14:paraId="0CF3EDB4" w14:textId="77777777" w:rsidR="00F33246" w:rsidRDefault="00F33246">
      <w:pPr>
        <w:spacing w:line="360" w:lineRule="auto"/>
        <w:jc w:val="both"/>
        <w:rPr>
          <w:rFonts w:ascii="Palatino Linotype" w:eastAsia="Palatino Linotype" w:hAnsi="Palatino Linotype" w:cs="Palatino Linotype"/>
        </w:rPr>
      </w:pPr>
    </w:p>
    <w:p w14:paraId="04F2C126"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Pero debemos recordar que el particular, fue claro en solicitar el aviso de privacidad integral de las cámaras de videovigilancia, por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informó que no cuenta con él; por consiguiente, se colige que la documentación requerida es </w:t>
      </w:r>
      <w:r>
        <w:rPr>
          <w:rFonts w:ascii="Palatino Linotype" w:eastAsia="Palatino Linotype" w:hAnsi="Palatino Linotype" w:cs="Palatino Linotype"/>
          <w:b/>
        </w:rPr>
        <w:t>inexistente</w:t>
      </w:r>
      <w:r>
        <w:rPr>
          <w:rFonts w:ascii="Palatino Linotype" w:eastAsia="Palatino Linotype" w:hAnsi="Palatino Linotype" w:cs="Palatino Linotype"/>
        </w:rPr>
        <w:t xml:space="preserve">, por lo que, ante la negativa de acceso a la información o su inexistencia, el sujeto obligado deberá demostrar que se encuentra en alguna de las excepciones establecidas en la normatividad aplicable. </w:t>
      </w:r>
    </w:p>
    <w:p w14:paraId="6FE88F77" w14:textId="77777777" w:rsidR="00F33246" w:rsidRDefault="00F33246">
      <w:pPr>
        <w:tabs>
          <w:tab w:val="left" w:pos="7938"/>
        </w:tabs>
        <w:spacing w:line="360" w:lineRule="auto"/>
        <w:jc w:val="both"/>
        <w:rPr>
          <w:rFonts w:ascii="Palatino Linotype" w:eastAsia="Palatino Linotype" w:hAnsi="Palatino Linotype" w:cs="Palatino Linotype"/>
        </w:rPr>
      </w:pPr>
    </w:p>
    <w:p w14:paraId="47D4BF11" w14:textId="77777777" w:rsidR="00F33246" w:rsidRDefault="00ED2851">
      <w:p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En ese sentido, según Trujillo, Humberto (2019), en el “Diccionario de Transparencia y Acceso a la Información Pública” (p. 201), </w:t>
      </w:r>
      <w:r>
        <w:rPr>
          <w:rFonts w:ascii="Palatino Linotype" w:eastAsia="Palatino Linotype" w:hAnsi="Palatino Linotype" w:cs="Palatino Linotype"/>
          <w:b/>
          <w:color w:val="0D0D0D"/>
        </w:rPr>
        <w:t xml:space="preserve">la negativa de acceso a la información </w:t>
      </w:r>
      <w:r>
        <w:rPr>
          <w:rFonts w:ascii="Palatino Linotype" w:eastAsia="Palatino Linotype" w:hAnsi="Palatino Linotype" w:cs="Palatino Linotype"/>
          <w:color w:val="0D0D0D"/>
        </w:rPr>
        <w:t xml:space="preserve">ocurre cuando de manera fundada y motivada, una autoridad la niega o la limita, por alguna de las siguientes razones: </w:t>
      </w:r>
    </w:p>
    <w:p w14:paraId="47B2CC29" w14:textId="77777777" w:rsidR="00F33246" w:rsidRDefault="00F33246">
      <w:pPr>
        <w:spacing w:line="360" w:lineRule="auto"/>
        <w:jc w:val="both"/>
        <w:rPr>
          <w:rFonts w:ascii="Palatino Linotype" w:eastAsia="Palatino Linotype" w:hAnsi="Palatino Linotype" w:cs="Palatino Linotype"/>
          <w:color w:val="0D0D0D"/>
        </w:rPr>
      </w:pPr>
    </w:p>
    <w:p w14:paraId="314F2AB2" w14:textId="77777777" w:rsidR="00F33246" w:rsidRDefault="00ED285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D0D0D"/>
        </w:rPr>
      </w:pPr>
      <w:r>
        <w:rPr>
          <w:rFonts w:ascii="Palatino Linotype" w:eastAsia="Palatino Linotype" w:hAnsi="Palatino Linotype" w:cs="Palatino Linotype"/>
          <w:b/>
          <w:color w:val="0D0D0D"/>
        </w:rPr>
        <w:lastRenderedPageBreak/>
        <w:t>La inexistencia de la información (p. 171): Sucede cuando la información solicitada no se encuentra en los archivos públicos o clasificados de los entes sujetos a las Leyes de Transparencia.</w:t>
      </w:r>
    </w:p>
    <w:p w14:paraId="4525B46C" w14:textId="77777777" w:rsidR="00F33246" w:rsidRDefault="00F33246">
      <w:pPr>
        <w:pBdr>
          <w:top w:val="nil"/>
          <w:left w:val="nil"/>
          <w:bottom w:val="nil"/>
          <w:right w:val="nil"/>
          <w:between w:val="nil"/>
        </w:pBdr>
        <w:spacing w:line="360" w:lineRule="auto"/>
        <w:ind w:left="720"/>
        <w:jc w:val="both"/>
        <w:rPr>
          <w:rFonts w:ascii="Palatino Linotype" w:eastAsia="Palatino Linotype" w:hAnsi="Palatino Linotype" w:cs="Palatino Linotype"/>
          <w:b/>
          <w:color w:val="0D0D0D"/>
        </w:rPr>
      </w:pPr>
    </w:p>
    <w:p w14:paraId="52877132" w14:textId="77777777" w:rsidR="00F33246" w:rsidRDefault="00ED285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D0D0D"/>
        </w:rPr>
      </w:pPr>
      <w:r>
        <w:rPr>
          <w:rFonts w:ascii="Palatino Linotype" w:eastAsia="Palatino Linotype" w:hAnsi="Palatino Linotype" w:cs="Palatino Linotype"/>
          <w:b/>
          <w:color w:val="0D0D0D"/>
        </w:rPr>
        <w:t xml:space="preserve">La incompetencia del Sujeto Obligado (p. 171): </w:t>
      </w:r>
      <w:r>
        <w:rPr>
          <w:rFonts w:ascii="Palatino Linotype" w:eastAsia="Palatino Linotype" w:hAnsi="Palatino Linotype" w:cs="Palatino Linotype"/>
          <w:color w:val="0D0D0D"/>
        </w:rPr>
        <w:t>Ocurre cuando el Sujeto Obligado carece de atribuciones para poseer la información peticionada.</w:t>
      </w:r>
    </w:p>
    <w:p w14:paraId="310E5C76" w14:textId="77777777" w:rsidR="00F33246" w:rsidRDefault="00F33246">
      <w:pPr>
        <w:pBdr>
          <w:top w:val="nil"/>
          <w:left w:val="nil"/>
          <w:bottom w:val="nil"/>
          <w:right w:val="nil"/>
          <w:between w:val="nil"/>
        </w:pBdr>
        <w:spacing w:line="360" w:lineRule="auto"/>
        <w:ind w:left="720"/>
        <w:rPr>
          <w:rFonts w:ascii="Palatino Linotype" w:eastAsia="Palatino Linotype" w:hAnsi="Palatino Linotype" w:cs="Palatino Linotype"/>
          <w:b/>
          <w:color w:val="0D0D0D"/>
        </w:rPr>
      </w:pPr>
    </w:p>
    <w:p w14:paraId="0EFDF7C8" w14:textId="77777777" w:rsidR="00F33246" w:rsidRDefault="00ED285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D0D0D"/>
        </w:rPr>
      </w:pPr>
      <w:r>
        <w:rPr>
          <w:rFonts w:ascii="Palatino Linotype" w:eastAsia="Palatino Linotype" w:hAnsi="Palatino Linotype" w:cs="Palatino Linotype"/>
          <w:b/>
          <w:color w:val="0D0D0D"/>
        </w:rPr>
        <w:t xml:space="preserve">La clasificación de la información (p. 70): </w:t>
      </w:r>
      <w:r>
        <w:rPr>
          <w:rFonts w:ascii="Palatino Linotype" w:eastAsia="Palatino Linotype" w:hAnsi="Palatino Linotype" w:cs="Palatino Linotype"/>
          <w:color w:val="0D0D0D"/>
        </w:rPr>
        <w:t>Es el proceso o conjunto de acciones que realizan los sujetos obligados para establecer que determinada información se encuentra en alguno de los supuestos de reserva o confidencialidad establecidos en la legislación en materia de transparencia.</w:t>
      </w:r>
    </w:p>
    <w:p w14:paraId="40177020" w14:textId="77777777" w:rsidR="00F33246" w:rsidRDefault="00F33246">
      <w:pPr>
        <w:spacing w:line="360" w:lineRule="auto"/>
        <w:jc w:val="both"/>
        <w:rPr>
          <w:rFonts w:ascii="Palatino Linotype" w:eastAsia="Palatino Linotype" w:hAnsi="Palatino Linotype" w:cs="Palatino Linotype"/>
          <w:color w:val="0D0D0D"/>
        </w:rPr>
      </w:pPr>
    </w:p>
    <w:p w14:paraId="5E354581" w14:textId="77777777" w:rsidR="00F33246" w:rsidRDefault="00ED2851">
      <w:p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En ese orden de ideas, es de señalar que las excepciones al derecho de acceso a la información consisten en que la documentación sea </w:t>
      </w:r>
      <w:r>
        <w:rPr>
          <w:rFonts w:ascii="Palatino Linotype" w:eastAsia="Palatino Linotype" w:hAnsi="Palatino Linotype" w:cs="Palatino Linotype"/>
          <w:b/>
          <w:color w:val="0D0D0D"/>
          <w:u w:val="single"/>
        </w:rPr>
        <w:t>inexistente</w:t>
      </w:r>
      <w:r>
        <w:rPr>
          <w:rFonts w:ascii="Palatino Linotype" w:eastAsia="Palatino Linotype" w:hAnsi="Palatino Linotype" w:cs="Palatino Linotype"/>
          <w:color w:val="0D0D0D"/>
        </w:rPr>
        <w:t xml:space="preserve">, se encuentre clasificada, o bien, el Sujeto Obligado sea incompetente para contar con esta; esto es, la negativa de acceso a la información </w:t>
      </w:r>
      <w:r>
        <w:rPr>
          <w:rFonts w:ascii="Palatino Linotype" w:eastAsia="Palatino Linotype" w:hAnsi="Palatino Linotype" w:cs="Palatino Linotype"/>
          <w:b/>
          <w:color w:val="0D0D0D"/>
          <w:u w:val="single"/>
        </w:rPr>
        <w:t>recae cuando la documentación no se encuentre en los archivos del sujeto obligado</w:t>
      </w:r>
      <w:r>
        <w:rPr>
          <w:rFonts w:ascii="Palatino Linotype" w:eastAsia="Palatino Linotype" w:hAnsi="Palatino Linotype" w:cs="Palatino Linotype"/>
          <w:color w:val="0D0D0D"/>
        </w:rPr>
        <w:t>, o bien exista, pero no pueda proporcionarse por contener datos confidenciales o reservados.</w:t>
      </w:r>
    </w:p>
    <w:p w14:paraId="3CB84373" w14:textId="77777777" w:rsidR="00F33246" w:rsidRDefault="00F33246">
      <w:pPr>
        <w:tabs>
          <w:tab w:val="left" w:pos="7938"/>
        </w:tabs>
        <w:spacing w:line="360" w:lineRule="auto"/>
        <w:jc w:val="both"/>
        <w:rPr>
          <w:rFonts w:ascii="Palatino Linotype" w:eastAsia="Palatino Linotype" w:hAnsi="Palatino Linotype" w:cs="Palatino Linotype"/>
        </w:rPr>
      </w:pPr>
    </w:p>
    <w:p w14:paraId="0400679A" w14:textId="77777777" w:rsidR="00F33246" w:rsidRDefault="00ED2851">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el caso que ahora nos ocupa, se determina que la información es inexistente, debido 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debió haber generado y poseído el aviso de privacidad solicitado</w:t>
      </w:r>
      <w:r>
        <w:rPr>
          <w:rFonts w:ascii="Palatino Linotype" w:eastAsia="Palatino Linotype" w:hAnsi="Palatino Linotype" w:cs="Palatino Linotype"/>
        </w:rPr>
        <w:t xml:space="preserve">. </w:t>
      </w:r>
    </w:p>
    <w:p w14:paraId="1E9323BD" w14:textId="77777777" w:rsidR="00F33246" w:rsidRDefault="00F33246">
      <w:pPr>
        <w:tabs>
          <w:tab w:val="left" w:pos="7938"/>
        </w:tabs>
        <w:spacing w:line="360" w:lineRule="auto"/>
        <w:jc w:val="both"/>
        <w:rPr>
          <w:rFonts w:ascii="Palatino Linotype" w:eastAsia="Palatino Linotype" w:hAnsi="Palatino Linotype" w:cs="Palatino Linotype"/>
        </w:rPr>
      </w:pPr>
    </w:p>
    <w:p w14:paraId="0DCEC442" w14:textId="77777777" w:rsidR="00F33246" w:rsidRDefault="00ED2851">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es de destacar que las actas que sustenten la inexistencia de la información, deberán observar ciertas formalidades exigidas por la Ley de </w:t>
      </w:r>
      <w:r>
        <w:rPr>
          <w:rFonts w:ascii="Palatino Linotype" w:eastAsia="Palatino Linotype" w:hAnsi="Palatino Linotype" w:cs="Palatino Linotype"/>
        </w:rPr>
        <w:lastRenderedPageBreak/>
        <w:t>Transparencia y Acceso a la Información Pública del Estado de México y Municipios</w:t>
      </w:r>
      <w:r>
        <w:rPr>
          <w:rFonts w:ascii="Palatino Linotype" w:eastAsia="Palatino Linotype" w:hAnsi="Palatino Linotype" w:cs="Palatino Linotype"/>
          <w:i/>
        </w:rPr>
        <w:t xml:space="preserve">, </w:t>
      </w:r>
      <w:r>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504BCD1A" w14:textId="77777777" w:rsidR="00F33246" w:rsidRDefault="00F33246">
      <w:pPr>
        <w:spacing w:line="360" w:lineRule="auto"/>
        <w:ind w:left="567" w:right="567"/>
        <w:jc w:val="both"/>
        <w:rPr>
          <w:rFonts w:ascii="Palatino Linotype" w:eastAsia="Palatino Linotype" w:hAnsi="Palatino Linotype" w:cs="Palatino Linotype"/>
          <w:b/>
          <w:i/>
          <w:color w:val="000000"/>
        </w:rPr>
      </w:pPr>
    </w:p>
    <w:p w14:paraId="07082FF9" w14:textId="77777777" w:rsidR="00F33246" w:rsidRDefault="00ED2851">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INEXISTENCIA, CONCEPTO DE, EN MATERIA DE TRANSPARENCIA</w:t>
      </w:r>
      <w:r>
        <w:rPr>
          <w:rFonts w:ascii="Palatino Linotype" w:eastAsia="Palatino Linotype" w:hAnsi="Palatino Linotype" w:cs="Palatino Linotype"/>
          <w:i/>
          <w:color w:val="000000"/>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025088B" w14:textId="77777777" w:rsidR="00F33246" w:rsidRDefault="00F33246">
      <w:pPr>
        <w:spacing w:line="276" w:lineRule="auto"/>
        <w:ind w:left="567" w:right="567"/>
        <w:jc w:val="both"/>
        <w:rPr>
          <w:rFonts w:ascii="Palatino Linotype" w:eastAsia="Palatino Linotype" w:hAnsi="Palatino Linotype" w:cs="Palatino Linotype"/>
          <w:i/>
          <w:color w:val="000000"/>
          <w:sz w:val="22"/>
          <w:szCs w:val="22"/>
        </w:rPr>
      </w:pPr>
    </w:p>
    <w:p w14:paraId="07C5B955"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7639685"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En los casos en que por las atribuciones conferidas al Sujeto Obligado éste debió generar, administrar o poseer la información, pero en incumplimiento a la normatividad respectiva no llevó a cabo ninguna de esas acciones.</w:t>
      </w:r>
    </w:p>
    <w:p w14:paraId="52923F56" w14:textId="77777777" w:rsidR="00F33246" w:rsidRDefault="00F33246">
      <w:pPr>
        <w:spacing w:line="276" w:lineRule="auto"/>
        <w:ind w:left="567" w:right="567"/>
        <w:jc w:val="both"/>
        <w:rPr>
          <w:rFonts w:ascii="Palatino Linotype" w:eastAsia="Palatino Linotype" w:hAnsi="Palatino Linotype" w:cs="Palatino Linotype"/>
          <w:i/>
          <w:color w:val="000000"/>
          <w:sz w:val="22"/>
          <w:szCs w:val="22"/>
        </w:rPr>
      </w:pPr>
    </w:p>
    <w:p w14:paraId="4F94A9F9"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549863C" w14:textId="77777777" w:rsidR="00F33246" w:rsidRDefault="00F33246">
      <w:pPr>
        <w:spacing w:line="276" w:lineRule="auto"/>
        <w:ind w:left="567" w:right="567"/>
        <w:jc w:val="both"/>
        <w:rPr>
          <w:rFonts w:ascii="Palatino Linotype" w:eastAsia="Palatino Linotype" w:hAnsi="Palatino Linotype" w:cs="Palatino Linotype"/>
          <w:i/>
          <w:color w:val="000000"/>
          <w:sz w:val="22"/>
          <w:szCs w:val="22"/>
        </w:rPr>
      </w:pPr>
    </w:p>
    <w:p w14:paraId="40AF57EE" w14:textId="77777777" w:rsidR="00F33246" w:rsidRDefault="00F33246">
      <w:pPr>
        <w:spacing w:line="276" w:lineRule="auto"/>
        <w:ind w:left="567" w:right="567"/>
        <w:jc w:val="both"/>
        <w:rPr>
          <w:rFonts w:ascii="Palatino Linotype" w:eastAsia="Palatino Linotype" w:hAnsi="Palatino Linotype" w:cs="Palatino Linotype"/>
          <w:i/>
          <w:color w:val="000000"/>
          <w:sz w:val="22"/>
          <w:szCs w:val="22"/>
        </w:rPr>
      </w:pPr>
    </w:p>
    <w:p w14:paraId="21CD1EC7" w14:textId="77777777" w:rsidR="00F33246" w:rsidRDefault="00ED2851">
      <w:pPr>
        <w:spacing w:line="276" w:lineRule="auto"/>
        <w:ind w:left="567" w:right="56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CRITERIO 0004-11</w:t>
      </w:r>
    </w:p>
    <w:p w14:paraId="55227F8C" w14:textId="77777777" w:rsidR="00F33246" w:rsidRDefault="00F33246">
      <w:pPr>
        <w:spacing w:line="276" w:lineRule="auto"/>
        <w:ind w:left="567" w:right="567"/>
        <w:jc w:val="both"/>
        <w:rPr>
          <w:rFonts w:ascii="Palatino Linotype" w:eastAsia="Palatino Linotype" w:hAnsi="Palatino Linotype" w:cs="Palatino Linotype"/>
          <w:b/>
          <w:i/>
          <w:color w:val="000000"/>
          <w:sz w:val="22"/>
          <w:szCs w:val="22"/>
        </w:rPr>
      </w:pPr>
    </w:p>
    <w:p w14:paraId="27841419"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INEXISTENCIA. DECLARATORIA DE LA. ALCANCES Y PROCEDIMIENTOS</w:t>
      </w:r>
      <w:r>
        <w:rPr>
          <w:rFonts w:ascii="Palatino Linotype" w:eastAsia="Palatino Linotype" w:hAnsi="Palatino Linotype" w:cs="Palatino Linotype"/>
          <w:i/>
          <w:color w:val="000000"/>
          <w:sz w:val="22"/>
          <w:szCs w:val="22"/>
        </w:rPr>
        <w:t xml:space="preserve">. De la interpretación de los artículos 29 y 30, fracción VIII, de </w:t>
      </w:r>
      <w:r>
        <w:rPr>
          <w:rFonts w:ascii="Palatino Linotype" w:eastAsia="Palatino Linotype" w:hAnsi="Palatino Linotype" w:cs="Palatino Linotype"/>
          <w:i/>
          <w:color w:val="000000"/>
          <w:sz w:val="22"/>
          <w:szCs w:val="22"/>
        </w:rPr>
        <w:lastRenderedPageBreak/>
        <w:t>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103CEB0" w14:textId="77777777" w:rsidR="00F33246" w:rsidRDefault="00F33246">
      <w:pPr>
        <w:spacing w:line="276" w:lineRule="auto"/>
        <w:ind w:left="567" w:right="567"/>
        <w:jc w:val="both"/>
        <w:rPr>
          <w:rFonts w:ascii="Palatino Linotype" w:eastAsia="Palatino Linotype" w:hAnsi="Palatino Linotype" w:cs="Palatino Linotype"/>
          <w:i/>
          <w:color w:val="000000"/>
          <w:sz w:val="22"/>
          <w:szCs w:val="22"/>
        </w:rPr>
      </w:pPr>
    </w:p>
    <w:p w14:paraId="5A1CF3FA"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Bajo el entendido de que dicha búsqueda exhaustiva permitirá dos determinaciones:</w:t>
      </w:r>
    </w:p>
    <w:p w14:paraId="23C8A6F2" w14:textId="77777777" w:rsidR="00F33246" w:rsidRDefault="00F33246">
      <w:pPr>
        <w:spacing w:line="276" w:lineRule="auto"/>
        <w:ind w:left="567" w:right="567"/>
        <w:jc w:val="both"/>
        <w:rPr>
          <w:rFonts w:ascii="Palatino Linotype" w:eastAsia="Palatino Linotype" w:hAnsi="Palatino Linotype" w:cs="Palatino Linotype"/>
          <w:i/>
          <w:color w:val="000000"/>
          <w:sz w:val="22"/>
          <w:szCs w:val="22"/>
        </w:rPr>
      </w:pPr>
    </w:p>
    <w:p w14:paraId="63B965AF"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1ª) Que se localice la documentación que contenga la información solicitada y de ser así la información pueda entregarse al solicitante en la forma en que se encuentra disponible, o</w:t>
      </w:r>
    </w:p>
    <w:p w14:paraId="5A7EC742"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CAF2344" w14:textId="77777777" w:rsidR="00F33246" w:rsidRDefault="00F33246">
      <w:pPr>
        <w:spacing w:line="276" w:lineRule="auto"/>
        <w:ind w:left="567" w:right="567"/>
        <w:jc w:val="both"/>
        <w:rPr>
          <w:rFonts w:ascii="Palatino Linotype" w:eastAsia="Palatino Linotype" w:hAnsi="Palatino Linotype" w:cs="Palatino Linotype"/>
          <w:i/>
          <w:color w:val="000000"/>
          <w:sz w:val="22"/>
          <w:szCs w:val="22"/>
        </w:rPr>
      </w:pPr>
    </w:p>
    <w:p w14:paraId="75E8BDF1" w14:textId="77777777" w:rsidR="00F33246" w:rsidRDefault="00ED2851">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CCBC95F" w14:textId="77777777" w:rsidR="00F33246" w:rsidRDefault="00F33246">
      <w:pPr>
        <w:spacing w:line="360" w:lineRule="auto"/>
        <w:jc w:val="both"/>
        <w:rPr>
          <w:rFonts w:ascii="Palatino Linotype" w:eastAsia="Palatino Linotype" w:hAnsi="Palatino Linotype" w:cs="Palatino Linotype"/>
        </w:rPr>
      </w:pPr>
    </w:p>
    <w:p w14:paraId="30F94743"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que, se establece que el Comité de Transparencia deberá emitir el correspondiente Acuerdo de Inexistencia de la Información y notificarlo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662F91A8" w14:textId="77777777" w:rsidR="00F33246" w:rsidRDefault="00F33246">
      <w:pPr>
        <w:spacing w:line="360" w:lineRule="auto"/>
        <w:jc w:val="both"/>
        <w:rPr>
          <w:rFonts w:ascii="Palatino Linotype" w:eastAsia="Palatino Linotype" w:hAnsi="Palatino Linotype" w:cs="Palatino Linotype"/>
        </w:rPr>
      </w:pPr>
    </w:p>
    <w:p w14:paraId="49F3BC56"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268D1512" w14:textId="77777777" w:rsidR="00F33246" w:rsidRDefault="00F33246">
      <w:pPr>
        <w:spacing w:line="360" w:lineRule="auto"/>
        <w:jc w:val="both"/>
        <w:rPr>
          <w:rFonts w:ascii="Palatino Linotype" w:eastAsia="Palatino Linotype" w:hAnsi="Palatino Linotype" w:cs="Palatino Linotype"/>
        </w:rPr>
      </w:pPr>
    </w:p>
    <w:p w14:paraId="0D6E279D"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55F25DDE" w14:textId="77777777" w:rsidR="00F33246" w:rsidRDefault="00F33246">
      <w:pPr>
        <w:spacing w:line="360" w:lineRule="auto"/>
        <w:jc w:val="both"/>
        <w:rPr>
          <w:rFonts w:ascii="Palatino Linotype" w:eastAsia="Palatino Linotype" w:hAnsi="Palatino Linotype" w:cs="Palatino Linotype"/>
        </w:rPr>
      </w:pPr>
    </w:p>
    <w:p w14:paraId="4E07F174"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21C6C6E2"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61C89A7A"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7DB1402"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5A9B7AD3"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19C3D249"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08670800"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3AA946E"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720D3525"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7FBCCFF0"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09822200"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605F1E8F"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3C243582"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14:paraId="542582BC"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E153D37"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14:paraId="4FDA356E"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409D9F"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26EB9C61" w14:textId="77777777" w:rsidR="00F33246" w:rsidRDefault="00F33246">
      <w:pPr>
        <w:spacing w:line="360" w:lineRule="auto"/>
        <w:jc w:val="both"/>
        <w:rPr>
          <w:rFonts w:ascii="Palatino Linotype" w:eastAsia="Palatino Linotype" w:hAnsi="Palatino Linotype" w:cs="Palatino Linotype"/>
          <w:i/>
        </w:rPr>
      </w:pPr>
    </w:p>
    <w:p w14:paraId="37DAF0E2"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6557E38E" w14:textId="77777777" w:rsidR="00F33246" w:rsidRDefault="00F33246">
      <w:pPr>
        <w:spacing w:line="276" w:lineRule="auto"/>
        <w:jc w:val="both"/>
        <w:rPr>
          <w:rFonts w:ascii="Palatino Linotype" w:eastAsia="Palatino Linotype" w:hAnsi="Palatino Linotype" w:cs="Palatino Linotype"/>
        </w:rPr>
      </w:pPr>
    </w:p>
    <w:p w14:paraId="77C1B1D3"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5CCFD36D"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2BEEEC78"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14:paraId="07F27257"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7B1936AA"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14:paraId="11530767"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394FC69F"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w:t>
      </w:r>
      <w:r>
        <w:rPr>
          <w:rFonts w:ascii="Palatino Linotype" w:eastAsia="Palatino Linotype" w:hAnsi="Palatino Linotype" w:cs="Palatino Linotype"/>
          <w:i/>
          <w:sz w:val="22"/>
          <w:szCs w:val="22"/>
        </w:rPr>
        <w:lastRenderedPageBreak/>
        <w:t>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4839130"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0665A699"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14:paraId="04B4EBFD"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2BCE096D"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1A4C5D23"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7E9DC694"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5D804D2" w14:textId="77777777" w:rsidR="00F33246" w:rsidRDefault="00F33246">
      <w:pPr>
        <w:spacing w:line="276" w:lineRule="auto"/>
        <w:ind w:left="567" w:right="567"/>
        <w:jc w:val="both"/>
        <w:rPr>
          <w:rFonts w:ascii="Palatino Linotype" w:eastAsia="Palatino Linotype" w:hAnsi="Palatino Linotype" w:cs="Palatino Linotype"/>
          <w:i/>
          <w:sz w:val="22"/>
          <w:szCs w:val="22"/>
        </w:rPr>
      </w:pPr>
    </w:p>
    <w:p w14:paraId="4B3D92BA" w14:textId="77777777" w:rsidR="00F33246" w:rsidRDefault="00ED285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1432CA61" w14:textId="77777777" w:rsidR="00F33246" w:rsidRDefault="00F33246">
      <w:pPr>
        <w:spacing w:line="360" w:lineRule="auto"/>
        <w:ind w:right="49"/>
        <w:jc w:val="both"/>
        <w:rPr>
          <w:rFonts w:ascii="Palatino Linotype" w:eastAsia="Palatino Linotype" w:hAnsi="Palatino Linotype" w:cs="Palatino Linotype"/>
          <w:sz w:val="22"/>
          <w:szCs w:val="22"/>
        </w:rPr>
      </w:pPr>
    </w:p>
    <w:p w14:paraId="7B8AB8C9" w14:textId="77777777" w:rsidR="00F33246" w:rsidRDefault="00ED285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3DFF726"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Pr>
          <w:rFonts w:ascii="Palatino Linotype" w:eastAsia="Palatino Linotype" w:hAnsi="Palatino Linotype" w:cs="Palatino Linotype"/>
        </w:rPr>
        <w:lastRenderedPageBreak/>
        <w:t>elementos suficientes del carácter exhaustivo de la indagación realizada, a saber, los siguientes:</w:t>
      </w:r>
    </w:p>
    <w:p w14:paraId="12193783" w14:textId="77777777" w:rsidR="00F33246" w:rsidRDefault="00F33246">
      <w:pPr>
        <w:spacing w:line="360" w:lineRule="auto"/>
        <w:jc w:val="both"/>
        <w:rPr>
          <w:rFonts w:ascii="Palatino Linotype" w:eastAsia="Palatino Linotype" w:hAnsi="Palatino Linotype" w:cs="Palatino Linotype"/>
        </w:rPr>
      </w:pPr>
    </w:p>
    <w:p w14:paraId="6C7353BC" w14:textId="77777777" w:rsidR="00F33246" w:rsidRDefault="00ED285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14:paraId="1F604783" w14:textId="77777777" w:rsidR="00F33246" w:rsidRDefault="00ED285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14:paraId="4BA43BF0" w14:textId="77777777" w:rsidR="00F33246" w:rsidRDefault="00ED285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769C4DBC" w14:textId="77777777" w:rsidR="00F33246" w:rsidRDefault="00F33246">
      <w:pPr>
        <w:pBdr>
          <w:top w:val="nil"/>
          <w:left w:val="nil"/>
          <w:bottom w:val="nil"/>
          <w:right w:val="nil"/>
          <w:between w:val="nil"/>
        </w:pBdr>
        <w:spacing w:line="360" w:lineRule="auto"/>
        <w:rPr>
          <w:color w:val="000000"/>
        </w:rPr>
      </w:pPr>
    </w:p>
    <w:p w14:paraId="655F268C"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0E56AF71" w14:textId="77777777" w:rsidR="00F33246" w:rsidRDefault="00F33246">
      <w:pPr>
        <w:spacing w:line="360" w:lineRule="auto"/>
        <w:jc w:val="both"/>
        <w:rPr>
          <w:rFonts w:ascii="Palatino Linotype" w:eastAsia="Palatino Linotype" w:hAnsi="Palatino Linotype" w:cs="Palatino Linotype"/>
        </w:rPr>
      </w:pPr>
    </w:p>
    <w:p w14:paraId="2E9528B7" w14:textId="77777777" w:rsidR="00F33246" w:rsidRDefault="00ED2851">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14:paraId="2B47C3D5" w14:textId="77777777" w:rsidR="00F33246" w:rsidRDefault="00ED2851">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14:paraId="7B308390" w14:textId="77777777" w:rsidR="00F33246" w:rsidRDefault="00ED2851">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14:paraId="0F342C91" w14:textId="77777777" w:rsidR="00F33246" w:rsidRDefault="00ED2851">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5F9E76E3" w14:textId="77777777" w:rsidR="00F33246" w:rsidRDefault="00F33246">
      <w:pPr>
        <w:spacing w:line="360" w:lineRule="auto"/>
        <w:ind w:left="720"/>
        <w:jc w:val="both"/>
        <w:rPr>
          <w:rFonts w:ascii="Palatino Linotype" w:eastAsia="Palatino Linotype" w:hAnsi="Palatino Linotype" w:cs="Palatino Linotype"/>
        </w:rPr>
      </w:pPr>
    </w:p>
    <w:p w14:paraId="5D43D5DA"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considera que para el presente caso debido 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mencionó que no tiene el aviso de privacidad de las cámara de videovigilancia, se concluye que es inexistente, por lo que, este deberá declarar formalmente la inexistencia de la información requerida a través de su Comité de Transparencia </w:t>
      </w:r>
      <w:r>
        <w:rPr>
          <w:rFonts w:ascii="Palatino Linotype" w:eastAsia="Palatino Linotype" w:hAnsi="Palatino Linotype" w:cs="Palatino Linotype"/>
          <w:color w:val="000000"/>
        </w:rPr>
        <w:t xml:space="preserve">en términos de los artículos </w:t>
      </w:r>
      <w:r>
        <w:rPr>
          <w:rFonts w:ascii="Palatino Linotype" w:eastAsia="Palatino Linotype" w:hAnsi="Palatino Linotype" w:cs="Palatino Linotype"/>
        </w:rPr>
        <w:t xml:space="preserve">19, 49, fracciones II y XIII, 169 y 170 de la Ley de Transparencia y Acceso a la Información Pública del Estado de México y Municipios. </w:t>
      </w:r>
    </w:p>
    <w:p w14:paraId="0E7001E9" w14:textId="77777777" w:rsidR="00F33246" w:rsidRDefault="00F33246">
      <w:pPr>
        <w:spacing w:line="360" w:lineRule="auto"/>
        <w:jc w:val="both"/>
        <w:rPr>
          <w:rFonts w:ascii="Palatino Linotype" w:eastAsia="Palatino Linotype" w:hAnsi="Palatino Linotype" w:cs="Palatino Linotype"/>
        </w:rPr>
      </w:pPr>
    </w:p>
    <w:p w14:paraId="7A0608D4" w14:textId="77777777" w:rsidR="00F33246" w:rsidRDefault="00ED2851">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48DAE44" w14:textId="77777777" w:rsidR="00F33246" w:rsidRDefault="00ED2851">
      <w:pPr>
        <w:widowControl w:val="0"/>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III. R E S U E L V E:</w:t>
      </w:r>
    </w:p>
    <w:p w14:paraId="5A634D47" w14:textId="77777777" w:rsidR="00F33246" w:rsidRDefault="00F33246">
      <w:pPr>
        <w:pBdr>
          <w:top w:val="nil"/>
          <w:left w:val="nil"/>
          <w:bottom w:val="nil"/>
          <w:right w:val="nil"/>
          <w:between w:val="nil"/>
        </w:pBdr>
        <w:spacing w:line="360" w:lineRule="auto"/>
        <w:jc w:val="both"/>
        <w:rPr>
          <w:rFonts w:ascii="Palatino Linotype" w:eastAsia="Palatino Linotype" w:hAnsi="Palatino Linotype" w:cs="Palatino Linotype"/>
        </w:rPr>
      </w:pPr>
    </w:p>
    <w:p w14:paraId="2E98902F"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Se</w:t>
      </w:r>
      <w:r>
        <w:t xml:space="preserv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entregada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 xml:space="preserve">00080/BIENESTAR/IP/2024, </w:t>
      </w:r>
      <w:r>
        <w:rPr>
          <w:rFonts w:ascii="Palatino Linotype" w:eastAsia="Palatino Linotype" w:hAnsi="Palatino Linotype" w:cs="Palatino Linotype"/>
        </w:rPr>
        <w:t xml:space="preserve">por resultar fundadas las razones o motivos de inconformidad hechos valer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02979/INFOEM/IP/RR/2024,</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2DE02A6D" w14:textId="77777777" w:rsidR="00F33246" w:rsidRDefault="00F33246">
      <w:pPr>
        <w:spacing w:line="360" w:lineRule="auto"/>
        <w:jc w:val="both"/>
        <w:rPr>
          <w:rFonts w:ascii="Palatino Linotype" w:eastAsia="Palatino Linotype" w:hAnsi="Palatino Linotype" w:cs="Palatino Linotype"/>
          <w:b/>
        </w:rPr>
      </w:pPr>
    </w:p>
    <w:p w14:paraId="0BC858CA" w14:textId="77777777" w:rsidR="00F33246" w:rsidRDefault="00ED285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haga entrega vía Sistema de Acceso a la Información Mexiquense (SAIMEX), </w:t>
      </w:r>
      <w:r>
        <w:rPr>
          <w:rFonts w:ascii="Palatino Linotype" w:eastAsia="Palatino Linotype" w:hAnsi="Palatino Linotype" w:cs="Palatino Linotype"/>
          <w:highlight w:val="white"/>
        </w:rPr>
        <w:t>de lo siguiente:</w:t>
      </w:r>
    </w:p>
    <w:p w14:paraId="2002F1E9" w14:textId="77777777" w:rsidR="00F33246" w:rsidRDefault="00F33246">
      <w:pPr>
        <w:spacing w:line="360" w:lineRule="auto"/>
        <w:ind w:right="49"/>
        <w:jc w:val="both"/>
        <w:rPr>
          <w:rFonts w:ascii="Palatino Linotype" w:eastAsia="Palatino Linotype" w:hAnsi="Palatino Linotype" w:cs="Palatino Linotype"/>
        </w:rPr>
      </w:pPr>
    </w:p>
    <w:p w14:paraId="2C0737C9" w14:textId="77777777" w:rsidR="00F33246" w:rsidRDefault="00ED2851">
      <w:pPr>
        <w:numPr>
          <w:ilvl w:val="0"/>
          <w:numId w:val="3"/>
        </w:numPr>
        <w:pBdr>
          <w:top w:val="nil"/>
          <w:left w:val="nil"/>
          <w:bottom w:val="nil"/>
          <w:right w:val="nil"/>
          <w:between w:val="nil"/>
        </w:pBdr>
        <w:tabs>
          <w:tab w:val="left" w:pos="993"/>
        </w:tabs>
        <w:spacing w:line="360" w:lineRule="auto"/>
        <w:ind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Acuerdo que emita el Comité de Transparencia mediante el que se declare formalmente la inexistencia del aviso de privacidad integral de las cámaras de videovigilancia referidas en la respuesta, en términos de los artículos 19, 49, fracciones II y XIII, 169 y 170 de la Ley de Transparencia y Acceso a la Información Pública del Estado de México y Municipios.</w:t>
      </w:r>
    </w:p>
    <w:p w14:paraId="2BF3E014" w14:textId="77777777" w:rsidR="00F33246" w:rsidRDefault="00F33246">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14:paraId="45E832BC" w14:textId="77777777" w:rsidR="00F33246" w:rsidRDefault="00ED285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Notifíquese vía SAIMEX </w:t>
      </w:r>
      <w:r>
        <w:rPr>
          <w:rFonts w:ascii="Palatino Linotype" w:eastAsia="Palatino Linotype" w:hAnsi="Palatino Linotype" w:cs="Palatino Linotype"/>
        </w:rPr>
        <w:t>la presente resolución al T</w:t>
      </w:r>
      <w:r>
        <w:rPr>
          <w:rFonts w:ascii="Palatino Linotype" w:eastAsia="Palatino Linotype" w:hAnsi="Palatino Linotype" w:cs="Palatino Linotype"/>
          <w:b/>
        </w:rPr>
        <w:t xml:space="preserve">itular de la Unidad de Transparencia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EF3D78" w14:textId="77777777" w:rsidR="00F33246" w:rsidRDefault="00F33246">
      <w:pPr>
        <w:spacing w:line="360" w:lineRule="auto"/>
        <w:ind w:right="-93"/>
        <w:jc w:val="both"/>
        <w:rPr>
          <w:rFonts w:ascii="Palatino Linotype" w:eastAsia="Palatino Linotype" w:hAnsi="Palatino Linotype" w:cs="Palatino Linotype"/>
        </w:rPr>
      </w:pPr>
    </w:p>
    <w:p w14:paraId="3016295E" w14:textId="77777777" w:rsidR="00F33246" w:rsidRDefault="00ED285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5D3DCFE4" w14:textId="77777777" w:rsidR="00F33246" w:rsidRDefault="00F33246">
      <w:pPr>
        <w:spacing w:line="360" w:lineRule="auto"/>
        <w:jc w:val="both"/>
        <w:rPr>
          <w:rFonts w:ascii="Palatino Linotype" w:eastAsia="Palatino Linotype" w:hAnsi="Palatino Linotype" w:cs="Palatino Linotype"/>
          <w:b/>
        </w:rPr>
      </w:pPr>
    </w:p>
    <w:p w14:paraId="275D4861" w14:textId="77777777" w:rsidR="00F33246" w:rsidRDefault="00ED2851">
      <w:pPr>
        <w:spacing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QUINTO. Notifíquese</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 recurso de inconformidad de acuerdo con lo establecido en los artículo 159 y 160, fracción II, de la Ley General de Transparencia y Acceso a la Información Pública. </w:t>
      </w:r>
    </w:p>
    <w:p w14:paraId="40AE6FF4" w14:textId="7FA0BC5E" w:rsidR="00CF144D" w:rsidRDefault="00ED285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VEINTIUNO DE AGOSTO DE DOS MIL VEINTICUATRO, ANTE EL SECRETARIO TÉCNICO DEL PLENO ALEXIS TAPIA RAMÍREZ.</w:t>
      </w:r>
    </w:p>
    <w:p w14:paraId="54676965" w14:textId="77777777" w:rsidR="00CF144D" w:rsidRDefault="00CF144D">
      <w:pPr>
        <w:rPr>
          <w:rFonts w:ascii="Palatino Linotype" w:eastAsia="Palatino Linotype" w:hAnsi="Palatino Linotype" w:cs="Palatino Linotype"/>
        </w:rPr>
      </w:pPr>
      <w:r>
        <w:rPr>
          <w:rFonts w:ascii="Palatino Linotype" w:eastAsia="Palatino Linotype" w:hAnsi="Palatino Linotype" w:cs="Palatino Linotype"/>
        </w:rPr>
        <w:br w:type="page"/>
      </w:r>
    </w:p>
    <w:p w14:paraId="7FE141A8" w14:textId="77777777" w:rsidR="00F33246" w:rsidRDefault="00F33246">
      <w:pPr>
        <w:spacing w:before="240" w:after="240" w:line="360" w:lineRule="auto"/>
        <w:jc w:val="both"/>
        <w:rPr>
          <w:rFonts w:ascii="Palatino Linotype" w:eastAsia="Palatino Linotype" w:hAnsi="Palatino Linotype" w:cs="Palatino Linotype"/>
        </w:rPr>
      </w:pPr>
    </w:p>
    <w:sectPr w:rsidR="00F33246">
      <w:headerReference w:type="default" r:id="rId21"/>
      <w:footerReference w:type="default" r:id="rId22"/>
      <w:headerReference w:type="first" r:id="rId23"/>
      <w:footerReference w:type="first" r:id="rId24"/>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F874" w14:textId="77777777" w:rsidR="00BA6121" w:rsidRDefault="00BA6121">
      <w:r>
        <w:separator/>
      </w:r>
    </w:p>
  </w:endnote>
  <w:endnote w:type="continuationSeparator" w:id="0">
    <w:p w14:paraId="494E08DE" w14:textId="77777777" w:rsidR="00BA6121" w:rsidRDefault="00BA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9993" w14:textId="77777777" w:rsidR="00F33246" w:rsidRDefault="00ED28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6121702C" w14:textId="77777777" w:rsidR="00F33246" w:rsidRDefault="00F3324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4A1C" w14:textId="77777777" w:rsidR="00F33246" w:rsidRDefault="00ED28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43850936" w14:textId="77777777" w:rsidR="00F33246" w:rsidRDefault="00F3324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B54B" w14:textId="77777777" w:rsidR="00BA6121" w:rsidRDefault="00BA6121">
      <w:r>
        <w:separator/>
      </w:r>
    </w:p>
  </w:footnote>
  <w:footnote w:type="continuationSeparator" w:id="0">
    <w:p w14:paraId="3959B4A6" w14:textId="77777777" w:rsidR="00BA6121" w:rsidRDefault="00BA6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22CD" w14:textId="77777777" w:rsidR="00F33246" w:rsidRDefault="00ED285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F66F342" wp14:editId="2B8F372B">
          <wp:simplePos x="0" y="0"/>
          <wp:positionH relativeFrom="column">
            <wp:posOffset>-1080130</wp:posOffset>
          </wp:positionH>
          <wp:positionV relativeFrom="paragraph">
            <wp:posOffset>-488310</wp:posOffset>
          </wp:positionV>
          <wp:extent cx="7809865" cy="1016571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F33246" w14:paraId="24E8BF4C" w14:textId="77777777">
      <w:tc>
        <w:tcPr>
          <w:tcW w:w="2489" w:type="dxa"/>
          <w:shd w:val="clear" w:color="auto" w:fill="auto"/>
        </w:tcPr>
        <w:p w14:paraId="22801021" w14:textId="77777777" w:rsidR="00F33246" w:rsidRDefault="00ED28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5F78CFE" w14:textId="77777777" w:rsidR="00F33246" w:rsidRDefault="00ED285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02979/INFOEM/IP/RR/2024</w:t>
          </w:r>
        </w:p>
      </w:tc>
    </w:tr>
    <w:tr w:rsidR="00F33246" w14:paraId="63463FB7" w14:textId="77777777">
      <w:trPr>
        <w:trHeight w:val="228"/>
      </w:trPr>
      <w:tc>
        <w:tcPr>
          <w:tcW w:w="2489" w:type="dxa"/>
          <w:shd w:val="clear" w:color="auto" w:fill="auto"/>
          <w:vAlign w:val="center"/>
        </w:tcPr>
        <w:p w14:paraId="0FFF83FB" w14:textId="77777777" w:rsidR="00F33246" w:rsidRDefault="00ED28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876DE98" w14:textId="77777777" w:rsidR="00F33246" w:rsidRDefault="00ED285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Bienestar.</w:t>
          </w:r>
        </w:p>
      </w:tc>
    </w:tr>
    <w:tr w:rsidR="00F33246" w14:paraId="3036A306" w14:textId="77777777">
      <w:tc>
        <w:tcPr>
          <w:tcW w:w="2489" w:type="dxa"/>
          <w:shd w:val="clear" w:color="auto" w:fill="auto"/>
          <w:vAlign w:val="center"/>
        </w:tcPr>
        <w:p w14:paraId="190728CC" w14:textId="77777777" w:rsidR="00F33246" w:rsidRDefault="00ED285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2B4E15E" w14:textId="77777777" w:rsidR="00F33246" w:rsidRDefault="00ED285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18E8C8" w14:textId="77777777" w:rsidR="00F33246" w:rsidRDefault="00ED285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A869" w14:textId="77777777" w:rsidR="00F33246" w:rsidRDefault="00F3324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F33246" w14:paraId="0FF4C8FC" w14:textId="77777777">
      <w:tc>
        <w:tcPr>
          <w:tcW w:w="2551" w:type="dxa"/>
          <w:shd w:val="clear" w:color="auto" w:fill="auto"/>
          <w:vAlign w:val="center"/>
        </w:tcPr>
        <w:p w14:paraId="32299A63" w14:textId="77777777" w:rsidR="00F33246" w:rsidRDefault="00ED28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114A46E" w14:textId="77777777" w:rsidR="00F33246" w:rsidRDefault="00ED285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02979/INFOEM/IP/RR/2024</w:t>
          </w:r>
        </w:p>
      </w:tc>
    </w:tr>
    <w:tr w:rsidR="00F33246" w14:paraId="29BCF7FB" w14:textId="77777777">
      <w:trPr>
        <w:trHeight w:val="130"/>
      </w:trPr>
      <w:tc>
        <w:tcPr>
          <w:tcW w:w="2551" w:type="dxa"/>
          <w:shd w:val="clear" w:color="auto" w:fill="auto"/>
          <w:vAlign w:val="center"/>
        </w:tcPr>
        <w:p w14:paraId="3CCF27CA" w14:textId="77777777" w:rsidR="00F33246" w:rsidRDefault="00ED28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2365738" w14:textId="77777777" w:rsidR="00F33246" w:rsidRDefault="00F33246">
          <w:pPr>
            <w:tabs>
              <w:tab w:val="left" w:pos="3153"/>
            </w:tabs>
            <w:ind w:left="-45"/>
            <w:jc w:val="both"/>
            <w:rPr>
              <w:rFonts w:ascii="Palatino Linotype" w:eastAsia="Palatino Linotype" w:hAnsi="Palatino Linotype" w:cs="Palatino Linotype"/>
              <w:b/>
              <w:sz w:val="22"/>
              <w:szCs w:val="22"/>
            </w:rPr>
          </w:pPr>
        </w:p>
      </w:tc>
    </w:tr>
    <w:tr w:rsidR="00F33246" w14:paraId="31CBF4DB" w14:textId="77777777">
      <w:trPr>
        <w:trHeight w:val="228"/>
      </w:trPr>
      <w:tc>
        <w:tcPr>
          <w:tcW w:w="2551" w:type="dxa"/>
          <w:shd w:val="clear" w:color="auto" w:fill="auto"/>
          <w:vAlign w:val="center"/>
        </w:tcPr>
        <w:p w14:paraId="51821C98" w14:textId="77777777" w:rsidR="00F33246" w:rsidRDefault="00ED28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78FC6D8" w14:textId="77777777" w:rsidR="00F33246" w:rsidRDefault="00ED2851">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Bienestar.</w:t>
          </w:r>
        </w:p>
      </w:tc>
    </w:tr>
    <w:tr w:rsidR="00F33246" w14:paraId="1375ED65" w14:textId="77777777">
      <w:tc>
        <w:tcPr>
          <w:tcW w:w="2551" w:type="dxa"/>
          <w:shd w:val="clear" w:color="auto" w:fill="auto"/>
          <w:vAlign w:val="center"/>
        </w:tcPr>
        <w:p w14:paraId="787D4BB9" w14:textId="77777777" w:rsidR="00F33246" w:rsidRDefault="00ED28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9CEF40F" w14:textId="77777777" w:rsidR="00F33246" w:rsidRDefault="00ED285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20FE9B" w14:textId="77777777" w:rsidR="00F33246" w:rsidRDefault="00ED285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04440C4" wp14:editId="4575785E">
          <wp:simplePos x="0" y="0"/>
          <wp:positionH relativeFrom="column">
            <wp:posOffset>-1089655</wp:posOffset>
          </wp:positionH>
          <wp:positionV relativeFrom="paragraph">
            <wp:posOffset>-1169665</wp:posOffset>
          </wp:positionV>
          <wp:extent cx="7809865" cy="1016571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21355"/>
    <w:multiLevelType w:val="multilevel"/>
    <w:tmpl w:val="A60CCE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0A96DF4"/>
    <w:multiLevelType w:val="multilevel"/>
    <w:tmpl w:val="F38856D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A97269"/>
    <w:multiLevelType w:val="multilevel"/>
    <w:tmpl w:val="EF2AE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B508C2"/>
    <w:multiLevelType w:val="multilevel"/>
    <w:tmpl w:val="70D40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BE684D"/>
    <w:multiLevelType w:val="multilevel"/>
    <w:tmpl w:val="32322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547A0F"/>
    <w:multiLevelType w:val="multilevel"/>
    <w:tmpl w:val="D8ACE9E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C47440"/>
    <w:multiLevelType w:val="multilevel"/>
    <w:tmpl w:val="3C5E6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246"/>
    <w:rsid w:val="002B1BC6"/>
    <w:rsid w:val="002D7628"/>
    <w:rsid w:val="006354C1"/>
    <w:rsid w:val="00A97614"/>
    <w:rsid w:val="00BA6121"/>
    <w:rsid w:val="00CF144D"/>
    <w:rsid w:val="00ED2851"/>
    <w:rsid w:val="00F332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FC7F"/>
  <w15:docId w15:val="{3F0F5449-6983-4ADF-960D-86C05BA9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232D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0"/>
    <w:tblPr>
      <w:tblStyleRowBandSize w:val="1"/>
      <w:tblStyleColBandSize w:val="1"/>
      <w:tblCellMar>
        <w:top w:w="15" w:type="dxa"/>
        <w:left w:w="115" w:type="dxa"/>
        <w:bottom w:w="15"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03181.page"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2115744.page"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home.inai.org.mx/wp-content/documentos/ABCAvisoPrivacidad/Modelo%20de%20aviso%20de%20privacidad%20corto%20para%20V-V.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2103182.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ANoiH6AEGh+XP6ZVkIJw/oiJQ==">CgMxLjAyCGguZ2pkZ3hzMgloLjMwajB6bGwyCWguMWZvYjl0ZTIIaC50eWpjd3QyCWguMmV0OTJwMDgAciExTkQ5cDJOYVZJR1UxSUJ1dHFmelFkc0hxdnFJc0Q4WHc=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9302</Words>
  <Characters>51166</Characters>
  <Application>Microsoft Office Word</Application>
  <DocSecurity>0</DocSecurity>
  <Lines>426</Lines>
  <Paragraphs>120</Paragraphs>
  <ScaleCrop>false</ScaleCrop>
  <Company>HP Inc.</Company>
  <LinksUpToDate>false</LinksUpToDate>
  <CharactersWithSpaces>60348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2024-08-23T06:31:00Z</cp:lastPrinted>
  <dcterms:created xsi:type="dcterms:W3CDTF">2024-08-27T22:45:00Z</dcterms:created>
  <dcterms:modified xsi:type="dcterms:W3CDTF">2024-08-27T22:45:00Z</dcterms:modified>
</cp:coreProperties>
</file>