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6F567" w14:textId="77777777" w:rsidR="00636CCC" w:rsidRDefault="00636CCC" w:rsidP="005C4054">
      <w:pPr>
        <w:tabs>
          <w:tab w:val="left" w:pos="8931"/>
        </w:tabs>
        <w:spacing w:after="0" w:line="360" w:lineRule="auto"/>
        <w:rPr>
          <w:rFonts w:cs="Tahoma"/>
          <w:bCs/>
        </w:rPr>
      </w:pPr>
      <w:bookmarkStart w:id="0" w:name="_Hlk174019656"/>
      <w:bookmarkEnd w:id="0"/>
    </w:p>
    <w:p w14:paraId="6730EDA1" w14:textId="3F104580" w:rsidR="009109DA" w:rsidRPr="003179FE" w:rsidRDefault="009109DA" w:rsidP="005C4054">
      <w:pPr>
        <w:tabs>
          <w:tab w:val="left" w:pos="8931"/>
        </w:tabs>
        <w:spacing w:after="0" w:line="360" w:lineRule="auto"/>
        <w:rPr>
          <w:rFonts w:eastAsia="Calibri" w:cs="Tahoma"/>
          <w:lang w:val="es-ES"/>
        </w:rPr>
      </w:pPr>
      <w:r w:rsidRPr="003179FE">
        <w:rPr>
          <w:rFonts w:cs="Tahoma"/>
          <w:bCs/>
        </w:rPr>
        <w:t xml:space="preserve">Resolución del Pleno del Instituto de Transparencia, Acceso a la Información Pública y Protección de Datos Personales del Estado de México y Municipios, con domicilio en Metepec, </w:t>
      </w:r>
      <w:r w:rsidRPr="003179FE">
        <w:rPr>
          <w:rFonts w:eastAsia="Calibri" w:cs="Tahoma"/>
          <w:lang w:val="es-ES"/>
        </w:rPr>
        <w:t xml:space="preserve">Estado de México, de fecha </w:t>
      </w:r>
      <w:r w:rsidR="00636CCC" w:rsidRPr="003179FE">
        <w:rPr>
          <w:rFonts w:eastAsia="Calibri" w:cs="Tahoma"/>
          <w:lang w:val="es-ES"/>
        </w:rPr>
        <w:t>once de diciembre</w:t>
      </w:r>
      <w:r w:rsidRPr="003179FE">
        <w:rPr>
          <w:rFonts w:eastAsia="Calibri" w:cs="Tahoma"/>
          <w:lang w:val="es-ES"/>
        </w:rPr>
        <w:t xml:space="preserve"> de dos mil veinti</w:t>
      </w:r>
      <w:r w:rsidR="00496AEA" w:rsidRPr="003179FE">
        <w:rPr>
          <w:rFonts w:eastAsia="Calibri" w:cs="Tahoma"/>
          <w:lang w:val="es-ES"/>
        </w:rPr>
        <w:t>cuatro</w:t>
      </w:r>
      <w:r w:rsidRPr="003179FE">
        <w:rPr>
          <w:rFonts w:eastAsia="Calibri" w:cs="Tahoma"/>
          <w:lang w:val="es-ES"/>
        </w:rPr>
        <w:t xml:space="preserve">. </w:t>
      </w:r>
    </w:p>
    <w:p w14:paraId="5B192EAD" w14:textId="77777777" w:rsidR="009109DA" w:rsidRPr="003179FE" w:rsidRDefault="009109DA" w:rsidP="005C4054">
      <w:pPr>
        <w:spacing w:after="0" w:line="360" w:lineRule="auto"/>
        <w:rPr>
          <w:rFonts w:eastAsia="Calibri" w:cs="Tahoma"/>
          <w:b/>
          <w:bCs/>
          <w:lang w:val="es-ES"/>
        </w:rPr>
      </w:pPr>
    </w:p>
    <w:p w14:paraId="5B5C7008" w14:textId="0115BB62" w:rsidR="00005BF0" w:rsidRPr="003179FE" w:rsidRDefault="00005BF0" w:rsidP="005C4054">
      <w:pPr>
        <w:spacing w:after="0" w:line="360" w:lineRule="auto"/>
        <w:rPr>
          <w:rFonts w:cs="Tahoma"/>
          <w:bCs/>
          <w:color w:val="0D0D0D" w:themeColor="text1" w:themeTint="F2"/>
          <w:lang w:val="es-ES_tradnl"/>
        </w:rPr>
      </w:pPr>
      <w:r w:rsidRPr="003179FE">
        <w:rPr>
          <w:rFonts w:cs="Tahoma"/>
          <w:b/>
          <w:bCs/>
          <w:color w:val="0D0D0D" w:themeColor="text1" w:themeTint="F2"/>
          <w:lang w:val="es-ES_tradnl"/>
        </w:rPr>
        <w:t xml:space="preserve">VISTO </w:t>
      </w:r>
      <w:r w:rsidRPr="003179FE">
        <w:rPr>
          <w:rFonts w:cs="Tahoma"/>
          <w:bCs/>
          <w:color w:val="0D0D0D" w:themeColor="text1" w:themeTint="F2"/>
          <w:lang w:val="es-ES_tradnl"/>
        </w:rPr>
        <w:t xml:space="preserve">el expediente conformado con motivo de los Recurso de Revisión </w:t>
      </w:r>
      <w:bookmarkStart w:id="1" w:name="_Hlk101959150"/>
      <w:r w:rsidR="004A3A96" w:rsidRPr="00577556">
        <w:rPr>
          <w:rFonts w:cs="Tahoma"/>
          <w:b/>
          <w:bCs/>
          <w:color w:val="0D0D0D" w:themeColor="text1" w:themeTint="F2"/>
          <w:lang w:val="es-ES_tradnl"/>
        </w:rPr>
        <w:t>0</w:t>
      </w:r>
      <w:r w:rsidR="000C4012" w:rsidRPr="00577556">
        <w:rPr>
          <w:rFonts w:cs="Tahoma"/>
          <w:b/>
          <w:bCs/>
          <w:color w:val="0D0D0D" w:themeColor="text1" w:themeTint="F2"/>
          <w:lang w:val="es-ES_tradnl"/>
        </w:rPr>
        <w:t>7111</w:t>
      </w:r>
      <w:r w:rsidRPr="00577556">
        <w:rPr>
          <w:rFonts w:cs="Tahoma"/>
          <w:b/>
          <w:bCs/>
          <w:color w:val="0D0D0D" w:themeColor="text1" w:themeTint="F2"/>
          <w:lang w:val="es-ES_tradnl"/>
        </w:rPr>
        <w:t>/INFOEM/IP/RR/202</w:t>
      </w:r>
      <w:r w:rsidR="00496AEA" w:rsidRPr="00577556">
        <w:rPr>
          <w:rFonts w:cs="Tahoma"/>
          <w:b/>
          <w:bCs/>
          <w:color w:val="0D0D0D" w:themeColor="text1" w:themeTint="F2"/>
          <w:lang w:val="es-ES_tradnl"/>
        </w:rPr>
        <w:t>4</w:t>
      </w:r>
      <w:bookmarkEnd w:id="1"/>
      <w:r w:rsidR="00496AEA" w:rsidRPr="00577556">
        <w:rPr>
          <w:rFonts w:cs="Tahoma"/>
          <w:b/>
          <w:bCs/>
          <w:color w:val="0D0D0D" w:themeColor="text1" w:themeTint="F2"/>
          <w:lang w:val="es-ES_tradnl"/>
        </w:rPr>
        <w:t>,</w:t>
      </w:r>
      <w:r w:rsidR="003A7900" w:rsidRPr="00577556">
        <w:rPr>
          <w:rFonts w:cs="Tahoma"/>
          <w:b/>
          <w:bCs/>
          <w:color w:val="0D0D0D" w:themeColor="text1" w:themeTint="F2"/>
          <w:lang w:val="es-ES_tradnl"/>
        </w:rPr>
        <w:t xml:space="preserve"> 0</w:t>
      </w:r>
      <w:r w:rsidR="000C4012" w:rsidRPr="00577556">
        <w:rPr>
          <w:rFonts w:cs="Tahoma"/>
          <w:b/>
          <w:bCs/>
          <w:color w:val="0D0D0D" w:themeColor="text1" w:themeTint="F2"/>
          <w:lang w:val="es-ES_tradnl"/>
        </w:rPr>
        <w:t>7112</w:t>
      </w:r>
      <w:r w:rsidR="003A7900" w:rsidRPr="00577556">
        <w:rPr>
          <w:rFonts w:cs="Tahoma"/>
          <w:b/>
          <w:bCs/>
          <w:color w:val="0D0D0D" w:themeColor="text1" w:themeTint="F2"/>
          <w:lang w:val="es-ES_tradnl"/>
        </w:rPr>
        <w:t>/INFOEM/IP/RR/2024</w:t>
      </w:r>
      <w:r w:rsidR="008C4EC4" w:rsidRPr="00577556">
        <w:rPr>
          <w:rFonts w:cs="Tahoma"/>
          <w:b/>
          <w:bCs/>
          <w:color w:val="0D0D0D" w:themeColor="text1" w:themeTint="F2"/>
          <w:lang w:val="es-ES_tradnl"/>
        </w:rPr>
        <w:t xml:space="preserve"> </w:t>
      </w:r>
      <w:r w:rsidR="003A7900" w:rsidRPr="00577556">
        <w:rPr>
          <w:rFonts w:cs="Tahoma"/>
          <w:b/>
          <w:bCs/>
          <w:color w:val="0D0D0D" w:themeColor="text1" w:themeTint="F2"/>
          <w:lang w:val="es-ES_tradnl"/>
        </w:rPr>
        <w:t>y 0</w:t>
      </w:r>
      <w:r w:rsidR="000C4012" w:rsidRPr="00577556">
        <w:rPr>
          <w:rFonts w:cs="Tahoma"/>
          <w:b/>
          <w:bCs/>
          <w:color w:val="0D0D0D" w:themeColor="text1" w:themeTint="F2"/>
          <w:lang w:val="es-ES_tradnl"/>
        </w:rPr>
        <w:t>7113</w:t>
      </w:r>
      <w:r w:rsidR="003A7900" w:rsidRPr="00577556">
        <w:rPr>
          <w:rFonts w:cs="Tahoma"/>
          <w:b/>
          <w:bCs/>
          <w:color w:val="0D0D0D" w:themeColor="text1" w:themeTint="F2"/>
          <w:lang w:val="es-ES_tradnl"/>
        </w:rPr>
        <w:t>/INFOEM/IP/RR/2024</w:t>
      </w:r>
      <w:r w:rsidRPr="00577556">
        <w:rPr>
          <w:rFonts w:cs="Tahoma"/>
          <w:b/>
          <w:bCs/>
          <w:color w:val="0D0D0D" w:themeColor="text1" w:themeTint="F2"/>
          <w:lang w:val="es-ES_tradnl"/>
        </w:rPr>
        <w:t>,</w:t>
      </w:r>
      <w:r w:rsidRPr="003179FE">
        <w:rPr>
          <w:rFonts w:cs="Tahoma"/>
          <w:color w:val="0D0D0D" w:themeColor="text1" w:themeTint="F2"/>
          <w:lang w:val="es-ES_tradnl"/>
        </w:rPr>
        <w:t xml:space="preserve"> interpuesto</w:t>
      </w:r>
      <w:r w:rsidR="00496AEA" w:rsidRPr="003179FE">
        <w:rPr>
          <w:rFonts w:cs="Tahoma"/>
          <w:color w:val="0D0D0D" w:themeColor="text1" w:themeTint="F2"/>
          <w:lang w:val="es-ES_tradnl"/>
        </w:rPr>
        <w:t xml:space="preserve"> la persona</w:t>
      </w:r>
      <w:r w:rsidR="00084D97" w:rsidRPr="003179FE">
        <w:rPr>
          <w:rFonts w:cs="Tahoma"/>
          <w:color w:val="0D0D0D" w:themeColor="text1" w:themeTint="F2"/>
          <w:lang w:val="es-ES_tradnl"/>
        </w:rPr>
        <w:t xml:space="preserve"> </w:t>
      </w:r>
      <w:r w:rsidRPr="003179FE">
        <w:rPr>
          <w:rFonts w:cs="Tahoma"/>
          <w:color w:val="0D0D0D" w:themeColor="text1" w:themeTint="F2"/>
          <w:lang w:val="es-ES_tradnl"/>
        </w:rPr>
        <w:t xml:space="preserve">Recurrente o Particular, en contra de la </w:t>
      </w:r>
      <w:r w:rsidR="0080627B" w:rsidRPr="003179FE">
        <w:rPr>
          <w:rFonts w:cs="Tahoma"/>
          <w:color w:val="0D0D0D" w:themeColor="text1" w:themeTint="F2"/>
          <w:lang w:val="es-ES_tradnl"/>
        </w:rPr>
        <w:t xml:space="preserve">falta de </w:t>
      </w:r>
      <w:r w:rsidRPr="003179FE">
        <w:rPr>
          <w:rFonts w:cs="Tahoma"/>
          <w:color w:val="0D0D0D" w:themeColor="text1" w:themeTint="F2"/>
          <w:lang w:val="es-ES_tradnl"/>
        </w:rPr>
        <w:t xml:space="preserve">respuesta del Sujeto Obligado, </w:t>
      </w:r>
      <w:r w:rsidR="000C4012" w:rsidRPr="00577556">
        <w:rPr>
          <w:rFonts w:eastAsia="Calibri" w:cs="Tahoma"/>
          <w:b/>
          <w:bCs/>
        </w:rPr>
        <w:t>Comisión del Agua del Estado de México</w:t>
      </w:r>
      <w:r w:rsidRPr="003179FE">
        <w:rPr>
          <w:rFonts w:cs="Tahoma"/>
          <w:color w:val="0D0D0D" w:themeColor="text1" w:themeTint="F2"/>
          <w:lang w:val="es-ES_tradnl"/>
        </w:rPr>
        <w:t>,</w:t>
      </w:r>
      <w:r w:rsidRPr="003179FE">
        <w:rPr>
          <w:rFonts w:cs="Tahoma"/>
          <w:color w:val="0D0D0D" w:themeColor="text1" w:themeTint="F2"/>
        </w:rPr>
        <w:t xml:space="preserve"> a las solicitudes de acceso a la información pública 0</w:t>
      </w:r>
      <w:r w:rsidR="00D54BF5" w:rsidRPr="003179FE">
        <w:rPr>
          <w:rFonts w:cs="Tahoma"/>
          <w:color w:val="0D0D0D" w:themeColor="text1" w:themeTint="F2"/>
        </w:rPr>
        <w:t>0</w:t>
      </w:r>
      <w:r w:rsidR="000C4012" w:rsidRPr="003179FE">
        <w:rPr>
          <w:rFonts w:cs="Tahoma"/>
          <w:color w:val="0D0D0D" w:themeColor="text1" w:themeTint="F2"/>
        </w:rPr>
        <w:t>508</w:t>
      </w:r>
      <w:r w:rsidRPr="003179FE">
        <w:rPr>
          <w:rFonts w:cs="Tahoma"/>
          <w:color w:val="0D0D0D" w:themeColor="text1" w:themeTint="F2"/>
        </w:rPr>
        <w:t>/</w:t>
      </w:r>
      <w:r w:rsidR="000C4012" w:rsidRPr="003179FE">
        <w:rPr>
          <w:rFonts w:cs="Tahoma"/>
          <w:color w:val="0D0D0D" w:themeColor="text1" w:themeTint="F2"/>
        </w:rPr>
        <w:t>CAEM</w:t>
      </w:r>
      <w:r w:rsidRPr="003179FE">
        <w:rPr>
          <w:rFonts w:cs="Tahoma"/>
          <w:color w:val="0D0D0D" w:themeColor="text1" w:themeTint="F2"/>
        </w:rPr>
        <w:t>/IP/202</w:t>
      </w:r>
      <w:r w:rsidR="00496AEA" w:rsidRPr="003179FE">
        <w:rPr>
          <w:rFonts w:cs="Tahoma"/>
          <w:color w:val="0D0D0D" w:themeColor="text1" w:themeTint="F2"/>
        </w:rPr>
        <w:t xml:space="preserve">4, </w:t>
      </w:r>
      <w:r w:rsidR="000C4012" w:rsidRPr="003179FE">
        <w:rPr>
          <w:rFonts w:cs="Tahoma"/>
          <w:color w:val="0D0D0D" w:themeColor="text1" w:themeTint="F2"/>
        </w:rPr>
        <w:t xml:space="preserve">00509/CAEM/IP/2024 </w:t>
      </w:r>
      <w:r w:rsidR="008C4EC4" w:rsidRPr="003179FE">
        <w:rPr>
          <w:rFonts w:cs="Tahoma"/>
          <w:color w:val="0D0D0D" w:themeColor="text1" w:themeTint="F2"/>
        </w:rPr>
        <w:t>y</w:t>
      </w:r>
      <w:r w:rsidR="000C4012" w:rsidRPr="003179FE">
        <w:rPr>
          <w:rFonts w:cs="Tahoma"/>
          <w:color w:val="0D0D0D" w:themeColor="text1" w:themeTint="F2"/>
        </w:rPr>
        <w:t xml:space="preserve"> 00510/CAEM/IP/2024</w:t>
      </w:r>
      <w:r w:rsidR="00496AEA" w:rsidRPr="003179FE">
        <w:rPr>
          <w:rFonts w:cs="Tahoma"/>
          <w:color w:val="0D0D0D" w:themeColor="text1" w:themeTint="F2"/>
        </w:rPr>
        <w:t xml:space="preserve">, </w:t>
      </w:r>
      <w:r w:rsidRPr="003179FE">
        <w:rPr>
          <w:rFonts w:cs="Tahoma"/>
          <w:color w:val="0D0D0D" w:themeColor="text1" w:themeTint="F2"/>
          <w:lang w:val="es-ES_tradnl"/>
        </w:rPr>
        <w:t>se emite la</w:t>
      </w:r>
      <w:r w:rsidRPr="003179FE">
        <w:rPr>
          <w:rFonts w:cs="Tahoma"/>
          <w:bCs/>
          <w:color w:val="0D0D0D" w:themeColor="text1" w:themeTint="F2"/>
          <w:lang w:val="es-ES_tradnl"/>
        </w:rPr>
        <w:t xml:space="preserve"> presente Resolución, con base en los Antecedentes y Considerandos que a continuación se exponen:</w:t>
      </w:r>
    </w:p>
    <w:p w14:paraId="2D4D3038" w14:textId="77777777" w:rsidR="009109DA" w:rsidRPr="003179FE" w:rsidRDefault="009109DA" w:rsidP="005C4054">
      <w:pPr>
        <w:spacing w:after="0" w:line="360" w:lineRule="auto"/>
        <w:rPr>
          <w:rFonts w:eastAsia="Calibri" w:cs="Tahoma"/>
          <w:b/>
          <w:bCs/>
          <w:lang w:val="es-ES_tradnl"/>
        </w:rPr>
      </w:pPr>
    </w:p>
    <w:p w14:paraId="053F92C3" w14:textId="39C245B7" w:rsidR="009109DA" w:rsidRPr="003179FE" w:rsidRDefault="009109DA" w:rsidP="005C4054">
      <w:pPr>
        <w:spacing w:after="0" w:line="360" w:lineRule="auto"/>
        <w:jc w:val="center"/>
        <w:rPr>
          <w:rFonts w:eastAsia="Calibri" w:cs="Tahoma"/>
          <w:b/>
          <w:bCs/>
          <w:lang w:val="es-ES"/>
        </w:rPr>
      </w:pPr>
      <w:r w:rsidRPr="003179FE">
        <w:rPr>
          <w:rFonts w:eastAsia="Calibri" w:cs="Tahoma"/>
          <w:b/>
          <w:bCs/>
          <w:lang w:val="es-ES"/>
        </w:rPr>
        <w:t>A N T E C E D E N T E S</w:t>
      </w:r>
    </w:p>
    <w:p w14:paraId="3E22B062" w14:textId="77777777" w:rsidR="009109DA" w:rsidRPr="003179FE" w:rsidRDefault="009109DA" w:rsidP="005C4054">
      <w:pPr>
        <w:spacing w:after="0" w:line="360" w:lineRule="auto"/>
        <w:rPr>
          <w:rFonts w:eastAsia="Calibri" w:cs="Tahoma"/>
          <w:b/>
          <w:bCs/>
          <w:lang w:val="es-ES"/>
        </w:rPr>
      </w:pPr>
    </w:p>
    <w:p w14:paraId="7660E79C" w14:textId="567E515B" w:rsidR="0051666C" w:rsidRPr="003179FE" w:rsidRDefault="0051666C" w:rsidP="005C4054">
      <w:pPr>
        <w:tabs>
          <w:tab w:val="left" w:pos="567"/>
        </w:tabs>
        <w:spacing w:after="0" w:line="360" w:lineRule="auto"/>
        <w:contextualSpacing/>
        <w:rPr>
          <w:rFonts w:cs="Tahoma"/>
          <w:b/>
          <w:lang w:val="es-ES_tradnl"/>
        </w:rPr>
      </w:pPr>
      <w:r w:rsidRPr="003179FE">
        <w:rPr>
          <w:rFonts w:cs="Tahoma"/>
          <w:b/>
          <w:lang w:val="es-ES_tradnl"/>
        </w:rPr>
        <w:t>I. Presentación de las solicitudes de información</w:t>
      </w:r>
    </w:p>
    <w:p w14:paraId="0FBD9BCB" w14:textId="77777777" w:rsidR="000C4012" w:rsidRPr="003179FE" w:rsidRDefault="000C4012" w:rsidP="005C4054">
      <w:pPr>
        <w:tabs>
          <w:tab w:val="left" w:pos="567"/>
        </w:tabs>
        <w:spacing w:after="0" w:line="360" w:lineRule="auto"/>
        <w:contextualSpacing/>
        <w:rPr>
          <w:rFonts w:cs="Tahoma"/>
          <w:b/>
          <w:lang w:val="es-ES_tradnl"/>
        </w:rPr>
      </w:pPr>
    </w:p>
    <w:p w14:paraId="7EA2401B" w14:textId="489E46BD" w:rsidR="0051666C" w:rsidRPr="003179FE" w:rsidRDefault="00496AEA" w:rsidP="005C4054">
      <w:pPr>
        <w:tabs>
          <w:tab w:val="left" w:pos="567"/>
        </w:tabs>
        <w:spacing w:after="0" w:line="360" w:lineRule="auto"/>
        <w:rPr>
          <w:rFonts w:eastAsia="Calibri" w:cs="Times New Roman"/>
          <w:bCs/>
        </w:rPr>
      </w:pPr>
      <w:r w:rsidRPr="003179FE">
        <w:rPr>
          <w:rFonts w:cs="Tahoma"/>
          <w:lang w:val="es-ES_tradnl"/>
        </w:rPr>
        <w:t xml:space="preserve">El </w:t>
      </w:r>
      <w:r w:rsidR="009E2CBE" w:rsidRPr="003179FE">
        <w:rPr>
          <w:rFonts w:cs="Tahoma"/>
          <w:lang w:val="es-ES_tradnl"/>
        </w:rPr>
        <w:t>siete de octubre</w:t>
      </w:r>
      <w:r w:rsidR="0051666C" w:rsidRPr="003179FE">
        <w:rPr>
          <w:rFonts w:cs="Tahoma"/>
          <w:lang w:val="es-ES_tradnl"/>
        </w:rPr>
        <w:t xml:space="preserve"> de dos mil veinti</w:t>
      </w:r>
      <w:r w:rsidRPr="003179FE">
        <w:rPr>
          <w:rFonts w:cs="Tahoma"/>
          <w:lang w:val="es-ES_tradnl"/>
        </w:rPr>
        <w:t>cuatro,</w:t>
      </w:r>
      <w:r w:rsidR="00E152A2" w:rsidRPr="003179FE">
        <w:rPr>
          <w:rFonts w:cs="Tahoma"/>
          <w:lang w:val="es-ES_tradnl"/>
        </w:rPr>
        <w:t xml:space="preserve"> </w:t>
      </w:r>
      <w:r w:rsidR="00084D97" w:rsidRPr="003179FE">
        <w:rPr>
          <w:rFonts w:cs="Tahoma"/>
          <w:lang w:val="es-ES_tradnl"/>
        </w:rPr>
        <w:t>el</w:t>
      </w:r>
      <w:r w:rsidR="0051666C" w:rsidRPr="003179FE">
        <w:rPr>
          <w:rFonts w:cs="Tahoma"/>
          <w:lang w:val="es-ES_tradnl"/>
        </w:rPr>
        <w:t xml:space="preserve"> Particular presentó </w:t>
      </w:r>
      <w:r w:rsidR="008C4EC4" w:rsidRPr="003179FE">
        <w:rPr>
          <w:rFonts w:cs="Tahoma"/>
          <w:lang w:val="es-ES_tradnl"/>
        </w:rPr>
        <w:t>tres</w:t>
      </w:r>
      <w:r w:rsidR="0051666C" w:rsidRPr="003179FE">
        <w:rPr>
          <w:rFonts w:cs="Tahoma"/>
          <w:lang w:val="es-ES_tradnl"/>
        </w:rPr>
        <w:t xml:space="preserve"> solicitudes de acceso a la información pública, </w:t>
      </w:r>
      <w:r w:rsidR="0051666C" w:rsidRPr="003179FE">
        <w:rPr>
          <w:rFonts w:cs="Tahoma"/>
        </w:rPr>
        <w:t>a través del Sistema de Acceso a la Información Mexiquense (SAIMEX),</w:t>
      </w:r>
      <w:r w:rsidR="00AA52EF" w:rsidRPr="003179FE">
        <w:rPr>
          <w:rFonts w:eastAsia="Calibri" w:cs="Times New Roman"/>
          <w:b/>
          <w:bCs/>
        </w:rPr>
        <w:t xml:space="preserve"> </w:t>
      </w:r>
      <w:r w:rsidR="0051666C" w:rsidRPr="003179FE">
        <w:rPr>
          <w:rFonts w:cs="Tahoma"/>
        </w:rPr>
        <w:t>ante</w:t>
      </w:r>
      <w:r w:rsidR="009E2CBE" w:rsidRPr="003179FE">
        <w:rPr>
          <w:rFonts w:cs="Tahoma"/>
        </w:rPr>
        <w:t xml:space="preserve"> la </w:t>
      </w:r>
      <w:r w:rsidR="009E2CBE" w:rsidRPr="003179FE">
        <w:rPr>
          <w:rFonts w:eastAsia="Calibri" w:cs="Tahoma"/>
        </w:rPr>
        <w:t>Comisión del Agua del Estado de México</w:t>
      </w:r>
      <w:r w:rsidR="00287DD2" w:rsidRPr="003179FE">
        <w:rPr>
          <w:rFonts w:eastAsia="Calibri" w:cs="Times New Roman"/>
          <w:b/>
          <w:bCs/>
        </w:rPr>
        <w:t>,</w:t>
      </w:r>
      <w:r w:rsidR="0051666C" w:rsidRPr="003179FE">
        <w:rPr>
          <w:rFonts w:eastAsia="Calibri" w:cs="Times New Roman"/>
          <w:b/>
          <w:bCs/>
        </w:rPr>
        <w:t xml:space="preserve"> </w:t>
      </w:r>
      <w:r w:rsidR="0051666C" w:rsidRPr="003179FE">
        <w:rPr>
          <w:rFonts w:eastAsia="Calibri" w:cs="Times New Roman"/>
          <w:bCs/>
        </w:rPr>
        <w:t>en los siguientes términos:</w:t>
      </w:r>
    </w:p>
    <w:p w14:paraId="30A5E0D1" w14:textId="77777777" w:rsidR="00496AEA" w:rsidRPr="003179FE" w:rsidRDefault="00496AEA" w:rsidP="005C4054">
      <w:pPr>
        <w:tabs>
          <w:tab w:val="left" w:pos="567"/>
        </w:tabs>
        <w:spacing w:after="0" w:line="360" w:lineRule="auto"/>
        <w:rPr>
          <w:rFonts w:eastAsia="Calibri" w:cs="Times New Roman"/>
          <w:bCs/>
        </w:rPr>
      </w:pPr>
    </w:p>
    <w:tbl>
      <w:tblPr>
        <w:tblStyle w:val="Tablaconcuadrcula2"/>
        <w:tblW w:w="8926" w:type="dxa"/>
        <w:tblLook w:val="04A0" w:firstRow="1" w:lastRow="0" w:firstColumn="1" w:lastColumn="0" w:noHBand="0" w:noVBand="1"/>
      </w:tblPr>
      <w:tblGrid>
        <w:gridCol w:w="473"/>
        <w:gridCol w:w="2617"/>
        <w:gridCol w:w="5836"/>
      </w:tblGrid>
      <w:tr w:rsidR="00496AEA" w:rsidRPr="003179FE" w14:paraId="2E0AFC1B" w14:textId="77777777" w:rsidTr="00496AEA">
        <w:tc>
          <w:tcPr>
            <w:tcW w:w="473" w:type="dxa"/>
            <w:tcBorders>
              <w:top w:val="single" w:sz="4" w:space="0" w:color="auto"/>
              <w:left w:val="single" w:sz="4" w:space="0" w:color="auto"/>
              <w:bottom w:val="single" w:sz="4" w:space="0" w:color="auto"/>
              <w:right w:val="single" w:sz="4" w:space="0" w:color="auto"/>
            </w:tcBorders>
            <w:shd w:val="clear" w:color="auto" w:fill="D0CECE"/>
          </w:tcPr>
          <w:p w14:paraId="6C31CA8D" w14:textId="77777777" w:rsidR="00496AEA" w:rsidRPr="003179FE" w:rsidRDefault="00496AEA" w:rsidP="005C4054">
            <w:pPr>
              <w:tabs>
                <w:tab w:val="left" w:pos="567"/>
              </w:tabs>
              <w:spacing w:line="360" w:lineRule="auto"/>
              <w:ind w:right="-28"/>
              <w:contextualSpacing/>
              <w:rPr>
                <w:rFonts w:cs="Tahoma"/>
                <w:sz w:val="20"/>
                <w:szCs w:val="20"/>
              </w:rPr>
            </w:pPr>
            <w:bookmarkStart w:id="2" w:name="_Hlk184125948"/>
          </w:p>
        </w:tc>
        <w:tc>
          <w:tcPr>
            <w:tcW w:w="2617" w:type="dxa"/>
            <w:tcBorders>
              <w:top w:val="single" w:sz="4" w:space="0" w:color="auto"/>
              <w:left w:val="single" w:sz="4" w:space="0" w:color="auto"/>
              <w:bottom w:val="single" w:sz="4" w:space="0" w:color="auto"/>
              <w:right w:val="single" w:sz="4" w:space="0" w:color="auto"/>
            </w:tcBorders>
            <w:shd w:val="clear" w:color="auto" w:fill="D0CECE"/>
            <w:hideMark/>
          </w:tcPr>
          <w:p w14:paraId="4D346813" w14:textId="77777777" w:rsidR="00496AEA" w:rsidRPr="003179FE" w:rsidRDefault="00496AEA" w:rsidP="005C4054">
            <w:pPr>
              <w:tabs>
                <w:tab w:val="left" w:pos="567"/>
              </w:tabs>
              <w:spacing w:line="360" w:lineRule="auto"/>
              <w:ind w:right="-28"/>
              <w:contextualSpacing/>
              <w:rPr>
                <w:rFonts w:cs="Tahoma"/>
                <w:b/>
                <w:color w:val="000000"/>
                <w:sz w:val="20"/>
                <w:szCs w:val="20"/>
              </w:rPr>
            </w:pPr>
            <w:r w:rsidRPr="003179FE">
              <w:rPr>
                <w:rFonts w:cs="Tahoma"/>
                <w:b/>
                <w:color w:val="000000"/>
                <w:sz w:val="20"/>
                <w:szCs w:val="20"/>
              </w:rPr>
              <w:t>FOLIO DE SOLICITUD</w:t>
            </w:r>
          </w:p>
        </w:tc>
        <w:tc>
          <w:tcPr>
            <w:tcW w:w="5836" w:type="dxa"/>
            <w:tcBorders>
              <w:top w:val="single" w:sz="4" w:space="0" w:color="auto"/>
              <w:left w:val="single" w:sz="4" w:space="0" w:color="auto"/>
              <w:bottom w:val="single" w:sz="4" w:space="0" w:color="auto"/>
              <w:right w:val="single" w:sz="4" w:space="0" w:color="auto"/>
            </w:tcBorders>
            <w:shd w:val="clear" w:color="auto" w:fill="D0CECE"/>
            <w:hideMark/>
          </w:tcPr>
          <w:p w14:paraId="6E898D9F" w14:textId="77777777" w:rsidR="00496AEA" w:rsidRPr="003179FE" w:rsidRDefault="00496AEA" w:rsidP="005C4054">
            <w:pPr>
              <w:tabs>
                <w:tab w:val="left" w:pos="567"/>
              </w:tabs>
              <w:spacing w:line="360" w:lineRule="auto"/>
              <w:contextualSpacing/>
              <w:rPr>
                <w:rFonts w:cs="Tahoma"/>
                <w:b/>
                <w:color w:val="000000"/>
                <w:sz w:val="20"/>
                <w:szCs w:val="20"/>
              </w:rPr>
            </w:pPr>
            <w:r w:rsidRPr="003179FE">
              <w:rPr>
                <w:rFonts w:cs="Tahoma"/>
                <w:b/>
                <w:color w:val="000000"/>
                <w:sz w:val="20"/>
                <w:szCs w:val="20"/>
              </w:rPr>
              <w:t>DESCRIPCIÓN CLARA Y PRECISA DE LA INFORMACIÓN SOLICITADA</w:t>
            </w:r>
          </w:p>
        </w:tc>
      </w:tr>
      <w:tr w:rsidR="00496AEA" w:rsidRPr="003179FE" w14:paraId="1F325B7A" w14:textId="77777777" w:rsidTr="00496AEA">
        <w:tc>
          <w:tcPr>
            <w:tcW w:w="473" w:type="dxa"/>
            <w:tcBorders>
              <w:top w:val="single" w:sz="4" w:space="0" w:color="auto"/>
              <w:left w:val="single" w:sz="4" w:space="0" w:color="auto"/>
              <w:bottom w:val="single" w:sz="4" w:space="0" w:color="auto"/>
              <w:right w:val="single" w:sz="4" w:space="0" w:color="auto"/>
            </w:tcBorders>
            <w:hideMark/>
          </w:tcPr>
          <w:p w14:paraId="76766EA6" w14:textId="77777777" w:rsidR="00496AEA" w:rsidRPr="003179FE" w:rsidRDefault="00496AEA" w:rsidP="005C4054">
            <w:pPr>
              <w:tabs>
                <w:tab w:val="left" w:pos="567"/>
              </w:tabs>
              <w:spacing w:line="360" w:lineRule="auto"/>
              <w:ind w:right="-28"/>
              <w:contextualSpacing/>
              <w:rPr>
                <w:rFonts w:cs="Tahoma"/>
                <w:color w:val="000000"/>
                <w:sz w:val="20"/>
                <w:szCs w:val="20"/>
              </w:rPr>
            </w:pPr>
            <w:r w:rsidRPr="003179FE">
              <w:rPr>
                <w:rFonts w:cs="Tahoma"/>
                <w:color w:val="000000"/>
                <w:sz w:val="20"/>
                <w:szCs w:val="20"/>
              </w:rPr>
              <w:t>1</w:t>
            </w:r>
          </w:p>
        </w:tc>
        <w:tc>
          <w:tcPr>
            <w:tcW w:w="2617" w:type="dxa"/>
            <w:tcBorders>
              <w:top w:val="single" w:sz="4" w:space="0" w:color="auto"/>
              <w:left w:val="single" w:sz="4" w:space="0" w:color="auto"/>
              <w:bottom w:val="single" w:sz="4" w:space="0" w:color="auto"/>
              <w:right w:val="single" w:sz="4" w:space="0" w:color="auto"/>
            </w:tcBorders>
          </w:tcPr>
          <w:p w14:paraId="387FC426" w14:textId="3165F1C8" w:rsidR="00496AEA" w:rsidRPr="003179FE" w:rsidRDefault="00D6197A" w:rsidP="005C4054">
            <w:pPr>
              <w:tabs>
                <w:tab w:val="left" w:pos="567"/>
              </w:tabs>
              <w:spacing w:line="360" w:lineRule="auto"/>
              <w:ind w:right="-28"/>
              <w:contextualSpacing/>
              <w:rPr>
                <w:rFonts w:cs="Tahoma"/>
                <w:b/>
                <w:bCs/>
                <w:i/>
                <w:iCs/>
                <w:color w:val="000000"/>
                <w:sz w:val="20"/>
                <w:szCs w:val="20"/>
              </w:rPr>
            </w:pPr>
            <w:r w:rsidRPr="003179FE">
              <w:rPr>
                <w:rFonts w:cs="Tahoma"/>
                <w:b/>
                <w:bCs/>
                <w:i/>
                <w:iCs/>
                <w:color w:val="0D0D0D" w:themeColor="text1" w:themeTint="F2"/>
                <w:sz w:val="20"/>
                <w:szCs w:val="20"/>
              </w:rPr>
              <w:t>00508/CAEM/IP/2024</w:t>
            </w:r>
          </w:p>
        </w:tc>
        <w:tc>
          <w:tcPr>
            <w:tcW w:w="5836" w:type="dxa"/>
            <w:tcBorders>
              <w:top w:val="single" w:sz="4" w:space="0" w:color="auto"/>
              <w:left w:val="single" w:sz="4" w:space="0" w:color="auto"/>
              <w:bottom w:val="single" w:sz="4" w:space="0" w:color="auto"/>
              <w:right w:val="single" w:sz="4" w:space="0" w:color="auto"/>
            </w:tcBorders>
          </w:tcPr>
          <w:p w14:paraId="1894CABC" w14:textId="4EFCE03E" w:rsidR="00496AEA" w:rsidRPr="003179FE" w:rsidRDefault="00D6197A" w:rsidP="005C4054">
            <w:pPr>
              <w:tabs>
                <w:tab w:val="left" w:pos="567"/>
              </w:tabs>
              <w:spacing w:line="360" w:lineRule="auto"/>
              <w:contextualSpacing/>
              <w:rPr>
                <w:rFonts w:cs="Tahoma"/>
                <w:i/>
                <w:iCs/>
                <w:color w:val="000000"/>
                <w:sz w:val="20"/>
                <w:szCs w:val="20"/>
              </w:rPr>
            </w:pPr>
            <w:r w:rsidRPr="003179FE">
              <w:rPr>
                <w:rFonts w:cs="Tahoma"/>
                <w:i/>
                <w:iCs/>
                <w:color w:val="000000"/>
                <w:sz w:val="20"/>
                <w:szCs w:val="20"/>
                <w:lang w:val="es-MX"/>
              </w:rPr>
              <w:t>Solicito todos los oficios firmados por Erick Montiel de la Unidad de información planeación y programación desde 01 de octubre del 2023 hasta la fecha de la presente solicitud</w:t>
            </w:r>
            <w:r w:rsidR="00496AEA" w:rsidRPr="003179FE">
              <w:rPr>
                <w:rFonts w:cs="Tahoma"/>
                <w:i/>
                <w:iCs/>
                <w:color w:val="000000"/>
                <w:sz w:val="20"/>
                <w:szCs w:val="20"/>
                <w:lang w:val="es-MX"/>
              </w:rPr>
              <w:t>” (Sic)</w:t>
            </w:r>
          </w:p>
        </w:tc>
      </w:tr>
      <w:tr w:rsidR="00496AEA" w:rsidRPr="003179FE" w14:paraId="5E133AE9" w14:textId="77777777" w:rsidTr="00496AEA">
        <w:tc>
          <w:tcPr>
            <w:tcW w:w="473" w:type="dxa"/>
            <w:tcBorders>
              <w:top w:val="single" w:sz="4" w:space="0" w:color="auto"/>
              <w:left w:val="single" w:sz="4" w:space="0" w:color="auto"/>
              <w:bottom w:val="single" w:sz="4" w:space="0" w:color="auto"/>
              <w:right w:val="single" w:sz="4" w:space="0" w:color="auto"/>
            </w:tcBorders>
          </w:tcPr>
          <w:p w14:paraId="69EC0E3E" w14:textId="77777777" w:rsidR="00496AEA" w:rsidRPr="003179FE" w:rsidRDefault="00496AEA" w:rsidP="005C4054">
            <w:pPr>
              <w:tabs>
                <w:tab w:val="left" w:pos="567"/>
              </w:tabs>
              <w:spacing w:line="360" w:lineRule="auto"/>
              <w:ind w:right="-28"/>
              <w:contextualSpacing/>
              <w:rPr>
                <w:rFonts w:cs="Tahoma"/>
                <w:color w:val="000000"/>
                <w:sz w:val="20"/>
                <w:szCs w:val="20"/>
              </w:rPr>
            </w:pPr>
            <w:r w:rsidRPr="003179FE">
              <w:rPr>
                <w:rFonts w:cs="Tahoma"/>
                <w:color w:val="000000"/>
                <w:sz w:val="20"/>
                <w:szCs w:val="20"/>
              </w:rPr>
              <w:lastRenderedPageBreak/>
              <w:t>2</w:t>
            </w:r>
          </w:p>
        </w:tc>
        <w:tc>
          <w:tcPr>
            <w:tcW w:w="2617" w:type="dxa"/>
            <w:tcBorders>
              <w:top w:val="single" w:sz="4" w:space="0" w:color="auto"/>
              <w:left w:val="single" w:sz="4" w:space="0" w:color="auto"/>
              <w:bottom w:val="single" w:sz="4" w:space="0" w:color="auto"/>
              <w:right w:val="single" w:sz="4" w:space="0" w:color="auto"/>
            </w:tcBorders>
          </w:tcPr>
          <w:p w14:paraId="1FEB3FD6" w14:textId="002E13E7" w:rsidR="00496AEA" w:rsidRPr="003179FE" w:rsidRDefault="00D6197A" w:rsidP="005C4054">
            <w:pPr>
              <w:tabs>
                <w:tab w:val="left" w:pos="567"/>
              </w:tabs>
              <w:spacing w:line="360" w:lineRule="auto"/>
              <w:ind w:right="-28"/>
              <w:contextualSpacing/>
              <w:rPr>
                <w:rFonts w:cs="Tahoma"/>
                <w:b/>
                <w:bCs/>
                <w:i/>
                <w:iCs/>
                <w:color w:val="0D0D0D"/>
                <w:sz w:val="20"/>
                <w:szCs w:val="20"/>
              </w:rPr>
            </w:pPr>
            <w:r w:rsidRPr="003179FE">
              <w:rPr>
                <w:rFonts w:cs="Tahoma"/>
                <w:b/>
                <w:bCs/>
                <w:i/>
                <w:iCs/>
                <w:color w:val="0D0D0D" w:themeColor="text1" w:themeTint="F2"/>
                <w:sz w:val="20"/>
                <w:szCs w:val="20"/>
              </w:rPr>
              <w:t>00509/CAEM/IP/2024</w:t>
            </w:r>
          </w:p>
        </w:tc>
        <w:tc>
          <w:tcPr>
            <w:tcW w:w="5836" w:type="dxa"/>
            <w:tcBorders>
              <w:top w:val="single" w:sz="4" w:space="0" w:color="auto"/>
              <w:left w:val="single" w:sz="4" w:space="0" w:color="auto"/>
              <w:bottom w:val="single" w:sz="4" w:space="0" w:color="auto"/>
              <w:right w:val="single" w:sz="4" w:space="0" w:color="auto"/>
            </w:tcBorders>
          </w:tcPr>
          <w:p w14:paraId="1EFCAA05" w14:textId="1811662E" w:rsidR="00496AEA" w:rsidRPr="003179FE" w:rsidRDefault="00D6197A" w:rsidP="005C4054">
            <w:pPr>
              <w:tabs>
                <w:tab w:val="left" w:pos="567"/>
              </w:tabs>
              <w:spacing w:line="360" w:lineRule="auto"/>
              <w:contextualSpacing/>
              <w:rPr>
                <w:i/>
                <w:iCs/>
                <w:color w:val="000000"/>
                <w:sz w:val="20"/>
                <w:szCs w:val="20"/>
              </w:rPr>
            </w:pPr>
            <w:r w:rsidRPr="003179FE">
              <w:rPr>
                <w:rFonts w:cs="Tahoma"/>
                <w:i/>
                <w:iCs/>
                <w:color w:val="000000"/>
                <w:sz w:val="20"/>
                <w:szCs w:val="20"/>
                <w:lang w:val="es-MX"/>
              </w:rPr>
              <w:t>Solicito todos l</w:t>
            </w:r>
            <w:r w:rsidR="00ED4E82">
              <w:rPr>
                <w:rFonts w:cs="Tahoma"/>
                <w:i/>
                <w:iCs/>
                <w:color w:val="000000"/>
                <w:sz w:val="20"/>
                <w:szCs w:val="20"/>
                <w:lang w:val="es-MX"/>
              </w:rPr>
              <w:t xml:space="preserve">os oficios firmados por Héctor Perales </w:t>
            </w:r>
            <w:proofErr w:type="spellStart"/>
            <w:r w:rsidR="00ED4E82">
              <w:rPr>
                <w:rFonts w:cs="Tahoma"/>
                <w:i/>
                <w:iCs/>
                <w:color w:val="000000"/>
                <w:sz w:val="20"/>
                <w:szCs w:val="20"/>
                <w:lang w:val="es-MX"/>
              </w:rPr>
              <w:t>N</w:t>
            </w:r>
            <w:r w:rsidRPr="003179FE">
              <w:rPr>
                <w:rFonts w:cs="Tahoma"/>
                <w:i/>
                <w:iCs/>
                <w:color w:val="000000"/>
                <w:sz w:val="20"/>
                <w:szCs w:val="20"/>
                <w:lang w:val="es-MX"/>
              </w:rPr>
              <w:t>atto</w:t>
            </w:r>
            <w:proofErr w:type="spellEnd"/>
            <w:r w:rsidRPr="003179FE">
              <w:rPr>
                <w:rFonts w:cs="Tahoma"/>
                <w:i/>
                <w:iCs/>
                <w:color w:val="000000"/>
                <w:sz w:val="20"/>
                <w:szCs w:val="20"/>
                <w:lang w:val="es-MX"/>
              </w:rPr>
              <w:t xml:space="preserve"> de la Unidad de información planeación y programación desde 01 de octubre del 2023 hasta la fecha de la presente solicitud</w:t>
            </w:r>
            <w:r w:rsidR="00496AEA" w:rsidRPr="003179FE">
              <w:rPr>
                <w:rFonts w:cs="Tahoma"/>
                <w:i/>
                <w:iCs/>
                <w:color w:val="000000"/>
                <w:sz w:val="20"/>
                <w:szCs w:val="20"/>
                <w:lang w:val="es-MX"/>
              </w:rPr>
              <w:t>” (Sic)</w:t>
            </w:r>
          </w:p>
        </w:tc>
      </w:tr>
      <w:tr w:rsidR="00496AEA" w:rsidRPr="003179FE" w14:paraId="7073169A" w14:textId="77777777" w:rsidTr="00496AEA">
        <w:tc>
          <w:tcPr>
            <w:tcW w:w="473" w:type="dxa"/>
            <w:tcBorders>
              <w:top w:val="single" w:sz="4" w:space="0" w:color="auto"/>
              <w:left w:val="single" w:sz="4" w:space="0" w:color="auto"/>
              <w:bottom w:val="single" w:sz="4" w:space="0" w:color="auto"/>
              <w:right w:val="single" w:sz="4" w:space="0" w:color="auto"/>
            </w:tcBorders>
            <w:hideMark/>
          </w:tcPr>
          <w:p w14:paraId="22C7E638" w14:textId="77777777" w:rsidR="00496AEA" w:rsidRPr="003179FE" w:rsidRDefault="00496AEA" w:rsidP="005C4054">
            <w:pPr>
              <w:tabs>
                <w:tab w:val="left" w:pos="567"/>
              </w:tabs>
              <w:spacing w:line="360" w:lineRule="auto"/>
              <w:ind w:right="-28"/>
              <w:contextualSpacing/>
              <w:rPr>
                <w:rFonts w:cs="Tahoma"/>
                <w:color w:val="000000"/>
                <w:sz w:val="20"/>
                <w:szCs w:val="20"/>
              </w:rPr>
            </w:pPr>
            <w:r w:rsidRPr="003179FE">
              <w:rPr>
                <w:rFonts w:cs="Tahoma"/>
                <w:color w:val="000000"/>
                <w:sz w:val="20"/>
                <w:szCs w:val="20"/>
              </w:rPr>
              <w:t>3</w:t>
            </w:r>
          </w:p>
        </w:tc>
        <w:tc>
          <w:tcPr>
            <w:tcW w:w="2617" w:type="dxa"/>
            <w:tcBorders>
              <w:top w:val="single" w:sz="4" w:space="0" w:color="auto"/>
              <w:left w:val="single" w:sz="4" w:space="0" w:color="auto"/>
              <w:bottom w:val="single" w:sz="4" w:space="0" w:color="auto"/>
              <w:right w:val="single" w:sz="4" w:space="0" w:color="auto"/>
            </w:tcBorders>
            <w:hideMark/>
          </w:tcPr>
          <w:p w14:paraId="69D7C98F" w14:textId="61B8E4BB" w:rsidR="00496AEA" w:rsidRPr="003179FE" w:rsidRDefault="00D6197A" w:rsidP="005C4054">
            <w:pPr>
              <w:tabs>
                <w:tab w:val="left" w:pos="567"/>
              </w:tabs>
              <w:spacing w:line="360" w:lineRule="auto"/>
              <w:ind w:right="-28"/>
              <w:contextualSpacing/>
              <w:rPr>
                <w:rFonts w:cs="Tahoma"/>
                <w:b/>
                <w:bCs/>
                <w:i/>
                <w:iCs/>
                <w:color w:val="000000"/>
                <w:sz w:val="20"/>
                <w:szCs w:val="20"/>
              </w:rPr>
            </w:pPr>
            <w:r w:rsidRPr="003179FE">
              <w:rPr>
                <w:rFonts w:cs="Tahoma"/>
                <w:b/>
                <w:bCs/>
                <w:i/>
                <w:iCs/>
                <w:color w:val="0D0D0D" w:themeColor="text1" w:themeTint="F2"/>
                <w:sz w:val="20"/>
                <w:szCs w:val="20"/>
              </w:rPr>
              <w:t>00510/CAEM/IP/2024</w:t>
            </w:r>
          </w:p>
        </w:tc>
        <w:tc>
          <w:tcPr>
            <w:tcW w:w="5836" w:type="dxa"/>
            <w:tcBorders>
              <w:top w:val="single" w:sz="4" w:space="0" w:color="auto"/>
              <w:left w:val="single" w:sz="4" w:space="0" w:color="auto"/>
              <w:bottom w:val="single" w:sz="4" w:space="0" w:color="auto"/>
              <w:right w:val="single" w:sz="4" w:space="0" w:color="auto"/>
            </w:tcBorders>
            <w:hideMark/>
          </w:tcPr>
          <w:p w14:paraId="165C5D46" w14:textId="77034890" w:rsidR="00496AEA" w:rsidRPr="003179FE" w:rsidRDefault="00D6197A" w:rsidP="005C4054">
            <w:pPr>
              <w:spacing w:line="360" w:lineRule="auto"/>
              <w:contextualSpacing/>
              <w:rPr>
                <w:rFonts w:eastAsia="Times New Roman" w:cs="Arial"/>
                <w:bCs/>
                <w:i/>
                <w:iCs/>
                <w:color w:val="000000"/>
                <w:sz w:val="20"/>
                <w:szCs w:val="20"/>
                <w:lang w:eastAsia="es-ES"/>
              </w:rPr>
            </w:pPr>
            <w:r w:rsidRPr="003179FE">
              <w:rPr>
                <w:rFonts w:cs="Tahoma"/>
                <w:i/>
                <w:iCs/>
                <w:color w:val="000000"/>
                <w:sz w:val="20"/>
                <w:szCs w:val="20"/>
                <w:lang w:val="es-MX"/>
              </w:rPr>
              <w:t>Solicito todos los oficios firmados por Gabriela Flores Durán de la Unidad de información planeación y programación desde 01 de octubre del 2023 hasta la fecha de la presente solicitud</w:t>
            </w:r>
            <w:r w:rsidR="00496AEA" w:rsidRPr="003179FE">
              <w:rPr>
                <w:rFonts w:cs="Tahoma"/>
                <w:i/>
                <w:iCs/>
                <w:color w:val="000000"/>
                <w:sz w:val="20"/>
                <w:szCs w:val="20"/>
                <w:lang w:val="es-MX"/>
              </w:rPr>
              <w:t>” (Sic)</w:t>
            </w:r>
          </w:p>
        </w:tc>
      </w:tr>
      <w:bookmarkEnd w:id="2"/>
    </w:tbl>
    <w:p w14:paraId="49C2A683" w14:textId="77777777" w:rsidR="00825FAA" w:rsidRPr="003179FE" w:rsidRDefault="00825FAA" w:rsidP="005C4054">
      <w:pPr>
        <w:spacing w:after="0" w:line="360" w:lineRule="auto"/>
        <w:ind w:right="567"/>
        <w:contextualSpacing/>
        <w:rPr>
          <w:i/>
          <w:sz w:val="20"/>
          <w:szCs w:val="20"/>
        </w:rPr>
      </w:pPr>
    </w:p>
    <w:p w14:paraId="37680469" w14:textId="40EF7615" w:rsidR="0051666C" w:rsidRPr="003179FE" w:rsidRDefault="0051666C" w:rsidP="005C4054">
      <w:pPr>
        <w:tabs>
          <w:tab w:val="left" w:pos="4667"/>
        </w:tabs>
        <w:spacing w:after="0" w:line="360" w:lineRule="auto"/>
        <w:rPr>
          <w:rFonts w:cs="Tahoma"/>
          <w:bCs/>
          <w:i/>
        </w:rPr>
      </w:pPr>
      <w:r w:rsidRPr="003179FE">
        <w:rPr>
          <w:rFonts w:cs="Tahoma"/>
          <w:bCs/>
          <w:iCs/>
        </w:rPr>
        <w:t xml:space="preserve">Es de señalar que en las </w:t>
      </w:r>
      <w:r w:rsidR="00696785" w:rsidRPr="003179FE">
        <w:rPr>
          <w:rFonts w:cs="Tahoma"/>
          <w:bCs/>
          <w:iCs/>
        </w:rPr>
        <w:t>tres</w:t>
      </w:r>
      <w:r w:rsidRPr="003179FE">
        <w:rPr>
          <w:rFonts w:cs="Tahoma"/>
          <w:bCs/>
          <w:iCs/>
        </w:rPr>
        <w:t xml:space="preserve"> solicitudes de acceso a la información el ahora Recurrente eligió como modalidad de entrega de la información </w:t>
      </w:r>
      <w:r w:rsidRPr="003179FE">
        <w:rPr>
          <w:rFonts w:cs="Tahoma"/>
          <w:bCs/>
          <w:i/>
        </w:rPr>
        <w:t>“A través del SAIMEX”.</w:t>
      </w:r>
    </w:p>
    <w:p w14:paraId="1176035B" w14:textId="77777777" w:rsidR="001C41C4" w:rsidRPr="003179FE" w:rsidRDefault="001C41C4" w:rsidP="005C4054">
      <w:pPr>
        <w:spacing w:after="0" w:line="360" w:lineRule="auto"/>
        <w:rPr>
          <w:rFonts w:eastAsia="Calibri" w:cs="Tahoma"/>
          <w:b/>
          <w:bCs/>
        </w:rPr>
      </w:pPr>
    </w:p>
    <w:p w14:paraId="63CFD72F" w14:textId="1DDF4DC3" w:rsidR="009109DA" w:rsidRPr="003179FE" w:rsidRDefault="009109DA" w:rsidP="005C4054">
      <w:pPr>
        <w:spacing w:after="0" w:line="360" w:lineRule="auto"/>
        <w:rPr>
          <w:rFonts w:eastAsia="Calibri" w:cs="Tahoma"/>
          <w:b/>
          <w:bCs/>
        </w:rPr>
      </w:pPr>
      <w:r w:rsidRPr="003179FE">
        <w:rPr>
          <w:rFonts w:eastAsia="Calibri" w:cs="Tahoma"/>
          <w:b/>
          <w:bCs/>
        </w:rPr>
        <w:t>I</w:t>
      </w:r>
      <w:r w:rsidR="00D96DD8" w:rsidRPr="003179FE">
        <w:rPr>
          <w:rFonts w:eastAsia="Calibri" w:cs="Tahoma"/>
          <w:b/>
          <w:bCs/>
        </w:rPr>
        <w:t>I</w:t>
      </w:r>
      <w:r w:rsidRPr="003179FE">
        <w:rPr>
          <w:rFonts w:eastAsia="Calibri" w:cs="Tahoma"/>
          <w:b/>
          <w:bCs/>
        </w:rPr>
        <w:t xml:space="preserve">. </w:t>
      </w:r>
      <w:r w:rsidRPr="003179FE">
        <w:rPr>
          <w:rFonts w:eastAsia="Calibri" w:cs="Tahoma"/>
          <w:b/>
        </w:rPr>
        <w:t>Respuesta</w:t>
      </w:r>
      <w:r w:rsidRPr="003179FE">
        <w:rPr>
          <w:rFonts w:eastAsia="Calibri" w:cs="Tahoma"/>
          <w:b/>
          <w:bCs/>
        </w:rPr>
        <w:t xml:space="preserve"> del Sujeto Obligado</w:t>
      </w:r>
    </w:p>
    <w:p w14:paraId="377F0D07" w14:textId="77777777" w:rsidR="009109DA" w:rsidRPr="003179FE" w:rsidRDefault="009109DA" w:rsidP="005C4054">
      <w:pPr>
        <w:spacing w:after="0" w:line="360" w:lineRule="auto"/>
        <w:rPr>
          <w:rFonts w:eastAsia="Calibri" w:cs="Tahoma"/>
          <w:b/>
          <w:bCs/>
        </w:rPr>
      </w:pPr>
    </w:p>
    <w:p w14:paraId="242D1AD4" w14:textId="5AC22C81" w:rsidR="006F532C" w:rsidRPr="003179FE" w:rsidRDefault="006F532C" w:rsidP="005C4054">
      <w:pPr>
        <w:tabs>
          <w:tab w:val="left" w:pos="4667"/>
        </w:tabs>
        <w:spacing w:after="0" w:line="360" w:lineRule="auto"/>
        <w:rPr>
          <w:rFonts w:eastAsia="Times New Roman" w:cs="Tahoma"/>
          <w:color w:val="auto"/>
          <w:szCs w:val="24"/>
          <w:lang w:val="es-ES" w:eastAsia="es-ES"/>
        </w:rPr>
      </w:pPr>
      <w:r w:rsidRPr="003179FE">
        <w:rPr>
          <w:rFonts w:eastAsia="Times New Roman" w:cs="Tahoma"/>
          <w:color w:val="auto"/>
          <w:szCs w:val="24"/>
          <w:lang w:eastAsia="es-ES"/>
        </w:rPr>
        <w:t>De conformidad con el artículo 163, párrafo primero de la Ley de Transparencia y Acceso a la Información Pública del Estado de México y Municipios, el Sujeto Obligado debió dar contestación a la</w:t>
      </w:r>
      <w:r w:rsidR="000A38DF" w:rsidRPr="003179FE">
        <w:rPr>
          <w:rFonts w:eastAsia="Times New Roman" w:cs="Tahoma"/>
          <w:color w:val="auto"/>
          <w:szCs w:val="24"/>
          <w:lang w:eastAsia="es-ES"/>
        </w:rPr>
        <w:t>s</w:t>
      </w:r>
      <w:r w:rsidRPr="003179FE">
        <w:rPr>
          <w:rFonts w:eastAsia="Times New Roman" w:cs="Tahoma"/>
          <w:color w:val="auto"/>
          <w:szCs w:val="24"/>
          <w:lang w:eastAsia="es-ES"/>
        </w:rPr>
        <w:t xml:space="preserve"> solicitud</w:t>
      </w:r>
      <w:r w:rsidR="000A38DF" w:rsidRPr="003179FE">
        <w:rPr>
          <w:rFonts w:eastAsia="Times New Roman" w:cs="Tahoma"/>
          <w:color w:val="auto"/>
          <w:szCs w:val="24"/>
          <w:lang w:eastAsia="es-ES"/>
        </w:rPr>
        <w:t>es</w:t>
      </w:r>
      <w:r w:rsidRPr="003179FE">
        <w:rPr>
          <w:rFonts w:eastAsia="Times New Roman" w:cs="Tahoma"/>
          <w:color w:val="auto"/>
          <w:szCs w:val="24"/>
          <w:lang w:eastAsia="es-ES"/>
        </w:rPr>
        <w:t xml:space="preserve"> de acceso a la información; sin embargo, de las constancias que obran en el expediente electrónico del </w:t>
      </w:r>
      <w:r w:rsidRPr="003179FE">
        <w:rPr>
          <w:rFonts w:eastAsia="Times New Roman" w:cs="Tahoma"/>
          <w:color w:val="auto"/>
          <w:szCs w:val="24"/>
          <w:lang w:val="es-ES" w:eastAsia="es-ES"/>
        </w:rPr>
        <w:t xml:space="preserve">Sistema de Acceso a la Información Mexiquense (SAIMEX), se advierte que </w:t>
      </w:r>
      <w:r w:rsidR="00D6197A" w:rsidRPr="003179FE">
        <w:rPr>
          <w:rFonts w:eastAsia="Times New Roman" w:cs="Tahoma"/>
          <w:color w:val="auto"/>
          <w:szCs w:val="24"/>
          <w:lang w:val="es-ES" w:eastAsia="es-ES"/>
        </w:rPr>
        <w:t xml:space="preserve">la </w:t>
      </w:r>
      <w:r w:rsidR="00D6197A" w:rsidRPr="003179FE">
        <w:rPr>
          <w:rFonts w:eastAsia="Calibri" w:cs="Tahoma"/>
          <w:b/>
          <w:bCs/>
        </w:rPr>
        <w:t>Comisión del Agua del Estado de México</w:t>
      </w:r>
      <w:r w:rsidRPr="003179FE">
        <w:rPr>
          <w:rFonts w:eastAsia="Times New Roman" w:cs="Tahoma"/>
          <w:bCs/>
          <w:color w:val="auto"/>
          <w:szCs w:val="24"/>
          <w:lang w:eastAsia="es-ES"/>
        </w:rPr>
        <w:t xml:space="preserve">, omitió dar respuesta a las solicitudes de información, por lo que </w:t>
      </w:r>
      <w:r w:rsidRPr="003179FE">
        <w:rPr>
          <w:rFonts w:eastAsia="Times New Roman" w:cs="Tahoma"/>
          <w:b/>
          <w:color w:val="auto"/>
          <w:szCs w:val="24"/>
          <w:lang w:eastAsia="es-ES"/>
        </w:rPr>
        <w:t xml:space="preserve">se configura la </w:t>
      </w:r>
      <w:r w:rsidRPr="003179FE">
        <w:rPr>
          <w:rFonts w:eastAsia="Times New Roman" w:cs="Tahoma"/>
          <w:b/>
          <w:color w:val="auto"/>
          <w:szCs w:val="24"/>
          <w:lang w:val="es-ES" w:eastAsia="es-ES"/>
        </w:rPr>
        <w:t>negativa ficta</w:t>
      </w:r>
      <w:r w:rsidRPr="003179FE">
        <w:rPr>
          <w:rFonts w:eastAsia="Times New Roman" w:cs="Tahoma"/>
          <w:color w:val="auto"/>
          <w:szCs w:val="24"/>
          <w:lang w:val="es-ES" w:eastAsia="es-ES"/>
        </w:rPr>
        <w:t xml:space="preserve"> a entregar información, prevista en los artículos 166, párrafo cuarto y 178, párrafo segundo, de la Ley de Transparencia y Acceso a la Información Pública del Estado de México y Municipios.</w:t>
      </w:r>
    </w:p>
    <w:p w14:paraId="570E7704" w14:textId="77777777" w:rsidR="009109DA" w:rsidRPr="003179FE" w:rsidRDefault="009109DA" w:rsidP="005C4054">
      <w:pPr>
        <w:autoSpaceDE w:val="0"/>
        <w:autoSpaceDN w:val="0"/>
        <w:adjustRightInd w:val="0"/>
        <w:spacing w:after="0" w:line="360" w:lineRule="auto"/>
        <w:rPr>
          <w:rFonts w:eastAsia="Calibri" w:cs="Tahoma"/>
          <w:b/>
          <w:color w:val="000000"/>
        </w:rPr>
      </w:pPr>
    </w:p>
    <w:p w14:paraId="60F8A719" w14:textId="1AB6E851" w:rsidR="009109DA" w:rsidRPr="003179FE" w:rsidRDefault="00D96DD8" w:rsidP="005C4054">
      <w:pPr>
        <w:autoSpaceDE w:val="0"/>
        <w:autoSpaceDN w:val="0"/>
        <w:adjustRightInd w:val="0"/>
        <w:spacing w:after="0" w:line="360" w:lineRule="auto"/>
        <w:rPr>
          <w:rFonts w:eastAsia="Calibri" w:cs="Tahoma"/>
          <w:b/>
          <w:color w:val="000000"/>
        </w:rPr>
      </w:pPr>
      <w:r w:rsidRPr="003179FE">
        <w:rPr>
          <w:rFonts w:eastAsia="Calibri" w:cs="Tahoma"/>
          <w:b/>
          <w:color w:val="000000"/>
        </w:rPr>
        <w:t>III</w:t>
      </w:r>
      <w:r w:rsidR="009109DA" w:rsidRPr="003179FE">
        <w:rPr>
          <w:rFonts w:eastAsia="Calibri" w:cs="Tahoma"/>
          <w:b/>
          <w:color w:val="000000"/>
        </w:rPr>
        <w:t xml:space="preserve">. Interposición del Recurso de Revisión </w:t>
      </w:r>
    </w:p>
    <w:p w14:paraId="3E2F5155" w14:textId="77777777" w:rsidR="009109DA" w:rsidRPr="003179FE" w:rsidRDefault="009109DA" w:rsidP="005C4054">
      <w:pPr>
        <w:spacing w:after="0" w:line="360" w:lineRule="auto"/>
        <w:rPr>
          <w:rFonts w:eastAsia="Times New Roman" w:cs="Tahoma"/>
          <w:bCs/>
          <w:color w:val="auto"/>
          <w:lang w:eastAsia="es-ES"/>
        </w:rPr>
      </w:pPr>
    </w:p>
    <w:p w14:paraId="52C1A86B" w14:textId="1A0C3DA4" w:rsidR="00113AE3" w:rsidRPr="003179FE" w:rsidRDefault="00121FAB" w:rsidP="005C4054">
      <w:pPr>
        <w:spacing w:after="0" w:line="360" w:lineRule="auto"/>
        <w:rPr>
          <w:rFonts w:eastAsia="Times New Roman" w:cs="Tahoma"/>
          <w:bCs/>
          <w:color w:val="auto"/>
          <w:lang w:eastAsia="es-ES"/>
        </w:rPr>
      </w:pPr>
      <w:r w:rsidRPr="003179FE">
        <w:rPr>
          <w:rFonts w:eastAsia="Times New Roman" w:cs="Tahoma"/>
          <w:bCs/>
          <w:color w:val="auto"/>
          <w:lang w:val="es-ES" w:eastAsia="es-ES"/>
        </w:rPr>
        <w:t>E</w:t>
      </w:r>
      <w:r w:rsidR="00AD6B6E" w:rsidRPr="003179FE">
        <w:rPr>
          <w:rFonts w:eastAsia="Times New Roman" w:cs="Tahoma"/>
          <w:bCs/>
          <w:color w:val="auto"/>
          <w:lang w:val="es-ES" w:eastAsia="es-ES"/>
        </w:rPr>
        <w:t>l siete de noviembre</w:t>
      </w:r>
      <w:r w:rsidRPr="003179FE">
        <w:rPr>
          <w:rFonts w:eastAsia="Times New Roman" w:cs="Tahoma"/>
          <w:bCs/>
          <w:color w:val="auto"/>
          <w:lang w:val="es-ES" w:eastAsia="es-ES"/>
        </w:rPr>
        <w:t xml:space="preserve"> de dos mil veinticuatro</w:t>
      </w:r>
      <w:r w:rsidR="00113AE3" w:rsidRPr="003179FE">
        <w:rPr>
          <w:rFonts w:eastAsia="Times New Roman" w:cs="Tahoma"/>
          <w:bCs/>
          <w:color w:val="auto"/>
          <w:lang w:val="es-ES" w:eastAsia="es-ES"/>
        </w:rPr>
        <w:t xml:space="preserve">, </w:t>
      </w:r>
      <w:r w:rsidR="00113AE3" w:rsidRPr="003179FE">
        <w:rPr>
          <w:rFonts w:eastAsia="Times New Roman" w:cs="Tahoma"/>
          <w:bCs/>
          <w:color w:val="auto"/>
          <w:lang w:eastAsia="es-ES"/>
        </w:rPr>
        <w:t xml:space="preserve">se recibió en este Instituto, a través del </w:t>
      </w:r>
      <w:r w:rsidR="00113AE3" w:rsidRPr="003179FE">
        <w:rPr>
          <w:rFonts w:eastAsia="Times New Roman" w:cs="Tahoma"/>
          <w:bCs/>
          <w:color w:val="auto"/>
          <w:lang w:val="es-ES" w:eastAsia="es-ES"/>
        </w:rPr>
        <w:t>Sistema de Acceso a la Información Mexiquense (SAIMEX)</w:t>
      </w:r>
      <w:r w:rsidR="00113AE3" w:rsidRPr="003179FE">
        <w:rPr>
          <w:rFonts w:eastAsia="Times New Roman" w:cs="Tahoma"/>
          <w:bCs/>
          <w:color w:val="auto"/>
          <w:lang w:eastAsia="es-ES"/>
        </w:rPr>
        <w:t xml:space="preserve">, </w:t>
      </w:r>
      <w:r w:rsidR="009A7C84" w:rsidRPr="003179FE">
        <w:rPr>
          <w:rFonts w:eastAsia="Times New Roman" w:cs="Tahoma"/>
          <w:bCs/>
          <w:color w:val="auto"/>
          <w:lang w:eastAsia="es-ES"/>
        </w:rPr>
        <w:t>tres</w:t>
      </w:r>
      <w:r w:rsidR="00113AE3" w:rsidRPr="003179FE">
        <w:rPr>
          <w:rFonts w:eastAsia="Times New Roman" w:cs="Tahoma"/>
          <w:bCs/>
          <w:color w:val="auto"/>
          <w:lang w:eastAsia="es-ES"/>
        </w:rPr>
        <w:t xml:space="preserve"> Recursos de Revisión interpuestos por la p</w:t>
      </w:r>
      <w:r w:rsidR="002514BF" w:rsidRPr="003179FE">
        <w:rPr>
          <w:rFonts w:eastAsia="Times New Roman" w:cs="Tahoma"/>
          <w:bCs/>
          <w:color w:val="auto"/>
          <w:lang w:eastAsia="es-ES"/>
        </w:rPr>
        <w:t>ersona</w:t>
      </w:r>
      <w:r w:rsidR="00113AE3" w:rsidRPr="003179FE">
        <w:rPr>
          <w:rFonts w:eastAsia="Times New Roman" w:cs="Tahoma"/>
          <w:bCs/>
          <w:color w:val="auto"/>
          <w:lang w:eastAsia="es-ES"/>
        </w:rPr>
        <w:t xml:space="preserve"> Recurrente, en contra de la falta de respuesta del Sujeto Obligado</w:t>
      </w:r>
      <w:r w:rsidR="00113AE3" w:rsidRPr="003179FE">
        <w:rPr>
          <w:rFonts w:eastAsia="Calibri" w:cs="Times New Roman"/>
          <w:b/>
          <w:bCs/>
        </w:rPr>
        <w:t xml:space="preserve">, </w:t>
      </w:r>
      <w:r w:rsidR="00113AE3" w:rsidRPr="003179FE">
        <w:rPr>
          <w:rFonts w:eastAsia="Times New Roman" w:cs="Tahoma"/>
          <w:bCs/>
          <w:color w:val="auto"/>
          <w:lang w:eastAsia="es-ES"/>
        </w:rPr>
        <w:t xml:space="preserve">en los </w:t>
      </w:r>
      <w:r w:rsidR="002514BF" w:rsidRPr="003179FE">
        <w:rPr>
          <w:rFonts w:eastAsia="Times New Roman" w:cs="Tahoma"/>
          <w:bCs/>
          <w:color w:val="auto"/>
          <w:lang w:eastAsia="es-ES"/>
        </w:rPr>
        <w:t xml:space="preserve">términos similares </w:t>
      </w:r>
      <w:r w:rsidR="00113AE3" w:rsidRPr="003179FE">
        <w:rPr>
          <w:rFonts w:eastAsia="Times New Roman" w:cs="Tahoma"/>
          <w:bCs/>
          <w:color w:val="auto"/>
          <w:lang w:eastAsia="es-ES"/>
        </w:rPr>
        <w:t>siguientes:</w:t>
      </w:r>
      <w:r w:rsidR="00E17E82" w:rsidRPr="003179FE">
        <w:rPr>
          <w:rFonts w:cs="Tahoma"/>
          <w:lang w:val="es-ES"/>
        </w:rPr>
        <w:t xml:space="preserve"> </w:t>
      </w:r>
    </w:p>
    <w:p w14:paraId="7A3DB35F" w14:textId="77777777" w:rsidR="00802B14" w:rsidRPr="003179FE" w:rsidRDefault="00802B14" w:rsidP="005C4054">
      <w:pPr>
        <w:widowControl w:val="0"/>
        <w:spacing w:after="0" w:line="360" w:lineRule="auto"/>
        <w:rPr>
          <w:rFonts w:cs="Tahoma"/>
          <w:i/>
          <w:lang w:val="es-ES"/>
        </w:rPr>
      </w:pPr>
    </w:p>
    <w:p w14:paraId="1096B75F" w14:textId="521F5C4D" w:rsidR="00802B14" w:rsidRPr="003179FE" w:rsidRDefault="00802B14" w:rsidP="005C4054">
      <w:pPr>
        <w:spacing w:after="0" w:line="360" w:lineRule="auto"/>
        <w:ind w:left="567" w:right="567"/>
        <w:contextualSpacing/>
        <w:rPr>
          <w:rFonts w:cs="Tahoma"/>
          <w:b/>
          <w:bCs/>
          <w:i/>
          <w:sz w:val="20"/>
          <w:szCs w:val="20"/>
        </w:rPr>
      </w:pPr>
      <w:r w:rsidRPr="003179FE">
        <w:rPr>
          <w:rFonts w:cs="Tahoma"/>
          <w:b/>
          <w:bCs/>
          <w:i/>
          <w:sz w:val="20"/>
          <w:szCs w:val="20"/>
        </w:rPr>
        <w:lastRenderedPageBreak/>
        <w:t>“ACTO IMPUGNADO</w:t>
      </w:r>
    </w:p>
    <w:p w14:paraId="01057F4C" w14:textId="779460F2" w:rsidR="00802B14" w:rsidRPr="003179FE" w:rsidRDefault="00AD6B6E" w:rsidP="005C4054">
      <w:pPr>
        <w:tabs>
          <w:tab w:val="left" w:pos="4667"/>
        </w:tabs>
        <w:spacing w:after="0" w:line="360" w:lineRule="auto"/>
        <w:ind w:left="567" w:right="567"/>
        <w:rPr>
          <w:rFonts w:cs="Tahoma"/>
          <w:bCs/>
          <w:i/>
          <w:sz w:val="20"/>
          <w:szCs w:val="20"/>
        </w:rPr>
      </w:pPr>
      <w:r w:rsidRPr="003179FE">
        <w:rPr>
          <w:rFonts w:cs="Tahoma"/>
          <w:bCs/>
          <w:i/>
          <w:sz w:val="20"/>
          <w:szCs w:val="20"/>
        </w:rPr>
        <w:t>No se me ha mandado nada de información</w:t>
      </w:r>
      <w:r w:rsidR="00802B14" w:rsidRPr="003179FE">
        <w:rPr>
          <w:rFonts w:cs="Tahoma"/>
          <w:bCs/>
          <w:i/>
          <w:sz w:val="20"/>
          <w:szCs w:val="20"/>
        </w:rPr>
        <w:t xml:space="preserve">” </w:t>
      </w:r>
    </w:p>
    <w:p w14:paraId="4AF13A89" w14:textId="77777777" w:rsidR="00802B14" w:rsidRPr="003179FE" w:rsidRDefault="00802B14" w:rsidP="005C4054">
      <w:pPr>
        <w:tabs>
          <w:tab w:val="left" w:pos="4667"/>
        </w:tabs>
        <w:spacing w:after="0" w:line="360" w:lineRule="auto"/>
        <w:ind w:left="567" w:right="567"/>
        <w:rPr>
          <w:rFonts w:cs="Tahoma"/>
          <w:bCs/>
          <w:i/>
          <w:sz w:val="20"/>
          <w:szCs w:val="20"/>
        </w:rPr>
      </w:pPr>
    </w:p>
    <w:p w14:paraId="235F6EE4" w14:textId="77777777" w:rsidR="00802B14" w:rsidRPr="003179FE" w:rsidRDefault="00802B14" w:rsidP="005C4054">
      <w:pPr>
        <w:tabs>
          <w:tab w:val="left" w:pos="4667"/>
        </w:tabs>
        <w:spacing w:after="0" w:line="360" w:lineRule="auto"/>
        <w:ind w:left="567" w:right="567"/>
        <w:rPr>
          <w:rFonts w:cs="Tahoma"/>
          <w:b/>
          <w:bCs/>
          <w:i/>
          <w:sz w:val="20"/>
          <w:szCs w:val="20"/>
        </w:rPr>
      </w:pPr>
      <w:r w:rsidRPr="003179FE">
        <w:rPr>
          <w:rFonts w:cs="Tahoma"/>
          <w:b/>
          <w:bCs/>
          <w:i/>
          <w:sz w:val="20"/>
          <w:szCs w:val="20"/>
        </w:rPr>
        <w:t>“RAZONES O MOTIVOS DE LA INCONFORMIDAD</w:t>
      </w:r>
    </w:p>
    <w:p w14:paraId="1F2DECF5" w14:textId="7FAA09C8" w:rsidR="00802B14" w:rsidRPr="003179FE" w:rsidRDefault="00AD6B6E" w:rsidP="005C4054">
      <w:pPr>
        <w:tabs>
          <w:tab w:val="left" w:pos="4667"/>
        </w:tabs>
        <w:spacing w:after="0" w:line="360" w:lineRule="auto"/>
        <w:ind w:left="567" w:right="567"/>
        <w:rPr>
          <w:rFonts w:cs="Tahoma"/>
          <w:i/>
          <w:sz w:val="20"/>
          <w:szCs w:val="20"/>
        </w:rPr>
      </w:pPr>
      <w:r w:rsidRPr="003179FE">
        <w:rPr>
          <w:rFonts w:cs="Tahoma"/>
          <w:i/>
          <w:sz w:val="20"/>
          <w:szCs w:val="20"/>
        </w:rPr>
        <w:t>No se me ha enviado la información que solicité</w:t>
      </w:r>
      <w:r w:rsidR="00802B14" w:rsidRPr="003179FE">
        <w:rPr>
          <w:rFonts w:cs="Tahoma"/>
          <w:i/>
          <w:sz w:val="20"/>
          <w:szCs w:val="20"/>
        </w:rPr>
        <w:t xml:space="preserve">” </w:t>
      </w:r>
    </w:p>
    <w:p w14:paraId="07312032" w14:textId="77777777" w:rsidR="00FF03B6" w:rsidRPr="003179FE" w:rsidRDefault="00FF03B6" w:rsidP="005C4054">
      <w:pPr>
        <w:spacing w:after="0" w:line="360" w:lineRule="auto"/>
        <w:rPr>
          <w:rFonts w:eastAsia="Times New Roman" w:cs="Tahoma"/>
          <w:bCs/>
          <w:color w:val="auto"/>
          <w:lang w:eastAsia="es-ES"/>
        </w:rPr>
      </w:pPr>
    </w:p>
    <w:p w14:paraId="5EC0DAEA" w14:textId="2DA995EB" w:rsidR="009109DA" w:rsidRPr="003179FE" w:rsidRDefault="00D96DD8" w:rsidP="005C4054">
      <w:pPr>
        <w:spacing w:after="0" w:line="360" w:lineRule="auto"/>
        <w:rPr>
          <w:rFonts w:eastAsia="Batang" w:cs="Tahoma"/>
          <w:b/>
          <w:bCs/>
          <w:color w:val="000000"/>
        </w:rPr>
      </w:pPr>
      <w:r w:rsidRPr="003179FE">
        <w:rPr>
          <w:rFonts w:eastAsia="Calibri" w:cs="Tahoma"/>
          <w:b/>
          <w:color w:val="000000"/>
        </w:rPr>
        <w:t>I</w:t>
      </w:r>
      <w:r w:rsidR="009109DA" w:rsidRPr="003179FE">
        <w:rPr>
          <w:rFonts w:eastAsia="Calibri" w:cs="Tahoma"/>
          <w:b/>
          <w:color w:val="000000"/>
        </w:rPr>
        <w:t xml:space="preserve">V. </w:t>
      </w:r>
      <w:r w:rsidR="009109DA" w:rsidRPr="003179FE">
        <w:rPr>
          <w:rFonts w:eastAsia="Batang" w:cs="Tahoma"/>
          <w:b/>
          <w:bCs/>
          <w:color w:val="000000"/>
        </w:rPr>
        <w:t>Trámite de</w:t>
      </w:r>
      <w:r w:rsidR="00A53AD2" w:rsidRPr="003179FE">
        <w:rPr>
          <w:rFonts w:eastAsia="Batang" w:cs="Tahoma"/>
          <w:b/>
          <w:bCs/>
          <w:color w:val="000000"/>
        </w:rPr>
        <w:t xml:space="preserve"> los</w:t>
      </w:r>
      <w:r w:rsidR="009109DA" w:rsidRPr="003179FE">
        <w:rPr>
          <w:rFonts w:eastAsia="Batang" w:cs="Tahoma"/>
          <w:b/>
          <w:bCs/>
          <w:color w:val="000000"/>
        </w:rPr>
        <w:t xml:space="preserve"> Recurso</w:t>
      </w:r>
      <w:r w:rsidR="00A53AD2" w:rsidRPr="003179FE">
        <w:rPr>
          <w:rFonts w:eastAsia="Batang" w:cs="Tahoma"/>
          <w:b/>
          <w:bCs/>
          <w:color w:val="000000"/>
        </w:rPr>
        <w:t>s</w:t>
      </w:r>
      <w:r w:rsidR="009109DA" w:rsidRPr="003179FE">
        <w:rPr>
          <w:rFonts w:eastAsia="Batang" w:cs="Tahoma"/>
          <w:b/>
          <w:bCs/>
          <w:color w:val="000000"/>
        </w:rPr>
        <w:t xml:space="preserve"> de Revisión</w:t>
      </w:r>
      <w:r w:rsidR="009109DA" w:rsidRPr="003179FE">
        <w:rPr>
          <w:rFonts w:eastAsia="Calibri" w:cs="Tahoma"/>
          <w:b/>
          <w:color w:val="000000"/>
        </w:rPr>
        <w:t xml:space="preserve"> </w:t>
      </w:r>
      <w:r w:rsidR="009109DA" w:rsidRPr="003179FE">
        <w:rPr>
          <w:rFonts w:eastAsia="Batang" w:cs="Tahoma"/>
          <w:b/>
          <w:bCs/>
          <w:color w:val="000000"/>
        </w:rPr>
        <w:t>ante este Instituto</w:t>
      </w:r>
    </w:p>
    <w:p w14:paraId="279B26E4" w14:textId="77777777" w:rsidR="009109DA" w:rsidRPr="003179FE" w:rsidRDefault="009109DA" w:rsidP="005C4054">
      <w:pPr>
        <w:spacing w:after="0" w:line="360" w:lineRule="auto"/>
        <w:rPr>
          <w:rFonts w:eastAsia="Batang" w:cs="Tahoma"/>
          <w:b/>
          <w:bCs/>
          <w:color w:val="000000"/>
        </w:rPr>
      </w:pPr>
    </w:p>
    <w:p w14:paraId="46DAAD54" w14:textId="2EF9F89F" w:rsidR="007960AB" w:rsidRPr="003179FE" w:rsidRDefault="007960AB" w:rsidP="005C4054">
      <w:pPr>
        <w:spacing w:after="0" w:line="360" w:lineRule="auto"/>
        <w:contextualSpacing/>
        <w:rPr>
          <w:rFonts w:eastAsia="Batang" w:cs="Tahoma"/>
          <w:b/>
          <w:bCs/>
          <w:lang w:val="es-ES_tradnl"/>
        </w:rPr>
      </w:pPr>
      <w:r w:rsidRPr="003179FE">
        <w:rPr>
          <w:rFonts w:eastAsia="Batang" w:cs="Tahoma"/>
          <w:b/>
          <w:bCs/>
          <w:lang w:val="es-ES_tradnl"/>
        </w:rPr>
        <w:t xml:space="preserve">a) Turno del </w:t>
      </w:r>
      <w:r w:rsidRPr="003179FE">
        <w:rPr>
          <w:rFonts w:cs="Tahoma"/>
          <w:b/>
          <w:lang w:val="es-ES_tradnl"/>
        </w:rPr>
        <w:t>Recurso de Revisión</w:t>
      </w:r>
      <w:r w:rsidRPr="003179FE">
        <w:rPr>
          <w:rFonts w:eastAsia="Batang" w:cs="Tahoma"/>
          <w:b/>
          <w:bCs/>
          <w:lang w:val="es-ES_tradnl"/>
        </w:rPr>
        <w:t>.</w:t>
      </w:r>
      <w:r w:rsidR="00E5030C" w:rsidRPr="003179FE">
        <w:rPr>
          <w:rFonts w:eastAsia="Batang" w:cs="Tahoma"/>
          <w:bCs/>
          <w:lang w:val="es-ES_tradnl"/>
        </w:rPr>
        <w:t xml:space="preserve"> </w:t>
      </w:r>
      <w:r w:rsidR="00E5030C" w:rsidRPr="003179FE">
        <w:rPr>
          <w:rFonts w:eastAsia="Times New Roman" w:cs="Tahoma"/>
          <w:bCs/>
          <w:color w:val="auto"/>
          <w:lang w:val="es-ES" w:eastAsia="es-ES"/>
        </w:rPr>
        <w:t xml:space="preserve">El </w:t>
      </w:r>
      <w:r w:rsidR="00FA1ECF" w:rsidRPr="003179FE">
        <w:rPr>
          <w:rFonts w:eastAsia="Times New Roman" w:cs="Tahoma"/>
          <w:bCs/>
          <w:color w:val="auto"/>
          <w:lang w:val="es-ES" w:eastAsia="es-ES"/>
        </w:rPr>
        <w:t>siete de noviembre</w:t>
      </w:r>
      <w:r w:rsidR="00E5030C" w:rsidRPr="003179FE">
        <w:rPr>
          <w:rFonts w:eastAsia="Times New Roman" w:cs="Tahoma"/>
          <w:bCs/>
          <w:color w:val="auto"/>
          <w:lang w:val="es-ES" w:eastAsia="es-ES"/>
        </w:rPr>
        <w:t xml:space="preserve"> de dos mil veinticuatro</w:t>
      </w:r>
      <w:r w:rsidRPr="003179FE">
        <w:rPr>
          <w:rFonts w:eastAsia="Batang" w:cs="Tahoma"/>
          <w:bCs/>
          <w:lang w:val="es-ES_tradnl"/>
        </w:rPr>
        <w:t xml:space="preserve">, el </w:t>
      </w:r>
      <w:r w:rsidRPr="003179FE">
        <w:rPr>
          <w:rFonts w:cs="Tahoma"/>
          <w:lang w:val="es-ES"/>
        </w:rPr>
        <w:t>Sistema de Acceso a la Información Mexiquense (SAIMEX),</w:t>
      </w:r>
      <w:r w:rsidRPr="003179FE">
        <w:rPr>
          <w:rFonts w:eastAsia="Batang" w:cs="Tahoma"/>
          <w:bCs/>
          <w:lang w:val="es-ES_tradnl"/>
        </w:rPr>
        <w:t xml:space="preserve"> asignó los números de expediente </w:t>
      </w:r>
      <w:r w:rsidR="00FA1ECF" w:rsidRPr="003179FE">
        <w:rPr>
          <w:rFonts w:cs="Tahoma"/>
          <w:b/>
          <w:bCs/>
          <w:color w:val="0D0D0D" w:themeColor="text1" w:themeTint="F2"/>
          <w:lang w:val="es-ES_tradnl"/>
        </w:rPr>
        <w:t>07111/INFOEM/IP/RR/2024, 07112/INFOEM/IP/RR/2024 y 07113/INFOEM/IP/RR/2024</w:t>
      </w:r>
      <w:r w:rsidR="009A7C84" w:rsidRPr="003179FE">
        <w:rPr>
          <w:rFonts w:cs="Tahoma"/>
          <w:b/>
          <w:bCs/>
          <w:color w:val="0D0D0D" w:themeColor="text1" w:themeTint="F2"/>
          <w:lang w:val="es-ES_tradnl"/>
        </w:rPr>
        <w:t xml:space="preserve"> </w:t>
      </w:r>
      <w:r w:rsidRPr="003179FE">
        <w:rPr>
          <w:rFonts w:eastAsia="Batang" w:cs="Tahoma"/>
          <w:bCs/>
          <w:lang w:val="es-ES_tradnl"/>
        </w:rPr>
        <w:t xml:space="preserve">al </w:t>
      </w:r>
      <w:r w:rsidR="009764EC" w:rsidRPr="003179FE">
        <w:rPr>
          <w:rFonts w:eastAsia="Batang" w:cs="Tahoma"/>
          <w:bCs/>
          <w:lang w:val="es-ES_tradnl"/>
        </w:rPr>
        <w:t>M</w:t>
      </w:r>
      <w:r w:rsidRPr="003179FE">
        <w:rPr>
          <w:rFonts w:eastAsia="Batang" w:cs="Tahoma"/>
          <w:bCs/>
          <w:lang w:val="es-ES_tradnl"/>
        </w:rPr>
        <w:t xml:space="preserve">edio de </w:t>
      </w:r>
      <w:r w:rsidR="009764EC" w:rsidRPr="003179FE">
        <w:rPr>
          <w:rFonts w:eastAsia="Batang" w:cs="Tahoma"/>
          <w:bCs/>
          <w:lang w:val="es-ES_tradnl"/>
        </w:rPr>
        <w:t>I</w:t>
      </w:r>
      <w:r w:rsidRPr="003179FE">
        <w:rPr>
          <w:rFonts w:eastAsia="Batang" w:cs="Tahoma"/>
          <w:bCs/>
          <w:lang w:val="es-ES_tradnl"/>
        </w:rPr>
        <w:t xml:space="preserve">mpugnación que nos ocupa, con base en el sistema aprobado por el Pleno de este </w:t>
      </w:r>
      <w:r w:rsidR="00341274" w:rsidRPr="003179FE">
        <w:rPr>
          <w:rFonts w:eastAsia="Batang" w:cs="Tahoma"/>
          <w:bCs/>
          <w:lang w:val="es-ES_tradnl"/>
        </w:rPr>
        <w:t>Organismo</w:t>
      </w:r>
      <w:r w:rsidRPr="003179FE">
        <w:rPr>
          <w:rFonts w:eastAsia="Batang" w:cs="Tahoma"/>
          <w:bCs/>
          <w:lang w:val="es-ES_tradnl"/>
        </w:rPr>
        <w:t xml:space="preserve"> Garante y lo</w:t>
      </w:r>
      <w:r w:rsidR="009764EC" w:rsidRPr="003179FE">
        <w:rPr>
          <w:rFonts w:eastAsia="Batang" w:cs="Tahoma"/>
          <w:bCs/>
          <w:lang w:val="es-ES_tradnl"/>
        </w:rPr>
        <w:t>s</w:t>
      </w:r>
      <w:r w:rsidRPr="003179FE">
        <w:rPr>
          <w:rFonts w:eastAsia="Batang" w:cs="Tahoma"/>
          <w:bCs/>
          <w:lang w:val="es-ES_tradnl"/>
        </w:rPr>
        <w:t xml:space="preserve"> turnó a</w:t>
      </w:r>
      <w:r w:rsidR="00A21D5D" w:rsidRPr="003179FE">
        <w:rPr>
          <w:rFonts w:eastAsia="Batang" w:cs="Tahoma"/>
          <w:bCs/>
          <w:lang w:val="es-ES_tradnl"/>
        </w:rPr>
        <w:t>l</w:t>
      </w:r>
      <w:r w:rsidRPr="003179FE">
        <w:rPr>
          <w:rFonts w:eastAsia="Batang" w:cs="Tahoma"/>
          <w:bCs/>
          <w:lang w:val="es-ES_tradnl"/>
        </w:rPr>
        <w:t xml:space="preserve"> Comisionado Luis Gustavo Parra Noriega</w:t>
      </w:r>
      <w:r w:rsidR="009764EC" w:rsidRPr="003179FE">
        <w:rPr>
          <w:rFonts w:eastAsia="Batang" w:cs="Tahoma"/>
          <w:bCs/>
          <w:lang w:val="es-ES_tradnl"/>
        </w:rPr>
        <w:t>, respectivamente</w:t>
      </w:r>
      <w:r w:rsidRPr="003179FE">
        <w:rPr>
          <w:rFonts w:eastAsia="Batang" w:cs="Tahoma"/>
          <w:bCs/>
          <w:lang w:val="es-ES_tradnl"/>
        </w:rPr>
        <w:t>, para los efectos del artículo 185, fracción I de la Ley de Transparencia y Acceso a la Información Pública del Estado de México y Municipios.</w:t>
      </w:r>
    </w:p>
    <w:p w14:paraId="6EACD599" w14:textId="77777777" w:rsidR="009109DA" w:rsidRPr="003179FE" w:rsidRDefault="009109DA" w:rsidP="005C4054">
      <w:pPr>
        <w:spacing w:after="0" w:line="360" w:lineRule="auto"/>
        <w:rPr>
          <w:rFonts w:eastAsia="Batang" w:cs="Tahoma"/>
          <w:bCs/>
          <w:color w:val="000000"/>
        </w:rPr>
      </w:pPr>
    </w:p>
    <w:p w14:paraId="5F5565B2" w14:textId="3D602B84" w:rsidR="00B936FD" w:rsidRPr="003179FE" w:rsidRDefault="00B936FD" w:rsidP="005C4054">
      <w:pPr>
        <w:spacing w:after="0" w:line="360" w:lineRule="auto"/>
        <w:rPr>
          <w:rFonts w:eastAsia="Batang" w:cs="Tahoma"/>
          <w:lang w:val="es-ES_tradnl"/>
        </w:rPr>
      </w:pPr>
      <w:r w:rsidRPr="003179FE">
        <w:rPr>
          <w:rFonts w:eastAsia="Batang" w:cs="Tahoma"/>
          <w:b/>
          <w:bCs/>
        </w:rPr>
        <w:t>b) Admisión del Recurso de Revisión</w:t>
      </w:r>
      <w:r w:rsidRPr="003179FE">
        <w:rPr>
          <w:rFonts w:eastAsia="Batang" w:cs="Tahoma"/>
          <w:b/>
          <w:bCs/>
          <w:lang w:val="es-ES_tradnl"/>
        </w:rPr>
        <w:t xml:space="preserve">. </w:t>
      </w:r>
      <w:r w:rsidRPr="003179FE">
        <w:rPr>
          <w:rFonts w:eastAsia="Batang" w:cs="Tahoma"/>
          <w:lang w:val="es-ES_tradnl"/>
        </w:rPr>
        <w:t>El</w:t>
      </w:r>
      <w:r w:rsidR="009277AF" w:rsidRPr="003179FE">
        <w:rPr>
          <w:rFonts w:eastAsia="Batang" w:cs="Tahoma"/>
          <w:lang w:val="es-ES_tradnl"/>
        </w:rPr>
        <w:t xml:space="preserve"> </w:t>
      </w:r>
      <w:r w:rsidR="00D77774" w:rsidRPr="003179FE">
        <w:rPr>
          <w:rFonts w:eastAsia="Batang" w:cs="Tahoma"/>
          <w:lang w:val="es-ES_tradnl"/>
        </w:rPr>
        <w:t xml:space="preserve">ocho y </w:t>
      </w:r>
      <w:r w:rsidR="00FA1ECF" w:rsidRPr="003179FE">
        <w:rPr>
          <w:rFonts w:eastAsia="Batang" w:cs="Tahoma"/>
          <w:lang w:val="es-ES_tradnl"/>
        </w:rPr>
        <w:t>doce de noviembre</w:t>
      </w:r>
      <w:r w:rsidR="009277AF" w:rsidRPr="003179FE">
        <w:rPr>
          <w:rFonts w:eastAsia="Batang" w:cs="Tahoma"/>
          <w:lang w:val="es-ES_tradnl"/>
        </w:rPr>
        <w:t xml:space="preserve"> </w:t>
      </w:r>
      <w:r w:rsidR="00341274" w:rsidRPr="003179FE">
        <w:rPr>
          <w:rFonts w:eastAsia="Batang" w:cs="Tahoma"/>
          <w:lang w:val="es-ES_tradnl"/>
        </w:rPr>
        <w:t>de dos mil veinticuatro</w:t>
      </w:r>
      <w:r w:rsidRPr="003179FE">
        <w:rPr>
          <w:rFonts w:eastAsia="Batang" w:cs="Tahoma"/>
          <w:lang w:val="es-ES_tradnl"/>
        </w:rPr>
        <w:t>, se acordó la admisión de</w:t>
      </w:r>
      <w:r w:rsidR="0093175C" w:rsidRPr="003179FE">
        <w:rPr>
          <w:rFonts w:eastAsia="Batang" w:cs="Tahoma"/>
          <w:lang w:val="es-ES_tradnl"/>
        </w:rPr>
        <w:t xml:space="preserve"> los</w:t>
      </w:r>
      <w:r w:rsidRPr="003179FE">
        <w:rPr>
          <w:rFonts w:eastAsia="Batang" w:cs="Tahoma"/>
          <w:lang w:val="es-ES_tradnl"/>
        </w:rPr>
        <w:t xml:space="preserve"> Recurso</w:t>
      </w:r>
      <w:r w:rsidR="0093175C" w:rsidRPr="003179FE">
        <w:rPr>
          <w:rFonts w:eastAsia="Batang" w:cs="Tahoma"/>
          <w:lang w:val="es-ES_tradnl"/>
        </w:rPr>
        <w:t>s</w:t>
      </w:r>
      <w:r w:rsidRPr="003179FE">
        <w:rPr>
          <w:rFonts w:eastAsia="Batang" w:cs="Tahoma"/>
          <w:lang w:val="es-ES_tradnl"/>
        </w:rPr>
        <w:t xml:space="preserve"> de Revisión interpuesto</w:t>
      </w:r>
      <w:r w:rsidR="0093175C" w:rsidRPr="003179FE">
        <w:rPr>
          <w:rFonts w:eastAsia="Batang" w:cs="Tahoma"/>
          <w:lang w:val="es-ES_tradnl"/>
        </w:rPr>
        <w:t>s</w:t>
      </w:r>
      <w:r w:rsidRPr="003179FE">
        <w:rPr>
          <w:rFonts w:eastAsia="Batang" w:cs="Tahoma"/>
          <w:lang w:val="es-ES_tradnl"/>
        </w:rPr>
        <w:t xml:space="preserve"> por </w:t>
      </w:r>
      <w:r w:rsidR="00FF1373" w:rsidRPr="003179FE">
        <w:rPr>
          <w:rFonts w:eastAsia="Batang" w:cs="Tahoma"/>
          <w:lang w:val="es-ES_tradnl"/>
        </w:rPr>
        <w:t>la</w:t>
      </w:r>
      <w:r w:rsidRPr="003179FE">
        <w:rPr>
          <w:rFonts w:eastAsia="Batang" w:cs="Tahoma"/>
          <w:lang w:val="es-ES_tradnl"/>
        </w:rPr>
        <w:t xml:space="preserve"> </w:t>
      </w:r>
      <w:r w:rsidR="00FA1ECF" w:rsidRPr="003179FE">
        <w:rPr>
          <w:rFonts w:eastAsia="Batang" w:cs="Tahoma"/>
          <w:lang w:val="es-ES_tradnl"/>
        </w:rPr>
        <w:t xml:space="preserve">persona </w:t>
      </w:r>
      <w:r w:rsidRPr="003179FE">
        <w:rPr>
          <w:rFonts w:eastAsia="Batang" w:cs="Tahoma"/>
          <w:lang w:val="es-ES_tradnl"/>
        </w:rPr>
        <w:t>Recurrente en contra del Sujeto Obligado, en términos del artículo 185, fracciones I y II de la Ley de Transparencia y Acceso a la Información Pública del Estado de México y Municipios, el cual fue notificado a las partes el</w:t>
      </w:r>
      <w:r w:rsidR="00FA1ECF" w:rsidRPr="003179FE">
        <w:rPr>
          <w:rFonts w:eastAsia="Batang" w:cs="Tahoma"/>
          <w:lang w:val="es-ES_tradnl"/>
        </w:rPr>
        <w:t xml:space="preserve"> </w:t>
      </w:r>
      <w:r w:rsidR="00D77774" w:rsidRPr="003179FE">
        <w:rPr>
          <w:rFonts w:eastAsia="Batang" w:cs="Tahoma"/>
          <w:lang w:val="es-ES_tradnl"/>
        </w:rPr>
        <w:t>ocho y doce del mismo mes y año</w:t>
      </w:r>
      <w:r w:rsidRPr="003179FE">
        <w:rPr>
          <w:rFonts w:eastAsia="Batang" w:cs="Tahoma"/>
          <w:lang w:val="es-ES_tradnl"/>
        </w:rPr>
        <w:t>, a través del Sistema de Acceso a la Información Mexiquense (SAIMEX), en el que se les otorgó un plazo de siete días hábiles posteriores a la misma, para que manifestaran lo que a su derecho conviniera y formularan alegatos.</w:t>
      </w:r>
    </w:p>
    <w:p w14:paraId="3662E674" w14:textId="77777777" w:rsidR="009109DA" w:rsidRPr="003179FE" w:rsidRDefault="009109DA" w:rsidP="005C4054">
      <w:pPr>
        <w:spacing w:after="0" w:line="360" w:lineRule="auto"/>
        <w:rPr>
          <w:rFonts w:cs="Tahoma"/>
        </w:rPr>
      </w:pPr>
    </w:p>
    <w:p w14:paraId="6682FBAF" w14:textId="497565EB" w:rsidR="00FD288C" w:rsidRPr="003179FE" w:rsidRDefault="00FD288C" w:rsidP="005C4054">
      <w:pPr>
        <w:spacing w:after="0" w:line="360" w:lineRule="auto"/>
        <w:rPr>
          <w:rFonts w:eastAsia="Calibri" w:cs="Tahoma"/>
        </w:rPr>
      </w:pPr>
      <w:r w:rsidRPr="003179FE">
        <w:rPr>
          <w:rFonts w:cs="Tahoma"/>
          <w:b/>
        </w:rPr>
        <w:t xml:space="preserve">c) </w:t>
      </w:r>
      <w:r w:rsidRPr="003179FE">
        <w:rPr>
          <w:rFonts w:eastAsia="Calibri" w:cs="Tahoma"/>
          <w:b/>
        </w:rPr>
        <w:t>Acumulación de los asuntos.</w:t>
      </w:r>
      <w:r w:rsidRPr="003179FE">
        <w:rPr>
          <w:rFonts w:eastAsia="Calibri" w:cs="Tahoma"/>
        </w:rPr>
        <w:t xml:space="preserve"> El </w:t>
      </w:r>
      <w:r w:rsidR="008830A3" w:rsidRPr="003179FE">
        <w:rPr>
          <w:rFonts w:eastAsia="Calibri" w:cs="Tahoma"/>
        </w:rPr>
        <w:t>tre</w:t>
      </w:r>
      <w:r w:rsidR="00FA1ECF" w:rsidRPr="003179FE">
        <w:rPr>
          <w:rFonts w:eastAsia="Calibri" w:cs="Tahoma"/>
        </w:rPr>
        <w:t>s de diciembre</w:t>
      </w:r>
      <w:r w:rsidRPr="003179FE">
        <w:rPr>
          <w:rFonts w:eastAsia="Calibri" w:cs="Tahoma"/>
        </w:rPr>
        <w:t xml:space="preserve"> de dos mil veinticuatro, el Pleno del Instituto de Transparencia, Acceso a la Información Pública y Protección de Datos Personales del Estado de México y Municipios, durante la </w:t>
      </w:r>
      <w:r w:rsidR="00FA1ECF" w:rsidRPr="003179FE">
        <w:rPr>
          <w:rFonts w:eastAsia="Calibri" w:cs="Tahoma"/>
        </w:rPr>
        <w:t>Cuadragésima</w:t>
      </w:r>
      <w:r w:rsidR="008830A3" w:rsidRPr="003179FE">
        <w:rPr>
          <w:rFonts w:eastAsia="Calibri" w:cs="Tahoma"/>
        </w:rPr>
        <w:t xml:space="preserve"> </w:t>
      </w:r>
      <w:r w:rsidR="00BB072D" w:rsidRPr="003179FE">
        <w:rPr>
          <w:rFonts w:eastAsia="Calibri" w:cs="Tahoma"/>
        </w:rPr>
        <w:t xml:space="preserve">Sesión Ordinaria, celebrada el </w:t>
      </w:r>
      <w:r w:rsidR="008830A3" w:rsidRPr="003179FE">
        <w:rPr>
          <w:rFonts w:eastAsia="Calibri" w:cs="Tahoma"/>
        </w:rPr>
        <w:lastRenderedPageBreak/>
        <w:t>veint</w:t>
      </w:r>
      <w:r w:rsidR="00FA1ECF" w:rsidRPr="003179FE">
        <w:rPr>
          <w:rFonts w:eastAsia="Calibri" w:cs="Tahoma"/>
        </w:rPr>
        <w:t>iuno</w:t>
      </w:r>
      <w:r w:rsidR="003720E4" w:rsidRPr="003179FE">
        <w:rPr>
          <w:rFonts w:eastAsia="Calibri" w:cs="Tahoma"/>
        </w:rPr>
        <w:t xml:space="preserve"> de </w:t>
      </w:r>
      <w:r w:rsidR="00FA1ECF" w:rsidRPr="003179FE">
        <w:rPr>
          <w:rFonts w:eastAsia="Calibri" w:cs="Tahoma"/>
        </w:rPr>
        <w:t>noviembre</w:t>
      </w:r>
      <w:r w:rsidR="00BB072D" w:rsidRPr="003179FE">
        <w:rPr>
          <w:rFonts w:eastAsia="Calibri" w:cs="Tahoma"/>
        </w:rPr>
        <w:t xml:space="preserve"> de dos mil veinticuatro</w:t>
      </w:r>
      <w:r w:rsidRPr="003179FE">
        <w:rPr>
          <w:rFonts w:eastAsia="Calibri" w:cs="Tahoma"/>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Pr="003179FE">
        <w:rPr>
          <w:rFonts w:eastAsia="Calibri" w:cs="Tahoma"/>
          <w:b/>
          <w:bCs/>
        </w:rPr>
        <w:t xml:space="preserve">decretó </w:t>
      </w:r>
      <w:r w:rsidRPr="003179FE">
        <w:rPr>
          <w:rFonts w:eastAsia="Calibri" w:cs="Tahoma"/>
        </w:rPr>
        <w:t>la acumulación de los Recursos de Revisión</w:t>
      </w:r>
      <w:r w:rsidRPr="003179FE">
        <w:rPr>
          <w:rFonts w:cs="Tahoma"/>
          <w:color w:val="0D0D0D" w:themeColor="text1" w:themeTint="F2"/>
          <w:lang w:val="es-ES_tradnl"/>
        </w:rPr>
        <w:t>,</w:t>
      </w:r>
      <w:r w:rsidR="007548C5" w:rsidRPr="003179FE">
        <w:rPr>
          <w:rFonts w:cs="Tahoma"/>
          <w:b/>
          <w:bCs/>
          <w:color w:val="0D0D0D" w:themeColor="text1" w:themeTint="F2"/>
          <w:lang w:val="es-ES_tradnl"/>
        </w:rPr>
        <w:t xml:space="preserve"> 0</w:t>
      </w:r>
      <w:r w:rsidR="00FA1ECF" w:rsidRPr="003179FE">
        <w:rPr>
          <w:rFonts w:cs="Tahoma"/>
          <w:b/>
          <w:bCs/>
          <w:color w:val="0D0D0D" w:themeColor="text1" w:themeTint="F2"/>
          <w:lang w:val="es-ES_tradnl"/>
        </w:rPr>
        <w:t>7112</w:t>
      </w:r>
      <w:r w:rsidR="007548C5" w:rsidRPr="003179FE">
        <w:rPr>
          <w:rFonts w:cs="Tahoma"/>
          <w:b/>
          <w:bCs/>
          <w:color w:val="0D0D0D" w:themeColor="text1" w:themeTint="F2"/>
          <w:lang w:val="es-ES_tradnl"/>
        </w:rPr>
        <w:t>/INFOEM/IP/RR/2024 y 0</w:t>
      </w:r>
      <w:r w:rsidR="00FA1ECF" w:rsidRPr="003179FE">
        <w:rPr>
          <w:rFonts w:cs="Tahoma"/>
          <w:b/>
          <w:bCs/>
          <w:color w:val="0D0D0D" w:themeColor="text1" w:themeTint="F2"/>
          <w:lang w:val="es-ES_tradnl"/>
        </w:rPr>
        <w:t>7113</w:t>
      </w:r>
      <w:r w:rsidR="007548C5" w:rsidRPr="003179FE">
        <w:rPr>
          <w:rFonts w:cs="Tahoma"/>
          <w:b/>
          <w:bCs/>
          <w:color w:val="0D0D0D" w:themeColor="text1" w:themeTint="F2"/>
          <w:lang w:val="es-ES_tradnl"/>
        </w:rPr>
        <w:t>/INFOEM/IP/RR/2024</w:t>
      </w:r>
      <w:r w:rsidR="007548C5" w:rsidRPr="003179FE">
        <w:rPr>
          <w:b/>
        </w:rPr>
        <w:t xml:space="preserve"> </w:t>
      </w:r>
      <w:r w:rsidRPr="003179FE">
        <w:rPr>
          <w:rFonts w:eastAsia="Calibri" w:cs="Tahoma"/>
        </w:rPr>
        <w:t>al diverso</w:t>
      </w:r>
      <w:r w:rsidRPr="003179FE">
        <w:rPr>
          <w:rFonts w:cs="Tahoma"/>
          <w:b/>
          <w:bCs/>
          <w:color w:val="0D0D0D" w:themeColor="text1" w:themeTint="F2"/>
          <w:lang w:val="es-ES_tradnl"/>
        </w:rPr>
        <w:t xml:space="preserve"> </w:t>
      </w:r>
      <w:r w:rsidR="00B819BA" w:rsidRPr="003179FE">
        <w:rPr>
          <w:b/>
        </w:rPr>
        <w:t>07111/INFOEM/IP/RR/2024</w:t>
      </w:r>
      <w:r w:rsidRPr="003179FE">
        <w:rPr>
          <w:rFonts w:eastAsia="Calibri" w:cs="Tahoma"/>
          <w:b/>
          <w:bCs/>
        </w:rPr>
        <w:t>,</w:t>
      </w:r>
      <w:r w:rsidRPr="003179FE">
        <w:rPr>
          <w:rFonts w:eastAsia="Calibri" w:cs="Tahoma"/>
        </w:rPr>
        <w:t xml:space="preserve"> por ser este último el más antiguo, sustanciado bajo el índice de esta Ponencia.</w:t>
      </w:r>
    </w:p>
    <w:p w14:paraId="4A355E62" w14:textId="23D56DE6" w:rsidR="00DC7AA4" w:rsidRPr="003179FE" w:rsidRDefault="00DC7AA4" w:rsidP="005C4054">
      <w:pPr>
        <w:spacing w:after="0" w:line="360" w:lineRule="auto"/>
        <w:rPr>
          <w:rFonts w:eastAsia="Calibri" w:cs="Tahoma"/>
        </w:rPr>
      </w:pPr>
    </w:p>
    <w:p w14:paraId="74767324" w14:textId="0ADD9EDD" w:rsidR="00E22655" w:rsidRPr="003179FE" w:rsidRDefault="00CE1307" w:rsidP="005C4054">
      <w:pPr>
        <w:spacing w:after="0" w:line="360" w:lineRule="auto"/>
        <w:rPr>
          <w:rFonts w:cs="Tahoma"/>
          <w:lang w:val="es-ES_tradnl"/>
        </w:rPr>
      </w:pPr>
      <w:r w:rsidRPr="003179FE">
        <w:rPr>
          <w:rFonts w:cs="Tahoma"/>
          <w:b/>
        </w:rPr>
        <w:t xml:space="preserve">d) </w:t>
      </w:r>
      <w:r w:rsidRPr="003179FE">
        <w:rPr>
          <w:rFonts w:cs="Tahoma"/>
          <w:b/>
          <w:bCs/>
          <w:iCs/>
          <w:lang w:val="es-ES"/>
        </w:rPr>
        <w:t>Informe Justificado</w:t>
      </w:r>
      <w:r w:rsidR="00FA1ECF" w:rsidRPr="003179FE">
        <w:rPr>
          <w:rFonts w:cs="Tahoma"/>
          <w:b/>
          <w:bCs/>
          <w:iCs/>
          <w:lang w:val="es-ES"/>
        </w:rPr>
        <w:t xml:space="preserve">. </w:t>
      </w:r>
      <w:r w:rsidR="009F110E" w:rsidRPr="003179FE">
        <w:rPr>
          <w:rFonts w:cs="Tahoma"/>
          <w:bCs/>
          <w:lang w:val="es-ES_tradnl"/>
        </w:rPr>
        <w:t xml:space="preserve">El </w:t>
      </w:r>
      <w:r w:rsidR="00B819BA" w:rsidRPr="003179FE">
        <w:rPr>
          <w:rFonts w:cs="Tahoma"/>
          <w:bCs/>
          <w:lang w:val="es-ES_tradnl"/>
        </w:rPr>
        <w:t>veinticinco</w:t>
      </w:r>
      <w:r w:rsidR="006435F0" w:rsidRPr="003179FE">
        <w:rPr>
          <w:rFonts w:cs="Tahoma"/>
          <w:bCs/>
          <w:lang w:val="es-ES_tradnl"/>
        </w:rPr>
        <w:t>,</w:t>
      </w:r>
      <w:r w:rsidR="00B819BA" w:rsidRPr="003179FE">
        <w:rPr>
          <w:rFonts w:cs="Tahoma"/>
          <w:bCs/>
          <w:lang w:val="es-ES_tradnl"/>
        </w:rPr>
        <w:t xml:space="preserve"> </w:t>
      </w:r>
      <w:r w:rsidR="009F110E" w:rsidRPr="003179FE">
        <w:rPr>
          <w:rFonts w:cs="Tahoma"/>
          <w:bCs/>
          <w:lang w:val="es-ES_tradnl"/>
        </w:rPr>
        <w:t xml:space="preserve">veintiséis de noviembre </w:t>
      </w:r>
      <w:r w:rsidR="006435F0" w:rsidRPr="003179FE">
        <w:rPr>
          <w:rFonts w:cs="Tahoma"/>
          <w:bCs/>
          <w:lang w:val="es-ES_tradnl"/>
        </w:rPr>
        <w:t xml:space="preserve">y tres de diciembre </w:t>
      </w:r>
      <w:r w:rsidR="009F110E" w:rsidRPr="003179FE">
        <w:rPr>
          <w:rFonts w:cs="Tahoma"/>
          <w:bCs/>
          <w:lang w:val="es-ES_tradnl"/>
        </w:rPr>
        <w:t xml:space="preserve">de dos mil veinticuatro, </w:t>
      </w:r>
      <w:r w:rsidR="009F110E" w:rsidRPr="003179FE">
        <w:rPr>
          <w:rFonts w:cs="Tahoma"/>
          <w:lang w:val="es-ES_tradnl"/>
        </w:rPr>
        <w:t xml:space="preserve">se recibió, a través del Sistema de Acceso a la Información Mexiquense (SAIMEX), el Informe Justificado del Sujeto Obligado, </w:t>
      </w:r>
      <w:r w:rsidR="00694AD6" w:rsidRPr="003179FE">
        <w:rPr>
          <w:rFonts w:cs="Tahoma"/>
          <w:lang w:val="es-ES_tradnl"/>
        </w:rPr>
        <w:t>a través de los documentos siguientes:</w:t>
      </w:r>
    </w:p>
    <w:p w14:paraId="72299E9A" w14:textId="77777777" w:rsidR="00B819BA" w:rsidRPr="003179FE" w:rsidRDefault="00B819BA" w:rsidP="005C4054">
      <w:pPr>
        <w:spacing w:after="0" w:line="360" w:lineRule="auto"/>
        <w:rPr>
          <w:rFonts w:cs="Tahoma"/>
          <w:lang w:val="es-ES_tradnl"/>
        </w:rPr>
      </w:pPr>
    </w:p>
    <w:tbl>
      <w:tblPr>
        <w:tblStyle w:val="Tablaconcuadrcula"/>
        <w:tblW w:w="0" w:type="auto"/>
        <w:tblLook w:val="04A0" w:firstRow="1" w:lastRow="0" w:firstColumn="1" w:lastColumn="0" w:noHBand="0" w:noVBand="1"/>
      </w:tblPr>
      <w:tblGrid>
        <w:gridCol w:w="2689"/>
        <w:gridCol w:w="6232"/>
      </w:tblGrid>
      <w:tr w:rsidR="00B819BA" w:rsidRPr="003179FE" w14:paraId="55530B27" w14:textId="77777777" w:rsidTr="00BE4728">
        <w:tc>
          <w:tcPr>
            <w:tcW w:w="2689" w:type="dxa"/>
            <w:shd w:val="clear" w:color="auto" w:fill="D5DCE4" w:themeFill="text2" w:themeFillTint="33"/>
          </w:tcPr>
          <w:p w14:paraId="093DFFFF" w14:textId="50D2C79C" w:rsidR="00B819BA" w:rsidRPr="003179FE" w:rsidRDefault="00B819BA" w:rsidP="005C4054">
            <w:pPr>
              <w:spacing w:line="360" w:lineRule="auto"/>
              <w:jc w:val="center"/>
              <w:rPr>
                <w:rFonts w:cs="Tahoma"/>
                <w:b/>
                <w:bCs/>
                <w:sz w:val="20"/>
                <w:szCs w:val="20"/>
                <w:lang w:val="es-ES_tradnl"/>
              </w:rPr>
            </w:pPr>
            <w:bookmarkStart w:id="3" w:name="_Hlk184125967"/>
            <w:r w:rsidRPr="003179FE">
              <w:rPr>
                <w:rFonts w:cs="Tahoma"/>
                <w:b/>
                <w:bCs/>
                <w:sz w:val="20"/>
                <w:szCs w:val="20"/>
                <w:lang w:val="es-ES_tradnl"/>
              </w:rPr>
              <w:t>Recurso de Revisión</w:t>
            </w:r>
          </w:p>
        </w:tc>
        <w:tc>
          <w:tcPr>
            <w:tcW w:w="6232" w:type="dxa"/>
            <w:shd w:val="clear" w:color="auto" w:fill="D5DCE4" w:themeFill="text2" w:themeFillTint="33"/>
          </w:tcPr>
          <w:p w14:paraId="2A929B0D" w14:textId="1D572F26" w:rsidR="00B819BA" w:rsidRPr="003179FE" w:rsidRDefault="00B819BA" w:rsidP="005C4054">
            <w:pPr>
              <w:spacing w:line="360" w:lineRule="auto"/>
              <w:jc w:val="center"/>
              <w:rPr>
                <w:rFonts w:cs="Tahoma"/>
                <w:b/>
                <w:bCs/>
                <w:sz w:val="20"/>
                <w:szCs w:val="20"/>
                <w:lang w:val="es-ES_tradnl"/>
              </w:rPr>
            </w:pPr>
            <w:r w:rsidRPr="003179FE">
              <w:rPr>
                <w:rFonts w:cs="Tahoma"/>
                <w:b/>
                <w:bCs/>
                <w:sz w:val="20"/>
                <w:szCs w:val="20"/>
                <w:lang w:val="es-ES_tradnl"/>
              </w:rPr>
              <w:t>Informe Justificado</w:t>
            </w:r>
          </w:p>
        </w:tc>
      </w:tr>
      <w:tr w:rsidR="00B819BA" w:rsidRPr="003179FE" w14:paraId="13BCA929" w14:textId="77777777" w:rsidTr="00BE4728">
        <w:tc>
          <w:tcPr>
            <w:tcW w:w="2689" w:type="dxa"/>
          </w:tcPr>
          <w:p w14:paraId="6DDFB14E" w14:textId="6F93CFDA" w:rsidR="00B819BA" w:rsidRPr="003179FE" w:rsidRDefault="00B819BA" w:rsidP="005C4054">
            <w:pPr>
              <w:spacing w:line="360" w:lineRule="auto"/>
              <w:rPr>
                <w:rFonts w:cs="Tahoma"/>
                <w:sz w:val="20"/>
                <w:szCs w:val="20"/>
                <w:lang w:val="es-ES_tradnl"/>
              </w:rPr>
            </w:pPr>
            <w:r w:rsidRPr="003179FE">
              <w:rPr>
                <w:b/>
                <w:sz w:val="20"/>
                <w:szCs w:val="20"/>
              </w:rPr>
              <w:t>07111/INFOEM/IP/RR/2024</w:t>
            </w:r>
          </w:p>
        </w:tc>
        <w:tc>
          <w:tcPr>
            <w:tcW w:w="6232" w:type="dxa"/>
          </w:tcPr>
          <w:p w14:paraId="486B467C" w14:textId="77777777" w:rsidR="00B819BA" w:rsidRPr="003179FE" w:rsidRDefault="00B819BA" w:rsidP="005C4054">
            <w:pPr>
              <w:spacing w:line="360" w:lineRule="auto"/>
              <w:rPr>
                <w:rFonts w:cs="Tahoma"/>
                <w:sz w:val="20"/>
                <w:szCs w:val="20"/>
                <w:lang w:val="es-ES_tradnl"/>
              </w:rPr>
            </w:pPr>
            <w:r w:rsidRPr="003179FE">
              <w:rPr>
                <w:rFonts w:cs="Tahoma"/>
                <w:sz w:val="20"/>
                <w:szCs w:val="20"/>
                <w:lang w:val="es-ES_tradnl"/>
              </w:rPr>
              <w:t>i. Oficio número 219C0110010000S/2548/2024, del veintiséis de noviembre de dos mil veinticuatro, suscrito por la Titular de la Unidad de Transparencia y dirigido al Comisionado Ponente, por medio del cual informó que dio respuesta a través del oficio 219C110000300S/713/2024.</w:t>
            </w:r>
          </w:p>
          <w:p w14:paraId="09501969" w14:textId="77777777" w:rsidR="00B819BA" w:rsidRPr="003179FE" w:rsidRDefault="00B819BA" w:rsidP="005C4054">
            <w:pPr>
              <w:spacing w:line="360" w:lineRule="auto"/>
              <w:rPr>
                <w:rFonts w:cs="Tahoma"/>
                <w:sz w:val="20"/>
                <w:szCs w:val="20"/>
                <w:lang w:val="es-ES_tradnl"/>
              </w:rPr>
            </w:pPr>
          </w:p>
          <w:p w14:paraId="2ED29140" w14:textId="77777777" w:rsidR="00B819BA" w:rsidRPr="003179FE" w:rsidRDefault="00B819BA" w:rsidP="005C4054">
            <w:pPr>
              <w:spacing w:line="360" w:lineRule="auto"/>
              <w:rPr>
                <w:rFonts w:cs="Tahoma"/>
                <w:sz w:val="20"/>
                <w:szCs w:val="20"/>
                <w:lang w:val="es-ES_tradnl"/>
              </w:rPr>
            </w:pPr>
            <w:r w:rsidRPr="003179FE">
              <w:rPr>
                <w:rFonts w:cs="Tahoma"/>
                <w:sz w:val="20"/>
                <w:szCs w:val="20"/>
                <w:lang w:val="es-ES_tradnl"/>
              </w:rPr>
              <w:t>ii. Oficio número 219C110000300S/713/2024, del veintiuno de noviembre de dos mil veinticuatro, suscrito por el Titular de Información, Planeación, Programación y Evaluación y dirigido a la Titular de la Unidad de Transparencia, por medio del cual mencionó lo siguiente:</w:t>
            </w:r>
          </w:p>
          <w:p w14:paraId="5F1B11F3" w14:textId="77777777" w:rsidR="00B819BA" w:rsidRPr="003179FE" w:rsidRDefault="00B819BA" w:rsidP="005C4054">
            <w:pPr>
              <w:spacing w:line="360" w:lineRule="auto"/>
              <w:rPr>
                <w:rFonts w:cs="Tahoma"/>
                <w:sz w:val="20"/>
                <w:szCs w:val="20"/>
                <w:lang w:val="es-ES_tradnl"/>
              </w:rPr>
            </w:pPr>
          </w:p>
          <w:p w14:paraId="2C8C7EFB" w14:textId="77777777" w:rsidR="00B819BA" w:rsidRPr="003179FE" w:rsidRDefault="00B819BA" w:rsidP="005C4054">
            <w:pPr>
              <w:spacing w:line="360" w:lineRule="auto"/>
              <w:ind w:left="708"/>
              <w:rPr>
                <w:rFonts w:cs="Tahoma"/>
                <w:i/>
                <w:iCs/>
                <w:sz w:val="20"/>
                <w:szCs w:val="20"/>
                <w:lang w:val="es-ES_tradnl"/>
              </w:rPr>
            </w:pPr>
            <w:r w:rsidRPr="003179FE">
              <w:rPr>
                <w:rFonts w:cs="Tahoma"/>
                <w:i/>
                <w:iCs/>
                <w:sz w:val="20"/>
                <w:szCs w:val="20"/>
                <w:lang w:val="es-ES_tradnl"/>
              </w:rPr>
              <w:lastRenderedPageBreak/>
              <w:t>“…Por lo anterior, hago de su conocimiento que, no existe documentación firmada por el servidor en mención con anterioridad del 01 de octubre del 2023 a la fecha de la solicitud.</w:t>
            </w:r>
          </w:p>
          <w:p w14:paraId="39A1EAE2" w14:textId="1AA862AF" w:rsidR="00B819BA" w:rsidRPr="003179FE" w:rsidRDefault="00B819BA" w:rsidP="005C4054">
            <w:pPr>
              <w:spacing w:line="360" w:lineRule="auto"/>
              <w:ind w:left="708"/>
              <w:rPr>
                <w:rFonts w:cs="Tahoma"/>
                <w:i/>
                <w:iCs/>
                <w:sz w:val="20"/>
                <w:szCs w:val="20"/>
                <w:lang w:val="es-ES_tradnl"/>
              </w:rPr>
            </w:pPr>
            <w:r w:rsidRPr="003179FE">
              <w:rPr>
                <w:rFonts w:cs="Tahoma"/>
                <w:i/>
                <w:iCs/>
                <w:sz w:val="20"/>
                <w:szCs w:val="20"/>
                <w:lang w:val="es-ES_tradnl"/>
              </w:rPr>
              <w:t>…”</w:t>
            </w:r>
          </w:p>
        </w:tc>
      </w:tr>
      <w:tr w:rsidR="00B819BA" w:rsidRPr="003179FE" w14:paraId="54FDF7E3" w14:textId="77777777" w:rsidTr="00BE4728">
        <w:tc>
          <w:tcPr>
            <w:tcW w:w="2689" w:type="dxa"/>
          </w:tcPr>
          <w:p w14:paraId="47B24131" w14:textId="7314BD3B" w:rsidR="00B819BA" w:rsidRPr="003179FE" w:rsidRDefault="00B819BA" w:rsidP="005C4054">
            <w:pPr>
              <w:spacing w:line="360" w:lineRule="auto"/>
              <w:rPr>
                <w:rFonts w:cs="Tahoma"/>
                <w:sz w:val="20"/>
                <w:szCs w:val="20"/>
                <w:lang w:val="es-ES_tradnl"/>
              </w:rPr>
            </w:pPr>
            <w:r w:rsidRPr="003179FE">
              <w:rPr>
                <w:b/>
                <w:sz w:val="20"/>
                <w:szCs w:val="20"/>
              </w:rPr>
              <w:lastRenderedPageBreak/>
              <w:t>07112/INFOEM/IP/RR/2024</w:t>
            </w:r>
          </w:p>
        </w:tc>
        <w:tc>
          <w:tcPr>
            <w:tcW w:w="6232" w:type="dxa"/>
          </w:tcPr>
          <w:p w14:paraId="6D1413D6" w14:textId="5A07F3E5" w:rsidR="00402552" w:rsidRPr="003179FE" w:rsidRDefault="00402552" w:rsidP="005C4054">
            <w:pPr>
              <w:spacing w:line="360" w:lineRule="auto"/>
              <w:rPr>
                <w:rFonts w:cs="Tahoma"/>
                <w:sz w:val="20"/>
                <w:szCs w:val="20"/>
                <w:lang w:val="es-ES_tradnl"/>
              </w:rPr>
            </w:pPr>
            <w:r w:rsidRPr="003179FE">
              <w:rPr>
                <w:rFonts w:cs="Tahoma"/>
                <w:sz w:val="20"/>
                <w:szCs w:val="20"/>
                <w:lang w:val="es-ES_tradnl"/>
              </w:rPr>
              <w:t>i. Oficio número 219C0110010000S/25</w:t>
            </w:r>
            <w:r w:rsidR="00E70589" w:rsidRPr="003179FE">
              <w:rPr>
                <w:rFonts w:cs="Tahoma"/>
                <w:sz w:val="20"/>
                <w:szCs w:val="20"/>
                <w:lang w:val="es-ES_tradnl"/>
              </w:rPr>
              <w:t>25</w:t>
            </w:r>
            <w:r w:rsidRPr="003179FE">
              <w:rPr>
                <w:rFonts w:cs="Tahoma"/>
                <w:sz w:val="20"/>
                <w:szCs w:val="20"/>
                <w:lang w:val="es-ES_tradnl"/>
              </w:rPr>
              <w:t>/2024, del veinti</w:t>
            </w:r>
            <w:r w:rsidR="00E70589" w:rsidRPr="003179FE">
              <w:rPr>
                <w:rFonts w:cs="Tahoma"/>
                <w:sz w:val="20"/>
                <w:szCs w:val="20"/>
                <w:lang w:val="es-ES_tradnl"/>
              </w:rPr>
              <w:t>cinco</w:t>
            </w:r>
            <w:r w:rsidRPr="003179FE">
              <w:rPr>
                <w:rFonts w:cs="Tahoma"/>
                <w:sz w:val="20"/>
                <w:szCs w:val="20"/>
                <w:lang w:val="es-ES_tradnl"/>
              </w:rPr>
              <w:t xml:space="preserve"> de noviembre de dos mil veinticuatro, suscrito por la Titular de la Unidad de Transparencia y dirigido al Comisionado Ponente, por medio del cual informó que dio respuesta a través del oficio 219C110000300S/7</w:t>
            </w:r>
            <w:r w:rsidR="00E70589" w:rsidRPr="003179FE">
              <w:rPr>
                <w:rFonts w:cs="Tahoma"/>
                <w:sz w:val="20"/>
                <w:szCs w:val="20"/>
                <w:lang w:val="es-ES_tradnl"/>
              </w:rPr>
              <w:t>07</w:t>
            </w:r>
            <w:r w:rsidRPr="003179FE">
              <w:rPr>
                <w:rFonts w:cs="Tahoma"/>
                <w:sz w:val="20"/>
                <w:szCs w:val="20"/>
                <w:lang w:val="es-ES_tradnl"/>
              </w:rPr>
              <w:t>/2024.</w:t>
            </w:r>
          </w:p>
          <w:p w14:paraId="3649ED08" w14:textId="77777777" w:rsidR="00402552" w:rsidRPr="003179FE" w:rsidRDefault="00402552" w:rsidP="005C4054">
            <w:pPr>
              <w:spacing w:line="360" w:lineRule="auto"/>
              <w:rPr>
                <w:rFonts w:cs="Tahoma"/>
                <w:sz w:val="20"/>
                <w:szCs w:val="20"/>
                <w:lang w:val="es-ES_tradnl"/>
              </w:rPr>
            </w:pPr>
          </w:p>
          <w:p w14:paraId="4D172226" w14:textId="33E526BC" w:rsidR="00402552" w:rsidRPr="003179FE" w:rsidRDefault="00402552" w:rsidP="005C4054">
            <w:pPr>
              <w:spacing w:line="360" w:lineRule="auto"/>
              <w:rPr>
                <w:rFonts w:cs="Tahoma"/>
                <w:sz w:val="20"/>
                <w:szCs w:val="20"/>
                <w:lang w:val="es-ES_tradnl"/>
              </w:rPr>
            </w:pPr>
            <w:r w:rsidRPr="003179FE">
              <w:rPr>
                <w:rFonts w:cs="Tahoma"/>
                <w:sz w:val="20"/>
                <w:szCs w:val="20"/>
                <w:lang w:val="es-ES_tradnl"/>
              </w:rPr>
              <w:t>ii. Oficio número 219C110000300S/7</w:t>
            </w:r>
            <w:r w:rsidR="00E70589" w:rsidRPr="003179FE">
              <w:rPr>
                <w:rFonts w:cs="Tahoma"/>
                <w:sz w:val="20"/>
                <w:szCs w:val="20"/>
                <w:lang w:val="es-ES_tradnl"/>
              </w:rPr>
              <w:t>07</w:t>
            </w:r>
            <w:r w:rsidRPr="003179FE">
              <w:rPr>
                <w:rFonts w:cs="Tahoma"/>
                <w:sz w:val="20"/>
                <w:szCs w:val="20"/>
                <w:lang w:val="es-ES_tradnl"/>
              </w:rPr>
              <w:t>/2024, del veint</w:t>
            </w:r>
            <w:r w:rsidR="00E70589" w:rsidRPr="003179FE">
              <w:rPr>
                <w:rFonts w:cs="Tahoma"/>
                <w:sz w:val="20"/>
                <w:szCs w:val="20"/>
                <w:lang w:val="es-ES_tradnl"/>
              </w:rPr>
              <w:t>e</w:t>
            </w:r>
            <w:r w:rsidRPr="003179FE">
              <w:rPr>
                <w:rFonts w:cs="Tahoma"/>
                <w:sz w:val="20"/>
                <w:szCs w:val="20"/>
                <w:lang w:val="es-ES_tradnl"/>
              </w:rPr>
              <w:t xml:space="preserve"> de noviembre de dos mil veinticuatro, suscrito por el Titular de Información, Planeación, Programación y Evaluación y dirigido a la Titular de la Unidad de Transparencia, por medio del cual mencionó lo siguiente:</w:t>
            </w:r>
          </w:p>
          <w:p w14:paraId="0B85E845" w14:textId="77777777" w:rsidR="00402552" w:rsidRPr="003179FE" w:rsidRDefault="00402552" w:rsidP="005C4054">
            <w:pPr>
              <w:spacing w:line="360" w:lineRule="auto"/>
              <w:rPr>
                <w:rFonts w:cs="Tahoma"/>
                <w:sz w:val="20"/>
                <w:szCs w:val="20"/>
                <w:lang w:val="es-ES_tradnl"/>
              </w:rPr>
            </w:pPr>
          </w:p>
          <w:p w14:paraId="1C9F601A" w14:textId="77777777" w:rsidR="00E70589" w:rsidRPr="003179FE" w:rsidRDefault="00402552" w:rsidP="005C4054">
            <w:pPr>
              <w:spacing w:line="360" w:lineRule="auto"/>
              <w:ind w:left="708"/>
              <w:rPr>
                <w:rFonts w:cs="Tahoma"/>
                <w:i/>
                <w:iCs/>
                <w:sz w:val="20"/>
                <w:szCs w:val="20"/>
                <w:lang w:val="es-ES_tradnl"/>
              </w:rPr>
            </w:pPr>
            <w:r w:rsidRPr="003179FE">
              <w:rPr>
                <w:rFonts w:cs="Tahoma"/>
                <w:i/>
                <w:iCs/>
                <w:sz w:val="20"/>
                <w:szCs w:val="20"/>
                <w:lang w:val="es-ES_tradnl"/>
              </w:rPr>
              <w:t>“…</w:t>
            </w:r>
            <w:r w:rsidR="00E70589" w:rsidRPr="003179FE">
              <w:rPr>
                <w:rFonts w:cs="Tahoma"/>
                <w:i/>
                <w:iCs/>
                <w:sz w:val="20"/>
                <w:szCs w:val="20"/>
                <w:lang w:val="es-ES_tradnl"/>
              </w:rPr>
              <w:t xml:space="preserve">El suscrito, Héctor Perales </w:t>
            </w:r>
            <w:proofErr w:type="spellStart"/>
            <w:r w:rsidR="00E70589" w:rsidRPr="003179FE">
              <w:rPr>
                <w:rFonts w:cs="Tahoma"/>
                <w:i/>
                <w:iCs/>
                <w:sz w:val="20"/>
                <w:szCs w:val="20"/>
                <w:lang w:val="es-ES_tradnl"/>
              </w:rPr>
              <w:t>Natto</w:t>
            </w:r>
            <w:proofErr w:type="spellEnd"/>
            <w:r w:rsidR="00E70589" w:rsidRPr="003179FE">
              <w:rPr>
                <w:rFonts w:cs="Tahoma"/>
                <w:i/>
                <w:iCs/>
                <w:sz w:val="20"/>
                <w:szCs w:val="20"/>
                <w:lang w:val="es-ES_tradnl"/>
              </w:rPr>
              <w:t>, fue designado como Jefe del Departamento de Evaluación en la Unidad de Información, Planeación y Programación y Evaluación (UIPPE) de la Comisión de Agua del Estado de México (CAEM) el 01 de abril del presente año. En mi puesto anterior, con nivel de "Secretario C", no contaba con la facultad para firmar documentos relacionados con cualquier asunto de mi área de adscripción o de la CAEM en general.</w:t>
            </w:r>
          </w:p>
          <w:p w14:paraId="4C2ADAAE" w14:textId="77777777" w:rsidR="00E70589" w:rsidRPr="003179FE" w:rsidRDefault="00E70589" w:rsidP="005C4054">
            <w:pPr>
              <w:spacing w:line="360" w:lineRule="auto"/>
              <w:ind w:left="708"/>
              <w:rPr>
                <w:rFonts w:cs="Tahoma"/>
                <w:i/>
                <w:iCs/>
                <w:sz w:val="20"/>
                <w:szCs w:val="20"/>
                <w:lang w:val="es-ES_tradnl"/>
              </w:rPr>
            </w:pPr>
          </w:p>
          <w:p w14:paraId="16ACBCBB" w14:textId="2D05A229" w:rsidR="00E70589" w:rsidRPr="003179FE" w:rsidRDefault="00E70589" w:rsidP="005C4054">
            <w:pPr>
              <w:spacing w:line="360" w:lineRule="auto"/>
              <w:ind w:left="708"/>
              <w:rPr>
                <w:rFonts w:cs="Tahoma"/>
                <w:i/>
                <w:iCs/>
                <w:sz w:val="20"/>
                <w:szCs w:val="20"/>
                <w:lang w:val="es-ES_tradnl"/>
              </w:rPr>
            </w:pPr>
            <w:r w:rsidRPr="003179FE">
              <w:rPr>
                <w:rFonts w:cs="Tahoma"/>
                <w:i/>
                <w:iCs/>
                <w:sz w:val="20"/>
                <w:szCs w:val="20"/>
                <w:lang w:val="es-ES_tradnl"/>
              </w:rPr>
              <w:t>Por lo tanto, hago constar que no existen documentos firmados por mi persona con anterioridad al 01 de abril de 2024. Las 14 copias adjuntas de los documentos firmados con posterioridad a dicha fecha serán entregadas conforme a los lineamientos de la solicitud de información y del recurso de revisión mencionados.</w:t>
            </w:r>
          </w:p>
          <w:p w14:paraId="58E645A4" w14:textId="77777777" w:rsidR="00B819BA" w:rsidRPr="003179FE" w:rsidRDefault="00402552" w:rsidP="005C4054">
            <w:pPr>
              <w:spacing w:line="360" w:lineRule="auto"/>
              <w:ind w:left="708"/>
              <w:rPr>
                <w:rFonts w:cs="Tahoma"/>
                <w:i/>
                <w:iCs/>
                <w:sz w:val="20"/>
                <w:szCs w:val="20"/>
                <w:lang w:val="es-ES_tradnl"/>
              </w:rPr>
            </w:pPr>
            <w:r w:rsidRPr="003179FE">
              <w:rPr>
                <w:rFonts w:cs="Tahoma"/>
                <w:i/>
                <w:iCs/>
                <w:sz w:val="20"/>
                <w:szCs w:val="20"/>
                <w:lang w:val="es-ES_tradnl"/>
              </w:rPr>
              <w:t>…”</w:t>
            </w:r>
          </w:p>
          <w:p w14:paraId="55E2769F" w14:textId="77777777" w:rsidR="00E70589" w:rsidRPr="003179FE" w:rsidRDefault="00E70589" w:rsidP="005C4054">
            <w:pPr>
              <w:spacing w:line="360" w:lineRule="auto"/>
              <w:rPr>
                <w:rFonts w:cs="Tahoma"/>
                <w:sz w:val="20"/>
                <w:szCs w:val="20"/>
                <w:lang w:val="es-ES_tradnl"/>
              </w:rPr>
            </w:pPr>
          </w:p>
          <w:p w14:paraId="1C7BD097" w14:textId="5C608E2F" w:rsidR="00E70589" w:rsidRPr="003179FE" w:rsidRDefault="00E70589" w:rsidP="005C4054">
            <w:pPr>
              <w:spacing w:line="360" w:lineRule="auto"/>
              <w:rPr>
                <w:rFonts w:cs="Tahoma"/>
                <w:sz w:val="20"/>
                <w:szCs w:val="20"/>
                <w:lang w:val="es-ES_tradnl"/>
              </w:rPr>
            </w:pPr>
            <w:r w:rsidRPr="003179FE">
              <w:rPr>
                <w:rFonts w:cs="Tahoma"/>
                <w:sz w:val="20"/>
                <w:szCs w:val="20"/>
                <w:lang w:val="es-ES_tradnl"/>
              </w:rPr>
              <w:lastRenderedPageBreak/>
              <w:t>iii. Catorce oficios suscritos por el Titular de Información, Planeación, Programación y Evaluación.</w:t>
            </w:r>
          </w:p>
        </w:tc>
      </w:tr>
      <w:tr w:rsidR="00B819BA" w:rsidRPr="003179FE" w14:paraId="6461DE2E" w14:textId="77777777" w:rsidTr="00BE4728">
        <w:tc>
          <w:tcPr>
            <w:tcW w:w="2689" w:type="dxa"/>
          </w:tcPr>
          <w:p w14:paraId="2E1BA0CC" w14:textId="5A4367D4" w:rsidR="00B819BA" w:rsidRPr="003179FE" w:rsidRDefault="00B819BA" w:rsidP="005C4054">
            <w:pPr>
              <w:spacing w:line="360" w:lineRule="auto"/>
              <w:rPr>
                <w:rFonts w:cs="Tahoma"/>
                <w:sz w:val="20"/>
                <w:szCs w:val="20"/>
                <w:lang w:val="es-ES_tradnl"/>
              </w:rPr>
            </w:pPr>
            <w:r w:rsidRPr="003179FE">
              <w:rPr>
                <w:b/>
                <w:sz w:val="20"/>
                <w:szCs w:val="20"/>
              </w:rPr>
              <w:lastRenderedPageBreak/>
              <w:t>07113/INFOEM/IP/RR/2024</w:t>
            </w:r>
          </w:p>
        </w:tc>
        <w:tc>
          <w:tcPr>
            <w:tcW w:w="6232" w:type="dxa"/>
          </w:tcPr>
          <w:p w14:paraId="16D57616" w14:textId="77777777" w:rsidR="00086155" w:rsidRPr="003179FE" w:rsidRDefault="00086155" w:rsidP="005C4054">
            <w:pPr>
              <w:spacing w:line="360" w:lineRule="auto"/>
              <w:rPr>
                <w:rFonts w:cs="Tahoma"/>
                <w:sz w:val="20"/>
                <w:szCs w:val="20"/>
                <w:lang w:val="es-ES_tradnl"/>
              </w:rPr>
            </w:pPr>
            <w:r w:rsidRPr="003179FE">
              <w:rPr>
                <w:rFonts w:cs="Tahoma"/>
                <w:sz w:val="20"/>
                <w:szCs w:val="20"/>
                <w:lang w:val="es-ES_tradnl"/>
              </w:rPr>
              <w:t>i. Oficio número 219C11000300S/712/2024, del veintiuno de noviembre de dos mil veinticuatro, suscrito por el Titular de Información, Planeación, Programación y Evaluación y dirigido a la Titular de la Unidad de Transparencia, por medio del cual mencionó lo siguiente:</w:t>
            </w:r>
          </w:p>
          <w:p w14:paraId="024B6856" w14:textId="77777777" w:rsidR="00B819BA" w:rsidRPr="003179FE" w:rsidRDefault="00B819BA" w:rsidP="005C4054">
            <w:pPr>
              <w:spacing w:line="360" w:lineRule="auto"/>
              <w:rPr>
                <w:rFonts w:cs="Tahoma"/>
                <w:sz w:val="20"/>
                <w:szCs w:val="20"/>
                <w:lang w:val="es-ES_tradnl"/>
              </w:rPr>
            </w:pPr>
          </w:p>
          <w:p w14:paraId="5E141725" w14:textId="090C4A3E" w:rsidR="00086155" w:rsidRPr="003179FE" w:rsidRDefault="00086155" w:rsidP="005C4054">
            <w:pPr>
              <w:spacing w:line="360" w:lineRule="auto"/>
              <w:ind w:left="708"/>
              <w:rPr>
                <w:rFonts w:cs="Tahoma"/>
                <w:i/>
                <w:iCs/>
                <w:sz w:val="20"/>
                <w:szCs w:val="20"/>
                <w:lang w:val="es-ES_tradnl"/>
              </w:rPr>
            </w:pPr>
            <w:r w:rsidRPr="003179FE">
              <w:rPr>
                <w:rFonts w:cs="Tahoma"/>
                <w:i/>
                <w:iCs/>
                <w:sz w:val="20"/>
                <w:szCs w:val="20"/>
                <w:lang w:val="es-ES_tradnl"/>
              </w:rPr>
              <w:t>“Por lo anterior, hago de su conocimiento que, no existe documentación firmada por la servidora en mención con anterioridad del 16 de abril del presente año, por lo tanto, adjunto a usted copias de los oficios firmados en el departamento de Planeación y Programación.</w:t>
            </w:r>
          </w:p>
          <w:p w14:paraId="1B33D896" w14:textId="77777777" w:rsidR="00086155" w:rsidRPr="003179FE" w:rsidRDefault="00086155" w:rsidP="005C4054">
            <w:pPr>
              <w:spacing w:line="360" w:lineRule="auto"/>
              <w:ind w:left="708"/>
              <w:rPr>
                <w:rFonts w:cs="Tahoma"/>
                <w:i/>
                <w:iCs/>
                <w:sz w:val="20"/>
                <w:szCs w:val="20"/>
                <w:lang w:val="es-ES_tradnl"/>
              </w:rPr>
            </w:pPr>
          </w:p>
          <w:p w14:paraId="7AAE62EF" w14:textId="77777777" w:rsidR="00086155" w:rsidRPr="003179FE" w:rsidRDefault="00086155" w:rsidP="005C4054">
            <w:pPr>
              <w:spacing w:line="360" w:lineRule="auto"/>
              <w:ind w:left="708"/>
              <w:rPr>
                <w:rFonts w:cs="Tahoma"/>
                <w:i/>
                <w:iCs/>
                <w:sz w:val="20"/>
                <w:szCs w:val="20"/>
                <w:lang w:val="es-ES_tradnl"/>
              </w:rPr>
            </w:pPr>
            <w:r w:rsidRPr="003179FE">
              <w:rPr>
                <w:rFonts w:cs="Tahoma"/>
                <w:i/>
                <w:iCs/>
                <w:sz w:val="20"/>
                <w:szCs w:val="20"/>
                <w:lang w:val="es-ES_tradnl"/>
              </w:rPr>
              <w:t>No omito mencionar que, se han omitido datos personales que contiene los siguientes oficios.</w:t>
            </w:r>
          </w:p>
          <w:p w14:paraId="691208ED" w14:textId="77777777" w:rsidR="00086155" w:rsidRPr="003179FE" w:rsidRDefault="00086155" w:rsidP="005C4054">
            <w:pPr>
              <w:spacing w:line="360" w:lineRule="auto"/>
              <w:rPr>
                <w:rFonts w:cs="Tahoma"/>
                <w:sz w:val="20"/>
                <w:szCs w:val="20"/>
                <w:lang w:val="es-ES_tradnl"/>
              </w:rPr>
            </w:pPr>
          </w:p>
          <w:p w14:paraId="3C1EDB50" w14:textId="77777777" w:rsidR="00086155" w:rsidRPr="003179FE" w:rsidRDefault="00086155" w:rsidP="005C4054">
            <w:pPr>
              <w:spacing w:line="360" w:lineRule="auto"/>
              <w:rPr>
                <w:rFonts w:cs="Tahoma"/>
                <w:sz w:val="20"/>
                <w:szCs w:val="20"/>
                <w:lang w:val="es-ES_tradnl"/>
              </w:rPr>
            </w:pPr>
            <w:r w:rsidRPr="003179FE">
              <w:rPr>
                <w:rFonts w:cs="Tahoma"/>
                <w:noProof/>
                <w:sz w:val="20"/>
                <w:szCs w:val="20"/>
                <w:lang w:eastAsia="es-MX"/>
              </w:rPr>
              <w:drawing>
                <wp:inline distT="0" distB="0" distL="0" distR="0" wp14:anchorId="31D2197B" wp14:editId="3B05BD5A">
                  <wp:extent cx="3611272" cy="749995"/>
                  <wp:effectExtent l="0" t="0" r="8255" b="0"/>
                  <wp:docPr id="27519502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95020" name="Imagen 1"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637030" cy="755344"/>
                          </a:xfrm>
                          <a:prstGeom prst="rect">
                            <a:avLst/>
                          </a:prstGeom>
                        </pic:spPr>
                      </pic:pic>
                    </a:graphicData>
                  </a:graphic>
                </wp:inline>
              </w:drawing>
            </w:r>
          </w:p>
          <w:p w14:paraId="05DC09D5" w14:textId="77777777" w:rsidR="00556985" w:rsidRPr="003179FE" w:rsidRDefault="00556985" w:rsidP="005C4054">
            <w:pPr>
              <w:spacing w:line="360" w:lineRule="auto"/>
              <w:rPr>
                <w:rFonts w:cs="Tahoma"/>
                <w:sz w:val="20"/>
                <w:szCs w:val="20"/>
                <w:lang w:val="es-ES_tradnl"/>
              </w:rPr>
            </w:pPr>
          </w:p>
          <w:p w14:paraId="74F48A13" w14:textId="3CA5BB03" w:rsidR="00556985" w:rsidRPr="003179FE" w:rsidRDefault="00556985" w:rsidP="005C4054">
            <w:pPr>
              <w:spacing w:line="360" w:lineRule="auto"/>
              <w:rPr>
                <w:rFonts w:cs="Tahoma"/>
                <w:sz w:val="20"/>
                <w:szCs w:val="20"/>
                <w:lang w:val="es-ES_tradnl"/>
              </w:rPr>
            </w:pPr>
            <w:r w:rsidRPr="003179FE">
              <w:rPr>
                <w:rFonts w:cs="Tahoma"/>
                <w:sz w:val="20"/>
                <w:szCs w:val="20"/>
                <w:lang w:val="es-ES_tradnl"/>
              </w:rPr>
              <w:t>i. Treinta y cinco oficios suscritos por la Jefa del Departamento de Planeación y Programación.</w:t>
            </w:r>
          </w:p>
        </w:tc>
      </w:tr>
      <w:bookmarkEnd w:id="3"/>
    </w:tbl>
    <w:p w14:paraId="4D098E74" w14:textId="77777777" w:rsidR="009F110E" w:rsidRPr="003179FE" w:rsidRDefault="009F110E" w:rsidP="005C4054">
      <w:pPr>
        <w:spacing w:after="0" w:line="360" w:lineRule="auto"/>
        <w:rPr>
          <w:rFonts w:cs="Tahoma"/>
          <w:lang w:val="es-ES_tradnl"/>
        </w:rPr>
      </w:pPr>
    </w:p>
    <w:p w14:paraId="6FE4493B" w14:textId="247A713B" w:rsidR="009F110E" w:rsidRPr="003179FE" w:rsidRDefault="009F110E" w:rsidP="005C4054">
      <w:pPr>
        <w:spacing w:after="0" w:line="360" w:lineRule="auto"/>
        <w:rPr>
          <w:b/>
        </w:rPr>
      </w:pPr>
      <w:bookmarkStart w:id="4" w:name="_Hlk182976945"/>
      <w:r w:rsidRPr="003179FE">
        <w:rPr>
          <w:b/>
        </w:rPr>
        <w:t xml:space="preserve">d) Vista del Informe Justificado. </w:t>
      </w:r>
      <w:r w:rsidRPr="003179FE">
        <w:rPr>
          <w:color w:val="000000"/>
        </w:rPr>
        <w:t xml:space="preserve">El </w:t>
      </w:r>
      <w:r w:rsidR="008D012C" w:rsidRPr="003179FE">
        <w:rPr>
          <w:color w:val="000000"/>
        </w:rPr>
        <w:t>tres de diciembre</w:t>
      </w:r>
      <w:r w:rsidRPr="003179FE">
        <w:rPr>
          <w:color w:val="000000"/>
        </w:rPr>
        <w:t xml:space="preserve"> de dos mil veinticuatro, se dictó acuerdo por medio del cual se puso a la vista de la persona Recurrente el Informe Justificado entregado por el Sujeto Obligado, el cual fue notificado a las partes, el mismo día, a través del Sistema de Acceso a la Información Mexiquense (SAIMEX). </w:t>
      </w:r>
      <w:r w:rsidRPr="003179FE">
        <w:rPr>
          <w:b/>
          <w:color w:val="000000"/>
        </w:rPr>
        <w:t>Cabe señalar que el Particular fue omiso en realizar manifestación alguna.</w:t>
      </w:r>
      <w:bookmarkEnd w:id="4"/>
    </w:p>
    <w:p w14:paraId="2D5EF63B" w14:textId="77777777" w:rsidR="00B93FC1" w:rsidRPr="003179FE" w:rsidRDefault="00B93FC1" w:rsidP="005C4054">
      <w:pPr>
        <w:spacing w:after="0" w:line="360" w:lineRule="auto"/>
        <w:rPr>
          <w:rFonts w:eastAsia="Times New Roman" w:cs="Tahoma"/>
          <w:b/>
          <w:color w:val="auto"/>
          <w:szCs w:val="24"/>
          <w:lang w:eastAsia="es-ES"/>
        </w:rPr>
      </w:pPr>
    </w:p>
    <w:p w14:paraId="3C2ECF04" w14:textId="24A3FB92" w:rsidR="009109DA" w:rsidRPr="003179FE" w:rsidRDefault="007B1E83" w:rsidP="005C4054">
      <w:pPr>
        <w:spacing w:after="0" w:line="360" w:lineRule="auto"/>
        <w:rPr>
          <w:rFonts w:eastAsia="Times New Roman" w:cs="Tahoma"/>
          <w:color w:val="auto"/>
          <w:szCs w:val="24"/>
          <w:lang w:eastAsia="es-ES"/>
        </w:rPr>
      </w:pPr>
      <w:r w:rsidRPr="003179FE">
        <w:rPr>
          <w:rFonts w:eastAsia="Times New Roman" w:cs="Tahoma"/>
          <w:b/>
          <w:color w:val="auto"/>
          <w:szCs w:val="24"/>
          <w:lang w:eastAsia="es-ES"/>
        </w:rPr>
        <w:t>e</w:t>
      </w:r>
      <w:r w:rsidR="009109DA" w:rsidRPr="003179FE">
        <w:rPr>
          <w:rFonts w:eastAsia="Times New Roman" w:cs="Tahoma"/>
          <w:b/>
          <w:color w:val="auto"/>
          <w:szCs w:val="24"/>
          <w:lang w:eastAsia="es-ES"/>
        </w:rPr>
        <w:t>) Cierre de instrucción.</w:t>
      </w:r>
      <w:r w:rsidR="009109DA" w:rsidRPr="003179FE">
        <w:rPr>
          <w:rFonts w:eastAsia="Times New Roman" w:cs="Tahoma"/>
          <w:color w:val="auto"/>
          <w:szCs w:val="24"/>
          <w:lang w:eastAsia="es-ES"/>
        </w:rPr>
        <w:t xml:space="preserve"> El</w:t>
      </w:r>
      <w:r w:rsidR="00FF1373" w:rsidRPr="003179FE">
        <w:rPr>
          <w:rFonts w:eastAsia="Times New Roman" w:cs="Tahoma"/>
          <w:color w:val="auto"/>
          <w:szCs w:val="24"/>
          <w:lang w:eastAsia="es-ES"/>
        </w:rPr>
        <w:t xml:space="preserve"> </w:t>
      </w:r>
      <w:r w:rsidR="009F110E" w:rsidRPr="003179FE">
        <w:rPr>
          <w:rFonts w:eastAsia="Times New Roman" w:cs="Tahoma"/>
          <w:color w:val="auto"/>
          <w:szCs w:val="24"/>
          <w:lang w:eastAsia="es-ES"/>
        </w:rPr>
        <w:t>diez de diciembre</w:t>
      </w:r>
      <w:r w:rsidR="00C2064C" w:rsidRPr="003179FE">
        <w:rPr>
          <w:rFonts w:eastAsia="Times New Roman" w:cs="Tahoma"/>
          <w:color w:val="auto"/>
          <w:szCs w:val="24"/>
          <w:lang w:eastAsia="es-ES"/>
        </w:rPr>
        <w:t xml:space="preserve"> de dos mil veinticuatro</w:t>
      </w:r>
      <w:r w:rsidR="009109DA" w:rsidRPr="003179FE">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9109DA" w:rsidRPr="003179FE">
        <w:rPr>
          <w:rFonts w:eastAsia="Times New Roman" w:cs="Tahoma"/>
          <w:color w:val="auto"/>
          <w:szCs w:val="20"/>
          <w:lang w:val="es-ES" w:eastAsia="es-ES"/>
        </w:rPr>
        <w:t>Sistema de Acceso a la Información Mexiquense (SAIMEX)</w:t>
      </w:r>
      <w:r w:rsidR="009109DA" w:rsidRPr="003179FE">
        <w:rPr>
          <w:rFonts w:eastAsia="Times New Roman" w:cs="Tahoma"/>
          <w:color w:val="auto"/>
          <w:szCs w:val="24"/>
          <w:lang w:eastAsia="es-ES"/>
        </w:rPr>
        <w:t xml:space="preserve">. </w:t>
      </w:r>
    </w:p>
    <w:p w14:paraId="6AC8A71D" w14:textId="77777777" w:rsidR="009109DA" w:rsidRPr="003179FE" w:rsidRDefault="009109DA" w:rsidP="005C4054">
      <w:pPr>
        <w:spacing w:after="0" w:line="360" w:lineRule="auto"/>
        <w:rPr>
          <w:rFonts w:eastAsia="Times New Roman" w:cs="Tahoma"/>
          <w:color w:val="auto"/>
          <w:szCs w:val="24"/>
          <w:lang w:eastAsia="es-ES"/>
        </w:rPr>
      </w:pPr>
    </w:p>
    <w:p w14:paraId="661E652A" w14:textId="02ACD4DE" w:rsidR="009109DA" w:rsidRPr="003179FE" w:rsidRDefault="009109DA" w:rsidP="005C4054">
      <w:pPr>
        <w:spacing w:after="0" w:line="360" w:lineRule="auto"/>
        <w:rPr>
          <w:rFonts w:eastAsia="Times New Roman" w:cs="Tahoma"/>
          <w:color w:val="000000"/>
          <w:szCs w:val="24"/>
          <w:lang w:eastAsia="es-ES"/>
        </w:rPr>
      </w:pPr>
      <w:r w:rsidRPr="003179FE">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237A7146" w14:textId="77777777" w:rsidR="00FF03B6" w:rsidRPr="003179FE" w:rsidRDefault="00FF03B6" w:rsidP="005C4054">
      <w:pPr>
        <w:spacing w:after="0" w:line="360" w:lineRule="auto"/>
        <w:rPr>
          <w:rFonts w:eastAsia="Times New Roman" w:cs="Tahoma"/>
          <w:b/>
          <w:color w:val="auto"/>
          <w:lang w:val="es-ES" w:eastAsia="es-ES"/>
        </w:rPr>
      </w:pPr>
    </w:p>
    <w:p w14:paraId="68BF6408" w14:textId="6E88C49F" w:rsidR="00712AB9" w:rsidRPr="003179FE" w:rsidRDefault="00712AB9" w:rsidP="005C4054">
      <w:pPr>
        <w:spacing w:after="0" w:line="360" w:lineRule="auto"/>
        <w:jc w:val="center"/>
        <w:rPr>
          <w:rFonts w:cs="Tahoma"/>
          <w:b/>
          <w:lang w:val="es-ES"/>
        </w:rPr>
      </w:pPr>
      <w:r w:rsidRPr="003179FE">
        <w:rPr>
          <w:rFonts w:cs="Tahoma"/>
          <w:b/>
          <w:lang w:val="es-ES"/>
        </w:rPr>
        <w:t>CONSIDERANDOS</w:t>
      </w:r>
    </w:p>
    <w:p w14:paraId="116D689E" w14:textId="77777777" w:rsidR="00712AB9" w:rsidRPr="003179FE" w:rsidRDefault="00712AB9" w:rsidP="005C4054">
      <w:pPr>
        <w:spacing w:after="0" w:line="360" w:lineRule="auto"/>
        <w:rPr>
          <w:rFonts w:cs="Tahoma"/>
          <w:b/>
          <w:lang w:val="es-ES"/>
        </w:rPr>
      </w:pPr>
    </w:p>
    <w:p w14:paraId="2D53237B" w14:textId="0FEC0A24" w:rsidR="00712AB9" w:rsidRPr="003179FE" w:rsidRDefault="00712AB9" w:rsidP="005C4054">
      <w:pPr>
        <w:autoSpaceDE w:val="0"/>
        <w:autoSpaceDN w:val="0"/>
        <w:adjustRightInd w:val="0"/>
        <w:spacing w:after="0" w:line="360" w:lineRule="auto"/>
        <w:rPr>
          <w:rFonts w:cs="Tahoma"/>
          <w:b/>
          <w:lang w:val="es-ES"/>
        </w:rPr>
      </w:pPr>
      <w:r w:rsidRPr="003179FE">
        <w:rPr>
          <w:rFonts w:eastAsia="Calibri" w:cs="Tahoma"/>
          <w:b/>
          <w:lang w:val="es-ES" w:eastAsia="es-MX"/>
        </w:rPr>
        <w:t>PRIMERO</w:t>
      </w:r>
      <w:r w:rsidRPr="003179FE">
        <w:rPr>
          <w:rFonts w:eastAsia="Calibri" w:cs="Tahoma"/>
          <w:lang w:val="es-ES" w:eastAsia="es-MX"/>
        </w:rPr>
        <w:t xml:space="preserve">. </w:t>
      </w:r>
      <w:r w:rsidRPr="003179FE">
        <w:rPr>
          <w:rFonts w:cs="Tahoma"/>
          <w:b/>
          <w:lang w:val="es-ES"/>
        </w:rPr>
        <w:t>Competencia</w:t>
      </w:r>
    </w:p>
    <w:p w14:paraId="6984F45B" w14:textId="77777777" w:rsidR="00712AB9" w:rsidRPr="003179FE" w:rsidRDefault="00712AB9" w:rsidP="005C4054">
      <w:pPr>
        <w:autoSpaceDE w:val="0"/>
        <w:autoSpaceDN w:val="0"/>
        <w:adjustRightInd w:val="0"/>
        <w:spacing w:after="0" w:line="360" w:lineRule="auto"/>
        <w:rPr>
          <w:rFonts w:cs="Tahoma"/>
          <w:b/>
          <w:lang w:val="es-ES"/>
        </w:rPr>
      </w:pPr>
    </w:p>
    <w:p w14:paraId="2C9F3C9F" w14:textId="322992AE" w:rsidR="00712AB9" w:rsidRPr="003179FE" w:rsidRDefault="00712AB9" w:rsidP="005C4054">
      <w:pPr>
        <w:spacing w:after="0" w:line="360" w:lineRule="auto"/>
        <w:rPr>
          <w:rFonts w:cs="Times New Roman"/>
        </w:rPr>
      </w:pPr>
      <w:r w:rsidRPr="003179FE">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w:t>
      </w:r>
      <w:r w:rsidR="00225915" w:rsidRPr="003179FE">
        <w:t>II</w:t>
      </w:r>
      <w:r w:rsidRPr="003179FE">
        <w:t xml:space="preserve"> y 11 del Reglamento Interior del Instituto de </w:t>
      </w:r>
      <w:r w:rsidRPr="003179FE">
        <w:lastRenderedPageBreak/>
        <w:t>Transparencia, Acceso a la Información Pública y Protección de Datos Personales del Estado de México y Municipios.</w:t>
      </w:r>
    </w:p>
    <w:p w14:paraId="73E57960" w14:textId="77777777" w:rsidR="00712AB9" w:rsidRPr="003179FE" w:rsidRDefault="00712AB9" w:rsidP="005C4054">
      <w:pPr>
        <w:autoSpaceDE w:val="0"/>
        <w:autoSpaceDN w:val="0"/>
        <w:adjustRightInd w:val="0"/>
        <w:spacing w:after="0" w:line="360" w:lineRule="auto"/>
        <w:rPr>
          <w:rFonts w:eastAsia="Calibri" w:cs="Tahoma"/>
          <w:b/>
          <w:lang w:val="es-ES" w:eastAsia="es-MX"/>
        </w:rPr>
      </w:pPr>
    </w:p>
    <w:p w14:paraId="456E3B01" w14:textId="6D4DBCA6" w:rsidR="00712AB9" w:rsidRPr="003179FE" w:rsidRDefault="00712AB9" w:rsidP="005C4054">
      <w:pPr>
        <w:autoSpaceDE w:val="0"/>
        <w:autoSpaceDN w:val="0"/>
        <w:adjustRightInd w:val="0"/>
        <w:spacing w:after="0" w:line="360" w:lineRule="auto"/>
        <w:rPr>
          <w:rFonts w:cs="Tahoma"/>
          <w:b/>
          <w:lang w:val="es-ES"/>
        </w:rPr>
      </w:pPr>
      <w:r w:rsidRPr="003179FE">
        <w:rPr>
          <w:rFonts w:eastAsia="Calibri" w:cs="Tahoma"/>
          <w:b/>
          <w:lang w:val="es-ES" w:eastAsia="es-MX"/>
        </w:rPr>
        <w:t>SEGUNDO</w:t>
      </w:r>
      <w:r w:rsidRPr="003179FE">
        <w:rPr>
          <w:rFonts w:eastAsia="Calibri" w:cs="Tahoma"/>
          <w:lang w:val="es-ES" w:eastAsia="es-MX"/>
        </w:rPr>
        <w:t xml:space="preserve">. </w:t>
      </w:r>
      <w:r w:rsidRPr="003179FE">
        <w:rPr>
          <w:rFonts w:cs="Tahoma"/>
          <w:b/>
          <w:lang w:val="es-ES"/>
        </w:rPr>
        <w:t>Causales de improcedencia y sobreseimiento</w:t>
      </w:r>
    </w:p>
    <w:p w14:paraId="30DA7B31" w14:textId="77777777" w:rsidR="00712AB9" w:rsidRPr="003179FE" w:rsidRDefault="00712AB9" w:rsidP="005C4054">
      <w:pPr>
        <w:autoSpaceDE w:val="0"/>
        <w:autoSpaceDN w:val="0"/>
        <w:adjustRightInd w:val="0"/>
        <w:spacing w:after="0" w:line="360" w:lineRule="auto"/>
        <w:rPr>
          <w:rFonts w:cs="Tahoma"/>
          <w:b/>
          <w:lang w:val="es-ES"/>
        </w:rPr>
      </w:pPr>
    </w:p>
    <w:p w14:paraId="48B4DADF" w14:textId="77777777" w:rsidR="00712AB9" w:rsidRPr="003179FE" w:rsidRDefault="00712AB9" w:rsidP="005C4054">
      <w:pPr>
        <w:autoSpaceDE w:val="0"/>
        <w:autoSpaceDN w:val="0"/>
        <w:adjustRightInd w:val="0"/>
        <w:spacing w:after="0" w:line="360" w:lineRule="auto"/>
        <w:rPr>
          <w:rFonts w:cs="Tahoma"/>
          <w:lang w:val="es-ES"/>
        </w:rPr>
      </w:pPr>
      <w:r w:rsidRPr="003179FE">
        <w:rPr>
          <w:rFonts w:cs="Tahoma"/>
          <w:lang w:val="es-ES"/>
        </w:rPr>
        <w:t xml:space="preserve">De las constancias que forma parte del Recurso de Revisión que se analiza, se advierte que previo al estudio del fondo de la </w:t>
      </w:r>
      <w:r w:rsidRPr="003179FE">
        <w:rPr>
          <w:rFonts w:cs="Tahoma"/>
          <w:i/>
          <w:lang w:val="es-ES"/>
        </w:rPr>
        <w:t>litis</w:t>
      </w:r>
      <w:r w:rsidRPr="003179FE">
        <w:rPr>
          <w:rFonts w:cs="Tahoma"/>
          <w:lang w:val="es-ES"/>
        </w:rPr>
        <w:t>, es necesario estudiar las causales de improcedencia y sobreseimiento que se adviertan, para determinar lo que en Derecho proceda.</w:t>
      </w:r>
    </w:p>
    <w:p w14:paraId="5D3D6F35" w14:textId="77777777" w:rsidR="00712AB9" w:rsidRPr="003179FE" w:rsidRDefault="00712AB9" w:rsidP="005C4054">
      <w:pPr>
        <w:autoSpaceDE w:val="0"/>
        <w:autoSpaceDN w:val="0"/>
        <w:adjustRightInd w:val="0"/>
        <w:spacing w:after="0" w:line="360" w:lineRule="auto"/>
        <w:rPr>
          <w:rFonts w:cs="Tahoma"/>
          <w:lang w:val="es-ES"/>
        </w:rPr>
      </w:pPr>
    </w:p>
    <w:p w14:paraId="18E02810" w14:textId="5A4B27A3" w:rsidR="00712AB9" w:rsidRPr="003179FE" w:rsidRDefault="00712AB9" w:rsidP="005C4054">
      <w:pPr>
        <w:autoSpaceDE w:val="0"/>
        <w:autoSpaceDN w:val="0"/>
        <w:adjustRightInd w:val="0"/>
        <w:spacing w:after="0" w:line="360" w:lineRule="auto"/>
        <w:rPr>
          <w:rFonts w:eastAsia="Calibri" w:cs="Tahoma"/>
          <w:b/>
          <w:lang w:val="es-ES" w:eastAsia="es-MX"/>
        </w:rPr>
      </w:pPr>
      <w:r w:rsidRPr="003179FE">
        <w:rPr>
          <w:rFonts w:eastAsia="Calibri" w:cs="Tahoma"/>
          <w:b/>
          <w:lang w:val="es-ES" w:eastAsia="es-MX"/>
        </w:rPr>
        <w:t>Causales de improcedencia</w:t>
      </w:r>
    </w:p>
    <w:p w14:paraId="6A6D9F30" w14:textId="77777777" w:rsidR="00712AB9" w:rsidRPr="003179FE" w:rsidRDefault="00712AB9" w:rsidP="005C4054">
      <w:pPr>
        <w:autoSpaceDE w:val="0"/>
        <w:autoSpaceDN w:val="0"/>
        <w:adjustRightInd w:val="0"/>
        <w:spacing w:after="0" w:line="360" w:lineRule="auto"/>
        <w:rPr>
          <w:rFonts w:eastAsia="Calibri" w:cs="Tahoma"/>
          <w:lang w:val="es-ES" w:eastAsia="es-MX"/>
        </w:rPr>
      </w:pPr>
    </w:p>
    <w:p w14:paraId="0A80E92E" w14:textId="77777777" w:rsidR="00712AB9" w:rsidRPr="003179FE" w:rsidRDefault="00712AB9" w:rsidP="005C4054">
      <w:pPr>
        <w:spacing w:after="0" w:line="360" w:lineRule="auto"/>
        <w:rPr>
          <w:rFonts w:eastAsia="Times New Roman" w:cs="Tahoma"/>
          <w:lang w:eastAsia="es-ES"/>
        </w:rPr>
      </w:pPr>
      <w:r w:rsidRPr="003179FE">
        <w:rPr>
          <w:rFonts w:cs="Tahoma"/>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E7E3D0A" w14:textId="77777777" w:rsidR="00712AB9" w:rsidRPr="003179FE" w:rsidRDefault="00712AB9" w:rsidP="005C4054">
      <w:pPr>
        <w:spacing w:after="0" w:line="360" w:lineRule="auto"/>
        <w:rPr>
          <w:rFonts w:cs="Tahoma"/>
        </w:rPr>
      </w:pPr>
      <w:r w:rsidRPr="003179FE">
        <w:rPr>
          <w:rFonts w:cs="Tahoma"/>
        </w:rPr>
        <w:t xml:space="preserve">  </w:t>
      </w:r>
    </w:p>
    <w:p w14:paraId="1BF86C5F" w14:textId="77777777" w:rsidR="00712AB9" w:rsidRPr="003179FE" w:rsidRDefault="00712AB9" w:rsidP="005C4054">
      <w:pPr>
        <w:spacing w:after="0" w:line="360" w:lineRule="auto"/>
        <w:rPr>
          <w:rFonts w:cs="Tahoma"/>
        </w:rPr>
      </w:pPr>
      <w:r w:rsidRPr="003179FE">
        <w:rPr>
          <w:rFonts w:cs="Tahoma"/>
        </w:rPr>
        <w:t>En el presente caso, </w:t>
      </w:r>
      <w:r w:rsidRPr="003179FE">
        <w:rPr>
          <w:rFonts w:cs="Tahoma"/>
          <w:b/>
          <w:bCs/>
        </w:rPr>
        <w:t>no se actualiza ninguna de las causales de improcedencia</w:t>
      </w:r>
      <w:r w:rsidRPr="003179FE">
        <w:rPr>
          <w:rFonts w:cs="Tahoma"/>
        </w:rPr>
        <w:t>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246233C8" w14:textId="77777777" w:rsidR="00712AB9" w:rsidRPr="003179FE" w:rsidRDefault="00712AB9" w:rsidP="005C4054">
      <w:pPr>
        <w:spacing w:after="0" w:line="360" w:lineRule="auto"/>
        <w:rPr>
          <w:rFonts w:cs="Tahoma"/>
        </w:rPr>
      </w:pPr>
    </w:p>
    <w:p w14:paraId="66694D21" w14:textId="08C12EC7" w:rsidR="00712AB9" w:rsidRPr="003179FE" w:rsidRDefault="00712AB9" w:rsidP="005C4054">
      <w:pPr>
        <w:spacing w:after="0" w:line="360" w:lineRule="auto"/>
        <w:rPr>
          <w:rFonts w:cs="Tahoma"/>
          <w:lang w:val="es-ES"/>
        </w:rPr>
      </w:pPr>
      <w:r w:rsidRPr="003179FE">
        <w:rPr>
          <w:rFonts w:cs="Tahoma"/>
          <w:lang w:val="es-ES"/>
        </w:rPr>
        <w:lastRenderedPageBreak/>
        <w:t xml:space="preserve">Además, de que el Medio de Impugnación fue presentado en tiempo, toda vez que ante la ausencia de las respuestas del Ente Recurrido, se constituyó la </w:t>
      </w:r>
      <w:r w:rsidRPr="003179FE">
        <w:rPr>
          <w:rFonts w:cs="Tahoma"/>
          <w:b/>
          <w:lang w:val="es-ES"/>
        </w:rPr>
        <w:t>negativa ficta</w:t>
      </w:r>
      <w:r w:rsidRPr="003179FE">
        <w:rPr>
          <w:rFonts w:cs="Tahoma"/>
          <w:lang w:val="es-ES"/>
        </w:rPr>
        <w:t xml:space="preserve">, que genera la posibilidad de los particulares de interponer un recurso de revisión ante tal omisión, </w:t>
      </w:r>
      <w:r w:rsidRPr="003179FE">
        <w:rPr>
          <w:rFonts w:cs="Tahoma"/>
          <w:u w:val="single"/>
          <w:lang w:val="es-ES"/>
        </w:rPr>
        <w:t>en cualquier momento</w:t>
      </w:r>
      <w:r w:rsidRPr="003179FE">
        <w:rPr>
          <w:rFonts w:cs="Tahoma"/>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C0E425" w14:textId="77777777" w:rsidR="00712AB9" w:rsidRPr="003179FE" w:rsidRDefault="00712AB9" w:rsidP="005C4054">
      <w:pPr>
        <w:spacing w:after="0" w:line="360" w:lineRule="auto"/>
        <w:rPr>
          <w:rFonts w:cs="Tahoma"/>
          <w:lang w:val="es-ES"/>
        </w:rPr>
      </w:pPr>
    </w:p>
    <w:p w14:paraId="32FD54A1" w14:textId="77777777" w:rsidR="00712AB9" w:rsidRPr="003179FE" w:rsidRDefault="00712AB9" w:rsidP="005C4054">
      <w:pPr>
        <w:spacing w:after="0" w:line="360" w:lineRule="auto"/>
        <w:rPr>
          <w:rFonts w:eastAsia="Times New Roman" w:cs="Tahoma"/>
          <w:lang w:val="es-ES" w:eastAsia="es-ES"/>
        </w:rPr>
      </w:pPr>
      <w:r w:rsidRPr="003179FE">
        <w:rPr>
          <w:rFonts w:cs="Tahoma"/>
        </w:rPr>
        <w:t xml:space="preserve">Por lo cual, se actualiza la causal de procedencia del Recurso de Revisión señalada en el artículo 179, fracción VII, de la Ley en cita, </w:t>
      </w:r>
      <w:r w:rsidRPr="003179FE">
        <w:rPr>
          <w:rFonts w:eastAsia="Calibri" w:cs="Tahoma"/>
          <w:lang w:eastAsia="es-MX"/>
        </w:rPr>
        <w:t xml:space="preserve">pues la parte Recurrente se inconformó </w:t>
      </w:r>
      <w:r w:rsidRPr="003179FE">
        <w:rPr>
          <w:rFonts w:cs="Tahoma"/>
          <w:lang w:val="es-ES"/>
        </w:rPr>
        <w:t>con la falta de respuesta a la solicitud de acceso a la información.</w:t>
      </w:r>
    </w:p>
    <w:p w14:paraId="3BA481A0" w14:textId="77777777" w:rsidR="00712AB9" w:rsidRPr="003179FE" w:rsidRDefault="00712AB9" w:rsidP="005C4054">
      <w:pPr>
        <w:spacing w:after="0" w:line="360" w:lineRule="auto"/>
        <w:rPr>
          <w:rFonts w:cs="Tahoma"/>
          <w:lang w:val="es-ES"/>
        </w:rPr>
      </w:pPr>
    </w:p>
    <w:p w14:paraId="67E685C1" w14:textId="103C7175" w:rsidR="005D2C72" w:rsidRPr="003179FE" w:rsidRDefault="00712AB9" w:rsidP="005C4054">
      <w:pPr>
        <w:spacing w:after="0" w:line="360" w:lineRule="auto"/>
        <w:rPr>
          <w:rFonts w:cs="Tahoma"/>
        </w:rPr>
      </w:pPr>
      <w:r w:rsidRPr="003179FE">
        <w:rPr>
          <w:rFonts w:cs="Tahoma"/>
          <w:b/>
          <w:bCs/>
        </w:rPr>
        <w:t>Causales de sobreseimiento</w:t>
      </w:r>
    </w:p>
    <w:p w14:paraId="11A620EC" w14:textId="77777777" w:rsidR="005D2C72" w:rsidRPr="003179FE" w:rsidRDefault="005D2C72" w:rsidP="005C4054">
      <w:pPr>
        <w:spacing w:after="0" w:line="360" w:lineRule="auto"/>
        <w:rPr>
          <w:rFonts w:cs="Tahoma"/>
        </w:rPr>
      </w:pPr>
    </w:p>
    <w:p w14:paraId="236F1C2A" w14:textId="77777777" w:rsidR="00712AB9" w:rsidRPr="003179FE" w:rsidRDefault="00712AB9" w:rsidP="005C4054">
      <w:pPr>
        <w:spacing w:after="0" w:line="360" w:lineRule="auto"/>
        <w:rPr>
          <w:rFonts w:cs="Tahoma"/>
        </w:rPr>
      </w:pPr>
      <w:r w:rsidRPr="003179FE">
        <w:rPr>
          <w:rFonts w:cs="Tahoma"/>
        </w:rPr>
        <w:t>Por ser de previo y especial pronunciamiento, este Instituto analiza si se actualiza alguna causal de sobreseimiento.</w:t>
      </w:r>
    </w:p>
    <w:p w14:paraId="335A2593" w14:textId="77777777" w:rsidR="00D14CB5" w:rsidRPr="003179FE" w:rsidRDefault="00D14CB5" w:rsidP="005C4054">
      <w:pPr>
        <w:spacing w:after="0" w:line="360" w:lineRule="auto"/>
        <w:contextualSpacing/>
        <w:rPr>
          <w:rFonts w:cs="Tahoma"/>
          <w:bCs/>
          <w:color w:val="0D0D0D" w:themeColor="text1" w:themeTint="F2"/>
        </w:rPr>
      </w:pPr>
    </w:p>
    <w:p w14:paraId="246052D8" w14:textId="77777777" w:rsidR="00D14CB5" w:rsidRPr="003179FE" w:rsidRDefault="00D14CB5" w:rsidP="005C4054">
      <w:pPr>
        <w:spacing w:after="0" w:line="360" w:lineRule="auto"/>
        <w:contextualSpacing/>
        <w:rPr>
          <w:bCs/>
        </w:rPr>
      </w:pPr>
      <w:r w:rsidRPr="003179FE">
        <w:rPr>
          <w:bCs/>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actualizan los supuestos de sobreseimiento previstos en las fracciones </w:t>
      </w:r>
      <w:r w:rsidRPr="003179FE">
        <w:rPr>
          <w:b/>
        </w:rPr>
        <w:t>I, II, III y IV</w:t>
      </w:r>
      <w:r w:rsidRPr="003179FE">
        <w:rPr>
          <w:bCs/>
        </w:rPr>
        <w:t xml:space="preserve">, del artículo en comento, lo anterior, en virtud de que no hay constancias en el expediente en que se actúa, de que el Recurrente se haya desistido del recurso, haya fallecido, el Sujeto Obligado haya modificado o revocado el Recurso de Revisión, o bien, </w:t>
      </w:r>
      <w:r w:rsidRPr="003179FE">
        <w:rPr>
          <w:rFonts w:cs="Tahoma"/>
        </w:rPr>
        <w:t>sobreviniera alguna causal de improcedencia.</w:t>
      </w:r>
    </w:p>
    <w:p w14:paraId="1E56E52A" w14:textId="77777777" w:rsidR="00D14CB5" w:rsidRPr="003179FE" w:rsidRDefault="00D14CB5" w:rsidP="005C4054">
      <w:pPr>
        <w:spacing w:after="0" w:line="360" w:lineRule="auto"/>
        <w:contextualSpacing/>
        <w:rPr>
          <w:rFonts w:cs="Tahoma"/>
        </w:rPr>
      </w:pPr>
    </w:p>
    <w:p w14:paraId="14FC9B00" w14:textId="75B6B831" w:rsidR="00846D9C" w:rsidRPr="003179FE" w:rsidRDefault="00D14CB5" w:rsidP="005C4054">
      <w:pPr>
        <w:spacing w:after="0" w:line="360" w:lineRule="auto"/>
        <w:rPr>
          <w:rFonts w:eastAsia="Calibri" w:cs="Tahoma"/>
        </w:rPr>
      </w:pPr>
      <w:r w:rsidRPr="003179FE">
        <w:rPr>
          <w:rFonts w:cs="Tahoma"/>
          <w:lang w:val="es-ES"/>
        </w:rPr>
        <w:lastRenderedPageBreak/>
        <w:t xml:space="preserve">Ahora bien, por lo que hace a la </w:t>
      </w:r>
      <w:r w:rsidRPr="003179FE">
        <w:rPr>
          <w:rFonts w:cs="Tahoma"/>
          <w:b/>
          <w:bCs/>
          <w:lang w:val="es-ES"/>
        </w:rPr>
        <w:t>fracción V</w:t>
      </w:r>
      <w:r w:rsidRPr="003179FE">
        <w:rPr>
          <w:rFonts w:cs="Tahoma"/>
          <w:lang w:val="es-ES"/>
        </w:rPr>
        <w:t xml:space="preserve">, del </w:t>
      </w:r>
      <w:r w:rsidRPr="003179FE">
        <w:rPr>
          <w:rFonts w:cs="Tahoma"/>
          <w:b/>
          <w:bCs/>
          <w:lang w:val="es-ES"/>
        </w:rPr>
        <w:t>artículo 192</w:t>
      </w:r>
      <w:r w:rsidRPr="003179FE">
        <w:rPr>
          <w:rFonts w:cs="Tahoma"/>
          <w:lang w:val="es-ES"/>
        </w:rPr>
        <w:t>, de la Ley de la materia, es de señalar qu</w:t>
      </w:r>
      <w:r w:rsidR="00757CCE" w:rsidRPr="003179FE">
        <w:rPr>
          <w:rFonts w:cs="Tahoma"/>
          <w:lang w:val="es-ES"/>
        </w:rPr>
        <w:t>e</w:t>
      </w:r>
      <w:r w:rsidR="00BE4728" w:rsidRPr="003179FE">
        <w:rPr>
          <w:rFonts w:cs="Tahoma"/>
          <w:lang w:val="es-ES"/>
        </w:rPr>
        <w:t xml:space="preserve"> en los Medios de Impugnación </w:t>
      </w:r>
      <w:r w:rsidR="00BE4728" w:rsidRPr="003179FE">
        <w:t>07111/INFOEM/IP/RR/2024 y 07112/INFOEM/IP/RR/2024,</w:t>
      </w:r>
      <w:r w:rsidR="00757CCE" w:rsidRPr="003179FE">
        <w:rPr>
          <w:rFonts w:cs="Tahoma"/>
          <w:lang w:val="es-ES"/>
        </w:rPr>
        <w:t xml:space="preserve"> la </w:t>
      </w:r>
      <w:r w:rsidR="00757CCE" w:rsidRPr="003179FE">
        <w:rPr>
          <w:rFonts w:eastAsia="Calibri" w:cs="Tahoma"/>
        </w:rPr>
        <w:t>Comisión del Agua del Estado de México</w:t>
      </w:r>
      <w:r w:rsidRPr="003179FE">
        <w:rPr>
          <w:rFonts w:cs="Tahoma"/>
          <w:lang w:val="es-ES"/>
        </w:rPr>
        <w:t xml:space="preserve">, emitió respuesta, durante la sustanciación del Medio de Impugnación, por lo que, se estima procedente entrar al estudio de dicha causal de sobreseimiento, para lo cual, </w:t>
      </w:r>
      <w:r w:rsidR="00846D9C" w:rsidRPr="003179FE">
        <w:rPr>
          <w:lang w:val="es-ES"/>
        </w:rPr>
        <w:t xml:space="preserve">es necesario </w:t>
      </w:r>
      <w:r w:rsidR="00846D9C" w:rsidRPr="003179FE">
        <w:rPr>
          <w:rFonts w:eastAsia="Calibri" w:cs="Tahoma"/>
        </w:rPr>
        <w:t>realizar un cuadro que contenga lo solicitado, la inconformidad por parte de la persona solicitante y el Informe Justificado emitido por el Sujeto Obligado, como se muestra a continuación:</w:t>
      </w:r>
    </w:p>
    <w:p w14:paraId="3ADB8193" w14:textId="77777777" w:rsidR="00846D9C" w:rsidRPr="003179FE" w:rsidRDefault="00846D9C" w:rsidP="005C4054">
      <w:pPr>
        <w:spacing w:after="0" w:line="360" w:lineRule="auto"/>
        <w:rPr>
          <w:rFonts w:eastAsia="Calibri" w:cs="Tahoma"/>
        </w:rPr>
      </w:pPr>
    </w:p>
    <w:tbl>
      <w:tblPr>
        <w:tblStyle w:val="Tablaconcuadrcula"/>
        <w:tblW w:w="0" w:type="auto"/>
        <w:tblLook w:val="04A0" w:firstRow="1" w:lastRow="0" w:firstColumn="1" w:lastColumn="0" w:noHBand="0" w:noVBand="1"/>
      </w:tblPr>
      <w:tblGrid>
        <w:gridCol w:w="2973"/>
        <w:gridCol w:w="2974"/>
        <w:gridCol w:w="2974"/>
      </w:tblGrid>
      <w:tr w:rsidR="00846D9C" w:rsidRPr="003179FE" w14:paraId="21AC99B5" w14:textId="77777777" w:rsidTr="00846D9C">
        <w:tc>
          <w:tcPr>
            <w:tcW w:w="2973" w:type="dxa"/>
            <w:shd w:val="clear" w:color="auto" w:fill="E2EFD9" w:themeFill="accent6" w:themeFillTint="33"/>
          </w:tcPr>
          <w:p w14:paraId="392E6293" w14:textId="77777777" w:rsidR="00846D9C" w:rsidRPr="003179FE" w:rsidRDefault="00846D9C" w:rsidP="005C4054">
            <w:pPr>
              <w:spacing w:line="360" w:lineRule="auto"/>
              <w:jc w:val="center"/>
              <w:rPr>
                <w:rFonts w:eastAsia="Calibri" w:cs="Tahoma"/>
                <w:b/>
                <w:bCs/>
                <w:sz w:val="18"/>
                <w:szCs w:val="18"/>
              </w:rPr>
            </w:pPr>
            <w:bookmarkStart w:id="5" w:name="_Hlk184204245"/>
            <w:r w:rsidRPr="003179FE">
              <w:rPr>
                <w:rFonts w:eastAsia="Calibri" w:cs="Tahoma"/>
                <w:b/>
                <w:bCs/>
                <w:sz w:val="18"/>
                <w:szCs w:val="18"/>
              </w:rPr>
              <w:t>Solicitud</w:t>
            </w:r>
          </w:p>
          <w:p w14:paraId="5845A98D" w14:textId="145A2EC0" w:rsidR="00846D9C" w:rsidRPr="003179FE" w:rsidRDefault="00846D9C" w:rsidP="005C4054">
            <w:pPr>
              <w:spacing w:line="360" w:lineRule="auto"/>
              <w:jc w:val="center"/>
              <w:rPr>
                <w:rFonts w:eastAsia="Calibri" w:cs="Tahoma"/>
                <w:b/>
                <w:bCs/>
                <w:sz w:val="18"/>
                <w:szCs w:val="18"/>
              </w:rPr>
            </w:pPr>
            <w:r w:rsidRPr="003179FE">
              <w:rPr>
                <w:rFonts w:cs="Tahoma"/>
                <w:sz w:val="18"/>
                <w:szCs w:val="18"/>
              </w:rPr>
              <w:t>De la Unidad de Información, Planeación, Programación y Evaluación, del primero de octubre al treinta y uno de diciembre de dos mil veintitrés y del primero de enero al siete de octubre de dos mil veinticuatro:</w:t>
            </w:r>
          </w:p>
        </w:tc>
        <w:tc>
          <w:tcPr>
            <w:tcW w:w="2974" w:type="dxa"/>
            <w:shd w:val="clear" w:color="auto" w:fill="E2EFD9" w:themeFill="accent6" w:themeFillTint="33"/>
          </w:tcPr>
          <w:p w14:paraId="038666BC" w14:textId="36BAC3B1" w:rsidR="00846D9C" w:rsidRPr="003179FE" w:rsidRDefault="00846D9C" w:rsidP="005C4054">
            <w:pPr>
              <w:spacing w:line="360" w:lineRule="auto"/>
              <w:jc w:val="center"/>
              <w:rPr>
                <w:rFonts w:eastAsia="Calibri" w:cs="Tahoma"/>
                <w:b/>
                <w:bCs/>
                <w:sz w:val="18"/>
                <w:szCs w:val="18"/>
              </w:rPr>
            </w:pPr>
            <w:r w:rsidRPr="003179FE">
              <w:rPr>
                <w:rFonts w:eastAsia="Calibri" w:cs="Tahoma"/>
                <w:b/>
                <w:bCs/>
                <w:sz w:val="18"/>
                <w:szCs w:val="18"/>
              </w:rPr>
              <w:t>Inconformidad</w:t>
            </w:r>
          </w:p>
        </w:tc>
        <w:tc>
          <w:tcPr>
            <w:tcW w:w="2974" w:type="dxa"/>
            <w:shd w:val="clear" w:color="auto" w:fill="E2EFD9" w:themeFill="accent6" w:themeFillTint="33"/>
          </w:tcPr>
          <w:p w14:paraId="561FEBF9" w14:textId="4FCD25B7" w:rsidR="00846D9C" w:rsidRPr="003179FE" w:rsidRDefault="00846D9C" w:rsidP="005C4054">
            <w:pPr>
              <w:spacing w:line="360" w:lineRule="auto"/>
              <w:jc w:val="center"/>
              <w:rPr>
                <w:rFonts w:eastAsia="Calibri" w:cs="Tahoma"/>
                <w:b/>
                <w:bCs/>
                <w:sz w:val="18"/>
                <w:szCs w:val="18"/>
              </w:rPr>
            </w:pPr>
            <w:r w:rsidRPr="003179FE">
              <w:rPr>
                <w:rFonts w:eastAsia="Calibri" w:cs="Tahoma"/>
                <w:b/>
                <w:bCs/>
                <w:sz w:val="18"/>
                <w:szCs w:val="18"/>
              </w:rPr>
              <w:t>Informe Justificado</w:t>
            </w:r>
          </w:p>
        </w:tc>
      </w:tr>
      <w:tr w:rsidR="00391CC5" w:rsidRPr="003179FE" w14:paraId="2486378F" w14:textId="77777777" w:rsidTr="00846D9C">
        <w:tc>
          <w:tcPr>
            <w:tcW w:w="2973" w:type="dxa"/>
          </w:tcPr>
          <w:p w14:paraId="5C9F97AD" w14:textId="77777777" w:rsidR="00391CC5" w:rsidRPr="003179FE" w:rsidRDefault="00391CC5" w:rsidP="005C4054">
            <w:pPr>
              <w:spacing w:line="360" w:lineRule="auto"/>
              <w:rPr>
                <w:rFonts w:cs="Tahoma"/>
                <w:sz w:val="18"/>
                <w:szCs w:val="18"/>
              </w:rPr>
            </w:pPr>
            <w:r w:rsidRPr="003179FE">
              <w:rPr>
                <w:rFonts w:eastAsia="Calibri" w:cs="Tahoma"/>
                <w:sz w:val="18"/>
                <w:szCs w:val="18"/>
              </w:rPr>
              <w:t xml:space="preserve">1. </w:t>
            </w:r>
            <w:r w:rsidRPr="003179FE">
              <w:rPr>
                <w:rFonts w:cs="Tahoma"/>
                <w:sz w:val="18"/>
                <w:szCs w:val="18"/>
              </w:rPr>
              <w:t>Oficios firmados por Erick Montiel</w:t>
            </w:r>
          </w:p>
          <w:p w14:paraId="75917DF5" w14:textId="718AC08E" w:rsidR="00391CC5" w:rsidRPr="003179FE" w:rsidRDefault="00391CC5" w:rsidP="005C4054">
            <w:pPr>
              <w:spacing w:line="360" w:lineRule="auto"/>
              <w:rPr>
                <w:rFonts w:eastAsia="Calibri" w:cs="Tahoma"/>
                <w:sz w:val="18"/>
                <w:szCs w:val="18"/>
              </w:rPr>
            </w:pPr>
          </w:p>
        </w:tc>
        <w:tc>
          <w:tcPr>
            <w:tcW w:w="2974" w:type="dxa"/>
            <w:vMerge w:val="restart"/>
          </w:tcPr>
          <w:p w14:paraId="699A0B99" w14:textId="3227B502" w:rsidR="00391CC5" w:rsidRPr="003179FE" w:rsidRDefault="00391CC5" w:rsidP="005C4054">
            <w:pPr>
              <w:spacing w:line="360" w:lineRule="auto"/>
              <w:rPr>
                <w:rFonts w:eastAsia="Calibri" w:cs="Tahoma"/>
                <w:sz w:val="18"/>
                <w:szCs w:val="18"/>
              </w:rPr>
            </w:pPr>
            <w:r w:rsidRPr="003179FE">
              <w:rPr>
                <w:rFonts w:eastAsia="Calibri" w:cs="Tahoma"/>
                <w:iCs/>
                <w:sz w:val="18"/>
                <w:szCs w:val="18"/>
                <w:lang w:eastAsia="es-ES_tradnl"/>
              </w:rPr>
              <w:t>Ante la falta de respuesta del Ente Recurrido, el Particular, justamente se inconformó de dicha circunstancia, lo cual actualiza el supuesto previsto en el artículo 179, fracción VII, de la Ley de Transparencia y Acceso a la Información Pública del Estado de México y Municipios.</w:t>
            </w:r>
          </w:p>
        </w:tc>
        <w:tc>
          <w:tcPr>
            <w:tcW w:w="2974" w:type="dxa"/>
          </w:tcPr>
          <w:p w14:paraId="55BBE67D" w14:textId="2F6446BA" w:rsidR="00391CC5" w:rsidRPr="003179FE" w:rsidRDefault="00391CC5" w:rsidP="005C4054">
            <w:pPr>
              <w:spacing w:line="360" w:lineRule="auto"/>
              <w:rPr>
                <w:rFonts w:eastAsia="Calibri" w:cs="Tahoma"/>
                <w:sz w:val="18"/>
                <w:szCs w:val="18"/>
              </w:rPr>
            </w:pPr>
            <w:r w:rsidRPr="003179FE">
              <w:rPr>
                <w:rFonts w:eastAsia="Calibri" w:cs="Tahoma"/>
                <w:iCs/>
                <w:sz w:val="18"/>
                <w:szCs w:val="18"/>
                <w:lang w:eastAsia="es-ES_tradnl"/>
              </w:rPr>
              <w:t xml:space="preserve">A través del Titular de la </w:t>
            </w:r>
            <w:r w:rsidRPr="003179FE">
              <w:rPr>
                <w:rFonts w:cs="Tahoma"/>
                <w:sz w:val="18"/>
                <w:szCs w:val="18"/>
              </w:rPr>
              <w:t xml:space="preserve">Unidad de Información, Planeación, Programación y Evaluación mencionó que no existen documentos firmados </w:t>
            </w:r>
            <w:r w:rsidR="007E1385" w:rsidRPr="003179FE">
              <w:rPr>
                <w:rFonts w:cs="Tahoma"/>
                <w:sz w:val="18"/>
                <w:szCs w:val="18"/>
              </w:rPr>
              <w:t>por el servidor en mención, de la temporalidad solicitada.</w:t>
            </w:r>
          </w:p>
        </w:tc>
      </w:tr>
      <w:tr w:rsidR="00391CC5" w:rsidRPr="003179FE" w14:paraId="7649D2F1" w14:textId="77777777" w:rsidTr="00846D9C">
        <w:tc>
          <w:tcPr>
            <w:tcW w:w="2973" w:type="dxa"/>
          </w:tcPr>
          <w:p w14:paraId="7308D175" w14:textId="77777777" w:rsidR="00391CC5" w:rsidRPr="003179FE" w:rsidRDefault="00391CC5" w:rsidP="005C4054">
            <w:pPr>
              <w:spacing w:line="360" w:lineRule="auto"/>
              <w:rPr>
                <w:rFonts w:cs="Tahoma"/>
                <w:sz w:val="18"/>
                <w:szCs w:val="18"/>
              </w:rPr>
            </w:pPr>
            <w:r w:rsidRPr="003179FE">
              <w:rPr>
                <w:rFonts w:eastAsia="Calibri" w:cs="Tahoma"/>
                <w:sz w:val="18"/>
                <w:szCs w:val="18"/>
              </w:rPr>
              <w:t xml:space="preserve">2. </w:t>
            </w:r>
            <w:r w:rsidRPr="003179FE">
              <w:rPr>
                <w:rFonts w:cs="Tahoma"/>
                <w:sz w:val="18"/>
                <w:szCs w:val="18"/>
              </w:rPr>
              <w:t xml:space="preserve">Oficios firmados por Héctor Perales </w:t>
            </w:r>
            <w:proofErr w:type="spellStart"/>
            <w:r w:rsidRPr="003179FE">
              <w:rPr>
                <w:rFonts w:cs="Tahoma"/>
                <w:sz w:val="18"/>
                <w:szCs w:val="18"/>
              </w:rPr>
              <w:t>Natto</w:t>
            </w:r>
            <w:proofErr w:type="spellEnd"/>
            <w:r w:rsidRPr="003179FE">
              <w:rPr>
                <w:rFonts w:cs="Tahoma"/>
                <w:sz w:val="18"/>
                <w:szCs w:val="18"/>
              </w:rPr>
              <w:t xml:space="preserve"> </w:t>
            </w:r>
          </w:p>
          <w:p w14:paraId="4C0E1CE0" w14:textId="34585B08" w:rsidR="00391CC5" w:rsidRPr="003179FE" w:rsidRDefault="00391CC5" w:rsidP="005C4054">
            <w:pPr>
              <w:spacing w:line="360" w:lineRule="auto"/>
              <w:rPr>
                <w:rFonts w:eastAsia="Calibri" w:cs="Tahoma"/>
                <w:sz w:val="18"/>
                <w:szCs w:val="18"/>
              </w:rPr>
            </w:pPr>
          </w:p>
        </w:tc>
        <w:tc>
          <w:tcPr>
            <w:tcW w:w="2974" w:type="dxa"/>
            <w:vMerge/>
          </w:tcPr>
          <w:p w14:paraId="5476927E" w14:textId="77777777" w:rsidR="00391CC5" w:rsidRPr="003179FE" w:rsidRDefault="00391CC5" w:rsidP="005C4054">
            <w:pPr>
              <w:spacing w:line="360" w:lineRule="auto"/>
              <w:rPr>
                <w:rFonts w:eastAsia="Calibri" w:cs="Tahoma"/>
                <w:sz w:val="18"/>
                <w:szCs w:val="18"/>
              </w:rPr>
            </w:pPr>
          </w:p>
        </w:tc>
        <w:tc>
          <w:tcPr>
            <w:tcW w:w="2974" w:type="dxa"/>
          </w:tcPr>
          <w:p w14:paraId="11C89523" w14:textId="391062B4" w:rsidR="007E1385" w:rsidRPr="003179FE" w:rsidRDefault="00F57B6A" w:rsidP="005C4054">
            <w:pPr>
              <w:spacing w:line="360" w:lineRule="auto"/>
              <w:rPr>
                <w:rFonts w:cs="Tahoma"/>
                <w:sz w:val="18"/>
                <w:szCs w:val="18"/>
                <w:lang w:val="es-ES_tradnl"/>
              </w:rPr>
            </w:pPr>
            <w:r w:rsidRPr="003179FE">
              <w:rPr>
                <w:rFonts w:eastAsia="Calibri" w:cs="Tahoma"/>
                <w:sz w:val="18"/>
                <w:szCs w:val="18"/>
              </w:rPr>
              <w:t xml:space="preserve">i. </w:t>
            </w:r>
            <w:r w:rsidR="007E1385" w:rsidRPr="003179FE">
              <w:rPr>
                <w:rFonts w:eastAsia="Calibri" w:cs="Tahoma"/>
                <w:sz w:val="18"/>
                <w:szCs w:val="18"/>
              </w:rPr>
              <w:t xml:space="preserve">A través del Jefe del Departamento de Evaluación de la Unidad de Información </w:t>
            </w:r>
            <w:r w:rsidR="007E1385" w:rsidRPr="003179FE">
              <w:rPr>
                <w:rFonts w:cs="Tahoma"/>
                <w:sz w:val="18"/>
                <w:szCs w:val="18"/>
              </w:rPr>
              <w:t>Planeación, Programación y Evaluación, informó que, e</w:t>
            </w:r>
            <w:r w:rsidR="007E1385" w:rsidRPr="003179FE">
              <w:rPr>
                <w:rFonts w:cs="Tahoma"/>
                <w:sz w:val="18"/>
                <w:szCs w:val="18"/>
                <w:lang w:val="es-ES_tradnl"/>
              </w:rPr>
              <w:t xml:space="preserve">l suscrito, fue designado como Jefe del Departamento de Evaluación en la Unidad de Información, </w:t>
            </w:r>
            <w:r w:rsidR="007E1385" w:rsidRPr="003179FE">
              <w:rPr>
                <w:rFonts w:cs="Tahoma"/>
                <w:sz w:val="18"/>
                <w:szCs w:val="18"/>
                <w:lang w:val="es-ES_tradnl"/>
              </w:rPr>
              <w:lastRenderedPageBreak/>
              <w:t>Planeación y Programación y Evaluación (UIPPE), el primero de abril de dos mil veinticuatro, anteriormente por el puesto con nivel de “Secretario C”, no contaba con facultad para firmar documentos, por tal motivo, no existen documentos firmados anterior a su designación, y posteriormente cuenta con catorce oficios firmados al siete de octubre de dos mil veinticuatro</w:t>
            </w:r>
            <w:r w:rsidRPr="003179FE">
              <w:rPr>
                <w:rFonts w:cs="Tahoma"/>
                <w:sz w:val="18"/>
                <w:szCs w:val="18"/>
                <w:lang w:val="es-ES_tradnl"/>
              </w:rPr>
              <w:t>, los cuales se adjuntan.</w:t>
            </w:r>
          </w:p>
          <w:p w14:paraId="18A23897" w14:textId="77777777" w:rsidR="007E1385" w:rsidRPr="003179FE" w:rsidRDefault="007E1385" w:rsidP="005C4054">
            <w:pPr>
              <w:spacing w:line="360" w:lineRule="auto"/>
              <w:rPr>
                <w:rFonts w:eastAsia="Calibri" w:cs="Tahoma"/>
                <w:sz w:val="18"/>
                <w:szCs w:val="18"/>
              </w:rPr>
            </w:pPr>
          </w:p>
          <w:p w14:paraId="63DED2CC" w14:textId="627666AD" w:rsidR="00F57B6A" w:rsidRPr="003179FE" w:rsidRDefault="00F57B6A" w:rsidP="005C4054">
            <w:pPr>
              <w:spacing w:line="360" w:lineRule="auto"/>
              <w:rPr>
                <w:rFonts w:eastAsia="Calibri" w:cs="Tahoma"/>
                <w:sz w:val="18"/>
                <w:szCs w:val="18"/>
              </w:rPr>
            </w:pPr>
            <w:r w:rsidRPr="003179FE">
              <w:rPr>
                <w:rFonts w:eastAsia="Calibri" w:cs="Tahoma"/>
                <w:sz w:val="18"/>
                <w:szCs w:val="18"/>
              </w:rPr>
              <w:t xml:space="preserve">ii. </w:t>
            </w:r>
            <w:r w:rsidRPr="003179FE">
              <w:rPr>
                <w:rFonts w:cs="Tahoma"/>
                <w:sz w:val="18"/>
                <w:szCs w:val="18"/>
                <w:lang w:val="es-ES_tradnl"/>
              </w:rPr>
              <w:t>Catorce oficios suscritos por el Titular de Información, Planeación, Programación y Evaluación.</w:t>
            </w:r>
          </w:p>
        </w:tc>
      </w:tr>
      <w:bookmarkEnd w:id="5"/>
    </w:tbl>
    <w:p w14:paraId="2E43B7A8" w14:textId="4E177656" w:rsidR="00D14CB5" w:rsidRPr="003179FE" w:rsidRDefault="00D14CB5" w:rsidP="005C4054">
      <w:pPr>
        <w:tabs>
          <w:tab w:val="left" w:pos="4962"/>
        </w:tabs>
        <w:spacing w:after="0" w:line="360" w:lineRule="auto"/>
        <w:contextualSpacing/>
        <w:rPr>
          <w:rFonts w:eastAsia="Calibri" w:cs="Tahoma"/>
          <w:iCs/>
          <w:lang w:val="es-ES" w:eastAsia="es-ES_tradnl"/>
        </w:rPr>
      </w:pPr>
    </w:p>
    <w:p w14:paraId="76E971AF" w14:textId="77777777" w:rsidR="00D14CB5" w:rsidRPr="003179FE" w:rsidRDefault="00D14CB5" w:rsidP="005C4054">
      <w:pPr>
        <w:tabs>
          <w:tab w:val="left" w:pos="4962"/>
        </w:tabs>
        <w:spacing w:after="0" w:line="360" w:lineRule="auto"/>
        <w:contextualSpacing/>
        <w:rPr>
          <w:rFonts w:eastAsia="Calibri" w:cs="Tahoma"/>
          <w:bCs/>
        </w:rPr>
      </w:pPr>
      <w:r w:rsidRPr="003179FE">
        <w:rPr>
          <w:rFonts w:eastAsia="Calibri" w:cs="Tahoma"/>
          <w:iCs/>
          <w:lang w:val="es-ES" w:eastAsia="es-ES_tradnl"/>
        </w:rPr>
        <w:t>Lo anterior, se desprende de las documentales que obran en el expediente de referencia, materia de la presente resolución, consistentes en: la solicitud de acceso a la información,</w:t>
      </w:r>
      <w:r w:rsidRPr="003179FE">
        <w:rPr>
          <w:rFonts w:eastAsia="Calibri" w:cs="Tahoma"/>
          <w:iCs/>
          <w:lang w:eastAsia="es-ES_tradnl"/>
        </w:rPr>
        <w:t xml:space="preserve"> el escrito </w:t>
      </w:r>
      <w:proofErr w:type="spellStart"/>
      <w:r w:rsidRPr="003179FE">
        <w:rPr>
          <w:rFonts w:eastAsia="Calibri" w:cs="Tahoma"/>
          <w:iCs/>
          <w:lang w:eastAsia="es-ES_tradnl"/>
        </w:rPr>
        <w:t>recu</w:t>
      </w:r>
      <w:bookmarkStart w:id="6" w:name="_GoBack"/>
      <w:bookmarkEnd w:id="6"/>
      <w:r w:rsidRPr="003179FE">
        <w:rPr>
          <w:rFonts w:eastAsia="Calibri" w:cs="Tahoma"/>
          <w:iCs/>
          <w:lang w:eastAsia="es-ES_tradnl"/>
        </w:rPr>
        <w:t>rsal</w:t>
      </w:r>
      <w:proofErr w:type="spellEnd"/>
      <w:r w:rsidRPr="003179FE">
        <w:rPr>
          <w:rFonts w:eastAsia="Calibri" w:cs="Tahoma"/>
          <w:iCs/>
          <w:lang w:eastAsia="es-ES_tradnl"/>
        </w:rPr>
        <w:t xml:space="preserve"> y el Informe Justificado; </w:t>
      </w:r>
      <w:r w:rsidRPr="003179FE">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4BB359D" w14:textId="77777777" w:rsidR="00D14CB5" w:rsidRPr="003179FE" w:rsidRDefault="00D14CB5" w:rsidP="005C4054">
      <w:pPr>
        <w:spacing w:after="0" w:line="360" w:lineRule="auto"/>
        <w:contextualSpacing/>
        <w:rPr>
          <w:rFonts w:eastAsia="Calibri" w:cs="Tahoma"/>
          <w:lang w:eastAsia="es-ES_tradnl"/>
        </w:rPr>
      </w:pPr>
    </w:p>
    <w:p w14:paraId="4D04CFBB" w14:textId="7E5B3DCE" w:rsidR="00D14CB5" w:rsidRPr="003179FE" w:rsidRDefault="00D14CB5" w:rsidP="005C4054">
      <w:pPr>
        <w:spacing w:after="0" w:line="360" w:lineRule="auto"/>
        <w:contextualSpacing/>
        <w:rPr>
          <w:rFonts w:cs="Tahoma"/>
          <w:bCs/>
          <w:iCs/>
        </w:rPr>
      </w:pPr>
      <w:r w:rsidRPr="003179FE">
        <w:rPr>
          <w:rFonts w:cs="Tahoma"/>
          <w:bCs/>
          <w:iCs/>
        </w:rPr>
        <w:t xml:space="preserve">Expuestas las posturas de las partes, se procede al análisis del agravio hecho valer por </w:t>
      </w:r>
      <w:r w:rsidR="00836D1D" w:rsidRPr="003179FE">
        <w:rPr>
          <w:rFonts w:cs="Tahoma"/>
          <w:bCs/>
          <w:iCs/>
        </w:rPr>
        <w:t>la persona</w:t>
      </w:r>
      <w:r w:rsidRPr="003179FE">
        <w:rPr>
          <w:rFonts w:cs="Tahoma"/>
          <w:bCs/>
          <w:iCs/>
        </w:rPr>
        <w:t xml:space="preserve"> Recurrente, concerniente a la falta de respuesta de</w:t>
      </w:r>
      <w:r w:rsidR="00836D1D" w:rsidRPr="003179FE">
        <w:rPr>
          <w:rFonts w:cs="Tahoma"/>
          <w:bCs/>
          <w:iCs/>
        </w:rPr>
        <w:t xml:space="preserve"> la </w:t>
      </w:r>
      <w:r w:rsidR="00836D1D" w:rsidRPr="003179FE">
        <w:rPr>
          <w:rFonts w:eastAsia="Calibri" w:cs="Tahoma"/>
        </w:rPr>
        <w:t>Comisión del Agua del Estado de México</w:t>
      </w:r>
      <w:r w:rsidRPr="003179FE">
        <w:rPr>
          <w:rFonts w:cs="Tahoma"/>
          <w:iCs/>
        </w:rPr>
        <w:t>, a</w:t>
      </w:r>
      <w:r w:rsidRPr="003179FE">
        <w:rPr>
          <w:rFonts w:cs="Tahoma"/>
          <w:bCs/>
          <w:iCs/>
        </w:rPr>
        <w:t xml:space="preserve"> la solicitud de información presentada. </w:t>
      </w:r>
    </w:p>
    <w:p w14:paraId="4CA210F9" w14:textId="77777777" w:rsidR="00D14CB5" w:rsidRPr="003179FE" w:rsidRDefault="00D14CB5" w:rsidP="005C4054">
      <w:pPr>
        <w:spacing w:after="0" w:line="360" w:lineRule="auto"/>
        <w:contextualSpacing/>
        <w:rPr>
          <w:rFonts w:cs="Tahoma"/>
          <w:bCs/>
          <w:iCs/>
        </w:rPr>
      </w:pPr>
    </w:p>
    <w:p w14:paraId="00720AB6" w14:textId="77777777" w:rsidR="00D14CB5" w:rsidRPr="003179FE" w:rsidRDefault="00D14CB5" w:rsidP="005C4054">
      <w:pPr>
        <w:spacing w:after="0" w:line="360" w:lineRule="auto"/>
        <w:contextualSpacing/>
        <w:rPr>
          <w:rFonts w:cs="Tahoma"/>
          <w:bCs/>
          <w:iCs/>
        </w:rPr>
      </w:pPr>
      <w:r w:rsidRPr="003179FE">
        <w:rPr>
          <w:rFonts w:cs="Tahoma"/>
          <w:bCs/>
          <w:iCs/>
        </w:rPr>
        <w:lastRenderedPageBreak/>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32118AF6" w14:textId="77777777" w:rsidR="00D14CB5" w:rsidRPr="003179FE" w:rsidRDefault="00D14CB5" w:rsidP="005C4054">
      <w:pPr>
        <w:spacing w:after="0" w:line="360" w:lineRule="auto"/>
        <w:contextualSpacing/>
        <w:rPr>
          <w:rFonts w:cs="Tahoma"/>
          <w:bCs/>
          <w:iCs/>
        </w:rPr>
      </w:pPr>
    </w:p>
    <w:p w14:paraId="660CC49A" w14:textId="77777777" w:rsidR="00D14CB5" w:rsidRPr="003179FE" w:rsidRDefault="00D14CB5" w:rsidP="005C4054">
      <w:pPr>
        <w:numPr>
          <w:ilvl w:val="0"/>
          <w:numId w:val="1"/>
        </w:numPr>
        <w:spacing w:after="0" w:line="360" w:lineRule="auto"/>
        <w:contextualSpacing/>
        <w:rPr>
          <w:rFonts w:cs="Tahoma"/>
          <w:bCs/>
          <w:iCs/>
        </w:rPr>
      </w:pPr>
      <w:r w:rsidRPr="003179FE">
        <w:rPr>
          <w:rFonts w:cs="Tahoma"/>
          <w:bCs/>
          <w:iCs/>
        </w:rPr>
        <w:t>Proveer lo necesario para garantizar a toda persona el derecho de acceso a la información pública, a través de procedimientos sencillos, expeditos, oportunos y gratuitos;</w:t>
      </w:r>
    </w:p>
    <w:p w14:paraId="12DF26FF" w14:textId="77777777" w:rsidR="00D14CB5" w:rsidRPr="003179FE" w:rsidRDefault="00D14CB5" w:rsidP="005C4054">
      <w:pPr>
        <w:spacing w:after="0" w:line="360" w:lineRule="auto"/>
        <w:ind w:left="720"/>
        <w:contextualSpacing/>
        <w:rPr>
          <w:rFonts w:cs="Tahoma"/>
          <w:bCs/>
          <w:iCs/>
        </w:rPr>
      </w:pPr>
    </w:p>
    <w:p w14:paraId="15E7B4BE" w14:textId="77777777" w:rsidR="00D14CB5" w:rsidRPr="003179FE" w:rsidRDefault="00D14CB5" w:rsidP="005C4054">
      <w:pPr>
        <w:numPr>
          <w:ilvl w:val="0"/>
          <w:numId w:val="1"/>
        </w:numPr>
        <w:spacing w:after="0" w:line="360" w:lineRule="auto"/>
        <w:contextualSpacing/>
        <w:rPr>
          <w:rFonts w:cs="Tahoma"/>
          <w:bCs/>
          <w:iCs/>
        </w:rPr>
      </w:pPr>
      <w:r w:rsidRPr="003179FE">
        <w:rPr>
          <w:rFonts w:cs="Tahoma"/>
          <w:bCs/>
          <w:iCs/>
        </w:rPr>
        <w:t>Transparentar la gestión pública, mediante la difusión de la información generada por los Sujetos Obligados, y</w:t>
      </w:r>
    </w:p>
    <w:p w14:paraId="750DA806" w14:textId="77777777" w:rsidR="00D14CB5" w:rsidRPr="003179FE" w:rsidRDefault="00D14CB5" w:rsidP="005C4054">
      <w:pPr>
        <w:spacing w:after="0" w:line="360" w:lineRule="auto"/>
        <w:ind w:left="720"/>
        <w:contextualSpacing/>
        <w:rPr>
          <w:rFonts w:cs="Tahoma"/>
          <w:bCs/>
          <w:iCs/>
        </w:rPr>
      </w:pPr>
    </w:p>
    <w:p w14:paraId="27F3E791" w14:textId="77777777" w:rsidR="00D14CB5" w:rsidRPr="003179FE" w:rsidRDefault="00D14CB5" w:rsidP="005C4054">
      <w:pPr>
        <w:numPr>
          <w:ilvl w:val="0"/>
          <w:numId w:val="1"/>
        </w:numPr>
        <w:spacing w:after="0" w:line="360" w:lineRule="auto"/>
        <w:contextualSpacing/>
        <w:rPr>
          <w:rFonts w:cs="Tahoma"/>
          <w:bCs/>
          <w:iCs/>
        </w:rPr>
      </w:pPr>
      <w:r w:rsidRPr="003179FE">
        <w:rPr>
          <w:rFonts w:cs="Tahoma"/>
          <w:bCs/>
          <w:iCs/>
        </w:rPr>
        <w:t>Promover, fomentar y difundir la cultura de la transparencia en el ejercicio de la función pública, el acceso a la información y la participación ciudadana, así como, la rendición de cuentas.</w:t>
      </w:r>
    </w:p>
    <w:p w14:paraId="5307630B" w14:textId="77777777" w:rsidR="00D14CB5" w:rsidRPr="003179FE" w:rsidRDefault="00D14CB5" w:rsidP="005C4054">
      <w:pPr>
        <w:spacing w:after="0" w:line="360" w:lineRule="auto"/>
        <w:contextualSpacing/>
        <w:rPr>
          <w:rFonts w:cs="Tahoma"/>
          <w:bCs/>
          <w:iCs/>
        </w:rPr>
      </w:pPr>
    </w:p>
    <w:p w14:paraId="5D6F6DC4" w14:textId="77777777" w:rsidR="00D14CB5" w:rsidRPr="003179FE" w:rsidRDefault="00D14CB5" w:rsidP="005C4054">
      <w:pPr>
        <w:spacing w:after="0" w:line="360" w:lineRule="auto"/>
        <w:contextualSpacing/>
        <w:rPr>
          <w:rFonts w:cs="Tahoma"/>
          <w:bCs/>
          <w:iCs/>
        </w:rPr>
      </w:pPr>
      <w:r w:rsidRPr="003179FE">
        <w:rPr>
          <w:rFonts w:cs="Tahoma"/>
          <w:bCs/>
          <w:iCs/>
        </w:rPr>
        <w:t xml:space="preserve">Conforme a lo anterior, se deprende que </w:t>
      </w:r>
      <w:r w:rsidRPr="003179FE">
        <w:rPr>
          <w:rFonts w:cs="Tahoma"/>
          <w:b/>
          <w:bCs/>
          <w:iCs/>
        </w:rPr>
        <w:t>los objetivos de la Ley de la materia,</w:t>
      </w:r>
      <w:r w:rsidRPr="003179FE">
        <w:rPr>
          <w:rFonts w:cs="Tahoma"/>
          <w:bCs/>
          <w:iCs/>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1BDB0E4D" w14:textId="77777777" w:rsidR="00625E67" w:rsidRPr="003179FE" w:rsidRDefault="00625E67" w:rsidP="005C4054">
      <w:pPr>
        <w:spacing w:after="0" w:line="360" w:lineRule="auto"/>
        <w:contextualSpacing/>
        <w:rPr>
          <w:rFonts w:cs="Tahoma"/>
          <w:bCs/>
          <w:iCs/>
        </w:rPr>
      </w:pPr>
    </w:p>
    <w:p w14:paraId="16D2F111" w14:textId="77777777" w:rsidR="00D14CB5" w:rsidRPr="003179FE" w:rsidRDefault="00D14CB5" w:rsidP="005C4054">
      <w:pPr>
        <w:spacing w:after="0" w:line="360" w:lineRule="auto"/>
        <w:contextualSpacing/>
        <w:rPr>
          <w:rFonts w:cs="Tahoma"/>
          <w:bCs/>
          <w:iCs/>
        </w:rPr>
      </w:pPr>
      <w:r w:rsidRPr="003179FE">
        <w:rPr>
          <w:rFonts w:cs="Tahoma"/>
          <w:bCs/>
          <w:iCs/>
        </w:rPr>
        <w:t xml:space="preserve">En ese orden de ideas, para la atención de las solicitudes de acceso a la información, debe privilegiarse el </w:t>
      </w:r>
      <w:r w:rsidRPr="003179FE">
        <w:rPr>
          <w:rFonts w:cs="Tahoma"/>
          <w:b/>
          <w:bCs/>
          <w:iCs/>
        </w:rPr>
        <w:t>principio de máxima publicidad</w:t>
      </w:r>
      <w:r w:rsidRPr="003179FE">
        <w:rPr>
          <w:rFonts w:cs="Tahoma"/>
          <w:bCs/>
          <w:iCs/>
        </w:rPr>
        <w:t xml:space="preserve"> el cual dispone que toda la información en posesión de los sujetos obligados será pública, completa, oportuna y accesible, sujeta a un </w:t>
      </w:r>
      <w:r w:rsidRPr="003179FE">
        <w:rPr>
          <w:rFonts w:cs="Tahoma"/>
          <w:bCs/>
          <w:iCs/>
        </w:rPr>
        <w:lastRenderedPageBreak/>
        <w:t>claro régimen de excepciones que deberán estar definidas y ser legítimas y estrictamente necesarias en una sociedad democrática.</w:t>
      </w:r>
    </w:p>
    <w:p w14:paraId="3576CC21" w14:textId="77777777" w:rsidR="00D14CB5" w:rsidRPr="003179FE" w:rsidRDefault="00D14CB5" w:rsidP="005C4054">
      <w:pPr>
        <w:spacing w:after="0" w:line="360" w:lineRule="auto"/>
        <w:contextualSpacing/>
        <w:rPr>
          <w:rFonts w:cs="Tahoma"/>
          <w:bCs/>
          <w:iCs/>
        </w:rPr>
      </w:pPr>
    </w:p>
    <w:p w14:paraId="2981D53F" w14:textId="77777777" w:rsidR="00D14CB5" w:rsidRPr="003179FE" w:rsidRDefault="00D14CB5" w:rsidP="005C4054">
      <w:pPr>
        <w:spacing w:after="0" w:line="360" w:lineRule="auto"/>
        <w:contextualSpacing/>
        <w:rPr>
          <w:rFonts w:cs="Tahoma"/>
          <w:bCs/>
          <w:iCs/>
        </w:rPr>
      </w:pPr>
      <w:r w:rsidRPr="003179FE">
        <w:rPr>
          <w:rFonts w:cs="Tahoma"/>
          <w:bCs/>
          <w:iCs/>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4DEA1C2" w14:textId="77777777" w:rsidR="00D14CB5" w:rsidRPr="003179FE" w:rsidRDefault="00D14CB5" w:rsidP="005C4054">
      <w:pPr>
        <w:spacing w:after="0" w:line="360" w:lineRule="auto"/>
        <w:contextualSpacing/>
        <w:rPr>
          <w:rFonts w:cs="Tahoma"/>
          <w:bCs/>
          <w:iCs/>
        </w:rPr>
      </w:pPr>
    </w:p>
    <w:p w14:paraId="1BF08172" w14:textId="77777777" w:rsidR="00D14CB5" w:rsidRPr="003179FE" w:rsidRDefault="00D14CB5" w:rsidP="005C4054">
      <w:pPr>
        <w:numPr>
          <w:ilvl w:val="0"/>
          <w:numId w:val="2"/>
        </w:numPr>
        <w:spacing w:after="0" w:line="360" w:lineRule="auto"/>
        <w:contextualSpacing/>
        <w:rPr>
          <w:rFonts w:cs="Tahoma"/>
          <w:bCs/>
          <w:iCs/>
        </w:rPr>
      </w:pPr>
      <w:r w:rsidRPr="003179FE">
        <w:rPr>
          <w:rFonts w:cs="Tahoma"/>
          <w:bCs/>
          <w:iC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4A2B087" w14:textId="77777777" w:rsidR="00D14CB5" w:rsidRPr="003179FE" w:rsidRDefault="00D14CB5" w:rsidP="005C4054">
      <w:pPr>
        <w:spacing w:after="0" w:line="360" w:lineRule="auto"/>
        <w:contextualSpacing/>
        <w:rPr>
          <w:rFonts w:cs="Tahoma"/>
          <w:bCs/>
          <w:iCs/>
        </w:rPr>
      </w:pPr>
    </w:p>
    <w:p w14:paraId="205B1B23" w14:textId="77777777" w:rsidR="00D14CB5" w:rsidRPr="003179FE" w:rsidRDefault="00D14CB5" w:rsidP="005C4054">
      <w:pPr>
        <w:numPr>
          <w:ilvl w:val="0"/>
          <w:numId w:val="2"/>
        </w:numPr>
        <w:spacing w:after="0" w:line="360" w:lineRule="auto"/>
        <w:contextualSpacing/>
        <w:rPr>
          <w:rFonts w:cs="Tahoma"/>
          <w:bCs/>
          <w:iCs/>
        </w:rPr>
      </w:pPr>
      <w:r w:rsidRPr="003179FE">
        <w:rPr>
          <w:rFonts w:cs="Tahoma"/>
          <w:bCs/>
          <w:iC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22CDD5D" w14:textId="77777777" w:rsidR="00D14CB5" w:rsidRPr="003179FE" w:rsidRDefault="00D14CB5" w:rsidP="005C4054">
      <w:pPr>
        <w:spacing w:after="0" w:line="360" w:lineRule="auto"/>
        <w:ind w:left="720"/>
        <w:contextualSpacing/>
        <w:rPr>
          <w:rFonts w:cs="Tahoma"/>
          <w:bCs/>
          <w:iCs/>
        </w:rPr>
      </w:pPr>
    </w:p>
    <w:p w14:paraId="6E3515D8" w14:textId="77777777" w:rsidR="00D14CB5" w:rsidRPr="003179FE" w:rsidRDefault="00D14CB5" w:rsidP="005C4054">
      <w:pPr>
        <w:numPr>
          <w:ilvl w:val="0"/>
          <w:numId w:val="2"/>
        </w:numPr>
        <w:spacing w:after="0" w:line="360" w:lineRule="auto"/>
        <w:contextualSpacing/>
        <w:rPr>
          <w:rFonts w:cs="Tahoma"/>
          <w:bCs/>
          <w:iCs/>
        </w:rPr>
      </w:pPr>
      <w:r w:rsidRPr="003179FE">
        <w:rPr>
          <w:rFonts w:cs="Tahoma"/>
          <w:bCs/>
          <w:iCs/>
        </w:rPr>
        <w:t xml:space="preserve">Las respuestas a los requerimientos informativos deberán notificarse al interesado en el menor tiempo posible, que no podrá exceder </w:t>
      </w:r>
      <w:r w:rsidRPr="003179FE">
        <w:rPr>
          <w:rFonts w:cs="Tahoma"/>
          <w:b/>
          <w:bCs/>
          <w:iCs/>
        </w:rPr>
        <w:t>quince días, contados a partir del día siguiente a la presentación de ésta.</w:t>
      </w:r>
      <w:r w:rsidRPr="003179FE">
        <w:rPr>
          <w:rFonts w:cs="Tahoma"/>
          <w:bCs/>
          <w:iCs/>
        </w:rPr>
        <w:t xml:space="preserve"> Excepcionalmente, el plazo referido podrá ampliarse por siete días hábiles más, cuando existan razones fundadas y motivadas, a través del Comité de Transparencia;</w:t>
      </w:r>
    </w:p>
    <w:p w14:paraId="0593F03D" w14:textId="77777777" w:rsidR="00D14CB5" w:rsidRPr="003179FE" w:rsidRDefault="00D14CB5" w:rsidP="005C4054">
      <w:pPr>
        <w:spacing w:after="0" w:line="360" w:lineRule="auto"/>
        <w:contextualSpacing/>
        <w:rPr>
          <w:rFonts w:cs="Tahoma"/>
          <w:bCs/>
          <w:iCs/>
        </w:rPr>
      </w:pPr>
    </w:p>
    <w:p w14:paraId="177415E0" w14:textId="77777777" w:rsidR="00D14CB5" w:rsidRPr="003179FE" w:rsidRDefault="00D14CB5" w:rsidP="005C4054">
      <w:pPr>
        <w:numPr>
          <w:ilvl w:val="0"/>
          <w:numId w:val="2"/>
        </w:numPr>
        <w:spacing w:after="0" w:line="360" w:lineRule="auto"/>
        <w:contextualSpacing/>
        <w:rPr>
          <w:rFonts w:cs="Tahoma"/>
          <w:b/>
          <w:bCs/>
          <w:iCs/>
        </w:rPr>
      </w:pPr>
      <w:r w:rsidRPr="003179FE">
        <w:rPr>
          <w:rFonts w:cs="Tahoma"/>
          <w:bCs/>
          <w:iCs/>
        </w:rPr>
        <w:lastRenderedPageBreak/>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sidRPr="003179FE">
        <w:rPr>
          <w:rFonts w:cs="Tahoma"/>
          <w:b/>
          <w:bCs/>
          <w:iCs/>
        </w:rPr>
        <w:t>que se encuentren en sus archivos o que estén constreñidos a elaborar;</w:t>
      </w:r>
    </w:p>
    <w:p w14:paraId="5B77F150" w14:textId="77777777" w:rsidR="00D14CB5" w:rsidRPr="003179FE" w:rsidRDefault="00D14CB5" w:rsidP="005C4054">
      <w:pPr>
        <w:spacing w:after="0" w:line="360" w:lineRule="auto"/>
        <w:contextualSpacing/>
        <w:rPr>
          <w:rFonts w:cs="Tahoma"/>
          <w:b/>
          <w:bCs/>
          <w:iCs/>
        </w:rPr>
      </w:pPr>
    </w:p>
    <w:p w14:paraId="23717A15" w14:textId="77777777" w:rsidR="00D14CB5" w:rsidRPr="003179FE" w:rsidRDefault="00D14CB5" w:rsidP="005C4054">
      <w:pPr>
        <w:numPr>
          <w:ilvl w:val="0"/>
          <w:numId w:val="2"/>
        </w:numPr>
        <w:spacing w:after="0" w:line="360" w:lineRule="auto"/>
        <w:contextualSpacing/>
        <w:rPr>
          <w:rFonts w:cs="Tahoma"/>
          <w:b/>
          <w:bCs/>
          <w:iCs/>
        </w:rPr>
      </w:pPr>
      <w:r w:rsidRPr="003179FE">
        <w:rPr>
          <w:rFonts w:cs="Tahoma"/>
          <w:bCs/>
          <w:iC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365404F" w14:textId="77777777" w:rsidR="00D14CB5" w:rsidRPr="003179FE" w:rsidRDefault="00D14CB5" w:rsidP="005C4054">
      <w:pPr>
        <w:spacing w:after="0" w:line="360" w:lineRule="auto"/>
        <w:contextualSpacing/>
        <w:rPr>
          <w:rFonts w:cs="Tahoma"/>
          <w:b/>
          <w:bCs/>
          <w:iCs/>
        </w:rPr>
      </w:pPr>
    </w:p>
    <w:p w14:paraId="6E60F7E1" w14:textId="77777777" w:rsidR="00D14CB5" w:rsidRPr="003179FE" w:rsidRDefault="00D14CB5" w:rsidP="005C4054">
      <w:pPr>
        <w:numPr>
          <w:ilvl w:val="0"/>
          <w:numId w:val="2"/>
        </w:numPr>
        <w:spacing w:after="0" w:line="360" w:lineRule="auto"/>
        <w:contextualSpacing/>
        <w:rPr>
          <w:rFonts w:cs="Tahoma"/>
          <w:b/>
          <w:bCs/>
          <w:iCs/>
        </w:rPr>
      </w:pPr>
      <w:r w:rsidRPr="003179FE">
        <w:rPr>
          <w:rFonts w:cs="Tahoma"/>
          <w:bCs/>
          <w:iC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9126322" w14:textId="77777777" w:rsidR="00D14CB5" w:rsidRPr="003179FE" w:rsidRDefault="00D14CB5" w:rsidP="005C4054">
      <w:pPr>
        <w:spacing w:after="0" w:line="360" w:lineRule="auto"/>
        <w:contextualSpacing/>
        <w:rPr>
          <w:rFonts w:eastAsia="Calibri" w:cs="Tahoma"/>
        </w:rPr>
      </w:pPr>
    </w:p>
    <w:p w14:paraId="7171D482" w14:textId="770744EC" w:rsidR="00D14CB5" w:rsidRPr="003179FE" w:rsidRDefault="00D14CB5" w:rsidP="005C4054">
      <w:pPr>
        <w:spacing w:after="0" w:line="360" w:lineRule="auto"/>
        <w:contextualSpacing/>
        <w:rPr>
          <w:rFonts w:eastAsia="Calibri" w:cs="Tahoma"/>
        </w:rPr>
      </w:pPr>
      <w:r w:rsidRPr="003179FE">
        <w:rPr>
          <w:rFonts w:eastAsia="Calibri" w:cs="Tahoma"/>
        </w:rPr>
        <w:t>Una vez establecido lo anterior, es de indicar que el agravio del Particular consistió en que, a la fecha de interposición del Recurso de Revisión,</w:t>
      </w:r>
      <w:r w:rsidR="00625E67" w:rsidRPr="003179FE">
        <w:rPr>
          <w:rFonts w:eastAsia="Calibri" w:cs="Tahoma"/>
        </w:rPr>
        <w:t xml:space="preserve"> la Comisión del Agua del Estado de México</w:t>
      </w:r>
      <w:r w:rsidRPr="003179FE">
        <w:rPr>
          <w:rFonts w:eastAsia="Calibri" w:cs="Tahoma"/>
          <w:bCs/>
        </w:rPr>
        <w:t>, no había registrado respuesta al requerimiento</w:t>
      </w:r>
      <w:r w:rsidRPr="003179FE">
        <w:rPr>
          <w:rFonts w:eastAsia="Calibri" w:cs="Tahoma"/>
        </w:rPr>
        <w:t xml:space="preserve"> de acceso a la información, el cual se presentó, el </w:t>
      </w:r>
      <w:r w:rsidR="00625E67" w:rsidRPr="003179FE">
        <w:rPr>
          <w:rFonts w:eastAsia="Calibri" w:cs="Tahoma"/>
        </w:rPr>
        <w:t>siete de octubre</w:t>
      </w:r>
      <w:r w:rsidRPr="003179FE">
        <w:rPr>
          <w:rFonts w:eastAsia="Calibri" w:cs="Tahoma"/>
        </w:rPr>
        <w:t xml:space="preserve"> de dos mil veinticuatro. </w:t>
      </w:r>
    </w:p>
    <w:p w14:paraId="17F1E192" w14:textId="77777777" w:rsidR="00625E67" w:rsidRPr="003179FE" w:rsidRDefault="00625E67" w:rsidP="005C4054">
      <w:pPr>
        <w:spacing w:after="0" w:line="360" w:lineRule="auto"/>
        <w:contextualSpacing/>
        <w:rPr>
          <w:rFonts w:eastAsia="Calibri" w:cs="Tahoma"/>
        </w:rPr>
      </w:pPr>
    </w:p>
    <w:p w14:paraId="0E12A7AD" w14:textId="51E48BE6" w:rsidR="00D14CB5" w:rsidRPr="003179FE" w:rsidRDefault="00D14CB5" w:rsidP="005C4054">
      <w:pPr>
        <w:spacing w:after="0" w:line="360" w:lineRule="auto"/>
        <w:rPr>
          <w:rFonts w:eastAsia="Calibri" w:cs="Tahoma"/>
          <w:color w:val="000000"/>
        </w:rPr>
      </w:pPr>
      <w:r w:rsidRPr="003179FE">
        <w:rPr>
          <w:rFonts w:eastAsia="Calibri" w:cs="Tahoma"/>
          <w:bCs/>
          <w:color w:val="000000"/>
        </w:rPr>
        <w:t xml:space="preserve">En ese orden de ideas, el plazo con el que contaba el Sujeto Obligado para emitir contestación al requerimiento informativo, </w:t>
      </w:r>
      <w:r w:rsidRPr="003179FE">
        <w:rPr>
          <w:rFonts w:eastAsia="Calibri" w:cs="Tahoma"/>
          <w:b/>
          <w:bCs/>
          <w:color w:val="000000"/>
        </w:rPr>
        <w:t xml:space="preserve">comenzó a correr el </w:t>
      </w:r>
      <w:r w:rsidR="00625E67" w:rsidRPr="003179FE">
        <w:rPr>
          <w:rFonts w:eastAsia="Calibri" w:cs="Tahoma"/>
          <w:b/>
          <w:bCs/>
          <w:color w:val="000000"/>
        </w:rPr>
        <w:t>ocho y feneció el veintiocho de octubre</w:t>
      </w:r>
      <w:r w:rsidR="00A54FA3" w:rsidRPr="003179FE">
        <w:rPr>
          <w:rFonts w:eastAsia="Calibri" w:cs="Tahoma"/>
          <w:b/>
          <w:bCs/>
          <w:color w:val="000000"/>
        </w:rPr>
        <w:t xml:space="preserve"> </w:t>
      </w:r>
      <w:r w:rsidRPr="003179FE">
        <w:rPr>
          <w:rFonts w:eastAsia="Calibri" w:cs="Tahoma"/>
          <w:b/>
          <w:bCs/>
          <w:color w:val="000000"/>
        </w:rPr>
        <w:t>de dos mil veinticuatro</w:t>
      </w:r>
      <w:r w:rsidRPr="003179FE">
        <w:rPr>
          <w:rFonts w:eastAsia="Calibri" w:cs="Tahoma"/>
          <w:color w:val="000000"/>
        </w:rPr>
        <w:t xml:space="preserve">; lo anterior, sin contar los días, </w:t>
      </w:r>
      <w:r w:rsidR="00A54FA3" w:rsidRPr="003179FE">
        <w:rPr>
          <w:rFonts w:eastAsia="Calibri" w:cs="Tahoma"/>
          <w:color w:val="000000"/>
        </w:rPr>
        <w:t xml:space="preserve">doce, trece, diecinueve, veinte, </w:t>
      </w:r>
      <w:r w:rsidR="00A54FA3" w:rsidRPr="003179FE">
        <w:rPr>
          <w:rFonts w:eastAsia="Calibri" w:cs="Tahoma"/>
          <w:color w:val="000000"/>
        </w:rPr>
        <w:lastRenderedPageBreak/>
        <w:t xml:space="preserve">veintiséis y veintisiete </w:t>
      </w:r>
      <w:r w:rsidR="00F411C8" w:rsidRPr="003179FE">
        <w:rPr>
          <w:rFonts w:eastAsia="Calibri" w:cs="Tahoma"/>
          <w:color w:val="000000"/>
        </w:rPr>
        <w:t xml:space="preserve">de octubre de </w:t>
      </w:r>
      <w:r w:rsidRPr="003179FE">
        <w:rPr>
          <w:rFonts w:eastAsia="Calibri" w:cs="Tahoma"/>
          <w:color w:val="000000"/>
        </w:rPr>
        <w:t xml:space="preserve">dicho año, al ser inhábiles, </w:t>
      </w:r>
      <w:r w:rsidRPr="003179FE">
        <w:rPr>
          <w:rFonts w:eastAsia="Batang" w:cs="Tahoma"/>
          <w:bCs/>
        </w:rPr>
        <w:t xml:space="preserve">de conformidad con el artículo 3°, fracción X, de la Ley de Transparencia y Acceso a la Información Pública del Estado de México y Municipios, el </w:t>
      </w:r>
      <w:r w:rsidRPr="003179FE">
        <w:rPr>
          <w:rFonts w:eastAsia="Batang" w:cs="Tahoma"/>
          <w:lang w:val="es-ES"/>
        </w:rPr>
        <w:t xml:space="preserve">Calendario Oficial en Materia de Transparencia, Acceso a la Información Pública y Protección de Datos Personales del Estado de México y Municipios, así como de laborales de este Instituto, para el año dos mil veinticuatro y enero dos mil veinticinco. </w:t>
      </w:r>
    </w:p>
    <w:p w14:paraId="4025A48D" w14:textId="77777777" w:rsidR="00F411C8" w:rsidRPr="003179FE" w:rsidRDefault="00F411C8" w:rsidP="005C4054">
      <w:pPr>
        <w:spacing w:after="0" w:line="360" w:lineRule="auto"/>
        <w:rPr>
          <w:rFonts w:eastAsia="Calibri" w:cs="Tahoma"/>
          <w:color w:val="000000"/>
        </w:rPr>
      </w:pPr>
    </w:p>
    <w:p w14:paraId="7CB75955" w14:textId="77777777" w:rsidR="00D14CB5" w:rsidRPr="003179FE" w:rsidRDefault="00D14CB5" w:rsidP="005C4054">
      <w:pPr>
        <w:spacing w:after="0" w:line="360" w:lineRule="auto"/>
        <w:contextualSpacing/>
        <w:rPr>
          <w:rFonts w:eastAsia="Calibri" w:cs="Tahoma"/>
          <w:lang w:val="es-ES"/>
        </w:rPr>
      </w:pPr>
      <w:r w:rsidRPr="003179FE">
        <w:rPr>
          <w:rFonts w:eastAsia="Calibri" w:cs="Tahoma"/>
        </w:rPr>
        <w:t xml:space="preserve">Conforme a lo anterior, este Instituto verificó que, en efecto, no se registró una respuesta a la solicitud del ahora Recurrente, en el </w:t>
      </w:r>
      <w:r w:rsidRPr="003179FE">
        <w:rPr>
          <w:rFonts w:eastAsia="Calibri" w:cs="Tahoma"/>
          <w:lang w:val="es-ES"/>
        </w:rPr>
        <w:t>Sistema de Acceso a la Información Mexiquense (SAIMEX), sistema utilizado para presentar el requerimiento informativo, tal como se observa a continuación:</w:t>
      </w:r>
    </w:p>
    <w:p w14:paraId="20EB08A4" w14:textId="77777777" w:rsidR="00D14CB5" w:rsidRPr="003179FE" w:rsidRDefault="00D14CB5" w:rsidP="005C4054">
      <w:pPr>
        <w:spacing w:after="0" w:line="360" w:lineRule="auto"/>
        <w:contextualSpacing/>
        <w:rPr>
          <w:rFonts w:eastAsia="Calibri" w:cs="Tahoma"/>
          <w:bCs/>
        </w:rPr>
      </w:pPr>
    </w:p>
    <w:p w14:paraId="38014C8E" w14:textId="77777777" w:rsidR="00BE4728" w:rsidRPr="003179FE" w:rsidRDefault="00616C7B" w:rsidP="005C4054">
      <w:pPr>
        <w:spacing w:after="0" w:line="360" w:lineRule="auto"/>
        <w:contextualSpacing/>
        <w:jc w:val="center"/>
        <w:rPr>
          <w:rFonts w:eastAsia="Calibri" w:cs="Tahoma"/>
          <w:bCs/>
        </w:rPr>
      </w:pPr>
      <w:r w:rsidRPr="003179FE">
        <w:rPr>
          <w:rFonts w:eastAsia="Calibri" w:cs="Tahoma"/>
          <w:bCs/>
          <w:noProof/>
          <w:lang w:eastAsia="es-MX"/>
        </w:rPr>
        <w:drawing>
          <wp:inline distT="0" distB="0" distL="0" distR="0" wp14:anchorId="68AEBDA3" wp14:editId="6420BED2">
            <wp:extent cx="3116850" cy="1463167"/>
            <wp:effectExtent l="0" t="0" r="7620" b="3810"/>
            <wp:docPr id="1445293647" name="Imagen 1"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93647" name="Imagen 1" descr="Interfaz de usuario gráfica, Tabl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116850" cy="1463167"/>
                    </a:xfrm>
                    <a:prstGeom prst="rect">
                      <a:avLst/>
                    </a:prstGeom>
                  </pic:spPr>
                </pic:pic>
              </a:graphicData>
            </a:graphic>
          </wp:inline>
        </w:drawing>
      </w:r>
    </w:p>
    <w:p w14:paraId="26E92E89" w14:textId="77777777" w:rsidR="00BE4728" w:rsidRPr="003179FE" w:rsidRDefault="00BE4728" w:rsidP="005C4054">
      <w:pPr>
        <w:spacing w:after="0" w:line="360" w:lineRule="auto"/>
        <w:contextualSpacing/>
        <w:jc w:val="center"/>
        <w:rPr>
          <w:rFonts w:eastAsia="Calibri" w:cs="Tahoma"/>
          <w:bCs/>
        </w:rPr>
      </w:pPr>
    </w:p>
    <w:p w14:paraId="73B751AB" w14:textId="24E2ABE5" w:rsidR="00D14CB5" w:rsidRPr="003179FE" w:rsidRDefault="00616C7B" w:rsidP="005C4054">
      <w:pPr>
        <w:spacing w:after="0" w:line="360" w:lineRule="auto"/>
        <w:contextualSpacing/>
        <w:jc w:val="center"/>
        <w:rPr>
          <w:rFonts w:eastAsia="Calibri" w:cs="Tahoma"/>
          <w:bCs/>
        </w:rPr>
      </w:pPr>
      <w:r w:rsidRPr="003179FE">
        <w:rPr>
          <w:rFonts w:eastAsia="Calibri" w:cs="Tahoma"/>
          <w:bCs/>
          <w:noProof/>
          <w:lang w:eastAsia="es-MX"/>
        </w:rPr>
        <w:drawing>
          <wp:inline distT="0" distB="0" distL="0" distR="0" wp14:anchorId="5266F133" wp14:editId="0EE2601A">
            <wp:extent cx="3116850" cy="1486029"/>
            <wp:effectExtent l="0" t="0" r="7620" b="0"/>
            <wp:docPr id="922555024" name="Imagen 2"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55024" name="Imagen 2" descr="Interfaz de usuario gráfica, 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116850" cy="1486029"/>
                    </a:xfrm>
                    <a:prstGeom prst="rect">
                      <a:avLst/>
                    </a:prstGeom>
                  </pic:spPr>
                </pic:pic>
              </a:graphicData>
            </a:graphic>
          </wp:inline>
        </w:drawing>
      </w:r>
    </w:p>
    <w:p w14:paraId="5AC50202" w14:textId="77777777" w:rsidR="00D14CB5" w:rsidRPr="003179FE" w:rsidRDefault="00D14CB5" w:rsidP="005C4054">
      <w:pPr>
        <w:spacing w:after="0" w:line="360" w:lineRule="auto"/>
        <w:contextualSpacing/>
        <w:rPr>
          <w:rFonts w:eastAsia="Calibri" w:cs="Tahoma"/>
          <w:bCs/>
        </w:rPr>
      </w:pPr>
    </w:p>
    <w:p w14:paraId="52EAEE5A" w14:textId="067E95D3" w:rsidR="00D14CB5" w:rsidRPr="003179FE" w:rsidRDefault="00D14CB5" w:rsidP="005C4054">
      <w:pPr>
        <w:spacing w:after="0" w:line="360" w:lineRule="auto"/>
        <w:contextualSpacing/>
        <w:rPr>
          <w:rFonts w:cs="Tahoma"/>
          <w:bCs/>
        </w:rPr>
      </w:pPr>
      <w:r w:rsidRPr="003179FE">
        <w:rPr>
          <w:rFonts w:eastAsia="Calibri" w:cs="Tahoma"/>
          <w:bCs/>
        </w:rPr>
        <w:t xml:space="preserve">Así, se colige que, tal como lo precisó el Particular, </w:t>
      </w:r>
      <w:r w:rsidR="00616C7B" w:rsidRPr="003179FE">
        <w:rPr>
          <w:rFonts w:eastAsia="Calibri" w:cs="Tahoma"/>
        </w:rPr>
        <w:t>la</w:t>
      </w:r>
      <w:r w:rsidR="00616C7B" w:rsidRPr="003179FE">
        <w:rPr>
          <w:rFonts w:eastAsia="Calibri" w:cs="Tahoma"/>
          <w:b/>
          <w:bCs/>
        </w:rPr>
        <w:t xml:space="preserve"> </w:t>
      </w:r>
      <w:r w:rsidR="00616C7B" w:rsidRPr="003179FE">
        <w:rPr>
          <w:rFonts w:eastAsia="Calibri" w:cs="Tahoma"/>
        </w:rPr>
        <w:t>Comisión del Agua del Estado de México</w:t>
      </w:r>
      <w:r w:rsidRPr="003179FE">
        <w:rPr>
          <w:rFonts w:eastAsia="Calibri" w:cs="Tahoma"/>
        </w:rPr>
        <w:t xml:space="preserve">, no emitió respuesta para dar contestación a la solicitud de información, dentro de </w:t>
      </w:r>
      <w:r w:rsidRPr="003179FE">
        <w:rPr>
          <w:rFonts w:eastAsia="Calibri" w:cs="Tahoma"/>
        </w:rPr>
        <w:lastRenderedPageBreak/>
        <w:t xml:space="preserve">los plazos establecidos en el artículo 163, de la Ley de la materia, pues tenía hasta el </w:t>
      </w:r>
      <w:r w:rsidR="00616C7B" w:rsidRPr="003179FE">
        <w:rPr>
          <w:rFonts w:eastAsia="Calibri" w:cs="Tahoma"/>
        </w:rPr>
        <w:t>veintiocho de octubre de dos mil veinticuatro</w:t>
      </w:r>
      <w:r w:rsidRPr="003179FE">
        <w:rPr>
          <w:rFonts w:eastAsia="Calibri" w:cs="Tahoma"/>
          <w:b/>
          <w:bCs/>
        </w:rPr>
        <w:t xml:space="preserve">. </w:t>
      </w:r>
      <w:r w:rsidRPr="003179FE">
        <w:t xml:space="preserve">No obstante, durante la sustanciación del Medio de Impugnación, el Sujeto Obligado dio respuesta a </w:t>
      </w:r>
      <w:r w:rsidR="00BE4728" w:rsidRPr="003179FE">
        <w:t>las solicitudes</w:t>
      </w:r>
      <w:r w:rsidRPr="003179FE">
        <w:t xml:space="preserve"> de información, por lo que, </w:t>
      </w:r>
      <w:r w:rsidRPr="003179FE">
        <w:rPr>
          <w:rFonts w:cs="Tahoma"/>
          <w:bCs/>
        </w:rPr>
        <w:t xml:space="preserve">resulta necesario contextualizar </w:t>
      </w:r>
      <w:r w:rsidR="00BE4728" w:rsidRPr="003179FE">
        <w:rPr>
          <w:rFonts w:cs="Tahoma"/>
          <w:bCs/>
        </w:rPr>
        <w:t>estas</w:t>
      </w:r>
      <w:r w:rsidRPr="003179FE">
        <w:rPr>
          <w:rFonts w:cs="Tahoma"/>
          <w:bCs/>
        </w:rPr>
        <w:t>.</w:t>
      </w:r>
    </w:p>
    <w:p w14:paraId="4F3B9932" w14:textId="77777777" w:rsidR="00616C7B" w:rsidRPr="003179FE" w:rsidRDefault="00616C7B" w:rsidP="005C4054">
      <w:pPr>
        <w:spacing w:after="0" w:line="360" w:lineRule="auto"/>
        <w:contextualSpacing/>
        <w:rPr>
          <w:rFonts w:eastAsia="Calibri" w:cs="Tahoma"/>
        </w:rPr>
      </w:pPr>
    </w:p>
    <w:p w14:paraId="7BC0716D" w14:textId="77777777" w:rsidR="005A1B35" w:rsidRPr="003179FE" w:rsidRDefault="005A1B35" w:rsidP="005C4054">
      <w:pPr>
        <w:spacing w:after="0" w:line="360" w:lineRule="auto"/>
        <w:rPr>
          <w:rFonts w:cs="Tahoma"/>
          <w:b/>
        </w:rPr>
      </w:pPr>
      <w:r w:rsidRPr="003179FE">
        <w:rPr>
          <w:rFonts w:eastAsia="Calibri" w:cs="Tahoma"/>
          <w:bCs/>
          <w:lang w:val="es-ES"/>
        </w:rPr>
        <w:t xml:space="preserve">Sobre el tema, cabe precisar que de conformidad con los artículos 6°, apartado A, de la Constitución Política de los Estados Unidos Mexicanos, 5° de la Constitución Política del Estado Libre y Soberano de México, </w:t>
      </w:r>
      <w:r w:rsidRPr="003179FE">
        <w:rPr>
          <w:rFonts w:cs="Tahoma"/>
          <w:bCs/>
        </w:rPr>
        <w:t xml:space="preserve">4° de la Ley General de Transparencia y Acceso a la Información Pública y 4° de la </w:t>
      </w:r>
      <w:r w:rsidRPr="003179FE">
        <w:rPr>
          <w:rFonts w:cs="Tahoma"/>
        </w:rPr>
        <w:t xml:space="preserve">Ley </w:t>
      </w:r>
      <w:r w:rsidRPr="003179FE">
        <w:rPr>
          <w:rFonts w:cs="Tahoma"/>
          <w:bCs/>
        </w:rPr>
        <w:t xml:space="preserve">de Transparencia y Acceso a la Información Pública del Estado de México y Municipios, </w:t>
      </w:r>
      <w:r w:rsidRPr="003179FE">
        <w:rPr>
          <w:rFonts w:cs="Tahoma"/>
          <w:b/>
        </w:rPr>
        <w:t>toda la información generada, obtenida, adquirida, transformada o en posesión de los sujetos obligados es pública y accesible a cualquier persona.</w:t>
      </w:r>
    </w:p>
    <w:p w14:paraId="20CC5803" w14:textId="77777777" w:rsidR="005A1B35" w:rsidRPr="003179FE" w:rsidRDefault="005A1B35" w:rsidP="005C4054">
      <w:pPr>
        <w:tabs>
          <w:tab w:val="left" w:pos="4962"/>
        </w:tabs>
        <w:spacing w:after="0" w:line="360" w:lineRule="auto"/>
        <w:rPr>
          <w:rFonts w:cs="Tahoma"/>
          <w:bCs/>
        </w:rPr>
      </w:pPr>
    </w:p>
    <w:p w14:paraId="5A5936D7" w14:textId="77777777" w:rsidR="005A1B35" w:rsidRPr="003179FE" w:rsidRDefault="005A1B35" w:rsidP="005C4054">
      <w:pPr>
        <w:spacing w:after="0" w:line="360" w:lineRule="auto"/>
        <w:rPr>
          <w:rFonts w:eastAsia="Times New Roman" w:cs="Tahoma"/>
          <w:szCs w:val="24"/>
          <w:lang w:val="es-ES"/>
        </w:rPr>
      </w:pPr>
      <w:r w:rsidRPr="003179FE">
        <w:rPr>
          <w:rStyle w:val="normaltextrun"/>
          <w:rFonts w:cs="Segoe UI"/>
        </w:rPr>
        <w:t xml:space="preserve">Ahora bien, </w:t>
      </w:r>
      <w:r w:rsidRPr="003179FE">
        <w:rPr>
          <w:rFonts w:eastAsia="Times New Roman" w:cs="Tahoma"/>
          <w:szCs w:val="24"/>
          <w:lang w:val="es-ES"/>
        </w:rPr>
        <w:t>el artículo 18 de la Ley de Transparencia y Acceso a la Información Pública del Estado de México y Municipios, contempla que los sujetos obligados deberán documentar todo acto que derive del ejercicio de sus facultades, competencias o funciones.</w:t>
      </w:r>
    </w:p>
    <w:p w14:paraId="2B99C873" w14:textId="77777777" w:rsidR="005A1B35" w:rsidRPr="003179FE" w:rsidRDefault="005A1B35" w:rsidP="005C4054">
      <w:pPr>
        <w:spacing w:after="0" w:line="360" w:lineRule="auto"/>
        <w:rPr>
          <w:rFonts w:eastAsia="Times New Roman" w:cs="Tahoma"/>
          <w:szCs w:val="24"/>
          <w:lang w:val="es-ES"/>
        </w:rPr>
      </w:pPr>
    </w:p>
    <w:p w14:paraId="45AB9E4C" w14:textId="77777777" w:rsidR="005A1B35" w:rsidRPr="003179FE" w:rsidRDefault="005A1B35" w:rsidP="005C4054">
      <w:pPr>
        <w:spacing w:after="0" w:line="360" w:lineRule="auto"/>
        <w:rPr>
          <w:rFonts w:eastAsia="Calibri" w:cs="Arial"/>
          <w:bCs/>
          <w:color w:val="0D0D0D" w:themeColor="text1" w:themeTint="F2"/>
          <w:lang w:val="es-ES"/>
        </w:rPr>
      </w:pPr>
      <w:r w:rsidRPr="003179FE">
        <w:rPr>
          <w:rFonts w:eastAsia="Calibri" w:cs="Arial"/>
          <w:bCs/>
          <w:color w:val="0D0D0D" w:themeColor="text1" w:themeTint="F2"/>
          <w:lang w:val="es-ES"/>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63E49E20" w14:textId="77777777" w:rsidR="005A1B35" w:rsidRPr="003179FE" w:rsidRDefault="005A1B35" w:rsidP="005C4054">
      <w:pPr>
        <w:spacing w:after="0" w:line="360" w:lineRule="auto"/>
        <w:rPr>
          <w:rFonts w:eastAsia="Calibri" w:cs="Arial"/>
          <w:bCs/>
          <w:color w:val="0D0D0D" w:themeColor="text1" w:themeTint="F2"/>
          <w:lang w:val="es-ES"/>
        </w:rPr>
      </w:pPr>
    </w:p>
    <w:p w14:paraId="54932DA1" w14:textId="77777777" w:rsidR="005A1B35" w:rsidRPr="003179FE" w:rsidRDefault="005A1B35" w:rsidP="005C4054">
      <w:pPr>
        <w:spacing w:after="0" w:line="360" w:lineRule="auto"/>
        <w:rPr>
          <w:rFonts w:eastAsia="Calibri" w:cs="Arial"/>
          <w:bCs/>
          <w:color w:val="0D0D0D" w:themeColor="text1" w:themeTint="F2"/>
          <w:lang w:val="es-ES"/>
        </w:rPr>
      </w:pPr>
      <w:r w:rsidRPr="003179FE">
        <w:rPr>
          <w:rFonts w:eastAsia="Calibri" w:cs="Arial"/>
          <w:bCs/>
          <w:color w:val="0D0D0D" w:themeColor="text1" w:themeTint="F2"/>
          <w:lang w:val="es-ES"/>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w:t>
      </w:r>
      <w:r w:rsidRPr="003179FE">
        <w:rPr>
          <w:rFonts w:eastAsia="Calibri" w:cs="Arial"/>
          <w:bCs/>
          <w:color w:val="0D0D0D" w:themeColor="text1" w:themeTint="F2"/>
          <w:lang w:val="es-ES"/>
        </w:rPr>
        <w:lastRenderedPageBreak/>
        <w:t xml:space="preserve">electrónicos, informáticos, entre otros; asimismo aclara que estos pueden contener valores administrativos, legales, fiscales, contables, históricos, informativos, entre otros. </w:t>
      </w:r>
    </w:p>
    <w:p w14:paraId="529A3FA3" w14:textId="77777777" w:rsidR="0064218A" w:rsidRPr="003179FE" w:rsidRDefault="0064218A" w:rsidP="005C4054">
      <w:pPr>
        <w:spacing w:after="0" w:line="360" w:lineRule="auto"/>
        <w:rPr>
          <w:rFonts w:eastAsia="Calibri" w:cs="Arial"/>
          <w:bCs/>
          <w:color w:val="0D0D0D" w:themeColor="text1" w:themeTint="F2"/>
          <w:lang w:val="es-ES"/>
        </w:rPr>
      </w:pPr>
    </w:p>
    <w:p w14:paraId="3FA7CB64" w14:textId="383B2CDA" w:rsidR="0064218A" w:rsidRPr="003179FE" w:rsidRDefault="0064218A" w:rsidP="005C4054">
      <w:pPr>
        <w:spacing w:after="0" w:line="360" w:lineRule="auto"/>
        <w:rPr>
          <w:rFonts w:eastAsia="Calibri" w:cs="Arial"/>
          <w:bCs/>
          <w:color w:val="0D0D0D" w:themeColor="text1" w:themeTint="F2"/>
          <w:lang w:val="es-ES"/>
        </w:rPr>
      </w:pPr>
      <w:r w:rsidRPr="003179FE">
        <w:rPr>
          <w:rFonts w:eastAsia="Calibri" w:cs="Arial"/>
          <w:bCs/>
          <w:color w:val="0D0D0D" w:themeColor="text1" w:themeTint="F2"/>
          <w:lang w:val="es-ES"/>
        </w:rPr>
        <w:t xml:space="preserve">Ahora bien, de conformidad con el Manual General de Organización de la Comisión del Agua del Estado de México, dentro de su estructura orgánica cuenta con la Unidad de Información, Planeación, Programación y Evaluación, la cual se encargará de </w:t>
      </w:r>
      <w:r w:rsidRPr="003179FE">
        <w:rPr>
          <w:rFonts w:eastAsia="Calibri" w:cs="Arial"/>
          <w:bCs/>
          <w:color w:val="0D0D0D" w:themeColor="text1" w:themeTint="F2"/>
        </w:rPr>
        <w:t>Coordinar la recepción, análisis, procesamiento, integración y envío de la información estratégica vinculada con las funciones de la Comisión.</w:t>
      </w:r>
    </w:p>
    <w:p w14:paraId="1745A227" w14:textId="77777777" w:rsidR="00D14CB5" w:rsidRPr="003179FE" w:rsidRDefault="00D14CB5" w:rsidP="005C4054">
      <w:pPr>
        <w:tabs>
          <w:tab w:val="left" w:pos="4962"/>
        </w:tabs>
        <w:spacing w:after="0" w:line="360" w:lineRule="auto"/>
      </w:pPr>
    </w:p>
    <w:p w14:paraId="656A826A" w14:textId="194AA07A" w:rsidR="00D14CB5" w:rsidRPr="003179FE" w:rsidRDefault="00D14CB5" w:rsidP="005C4054">
      <w:pPr>
        <w:spacing w:after="0" w:line="360" w:lineRule="auto"/>
        <w:rPr>
          <w:rFonts w:cs="Tahoma"/>
        </w:rPr>
      </w:pPr>
      <w:r w:rsidRPr="003179FE">
        <w:rPr>
          <w:rFonts w:eastAsia="Calibri" w:cs="Tahoma"/>
          <w:bCs/>
        </w:rPr>
        <w:t>Conforme a lo anterior, se logra vislumbrar que la pretensión de</w:t>
      </w:r>
      <w:r w:rsidR="005A1B35" w:rsidRPr="003179FE">
        <w:rPr>
          <w:rFonts w:eastAsia="Calibri" w:cs="Tahoma"/>
          <w:bCs/>
        </w:rPr>
        <w:t xml:space="preserve"> la persona</w:t>
      </w:r>
      <w:r w:rsidRPr="003179FE">
        <w:rPr>
          <w:rFonts w:eastAsia="Calibri" w:cs="Tahoma"/>
          <w:bCs/>
        </w:rPr>
        <w:t xml:space="preserve"> Recurrente</w:t>
      </w:r>
      <w:r w:rsidR="005A1B35" w:rsidRPr="003179FE">
        <w:rPr>
          <w:rFonts w:eastAsia="Calibri" w:cs="Tahoma"/>
          <w:bCs/>
        </w:rPr>
        <w:t xml:space="preserve"> </w:t>
      </w:r>
      <w:r w:rsidRPr="003179FE">
        <w:rPr>
          <w:rFonts w:eastAsia="Calibri" w:cs="Tahoma"/>
          <w:bCs/>
        </w:rPr>
        <w:t xml:space="preserve">es </w:t>
      </w:r>
      <w:r w:rsidR="005A1B35" w:rsidRPr="003179FE">
        <w:rPr>
          <w:rFonts w:eastAsia="Calibri" w:cs="Tahoma"/>
          <w:bCs/>
        </w:rPr>
        <w:t xml:space="preserve">obtener, </w:t>
      </w:r>
      <w:r w:rsidR="005A1B35" w:rsidRPr="003179FE">
        <w:rPr>
          <w:rFonts w:cs="Tahoma"/>
        </w:rPr>
        <w:t>de la Unidad de Información, Planeación, Programación y Evaluación, del primero de octubre de dos mil veintitrés al siete de octubre de dos mil veinticuatro, lo siguiente:</w:t>
      </w:r>
    </w:p>
    <w:p w14:paraId="4A1163CE" w14:textId="77777777" w:rsidR="005A1B35" w:rsidRPr="003179FE" w:rsidRDefault="005A1B35" w:rsidP="005C4054">
      <w:pPr>
        <w:spacing w:after="0" w:line="360" w:lineRule="auto"/>
        <w:rPr>
          <w:rFonts w:cs="Tahoma"/>
        </w:rPr>
      </w:pPr>
    </w:p>
    <w:p w14:paraId="2019AEA1" w14:textId="77777777" w:rsidR="005A1B35" w:rsidRPr="003179FE" w:rsidRDefault="005A1B35" w:rsidP="005C4054">
      <w:pPr>
        <w:pStyle w:val="Prrafodelista"/>
        <w:numPr>
          <w:ilvl w:val="0"/>
          <w:numId w:val="3"/>
        </w:numPr>
        <w:spacing w:after="0" w:line="360" w:lineRule="auto"/>
        <w:rPr>
          <w:rFonts w:cs="Tahoma"/>
        </w:rPr>
      </w:pPr>
      <w:r w:rsidRPr="003179FE">
        <w:rPr>
          <w:rFonts w:cs="Tahoma"/>
        </w:rPr>
        <w:t>Oficios firmados por Erick Montiel</w:t>
      </w:r>
    </w:p>
    <w:p w14:paraId="5460B723" w14:textId="24EE331E" w:rsidR="005A1B35" w:rsidRPr="003179FE" w:rsidRDefault="005A1B35" w:rsidP="005C4054">
      <w:pPr>
        <w:pStyle w:val="Prrafodelista"/>
        <w:numPr>
          <w:ilvl w:val="0"/>
          <w:numId w:val="3"/>
        </w:numPr>
        <w:spacing w:after="0" w:line="360" w:lineRule="auto"/>
        <w:rPr>
          <w:rFonts w:cs="Tahoma"/>
        </w:rPr>
      </w:pPr>
      <w:r w:rsidRPr="003179FE">
        <w:rPr>
          <w:rFonts w:cs="Tahoma"/>
        </w:rPr>
        <w:t xml:space="preserve">Oficios firmados por Héctor Perales </w:t>
      </w:r>
      <w:proofErr w:type="spellStart"/>
      <w:r w:rsidRPr="003179FE">
        <w:rPr>
          <w:rFonts w:cs="Tahoma"/>
        </w:rPr>
        <w:t>Natto</w:t>
      </w:r>
      <w:proofErr w:type="spellEnd"/>
    </w:p>
    <w:p w14:paraId="421A0AF4" w14:textId="77777777" w:rsidR="00D14CB5" w:rsidRPr="003179FE" w:rsidRDefault="00D14CB5" w:rsidP="005C4054">
      <w:pPr>
        <w:spacing w:after="0" w:line="360" w:lineRule="auto"/>
        <w:rPr>
          <w:rFonts w:eastAsia="Calibri" w:cs="Tahoma"/>
          <w:iCs/>
          <w:lang w:val="es-ES" w:eastAsia="es-ES_tradnl"/>
        </w:rPr>
      </w:pPr>
    </w:p>
    <w:p w14:paraId="288389A9" w14:textId="77777777" w:rsidR="0064218A" w:rsidRPr="003179FE" w:rsidRDefault="00D14CB5" w:rsidP="005C4054">
      <w:pPr>
        <w:widowControl w:val="0"/>
        <w:spacing w:after="0" w:line="360" w:lineRule="auto"/>
        <w:rPr>
          <w:color w:val="000000"/>
        </w:rPr>
      </w:pPr>
      <w:r w:rsidRPr="003179FE">
        <w:rPr>
          <w:rFonts w:cs="Tahoma"/>
          <w:bCs/>
        </w:rPr>
        <w:t xml:space="preserve">Establecida dicha circunstancia, es necesario precisar que de las constancias que obran en el expediente se logra vislumbrar que el Sujeto Obligado, en Informe Justificado, turno la solicitud de información a la </w:t>
      </w:r>
      <w:r w:rsidR="0064218A" w:rsidRPr="003179FE">
        <w:rPr>
          <w:rFonts w:cs="Tahoma"/>
        </w:rPr>
        <w:t>Unidad de Información, Planeación, Programación y Evaluación</w:t>
      </w:r>
      <w:r w:rsidRPr="003179FE">
        <w:rPr>
          <w:rFonts w:cs="Tahoma"/>
          <w:bCs/>
        </w:rPr>
        <w:t xml:space="preserve">, </w:t>
      </w:r>
      <w:r w:rsidR="0064218A" w:rsidRPr="003179FE">
        <w:rPr>
          <w:color w:val="000000"/>
        </w:rPr>
        <w:t>por lo que,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6E3EEE8F" w14:textId="77777777" w:rsidR="00D14CB5" w:rsidRPr="003179FE" w:rsidRDefault="00D14CB5" w:rsidP="005C4054">
      <w:pPr>
        <w:spacing w:after="0" w:line="360" w:lineRule="auto"/>
        <w:ind w:right="-28"/>
        <w:contextualSpacing/>
        <w:rPr>
          <w:rFonts w:eastAsia="Calibri" w:cs="Tahoma"/>
          <w:bCs/>
          <w:color w:val="000000"/>
        </w:rPr>
      </w:pPr>
    </w:p>
    <w:p w14:paraId="7F52D6F6" w14:textId="5179FBE6" w:rsidR="00D14CB5" w:rsidRPr="003179FE" w:rsidRDefault="00AA1327" w:rsidP="005C4054">
      <w:pPr>
        <w:widowControl w:val="0"/>
        <w:spacing w:after="0" w:line="360" w:lineRule="auto"/>
        <w:rPr>
          <w:color w:val="000000"/>
        </w:rPr>
      </w:pPr>
      <w:r w:rsidRPr="003179FE">
        <w:rPr>
          <w:color w:val="000000"/>
        </w:rPr>
        <w:t>Conforme a lo anterior, se logra colegir que el Sujeto Obligado cumplió con el procedimiento de búsqueda establecido en el artículo 162 de la Ley de Transparencia y Acceso a la Información Pública del Estado de México y Municipios, toda vez que turnó la solicitud al área competente de conocer la información.</w:t>
      </w:r>
      <w:r w:rsidR="00D14CB5" w:rsidRPr="003179FE">
        <w:rPr>
          <w:rFonts w:eastAsia="Calibri" w:cs="Tahoma"/>
          <w:bCs/>
          <w:iCs/>
        </w:rPr>
        <w:t xml:space="preserve"> </w:t>
      </w:r>
    </w:p>
    <w:p w14:paraId="280D94AE" w14:textId="77777777" w:rsidR="00D14CB5" w:rsidRPr="003179FE" w:rsidRDefault="00D14CB5" w:rsidP="005C4054">
      <w:pPr>
        <w:spacing w:after="0" w:line="360" w:lineRule="auto"/>
        <w:ind w:right="-28"/>
        <w:contextualSpacing/>
        <w:rPr>
          <w:rFonts w:eastAsia="Calibri" w:cs="Tahoma"/>
          <w:bCs/>
          <w:iCs/>
        </w:rPr>
      </w:pPr>
    </w:p>
    <w:p w14:paraId="32075B78" w14:textId="2ECDC33C" w:rsidR="00B13212" w:rsidRPr="003179FE" w:rsidRDefault="00D14CB5" w:rsidP="005C4054">
      <w:pPr>
        <w:tabs>
          <w:tab w:val="left" w:pos="4962"/>
        </w:tabs>
        <w:spacing w:after="0" w:line="360" w:lineRule="auto"/>
        <w:contextualSpacing/>
      </w:pPr>
      <w:r w:rsidRPr="003179FE">
        <w:t xml:space="preserve">Ahora bien, dicha área, </w:t>
      </w:r>
      <w:r w:rsidR="00B13212" w:rsidRPr="003179FE">
        <w:t>en Informe Justificado emitió lo siguiente:</w:t>
      </w:r>
    </w:p>
    <w:p w14:paraId="523C1AA6" w14:textId="77777777" w:rsidR="00B13212" w:rsidRPr="003179FE" w:rsidRDefault="00B13212" w:rsidP="005C4054">
      <w:pPr>
        <w:tabs>
          <w:tab w:val="left" w:pos="4962"/>
        </w:tabs>
        <w:spacing w:after="0" w:line="360" w:lineRule="auto"/>
        <w:contextualSpacing/>
      </w:pPr>
    </w:p>
    <w:tbl>
      <w:tblPr>
        <w:tblStyle w:val="Tablaconcuadrcula"/>
        <w:tblW w:w="0" w:type="auto"/>
        <w:tblLook w:val="04A0" w:firstRow="1" w:lastRow="0" w:firstColumn="1" w:lastColumn="0" w:noHBand="0" w:noVBand="1"/>
      </w:tblPr>
      <w:tblGrid>
        <w:gridCol w:w="4460"/>
        <w:gridCol w:w="4461"/>
      </w:tblGrid>
      <w:tr w:rsidR="00B13212" w:rsidRPr="003179FE" w14:paraId="1BB19B77" w14:textId="77777777" w:rsidTr="00B13212">
        <w:tc>
          <w:tcPr>
            <w:tcW w:w="4460" w:type="dxa"/>
            <w:shd w:val="clear" w:color="auto" w:fill="D0CECE" w:themeFill="background2" w:themeFillShade="E6"/>
          </w:tcPr>
          <w:p w14:paraId="12CF6643" w14:textId="77777777" w:rsidR="00B13212" w:rsidRPr="003179FE" w:rsidRDefault="00B13212" w:rsidP="005C4054">
            <w:pPr>
              <w:tabs>
                <w:tab w:val="left" w:pos="4962"/>
              </w:tabs>
              <w:spacing w:line="360" w:lineRule="auto"/>
              <w:contextualSpacing/>
              <w:jc w:val="center"/>
            </w:pPr>
            <w:r w:rsidRPr="003179FE">
              <w:t>Solicitud</w:t>
            </w:r>
          </w:p>
          <w:p w14:paraId="4A0C18EC" w14:textId="3992D81B" w:rsidR="00B13212" w:rsidRPr="003179FE" w:rsidRDefault="00B13212" w:rsidP="005C4054">
            <w:pPr>
              <w:tabs>
                <w:tab w:val="left" w:pos="4962"/>
              </w:tabs>
              <w:spacing w:line="360" w:lineRule="auto"/>
              <w:contextualSpacing/>
              <w:jc w:val="center"/>
            </w:pPr>
            <w:r w:rsidRPr="003179FE">
              <w:rPr>
                <w:rFonts w:cs="Tahoma"/>
              </w:rPr>
              <w:t>De la Unidad de Información, Planeación, Programación y Evaluación, del primero de octubre al treinta y uno de diciembre de dos mil veintitrés y del primero de enero al siete de octubre de dos mil veinticuatro:</w:t>
            </w:r>
          </w:p>
        </w:tc>
        <w:tc>
          <w:tcPr>
            <w:tcW w:w="4461" w:type="dxa"/>
            <w:shd w:val="clear" w:color="auto" w:fill="D0CECE" w:themeFill="background2" w:themeFillShade="E6"/>
          </w:tcPr>
          <w:p w14:paraId="4D24E6A8" w14:textId="0527A178" w:rsidR="00B13212" w:rsidRPr="003179FE" w:rsidRDefault="00B13212" w:rsidP="005C4054">
            <w:pPr>
              <w:tabs>
                <w:tab w:val="left" w:pos="4962"/>
              </w:tabs>
              <w:spacing w:line="360" w:lineRule="auto"/>
              <w:contextualSpacing/>
              <w:jc w:val="center"/>
            </w:pPr>
            <w:r w:rsidRPr="003179FE">
              <w:t>Informe Justificado</w:t>
            </w:r>
          </w:p>
        </w:tc>
      </w:tr>
      <w:tr w:rsidR="00B13212" w:rsidRPr="003179FE" w14:paraId="66FBEDCC" w14:textId="77777777" w:rsidTr="00B13212">
        <w:tc>
          <w:tcPr>
            <w:tcW w:w="4460" w:type="dxa"/>
          </w:tcPr>
          <w:p w14:paraId="07A5F54F" w14:textId="58E621B6" w:rsidR="00B13212" w:rsidRPr="003179FE" w:rsidRDefault="00B13212" w:rsidP="005C4054">
            <w:pPr>
              <w:tabs>
                <w:tab w:val="left" w:pos="4962"/>
              </w:tabs>
              <w:spacing w:line="360" w:lineRule="auto"/>
              <w:contextualSpacing/>
            </w:pPr>
            <w:proofErr w:type="gramStart"/>
            <w:r w:rsidRPr="003179FE">
              <w:t xml:space="preserve">1. </w:t>
            </w:r>
            <w:r w:rsidRPr="003179FE">
              <w:rPr>
                <w:rFonts w:eastAsia="Calibri" w:cs="Tahoma"/>
              </w:rPr>
              <w:t>.</w:t>
            </w:r>
            <w:proofErr w:type="gramEnd"/>
            <w:r w:rsidRPr="003179FE">
              <w:rPr>
                <w:rFonts w:eastAsia="Calibri" w:cs="Tahoma"/>
              </w:rPr>
              <w:t xml:space="preserve"> </w:t>
            </w:r>
            <w:r w:rsidRPr="003179FE">
              <w:rPr>
                <w:rFonts w:cs="Tahoma"/>
              </w:rPr>
              <w:t>Oficios firmados por Erick Montiel</w:t>
            </w:r>
          </w:p>
        </w:tc>
        <w:tc>
          <w:tcPr>
            <w:tcW w:w="4461" w:type="dxa"/>
          </w:tcPr>
          <w:p w14:paraId="04C07959" w14:textId="5BBFE38D" w:rsidR="00B13212" w:rsidRPr="003179FE" w:rsidRDefault="00BE4728" w:rsidP="005C4054">
            <w:pPr>
              <w:tabs>
                <w:tab w:val="left" w:pos="4962"/>
              </w:tabs>
              <w:spacing w:line="360" w:lineRule="auto"/>
              <w:contextualSpacing/>
            </w:pPr>
            <w:r w:rsidRPr="003179FE">
              <w:rPr>
                <w:rFonts w:eastAsia="Calibri" w:cs="Tahoma"/>
                <w:iCs/>
                <w:lang w:eastAsia="es-ES_tradnl"/>
              </w:rPr>
              <w:t>La</w:t>
            </w:r>
            <w:r w:rsidR="00B13212" w:rsidRPr="003179FE">
              <w:rPr>
                <w:rFonts w:eastAsia="Calibri" w:cs="Tahoma"/>
                <w:iCs/>
                <w:lang w:eastAsia="es-ES_tradnl"/>
              </w:rPr>
              <w:t xml:space="preserve"> </w:t>
            </w:r>
            <w:r w:rsidR="00B13212" w:rsidRPr="003179FE">
              <w:rPr>
                <w:rFonts w:cs="Tahoma"/>
              </w:rPr>
              <w:t>Unidad de Información, Planeación, Programación y Evaluación mencionó que no existen documentos firmados por el servidor en mención, de la temporalidad solicitada.</w:t>
            </w:r>
          </w:p>
        </w:tc>
      </w:tr>
      <w:tr w:rsidR="00B13212" w:rsidRPr="003179FE" w14:paraId="041CCF9E" w14:textId="77777777" w:rsidTr="00B13212">
        <w:tc>
          <w:tcPr>
            <w:tcW w:w="4460" w:type="dxa"/>
          </w:tcPr>
          <w:p w14:paraId="69DE9A3A" w14:textId="36234AE0" w:rsidR="00B13212" w:rsidRPr="003179FE" w:rsidRDefault="00B13212" w:rsidP="005C4054">
            <w:pPr>
              <w:tabs>
                <w:tab w:val="left" w:pos="4962"/>
              </w:tabs>
              <w:spacing w:line="360" w:lineRule="auto"/>
              <w:contextualSpacing/>
            </w:pPr>
            <w:r w:rsidRPr="003179FE">
              <w:t xml:space="preserve">2. </w:t>
            </w:r>
            <w:r w:rsidR="00775799" w:rsidRPr="003179FE">
              <w:rPr>
                <w:rFonts w:cs="Tahoma"/>
              </w:rPr>
              <w:t xml:space="preserve">Oficios firmados por Héctor Perales </w:t>
            </w:r>
            <w:proofErr w:type="spellStart"/>
            <w:r w:rsidR="00775799" w:rsidRPr="003179FE">
              <w:rPr>
                <w:rFonts w:cs="Tahoma"/>
              </w:rPr>
              <w:t>Natto</w:t>
            </w:r>
            <w:proofErr w:type="spellEnd"/>
          </w:p>
        </w:tc>
        <w:tc>
          <w:tcPr>
            <w:tcW w:w="4461" w:type="dxa"/>
          </w:tcPr>
          <w:p w14:paraId="1BCF8B39" w14:textId="5BC1F22A" w:rsidR="00B13212" w:rsidRPr="003179FE" w:rsidRDefault="00BE4728" w:rsidP="005C4054">
            <w:pPr>
              <w:spacing w:line="360" w:lineRule="auto"/>
              <w:rPr>
                <w:rFonts w:cs="Tahoma"/>
                <w:lang w:val="es-ES_tradnl"/>
              </w:rPr>
            </w:pPr>
            <w:r w:rsidRPr="003179FE">
              <w:rPr>
                <w:rFonts w:eastAsia="Calibri" w:cs="Tahoma"/>
              </w:rPr>
              <w:t>La Jefatura</w:t>
            </w:r>
            <w:r w:rsidR="00775799" w:rsidRPr="003179FE">
              <w:rPr>
                <w:rFonts w:eastAsia="Calibri" w:cs="Tahoma"/>
              </w:rPr>
              <w:t xml:space="preserve"> del Departamento de Evaluación de la Unidad de Información </w:t>
            </w:r>
            <w:r w:rsidR="00775799" w:rsidRPr="003179FE">
              <w:rPr>
                <w:rFonts w:cs="Tahoma"/>
              </w:rPr>
              <w:t>Planeación, Programación y Evaluación, informó que</w:t>
            </w:r>
            <w:r w:rsidRPr="003179FE">
              <w:rPr>
                <w:rFonts w:cs="Tahoma"/>
              </w:rPr>
              <w:t xml:space="preserve"> el servidor había sido</w:t>
            </w:r>
            <w:r w:rsidR="00775799" w:rsidRPr="003179FE">
              <w:rPr>
                <w:rFonts w:cs="Tahoma"/>
                <w:lang w:val="es-ES_tradnl"/>
              </w:rPr>
              <w:t xml:space="preserve"> designado como </w:t>
            </w:r>
            <w:r w:rsidR="00883020" w:rsidRPr="003179FE">
              <w:rPr>
                <w:rFonts w:cs="Tahoma"/>
                <w:lang w:val="es-ES_tradnl"/>
              </w:rPr>
              <w:t>Titular del área</w:t>
            </w:r>
            <w:r w:rsidR="00775799" w:rsidRPr="003179FE">
              <w:rPr>
                <w:rFonts w:cs="Tahoma"/>
                <w:lang w:val="es-ES_tradnl"/>
              </w:rPr>
              <w:t xml:space="preserve">, el primero de abril de dos mil veinticuatro, anteriormente por el puesto con nivel de “Secretario C”, no contaba con facultad para </w:t>
            </w:r>
            <w:r w:rsidR="00775799" w:rsidRPr="003179FE">
              <w:rPr>
                <w:rFonts w:cs="Tahoma"/>
                <w:lang w:val="es-ES_tradnl"/>
              </w:rPr>
              <w:lastRenderedPageBreak/>
              <w:t>firmar documentos, por tal motivo, no existen documentos firmados anterior a su designación, y posteriormente cuenta con catorce oficios firmados al siete de octubre de dos mil veinticuatro, los cuales se adjuntan.</w:t>
            </w:r>
          </w:p>
        </w:tc>
      </w:tr>
    </w:tbl>
    <w:p w14:paraId="69D08193" w14:textId="77777777" w:rsidR="00B13212" w:rsidRPr="003179FE" w:rsidRDefault="00B13212" w:rsidP="005C4054">
      <w:pPr>
        <w:tabs>
          <w:tab w:val="left" w:pos="4962"/>
        </w:tabs>
        <w:spacing w:after="0" w:line="360" w:lineRule="auto"/>
        <w:contextualSpacing/>
      </w:pPr>
    </w:p>
    <w:p w14:paraId="5B6C19E9" w14:textId="1BA353E1" w:rsidR="00EB459D" w:rsidRPr="003179FE" w:rsidRDefault="00CE2FDB" w:rsidP="005C4054">
      <w:pPr>
        <w:spacing w:after="0" w:line="360" w:lineRule="auto"/>
        <w:rPr>
          <w:rFonts w:cs="Tahoma"/>
        </w:rPr>
      </w:pPr>
      <w:r w:rsidRPr="003179FE">
        <w:rPr>
          <w:color w:val="000000"/>
        </w:rPr>
        <w:t>De lo anterior se observa que, la</w:t>
      </w:r>
      <w:r w:rsidRPr="003179FE">
        <w:rPr>
          <w:rFonts w:cs="Tahoma"/>
        </w:rPr>
        <w:t xml:space="preserve"> Unidad de Información, Planeación, Programación y Evaluación</w:t>
      </w:r>
      <w:r w:rsidR="00EB459D" w:rsidRPr="003179FE">
        <w:rPr>
          <w:rFonts w:cs="Tahoma"/>
        </w:rPr>
        <w:t>, informó que del servidor público mencionado en el punto 1 no exist</w:t>
      </w:r>
      <w:r w:rsidR="00883020" w:rsidRPr="003179FE">
        <w:rPr>
          <w:rFonts w:cs="Tahoma"/>
        </w:rPr>
        <w:t>ía</w:t>
      </w:r>
      <w:r w:rsidR="00EB459D" w:rsidRPr="003179FE">
        <w:rPr>
          <w:rFonts w:cs="Tahoma"/>
        </w:rPr>
        <w:t xml:space="preserve">n documentos firmados de la temporalidad solicitada, asimismo, del </w:t>
      </w:r>
      <w:r w:rsidR="00883020" w:rsidRPr="003179FE">
        <w:rPr>
          <w:rFonts w:cs="Tahoma"/>
        </w:rPr>
        <w:t>trabajador gubernamental</w:t>
      </w:r>
      <w:r w:rsidR="00EB459D" w:rsidRPr="003179FE">
        <w:rPr>
          <w:rFonts w:cs="Tahoma"/>
        </w:rPr>
        <w:t xml:space="preserve"> mencionado en el punto 2, del primero de octubre </w:t>
      </w:r>
      <w:r w:rsidR="00882D43" w:rsidRPr="003179FE">
        <w:rPr>
          <w:rFonts w:cs="Tahoma"/>
        </w:rPr>
        <w:t xml:space="preserve">de dos mil veintitrés </w:t>
      </w:r>
      <w:r w:rsidR="00EB459D" w:rsidRPr="003179FE">
        <w:rPr>
          <w:rFonts w:cs="Tahoma"/>
        </w:rPr>
        <w:t xml:space="preserve">al treinta y uno de marzo de dos mil veinticuatro, </w:t>
      </w:r>
      <w:r w:rsidR="00EB459D" w:rsidRPr="003179FE">
        <w:rPr>
          <w:rFonts w:cs="Tahoma"/>
          <w:lang w:val="es-ES_tradnl"/>
        </w:rPr>
        <w:t>no contaba con facultad para firmar documentos</w:t>
      </w:r>
      <w:r w:rsidR="00EB459D" w:rsidRPr="003179FE">
        <w:rPr>
          <w:rFonts w:cs="Tahoma"/>
        </w:rPr>
        <w:t xml:space="preserve"> pues </w:t>
      </w:r>
      <w:r w:rsidR="00EB459D" w:rsidRPr="003179FE">
        <w:rPr>
          <w:rFonts w:cs="Tahoma"/>
          <w:lang w:val="es-ES_tradnl"/>
        </w:rPr>
        <w:t>anteriormente tenía un puesto con nivel de “Secretario C”, por tal motivo, no existen documentos firmados anterior a su designación</w:t>
      </w:r>
      <w:r w:rsidR="00883020" w:rsidRPr="003179FE">
        <w:rPr>
          <w:rFonts w:cs="Tahoma"/>
          <w:lang w:val="es-ES_tradnl"/>
        </w:rPr>
        <w:t>; es decir, aludió a que la información era inexistente.</w:t>
      </w:r>
    </w:p>
    <w:p w14:paraId="3A139DD2" w14:textId="77777777" w:rsidR="00EB459D" w:rsidRPr="003179FE" w:rsidRDefault="00EB459D" w:rsidP="005C4054">
      <w:pPr>
        <w:spacing w:after="0" w:line="360" w:lineRule="auto"/>
        <w:rPr>
          <w:color w:val="000000"/>
        </w:rPr>
      </w:pPr>
    </w:p>
    <w:p w14:paraId="00795CDA" w14:textId="205DA69F" w:rsidR="00CE2FDB" w:rsidRPr="003179FE" w:rsidRDefault="00EB459D" w:rsidP="005C4054">
      <w:pPr>
        <w:spacing w:after="0" w:line="360" w:lineRule="auto"/>
        <w:rPr>
          <w:rFonts w:eastAsia="Times New Roman" w:cs="Tahoma"/>
          <w:lang w:eastAsia="es-ES"/>
        </w:rPr>
      </w:pPr>
      <w:r w:rsidRPr="003179FE">
        <w:rPr>
          <w:rFonts w:cs="Tahoma"/>
          <w:bCs/>
          <w:lang w:val="es-ES"/>
        </w:rPr>
        <w:t>E</w:t>
      </w:r>
      <w:r w:rsidR="00CE2FDB" w:rsidRPr="003179FE">
        <w:rPr>
          <w:rFonts w:eastAsia="Times New Roman" w:cs="Tahoma"/>
          <w:bCs/>
          <w:lang w:eastAsia="es-ES"/>
        </w:rPr>
        <w:t>n ese orden de ideas</w:t>
      </w:r>
      <w:r w:rsidR="00CE2FDB" w:rsidRPr="003179FE">
        <w:rPr>
          <w:rFonts w:eastAsia="Times New Roman" w:cs="Tahoma"/>
          <w:lang w:eastAsia="es-ES"/>
        </w:rPr>
        <w:t xml:space="preserve">, el </w:t>
      </w:r>
      <w:r w:rsidR="00CE2FDB" w:rsidRPr="003179FE">
        <w:rPr>
          <w:rFonts w:eastAsia="Calibri" w:cs="Tahoma"/>
          <w:bCs/>
          <w:lang w:val="es-ES"/>
        </w:rPr>
        <w:t>Criterio de Interpretación</w:t>
      </w:r>
      <w:r w:rsidR="00CE2FDB" w:rsidRPr="003179FE">
        <w:rPr>
          <w:rFonts w:eastAsia="Calibri" w:cs="Tahoma"/>
          <w:bCs/>
          <w:lang w:val="x-none"/>
        </w:rPr>
        <w:t xml:space="preserve">, con clave de control SO/014/2017, de la Segunda </w:t>
      </w:r>
      <w:r w:rsidR="00CE2FDB" w:rsidRPr="003179FE">
        <w:rPr>
          <w:rFonts w:eastAsia="Calibri" w:cs="Tahoma"/>
          <w:bCs/>
          <w:lang w:val="es-ES_tradnl"/>
        </w:rPr>
        <w:t>Época,</w:t>
      </w:r>
      <w:r w:rsidR="00CE2FDB" w:rsidRPr="003179FE">
        <w:rPr>
          <w:rFonts w:eastAsia="Calibri" w:cs="Tahoma"/>
          <w:bCs/>
          <w:lang w:val="x-none"/>
        </w:rPr>
        <w:t xml:space="preserve"> </w:t>
      </w:r>
      <w:r w:rsidR="00CE2FDB" w:rsidRPr="003179FE">
        <w:rPr>
          <w:rFonts w:eastAsia="Calibri" w:cs="Tahoma"/>
          <w:bCs/>
          <w:lang w:val="es-ES"/>
        </w:rPr>
        <w:t>emitido por el Instituto Nacional de Transparencia, Acceso a la Información y Protección de Datos Personales</w:t>
      </w:r>
      <w:r w:rsidR="00CE2FDB" w:rsidRPr="003179FE">
        <w:rPr>
          <w:rFonts w:eastAsia="Times New Roman" w:cs="Tahoma"/>
          <w:lang w:eastAsia="es-ES"/>
        </w:rPr>
        <w:t>, señala que la inexistencia de la información, es una cuestión de hecho que se le atribuye a la misma, cuando ésta no se encuentra en los archivos del Sujeto Obligado.</w:t>
      </w:r>
    </w:p>
    <w:p w14:paraId="4AEBC5CD" w14:textId="77777777" w:rsidR="00CE2FDB" w:rsidRPr="003179FE" w:rsidRDefault="00CE2FDB" w:rsidP="005C4054">
      <w:pPr>
        <w:spacing w:after="0" w:line="360" w:lineRule="auto"/>
        <w:rPr>
          <w:rFonts w:eastAsia="Times New Roman" w:cs="Tahoma"/>
          <w:lang w:val="es-ES" w:eastAsia="es-ES"/>
        </w:rPr>
      </w:pPr>
    </w:p>
    <w:p w14:paraId="52102290" w14:textId="77777777" w:rsidR="00CE2FDB" w:rsidRPr="003179FE" w:rsidRDefault="00CE2FDB" w:rsidP="005C4054">
      <w:pPr>
        <w:spacing w:after="0" w:line="360" w:lineRule="auto"/>
        <w:rPr>
          <w:rFonts w:eastAsia="Times New Roman" w:cs="Tahoma"/>
          <w:lang w:val="es-ES" w:eastAsia="es-ES"/>
        </w:rPr>
      </w:pPr>
      <w:r w:rsidRPr="003179FE">
        <w:rPr>
          <w:rFonts w:eastAsia="Times New Roman" w:cs="Tahoma"/>
          <w:lang w:val="es-ES" w:eastAsia="es-ES"/>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500AD27E" w14:textId="77777777" w:rsidR="00CE2FDB" w:rsidRPr="003179FE" w:rsidRDefault="00CE2FDB" w:rsidP="005C4054">
      <w:pPr>
        <w:spacing w:after="0" w:line="360" w:lineRule="auto"/>
        <w:rPr>
          <w:rFonts w:eastAsia="Times New Roman" w:cs="Tahoma"/>
          <w:lang w:val="es-ES" w:eastAsia="es-ES"/>
        </w:rPr>
      </w:pPr>
    </w:p>
    <w:p w14:paraId="60043572" w14:textId="4DFE0749" w:rsidR="00CE2FDB" w:rsidRPr="003179FE" w:rsidRDefault="00CE2FDB" w:rsidP="005C4054">
      <w:pPr>
        <w:spacing w:after="0" w:line="360" w:lineRule="auto"/>
        <w:rPr>
          <w:rFonts w:eastAsia="Calibri" w:cs="Times New Roman"/>
          <w:color w:val="000000"/>
        </w:rPr>
      </w:pPr>
      <w:r w:rsidRPr="003179FE">
        <w:rPr>
          <w:rFonts w:eastAsia="Times New Roman" w:cs="Tahoma"/>
          <w:lang w:val="es-ES" w:eastAsia="es-ES"/>
        </w:rPr>
        <w:lastRenderedPageBreak/>
        <w:t>Así</w:t>
      </w:r>
      <w:r w:rsidRPr="003179FE">
        <w:rPr>
          <w:rFonts w:eastAsia="Times New Roman" w:cs="Tahoma"/>
          <w:lang w:eastAsia="es-ES"/>
        </w:rPr>
        <w:t xml:space="preserve">, es posible concluir que la </w:t>
      </w:r>
      <w:r w:rsidRPr="003179FE">
        <w:rPr>
          <w:rFonts w:eastAsia="Times New Roman" w:cs="Tahoma"/>
          <w:b/>
          <w:lang w:eastAsia="es-ES"/>
        </w:rPr>
        <w:t>inexistencia</w:t>
      </w:r>
      <w:r w:rsidRPr="003179FE">
        <w:rPr>
          <w:rFonts w:eastAsia="Times New Roman" w:cs="Tahoma"/>
          <w:lang w:eastAsia="es-ES"/>
        </w:rPr>
        <w:t xml:space="preserve"> presupone la competencia del sujeto obligado para conocer de la información, pero por alguna circunstancia, la documentación solicitada no obra en sus archivos; sin embargo, </w:t>
      </w:r>
      <w:r w:rsidRPr="003179FE">
        <w:rPr>
          <w:rFonts w:eastAsia="Times New Roman" w:cs="Tahoma"/>
          <w:bCs/>
          <w:lang w:eastAsia="es-ES"/>
        </w:rPr>
        <w:t>no basta con que los sujetos obligados señalen dicha circunstancia, sino que también debe de señalar las razones por las cuales no cuentan con lo peticionado, es decir, las circunstancias que dan lugar a la inexistencia,</w:t>
      </w:r>
      <w:r w:rsidRPr="003179FE">
        <w:rPr>
          <w:rFonts w:eastAsia="Calibri" w:cs="Times New Roman"/>
          <w:color w:val="000000"/>
        </w:rPr>
        <w:t xml:space="preserve"> lo cual aconteció, en el presente caso, pues mencionó que </w:t>
      </w:r>
      <w:r w:rsidR="007F4CD1" w:rsidRPr="003179FE">
        <w:rPr>
          <w:rFonts w:eastAsia="Calibri" w:cs="Times New Roman"/>
          <w:color w:val="000000"/>
        </w:rPr>
        <w:t xml:space="preserve">derivado del nivel de puesto de los servidores públicos no </w:t>
      </w:r>
      <w:r w:rsidR="00883020" w:rsidRPr="003179FE">
        <w:rPr>
          <w:rFonts w:eastAsia="Calibri" w:cs="Times New Roman"/>
          <w:color w:val="000000"/>
        </w:rPr>
        <w:t xml:space="preserve">tenían </w:t>
      </w:r>
      <w:r w:rsidR="007F4CD1" w:rsidRPr="003179FE">
        <w:rPr>
          <w:rFonts w:eastAsia="Calibri" w:cs="Times New Roman"/>
          <w:color w:val="000000"/>
        </w:rPr>
        <w:t xml:space="preserve">facultad para firmar oficios </w:t>
      </w:r>
      <w:r w:rsidR="00883020" w:rsidRPr="003179FE">
        <w:rPr>
          <w:rFonts w:eastAsia="Calibri" w:cs="Times New Roman"/>
          <w:color w:val="000000"/>
        </w:rPr>
        <w:t>en determinada temporalidad.</w:t>
      </w:r>
    </w:p>
    <w:p w14:paraId="14950524" w14:textId="77777777" w:rsidR="007F4CD1" w:rsidRPr="003179FE" w:rsidRDefault="007F4CD1" w:rsidP="005C4054">
      <w:pPr>
        <w:spacing w:after="0" w:line="360" w:lineRule="auto"/>
        <w:rPr>
          <w:rFonts w:eastAsia="Calibri" w:cs="Times New Roman"/>
          <w:color w:val="000000"/>
        </w:rPr>
      </w:pPr>
    </w:p>
    <w:p w14:paraId="5D6EFA85" w14:textId="617698AD" w:rsidR="00D564F6" w:rsidRPr="003179FE" w:rsidRDefault="00CE2FDB" w:rsidP="005C4054">
      <w:pPr>
        <w:spacing w:after="0" w:line="360" w:lineRule="auto"/>
        <w:rPr>
          <w:rFonts w:eastAsia="Times New Roman" w:cs="Tahoma"/>
          <w:color w:val="000000"/>
          <w:lang w:eastAsia="es-ES"/>
        </w:rPr>
      </w:pPr>
      <w:r w:rsidRPr="003179FE">
        <w:rPr>
          <w:rFonts w:eastAsia="Times New Roman" w:cs="Tahoma"/>
          <w:color w:val="000000"/>
          <w:lang w:eastAsia="es-ES"/>
        </w:rPr>
        <w:t xml:space="preserve">Además, se realizó una búsqueda en la página oficial del Sujeto Obligado, en sus redes sociales, así como en el Portal de Información Pública de Oficio Mexiquense de Metepec, y no se encontró información alguna que pudiera dar indicios de </w:t>
      </w:r>
      <w:r w:rsidR="00D564F6" w:rsidRPr="003179FE">
        <w:rPr>
          <w:rFonts w:eastAsia="Times New Roman" w:cs="Tahoma"/>
          <w:color w:val="000000"/>
          <w:lang w:eastAsia="es-ES"/>
        </w:rPr>
        <w:t>oficios firmados por las personas mencionadas.</w:t>
      </w:r>
    </w:p>
    <w:p w14:paraId="39CAAB83" w14:textId="77777777" w:rsidR="00D564F6" w:rsidRPr="003179FE" w:rsidRDefault="00D564F6" w:rsidP="005C4054">
      <w:pPr>
        <w:spacing w:after="0" w:line="360" w:lineRule="auto"/>
        <w:rPr>
          <w:rFonts w:eastAsia="Times New Roman" w:cs="Tahoma"/>
          <w:color w:val="000000"/>
          <w:lang w:eastAsia="es-ES"/>
        </w:rPr>
      </w:pPr>
    </w:p>
    <w:p w14:paraId="1D1A1589" w14:textId="796B1256" w:rsidR="00CE2FDB" w:rsidRPr="003179FE" w:rsidRDefault="00CE2FDB" w:rsidP="005C4054">
      <w:pPr>
        <w:spacing w:after="0" w:line="360" w:lineRule="auto"/>
        <w:rPr>
          <w:rFonts w:eastAsia="Calibri" w:cs="Times New Roman"/>
          <w:color w:val="000000"/>
        </w:rPr>
      </w:pPr>
      <w:r w:rsidRPr="003179FE">
        <w:rPr>
          <w:rFonts w:eastAsia="Times New Roman" w:cs="Tahoma"/>
          <w:color w:val="auto"/>
          <w:lang w:val="es-ES" w:eastAsia="es-ES"/>
        </w:rPr>
        <w:t>Conforme a lo anterior, el Sujeto Obligado atendió de manera correcta la solicitud de información, pues señaló</w:t>
      </w:r>
      <w:r w:rsidR="00D564F6" w:rsidRPr="003179FE">
        <w:rPr>
          <w:rFonts w:eastAsia="Times New Roman" w:cs="Tahoma"/>
          <w:color w:val="auto"/>
          <w:lang w:val="es-ES" w:eastAsia="es-ES"/>
        </w:rPr>
        <w:t xml:space="preserve"> los motivos y razones por las cuales no contaba con la </w:t>
      </w:r>
      <w:r w:rsidR="00883020" w:rsidRPr="003179FE">
        <w:rPr>
          <w:rFonts w:eastAsia="Times New Roman" w:cs="Tahoma"/>
          <w:color w:val="auto"/>
          <w:lang w:val="es-ES" w:eastAsia="es-ES"/>
        </w:rPr>
        <w:t>información</w:t>
      </w:r>
      <w:r w:rsidRPr="003179FE">
        <w:rPr>
          <w:rFonts w:eastAsia="Times New Roman" w:cs="Tahoma"/>
          <w:color w:val="auto"/>
          <w:lang w:val="es-ES" w:eastAsia="es-ES"/>
        </w:rPr>
        <w:t>;</w:t>
      </w:r>
      <w:r w:rsidRPr="003179FE">
        <w:rPr>
          <w:rFonts w:eastAsia="Calibri" w:cs="Times New Roman"/>
          <w:color w:val="000000"/>
        </w:rPr>
        <w:t xml:space="preserve">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0CB8F905" w14:textId="77777777" w:rsidR="00CE2FDB" w:rsidRPr="003179FE" w:rsidRDefault="00CE2FDB" w:rsidP="005C4054">
      <w:pPr>
        <w:widowControl w:val="0"/>
        <w:spacing w:after="0" w:line="360" w:lineRule="auto"/>
        <w:rPr>
          <w:rFonts w:eastAsia="Calibri" w:cs="Times New Roman"/>
          <w:color w:val="000000"/>
        </w:rPr>
      </w:pPr>
    </w:p>
    <w:p w14:paraId="2F35FCE6" w14:textId="77777777" w:rsidR="00CE2FDB" w:rsidRPr="003179FE" w:rsidRDefault="00CE2FDB" w:rsidP="005C4054">
      <w:pPr>
        <w:spacing w:after="0" w:line="360" w:lineRule="auto"/>
        <w:rPr>
          <w:rFonts w:eastAsia="Times New Roman" w:cs="Tahoma"/>
          <w:bCs/>
          <w:color w:val="auto"/>
          <w:lang w:eastAsia="es-ES"/>
        </w:rPr>
      </w:pPr>
      <w:r w:rsidRPr="003179FE">
        <w:rPr>
          <w:rFonts w:eastAsia="Times New Roman" w:cs="Tahoma"/>
          <w:color w:val="auto"/>
          <w:lang w:val="es-ES" w:eastAsia="es-ES"/>
        </w:rPr>
        <w:t xml:space="preserve">De la misma manera, </w:t>
      </w:r>
      <w:r w:rsidRPr="003179FE">
        <w:rPr>
          <w:rFonts w:eastAsia="Times New Roman" w:cs="Tahoma"/>
          <w:bCs/>
          <w:color w:val="auto"/>
          <w:lang w:eastAsia="es-ES"/>
        </w:rPr>
        <w:t xml:space="preserve">el </w:t>
      </w:r>
      <w:r w:rsidRPr="003179FE">
        <w:rPr>
          <w:rFonts w:eastAsia="Calibri" w:cs="Tahoma"/>
          <w:bCs/>
          <w:lang w:val="es-ES"/>
        </w:rPr>
        <w:t>Criterio de Interpretación</w:t>
      </w:r>
      <w:r w:rsidRPr="003179FE">
        <w:rPr>
          <w:rFonts w:eastAsia="Calibri" w:cs="Tahoma"/>
          <w:bCs/>
          <w:lang w:val="x-none"/>
        </w:rPr>
        <w:t xml:space="preserve">, con clave de control SO/007/2017, de la Segunda </w:t>
      </w:r>
      <w:r w:rsidRPr="003179FE">
        <w:rPr>
          <w:rFonts w:eastAsia="Calibri" w:cs="Tahoma"/>
          <w:bCs/>
          <w:lang w:val="es-ES_tradnl"/>
        </w:rPr>
        <w:t>Época,</w:t>
      </w:r>
      <w:r w:rsidRPr="003179FE">
        <w:rPr>
          <w:rFonts w:eastAsia="Calibri" w:cs="Tahoma"/>
          <w:bCs/>
          <w:lang w:val="x-none"/>
        </w:rPr>
        <w:t xml:space="preserve"> </w:t>
      </w:r>
      <w:r w:rsidRPr="003179FE">
        <w:rPr>
          <w:rFonts w:eastAsia="Calibri" w:cs="Tahoma"/>
          <w:bCs/>
          <w:lang w:val="es-ES"/>
        </w:rPr>
        <w:t>emitido por el Instituto Nacional de Transparencia, Acceso a la Información y Protección de Datos Personales</w:t>
      </w:r>
      <w:r w:rsidRPr="003179FE">
        <w:rPr>
          <w:rFonts w:eastAsia="Times New Roman" w:cs="Tahoma"/>
          <w:bCs/>
          <w:color w:val="auto"/>
          <w:lang w:eastAsia="es-ES"/>
        </w:rPr>
        <w:t>,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70400EB1" w14:textId="70C34086" w:rsidR="00CE2FDB" w:rsidRPr="003179FE" w:rsidRDefault="00CE2FDB" w:rsidP="005C4054">
      <w:pPr>
        <w:spacing w:after="0" w:line="360" w:lineRule="auto"/>
        <w:rPr>
          <w:rFonts w:eastAsia="Times New Roman" w:cs="Tahoma"/>
          <w:color w:val="auto"/>
          <w:lang w:eastAsia="es-ES"/>
        </w:rPr>
      </w:pPr>
      <w:r w:rsidRPr="003179FE">
        <w:rPr>
          <w:rFonts w:eastAsia="Times New Roman" w:cs="Tahoma"/>
          <w:color w:val="000000"/>
          <w:lang w:eastAsia="es-ES"/>
        </w:rPr>
        <w:lastRenderedPageBreak/>
        <w:t xml:space="preserve">Al respecto, dicho criterio aplica al caso en concreto, pues el Sujeto Obligado precisó </w:t>
      </w:r>
      <w:r w:rsidR="00D564F6" w:rsidRPr="003179FE">
        <w:rPr>
          <w:rFonts w:eastAsia="Times New Roman" w:cs="Tahoma"/>
          <w:color w:val="000000"/>
          <w:lang w:eastAsia="es-ES"/>
        </w:rPr>
        <w:t xml:space="preserve">los motivos y razones por los cuales los servidores públicos en </w:t>
      </w:r>
      <w:r w:rsidR="00883020" w:rsidRPr="003179FE">
        <w:rPr>
          <w:rFonts w:eastAsia="Times New Roman" w:cs="Tahoma"/>
          <w:color w:val="000000"/>
          <w:lang w:eastAsia="es-ES"/>
        </w:rPr>
        <w:t>parte de la t</w:t>
      </w:r>
      <w:r w:rsidR="00D564F6" w:rsidRPr="003179FE">
        <w:rPr>
          <w:rFonts w:eastAsia="Times New Roman" w:cs="Tahoma"/>
          <w:color w:val="000000"/>
          <w:lang w:eastAsia="es-ES"/>
        </w:rPr>
        <w:t>emporalidad solicitada no firmaron oficios</w:t>
      </w:r>
      <w:r w:rsidRPr="003179FE">
        <w:rPr>
          <w:rFonts w:eastAsia="Times New Roman" w:cs="Tahoma"/>
          <w:color w:val="auto"/>
          <w:lang w:eastAsia="es-ES"/>
        </w:rPr>
        <w:t xml:space="preserve">; </w:t>
      </w:r>
      <w:r w:rsidRPr="003179FE">
        <w:rPr>
          <w:rFonts w:eastAsia="Times New Roman" w:cs="Tahoma"/>
          <w:color w:val="000000"/>
          <w:lang w:eastAsia="es-ES"/>
        </w:rPr>
        <w:t xml:space="preserve">por lo que, </w:t>
      </w:r>
      <w:r w:rsidRPr="003179FE">
        <w:rPr>
          <w:rFonts w:eastAsia="Calibri" w:cs="Tahoma"/>
          <w:iCs/>
          <w:color w:val="auto"/>
          <w:lang w:eastAsia="es-ES_tradnl"/>
        </w:rPr>
        <w:t>se considera que el Sujeto Obligado precisó las razones por las cuales no contaba con la información peticionada, en términos del artículo 19, párrafo segundo de la Ley de Transparencia y Acceso a la Información Pública del Estado de México y Municipios</w:t>
      </w:r>
      <w:r w:rsidR="0081328D" w:rsidRPr="003179FE">
        <w:rPr>
          <w:rFonts w:eastAsia="Times New Roman" w:cs="Tahoma"/>
          <w:color w:val="auto"/>
          <w:lang w:eastAsia="es-ES"/>
        </w:rPr>
        <w:t>.</w:t>
      </w:r>
    </w:p>
    <w:p w14:paraId="03A988D7" w14:textId="77777777" w:rsidR="0081328D" w:rsidRPr="003179FE" w:rsidRDefault="0081328D" w:rsidP="005C4054">
      <w:pPr>
        <w:spacing w:after="0" w:line="360" w:lineRule="auto"/>
        <w:rPr>
          <w:rFonts w:eastAsia="Times New Roman" w:cs="Tahoma"/>
          <w:color w:val="auto"/>
          <w:lang w:eastAsia="es-ES"/>
        </w:rPr>
      </w:pPr>
    </w:p>
    <w:p w14:paraId="59C138BF" w14:textId="5F0FBD3F" w:rsidR="002F5F10" w:rsidRPr="003179FE" w:rsidRDefault="0081328D" w:rsidP="005C4054">
      <w:pPr>
        <w:spacing w:after="0" w:line="360" w:lineRule="auto"/>
        <w:rPr>
          <w:rFonts w:eastAsia="Times New Roman" w:cs="Tahoma"/>
          <w:color w:val="auto"/>
          <w:lang w:eastAsia="es-ES"/>
        </w:rPr>
      </w:pPr>
      <w:r w:rsidRPr="003179FE">
        <w:rPr>
          <w:rFonts w:eastAsia="Times New Roman" w:cs="Tahoma"/>
          <w:color w:val="auto"/>
          <w:lang w:eastAsia="es-ES"/>
        </w:rPr>
        <w:t>Ahora bien, del servidor público mencionado en el punto 2, del primero de abril a la fecha de la solicitud, mencionó que contaba con catorce oficios firmados por tal servidor público</w:t>
      </w:r>
      <w:r w:rsidR="002F5F10" w:rsidRPr="003179FE">
        <w:rPr>
          <w:rFonts w:eastAsia="Times New Roman" w:cs="Tahoma"/>
          <w:color w:val="auto"/>
          <w:lang w:eastAsia="es-ES"/>
        </w:rPr>
        <w:t xml:space="preserve"> mismos </w:t>
      </w:r>
      <w:r w:rsidR="00883020" w:rsidRPr="003179FE">
        <w:rPr>
          <w:rFonts w:eastAsia="Times New Roman" w:cs="Tahoma"/>
          <w:color w:val="auto"/>
          <w:lang w:eastAsia="es-ES"/>
        </w:rPr>
        <w:t>que proporcionó en versión íntegra, por lo cual se logra vislumbrar que proporcionó la información que obraba en sus archivos</w:t>
      </w:r>
      <w:r w:rsidR="002F5F10" w:rsidRPr="003179FE">
        <w:rPr>
          <w:rFonts w:eastAsia="Times New Roman" w:cs="Tahoma"/>
          <w:color w:val="auto"/>
          <w:lang w:eastAsia="es-ES"/>
        </w:rPr>
        <w:t xml:space="preserve">; </w:t>
      </w:r>
      <w:r w:rsidR="002F5F10" w:rsidRPr="003179FE">
        <w:rPr>
          <w:color w:val="000000"/>
        </w:rPr>
        <w:t>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64AADF63" w14:textId="77777777" w:rsidR="002F5F10" w:rsidRPr="003179FE" w:rsidRDefault="002F5F10" w:rsidP="005C4054">
      <w:pPr>
        <w:tabs>
          <w:tab w:val="left" w:pos="4962"/>
        </w:tabs>
        <w:spacing w:after="0" w:line="360" w:lineRule="auto"/>
        <w:rPr>
          <w:color w:val="000000"/>
        </w:rPr>
      </w:pPr>
    </w:p>
    <w:p w14:paraId="0A48B74E" w14:textId="77777777" w:rsidR="002F5F10" w:rsidRPr="003179FE" w:rsidRDefault="002F5F10" w:rsidP="005C4054">
      <w:pPr>
        <w:spacing w:after="0" w:line="360" w:lineRule="auto"/>
        <w:rPr>
          <w:color w:val="000000"/>
        </w:rPr>
      </w:pPr>
      <w:r w:rsidRPr="003179FE">
        <w:rPr>
          <w:color w:val="000000"/>
        </w:rPr>
        <w:t xml:space="preserve">De esta manera, el derecho de acceso a la información pública se satisface en aquellos casos en que se entregue el soporte documental en el que conste la información solicitada, sin necesidad de elaborar documentos </w:t>
      </w:r>
      <w:r w:rsidRPr="003179FE">
        <w:rPr>
          <w:i/>
          <w:color w:val="000000"/>
        </w:rPr>
        <w:t>ad hoc</w:t>
      </w:r>
      <w:r w:rsidRPr="003179FE">
        <w:rPr>
          <w:color w:val="000000"/>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22ACD2C0" w14:textId="77777777" w:rsidR="002F5F10" w:rsidRPr="003179FE" w:rsidRDefault="002F5F10" w:rsidP="005C4054">
      <w:pPr>
        <w:spacing w:after="0" w:line="360" w:lineRule="auto"/>
        <w:ind w:right="-93"/>
        <w:rPr>
          <w:color w:val="000000"/>
        </w:rPr>
      </w:pPr>
    </w:p>
    <w:p w14:paraId="0B0CFF9A" w14:textId="70157D22" w:rsidR="00883020" w:rsidRPr="003179FE" w:rsidRDefault="002F5F10" w:rsidP="005C4054">
      <w:pPr>
        <w:spacing w:after="0" w:line="360" w:lineRule="auto"/>
        <w:ind w:right="-93"/>
        <w:rPr>
          <w:rFonts w:cs="Tahoma"/>
        </w:rPr>
      </w:pPr>
      <w:r w:rsidRPr="003179FE">
        <w:rPr>
          <w:color w:val="000000"/>
        </w:rPr>
        <w:t xml:space="preserve">De tales circunstancias, se concluye que los sujetos obligados únicamente se encuentran constreñidos a proporcionar los documentos que den cuenta de la información solicitada, </w:t>
      </w:r>
      <w:r w:rsidRPr="003179FE">
        <w:rPr>
          <w:color w:val="000000"/>
        </w:rPr>
        <w:lastRenderedPageBreak/>
        <w:t>como obren en sus archivos, sin tener que elaborarlos a las necesidades del Recurrente; lo cual aconteció pues proporcionó los catorce oficios mencionados</w:t>
      </w:r>
      <w:r w:rsidR="00D14CB5" w:rsidRPr="003179FE">
        <w:rPr>
          <w:rFonts w:cs="Tahoma"/>
        </w:rPr>
        <w:t>,</w:t>
      </w:r>
      <w:r w:rsidR="00883020" w:rsidRPr="003179FE">
        <w:rPr>
          <w:rFonts w:cs="Tahoma"/>
        </w:rPr>
        <w:t xml:space="preserve"> es decir, los únicos firmados del </w:t>
      </w:r>
      <w:r w:rsidR="00883020" w:rsidRPr="003179FE">
        <w:rPr>
          <w:rFonts w:eastAsia="Times New Roman" w:cs="Tahoma"/>
          <w:color w:val="auto"/>
          <w:lang w:eastAsia="es-ES"/>
        </w:rPr>
        <w:t>del primero de abril al siete de octubre de dos mil veinticuatro.</w:t>
      </w:r>
    </w:p>
    <w:p w14:paraId="4CC1870B" w14:textId="77777777" w:rsidR="00883020" w:rsidRPr="003179FE" w:rsidRDefault="00883020" w:rsidP="005C4054">
      <w:pPr>
        <w:spacing w:after="0" w:line="360" w:lineRule="auto"/>
        <w:ind w:right="-93"/>
        <w:rPr>
          <w:rFonts w:cs="Tahoma"/>
        </w:rPr>
      </w:pPr>
    </w:p>
    <w:p w14:paraId="712C29D2" w14:textId="294E7E84" w:rsidR="00D04F50" w:rsidRPr="003179FE" w:rsidRDefault="00883020" w:rsidP="005C4054">
      <w:pPr>
        <w:spacing w:after="0" w:line="360" w:lineRule="auto"/>
        <w:ind w:right="-93"/>
        <w:rPr>
          <w:rFonts w:cs="Tahoma"/>
        </w:rPr>
      </w:pPr>
      <w:r w:rsidRPr="003179FE">
        <w:rPr>
          <w:rFonts w:cs="Tahoma"/>
        </w:rPr>
        <w:t xml:space="preserve">Así, toda vez </w:t>
      </w:r>
      <w:r w:rsidR="00882D43" w:rsidRPr="003179FE">
        <w:rPr>
          <w:rFonts w:cs="Tahoma"/>
        </w:rPr>
        <w:t>que,</w:t>
      </w:r>
      <w:r w:rsidRPr="003179FE">
        <w:rPr>
          <w:rFonts w:cs="Tahoma"/>
        </w:rPr>
        <w:t xml:space="preserve"> durante la sustanciación del Medio de Impugnación, el Sujeto Obligado emitió contestación a las solicitudes de información, en donde señaló las razones por las cuales no contaba con oficios firmados en una determinada temporalidad y proporcionó lo</w:t>
      </w:r>
      <w:r w:rsidR="00882D43" w:rsidRPr="003179FE">
        <w:rPr>
          <w:rFonts w:cs="Tahoma"/>
        </w:rPr>
        <w:t>s que obraban en sus archivos y daban cuenta de lo solicitado,</w:t>
      </w:r>
      <w:r w:rsidR="00D14CB5" w:rsidRPr="003179FE">
        <w:rPr>
          <w:rFonts w:cs="Tahoma"/>
          <w:bCs/>
        </w:rPr>
        <w:t xml:space="preserve"> </w:t>
      </w:r>
      <w:r w:rsidR="00D14CB5" w:rsidRPr="003179FE">
        <w:rPr>
          <w:rFonts w:cs="Tahoma"/>
          <w:b/>
          <w:bCs/>
        </w:rPr>
        <w:t>se considera que la impugnación que se dirime ha quedado sin materia</w:t>
      </w:r>
      <w:r w:rsidR="00882D43" w:rsidRPr="003179FE">
        <w:rPr>
          <w:rFonts w:cs="Tahoma"/>
        </w:rPr>
        <w:t>.</w:t>
      </w:r>
    </w:p>
    <w:p w14:paraId="0F769A68" w14:textId="77777777" w:rsidR="00882D43" w:rsidRPr="003179FE" w:rsidRDefault="00882D43" w:rsidP="005C4054">
      <w:pPr>
        <w:spacing w:after="0" w:line="360" w:lineRule="auto"/>
        <w:ind w:right="-93"/>
        <w:rPr>
          <w:rFonts w:cs="Tahoma"/>
        </w:rPr>
      </w:pPr>
    </w:p>
    <w:p w14:paraId="16D97F38" w14:textId="3F9A738D" w:rsidR="00D04F50" w:rsidRPr="003179FE" w:rsidRDefault="00D04F50" w:rsidP="005C4054">
      <w:pPr>
        <w:spacing w:after="0" w:line="360" w:lineRule="auto"/>
        <w:rPr>
          <w:bCs/>
          <w:iCs/>
          <w:color w:val="000000"/>
        </w:rPr>
      </w:pPr>
      <w:r w:rsidRPr="003179FE">
        <w:rPr>
          <w:bCs/>
          <w:color w:val="000000"/>
        </w:rPr>
        <w:t>Por lo que, con</w:t>
      </w:r>
      <w:r w:rsidRPr="003179FE">
        <w:rPr>
          <w:bCs/>
          <w:iCs/>
          <w:color w:val="000000"/>
        </w:rPr>
        <w:t xml:space="preserve"> fundamento en lo dispuesto en el artículo 186, fracción I, de la Ley de Transparencia y Acceso a la Información Pública del Estado de México y Municipios, se considera procedente </w:t>
      </w:r>
      <w:r w:rsidRPr="003179FE">
        <w:rPr>
          <w:b/>
          <w:iCs/>
          <w:color w:val="000000"/>
        </w:rPr>
        <w:t>SOBRESEER</w:t>
      </w:r>
      <w:r w:rsidRPr="003179FE">
        <w:rPr>
          <w:bCs/>
          <w:iCs/>
          <w:color w:val="000000"/>
        </w:rPr>
        <w:t xml:space="preserve"> los Recursos de Revisión </w:t>
      </w:r>
      <w:r w:rsidRPr="003179FE">
        <w:rPr>
          <w:bCs/>
          <w:color w:val="000000"/>
          <w:lang w:val="es-ES_tradnl"/>
        </w:rPr>
        <w:t>0</w:t>
      </w:r>
      <w:r w:rsidR="00E236C7" w:rsidRPr="003179FE">
        <w:rPr>
          <w:bCs/>
          <w:color w:val="000000"/>
          <w:lang w:val="es-ES_tradnl"/>
        </w:rPr>
        <w:t>7111</w:t>
      </w:r>
      <w:r w:rsidRPr="003179FE">
        <w:rPr>
          <w:bCs/>
          <w:color w:val="000000"/>
          <w:lang w:val="es-ES_tradnl"/>
        </w:rPr>
        <w:t>/INFOEM/IP/RR/2024 y 0</w:t>
      </w:r>
      <w:r w:rsidR="00E236C7" w:rsidRPr="003179FE">
        <w:rPr>
          <w:bCs/>
          <w:color w:val="000000"/>
          <w:lang w:val="es-ES_tradnl"/>
        </w:rPr>
        <w:t>7112</w:t>
      </w:r>
      <w:r w:rsidRPr="003179FE">
        <w:rPr>
          <w:bCs/>
          <w:color w:val="000000"/>
          <w:lang w:val="es-ES_tradnl"/>
        </w:rPr>
        <w:t>/INFOEM/IP/RR/2024</w:t>
      </w:r>
      <w:r w:rsidRPr="003179FE">
        <w:rPr>
          <w:bCs/>
          <w:iCs/>
          <w:color w:val="000000"/>
        </w:rPr>
        <w:t xml:space="preserve">, en virtud de que se actualiza la hipótesis normativa prevista en la fracción </w:t>
      </w:r>
      <w:r w:rsidR="0091092F" w:rsidRPr="003179FE">
        <w:rPr>
          <w:bCs/>
          <w:iCs/>
          <w:color w:val="000000"/>
        </w:rPr>
        <w:t>V</w:t>
      </w:r>
      <w:r w:rsidRPr="003179FE">
        <w:rPr>
          <w:bCs/>
          <w:iCs/>
          <w:color w:val="000000"/>
        </w:rPr>
        <w:t>, del artículo 192, del citado ordenamiento legal.</w:t>
      </w:r>
    </w:p>
    <w:p w14:paraId="30F2367A" w14:textId="77777777" w:rsidR="00D04F50" w:rsidRPr="003179FE" w:rsidRDefault="00D04F50" w:rsidP="005C4054">
      <w:pPr>
        <w:spacing w:after="0" w:line="360" w:lineRule="auto"/>
        <w:rPr>
          <w:bCs/>
          <w:iCs/>
          <w:color w:val="000000"/>
          <w:lang w:val="es-ES"/>
        </w:rPr>
      </w:pPr>
    </w:p>
    <w:p w14:paraId="2059247C" w14:textId="55E92FA7" w:rsidR="00D04F50" w:rsidRPr="003179FE" w:rsidRDefault="00D04F50" w:rsidP="005C4054">
      <w:pPr>
        <w:spacing w:after="0" w:line="360" w:lineRule="auto"/>
        <w:rPr>
          <w:bCs/>
          <w:color w:val="000000"/>
        </w:rPr>
      </w:pPr>
      <w:r w:rsidRPr="003179FE">
        <w:rPr>
          <w:bCs/>
          <w:color w:val="000000"/>
        </w:rPr>
        <w:t xml:space="preserve">Ahora bien, toda vez que no ha quedado sin materia </w:t>
      </w:r>
      <w:r w:rsidR="00E236C7" w:rsidRPr="003179FE">
        <w:rPr>
          <w:bCs/>
          <w:color w:val="000000"/>
        </w:rPr>
        <w:t>el</w:t>
      </w:r>
      <w:r w:rsidRPr="003179FE">
        <w:rPr>
          <w:bCs/>
          <w:color w:val="000000"/>
        </w:rPr>
        <w:t xml:space="preserve"> Recurso de Revisión </w:t>
      </w:r>
      <w:r w:rsidRPr="003179FE">
        <w:rPr>
          <w:bCs/>
          <w:color w:val="000000"/>
          <w:lang w:val="es-ES_tradnl"/>
        </w:rPr>
        <w:t>0</w:t>
      </w:r>
      <w:r w:rsidR="007F1FE4" w:rsidRPr="003179FE">
        <w:rPr>
          <w:bCs/>
          <w:color w:val="000000"/>
          <w:lang w:val="es-ES_tradnl"/>
        </w:rPr>
        <w:t>7113</w:t>
      </w:r>
      <w:r w:rsidRPr="003179FE">
        <w:rPr>
          <w:bCs/>
          <w:color w:val="000000"/>
          <w:lang w:val="es-ES_tradnl"/>
        </w:rPr>
        <w:t>/INFOEM/IP/RR/2024</w:t>
      </w:r>
      <w:r w:rsidRPr="003179FE">
        <w:rPr>
          <w:bCs/>
          <w:color w:val="000000"/>
        </w:rPr>
        <w:t>, se considera procedente entrar al fondo del asunto.</w:t>
      </w:r>
    </w:p>
    <w:p w14:paraId="5ECD6A23" w14:textId="77777777" w:rsidR="00712AB9" w:rsidRPr="003179FE" w:rsidRDefault="00712AB9" w:rsidP="005C4054">
      <w:pPr>
        <w:tabs>
          <w:tab w:val="left" w:pos="4962"/>
        </w:tabs>
        <w:spacing w:after="0" w:line="360" w:lineRule="auto"/>
        <w:rPr>
          <w:rFonts w:eastAsia="Calibri" w:cs="Tahoma"/>
          <w:b/>
          <w:iCs/>
          <w:lang w:val="es-ES" w:eastAsia="es-ES_tradnl"/>
        </w:rPr>
      </w:pPr>
    </w:p>
    <w:p w14:paraId="096DA905" w14:textId="21BD20BE" w:rsidR="00712AB9" w:rsidRPr="003179FE" w:rsidRDefault="00712AB9" w:rsidP="005C4054">
      <w:pPr>
        <w:tabs>
          <w:tab w:val="left" w:pos="4962"/>
        </w:tabs>
        <w:spacing w:after="0" w:line="360" w:lineRule="auto"/>
        <w:rPr>
          <w:rFonts w:eastAsia="Calibri" w:cs="Tahoma"/>
          <w:b/>
          <w:iCs/>
          <w:lang w:val="es-ES" w:eastAsia="es-ES_tradnl"/>
        </w:rPr>
      </w:pPr>
      <w:r w:rsidRPr="003179FE">
        <w:rPr>
          <w:rFonts w:eastAsia="Calibri" w:cs="Tahoma"/>
          <w:b/>
          <w:iCs/>
          <w:lang w:val="es-ES" w:eastAsia="es-ES_tradnl"/>
        </w:rPr>
        <w:t>TERCERO. Determinación de la Controversia</w:t>
      </w:r>
    </w:p>
    <w:p w14:paraId="4EF9D24C" w14:textId="77777777" w:rsidR="00712AB9" w:rsidRPr="003179FE" w:rsidRDefault="00712AB9" w:rsidP="005C4054">
      <w:pPr>
        <w:spacing w:after="0" w:line="360" w:lineRule="auto"/>
      </w:pPr>
    </w:p>
    <w:p w14:paraId="767F87CA" w14:textId="156E75B2" w:rsidR="009F37C2" w:rsidRPr="003179FE" w:rsidRDefault="00712AB9" w:rsidP="005C4054">
      <w:pPr>
        <w:tabs>
          <w:tab w:val="left" w:pos="4962"/>
        </w:tabs>
        <w:spacing w:after="0" w:line="360" w:lineRule="auto"/>
        <w:rPr>
          <w:rFonts w:eastAsia="Calibri" w:cs="Tahoma"/>
          <w:iCs/>
          <w:lang w:val="es-ES" w:eastAsia="es-ES_tradnl"/>
        </w:rPr>
      </w:pPr>
      <w:r w:rsidRPr="003179FE">
        <w:rPr>
          <w:rFonts w:eastAsia="Calibri" w:cs="Tahoma"/>
          <w:iCs/>
          <w:lang w:val="es-ES" w:eastAsia="es-ES_tradnl"/>
        </w:rPr>
        <w:t xml:space="preserve">Con el objeto de ilustrar la controversia planteada, resulta conveniente precisar que, una vez realizado el estudio de las constancias que integran el expediente en que se actúa, se desprende que </w:t>
      </w:r>
      <w:r w:rsidR="00696EE5" w:rsidRPr="003179FE">
        <w:rPr>
          <w:rFonts w:eastAsia="Calibri" w:cs="Tahoma"/>
          <w:iCs/>
          <w:lang w:val="es-ES" w:eastAsia="es-ES_tradnl"/>
        </w:rPr>
        <w:t>la</w:t>
      </w:r>
      <w:r w:rsidR="008F2BA2" w:rsidRPr="003179FE">
        <w:rPr>
          <w:rFonts w:eastAsia="Calibri" w:cs="Tahoma"/>
          <w:iCs/>
          <w:lang w:val="es-ES" w:eastAsia="es-ES_tradnl"/>
        </w:rPr>
        <w:t xml:space="preserve"> persona</w:t>
      </w:r>
      <w:r w:rsidRPr="003179FE">
        <w:rPr>
          <w:rFonts w:eastAsia="Calibri" w:cs="Tahoma"/>
          <w:iCs/>
          <w:lang w:val="es-ES" w:eastAsia="es-ES_tradnl"/>
        </w:rPr>
        <w:t xml:space="preserve"> Recurrente requirió</w:t>
      </w:r>
      <w:r w:rsidR="009E41B6" w:rsidRPr="003179FE">
        <w:rPr>
          <w:rFonts w:eastAsia="Calibri" w:cs="Tahoma"/>
          <w:iCs/>
          <w:lang w:val="es-ES" w:eastAsia="es-ES_tradnl"/>
        </w:rPr>
        <w:t xml:space="preserve">, </w:t>
      </w:r>
      <w:r w:rsidR="009F37C2" w:rsidRPr="003179FE">
        <w:rPr>
          <w:rFonts w:cs="Tahoma"/>
        </w:rPr>
        <w:t xml:space="preserve">de la Unidad de Información, Planeación, Programación y Evaluación, del primero de octubre </w:t>
      </w:r>
      <w:r w:rsidR="00882D43" w:rsidRPr="003179FE">
        <w:rPr>
          <w:rFonts w:cs="Tahoma"/>
        </w:rPr>
        <w:t>de dos mil veintitrés</w:t>
      </w:r>
      <w:r w:rsidR="009F37C2" w:rsidRPr="003179FE">
        <w:rPr>
          <w:rFonts w:cs="Tahoma"/>
        </w:rPr>
        <w:t xml:space="preserve"> al siete de octubre de dos mil veinticuatro</w:t>
      </w:r>
      <w:r w:rsidR="00882D43" w:rsidRPr="003179FE">
        <w:rPr>
          <w:rFonts w:cs="Tahoma"/>
        </w:rPr>
        <w:t>, los o</w:t>
      </w:r>
      <w:proofErr w:type="spellStart"/>
      <w:r w:rsidR="009F37C2" w:rsidRPr="003179FE">
        <w:rPr>
          <w:rFonts w:eastAsia="Calibri" w:cs="Tahoma"/>
          <w:iCs/>
          <w:lang w:val="es-ES" w:eastAsia="es-ES_tradnl"/>
        </w:rPr>
        <w:t>ficios</w:t>
      </w:r>
      <w:proofErr w:type="spellEnd"/>
      <w:r w:rsidR="009F37C2" w:rsidRPr="003179FE">
        <w:rPr>
          <w:rFonts w:eastAsia="Calibri" w:cs="Tahoma"/>
          <w:iCs/>
          <w:lang w:val="es-ES" w:eastAsia="es-ES_tradnl"/>
        </w:rPr>
        <w:t xml:space="preserve"> firmados por Gabriela Flores Durán</w:t>
      </w:r>
    </w:p>
    <w:p w14:paraId="157642E6" w14:textId="77777777" w:rsidR="00344EE8" w:rsidRPr="003179FE" w:rsidRDefault="00344EE8" w:rsidP="005C4054">
      <w:pPr>
        <w:tabs>
          <w:tab w:val="left" w:pos="4962"/>
        </w:tabs>
        <w:spacing w:after="0" w:line="360" w:lineRule="auto"/>
        <w:rPr>
          <w:rFonts w:eastAsia="Calibri" w:cs="Tahoma"/>
          <w:iCs/>
          <w:lang w:val="es-ES" w:eastAsia="es-ES_tradnl"/>
        </w:rPr>
      </w:pPr>
    </w:p>
    <w:p w14:paraId="55857D88" w14:textId="02213081" w:rsidR="009F37C2" w:rsidRPr="003179FE" w:rsidRDefault="00712AB9" w:rsidP="005C4054">
      <w:pPr>
        <w:pStyle w:val="NormalWeb"/>
        <w:spacing w:after="0" w:line="360" w:lineRule="auto"/>
        <w:ind w:right="-28"/>
        <w:rPr>
          <w:rFonts w:cs="Tahoma"/>
          <w:i/>
          <w:iCs/>
          <w:sz w:val="20"/>
          <w:szCs w:val="20"/>
          <w:lang w:val="es-ES_tradnl"/>
        </w:rPr>
      </w:pPr>
      <w:r w:rsidRPr="003179FE">
        <w:rPr>
          <w:rFonts w:ascii="Palatino Linotype" w:hAnsi="Palatino Linotype" w:cs="Tahoma"/>
          <w:bCs/>
          <w:iCs/>
          <w:sz w:val="22"/>
          <w:szCs w:val="22"/>
          <w:lang w:val="es-ES"/>
        </w:rPr>
        <w:lastRenderedPageBreak/>
        <w:t xml:space="preserve">Ante la falta de respuesta del Ente Recurrido, </w:t>
      </w:r>
      <w:r w:rsidR="008B0D92" w:rsidRPr="003179FE">
        <w:rPr>
          <w:rFonts w:ascii="Palatino Linotype" w:hAnsi="Palatino Linotype" w:cs="Tahoma"/>
          <w:bCs/>
          <w:iCs/>
          <w:sz w:val="22"/>
          <w:szCs w:val="22"/>
          <w:lang w:val="es-ES"/>
        </w:rPr>
        <w:t>el</w:t>
      </w:r>
      <w:r w:rsidRPr="003179FE">
        <w:rPr>
          <w:rFonts w:ascii="Palatino Linotype" w:hAnsi="Palatino Linotype" w:cs="Tahoma"/>
          <w:bCs/>
          <w:iCs/>
          <w:sz w:val="22"/>
          <w:szCs w:val="22"/>
          <w:lang w:val="es-ES"/>
        </w:rPr>
        <w:t xml:space="preserve"> Particular, justamente se inconformó porque no le dieron contestación a su</w:t>
      </w:r>
      <w:r w:rsidR="00EA449A" w:rsidRPr="003179FE">
        <w:rPr>
          <w:rFonts w:ascii="Palatino Linotype" w:hAnsi="Palatino Linotype" w:cs="Tahoma"/>
          <w:bCs/>
          <w:iCs/>
          <w:sz w:val="22"/>
          <w:szCs w:val="22"/>
          <w:lang w:val="es-ES"/>
        </w:rPr>
        <w:t>s</w:t>
      </w:r>
      <w:r w:rsidRPr="003179FE">
        <w:rPr>
          <w:rFonts w:ascii="Palatino Linotype" w:hAnsi="Palatino Linotype" w:cs="Tahoma"/>
          <w:bCs/>
          <w:iCs/>
          <w:sz w:val="22"/>
          <w:szCs w:val="22"/>
          <w:lang w:val="es-ES"/>
        </w:rPr>
        <w:t xml:space="preserve"> requerimiento</w:t>
      </w:r>
      <w:r w:rsidR="00EA449A" w:rsidRPr="003179FE">
        <w:rPr>
          <w:rFonts w:ascii="Palatino Linotype" w:hAnsi="Palatino Linotype" w:cs="Tahoma"/>
          <w:bCs/>
          <w:iCs/>
          <w:sz w:val="22"/>
          <w:szCs w:val="22"/>
          <w:lang w:val="es-ES"/>
        </w:rPr>
        <w:t>s</w:t>
      </w:r>
      <w:r w:rsidRPr="003179FE">
        <w:rPr>
          <w:rFonts w:ascii="Palatino Linotype" w:hAnsi="Palatino Linotype" w:cs="Tahoma"/>
          <w:bCs/>
          <w:iCs/>
          <w:sz w:val="22"/>
          <w:szCs w:val="22"/>
          <w:lang w:val="es-ES"/>
        </w:rPr>
        <w:t xml:space="preserve"> de información, lo cual se actualiza el supuesto previsto en el artículo 179, fracción VII, de la Ley de Transparencia y Acceso a la Información Pública del Estado de México y Municipios</w:t>
      </w:r>
      <w:r w:rsidRPr="003179FE">
        <w:rPr>
          <w:rFonts w:ascii="Palatino Linotype" w:hAnsi="Palatino Linotype" w:cs="Tahoma"/>
          <w:bCs/>
          <w:iCs/>
          <w:sz w:val="22"/>
          <w:szCs w:val="22"/>
          <w:shd w:val="clear" w:color="auto" w:fill="FFFFFF"/>
        </w:rPr>
        <w:t xml:space="preserve">. </w:t>
      </w:r>
      <w:r w:rsidR="00F66423" w:rsidRPr="003179FE">
        <w:rPr>
          <w:rFonts w:ascii="Palatino Linotype" w:eastAsia="Calibri" w:hAnsi="Palatino Linotype" w:cs="Tahoma"/>
          <w:sz w:val="22"/>
          <w:szCs w:val="22"/>
          <w:lang w:val="es-ES"/>
        </w:rPr>
        <w:t>Así las cosas, una vez admitido y notificado el Recurso de Revisión a las partes,</w:t>
      </w:r>
      <w:r w:rsidR="00482426" w:rsidRPr="003179FE">
        <w:rPr>
          <w:rFonts w:ascii="Palatino Linotype" w:eastAsia="Calibri" w:hAnsi="Palatino Linotype" w:cs="Tahoma"/>
          <w:sz w:val="22"/>
          <w:szCs w:val="22"/>
          <w:lang w:val="es-ES"/>
        </w:rPr>
        <w:t xml:space="preserve"> </w:t>
      </w:r>
      <w:r w:rsidR="009F37C2" w:rsidRPr="003179FE">
        <w:rPr>
          <w:rFonts w:ascii="Palatino Linotype" w:hAnsi="Palatino Linotype" w:cs="Tahoma"/>
          <w:sz w:val="22"/>
          <w:szCs w:val="22"/>
          <w:lang w:val="es-ES"/>
        </w:rPr>
        <w:t xml:space="preserve">el Sujeto Obligado a través de la Unidad </w:t>
      </w:r>
      <w:r w:rsidR="009F37C2" w:rsidRPr="003179FE">
        <w:rPr>
          <w:rFonts w:ascii="Palatino Linotype" w:hAnsi="Palatino Linotype" w:cs="Tahoma"/>
          <w:sz w:val="22"/>
          <w:szCs w:val="22"/>
          <w:lang w:val="es-ES_tradnl"/>
        </w:rPr>
        <w:t xml:space="preserve">de Información, Planeación, Programación y Evaluación, informó que no existe documentación firmada por la servidora en mención con anterioridad al dieciséis de abril del presente año, y adjuntó treinta y cinco oficios firmados por la servidora pública mencionada. </w:t>
      </w:r>
    </w:p>
    <w:p w14:paraId="44F0C369" w14:textId="77777777" w:rsidR="00712AB9" w:rsidRPr="003179FE" w:rsidRDefault="00712AB9" w:rsidP="005C4054">
      <w:pPr>
        <w:tabs>
          <w:tab w:val="left" w:pos="4962"/>
        </w:tabs>
        <w:spacing w:after="0" w:line="360" w:lineRule="auto"/>
        <w:rPr>
          <w:rFonts w:eastAsia="Calibri" w:cs="Tahoma"/>
          <w:iCs/>
          <w:lang w:val="es-ES" w:eastAsia="es-ES_tradnl"/>
        </w:rPr>
      </w:pPr>
    </w:p>
    <w:p w14:paraId="63855DEC" w14:textId="7D1E7B75" w:rsidR="00712AB9" w:rsidRPr="003179FE" w:rsidRDefault="00712AB9" w:rsidP="005C4054">
      <w:pPr>
        <w:tabs>
          <w:tab w:val="left" w:pos="4962"/>
        </w:tabs>
        <w:spacing w:after="0" w:line="360" w:lineRule="auto"/>
        <w:rPr>
          <w:rFonts w:eastAsia="Calibri" w:cs="Tahoma"/>
          <w:bCs/>
        </w:rPr>
      </w:pPr>
      <w:r w:rsidRPr="003179FE">
        <w:rPr>
          <w:rFonts w:eastAsia="Calibri" w:cs="Tahoma"/>
          <w:iCs/>
          <w:lang w:val="es-ES" w:eastAsia="es-ES_tradnl"/>
        </w:rPr>
        <w:t>Lo anterior, se desprende de las documentales que obran en los expedientes de referencia, materia de la presente resolución, consistente en: la solic</w:t>
      </w:r>
      <w:r w:rsidR="00032C2C" w:rsidRPr="003179FE">
        <w:rPr>
          <w:rFonts w:eastAsia="Calibri" w:cs="Tahoma"/>
          <w:iCs/>
          <w:lang w:val="es-ES" w:eastAsia="es-ES_tradnl"/>
        </w:rPr>
        <w:t>itud de acceso a la información;</w:t>
      </w:r>
      <w:r w:rsidRPr="003179FE">
        <w:rPr>
          <w:rFonts w:eastAsia="Calibri" w:cs="Tahoma"/>
          <w:iCs/>
          <w:lang w:eastAsia="es-ES_tradnl"/>
        </w:rPr>
        <w:t xml:space="preserve"> el escrito </w:t>
      </w:r>
      <w:proofErr w:type="spellStart"/>
      <w:r w:rsidRPr="003179FE">
        <w:rPr>
          <w:rFonts w:eastAsia="Calibri" w:cs="Tahoma"/>
          <w:iCs/>
          <w:lang w:eastAsia="es-ES_tradnl"/>
        </w:rPr>
        <w:t>recursal</w:t>
      </w:r>
      <w:proofErr w:type="spellEnd"/>
      <w:r w:rsidR="00032C2C" w:rsidRPr="003179FE">
        <w:rPr>
          <w:rFonts w:eastAsia="Calibri" w:cs="Tahoma"/>
          <w:iCs/>
          <w:lang w:eastAsia="es-ES_tradnl"/>
        </w:rPr>
        <w:t xml:space="preserve"> y el Informe Justificado</w:t>
      </w:r>
      <w:r w:rsidRPr="003179FE">
        <w:rPr>
          <w:rFonts w:eastAsia="Calibri" w:cs="Tahoma"/>
          <w:iCs/>
          <w:lang w:eastAsia="es-ES_tradnl"/>
        </w:rPr>
        <w:t xml:space="preserve">; </w:t>
      </w:r>
      <w:r w:rsidRPr="003179FE">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0E710B37" w14:textId="77777777" w:rsidR="00712AB9" w:rsidRPr="003179FE" w:rsidRDefault="00712AB9" w:rsidP="005C4054">
      <w:pPr>
        <w:tabs>
          <w:tab w:val="left" w:pos="4962"/>
        </w:tabs>
        <w:spacing w:after="0" w:line="360" w:lineRule="auto"/>
        <w:rPr>
          <w:rFonts w:eastAsia="Calibri" w:cs="Tahoma"/>
          <w:bCs/>
        </w:rPr>
      </w:pPr>
    </w:p>
    <w:p w14:paraId="21C806B6" w14:textId="4E4E79B0" w:rsidR="00712AB9" w:rsidRPr="003179FE" w:rsidRDefault="00712AB9" w:rsidP="005C4054">
      <w:pPr>
        <w:spacing w:after="0" w:line="360" w:lineRule="auto"/>
        <w:rPr>
          <w:rFonts w:cs="Tahoma"/>
          <w:b/>
        </w:rPr>
      </w:pPr>
      <w:r w:rsidRPr="003179FE">
        <w:rPr>
          <w:rFonts w:cs="Tahoma"/>
          <w:b/>
          <w:lang w:val="es-ES"/>
        </w:rPr>
        <w:t xml:space="preserve">CUARTO. </w:t>
      </w:r>
      <w:r w:rsidRPr="003179FE">
        <w:rPr>
          <w:rFonts w:cs="Tahoma"/>
          <w:b/>
        </w:rPr>
        <w:t>Marco normativo aplicable en materia de transparencia y acceso a la información pública</w:t>
      </w:r>
    </w:p>
    <w:p w14:paraId="11B643C5" w14:textId="77777777" w:rsidR="00712AB9" w:rsidRPr="003179FE" w:rsidRDefault="00712AB9" w:rsidP="005C4054">
      <w:pPr>
        <w:spacing w:after="0" w:line="360" w:lineRule="auto"/>
        <w:rPr>
          <w:rFonts w:cs="Tahoma"/>
          <w:b/>
        </w:rPr>
      </w:pPr>
    </w:p>
    <w:p w14:paraId="18529344" w14:textId="77777777" w:rsidR="00712AB9" w:rsidRPr="003179FE" w:rsidRDefault="00712AB9" w:rsidP="005C4054">
      <w:pPr>
        <w:widowControl w:val="0"/>
        <w:spacing w:after="0" w:line="360" w:lineRule="auto"/>
        <w:rPr>
          <w:rFonts w:eastAsia="Times New Roman" w:cs="Tahoma"/>
          <w:lang w:eastAsia="es-MX"/>
        </w:rPr>
      </w:pPr>
      <w:r w:rsidRPr="003179FE">
        <w:rPr>
          <w:rFonts w:eastAsia="Times New Roman" w:cs="Tahoma"/>
          <w:lang w:eastAsia="es-MX"/>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2E8621C" w14:textId="77777777" w:rsidR="00712AB9" w:rsidRPr="003179FE" w:rsidRDefault="00712AB9" w:rsidP="005C4054">
      <w:pPr>
        <w:widowControl w:val="0"/>
        <w:spacing w:after="0" w:line="360" w:lineRule="auto"/>
        <w:rPr>
          <w:rFonts w:eastAsia="Times New Roman" w:cs="Tahoma"/>
          <w:lang w:eastAsia="es-MX"/>
        </w:rPr>
      </w:pPr>
    </w:p>
    <w:p w14:paraId="18088DD0" w14:textId="77777777" w:rsidR="00712AB9" w:rsidRPr="003179FE" w:rsidRDefault="00712AB9" w:rsidP="005C4054">
      <w:pPr>
        <w:widowControl w:val="0"/>
        <w:spacing w:after="0" w:line="360" w:lineRule="auto"/>
        <w:rPr>
          <w:rFonts w:eastAsia="Times New Roman" w:cs="Tahoma"/>
          <w:lang w:eastAsia="es-MX"/>
        </w:rPr>
      </w:pPr>
      <w:r w:rsidRPr="003179FE">
        <w:rPr>
          <w:rFonts w:eastAsia="Times New Roman" w:cs="Tahoma"/>
          <w:lang w:eastAsia="es-MX"/>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B351C89" w14:textId="77777777" w:rsidR="00712AB9" w:rsidRPr="003179FE" w:rsidRDefault="00712AB9" w:rsidP="005C4054">
      <w:pPr>
        <w:widowControl w:val="0"/>
        <w:spacing w:after="0" w:line="360" w:lineRule="auto"/>
        <w:rPr>
          <w:rFonts w:eastAsia="Times New Roman" w:cs="Tahoma"/>
          <w:lang w:eastAsia="es-MX"/>
        </w:rPr>
      </w:pPr>
    </w:p>
    <w:p w14:paraId="5F94818B" w14:textId="77777777" w:rsidR="00712AB9" w:rsidRPr="003179FE" w:rsidRDefault="00712AB9" w:rsidP="005C4054">
      <w:pPr>
        <w:spacing w:after="0" w:line="360" w:lineRule="auto"/>
        <w:rPr>
          <w:rFonts w:eastAsia="Times New Roman" w:cs="Tahoma"/>
          <w:lang w:eastAsia="es-MX"/>
        </w:rPr>
      </w:pPr>
      <w:r w:rsidRPr="003179FE">
        <w:rPr>
          <w:rFonts w:eastAsia="Times New Roman" w:cs="Tahoma"/>
          <w:lang w:eastAsia="es-MX"/>
        </w:rPr>
        <w:lastRenderedPageBreak/>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F3AA02A" w14:textId="77777777" w:rsidR="00712AB9" w:rsidRPr="003179FE" w:rsidRDefault="00712AB9" w:rsidP="005C4054">
      <w:pPr>
        <w:widowControl w:val="0"/>
        <w:spacing w:after="0" w:line="360" w:lineRule="auto"/>
        <w:rPr>
          <w:rFonts w:eastAsia="Times New Roman" w:cs="Tahoma"/>
          <w:lang w:eastAsia="es-MX"/>
        </w:rPr>
      </w:pPr>
    </w:p>
    <w:p w14:paraId="671F4FF6" w14:textId="77777777" w:rsidR="00712AB9" w:rsidRPr="003179FE" w:rsidRDefault="00712AB9" w:rsidP="005C4054">
      <w:pPr>
        <w:widowControl w:val="0"/>
        <w:spacing w:after="0" w:line="360" w:lineRule="auto"/>
        <w:rPr>
          <w:rFonts w:eastAsia="Times New Roman" w:cs="Tahoma"/>
          <w:lang w:eastAsia="es-MX"/>
        </w:rPr>
      </w:pPr>
      <w:r w:rsidRPr="003179FE">
        <w:rPr>
          <w:rFonts w:eastAsia="Times New Roman" w:cs="Tahoma"/>
          <w:lang w:eastAsia="es-MX"/>
        </w:rPr>
        <w:t>Por su parte, la Ley de Transparencia y Acceso a la Información Pública del Estado de México y Municipios (Reglamentaria del artículo 5° de la Constitución Local), establece lo siguiente:</w:t>
      </w:r>
    </w:p>
    <w:p w14:paraId="374B6F01" w14:textId="77777777" w:rsidR="00712AB9" w:rsidRPr="003179FE" w:rsidRDefault="00712AB9" w:rsidP="005C4054">
      <w:pPr>
        <w:widowControl w:val="0"/>
        <w:spacing w:after="0" w:line="360" w:lineRule="auto"/>
        <w:rPr>
          <w:rFonts w:eastAsia="Times New Roman" w:cs="Tahoma"/>
          <w:lang w:eastAsia="es-MX"/>
        </w:rPr>
      </w:pPr>
    </w:p>
    <w:p w14:paraId="63EE3CA6" w14:textId="77777777" w:rsidR="00712AB9" w:rsidRPr="003179FE" w:rsidRDefault="00712AB9" w:rsidP="005C4054">
      <w:pPr>
        <w:widowControl w:val="0"/>
        <w:spacing w:after="0" w:line="360" w:lineRule="auto"/>
        <w:rPr>
          <w:rFonts w:eastAsia="Times New Roman" w:cs="Tahoma"/>
          <w:lang w:eastAsia="es-MX"/>
        </w:rPr>
      </w:pPr>
      <w:r w:rsidRPr="003179FE">
        <w:rPr>
          <w:rFonts w:eastAsia="Times New Roman" w:cs="Tahoma"/>
          <w:lang w:eastAsia="es-MX"/>
        </w:rPr>
        <w:t>El artículo 12, que, quienes generen, recopilen, administren, manejen, procesen, archiven o conserven información pública serán responsables de la misma.</w:t>
      </w:r>
    </w:p>
    <w:p w14:paraId="45998A7D" w14:textId="77777777" w:rsidR="00712AB9" w:rsidRPr="003179FE" w:rsidRDefault="00712AB9" w:rsidP="005C4054">
      <w:pPr>
        <w:widowControl w:val="0"/>
        <w:spacing w:after="0" w:line="360" w:lineRule="auto"/>
        <w:rPr>
          <w:rFonts w:eastAsia="Times New Roman" w:cs="Tahoma"/>
          <w:lang w:eastAsia="es-MX"/>
        </w:rPr>
      </w:pPr>
    </w:p>
    <w:p w14:paraId="2E62C39D" w14:textId="77777777" w:rsidR="00712AB9" w:rsidRPr="003179FE" w:rsidRDefault="00712AB9" w:rsidP="005C4054">
      <w:pPr>
        <w:widowControl w:val="0"/>
        <w:spacing w:after="0" w:line="360" w:lineRule="auto"/>
        <w:rPr>
          <w:rFonts w:eastAsia="Times New Roman" w:cs="Tahoma"/>
          <w:lang w:eastAsia="es-MX"/>
        </w:rPr>
      </w:pPr>
      <w:r w:rsidRPr="003179FE">
        <w:rPr>
          <w:rFonts w:eastAsia="Times New Roman" w:cs="Tahoma"/>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1DF72E96" w14:textId="77777777" w:rsidR="00712AB9" w:rsidRPr="003179FE" w:rsidRDefault="00712AB9" w:rsidP="005C4054">
      <w:pPr>
        <w:widowControl w:val="0"/>
        <w:spacing w:after="0" w:line="360" w:lineRule="auto"/>
        <w:rPr>
          <w:rFonts w:eastAsia="Times New Roman" w:cs="Tahoma"/>
          <w:lang w:eastAsia="es-MX"/>
        </w:rPr>
      </w:pPr>
    </w:p>
    <w:p w14:paraId="2EC2EE16" w14:textId="77777777" w:rsidR="00712AB9" w:rsidRPr="003179FE" w:rsidRDefault="00712AB9" w:rsidP="005C4054">
      <w:pPr>
        <w:spacing w:after="0" w:line="360" w:lineRule="auto"/>
        <w:rPr>
          <w:rFonts w:eastAsia="Times New Roman" w:cs="Tahoma"/>
          <w:lang w:eastAsia="es-MX"/>
        </w:rPr>
      </w:pPr>
      <w:r w:rsidRPr="003179FE">
        <w:rPr>
          <w:rFonts w:eastAsia="Times New Roman" w:cs="Tahoma"/>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1A0EC9D" w14:textId="77777777" w:rsidR="008B0D92" w:rsidRPr="003179FE" w:rsidRDefault="008B0D92" w:rsidP="005C4054">
      <w:pPr>
        <w:spacing w:after="0" w:line="360" w:lineRule="auto"/>
        <w:rPr>
          <w:rFonts w:eastAsia="Times New Roman" w:cs="Tahoma"/>
          <w:lang w:eastAsia="es-MX"/>
        </w:rPr>
      </w:pPr>
    </w:p>
    <w:p w14:paraId="045179D6" w14:textId="339F30F4" w:rsidR="00712AB9" w:rsidRPr="003179FE" w:rsidRDefault="00712AB9" w:rsidP="005C4054">
      <w:pPr>
        <w:spacing w:after="0" w:line="360" w:lineRule="auto"/>
        <w:rPr>
          <w:rFonts w:eastAsia="Times New Roman" w:cs="Tahoma"/>
          <w:b/>
          <w:lang w:val="es-ES" w:eastAsia="es-ES"/>
        </w:rPr>
      </w:pPr>
      <w:r w:rsidRPr="003179FE">
        <w:rPr>
          <w:rFonts w:eastAsia="Times New Roman" w:cs="Tahoma"/>
          <w:b/>
          <w:lang w:val="es-ES" w:eastAsia="es-ES"/>
        </w:rPr>
        <w:t>QUINTO. Estudio de Fondo</w:t>
      </w:r>
    </w:p>
    <w:p w14:paraId="44BBBAD1" w14:textId="77777777" w:rsidR="00712AB9" w:rsidRPr="003179FE" w:rsidRDefault="00712AB9" w:rsidP="005C4054">
      <w:pPr>
        <w:spacing w:after="0" w:line="360" w:lineRule="auto"/>
        <w:rPr>
          <w:rFonts w:eastAsia="Times New Roman" w:cs="Tahoma"/>
          <w:b/>
          <w:lang w:val="es-ES" w:eastAsia="es-ES"/>
        </w:rPr>
      </w:pPr>
    </w:p>
    <w:p w14:paraId="70FAC6FA" w14:textId="6ACB4A2C" w:rsidR="00712AB9" w:rsidRPr="003179FE" w:rsidRDefault="00712AB9" w:rsidP="005C4054">
      <w:pPr>
        <w:widowControl w:val="0"/>
        <w:spacing w:after="0" w:line="360" w:lineRule="auto"/>
        <w:rPr>
          <w:rFonts w:eastAsia="Times New Roman" w:cs="Tahoma"/>
          <w:lang w:eastAsia="es-MX"/>
        </w:rPr>
      </w:pPr>
      <w:r w:rsidRPr="003179FE">
        <w:rPr>
          <w:rFonts w:eastAsia="Times New Roman" w:cs="Tahoma"/>
          <w:lang w:eastAsia="es-MX"/>
        </w:rPr>
        <w:t xml:space="preserve">Expuestas las posturas de las partes, se procede al análisis del agravio hecho valer por </w:t>
      </w:r>
      <w:r w:rsidR="00BD5769" w:rsidRPr="003179FE">
        <w:rPr>
          <w:rFonts w:eastAsia="Times New Roman" w:cs="Tahoma"/>
          <w:lang w:eastAsia="es-MX"/>
        </w:rPr>
        <w:t>la persona</w:t>
      </w:r>
      <w:r w:rsidRPr="003179FE">
        <w:rPr>
          <w:rFonts w:eastAsia="Times New Roman" w:cs="Tahoma"/>
          <w:lang w:eastAsia="es-MX"/>
        </w:rPr>
        <w:t xml:space="preserve"> Recurrente, concerniente a la falta de respuesta de</w:t>
      </w:r>
      <w:r w:rsidR="003A7513" w:rsidRPr="003179FE">
        <w:rPr>
          <w:rFonts w:eastAsia="Times New Roman" w:cs="Tahoma"/>
          <w:lang w:eastAsia="es-MX"/>
        </w:rPr>
        <w:t xml:space="preserve"> la </w:t>
      </w:r>
      <w:r w:rsidR="003A7513" w:rsidRPr="003179FE">
        <w:rPr>
          <w:rFonts w:eastAsia="Calibri" w:cs="Tahoma"/>
        </w:rPr>
        <w:t>Comisión del Agua del Estado de México</w:t>
      </w:r>
      <w:r w:rsidR="00822090" w:rsidRPr="003179FE">
        <w:rPr>
          <w:rFonts w:eastAsia="Times New Roman" w:cs="Tahoma"/>
          <w:lang w:eastAsia="es-MX"/>
        </w:rPr>
        <w:t>,</w:t>
      </w:r>
      <w:r w:rsidR="00BD5769" w:rsidRPr="003179FE">
        <w:rPr>
          <w:rFonts w:eastAsia="Times New Roman" w:cs="Tahoma"/>
          <w:lang w:eastAsia="es-MX"/>
        </w:rPr>
        <w:t xml:space="preserve"> </w:t>
      </w:r>
      <w:r w:rsidRPr="003179FE">
        <w:rPr>
          <w:rFonts w:eastAsia="Times New Roman" w:cs="Tahoma"/>
          <w:lang w:eastAsia="es-MX"/>
        </w:rPr>
        <w:t>a la</w:t>
      </w:r>
      <w:r w:rsidR="00EA449A" w:rsidRPr="003179FE">
        <w:rPr>
          <w:rFonts w:eastAsia="Times New Roman" w:cs="Tahoma"/>
          <w:lang w:eastAsia="es-MX"/>
        </w:rPr>
        <w:t xml:space="preserve"> </w:t>
      </w:r>
      <w:r w:rsidRPr="003179FE">
        <w:rPr>
          <w:rFonts w:eastAsia="Times New Roman" w:cs="Tahoma"/>
          <w:lang w:eastAsia="es-MX"/>
        </w:rPr>
        <w:t>solicitud de información</w:t>
      </w:r>
      <w:r w:rsidR="00822090" w:rsidRPr="003179FE">
        <w:rPr>
          <w:rFonts w:eastAsia="Times New Roman" w:cs="Tahoma"/>
          <w:lang w:eastAsia="es-MX"/>
        </w:rPr>
        <w:t xml:space="preserve"> pública</w:t>
      </w:r>
      <w:r w:rsidRPr="003179FE">
        <w:rPr>
          <w:rFonts w:eastAsia="Times New Roman" w:cs="Tahoma"/>
          <w:lang w:eastAsia="es-MX"/>
        </w:rPr>
        <w:t>.</w:t>
      </w:r>
    </w:p>
    <w:p w14:paraId="58AE3E69" w14:textId="77777777" w:rsidR="00882D43" w:rsidRPr="003179FE" w:rsidRDefault="00882D43" w:rsidP="005C4054">
      <w:pPr>
        <w:widowControl w:val="0"/>
        <w:spacing w:after="0" w:line="360" w:lineRule="auto"/>
        <w:rPr>
          <w:rFonts w:eastAsia="Times New Roman" w:cs="Tahoma"/>
          <w:lang w:eastAsia="es-MX"/>
        </w:rPr>
      </w:pPr>
    </w:p>
    <w:p w14:paraId="3C1603E3" w14:textId="3FC2B12D" w:rsidR="00882D43" w:rsidRPr="003179FE" w:rsidRDefault="00882D43" w:rsidP="005C4054">
      <w:pPr>
        <w:widowControl w:val="0"/>
        <w:spacing w:after="0" w:line="360" w:lineRule="auto"/>
        <w:rPr>
          <w:rFonts w:eastAsia="Times New Roman" w:cs="Tahoma"/>
          <w:lang w:eastAsia="es-MX"/>
        </w:rPr>
      </w:pPr>
      <w:r w:rsidRPr="003179FE">
        <w:rPr>
          <w:rFonts w:eastAsia="Times New Roman" w:cs="Tahoma"/>
          <w:lang w:eastAsia="es-MX"/>
        </w:rPr>
        <w:lastRenderedPageBreak/>
        <w:t>En ese orden ideas, tal como se estableció en el Considerando SEGUNDO, el particular presentó su solicitud de información al siete de octubre de dos mil veinticuatro; por lo que, el Sujeto Obligado tenía hasta el veintiocho de dicho mes y año, para emitir contestación, lo cual no aconteció, tal como se muestra a continuación:</w:t>
      </w:r>
    </w:p>
    <w:p w14:paraId="1B55FA37" w14:textId="77777777" w:rsidR="00882D43" w:rsidRPr="003179FE" w:rsidRDefault="00882D43" w:rsidP="005C4054">
      <w:pPr>
        <w:widowControl w:val="0"/>
        <w:spacing w:after="0" w:line="360" w:lineRule="auto"/>
        <w:rPr>
          <w:rFonts w:eastAsia="Times New Roman" w:cs="Tahoma"/>
          <w:lang w:eastAsia="es-MX"/>
        </w:rPr>
      </w:pPr>
    </w:p>
    <w:p w14:paraId="0BE29CF0" w14:textId="528910E6" w:rsidR="00292D21" w:rsidRPr="003179FE" w:rsidRDefault="00292D21" w:rsidP="005C4054">
      <w:pPr>
        <w:spacing w:after="0" w:line="360" w:lineRule="auto"/>
        <w:jc w:val="center"/>
        <w:rPr>
          <w:rFonts w:eastAsia="Calibri" w:cs="Tahoma"/>
          <w:lang w:val="es-ES"/>
        </w:rPr>
        <w:sectPr w:rsidR="00292D21" w:rsidRPr="003179FE" w:rsidSect="00021304">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851" w:footer="709" w:gutter="0"/>
          <w:cols w:space="708"/>
          <w:titlePg/>
          <w:docGrid w:linePitch="360"/>
        </w:sectPr>
      </w:pPr>
      <w:r w:rsidRPr="003179FE">
        <w:rPr>
          <w:rFonts w:eastAsia="Calibri" w:cs="Tahoma"/>
          <w:noProof/>
          <w:lang w:eastAsia="es-MX"/>
        </w:rPr>
        <w:drawing>
          <wp:inline distT="0" distB="0" distL="0" distR="0" wp14:anchorId="6F5A20DE" wp14:editId="0F649FBC">
            <wp:extent cx="3413760" cy="1594750"/>
            <wp:effectExtent l="0" t="0" r="0" b="5715"/>
            <wp:docPr id="556972725"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72725" name="Imagen 2" descr="Tabla&#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3433374" cy="1603913"/>
                    </a:xfrm>
                    <a:prstGeom prst="rect">
                      <a:avLst/>
                    </a:prstGeom>
                  </pic:spPr>
                </pic:pic>
              </a:graphicData>
            </a:graphic>
          </wp:inline>
        </w:drawing>
      </w:r>
    </w:p>
    <w:p w14:paraId="07F77484" w14:textId="77777777" w:rsidR="00830672" w:rsidRPr="003179FE" w:rsidRDefault="00830672" w:rsidP="005C4054">
      <w:pPr>
        <w:spacing w:after="0" w:line="360" w:lineRule="auto"/>
        <w:rPr>
          <w:rFonts w:eastAsia="Calibri" w:cs="Tahoma"/>
          <w:lang w:val="es-ES"/>
        </w:rPr>
        <w:sectPr w:rsidR="00830672" w:rsidRPr="003179FE" w:rsidSect="007F77E2">
          <w:type w:val="continuous"/>
          <w:pgSz w:w="12240" w:h="15840"/>
          <w:pgMar w:top="1418" w:right="1608" w:bottom="1560" w:left="1701" w:header="851" w:footer="709" w:gutter="0"/>
          <w:cols w:num="2" w:space="708"/>
          <w:titlePg/>
          <w:docGrid w:linePitch="360"/>
        </w:sectPr>
      </w:pPr>
    </w:p>
    <w:p w14:paraId="1A649A02" w14:textId="6EBE1355" w:rsidR="00882D43" w:rsidRPr="003179FE" w:rsidRDefault="00712AB9" w:rsidP="005C4054">
      <w:pPr>
        <w:tabs>
          <w:tab w:val="left" w:pos="4962"/>
        </w:tabs>
        <w:spacing w:after="0" w:line="360" w:lineRule="auto"/>
        <w:rPr>
          <w:rFonts w:eastAsia="Calibri" w:cs="Tahoma"/>
          <w:b/>
        </w:rPr>
      </w:pPr>
      <w:r w:rsidRPr="003179FE">
        <w:rPr>
          <w:rFonts w:eastAsia="Calibri" w:cs="Tahoma"/>
          <w:bCs/>
        </w:rPr>
        <w:t>Así, se colige que</w:t>
      </w:r>
      <w:r w:rsidR="00882D43" w:rsidRPr="003179FE">
        <w:rPr>
          <w:rFonts w:eastAsia="Calibri" w:cs="Tahoma"/>
          <w:bCs/>
        </w:rPr>
        <w:t xml:space="preserve"> </w:t>
      </w:r>
      <w:r w:rsidR="00292D21" w:rsidRPr="003179FE">
        <w:rPr>
          <w:rFonts w:eastAsia="Calibri" w:cs="Tahoma"/>
          <w:bCs/>
        </w:rPr>
        <w:t>la Comisión</w:t>
      </w:r>
      <w:r w:rsidR="00292D21" w:rsidRPr="003179FE">
        <w:rPr>
          <w:rFonts w:eastAsia="Calibri" w:cs="Tahoma"/>
        </w:rPr>
        <w:t xml:space="preserve"> del Agua del Estado de México</w:t>
      </w:r>
      <w:r w:rsidRPr="003179FE">
        <w:rPr>
          <w:rFonts w:eastAsia="Calibri" w:cs="Tahoma"/>
          <w:bCs/>
        </w:rPr>
        <w:t>, no emitió respuesta para dar contestación a la s</w:t>
      </w:r>
      <w:r w:rsidR="00882D43" w:rsidRPr="003179FE">
        <w:rPr>
          <w:rFonts w:eastAsia="Calibri" w:cs="Tahoma"/>
          <w:bCs/>
        </w:rPr>
        <w:t>olicitud</w:t>
      </w:r>
      <w:r w:rsidRPr="003179FE">
        <w:rPr>
          <w:rFonts w:eastAsia="Calibri" w:cs="Tahoma"/>
          <w:bCs/>
        </w:rPr>
        <w:t xml:space="preserve"> de información, dentro de los plazos establecidos en el artículo 163, de la Ley de la materia, </w:t>
      </w:r>
      <w:r w:rsidR="00882D43" w:rsidRPr="003179FE">
        <w:rPr>
          <w:rFonts w:eastAsia="Calibri" w:cs="Tahoma"/>
          <w:bCs/>
        </w:rPr>
        <w:t xml:space="preserve">lo cual da como resultado que el agravio sea </w:t>
      </w:r>
      <w:r w:rsidR="00882D43" w:rsidRPr="003179FE">
        <w:rPr>
          <w:rFonts w:eastAsia="Calibri" w:cs="Tahoma"/>
          <w:b/>
        </w:rPr>
        <w:t>FUNDADO.</w:t>
      </w:r>
    </w:p>
    <w:p w14:paraId="429919C2" w14:textId="77777777" w:rsidR="00882D43" w:rsidRPr="003179FE" w:rsidRDefault="00882D43" w:rsidP="005C4054">
      <w:pPr>
        <w:tabs>
          <w:tab w:val="left" w:pos="4962"/>
        </w:tabs>
        <w:spacing w:after="0" w:line="360" w:lineRule="auto"/>
        <w:rPr>
          <w:rFonts w:eastAsia="Calibri" w:cs="Tahoma"/>
          <w:bCs/>
        </w:rPr>
      </w:pPr>
    </w:p>
    <w:p w14:paraId="78499472" w14:textId="3D35C28B" w:rsidR="008B0144" w:rsidRPr="003179FE" w:rsidRDefault="002D3907" w:rsidP="005C4054">
      <w:pPr>
        <w:tabs>
          <w:tab w:val="left" w:pos="4962"/>
        </w:tabs>
        <w:spacing w:after="0" w:line="360" w:lineRule="auto"/>
        <w:rPr>
          <w:rFonts w:cs="Tahoma"/>
        </w:rPr>
      </w:pPr>
      <w:r w:rsidRPr="003179FE">
        <w:t xml:space="preserve">No obstante, durante la sustanciación del Medio de Impugnación, el Sujeto Obligado dio respuesta a la solicitud de información, por lo que, </w:t>
      </w:r>
      <w:r w:rsidRPr="003179FE">
        <w:rPr>
          <w:rFonts w:cs="Tahoma"/>
          <w:bCs/>
        </w:rPr>
        <w:t>resulta necesario precisar que, la persona Recurrente solicitó</w:t>
      </w:r>
      <w:r w:rsidR="008B0144" w:rsidRPr="003179FE">
        <w:rPr>
          <w:rFonts w:cs="Tahoma"/>
          <w:bCs/>
        </w:rPr>
        <w:t xml:space="preserve"> los oficios firmados por </w:t>
      </w:r>
      <w:r w:rsidR="008B0144" w:rsidRPr="003179FE">
        <w:rPr>
          <w:rFonts w:eastAsia="Calibri" w:cs="Tahoma"/>
          <w:iCs/>
          <w:lang w:val="es-ES" w:eastAsia="es-ES_tradnl"/>
        </w:rPr>
        <w:t>Gabriela Flores Durán</w:t>
      </w:r>
      <w:r w:rsidR="008B0144" w:rsidRPr="003179FE">
        <w:rPr>
          <w:rFonts w:cs="Tahoma"/>
          <w:bCs/>
        </w:rPr>
        <w:t xml:space="preserve"> </w:t>
      </w:r>
      <w:r w:rsidR="008B0144" w:rsidRPr="003179FE">
        <w:rPr>
          <w:rFonts w:cs="Tahoma"/>
        </w:rPr>
        <w:t>de la Unidad de Información, Planeación, Programación y Evaluación, del primero de octubre de dos mil veintitrés al siete de octubre de dos mil veinticuatro.</w:t>
      </w:r>
    </w:p>
    <w:p w14:paraId="65ED4107" w14:textId="77777777" w:rsidR="00570C92" w:rsidRPr="003179FE" w:rsidRDefault="00570C92" w:rsidP="005C4054">
      <w:pPr>
        <w:tabs>
          <w:tab w:val="left" w:pos="4962"/>
        </w:tabs>
        <w:spacing w:after="0" w:line="360" w:lineRule="auto"/>
        <w:rPr>
          <w:rFonts w:cs="Tahoma"/>
        </w:rPr>
      </w:pPr>
    </w:p>
    <w:p w14:paraId="7068F445" w14:textId="2ECD5C86" w:rsidR="007B5614" w:rsidRPr="003179FE" w:rsidRDefault="00570C92" w:rsidP="005C4054">
      <w:pPr>
        <w:tabs>
          <w:tab w:val="left" w:pos="4962"/>
        </w:tabs>
        <w:spacing w:after="0" w:line="360" w:lineRule="auto"/>
        <w:rPr>
          <w:rFonts w:cs="Tahoma"/>
          <w:lang w:val="es-ES_tradnl"/>
        </w:rPr>
      </w:pPr>
      <w:r w:rsidRPr="003179FE">
        <w:rPr>
          <w:rFonts w:cs="Tahoma"/>
          <w:bCs/>
          <w:iCs/>
          <w:lang w:val="es-ES"/>
        </w:rPr>
        <w:t xml:space="preserve">En respuesta, </w:t>
      </w:r>
      <w:r w:rsidRPr="003179FE">
        <w:rPr>
          <w:rFonts w:cs="Tahoma"/>
        </w:rPr>
        <w:t xml:space="preserve">la Unidad de Información, Planeación, Programación y Evaluación </w:t>
      </w:r>
      <w:r w:rsidR="007B5614" w:rsidRPr="003179FE">
        <w:rPr>
          <w:rFonts w:cs="Tahoma"/>
        </w:rPr>
        <w:t xml:space="preserve">mencionó que </w:t>
      </w:r>
      <w:r w:rsidR="00A402F2" w:rsidRPr="003179FE">
        <w:rPr>
          <w:rFonts w:cs="Tahoma"/>
          <w:lang w:val="es-ES_tradnl"/>
        </w:rPr>
        <w:t>no exist</w:t>
      </w:r>
      <w:r w:rsidR="00A96690" w:rsidRPr="003179FE">
        <w:rPr>
          <w:rFonts w:cs="Tahoma"/>
          <w:lang w:val="es-ES_tradnl"/>
        </w:rPr>
        <w:t>ía</w:t>
      </w:r>
      <w:r w:rsidR="00A402F2" w:rsidRPr="003179FE">
        <w:rPr>
          <w:rFonts w:cs="Tahoma"/>
          <w:lang w:val="es-ES_tradnl"/>
        </w:rPr>
        <w:t xml:space="preserve"> documentación firmada por la servidora en mención con anterioridad </w:t>
      </w:r>
      <w:r w:rsidR="005A4226" w:rsidRPr="003179FE">
        <w:rPr>
          <w:rFonts w:cs="Tahoma"/>
          <w:lang w:val="es-ES_tradnl"/>
        </w:rPr>
        <w:t>al</w:t>
      </w:r>
      <w:r w:rsidR="00A402F2" w:rsidRPr="003179FE">
        <w:rPr>
          <w:rFonts w:cs="Tahoma"/>
          <w:lang w:val="es-ES_tradnl"/>
        </w:rPr>
        <w:t xml:space="preserve"> dieciséis de abril del presente año</w:t>
      </w:r>
      <w:r w:rsidR="00A96690" w:rsidRPr="003179FE">
        <w:rPr>
          <w:rFonts w:cs="Tahoma"/>
          <w:lang w:val="es-ES_tradnl"/>
        </w:rPr>
        <w:t>; además, que remitía</w:t>
      </w:r>
      <w:r w:rsidR="005A4226" w:rsidRPr="003179FE">
        <w:rPr>
          <w:rFonts w:cs="Tahoma"/>
          <w:lang w:val="es-ES_tradnl"/>
        </w:rPr>
        <w:t xml:space="preserve"> treinta y cinco oficios firmados por la servidora y mencionó que omitió datos personales en los oficios siguientes:</w:t>
      </w:r>
    </w:p>
    <w:p w14:paraId="2EB67852" w14:textId="77777777" w:rsidR="005A4226" w:rsidRPr="003179FE" w:rsidRDefault="005A4226" w:rsidP="005C4054">
      <w:pPr>
        <w:tabs>
          <w:tab w:val="left" w:pos="4962"/>
        </w:tabs>
        <w:spacing w:after="0" w:line="360" w:lineRule="auto"/>
        <w:rPr>
          <w:rFonts w:cs="Tahoma"/>
          <w:lang w:val="es-ES_tradnl"/>
        </w:rPr>
      </w:pPr>
    </w:p>
    <w:p w14:paraId="557AB9A1" w14:textId="60303578" w:rsidR="005A4226" w:rsidRPr="003179FE" w:rsidRDefault="005A4226" w:rsidP="005C4054">
      <w:pPr>
        <w:tabs>
          <w:tab w:val="left" w:pos="4962"/>
        </w:tabs>
        <w:spacing w:after="0" w:line="360" w:lineRule="auto"/>
        <w:jc w:val="center"/>
        <w:rPr>
          <w:rFonts w:cs="Tahoma"/>
          <w:i/>
          <w:iCs/>
          <w:sz w:val="20"/>
          <w:szCs w:val="20"/>
          <w:lang w:val="es-ES_tradnl"/>
        </w:rPr>
      </w:pPr>
      <w:r w:rsidRPr="003179FE">
        <w:rPr>
          <w:rFonts w:cs="Tahoma"/>
          <w:noProof/>
          <w:lang w:eastAsia="es-MX"/>
        </w:rPr>
        <w:lastRenderedPageBreak/>
        <w:drawing>
          <wp:inline distT="0" distB="0" distL="0" distR="0" wp14:anchorId="52F06B44" wp14:editId="05AD2ACE">
            <wp:extent cx="5231958" cy="1086581"/>
            <wp:effectExtent l="0" t="0" r="6985" b="0"/>
            <wp:docPr id="186037194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95020" name="Imagen 1"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5294791" cy="1099630"/>
                    </a:xfrm>
                    <a:prstGeom prst="rect">
                      <a:avLst/>
                    </a:prstGeom>
                  </pic:spPr>
                </pic:pic>
              </a:graphicData>
            </a:graphic>
          </wp:inline>
        </w:drawing>
      </w:r>
    </w:p>
    <w:p w14:paraId="34D4A4DD" w14:textId="77777777" w:rsidR="005A4226" w:rsidRPr="003179FE" w:rsidRDefault="005A4226" w:rsidP="005C4054">
      <w:pPr>
        <w:tabs>
          <w:tab w:val="left" w:pos="4962"/>
        </w:tabs>
        <w:spacing w:after="0" w:line="360" w:lineRule="auto"/>
        <w:rPr>
          <w:rFonts w:cs="Tahoma"/>
          <w:i/>
          <w:iCs/>
          <w:sz w:val="20"/>
          <w:szCs w:val="20"/>
          <w:lang w:val="es-ES_tradnl"/>
        </w:rPr>
      </w:pPr>
    </w:p>
    <w:p w14:paraId="1EBABA89" w14:textId="73EF1D68" w:rsidR="005A4226" w:rsidRPr="003179FE" w:rsidRDefault="005A4226" w:rsidP="005C4054">
      <w:pPr>
        <w:tabs>
          <w:tab w:val="left" w:pos="4962"/>
        </w:tabs>
        <w:spacing w:after="0" w:line="360" w:lineRule="auto"/>
        <w:rPr>
          <w:rFonts w:cs="Tahoma"/>
        </w:rPr>
      </w:pPr>
      <w:r w:rsidRPr="003179FE">
        <w:rPr>
          <w:rFonts w:cs="Tahoma"/>
          <w:lang w:val="es-ES_tradnl"/>
        </w:rPr>
        <w:t>Derivado de lo anterior, procede realizar un análisis de los oficios i</w:t>
      </w:r>
      <w:r w:rsidR="009825A4" w:rsidRPr="003179FE">
        <w:rPr>
          <w:rFonts w:cs="Tahoma"/>
          <w:lang w:val="es-ES_tradnl"/>
        </w:rPr>
        <w:t>nexistentes de la temporalidad del</w:t>
      </w:r>
      <w:r w:rsidR="009825A4" w:rsidRPr="003179FE">
        <w:rPr>
          <w:rFonts w:cs="Tahoma"/>
        </w:rPr>
        <w:t xml:space="preserve"> primero de octubre al treinta y uno de diciembre de dos mil veintitrés y del primero de enero al quince de abril de dos mil veinticuatro, de los oficios entregados y de los oficios no entregados por contener datos personales.</w:t>
      </w:r>
    </w:p>
    <w:p w14:paraId="6338AE1E" w14:textId="77777777" w:rsidR="009825A4" w:rsidRPr="003179FE" w:rsidRDefault="009825A4" w:rsidP="005C4054">
      <w:pPr>
        <w:tabs>
          <w:tab w:val="left" w:pos="4962"/>
        </w:tabs>
        <w:spacing w:after="0" w:line="360" w:lineRule="auto"/>
        <w:rPr>
          <w:rFonts w:cs="Tahoma"/>
        </w:rPr>
      </w:pPr>
    </w:p>
    <w:p w14:paraId="1AD21CE8" w14:textId="1843D8A0" w:rsidR="009825A4" w:rsidRPr="003179FE" w:rsidRDefault="009825A4" w:rsidP="005C4054">
      <w:pPr>
        <w:tabs>
          <w:tab w:val="left" w:pos="4962"/>
        </w:tabs>
        <w:spacing w:after="0" w:line="360" w:lineRule="auto"/>
        <w:rPr>
          <w:rFonts w:cs="Tahoma"/>
          <w:b/>
          <w:bCs/>
        </w:rPr>
      </w:pPr>
      <w:r w:rsidRPr="003179FE">
        <w:rPr>
          <w:rFonts w:cs="Tahoma"/>
          <w:b/>
          <w:bCs/>
        </w:rPr>
        <w:t>Oficios inexistentes</w:t>
      </w:r>
    </w:p>
    <w:p w14:paraId="347CBB25" w14:textId="77777777" w:rsidR="009825A4" w:rsidRPr="003179FE" w:rsidRDefault="009825A4" w:rsidP="005C4054">
      <w:pPr>
        <w:tabs>
          <w:tab w:val="left" w:pos="4962"/>
        </w:tabs>
        <w:spacing w:after="0" w:line="360" w:lineRule="auto"/>
        <w:rPr>
          <w:rFonts w:cs="Tahoma"/>
          <w:b/>
          <w:bCs/>
        </w:rPr>
      </w:pPr>
    </w:p>
    <w:p w14:paraId="09F36DEB" w14:textId="66078C57" w:rsidR="00A96690" w:rsidRPr="003179FE" w:rsidRDefault="00A96690" w:rsidP="005C4054">
      <w:pPr>
        <w:tabs>
          <w:tab w:val="left" w:pos="4962"/>
        </w:tabs>
        <w:spacing w:after="0" w:line="360" w:lineRule="auto"/>
        <w:rPr>
          <w:rFonts w:cs="Tahoma"/>
        </w:rPr>
      </w:pPr>
      <w:r w:rsidRPr="003179FE">
        <w:rPr>
          <w:rFonts w:cs="Tahoma"/>
        </w:rPr>
        <w:t>Al respecto, l</w:t>
      </w:r>
      <w:r w:rsidR="009825A4" w:rsidRPr="003179FE">
        <w:rPr>
          <w:rFonts w:cs="Tahoma"/>
        </w:rPr>
        <w:t xml:space="preserve">a Unidad de Información, Planeación, Programación y Evaluación </w:t>
      </w:r>
      <w:r w:rsidRPr="003179FE">
        <w:rPr>
          <w:rFonts w:cs="Tahoma"/>
        </w:rPr>
        <w:t>señaló que previo al dieciséis de abril de dos mil veinticuatro, la persona no había firmado ningún documento, esto es, aludió a que la información era inexistente.</w:t>
      </w:r>
    </w:p>
    <w:p w14:paraId="73246AEA" w14:textId="77777777" w:rsidR="00A96690" w:rsidRPr="003179FE" w:rsidRDefault="00A96690" w:rsidP="005C4054">
      <w:pPr>
        <w:tabs>
          <w:tab w:val="left" w:pos="4962"/>
        </w:tabs>
        <w:spacing w:after="0" w:line="360" w:lineRule="auto"/>
        <w:rPr>
          <w:rFonts w:cs="Tahoma"/>
        </w:rPr>
      </w:pPr>
    </w:p>
    <w:p w14:paraId="36E59F92" w14:textId="60B6BE74" w:rsidR="009825A4" w:rsidRPr="003179FE" w:rsidRDefault="00A96690" w:rsidP="005C4054">
      <w:pPr>
        <w:spacing w:after="0" w:line="360" w:lineRule="auto"/>
        <w:rPr>
          <w:rFonts w:eastAsia="Calibri" w:cs="Times New Roman"/>
          <w:color w:val="000000"/>
        </w:rPr>
      </w:pPr>
      <w:r w:rsidRPr="003179FE">
        <w:rPr>
          <w:rFonts w:eastAsia="Calibri" w:cs="Times New Roman"/>
          <w:color w:val="000000"/>
        </w:rPr>
        <w:t>Situación</w:t>
      </w:r>
      <w:r w:rsidR="00F77BD9" w:rsidRPr="003179FE">
        <w:rPr>
          <w:rFonts w:eastAsia="Calibri" w:cs="Times New Roman"/>
          <w:color w:val="000000"/>
        </w:rPr>
        <w:t xml:space="preserve"> toma relevancia</w:t>
      </w:r>
      <w:r w:rsidRPr="003179FE">
        <w:rPr>
          <w:rFonts w:eastAsia="Calibri" w:cs="Times New Roman"/>
          <w:color w:val="000000"/>
        </w:rPr>
        <w:t>,</w:t>
      </w:r>
      <w:r w:rsidR="00F77BD9" w:rsidRPr="003179FE">
        <w:rPr>
          <w:rFonts w:eastAsia="Calibri" w:cs="Times New Roman"/>
          <w:color w:val="000000"/>
        </w:rPr>
        <w:t xml:space="preserve"> pues de los oficios entregados, el número 219C0110000301S/01/2024, </w:t>
      </w:r>
      <w:r w:rsidRPr="003179FE">
        <w:rPr>
          <w:rFonts w:eastAsia="Calibri" w:cs="Times New Roman"/>
          <w:color w:val="000000"/>
        </w:rPr>
        <w:t>señala</w:t>
      </w:r>
      <w:r w:rsidR="00F77BD9" w:rsidRPr="003179FE">
        <w:rPr>
          <w:rFonts w:eastAsia="Calibri" w:cs="Times New Roman"/>
          <w:color w:val="000000"/>
        </w:rPr>
        <w:t xml:space="preserve"> que la servidora pública fue nombrada Jefa de Departamento de Planeación y Programación, a partir del dieciséis de abril de dos mil veinticuatro, como se muestra a continuación:</w:t>
      </w:r>
    </w:p>
    <w:p w14:paraId="704BD0AE" w14:textId="77777777" w:rsidR="00F77BD9" w:rsidRPr="003179FE" w:rsidRDefault="00F77BD9" w:rsidP="005C4054">
      <w:pPr>
        <w:spacing w:after="0" w:line="360" w:lineRule="auto"/>
        <w:rPr>
          <w:rFonts w:eastAsia="Calibri" w:cs="Times New Roman"/>
          <w:color w:val="000000"/>
        </w:rPr>
      </w:pPr>
    </w:p>
    <w:p w14:paraId="7CD9F209" w14:textId="4C179550" w:rsidR="009825A4" w:rsidRPr="003179FE" w:rsidRDefault="00F77BD9" w:rsidP="005C4054">
      <w:pPr>
        <w:spacing w:after="0" w:line="360" w:lineRule="auto"/>
        <w:jc w:val="center"/>
        <w:rPr>
          <w:rFonts w:eastAsia="Calibri" w:cs="Times New Roman"/>
          <w:color w:val="000000"/>
        </w:rPr>
      </w:pPr>
      <w:r w:rsidRPr="003179FE">
        <w:rPr>
          <w:rFonts w:eastAsia="Calibri" w:cs="Times New Roman"/>
          <w:noProof/>
          <w:color w:val="000000"/>
          <w:lang w:eastAsia="es-MX"/>
        </w:rPr>
        <w:drawing>
          <wp:inline distT="0" distB="0" distL="0" distR="0" wp14:anchorId="17409493" wp14:editId="362B0822">
            <wp:extent cx="3179947" cy="1600200"/>
            <wp:effectExtent l="0" t="0" r="1905" b="0"/>
            <wp:docPr id="18469155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15534" name="Imagen 1846915534"/>
                    <pic:cNvPicPr/>
                  </pic:nvPicPr>
                  <pic:blipFill rotWithShape="1">
                    <a:blip r:embed="rId18">
                      <a:extLst>
                        <a:ext uri="{28A0092B-C50C-407E-A947-70E740481C1C}">
                          <a14:useLocalDpi xmlns:a14="http://schemas.microsoft.com/office/drawing/2010/main" val="0"/>
                        </a:ext>
                      </a:extLst>
                    </a:blip>
                    <a:srcRect b="52173"/>
                    <a:stretch/>
                  </pic:blipFill>
                  <pic:spPr bwMode="auto">
                    <a:xfrm>
                      <a:off x="0" y="0"/>
                      <a:ext cx="3208829" cy="1614734"/>
                    </a:xfrm>
                    <a:prstGeom prst="rect">
                      <a:avLst/>
                    </a:prstGeom>
                    <a:ln>
                      <a:noFill/>
                    </a:ln>
                    <a:extLst>
                      <a:ext uri="{53640926-AAD7-44D8-BBD7-CCE9431645EC}">
                        <a14:shadowObscured xmlns:a14="http://schemas.microsoft.com/office/drawing/2010/main"/>
                      </a:ext>
                    </a:extLst>
                  </pic:spPr>
                </pic:pic>
              </a:graphicData>
            </a:graphic>
          </wp:inline>
        </w:drawing>
      </w:r>
    </w:p>
    <w:p w14:paraId="0D11E0F2" w14:textId="6C41F56B" w:rsidR="009825A4" w:rsidRPr="003179FE" w:rsidRDefault="009825A4" w:rsidP="005C4054">
      <w:pPr>
        <w:spacing w:after="0" w:line="360" w:lineRule="auto"/>
        <w:rPr>
          <w:rFonts w:eastAsia="Calibri" w:cs="Times New Roman"/>
          <w:color w:val="000000"/>
        </w:rPr>
      </w:pPr>
      <w:r w:rsidRPr="003179FE">
        <w:rPr>
          <w:rFonts w:eastAsia="Times New Roman" w:cs="Tahoma"/>
          <w:color w:val="auto"/>
          <w:lang w:val="es-ES" w:eastAsia="es-ES"/>
        </w:rPr>
        <w:lastRenderedPageBreak/>
        <w:t>Conforme a lo anterior, el Sujeto Obligado señaló los motivos y razones por las cuales no contaba con la in</w:t>
      </w:r>
      <w:r w:rsidR="00D331A5" w:rsidRPr="003179FE">
        <w:rPr>
          <w:rFonts w:eastAsia="Times New Roman" w:cs="Tahoma"/>
          <w:color w:val="auto"/>
          <w:lang w:val="es-ES" w:eastAsia="es-ES"/>
        </w:rPr>
        <w:t>f</w:t>
      </w:r>
      <w:r w:rsidRPr="003179FE">
        <w:rPr>
          <w:rFonts w:eastAsia="Times New Roman" w:cs="Tahoma"/>
          <w:color w:val="auto"/>
          <w:lang w:val="es-ES" w:eastAsia="es-ES"/>
        </w:rPr>
        <w:t>ormación</w:t>
      </w:r>
      <w:r w:rsidR="00A96690" w:rsidRPr="003179FE">
        <w:rPr>
          <w:rFonts w:eastAsia="Times New Roman" w:cs="Tahoma"/>
          <w:color w:val="auto"/>
          <w:lang w:val="es-ES" w:eastAsia="es-ES"/>
        </w:rPr>
        <w:t xml:space="preserve">, situación que se acredita con los oficios entregados, con lo cual, cumplió con lo establecido en el artículo 19, párrafo segundo, de la Ley de Transparencia y Acceso a la Información Pública del Estado de México y Municipios y el </w:t>
      </w:r>
      <w:r w:rsidR="00A96690" w:rsidRPr="003179FE">
        <w:rPr>
          <w:rFonts w:eastAsia="Calibri" w:cs="Tahoma"/>
          <w:bCs/>
          <w:lang w:val="es-ES"/>
        </w:rPr>
        <w:t>Criterio de Interpretación</w:t>
      </w:r>
      <w:r w:rsidR="00A96690" w:rsidRPr="003179FE">
        <w:rPr>
          <w:rFonts w:eastAsia="Calibri" w:cs="Tahoma"/>
          <w:bCs/>
          <w:lang w:val="x-none"/>
        </w:rPr>
        <w:t>, con clave de control SO/007/2017</w:t>
      </w:r>
      <w:r w:rsidR="00A96690" w:rsidRPr="003179FE">
        <w:rPr>
          <w:rFonts w:eastAsia="Calibri" w:cs="Tahoma"/>
          <w:bCs/>
        </w:rPr>
        <w:t>, referidos en el Considerando SEGUNDO.</w:t>
      </w:r>
    </w:p>
    <w:p w14:paraId="01EF61BC" w14:textId="77777777" w:rsidR="009825A4" w:rsidRPr="003179FE" w:rsidRDefault="009825A4" w:rsidP="005C4054">
      <w:pPr>
        <w:widowControl w:val="0"/>
        <w:spacing w:after="0" w:line="360" w:lineRule="auto"/>
        <w:rPr>
          <w:rFonts w:eastAsia="Calibri" w:cs="Times New Roman"/>
          <w:color w:val="000000"/>
        </w:rPr>
      </w:pPr>
    </w:p>
    <w:p w14:paraId="5AAF6389" w14:textId="39F165F7" w:rsidR="009825A4" w:rsidRPr="003179FE" w:rsidRDefault="00A96690" w:rsidP="005C4054">
      <w:pPr>
        <w:spacing w:after="0" w:line="360" w:lineRule="auto"/>
        <w:rPr>
          <w:rFonts w:eastAsia="Times New Roman" w:cs="Tahoma"/>
          <w:color w:val="auto"/>
          <w:lang w:eastAsia="es-ES"/>
        </w:rPr>
      </w:pPr>
      <w:r w:rsidRPr="003179FE">
        <w:rPr>
          <w:rFonts w:eastAsia="Times New Roman" w:cs="Tahoma"/>
          <w:color w:val="000000"/>
          <w:lang w:eastAsia="es-ES"/>
        </w:rPr>
        <w:t>De tal circunstancia</w:t>
      </w:r>
      <w:r w:rsidR="009825A4" w:rsidRPr="003179FE">
        <w:rPr>
          <w:rFonts w:eastAsia="Times New Roman" w:cs="Tahoma"/>
          <w:color w:val="000000"/>
          <w:lang w:eastAsia="es-ES"/>
        </w:rPr>
        <w:t xml:space="preserve">, </w:t>
      </w:r>
      <w:r w:rsidR="009825A4" w:rsidRPr="003179FE">
        <w:rPr>
          <w:rFonts w:eastAsia="Calibri" w:cs="Tahoma"/>
          <w:iCs/>
          <w:color w:val="auto"/>
          <w:lang w:eastAsia="es-ES_tradnl"/>
        </w:rPr>
        <w:t>se considera que el Sujeto Obligado precisó las razones por las cuales no contaba con la información peticionada</w:t>
      </w:r>
      <w:r w:rsidRPr="003179FE">
        <w:rPr>
          <w:rFonts w:eastAsia="Calibri" w:cs="Tahoma"/>
          <w:iCs/>
          <w:color w:val="auto"/>
          <w:lang w:eastAsia="es-ES_tradnl"/>
        </w:rPr>
        <w:t>, del primero de octubre de dos mil veintitrés al quince de octubre de dos mil veinticuatro</w:t>
      </w:r>
      <w:r w:rsidR="009825A4" w:rsidRPr="003179FE">
        <w:rPr>
          <w:rFonts w:eastAsia="Calibri" w:cs="Tahoma"/>
          <w:iCs/>
          <w:color w:val="auto"/>
          <w:lang w:eastAsia="es-ES_tradnl"/>
        </w:rPr>
        <w:t>, en términos del artículo 19, párrafo segundo de la Ley de Transparencia y Acceso a la Información Pública del Estado de México y Municipios</w:t>
      </w:r>
      <w:r w:rsidR="009825A4" w:rsidRPr="003179FE">
        <w:rPr>
          <w:rFonts w:eastAsia="Times New Roman" w:cs="Tahoma"/>
          <w:color w:val="auto"/>
          <w:lang w:eastAsia="es-ES"/>
        </w:rPr>
        <w:t>.</w:t>
      </w:r>
    </w:p>
    <w:p w14:paraId="73268EDB" w14:textId="77777777" w:rsidR="00B86D6F" w:rsidRPr="003179FE" w:rsidRDefault="00B86D6F" w:rsidP="005C4054">
      <w:pPr>
        <w:spacing w:after="0" w:line="360" w:lineRule="auto"/>
        <w:rPr>
          <w:rFonts w:eastAsia="Times New Roman" w:cs="Tahoma"/>
          <w:color w:val="auto"/>
          <w:lang w:eastAsia="es-ES"/>
        </w:rPr>
      </w:pPr>
    </w:p>
    <w:p w14:paraId="159247F9" w14:textId="3B1B7610" w:rsidR="00B86D6F" w:rsidRPr="003179FE" w:rsidRDefault="00B86D6F" w:rsidP="005C4054">
      <w:pPr>
        <w:spacing w:after="0" w:line="360" w:lineRule="auto"/>
        <w:rPr>
          <w:rFonts w:eastAsia="Times New Roman" w:cs="Tahoma"/>
          <w:b/>
          <w:bCs/>
          <w:color w:val="auto"/>
          <w:lang w:eastAsia="es-ES"/>
        </w:rPr>
      </w:pPr>
      <w:r w:rsidRPr="003179FE">
        <w:rPr>
          <w:rFonts w:eastAsia="Times New Roman" w:cs="Tahoma"/>
          <w:b/>
          <w:bCs/>
          <w:color w:val="auto"/>
          <w:lang w:eastAsia="es-ES"/>
        </w:rPr>
        <w:t>Oficios entregados</w:t>
      </w:r>
    </w:p>
    <w:p w14:paraId="5096C312" w14:textId="77777777" w:rsidR="00B86D6F" w:rsidRPr="003179FE" w:rsidRDefault="00B86D6F" w:rsidP="005C4054">
      <w:pPr>
        <w:spacing w:after="0" w:line="360" w:lineRule="auto"/>
        <w:rPr>
          <w:rFonts w:eastAsia="Times New Roman" w:cs="Tahoma"/>
          <w:b/>
          <w:bCs/>
          <w:color w:val="auto"/>
          <w:lang w:eastAsia="es-ES"/>
        </w:rPr>
      </w:pPr>
    </w:p>
    <w:p w14:paraId="308558C6" w14:textId="469BAB53" w:rsidR="00570C92" w:rsidRPr="003179FE" w:rsidRDefault="00C2150A" w:rsidP="005C4054">
      <w:pPr>
        <w:spacing w:after="0" w:line="360" w:lineRule="auto"/>
        <w:rPr>
          <w:rFonts w:eastAsia="Times New Roman" w:cs="Tahoma"/>
          <w:b/>
          <w:bCs/>
          <w:color w:val="auto"/>
          <w:lang w:eastAsia="es-ES"/>
        </w:rPr>
      </w:pPr>
      <w:r w:rsidRPr="003179FE">
        <w:rPr>
          <w:rFonts w:cs="Tahoma"/>
        </w:rPr>
        <w:t>En Informe Justificado, l</w:t>
      </w:r>
      <w:r w:rsidR="00B86D6F" w:rsidRPr="003179FE">
        <w:rPr>
          <w:rFonts w:cs="Tahoma"/>
        </w:rPr>
        <w:t>a Unidad de Información, Planeación, Programación y Evaluación</w:t>
      </w:r>
      <w:r w:rsidR="00B86D6F" w:rsidRPr="003179FE">
        <w:rPr>
          <w:rFonts w:eastAsia="Times New Roman" w:cs="Tahoma"/>
          <w:b/>
          <w:bCs/>
          <w:color w:val="auto"/>
          <w:lang w:eastAsia="es-ES"/>
        </w:rPr>
        <w:t xml:space="preserve"> </w:t>
      </w:r>
      <w:r w:rsidR="00056A25" w:rsidRPr="003179FE">
        <w:rPr>
          <w:rFonts w:cs="Tahoma"/>
        </w:rPr>
        <w:t xml:space="preserve">entregó </w:t>
      </w:r>
      <w:r w:rsidR="00B031EC" w:rsidRPr="003179FE">
        <w:rPr>
          <w:rFonts w:cs="Tahoma"/>
        </w:rPr>
        <w:t>treinta y cinco oficios con números de folio 01, 03, 07, 08, 10, 11, 12, 13, 14, 15, 16, 17, 18, 26, 28, 29, 35, 36, 38, 39, 40, 43, 45, 47, 52, 53, 57, 58, 59, 61, 64, 65, 66 y 68.</w:t>
      </w:r>
    </w:p>
    <w:p w14:paraId="46504BEC" w14:textId="77777777" w:rsidR="0091092F" w:rsidRPr="003179FE" w:rsidRDefault="0091092F" w:rsidP="005C4054">
      <w:pPr>
        <w:tabs>
          <w:tab w:val="left" w:pos="4962"/>
        </w:tabs>
        <w:spacing w:after="0" w:line="360" w:lineRule="auto"/>
        <w:rPr>
          <w:rFonts w:cs="Tahoma"/>
        </w:rPr>
      </w:pPr>
    </w:p>
    <w:p w14:paraId="24364AF3" w14:textId="338AD6BA" w:rsidR="00F56401" w:rsidRPr="003179FE" w:rsidRDefault="00F56401" w:rsidP="005C4054">
      <w:pPr>
        <w:tabs>
          <w:tab w:val="left" w:pos="4962"/>
        </w:tabs>
        <w:spacing w:after="0" w:line="360" w:lineRule="auto"/>
        <w:rPr>
          <w:rFonts w:eastAsia="Calibri" w:cs="Tahoma"/>
          <w:bCs/>
        </w:rPr>
      </w:pPr>
      <w:r w:rsidRPr="003179FE">
        <w:rPr>
          <w:rFonts w:eastAsia="Calibri" w:cs="Tahoma"/>
          <w:bCs/>
        </w:rPr>
        <w:t xml:space="preserve">En ese contexto y del cotejo de la información, se logra vislumbrar que se entregó parte de la información solicitada, pues existen saltos en el consecutivo de los oficios, </w:t>
      </w:r>
      <w:r w:rsidR="000F69E0" w:rsidRPr="003179FE">
        <w:rPr>
          <w:rFonts w:eastAsia="Calibri" w:cs="Tahoma"/>
          <w:bCs/>
        </w:rPr>
        <w:t>aunado a que no proporcionó aquellos que tenían datos personales.</w:t>
      </w:r>
    </w:p>
    <w:p w14:paraId="6A71DDE0" w14:textId="77777777" w:rsidR="00F56401" w:rsidRPr="003179FE" w:rsidRDefault="00F56401" w:rsidP="005C4054">
      <w:pPr>
        <w:tabs>
          <w:tab w:val="left" w:pos="4962"/>
        </w:tabs>
        <w:spacing w:after="0" w:line="360" w:lineRule="auto"/>
        <w:rPr>
          <w:rFonts w:eastAsia="Calibri" w:cs="Tahoma"/>
          <w:bCs/>
        </w:rPr>
      </w:pPr>
    </w:p>
    <w:p w14:paraId="0B008B0F" w14:textId="733A29E1" w:rsidR="000F69E0" w:rsidRPr="003179FE" w:rsidRDefault="000F69E0" w:rsidP="005C4054">
      <w:pPr>
        <w:spacing w:after="0" w:line="360" w:lineRule="auto"/>
        <w:contextualSpacing/>
        <w:rPr>
          <w:rFonts w:eastAsia="Times New Roman" w:cs="Tahoma"/>
          <w:b/>
        </w:rPr>
      </w:pPr>
      <w:r w:rsidRPr="003179FE">
        <w:rPr>
          <w:rFonts w:eastAsia="Times New Roman" w:cs="Tahoma"/>
        </w:rPr>
        <w:t xml:space="preserve">Sobre lo anterior, el artículo 20 de la Ley de Transparencia y Acceso a la Información Pública del Estado de México y Municipios, establece que, </w:t>
      </w:r>
      <w:r w:rsidRPr="003179FE">
        <w:rPr>
          <w:rFonts w:eastAsia="Times New Roman" w:cs="Tahoma"/>
          <w:b/>
        </w:rPr>
        <w:t>ante la negativa de acceso a la información o su inexistencia, el sujeto obligado deberá demostrar que encuentra en alguna de las excepciones establecidas en la normatividad aplicable.</w:t>
      </w:r>
    </w:p>
    <w:p w14:paraId="2EE37DEA" w14:textId="77777777" w:rsidR="000F69E0" w:rsidRPr="003179FE" w:rsidRDefault="000F69E0" w:rsidP="005C4054">
      <w:pPr>
        <w:spacing w:after="0" w:line="360" w:lineRule="auto"/>
        <w:rPr>
          <w:rFonts w:eastAsia="Times New Roman" w:cs="Tahoma"/>
        </w:rPr>
      </w:pPr>
    </w:p>
    <w:p w14:paraId="68624E13" w14:textId="77777777" w:rsidR="000F69E0" w:rsidRPr="003179FE" w:rsidRDefault="000F69E0" w:rsidP="005C4054">
      <w:pPr>
        <w:spacing w:after="0" w:line="360" w:lineRule="auto"/>
        <w:rPr>
          <w:rFonts w:eastAsia="Times New Roman" w:cs="Arial"/>
          <w:bCs/>
        </w:rPr>
      </w:pPr>
      <w:r w:rsidRPr="003179FE">
        <w:rPr>
          <w:rFonts w:eastAsia="Times New Roman" w:cs="Arial"/>
          <w:bCs/>
        </w:rPr>
        <w:lastRenderedPageBreak/>
        <w:t xml:space="preserve">En ese sentido, según Trujillo, Humberto (2019), en el “Diccionario de Transparencia y Acceso a la Información Pública” (p. 201), </w:t>
      </w:r>
      <w:r w:rsidRPr="003179FE">
        <w:rPr>
          <w:rFonts w:eastAsia="Times New Roman" w:cs="Arial"/>
          <w:b/>
          <w:bCs/>
        </w:rPr>
        <w:t xml:space="preserve">la negativa de acceso a la información </w:t>
      </w:r>
      <w:r w:rsidRPr="003179FE">
        <w:rPr>
          <w:rFonts w:eastAsia="Times New Roman" w:cs="Arial"/>
          <w:bCs/>
        </w:rPr>
        <w:t xml:space="preserve">ocurre cuanto de manera fundada y motivada, una autoridad la niega o la limita, por alguna de las siguientes razones: </w:t>
      </w:r>
    </w:p>
    <w:p w14:paraId="1E5A2777" w14:textId="77777777" w:rsidR="000F69E0" w:rsidRPr="003179FE" w:rsidRDefault="000F69E0" w:rsidP="005C4054">
      <w:pPr>
        <w:spacing w:after="0" w:line="360" w:lineRule="auto"/>
        <w:rPr>
          <w:rFonts w:eastAsia="Times New Roman" w:cs="Arial"/>
          <w:bCs/>
        </w:rPr>
      </w:pPr>
    </w:p>
    <w:p w14:paraId="03A8BDAD" w14:textId="77777777" w:rsidR="000F69E0" w:rsidRPr="003179FE" w:rsidRDefault="000F69E0" w:rsidP="005C4054">
      <w:pPr>
        <w:numPr>
          <w:ilvl w:val="0"/>
          <w:numId w:val="5"/>
        </w:numPr>
        <w:spacing w:after="0" w:line="360" w:lineRule="auto"/>
        <w:rPr>
          <w:rFonts w:eastAsia="Times New Roman" w:cs="Arial"/>
          <w:b/>
          <w:bCs/>
        </w:rPr>
      </w:pPr>
      <w:r w:rsidRPr="003179FE">
        <w:rPr>
          <w:rFonts w:eastAsia="Times New Roman" w:cs="Arial"/>
          <w:b/>
          <w:bCs/>
        </w:rPr>
        <w:t xml:space="preserve">La inexistencia de la información (p. 171): </w:t>
      </w:r>
      <w:r w:rsidRPr="003179FE">
        <w:rPr>
          <w:rFonts w:eastAsia="Times New Roman" w:cs="Arial"/>
          <w:bCs/>
        </w:rPr>
        <w:t>Sucede cuando la información solicitada no se encuentra en los archivos públicos o clasificados de los entes sujetos a las Leyes de Transparencia.</w:t>
      </w:r>
    </w:p>
    <w:p w14:paraId="7B814739" w14:textId="77777777" w:rsidR="000F69E0" w:rsidRPr="003179FE" w:rsidRDefault="000F69E0" w:rsidP="005C4054">
      <w:pPr>
        <w:spacing w:after="0" w:line="360" w:lineRule="auto"/>
        <w:ind w:left="720"/>
        <w:contextualSpacing/>
        <w:rPr>
          <w:rFonts w:eastAsia="Times New Roman" w:cs="Arial"/>
          <w:b/>
          <w:bCs/>
        </w:rPr>
      </w:pPr>
    </w:p>
    <w:p w14:paraId="29964A72" w14:textId="77777777" w:rsidR="000F69E0" w:rsidRPr="003179FE" w:rsidRDefault="000F69E0" w:rsidP="005C4054">
      <w:pPr>
        <w:numPr>
          <w:ilvl w:val="0"/>
          <w:numId w:val="5"/>
        </w:numPr>
        <w:spacing w:after="0" w:line="360" w:lineRule="auto"/>
        <w:rPr>
          <w:rFonts w:eastAsia="Times New Roman" w:cs="Arial"/>
          <w:b/>
          <w:bCs/>
        </w:rPr>
      </w:pPr>
      <w:r w:rsidRPr="003179FE">
        <w:rPr>
          <w:rFonts w:eastAsia="Times New Roman" w:cs="Arial"/>
          <w:b/>
          <w:bCs/>
        </w:rPr>
        <w:t xml:space="preserve">La incompetencia del Sujeto Obligado (p. 171): </w:t>
      </w:r>
      <w:r w:rsidRPr="003179FE">
        <w:rPr>
          <w:rFonts w:eastAsia="Times New Roman" w:cs="Arial"/>
          <w:bCs/>
        </w:rPr>
        <w:t>Ocurre cuando el Sujeto Obligado carece de atribuciones para poseer la información peticionada.</w:t>
      </w:r>
    </w:p>
    <w:p w14:paraId="05B2D142" w14:textId="77777777" w:rsidR="000F69E0" w:rsidRPr="003179FE" w:rsidRDefault="000F69E0" w:rsidP="005C4054">
      <w:pPr>
        <w:spacing w:after="0" w:line="360" w:lineRule="auto"/>
        <w:ind w:left="720"/>
        <w:contextualSpacing/>
        <w:rPr>
          <w:rFonts w:eastAsia="Times New Roman" w:cs="Arial"/>
          <w:b/>
          <w:bCs/>
        </w:rPr>
      </w:pPr>
    </w:p>
    <w:p w14:paraId="38127C49" w14:textId="77777777" w:rsidR="000F69E0" w:rsidRPr="003179FE" w:rsidRDefault="000F69E0" w:rsidP="005C4054">
      <w:pPr>
        <w:numPr>
          <w:ilvl w:val="0"/>
          <w:numId w:val="5"/>
        </w:numPr>
        <w:spacing w:after="0" w:line="360" w:lineRule="auto"/>
        <w:rPr>
          <w:rFonts w:eastAsia="Times New Roman" w:cs="Arial"/>
          <w:b/>
          <w:bCs/>
        </w:rPr>
      </w:pPr>
      <w:r w:rsidRPr="003179FE">
        <w:rPr>
          <w:rFonts w:eastAsia="Times New Roman" w:cs="Arial"/>
          <w:b/>
          <w:bCs/>
        </w:rPr>
        <w:t xml:space="preserve">La clasificación de la información (p. 70): </w:t>
      </w:r>
      <w:r w:rsidRPr="003179FE">
        <w:rPr>
          <w:rFonts w:eastAsia="Times New Roman" w:cs="Arial"/>
          <w:bCs/>
        </w:rPr>
        <w:t>Es el proceso o conjunto de acciones que realizan los sujetos obligados para establecer que determinada información se encuentra en alguno de los supuestos de reserva o confidencialidad establecidos en la legislación en materia de transparencia.</w:t>
      </w:r>
    </w:p>
    <w:p w14:paraId="3836D5E9" w14:textId="77777777" w:rsidR="000F69E0" w:rsidRPr="003179FE" w:rsidRDefault="000F69E0" w:rsidP="005C4054">
      <w:pPr>
        <w:spacing w:after="0" w:line="360" w:lineRule="auto"/>
        <w:rPr>
          <w:rFonts w:eastAsia="Times New Roman" w:cs="Tahoma"/>
        </w:rPr>
      </w:pPr>
    </w:p>
    <w:p w14:paraId="2AB919DF" w14:textId="264290E6" w:rsidR="000F69E0" w:rsidRPr="003179FE" w:rsidRDefault="000F69E0" w:rsidP="005C4054">
      <w:pPr>
        <w:spacing w:after="0" w:line="360" w:lineRule="auto"/>
        <w:rPr>
          <w:rFonts w:eastAsia="Times New Roman" w:cs="Tahoma"/>
          <w:bCs/>
          <w:iCs/>
          <w:lang w:val="es-ES"/>
        </w:rPr>
      </w:pPr>
      <w:r w:rsidRPr="003179FE">
        <w:rPr>
          <w:rFonts w:eastAsia="Times New Roman" w:cs="Tahoma"/>
        </w:rPr>
        <w:t>En ese orden de ideas, es de señalar que l</w:t>
      </w:r>
      <w:r w:rsidRPr="003179FE">
        <w:rPr>
          <w:rFonts w:eastAsia="Times New Roman" w:cs="Tahoma"/>
          <w:lang w:val="es-ES"/>
        </w:rPr>
        <w:t xml:space="preserve">as </w:t>
      </w:r>
      <w:r w:rsidRPr="003179FE">
        <w:rPr>
          <w:rFonts w:eastAsia="Times New Roman" w:cs="Tahoma"/>
          <w:bCs/>
          <w:iCs/>
          <w:lang w:val="es-ES"/>
        </w:rPr>
        <w:t xml:space="preserve">excepciones al derecho de acceso a la información, consisten en que </w:t>
      </w:r>
      <w:r w:rsidRPr="003179FE">
        <w:rPr>
          <w:rFonts w:eastAsia="Times New Roman" w:cs="Tahoma"/>
          <w:b/>
          <w:iCs/>
          <w:lang w:val="es-ES"/>
        </w:rPr>
        <w:t>la documentación sea inexistente, obre en los archivos, pero se encuentre clasificada, o bien, el Sujeto Obligado sea incompetente</w:t>
      </w:r>
      <w:r w:rsidRPr="003179FE">
        <w:rPr>
          <w:rFonts w:eastAsia="Times New Roman" w:cs="Tahoma"/>
          <w:bCs/>
          <w:iCs/>
          <w:lang w:val="es-ES"/>
        </w:rPr>
        <w:t xml:space="preserve"> para contar con esta; esto es, la negativa de acceso a la información, recae cuando la documentación no se encuentre en los archivos del sujeto obligado, o bien exista, pero no pueda proporcionarse por contener datos </w:t>
      </w:r>
      <w:r w:rsidRPr="003179FE">
        <w:rPr>
          <w:rFonts w:eastAsia="Times New Roman" w:cs="Tahoma"/>
          <w:b/>
          <w:bCs/>
          <w:iCs/>
          <w:lang w:val="es-ES"/>
        </w:rPr>
        <w:t>confidenciales o reservados.</w:t>
      </w:r>
    </w:p>
    <w:p w14:paraId="1A224BC4" w14:textId="77777777" w:rsidR="000F69E0" w:rsidRPr="003179FE" w:rsidRDefault="000F69E0" w:rsidP="005C4054">
      <w:pPr>
        <w:spacing w:after="0" w:line="360" w:lineRule="auto"/>
        <w:rPr>
          <w:rFonts w:eastAsia="Batang" w:cs="Tahoma"/>
          <w:bCs/>
          <w:lang w:val="es-ES" w:eastAsia="es-ES"/>
        </w:rPr>
      </w:pPr>
    </w:p>
    <w:p w14:paraId="30C16A2F" w14:textId="77777777" w:rsidR="000F69E0" w:rsidRPr="003179FE" w:rsidRDefault="000F69E0" w:rsidP="005C4054">
      <w:pPr>
        <w:spacing w:after="0" w:line="360" w:lineRule="auto"/>
        <w:rPr>
          <w:rFonts w:eastAsia="Batang" w:cs="Tahoma"/>
          <w:bCs/>
          <w:lang w:val="es-ES" w:eastAsia="es-ES"/>
        </w:rPr>
      </w:pPr>
      <w:r w:rsidRPr="003179FE">
        <w:rPr>
          <w:rFonts w:eastAsia="Batang" w:cs="Tahoma"/>
          <w:bCs/>
          <w:lang w:val="es-ES" w:eastAsia="es-ES"/>
        </w:rPr>
        <w:t xml:space="preserve">En ese contexto, es de referir que el Sujeto Obligado, precisó que los oficios contienen datos personales por lo que omitió entregarlos; sobre el tema, </w:t>
      </w:r>
      <w:r w:rsidRPr="003179FE">
        <w:rPr>
          <w:rFonts w:eastAsia="Times New Roman" w:cs="Tahoma"/>
        </w:rPr>
        <w:t xml:space="preserve">en los artículos 100, 103 y 105 de la Ley General de Transparencia y Acceso a la Información Pública y los diversos 122, 128 y 130 </w:t>
      </w:r>
      <w:r w:rsidRPr="003179FE">
        <w:rPr>
          <w:rFonts w:eastAsia="Times New Roman" w:cs="Tahoma"/>
        </w:rPr>
        <w:lastRenderedPageBreak/>
        <w:t xml:space="preserve">de la Ley Transparencia y Acceso a la Información Pública del Estado de México y Municipios, se prevé que </w:t>
      </w:r>
      <w:r w:rsidRPr="003179FE">
        <w:rPr>
          <w:rFonts w:eastAsia="Times New Roman" w:cs="Tahoma"/>
          <w:b/>
        </w:rPr>
        <w:t xml:space="preserve">la clasificación </w:t>
      </w:r>
      <w:r w:rsidRPr="003179FE">
        <w:rPr>
          <w:rFonts w:eastAsia="Times New Roman" w:cs="Tahoma"/>
        </w:rPr>
        <w:t xml:space="preserve">es el proceso mediante el cual los sujetos obligados determinan que la información en su poder, actualiza alguno de los supuestos de reserva o confidencialidad. </w:t>
      </w:r>
      <w:r w:rsidRPr="003179FE">
        <w:rPr>
          <w:rFonts w:eastAsia="Times New Roman" w:cs="Tahoma"/>
          <w:lang w:val="es-ES"/>
        </w:rPr>
        <w:t>Además, que dichos entes deberán aplicar de manera restrictiva y limitada, las excepciones al derecho de acceso a la información, por lo que, tendrán que acreditar la procedencia.</w:t>
      </w:r>
    </w:p>
    <w:p w14:paraId="07134799" w14:textId="77777777" w:rsidR="000F69E0" w:rsidRPr="003179FE" w:rsidRDefault="000F69E0" w:rsidP="005C4054">
      <w:pPr>
        <w:spacing w:after="0" w:line="360" w:lineRule="auto"/>
        <w:rPr>
          <w:rFonts w:eastAsia="Times New Roman" w:cs="Tahoma"/>
          <w:lang w:val="es-ES"/>
        </w:rPr>
      </w:pPr>
    </w:p>
    <w:p w14:paraId="09AE66BE" w14:textId="77777777" w:rsidR="000F69E0" w:rsidRPr="003179FE" w:rsidRDefault="000F69E0" w:rsidP="005C4054">
      <w:pPr>
        <w:spacing w:after="0" w:line="360" w:lineRule="auto"/>
        <w:rPr>
          <w:rFonts w:eastAsia="Times New Roman" w:cs="Tahoma"/>
          <w:lang w:val="es-ES"/>
        </w:rPr>
      </w:pPr>
      <w:r w:rsidRPr="003179FE">
        <w:rPr>
          <w:rFonts w:eastAsia="Times New Roman" w:cs="Tahoma"/>
          <w:lang w:val="es-ES"/>
        </w:rPr>
        <w:t xml:space="preserve">Por lo cual, en los casos en que se niegue el acceso a la información, por actualizarse alguno de los supuestos de clasificación, </w:t>
      </w:r>
      <w:r w:rsidRPr="003179FE">
        <w:rPr>
          <w:rFonts w:eastAsia="Times New Roman" w:cs="Tahoma"/>
          <w:b/>
          <w:lang w:val="es-ES"/>
        </w:rPr>
        <w:t xml:space="preserve">el Comité de Transparencia deberá confirmar, modificar o revocar la decisión; </w:t>
      </w:r>
      <w:r w:rsidRPr="003179FE">
        <w:rPr>
          <w:rFonts w:eastAsia="Times New Roman" w:cs="Tahoma"/>
          <w:lang w:val="es-E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02A8364F" w14:textId="77777777" w:rsidR="000F69E0" w:rsidRPr="003179FE" w:rsidRDefault="000F69E0" w:rsidP="005C4054">
      <w:pPr>
        <w:spacing w:after="0" w:line="360" w:lineRule="auto"/>
        <w:rPr>
          <w:rFonts w:eastAsia="Times New Roman" w:cs="Tahoma"/>
          <w:lang w:val="es-ES"/>
        </w:rPr>
      </w:pPr>
    </w:p>
    <w:p w14:paraId="0A38196B" w14:textId="302496D3" w:rsidR="000F69E0" w:rsidRPr="003179FE" w:rsidRDefault="000F69E0" w:rsidP="005C4054">
      <w:pPr>
        <w:spacing w:after="0" w:line="360" w:lineRule="auto"/>
        <w:rPr>
          <w:rFonts w:eastAsia="Times New Roman" w:cs="Tahoma"/>
          <w:b/>
          <w:bCs/>
        </w:rPr>
      </w:pPr>
      <w:r w:rsidRPr="003179FE">
        <w:rPr>
          <w:rFonts w:eastAsia="Times New Roman" w:cs="Tahoma"/>
          <w:lang w:val="es-ES"/>
        </w:rPr>
        <w:t xml:space="preserve">En ese sentido, </w:t>
      </w:r>
      <w:r w:rsidRPr="003179FE">
        <w:rPr>
          <w:rFonts w:eastAsia="Times New Roman" w:cs="Tahoma"/>
        </w:rPr>
        <w:t xml:space="preserve">de la interpretación del artículo 108 de la Ley General de Transparencia y Acceso a la Información Pública, el 134 de la Ley de Transparencia y Acceso a la Información Pública del Estado de México y Municipios, se logra observar que </w:t>
      </w:r>
      <w:r w:rsidRPr="003179FE">
        <w:rPr>
          <w:rFonts w:eastAsia="Times New Roman" w:cs="Tahoma"/>
          <w:b/>
          <w:bCs/>
        </w:rPr>
        <w:t>la clasificación depende del contenido de los documentos, pues de su análisis se establece si corresponde a una clasificación total o parcial.</w:t>
      </w:r>
    </w:p>
    <w:p w14:paraId="2533D180" w14:textId="77777777" w:rsidR="000F69E0" w:rsidRPr="003179FE" w:rsidRDefault="000F69E0" w:rsidP="005C4054">
      <w:pPr>
        <w:spacing w:after="0" w:line="360" w:lineRule="auto"/>
        <w:rPr>
          <w:rFonts w:eastAsia="Times New Roman" w:cs="Tahoma"/>
        </w:rPr>
      </w:pPr>
    </w:p>
    <w:p w14:paraId="4FF8EBBD" w14:textId="77777777" w:rsidR="000F69E0" w:rsidRPr="003179FE" w:rsidRDefault="000F69E0" w:rsidP="005C4054">
      <w:pPr>
        <w:spacing w:after="0" w:line="360" w:lineRule="auto"/>
        <w:rPr>
          <w:rFonts w:eastAsia="Times New Roman" w:cs="Tahoma"/>
          <w:b/>
        </w:rPr>
      </w:pPr>
      <w:r w:rsidRPr="003179FE">
        <w:rPr>
          <w:rFonts w:eastAsia="Times New Roman" w:cs="Tahoma"/>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1B7890DC" w14:textId="77777777" w:rsidR="000F69E0" w:rsidRPr="003179FE" w:rsidRDefault="000F69E0" w:rsidP="005C4054">
      <w:pPr>
        <w:spacing w:after="0" w:line="360" w:lineRule="auto"/>
        <w:rPr>
          <w:rFonts w:eastAsia="Times New Roman" w:cs="Tahoma"/>
          <w:lang w:val="es-ES"/>
        </w:rPr>
      </w:pPr>
    </w:p>
    <w:p w14:paraId="7B5A05F6" w14:textId="77777777" w:rsidR="000F69E0" w:rsidRPr="003179FE" w:rsidRDefault="000F69E0" w:rsidP="005C4054">
      <w:pPr>
        <w:spacing w:after="0" w:line="360" w:lineRule="auto"/>
        <w:rPr>
          <w:rFonts w:eastAsia="Times New Roman" w:cs="Arial"/>
          <w:b/>
          <w:bCs/>
        </w:rPr>
      </w:pPr>
      <w:r w:rsidRPr="003179FE">
        <w:rPr>
          <w:rFonts w:eastAsia="Times New Roman" w:cs="Tahoma"/>
          <w:lang w:val="es-ES"/>
        </w:rPr>
        <w:t xml:space="preserve">En ese contexto, </w:t>
      </w:r>
      <w:r w:rsidRPr="003179FE">
        <w:rPr>
          <w:rFonts w:eastAsia="Times New Roman" w:cs="Arial"/>
          <w:bCs/>
        </w:rPr>
        <w:t xml:space="preserve">según Bonifaz, Leticia (2016), en la “Ley General de Transparencia y Acceso a la Información Pública Comentada” (p. 342), la </w:t>
      </w:r>
      <w:r w:rsidRPr="003179FE">
        <w:rPr>
          <w:rFonts w:eastAsia="Times New Roman" w:cs="Arial"/>
          <w:b/>
          <w:bCs/>
        </w:rPr>
        <w:t>clasificación de la información</w:t>
      </w:r>
      <w:r w:rsidRPr="003179FE">
        <w:rPr>
          <w:rFonts w:eastAsia="Times New Roman" w:cs="Arial"/>
          <w:bCs/>
        </w:rPr>
        <w:t xml:space="preserve">, ocurre </w:t>
      </w:r>
      <w:r w:rsidRPr="003179FE">
        <w:rPr>
          <w:rFonts w:eastAsia="Times New Roman" w:cs="Arial"/>
          <w:bCs/>
        </w:rPr>
        <w:lastRenderedPageBreak/>
        <w:t xml:space="preserve">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3179FE">
        <w:rPr>
          <w:rFonts w:eastAsia="Times New Roman" w:cs="Arial"/>
          <w:b/>
          <w:bCs/>
        </w:rPr>
        <w:t>de manera adecuada la negativa de información.</w:t>
      </w:r>
    </w:p>
    <w:p w14:paraId="47A3977E" w14:textId="77777777" w:rsidR="000F69E0" w:rsidRPr="003179FE" w:rsidRDefault="000F69E0" w:rsidP="005C4054">
      <w:pPr>
        <w:spacing w:after="0" w:line="360" w:lineRule="auto"/>
        <w:rPr>
          <w:rFonts w:eastAsia="Calibri" w:cs="Tahoma"/>
          <w:bCs/>
        </w:rPr>
      </w:pPr>
    </w:p>
    <w:p w14:paraId="69F7909E" w14:textId="77777777" w:rsidR="000F69E0" w:rsidRPr="003179FE" w:rsidRDefault="000F69E0" w:rsidP="005C4054">
      <w:pPr>
        <w:spacing w:after="0" w:line="360" w:lineRule="auto"/>
        <w:rPr>
          <w:rFonts w:eastAsia="Times New Roman" w:cs="Tahoma"/>
          <w:b/>
        </w:rPr>
      </w:pPr>
      <w:r w:rsidRPr="003179FE">
        <w:rPr>
          <w:rFonts w:eastAsia="Calibri" w:cs="Tahoma"/>
          <w:bCs/>
        </w:rPr>
        <w:t>Además</w:t>
      </w:r>
      <w:r w:rsidRPr="003179FE">
        <w:rPr>
          <w:rFonts w:eastAsia="Times New Roman" w:cs="Tahoma"/>
        </w:rPr>
        <w:t xml:space="preserve">, conforme al artículo 108, de la Ley General de Transparencia y Acceso a la Información Pública, el 134 de la Ley de Transparencia y Acceso a la Información Pública del Estado de México y Municipios y el Sexto de los </w:t>
      </w:r>
      <w:r w:rsidRPr="003179FE">
        <w:rPr>
          <w:rFonts w:eastAsia="Times New Roman" w:cs="Tahoma"/>
          <w:lang w:eastAsia="es-ES"/>
        </w:rPr>
        <w:t>Lineamientos Generales en Materia de Clasificación y Desclasificación de la Información, así como para la Elaboración de Versiones Públicas –Lineamientos Generales-</w:t>
      </w:r>
      <w:r w:rsidRPr="003179FE">
        <w:rPr>
          <w:rFonts w:eastAsia="Times New Roman" w:cs="Tahoma"/>
        </w:rPr>
        <w:t xml:space="preserve">, los sujetos obligados no podrán emitir acuerdos de carácter general que clasifiquen documentos o expedientes; por lo que, la clasificación de información se llevará a cabo mediante un </w:t>
      </w:r>
      <w:r w:rsidRPr="003179FE">
        <w:rPr>
          <w:rFonts w:eastAsia="Times New Roman" w:cs="Tahoma"/>
          <w:b/>
        </w:rPr>
        <w:t>análisis caso por caso.</w:t>
      </w:r>
    </w:p>
    <w:p w14:paraId="5973E10D" w14:textId="77777777" w:rsidR="000F69E0" w:rsidRPr="003179FE" w:rsidRDefault="000F69E0" w:rsidP="005C4054">
      <w:pPr>
        <w:spacing w:after="0" w:line="360" w:lineRule="auto"/>
        <w:rPr>
          <w:rFonts w:eastAsia="Times New Roman" w:cs="Tahoma"/>
          <w:b/>
        </w:rPr>
      </w:pPr>
    </w:p>
    <w:p w14:paraId="08EC225C" w14:textId="3448A8BB" w:rsidR="000F69E0" w:rsidRPr="003179FE" w:rsidRDefault="000F69E0" w:rsidP="005C4054">
      <w:pPr>
        <w:spacing w:after="0" w:line="360" w:lineRule="auto"/>
        <w:rPr>
          <w:rFonts w:eastAsia="Times New Roman" w:cs="Tahoma"/>
          <w:bCs/>
          <w:iCs/>
        </w:rPr>
      </w:pPr>
      <w:r w:rsidRPr="003179FE">
        <w:rPr>
          <w:rFonts w:eastAsia="Times New Roman" w:cs="Tahoma"/>
        </w:rPr>
        <w:t xml:space="preserve">Sobre lo anterior, el artículo 131 de la Ley referida, así como el Quinto de los Lineamientos Generales, establecen que los sujetos obligados </w:t>
      </w:r>
      <w:r w:rsidRPr="003179FE">
        <w:rPr>
          <w:rFonts w:eastAsia="Times New Roman" w:cs="Tahoma"/>
          <w:b/>
        </w:rPr>
        <w:t>deberán fundar y motivar</w:t>
      </w:r>
      <w:r w:rsidRPr="003179FE">
        <w:rPr>
          <w:rFonts w:eastAsia="Times New Roman" w:cs="Tahoma"/>
        </w:rPr>
        <w:t xml:space="preserve"> debidamente la clasificación de la información; que toma relevancia con el</w:t>
      </w:r>
      <w:r w:rsidRPr="003179FE">
        <w:rPr>
          <w:rFonts w:eastAsia="Times New Roman" w:cs="Tahoma"/>
          <w:bCs/>
          <w:iCs/>
        </w:rPr>
        <w:t xml:space="preserve"> Octavo de los Lineamientos Generales, que precisa lo siguiente:</w:t>
      </w:r>
    </w:p>
    <w:p w14:paraId="65EEC7D6" w14:textId="77777777" w:rsidR="000F69E0" w:rsidRPr="003179FE" w:rsidRDefault="000F69E0" w:rsidP="005C4054">
      <w:pPr>
        <w:spacing w:after="0" w:line="360" w:lineRule="auto"/>
        <w:rPr>
          <w:rFonts w:eastAsia="Times New Roman" w:cs="Tahoma"/>
          <w:bCs/>
          <w:iCs/>
        </w:rPr>
      </w:pPr>
    </w:p>
    <w:p w14:paraId="14754139" w14:textId="77777777" w:rsidR="000F69E0" w:rsidRPr="003179FE" w:rsidRDefault="000F69E0" w:rsidP="005C4054">
      <w:pPr>
        <w:numPr>
          <w:ilvl w:val="0"/>
          <w:numId w:val="6"/>
        </w:numPr>
        <w:spacing w:after="0" w:line="360" w:lineRule="auto"/>
        <w:rPr>
          <w:rFonts w:eastAsia="Times New Roman" w:cs="Tahoma"/>
          <w:bCs/>
          <w:u w:val="single"/>
        </w:rPr>
      </w:pPr>
      <w:r w:rsidRPr="003179FE">
        <w:rPr>
          <w:rFonts w:eastAsia="Times New Roman" w:cs="Tahoma"/>
          <w:b/>
          <w:bCs/>
        </w:rPr>
        <w:t>Para fundar la clasificación</w:t>
      </w:r>
      <w:r w:rsidRPr="003179FE">
        <w:rPr>
          <w:rFonts w:eastAsia="Times New Roman" w:cs="Tahoma"/>
          <w:bCs/>
        </w:rPr>
        <w:t xml:space="preserve"> de la información se deberán </w:t>
      </w:r>
      <w:r w:rsidRPr="003179FE">
        <w:rPr>
          <w:rFonts w:eastAsia="Times New Roman" w:cs="Tahoma"/>
          <w:bCs/>
          <w:u w:val="single"/>
        </w:rPr>
        <w:t>señalar el artículo, fracción, inciso, párrafo o numeral de la Ley aplicable;</w:t>
      </w:r>
    </w:p>
    <w:p w14:paraId="7153F16F" w14:textId="77777777" w:rsidR="000F69E0" w:rsidRPr="003179FE" w:rsidRDefault="000F69E0" w:rsidP="005C4054">
      <w:pPr>
        <w:spacing w:after="0" w:line="360" w:lineRule="auto"/>
        <w:rPr>
          <w:rFonts w:eastAsia="Times New Roman" w:cs="Tahoma"/>
          <w:bCs/>
        </w:rPr>
      </w:pPr>
    </w:p>
    <w:p w14:paraId="3C622556" w14:textId="77777777" w:rsidR="000F69E0" w:rsidRPr="003179FE" w:rsidRDefault="000F69E0" w:rsidP="005C4054">
      <w:pPr>
        <w:numPr>
          <w:ilvl w:val="0"/>
          <w:numId w:val="6"/>
        </w:numPr>
        <w:spacing w:after="0" w:line="360" w:lineRule="auto"/>
        <w:rPr>
          <w:rFonts w:eastAsia="Times New Roman" w:cs="Tahoma"/>
          <w:bCs/>
        </w:rPr>
      </w:pPr>
      <w:r w:rsidRPr="003179FE">
        <w:rPr>
          <w:rFonts w:eastAsia="Times New Roman" w:cs="Tahoma"/>
          <w:b/>
          <w:bCs/>
        </w:rPr>
        <w:t>Para motivar la clasificación</w:t>
      </w:r>
      <w:r w:rsidRPr="003179FE">
        <w:rPr>
          <w:rFonts w:eastAsia="Times New Roman" w:cs="Tahoma"/>
          <w:bCs/>
        </w:rPr>
        <w:t xml:space="preserve"> se deberán </w:t>
      </w:r>
      <w:r w:rsidRPr="003179FE">
        <w:rPr>
          <w:rFonts w:eastAsia="Times New Roman" w:cs="Tahoma"/>
          <w:bCs/>
          <w:u w:val="single"/>
        </w:rPr>
        <w:t>indicar las razones y circunstancias</w:t>
      </w:r>
      <w:r w:rsidRPr="003179FE">
        <w:rPr>
          <w:rFonts w:eastAsia="Times New Roman" w:cs="Tahoma"/>
          <w:bCs/>
        </w:rPr>
        <w:t xml:space="preserve"> especiales que lo llevaron a concluir que el caso particular se ajusta al supuesto previsto por la norma legal invocada.</w:t>
      </w:r>
    </w:p>
    <w:p w14:paraId="1C3F3161" w14:textId="77777777" w:rsidR="000F69E0" w:rsidRPr="003179FE" w:rsidRDefault="000F69E0" w:rsidP="005C4054">
      <w:pPr>
        <w:spacing w:after="0" w:line="360" w:lineRule="auto"/>
        <w:ind w:left="720"/>
        <w:contextualSpacing/>
        <w:rPr>
          <w:rFonts w:eastAsia="Times New Roman" w:cs="Tahoma"/>
          <w:bCs/>
        </w:rPr>
      </w:pPr>
    </w:p>
    <w:p w14:paraId="3F56279C" w14:textId="77777777" w:rsidR="000F69E0" w:rsidRPr="003179FE" w:rsidRDefault="000F69E0" w:rsidP="005C4054">
      <w:pPr>
        <w:spacing w:after="0" w:line="360" w:lineRule="auto"/>
        <w:rPr>
          <w:rFonts w:eastAsia="Times New Roman" w:cs="Tahoma"/>
        </w:rPr>
      </w:pPr>
      <w:r w:rsidRPr="003179FE">
        <w:rPr>
          <w:rFonts w:eastAsia="Times New Roman" w:cs="Tahoma"/>
        </w:rPr>
        <w:t xml:space="preserve">Lo anterior, toma sustento en la fracción VII, del artículo 1.8, del Código Administrativo del Estado de México, que establece que todo acto administrativo, debe estar fundado y </w:t>
      </w:r>
      <w:r w:rsidRPr="003179FE">
        <w:rPr>
          <w:rFonts w:eastAsia="Times New Roman" w:cs="Tahoma"/>
        </w:rPr>
        <w:lastRenderedPageBreak/>
        <w:t>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673A6F8D" w14:textId="77777777" w:rsidR="000F69E0" w:rsidRPr="003179FE" w:rsidRDefault="000F69E0" w:rsidP="005C4054">
      <w:pPr>
        <w:spacing w:after="0" w:line="360" w:lineRule="auto"/>
        <w:rPr>
          <w:rFonts w:eastAsia="Times New Roman" w:cs="Tahoma"/>
        </w:rPr>
      </w:pPr>
    </w:p>
    <w:p w14:paraId="47D652EF" w14:textId="77777777" w:rsidR="000F69E0" w:rsidRPr="003179FE" w:rsidRDefault="000F69E0" w:rsidP="005C4054">
      <w:pPr>
        <w:spacing w:after="0" w:line="360" w:lineRule="auto"/>
        <w:ind w:left="567" w:right="567"/>
        <w:rPr>
          <w:rFonts w:eastAsia="Times New Roman" w:cs="Tahoma"/>
          <w:i/>
          <w:sz w:val="20"/>
          <w:szCs w:val="20"/>
        </w:rPr>
      </w:pPr>
      <w:r w:rsidRPr="003179FE">
        <w:rPr>
          <w:rFonts w:eastAsia="Times New Roman" w:cs="Tahoma"/>
          <w:b/>
          <w:i/>
          <w:sz w:val="20"/>
          <w:szCs w:val="20"/>
        </w:rPr>
        <w:t xml:space="preserve">“FUNDAMENTACION Y MOTIVACION, CONCEPTO DE. </w:t>
      </w:r>
      <w:r w:rsidRPr="003179FE">
        <w:rPr>
          <w:rFonts w:eastAsia="Times New Roman" w:cs="Tahoma"/>
          <w:i/>
          <w:sz w:val="20"/>
          <w:szCs w:val="2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04386515" w14:textId="77777777" w:rsidR="000F69E0" w:rsidRPr="003179FE" w:rsidRDefault="000F69E0" w:rsidP="005C4054">
      <w:pPr>
        <w:spacing w:after="0" w:line="360" w:lineRule="auto"/>
        <w:rPr>
          <w:rFonts w:eastAsia="Times New Roman" w:cs="Tahoma"/>
        </w:rPr>
      </w:pPr>
    </w:p>
    <w:p w14:paraId="028A8A55" w14:textId="77777777" w:rsidR="000F69E0" w:rsidRPr="003179FE" w:rsidRDefault="000F69E0" w:rsidP="005C4054">
      <w:pPr>
        <w:spacing w:after="0" w:line="360" w:lineRule="auto"/>
        <w:rPr>
          <w:rFonts w:eastAsia="Times New Roman" w:cs="Tahoma"/>
        </w:rPr>
      </w:pPr>
      <w:r w:rsidRPr="003179FE">
        <w:rPr>
          <w:rFonts w:eastAsia="Times New Roman" w:cs="Tahoma"/>
        </w:rPr>
        <w:t>Conforme a lo anterior, se advierte lo siguiente:</w:t>
      </w:r>
    </w:p>
    <w:p w14:paraId="17E99F18" w14:textId="77777777" w:rsidR="000F69E0" w:rsidRPr="003179FE" w:rsidRDefault="000F69E0" w:rsidP="005C4054">
      <w:pPr>
        <w:spacing w:after="0" w:line="360" w:lineRule="auto"/>
        <w:rPr>
          <w:rFonts w:eastAsia="Times New Roman" w:cs="Tahoma"/>
        </w:rPr>
      </w:pPr>
    </w:p>
    <w:p w14:paraId="788928BF" w14:textId="77777777" w:rsidR="000F69E0" w:rsidRPr="003179FE" w:rsidRDefault="000F69E0" w:rsidP="005C4054">
      <w:pPr>
        <w:numPr>
          <w:ilvl w:val="0"/>
          <w:numId w:val="7"/>
        </w:numPr>
        <w:spacing w:after="0" w:line="360" w:lineRule="auto"/>
        <w:rPr>
          <w:rFonts w:eastAsia="Times New Roman" w:cs="Tahoma"/>
          <w:b/>
        </w:rPr>
      </w:pPr>
      <w:r w:rsidRPr="003179FE">
        <w:rPr>
          <w:rFonts w:eastAsia="Times New Roman" w:cs="Tahoma"/>
          <w:b/>
        </w:rPr>
        <w:t xml:space="preserve">Fundamentación: </w:t>
      </w:r>
      <w:r w:rsidRPr="003179FE">
        <w:rPr>
          <w:rFonts w:eastAsia="Times New Roman" w:cs="Tahoma"/>
        </w:rPr>
        <w:t>Obligación de la autoridad que emite un acto, para citar los preceptos legales, sustantivos y adjetivos, en que se apoye para la determinación tomada.</w:t>
      </w:r>
    </w:p>
    <w:p w14:paraId="40ED0DBD" w14:textId="77777777" w:rsidR="000F69E0" w:rsidRPr="003179FE" w:rsidRDefault="000F69E0" w:rsidP="005C4054">
      <w:pPr>
        <w:spacing w:after="0" w:line="360" w:lineRule="auto"/>
        <w:ind w:left="720"/>
        <w:rPr>
          <w:rFonts w:eastAsia="Times New Roman" w:cs="Tahoma"/>
          <w:b/>
        </w:rPr>
      </w:pPr>
    </w:p>
    <w:p w14:paraId="6134EA4B" w14:textId="77777777" w:rsidR="000F69E0" w:rsidRPr="003179FE" w:rsidRDefault="000F69E0" w:rsidP="005C4054">
      <w:pPr>
        <w:numPr>
          <w:ilvl w:val="0"/>
          <w:numId w:val="7"/>
        </w:numPr>
        <w:spacing w:after="0" w:line="360" w:lineRule="auto"/>
        <w:rPr>
          <w:rFonts w:eastAsia="Times New Roman" w:cs="Tahoma"/>
          <w:b/>
        </w:rPr>
      </w:pPr>
      <w:r w:rsidRPr="003179FE">
        <w:rPr>
          <w:rFonts w:eastAsia="Times New Roman" w:cs="Tahoma"/>
          <w:b/>
        </w:rPr>
        <w:t xml:space="preserve">Motivación: </w:t>
      </w:r>
      <w:r w:rsidRPr="003179FE">
        <w:rPr>
          <w:rFonts w:eastAsia="Times New Roman" w:cs="Tahoma"/>
        </w:rPr>
        <w:t>Razonamientos lógico-jurídicos sobre porque se consideró en el caso en concreto, que se ajusta a la hipótesis normativa.</w:t>
      </w:r>
    </w:p>
    <w:p w14:paraId="460D28E5" w14:textId="77777777" w:rsidR="000F69E0" w:rsidRPr="003179FE" w:rsidRDefault="000F69E0" w:rsidP="005C4054">
      <w:pPr>
        <w:spacing w:after="0" w:line="360" w:lineRule="auto"/>
        <w:rPr>
          <w:rFonts w:eastAsia="Calibri" w:cs="Tahoma"/>
          <w:lang w:val="es-ES"/>
        </w:rPr>
      </w:pPr>
    </w:p>
    <w:p w14:paraId="01E6B761" w14:textId="77777777" w:rsidR="000F69E0" w:rsidRPr="003179FE" w:rsidRDefault="000F69E0" w:rsidP="005C4054">
      <w:pPr>
        <w:spacing w:after="0" w:line="360" w:lineRule="auto"/>
        <w:rPr>
          <w:rFonts w:eastAsia="Calibri" w:cs="Tahoma"/>
          <w:lang w:val="es-ES"/>
        </w:rPr>
      </w:pPr>
      <w:r w:rsidRPr="003179FE">
        <w:rPr>
          <w:rFonts w:eastAsia="Calibri" w:cs="Tahoma"/>
          <w:lang w:val="es-ES"/>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0B15C415" w14:textId="77777777" w:rsidR="000F69E0" w:rsidRPr="003179FE" w:rsidRDefault="000F69E0" w:rsidP="005C4054">
      <w:pPr>
        <w:widowControl w:val="0"/>
        <w:autoSpaceDE w:val="0"/>
        <w:autoSpaceDN w:val="0"/>
        <w:adjustRightInd w:val="0"/>
        <w:spacing w:after="0" w:line="360" w:lineRule="auto"/>
        <w:contextualSpacing/>
        <w:rPr>
          <w:rFonts w:cs="Tahoma"/>
          <w:iCs/>
          <w:szCs w:val="24"/>
          <w:lang w:val="es-ES_tradnl"/>
        </w:rPr>
      </w:pPr>
    </w:p>
    <w:p w14:paraId="5D1003D0" w14:textId="66A5F747" w:rsidR="000F69E0" w:rsidRPr="003179FE" w:rsidRDefault="000F69E0" w:rsidP="005C4054">
      <w:pPr>
        <w:spacing w:after="0" w:line="360" w:lineRule="auto"/>
        <w:rPr>
          <w:rFonts w:eastAsia="Batang" w:cs="Tahoma"/>
          <w:bCs/>
          <w:lang w:val="es-ES" w:eastAsia="es-ES"/>
        </w:rPr>
      </w:pPr>
      <w:r w:rsidRPr="003179FE">
        <w:rPr>
          <w:rFonts w:eastAsia="Batang" w:cs="Tahoma"/>
          <w:bCs/>
          <w:lang w:val="es-ES" w:eastAsia="es-ES"/>
        </w:rPr>
        <w:lastRenderedPageBreak/>
        <w:t>En ese contexto, es de señalar que el Sujeto Obligado no precisó de manera fundada y motivada las razones por las cuales, consideraba que no se debían entregar los oficios mencionados, pues únicamente señaló que contienen datos personales</w:t>
      </w:r>
      <w:r w:rsidR="0031055E" w:rsidRPr="003179FE">
        <w:rPr>
          <w:rFonts w:eastAsia="Batang" w:cs="Tahoma"/>
          <w:bCs/>
          <w:lang w:val="es-ES" w:eastAsia="es-ES"/>
        </w:rPr>
        <w:t>.</w:t>
      </w:r>
    </w:p>
    <w:p w14:paraId="4A6F3D83" w14:textId="77777777" w:rsidR="000F69E0" w:rsidRPr="003179FE" w:rsidRDefault="000F69E0" w:rsidP="005C4054">
      <w:pPr>
        <w:spacing w:after="0" w:line="360" w:lineRule="auto"/>
        <w:rPr>
          <w:rFonts w:eastAsia="Batang" w:cs="Tahoma"/>
          <w:bCs/>
          <w:lang w:val="es-ES" w:eastAsia="es-ES"/>
        </w:rPr>
      </w:pPr>
    </w:p>
    <w:p w14:paraId="0AC06478" w14:textId="77777777" w:rsidR="0031055E" w:rsidRPr="003179FE" w:rsidRDefault="0031055E" w:rsidP="005C4054">
      <w:pPr>
        <w:spacing w:after="0" w:line="360" w:lineRule="auto"/>
        <w:rPr>
          <w:rFonts w:eastAsia="Batang" w:cs="Tahoma"/>
          <w:bCs/>
          <w:color w:val="auto"/>
        </w:rPr>
      </w:pPr>
      <w:r w:rsidRPr="003179FE">
        <w:rPr>
          <w:rFonts w:eastAsia="Batang" w:cs="Tahoma"/>
          <w:bCs/>
        </w:rPr>
        <w:t>Además, los artículos 3°, fracción XXI y 111 de la Ley General de Transparencia y Acceso a la Información, 3°, fracción XLV, y 137 de la Ley de Transparencia y Acceso a la Información Pública del Estado de México y Municipios y los numerales Segundo, fracción XVIII, y Quincuagésimo sexto de los Lineamientos Generales, establecen que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documento que deberá ser aprobado por el Comité de Transparencia.</w:t>
      </w:r>
    </w:p>
    <w:p w14:paraId="11DB02EC" w14:textId="77777777" w:rsidR="0031055E" w:rsidRPr="003179FE" w:rsidRDefault="0031055E" w:rsidP="005C4054">
      <w:pPr>
        <w:spacing w:after="0" w:line="360" w:lineRule="auto"/>
        <w:jc w:val="left"/>
        <w:rPr>
          <w:rFonts w:eastAsia="Batang" w:cs="Tahoma"/>
          <w:bCs/>
        </w:rPr>
      </w:pPr>
    </w:p>
    <w:p w14:paraId="1A0BDB79" w14:textId="77777777" w:rsidR="0031055E" w:rsidRPr="003179FE" w:rsidRDefault="0031055E" w:rsidP="005C4054">
      <w:pPr>
        <w:spacing w:after="0" w:line="360" w:lineRule="auto"/>
        <w:rPr>
          <w:rFonts w:eastAsia="Batang" w:cs="Tahoma"/>
          <w:b/>
        </w:rPr>
      </w:pPr>
      <w:r w:rsidRPr="003179FE">
        <w:rPr>
          <w:rFonts w:eastAsia="Batang" w:cs="Tahoma"/>
          <w:bCs/>
        </w:rPr>
        <w:t xml:space="preserve">Como se logra observar, la clasificación total del documento no es la única forma de proteger información localizada en este, pues existe otro procedimiento, en el cual, solamente se testan las partes que contienen datos o información, denominado versión pública; con lo cual, el Sujeto Obligado podría testar los datos confidenciales y proporcionar el documento que da cuenta de la información solicitada, lo cual da como resultado que el agravio sea </w:t>
      </w:r>
      <w:r w:rsidRPr="003179FE">
        <w:rPr>
          <w:rFonts w:eastAsia="Batang" w:cs="Tahoma"/>
          <w:b/>
        </w:rPr>
        <w:t>FUNDADO.</w:t>
      </w:r>
    </w:p>
    <w:p w14:paraId="123A33BA" w14:textId="77777777" w:rsidR="000F69E0" w:rsidRPr="003179FE" w:rsidRDefault="000F69E0" w:rsidP="005C4054">
      <w:pPr>
        <w:spacing w:after="0" w:line="360" w:lineRule="auto"/>
        <w:rPr>
          <w:rFonts w:eastAsia="Batang" w:cs="Tahoma"/>
          <w:bCs/>
          <w:lang w:eastAsia="es-ES"/>
        </w:rPr>
      </w:pPr>
    </w:p>
    <w:p w14:paraId="289797EB" w14:textId="5B999156" w:rsidR="000F69E0" w:rsidRPr="003179FE" w:rsidRDefault="0031055E" w:rsidP="005C4054">
      <w:pPr>
        <w:spacing w:after="0" w:line="360" w:lineRule="auto"/>
        <w:rPr>
          <w:rFonts w:eastAsia="Batang" w:cs="Tahoma"/>
          <w:bCs/>
          <w:lang w:val="es-ES" w:eastAsia="es-ES"/>
        </w:rPr>
      </w:pPr>
      <w:r w:rsidRPr="003179FE">
        <w:rPr>
          <w:rFonts w:eastAsia="Batang" w:cs="Tahoma"/>
          <w:bCs/>
          <w:lang w:val="es-ES" w:eastAsia="es-ES"/>
        </w:rPr>
        <w:t>En ese sentido</w:t>
      </w:r>
      <w:r w:rsidR="000F69E0" w:rsidRPr="003179FE">
        <w:rPr>
          <w:rFonts w:eastAsia="Batang" w:cs="Tahoma"/>
          <w:bCs/>
          <w:lang w:val="es-ES" w:eastAsia="es-ES"/>
        </w:rPr>
        <w:t>, el Sujeto Obligado precisó que lo oficios contenían los datos siguientes:</w:t>
      </w:r>
    </w:p>
    <w:p w14:paraId="5AABD73B" w14:textId="77777777" w:rsidR="000F69E0" w:rsidRPr="003179FE" w:rsidRDefault="000F69E0" w:rsidP="005C4054">
      <w:pPr>
        <w:spacing w:after="0" w:line="360" w:lineRule="auto"/>
        <w:rPr>
          <w:rFonts w:eastAsia="Batang" w:cs="Tahoma"/>
          <w:bCs/>
          <w:lang w:val="es-ES" w:eastAsia="es-ES"/>
        </w:rPr>
      </w:pPr>
    </w:p>
    <w:p w14:paraId="0D6CC981" w14:textId="77777777" w:rsidR="000F69E0" w:rsidRPr="003179FE" w:rsidRDefault="000F69E0" w:rsidP="005C4054">
      <w:pPr>
        <w:pStyle w:val="Prrafodelista"/>
        <w:numPr>
          <w:ilvl w:val="0"/>
          <w:numId w:val="8"/>
        </w:numPr>
        <w:spacing w:after="0" w:line="360" w:lineRule="auto"/>
        <w:rPr>
          <w:rFonts w:eastAsia="Batang" w:cs="Tahoma"/>
          <w:bCs/>
          <w:lang w:val="es-ES" w:eastAsia="es-ES"/>
        </w:rPr>
      </w:pPr>
      <w:r w:rsidRPr="003179FE">
        <w:t>Constancia de Clave Única de Registro de Población</w:t>
      </w:r>
      <w:r w:rsidRPr="003179FE">
        <w:rPr>
          <w:rFonts w:eastAsia="Batang" w:cs="Tahoma"/>
          <w:bCs/>
          <w:lang w:val="es-ES" w:eastAsia="es-ES"/>
        </w:rPr>
        <w:t>;</w:t>
      </w:r>
    </w:p>
    <w:p w14:paraId="217B0FE4" w14:textId="77777777" w:rsidR="000F69E0" w:rsidRPr="003179FE" w:rsidRDefault="000F69E0" w:rsidP="005C4054">
      <w:pPr>
        <w:pStyle w:val="Prrafodelista"/>
        <w:numPr>
          <w:ilvl w:val="0"/>
          <w:numId w:val="8"/>
        </w:numPr>
        <w:spacing w:after="0" w:line="360" w:lineRule="auto"/>
        <w:rPr>
          <w:rFonts w:eastAsia="Batang" w:cs="Tahoma"/>
          <w:bCs/>
          <w:lang w:val="es-ES" w:eastAsia="es-ES"/>
        </w:rPr>
      </w:pPr>
      <w:r w:rsidRPr="003179FE">
        <w:rPr>
          <w:rFonts w:eastAsia="Batang" w:cs="Tahoma"/>
          <w:bCs/>
          <w:lang w:val="es-ES" w:eastAsia="es-ES"/>
        </w:rPr>
        <w:t>Correo electrónico;</w:t>
      </w:r>
    </w:p>
    <w:p w14:paraId="091D4FE2" w14:textId="77777777" w:rsidR="000F69E0" w:rsidRPr="003179FE" w:rsidRDefault="000F69E0" w:rsidP="005C4054">
      <w:pPr>
        <w:pStyle w:val="Prrafodelista"/>
        <w:numPr>
          <w:ilvl w:val="0"/>
          <w:numId w:val="8"/>
        </w:numPr>
        <w:spacing w:after="0" w:line="360" w:lineRule="auto"/>
        <w:rPr>
          <w:rFonts w:eastAsia="Batang" w:cs="Tahoma"/>
          <w:bCs/>
          <w:lang w:val="es-ES" w:eastAsia="es-ES"/>
        </w:rPr>
      </w:pPr>
      <w:r w:rsidRPr="003179FE">
        <w:rPr>
          <w:rFonts w:eastAsia="Batang" w:cs="Tahoma"/>
          <w:bCs/>
          <w:lang w:val="es-ES" w:eastAsia="es-ES"/>
        </w:rPr>
        <w:t>Número de empleado, y</w:t>
      </w:r>
    </w:p>
    <w:p w14:paraId="448E5177" w14:textId="77777777" w:rsidR="000F69E0" w:rsidRPr="003179FE" w:rsidRDefault="000F69E0" w:rsidP="005C4054">
      <w:pPr>
        <w:pStyle w:val="Prrafodelista"/>
        <w:numPr>
          <w:ilvl w:val="0"/>
          <w:numId w:val="8"/>
        </w:numPr>
        <w:spacing w:after="0" w:line="360" w:lineRule="auto"/>
        <w:rPr>
          <w:rFonts w:eastAsia="Batang" w:cs="Tahoma"/>
          <w:bCs/>
          <w:lang w:val="es-ES" w:eastAsia="es-ES"/>
        </w:rPr>
      </w:pPr>
      <w:r w:rsidRPr="003179FE">
        <w:rPr>
          <w:rFonts w:eastAsia="Batang" w:cs="Tahoma"/>
          <w:bCs/>
          <w:lang w:val="es-ES" w:eastAsia="es-ES"/>
        </w:rPr>
        <w:t>Nombre de menor de edad</w:t>
      </w:r>
    </w:p>
    <w:p w14:paraId="22D81D32" w14:textId="77777777" w:rsidR="000F69E0" w:rsidRPr="003179FE" w:rsidRDefault="000F69E0" w:rsidP="005C4054">
      <w:pPr>
        <w:spacing w:after="0" w:line="360" w:lineRule="auto"/>
        <w:rPr>
          <w:rFonts w:eastAsia="Batang" w:cs="Tahoma"/>
          <w:bCs/>
          <w:lang w:val="es-ES" w:eastAsia="es-ES"/>
        </w:rPr>
      </w:pPr>
    </w:p>
    <w:p w14:paraId="28DBF781" w14:textId="4571370D" w:rsidR="000F69E0" w:rsidRPr="003179FE" w:rsidRDefault="000F69E0" w:rsidP="005C4054">
      <w:pPr>
        <w:spacing w:after="0" w:line="360" w:lineRule="auto"/>
        <w:rPr>
          <w:bCs/>
        </w:rPr>
      </w:pPr>
      <w:r w:rsidRPr="003179FE">
        <w:rPr>
          <w:bCs/>
        </w:rPr>
        <w:lastRenderedPageBreak/>
        <w:t xml:space="preserve">En principio, cabe mencionar que el artículo 143, fracción I, de la Ley </w:t>
      </w:r>
      <w:r w:rsidR="0031055E" w:rsidRPr="003179FE">
        <w:rPr>
          <w:bCs/>
        </w:rPr>
        <w:t>de Transparencia y Acceso a la Información Pública del Estado de México y Municipios</w:t>
      </w:r>
      <w:r w:rsidRPr="003179FE">
        <w:rPr>
          <w:bCs/>
        </w:rPr>
        <w:t>, establece que la información privada y los datos personales, concernientes a una persona física o jurídica colectiva identificada o identificable son confidenciales.</w:t>
      </w:r>
    </w:p>
    <w:p w14:paraId="19B2DB78" w14:textId="77777777" w:rsidR="000F69E0" w:rsidRPr="003179FE" w:rsidRDefault="000F69E0" w:rsidP="005C4054">
      <w:pPr>
        <w:spacing w:after="0" w:line="360" w:lineRule="auto"/>
        <w:rPr>
          <w:bCs/>
        </w:rPr>
      </w:pPr>
    </w:p>
    <w:p w14:paraId="7D9A48A2" w14:textId="36C6320D" w:rsidR="000F69E0" w:rsidRPr="003179FE" w:rsidRDefault="000F69E0" w:rsidP="005C4054">
      <w:pPr>
        <w:spacing w:after="0" w:line="360" w:lineRule="auto"/>
        <w:rPr>
          <w:bCs/>
        </w:rPr>
      </w:pPr>
      <w:r w:rsidRPr="003179FE">
        <w:rPr>
          <w:bCs/>
        </w:rPr>
        <w:t>Asimismo, el artículo 145 de la Ley</w:t>
      </w:r>
      <w:r w:rsidR="0031055E" w:rsidRPr="003179FE">
        <w:rPr>
          <w:bCs/>
        </w:rPr>
        <w:t xml:space="preserve"> referida</w:t>
      </w:r>
      <w:r w:rsidRPr="003179FE">
        <w:rPr>
          <w:bCs/>
        </w:rPr>
        <w:t>,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2E157FA" w14:textId="77777777" w:rsidR="000F69E0" w:rsidRPr="003179FE" w:rsidRDefault="000F69E0" w:rsidP="005C4054">
      <w:pPr>
        <w:spacing w:after="0" w:line="360" w:lineRule="auto"/>
        <w:rPr>
          <w:bCs/>
        </w:rPr>
      </w:pPr>
    </w:p>
    <w:p w14:paraId="39F8E5AA" w14:textId="77777777" w:rsidR="000F69E0" w:rsidRPr="003179FE" w:rsidRDefault="000F69E0" w:rsidP="005C4054">
      <w:pPr>
        <w:spacing w:after="0" w:line="360" w:lineRule="auto"/>
        <w:rPr>
          <w:bCs/>
        </w:rPr>
      </w:pPr>
      <w:r w:rsidRPr="003179FE">
        <w:rPr>
          <w:bCs/>
        </w:rPr>
        <w:t>En términos de lo expuesto, la documentación y aquellos datos que se consideren confidenciales, serán una limitante del derecho de acceso a la información, siempre y cuando:</w:t>
      </w:r>
    </w:p>
    <w:p w14:paraId="1C8F8E6A" w14:textId="77777777" w:rsidR="000F69E0" w:rsidRPr="003179FE" w:rsidRDefault="000F69E0" w:rsidP="005C4054">
      <w:pPr>
        <w:spacing w:after="0" w:line="360" w:lineRule="auto"/>
        <w:rPr>
          <w:bCs/>
        </w:rPr>
      </w:pPr>
    </w:p>
    <w:p w14:paraId="4A574250" w14:textId="77777777" w:rsidR="000F69E0" w:rsidRPr="003179FE" w:rsidRDefault="000F69E0" w:rsidP="005C4054">
      <w:pPr>
        <w:numPr>
          <w:ilvl w:val="0"/>
          <w:numId w:val="9"/>
        </w:numPr>
        <w:spacing w:after="0" w:line="360" w:lineRule="auto"/>
        <w:jc w:val="left"/>
        <w:rPr>
          <w:bCs/>
        </w:rPr>
      </w:pPr>
      <w:r w:rsidRPr="003179FE">
        <w:rPr>
          <w:bCs/>
        </w:rPr>
        <w:t xml:space="preserve">Se trate de datos personales o información privada; esto es, información concerniente a una persona física o jurídico colectiva y que esta sea identificada o identificable. </w:t>
      </w:r>
    </w:p>
    <w:p w14:paraId="2ABA6527" w14:textId="77777777" w:rsidR="000F69E0" w:rsidRPr="003179FE" w:rsidRDefault="000F69E0" w:rsidP="005C4054">
      <w:pPr>
        <w:numPr>
          <w:ilvl w:val="0"/>
          <w:numId w:val="9"/>
        </w:numPr>
        <w:spacing w:after="0" w:line="360" w:lineRule="auto"/>
        <w:jc w:val="left"/>
        <w:rPr>
          <w:bCs/>
        </w:rPr>
      </w:pPr>
      <w:r w:rsidRPr="003179FE">
        <w:rPr>
          <w:bCs/>
        </w:rPr>
        <w:t xml:space="preserve">Para la difusión de los datos, se requiera el consentimiento del titular. </w:t>
      </w:r>
    </w:p>
    <w:p w14:paraId="4BC753F2" w14:textId="77777777" w:rsidR="000F69E0" w:rsidRPr="003179FE" w:rsidRDefault="000F69E0" w:rsidP="005C4054">
      <w:pPr>
        <w:spacing w:after="0" w:line="360" w:lineRule="auto"/>
        <w:rPr>
          <w:bCs/>
        </w:rPr>
      </w:pPr>
    </w:p>
    <w:p w14:paraId="38EC4F65" w14:textId="77777777" w:rsidR="000F69E0" w:rsidRPr="003179FE" w:rsidRDefault="000F69E0" w:rsidP="005C4054">
      <w:pPr>
        <w:spacing w:after="0" w:line="360" w:lineRule="auto"/>
        <w:rPr>
          <w:bCs/>
        </w:rPr>
      </w:pPr>
      <w:r w:rsidRPr="003179FE">
        <w:rPr>
          <w:bC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w:t>
      </w:r>
      <w:r w:rsidRPr="003179FE">
        <w:rPr>
          <w:bCs/>
        </w:rPr>
        <w:lastRenderedPageBreak/>
        <w:t xml:space="preserve">de cualquier documento informativo físico o electrónico), establecida en cualquier formato o modalidad. </w:t>
      </w:r>
    </w:p>
    <w:p w14:paraId="5CAE9F6B" w14:textId="77777777" w:rsidR="000F69E0" w:rsidRPr="003179FE" w:rsidRDefault="000F69E0" w:rsidP="005C4054">
      <w:pPr>
        <w:spacing w:after="0" w:line="360" w:lineRule="auto"/>
        <w:rPr>
          <w:bCs/>
        </w:rPr>
      </w:pPr>
    </w:p>
    <w:p w14:paraId="46B2CF7F" w14:textId="77777777" w:rsidR="000F69E0" w:rsidRPr="003179FE" w:rsidRDefault="000F69E0" w:rsidP="005C4054">
      <w:pPr>
        <w:spacing w:after="0" w:line="360" w:lineRule="auto"/>
        <w:rPr>
          <w:bCs/>
        </w:rPr>
      </w:pPr>
      <w:r w:rsidRPr="003179FE">
        <w:rPr>
          <w:bCs/>
        </w:rPr>
        <w:t>Bajo ese contexto, se analizarán si los datos mencionados, deben ser considerados confidenciales, en términos del artículo 143, fracción I, de la Ley de Transparencia y Acceso a la Información Pública del Estado de México y Municipios, o públicos tal como se expone a continuación:</w:t>
      </w:r>
    </w:p>
    <w:p w14:paraId="54CF1367" w14:textId="77777777" w:rsidR="000F69E0" w:rsidRPr="003179FE" w:rsidRDefault="000F69E0" w:rsidP="005C4054">
      <w:pPr>
        <w:spacing w:after="0" w:line="360" w:lineRule="auto"/>
        <w:rPr>
          <w:bCs/>
        </w:rPr>
      </w:pPr>
    </w:p>
    <w:p w14:paraId="27284636" w14:textId="2359D128" w:rsidR="000F69E0" w:rsidRPr="003179FE" w:rsidRDefault="000F69E0" w:rsidP="005C4054">
      <w:pPr>
        <w:numPr>
          <w:ilvl w:val="0"/>
          <w:numId w:val="12"/>
        </w:numPr>
        <w:tabs>
          <w:tab w:val="left" w:pos="4962"/>
        </w:tabs>
        <w:spacing w:after="0" w:line="360" w:lineRule="auto"/>
        <w:ind w:right="-28"/>
        <w:contextualSpacing/>
        <w:rPr>
          <w:rFonts w:eastAsia="Calibri" w:cs="Tahoma"/>
          <w:b/>
          <w:iCs/>
          <w:szCs w:val="24"/>
          <w:lang w:eastAsia="es-ES_tradnl"/>
        </w:rPr>
      </w:pPr>
      <w:r w:rsidRPr="003179FE">
        <w:rPr>
          <w:rFonts w:eastAsia="Calibri" w:cs="Tahoma"/>
          <w:b/>
          <w:iCs/>
          <w:szCs w:val="24"/>
          <w:lang w:eastAsia="es-ES_tradnl"/>
        </w:rPr>
        <w:t>Clave Única de Registro de Población</w:t>
      </w:r>
    </w:p>
    <w:p w14:paraId="4F1A5FC1" w14:textId="77777777" w:rsidR="000F69E0" w:rsidRPr="003179FE" w:rsidRDefault="000F69E0" w:rsidP="005C4054">
      <w:pPr>
        <w:pStyle w:val="Prrafodelista"/>
        <w:spacing w:after="0" w:line="360" w:lineRule="auto"/>
        <w:rPr>
          <w:bCs/>
        </w:rPr>
      </w:pPr>
    </w:p>
    <w:p w14:paraId="41D85CA9" w14:textId="77777777" w:rsidR="000F69E0" w:rsidRPr="003179FE" w:rsidRDefault="000F69E0" w:rsidP="005C4054">
      <w:pPr>
        <w:spacing w:after="0" w:line="360" w:lineRule="auto"/>
        <w:rPr>
          <w:rFonts w:eastAsia="Calibri" w:cs="Tahoma"/>
          <w:bCs/>
          <w:color w:val="000000"/>
        </w:rPr>
      </w:pPr>
      <w:r w:rsidRPr="003179FE">
        <w:rPr>
          <w:rFonts w:eastAsia="Calibri" w:cs="Tahoma"/>
          <w:bCs/>
          <w:color w:val="000000"/>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2467884D" w14:textId="77777777" w:rsidR="000F69E0" w:rsidRPr="003179FE" w:rsidRDefault="000F69E0" w:rsidP="005C4054">
      <w:pPr>
        <w:spacing w:after="0" w:line="360" w:lineRule="auto"/>
        <w:rPr>
          <w:rFonts w:eastAsia="Calibri" w:cs="Tahoma"/>
          <w:bCs/>
          <w:color w:val="000000"/>
        </w:rPr>
      </w:pPr>
    </w:p>
    <w:p w14:paraId="32E4C1B3" w14:textId="77777777" w:rsidR="000F69E0" w:rsidRPr="003179FE" w:rsidRDefault="000F69E0" w:rsidP="005C4054">
      <w:pPr>
        <w:spacing w:after="0" w:line="360" w:lineRule="auto"/>
        <w:rPr>
          <w:rFonts w:eastAsia="Calibri" w:cs="Tahoma"/>
          <w:bCs/>
          <w:color w:val="000000"/>
        </w:rPr>
      </w:pPr>
      <w:r w:rsidRPr="003179FE">
        <w:rPr>
          <w:rFonts w:eastAsia="Calibri" w:cs="Tahoma"/>
          <w:bCs/>
          <w:color w:val="000000"/>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CE7ADB2" w14:textId="77777777" w:rsidR="000F69E0" w:rsidRPr="003179FE" w:rsidRDefault="000F69E0" w:rsidP="005C4054">
      <w:pPr>
        <w:spacing w:after="0" w:line="360" w:lineRule="auto"/>
        <w:rPr>
          <w:rFonts w:eastAsia="Calibri" w:cs="Tahoma"/>
          <w:bCs/>
          <w:iCs/>
          <w:color w:val="000000"/>
        </w:rPr>
      </w:pPr>
    </w:p>
    <w:p w14:paraId="2EFF4BF3" w14:textId="77777777" w:rsidR="000F69E0" w:rsidRPr="003179FE" w:rsidRDefault="000F69E0" w:rsidP="005C4054">
      <w:pPr>
        <w:spacing w:after="0" w:line="360" w:lineRule="auto"/>
        <w:rPr>
          <w:rFonts w:eastAsia="Calibri" w:cs="Tahoma"/>
          <w:bCs/>
          <w:color w:val="000000"/>
        </w:rPr>
      </w:pPr>
      <w:r w:rsidRPr="003179FE">
        <w:rPr>
          <w:rFonts w:eastAsia="Calibri" w:cs="Tahoma"/>
          <w:color w:val="000000"/>
        </w:rPr>
        <w:t xml:space="preserve">En ese orden de ideas, la Secretaría de Gobernación en las direcciones </w:t>
      </w:r>
      <w:hyperlink r:id="rId19" w:history="1">
        <w:r w:rsidRPr="003179FE">
          <w:rPr>
            <w:rFonts w:eastAsia="Calibri" w:cs="Tahoma"/>
            <w:color w:val="0563C1"/>
            <w:u w:val="single"/>
          </w:rPr>
          <w:t>https://consultas.curp.gob.mx/CurpSP/html/informacionecurpPS.html</w:t>
        </w:r>
      </w:hyperlink>
      <w:r w:rsidRPr="003179FE">
        <w:rPr>
          <w:rFonts w:eastAsia="Calibri" w:cs="Tahoma"/>
          <w:color w:val="000000"/>
        </w:rPr>
        <w:t xml:space="preserve"> y </w:t>
      </w:r>
      <w:hyperlink r:id="rId20" w:history="1">
        <w:r w:rsidRPr="003179FE">
          <w:rPr>
            <w:rFonts w:eastAsia="Calibri" w:cs="Tahoma"/>
            <w:color w:val="0563C1"/>
            <w:u w:val="single"/>
          </w:rPr>
          <w:t>https://www.gob.mx/segob/renapo/acciones-y-programas/clave-unica-de-registro-de-poblacion-curp-142226</w:t>
        </w:r>
      </w:hyperlink>
      <w:r w:rsidRPr="003179FE">
        <w:rPr>
          <w:rFonts w:eastAsia="Calibri" w:cs="Tahoma"/>
          <w:color w:val="000000"/>
          <w:u w:val="single"/>
        </w:rPr>
        <w:t xml:space="preserve"> </w:t>
      </w:r>
      <w:r w:rsidRPr="003179FE">
        <w:rPr>
          <w:rFonts w:eastAsia="Calibri" w:cs="Tahoma"/>
          <w:bCs/>
          <w:color w:val="000000"/>
        </w:rPr>
        <w:t xml:space="preserve">(consultadas el diecisiete de mayo de dos mil veintitrés, a las diez horas), estableció que la Clave Única del Registro de Población, es un instrumento de registro </w:t>
      </w:r>
      <w:r w:rsidRPr="003179FE">
        <w:rPr>
          <w:rFonts w:eastAsia="Calibri" w:cs="Tahoma"/>
          <w:bCs/>
          <w:color w:val="000000"/>
        </w:rPr>
        <w:lastRenderedPageBreak/>
        <w:t>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13116B4B" w14:textId="77777777" w:rsidR="000F69E0" w:rsidRPr="003179FE" w:rsidRDefault="000F69E0" w:rsidP="005C4054">
      <w:pPr>
        <w:spacing w:after="0" w:line="360" w:lineRule="auto"/>
        <w:rPr>
          <w:rFonts w:eastAsia="Calibri" w:cs="Tahoma"/>
          <w:bCs/>
          <w:color w:val="000000"/>
        </w:rPr>
      </w:pPr>
    </w:p>
    <w:p w14:paraId="1E4DD0B3" w14:textId="77777777" w:rsidR="000F69E0" w:rsidRPr="003179FE" w:rsidRDefault="000F69E0" w:rsidP="005C4054">
      <w:pPr>
        <w:numPr>
          <w:ilvl w:val="0"/>
          <w:numId w:val="11"/>
        </w:numPr>
        <w:spacing w:after="0" w:line="360" w:lineRule="auto"/>
        <w:rPr>
          <w:rFonts w:eastAsia="Calibri" w:cs="Tahoma"/>
          <w:bCs/>
          <w:color w:val="000000"/>
        </w:rPr>
      </w:pPr>
      <w:r w:rsidRPr="003179FE">
        <w:rPr>
          <w:rFonts w:eastAsia="Calibri" w:cs="Tahoma"/>
          <w:bCs/>
          <w:color w:val="000000"/>
        </w:rPr>
        <w:t>El primero y segundo apellidos, así como al nombre de pila;</w:t>
      </w:r>
    </w:p>
    <w:p w14:paraId="2A4C1C33" w14:textId="77777777" w:rsidR="000F69E0" w:rsidRPr="003179FE" w:rsidRDefault="000F69E0" w:rsidP="005C4054">
      <w:pPr>
        <w:numPr>
          <w:ilvl w:val="0"/>
          <w:numId w:val="11"/>
        </w:numPr>
        <w:spacing w:after="0" w:line="360" w:lineRule="auto"/>
        <w:rPr>
          <w:rFonts w:eastAsia="Calibri" w:cs="Tahoma"/>
          <w:bCs/>
          <w:color w:val="000000"/>
        </w:rPr>
      </w:pPr>
      <w:r w:rsidRPr="003179FE">
        <w:rPr>
          <w:rFonts w:eastAsia="Calibri" w:cs="Tahoma"/>
          <w:bCs/>
          <w:color w:val="000000"/>
        </w:rPr>
        <w:t>La fecha de nacimiento;</w:t>
      </w:r>
    </w:p>
    <w:p w14:paraId="44E29AB5" w14:textId="77777777" w:rsidR="000F69E0" w:rsidRPr="003179FE" w:rsidRDefault="000F69E0" w:rsidP="005C4054">
      <w:pPr>
        <w:numPr>
          <w:ilvl w:val="0"/>
          <w:numId w:val="11"/>
        </w:numPr>
        <w:spacing w:after="0" w:line="360" w:lineRule="auto"/>
        <w:rPr>
          <w:rFonts w:eastAsia="Calibri" w:cs="Tahoma"/>
          <w:bCs/>
          <w:color w:val="000000"/>
        </w:rPr>
      </w:pPr>
      <w:r w:rsidRPr="003179FE">
        <w:rPr>
          <w:rFonts w:eastAsia="Calibri" w:cs="Tahoma"/>
          <w:bCs/>
          <w:color w:val="000000"/>
        </w:rPr>
        <w:t>El sexo, y</w:t>
      </w:r>
    </w:p>
    <w:p w14:paraId="4455E4D9" w14:textId="77777777" w:rsidR="000F69E0" w:rsidRPr="003179FE" w:rsidRDefault="000F69E0" w:rsidP="005C4054">
      <w:pPr>
        <w:numPr>
          <w:ilvl w:val="0"/>
          <w:numId w:val="11"/>
        </w:numPr>
        <w:spacing w:after="0" w:line="360" w:lineRule="auto"/>
        <w:rPr>
          <w:rFonts w:eastAsia="Calibri" w:cs="Tahoma"/>
          <w:bCs/>
          <w:color w:val="000000"/>
        </w:rPr>
      </w:pPr>
      <w:r w:rsidRPr="003179FE">
        <w:rPr>
          <w:rFonts w:eastAsia="Calibri" w:cs="Tahoma"/>
          <w:bCs/>
          <w:color w:val="000000"/>
        </w:rPr>
        <w:t>La entidad federativa de nacimiento.</w:t>
      </w:r>
    </w:p>
    <w:p w14:paraId="2E394388" w14:textId="77777777" w:rsidR="000F69E0" w:rsidRPr="003179FE" w:rsidRDefault="000F69E0" w:rsidP="005C4054">
      <w:pPr>
        <w:spacing w:after="0" w:line="360" w:lineRule="auto"/>
        <w:rPr>
          <w:rFonts w:eastAsia="Calibri" w:cs="Tahoma"/>
          <w:bCs/>
          <w:color w:val="000000"/>
        </w:rPr>
      </w:pPr>
    </w:p>
    <w:p w14:paraId="65E0850E" w14:textId="77777777" w:rsidR="000F69E0" w:rsidRPr="003179FE" w:rsidRDefault="000F69E0" w:rsidP="005C4054">
      <w:pPr>
        <w:spacing w:after="0" w:line="360" w:lineRule="auto"/>
        <w:rPr>
          <w:rFonts w:eastAsia="Calibri" w:cs="Tahoma"/>
          <w:bCs/>
          <w:color w:val="000000"/>
        </w:rPr>
      </w:pPr>
      <w:r w:rsidRPr="003179FE">
        <w:rPr>
          <w:rFonts w:eastAsia="Calibri" w:cs="Tahoma"/>
          <w:bCs/>
          <w:color w:val="000000"/>
        </w:rPr>
        <w:t>Los dos últimos elementos de la Clave Única de Registro de Población evitan la duplicidad de la Clave y garantizan su correcta integración.</w:t>
      </w:r>
    </w:p>
    <w:p w14:paraId="715D6351" w14:textId="77777777" w:rsidR="000F69E0" w:rsidRPr="003179FE" w:rsidRDefault="000F69E0" w:rsidP="005C4054">
      <w:pPr>
        <w:spacing w:after="0" w:line="360" w:lineRule="auto"/>
        <w:rPr>
          <w:rFonts w:eastAsia="Calibri" w:cs="Tahoma"/>
          <w:bCs/>
          <w:color w:val="000000"/>
        </w:rPr>
      </w:pPr>
    </w:p>
    <w:p w14:paraId="26B81695" w14:textId="77777777" w:rsidR="000F69E0" w:rsidRPr="003179FE" w:rsidRDefault="000F69E0" w:rsidP="005C4054">
      <w:pPr>
        <w:spacing w:after="0" w:line="360" w:lineRule="auto"/>
        <w:rPr>
          <w:rFonts w:eastAsia="Calibri" w:cs="Tahoma"/>
          <w:bCs/>
          <w:color w:val="000000"/>
        </w:rPr>
      </w:pPr>
      <w:r w:rsidRPr="003179FE">
        <w:rPr>
          <w:rFonts w:eastAsia="Calibri" w:cs="Tahoma"/>
          <w:bCs/>
          <w:color w:val="000000"/>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7F472B37" w14:textId="77777777" w:rsidR="000F69E0" w:rsidRPr="003179FE" w:rsidRDefault="000F69E0" w:rsidP="005C4054">
      <w:pPr>
        <w:spacing w:after="0" w:line="360" w:lineRule="auto"/>
        <w:rPr>
          <w:rFonts w:eastAsia="Calibri" w:cs="Tahoma"/>
          <w:bCs/>
          <w:color w:val="000000"/>
        </w:rPr>
      </w:pPr>
    </w:p>
    <w:p w14:paraId="6851DC0F" w14:textId="77777777" w:rsidR="000F69E0" w:rsidRPr="003179FE" w:rsidRDefault="000F69E0" w:rsidP="005C4054">
      <w:pPr>
        <w:spacing w:after="0" w:line="360" w:lineRule="auto"/>
        <w:rPr>
          <w:rFonts w:eastAsia="Calibri" w:cs="Tahoma"/>
          <w:bCs/>
          <w:color w:val="000000"/>
        </w:rPr>
      </w:pPr>
      <w:r w:rsidRPr="003179FE">
        <w:rPr>
          <w:rFonts w:eastAsia="Calibri" w:cs="Tahoma"/>
          <w:bCs/>
          <w:color w:val="000000"/>
        </w:rPr>
        <w:t xml:space="preserve">Situación que se robustece, con el Criterio </w:t>
      </w:r>
      <w:r w:rsidRPr="003179FE">
        <w:rPr>
          <w:rFonts w:eastAsia="Times New Roman" w:cs="Tahoma"/>
          <w:iCs/>
          <w:lang w:eastAsia="es-ES"/>
        </w:rPr>
        <w:t>de Interpretación, de la Segunda Época, con número de registro SO/018/2017</w:t>
      </w:r>
      <w:r w:rsidRPr="003179FE">
        <w:rPr>
          <w:rFonts w:eastAsia="Calibri" w:cs="Tahoma"/>
          <w:bCs/>
          <w:color w:val="000000"/>
        </w:rPr>
        <w:t>, emitido por el Instituto Nacional de Transparencia, Acceso a la Información y Protección de Datos Personales, que establece lo siguiente:</w:t>
      </w:r>
    </w:p>
    <w:p w14:paraId="277407B0" w14:textId="77777777" w:rsidR="000F69E0" w:rsidRPr="003179FE" w:rsidRDefault="000F69E0" w:rsidP="005C4054">
      <w:pPr>
        <w:spacing w:after="0" w:line="360" w:lineRule="auto"/>
        <w:ind w:left="567" w:right="567"/>
        <w:rPr>
          <w:rFonts w:eastAsia="Calibri" w:cs="Tahoma"/>
          <w:bCs/>
          <w:iCs/>
          <w:color w:val="000000"/>
        </w:rPr>
      </w:pPr>
    </w:p>
    <w:p w14:paraId="2957B56B" w14:textId="77777777" w:rsidR="000F69E0" w:rsidRPr="003179FE" w:rsidRDefault="000F69E0" w:rsidP="005C4054">
      <w:pPr>
        <w:spacing w:after="0" w:line="360" w:lineRule="auto"/>
        <w:ind w:left="567" w:right="567"/>
        <w:rPr>
          <w:rFonts w:eastAsia="Calibri" w:cs="Tahoma"/>
          <w:bCs/>
          <w:i/>
          <w:iCs/>
          <w:color w:val="000000"/>
          <w:sz w:val="20"/>
          <w:szCs w:val="20"/>
        </w:rPr>
      </w:pPr>
      <w:r w:rsidRPr="003179FE">
        <w:rPr>
          <w:rFonts w:eastAsia="Calibri" w:cs="Tahoma"/>
          <w:b/>
          <w:bCs/>
          <w:i/>
          <w:iCs/>
          <w:color w:val="000000"/>
          <w:sz w:val="20"/>
          <w:szCs w:val="20"/>
        </w:rPr>
        <w:t xml:space="preserve">“Clave Única de Registro de Población (CURP). </w:t>
      </w:r>
      <w:r w:rsidRPr="003179FE">
        <w:rPr>
          <w:rFonts w:eastAsia="Calibri" w:cs="Tahoma"/>
          <w:bCs/>
          <w:i/>
          <w:iCs/>
          <w:color w:val="000000"/>
          <w:sz w:val="20"/>
          <w:szCs w:val="20"/>
        </w:rPr>
        <w:t xml:space="preserve">La Clave Única de Registro de Población se integra por datos personales que sólo conciernen al particular titular de la misma, como lo son su nombre, apellidos, fecha de nacimiento, lugar de nacimiento y sexo. Dichos datos, constituyen </w:t>
      </w:r>
      <w:r w:rsidRPr="003179FE">
        <w:rPr>
          <w:rFonts w:eastAsia="Calibri" w:cs="Tahoma"/>
          <w:bCs/>
          <w:i/>
          <w:iCs/>
          <w:color w:val="000000"/>
          <w:sz w:val="20"/>
          <w:szCs w:val="20"/>
        </w:rPr>
        <w:lastRenderedPageBreak/>
        <w:t xml:space="preserve">información que distingue plenamente a una persona física del resto de los habitantes del país, por lo que la CURP está considerada como información confidencial.” </w:t>
      </w:r>
    </w:p>
    <w:p w14:paraId="24D7927B" w14:textId="77777777" w:rsidR="000F69E0" w:rsidRPr="003179FE" w:rsidRDefault="000F69E0" w:rsidP="005C4054">
      <w:pPr>
        <w:spacing w:after="0" w:line="360" w:lineRule="auto"/>
        <w:rPr>
          <w:rFonts w:eastAsia="Calibri" w:cs="Tahoma"/>
          <w:bCs/>
          <w:color w:val="000000"/>
        </w:rPr>
      </w:pPr>
    </w:p>
    <w:p w14:paraId="7D1B2C88" w14:textId="77777777" w:rsidR="000F69E0" w:rsidRPr="003179FE" w:rsidRDefault="000F69E0" w:rsidP="005C4054">
      <w:pPr>
        <w:spacing w:after="0" w:line="360" w:lineRule="auto"/>
        <w:rPr>
          <w:bCs/>
        </w:rPr>
      </w:pPr>
      <w:r w:rsidRPr="003179FE">
        <w:rPr>
          <w:rFonts w:eastAsia="Calibri" w:cs="Tahoma"/>
          <w:bCs/>
          <w:color w:val="000000"/>
        </w:rPr>
        <w:t>De acuerdo con lo anterior, resulta procedente la clasificación de la Clave Única de Registro de Población; por lo que, la constancia de dicho dato corre al misma suerte, pues únicamente contiene datos que hacen identificables a la servidora pública, que en nada abonan a la transparencia y no rinden cuantas de la forma de actuar, por lo que, es un documento privado, en términos del artículo 143, fracción I, de la Ley de Transparencia y Acceso a la Información Pública del Estado de México y Municipios.</w:t>
      </w:r>
    </w:p>
    <w:p w14:paraId="168851EC" w14:textId="77777777" w:rsidR="000F69E0" w:rsidRPr="003179FE" w:rsidRDefault="000F69E0" w:rsidP="005C4054">
      <w:pPr>
        <w:spacing w:after="0" w:line="360" w:lineRule="auto"/>
        <w:rPr>
          <w:rFonts w:eastAsia="Batang" w:cs="Tahoma"/>
          <w:bCs/>
          <w:lang w:val="es-ES" w:eastAsia="es-ES"/>
        </w:rPr>
      </w:pPr>
    </w:p>
    <w:p w14:paraId="06BB8F99" w14:textId="77777777" w:rsidR="000F69E0" w:rsidRPr="003179FE" w:rsidRDefault="000F69E0" w:rsidP="005C4054">
      <w:pPr>
        <w:numPr>
          <w:ilvl w:val="0"/>
          <w:numId w:val="10"/>
        </w:numPr>
        <w:spacing w:after="0" w:line="360" w:lineRule="auto"/>
        <w:jc w:val="left"/>
        <w:rPr>
          <w:b/>
          <w:bCs/>
          <w:iCs/>
          <w:lang w:val="es-ES_tradnl"/>
        </w:rPr>
      </w:pPr>
      <w:r w:rsidRPr="003179FE">
        <w:rPr>
          <w:b/>
          <w:bCs/>
          <w:iCs/>
          <w:lang w:val="es-ES_tradnl"/>
        </w:rPr>
        <w:t>Correo electrónico particular e Institucional</w:t>
      </w:r>
    </w:p>
    <w:p w14:paraId="64809149" w14:textId="77777777" w:rsidR="000F69E0" w:rsidRPr="003179FE" w:rsidRDefault="000F69E0" w:rsidP="005C4054">
      <w:pPr>
        <w:spacing w:after="0" w:line="360" w:lineRule="auto"/>
        <w:ind w:left="720"/>
        <w:rPr>
          <w:b/>
          <w:bCs/>
          <w:iCs/>
          <w:lang w:val="es-ES_tradnl"/>
        </w:rPr>
      </w:pPr>
    </w:p>
    <w:p w14:paraId="335279E8" w14:textId="77777777" w:rsidR="000F69E0" w:rsidRPr="003179FE" w:rsidRDefault="000F69E0" w:rsidP="005C4054">
      <w:pPr>
        <w:spacing w:after="0" w:line="360" w:lineRule="auto"/>
        <w:rPr>
          <w:iCs/>
          <w:lang w:val="es-ES_tradnl"/>
        </w:rPr>
      </w:pPr>
      <w:r w:rsidRPr="003179FE">
        <w:rPr>
          <w:iCs/>
          <w:lang w:val="es-ES_tradnl"/>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7E1B91B1" w14:textId="77777777" w:rsidR="000F69E0" w:rsidRPr="003179FE" w:rsidRDefault="000F69E0" w:rsidP="005C4054">
      <w:pPr>
        <w:spacing w:after="0" w:line="360" w:lineRule="auto"/>
        <w:rPr>
          <w:iCs/>
          <w:lang w:val="es-ES_tradnl"/>
        </w:rPr>
      </w:pPr>
    </w:p>
    <w:p w14:paraId="02B14065" w14:textId="374C7EF1" w:rsidR="000F69E0" w:rsidRPr="003179FE" w:rsidRDefault="000F69E0" w:rsidP="005C4054">
      <w:pPr>
        <w:spacing w:after="0" w:line="360" w:lineRule="auto"/>
        <w:rPr>
          <w:iCs/>
          <w:lang w:val="es-ES_tradnl"/>
        </w:rPr>
      </w:pPr>
      <w:r w:rsidRPr="003179FE">
        <w:rPr>
          <w:iCs/>
          <w:lang w:val="es-ES_tradnl"/>
        </w:rPr>
        <w:t>En ese sentido, cabe señalar que el correo electrónico que corresponda a una persona física y no así en calidad de trabajador del Gobierno, como servidor público; por lo que corresponde a un dato personal que actualiza la causal de clasificación establecida en el artículo 143, fracción I de la Ley de Transparencia y Acceso a la Información Pública del Estado de México y Municipios, sin embargo, si corresponde</w:t>
      </w:r>
      <w:r w:rsidR="0031055E" w:rsidRPr="003179FE">
        <w:rPr>
          <w:iCs/>
          <w:lang w:val="es-ES_tradnl"/>
        </w:rPr>
        <w:t xml:space="preserve"> </w:t>
      </w:r>
      <w:r w:rsidRPr="003179FE">
        <w:rPr>
          <w:iCs/>
          <w:lang w:val="es-ES_tradnl"/>
        </w:rPr>
        <w:t>a una persona en calidad de trabajador del Gobierno, como servidor público, no actualiza dicha causal.</w:t>
      </w:r>
    </w:p>
    <w:p w14:paraId="6500175D" w14:textId="77777777" w:rsidR="000F69E0" w:rsidRPr="003179FE" w:rsidRDefault="000F69E0" w:rsidP="005C4054">
      <w:pPr>
        <w:spacing w:after="0" w:line="360" w:lineRule="auto"/>
        <w:jc w:val="left"/>
        <w:rPr>
          <w:rFonts w:eastAsia="Batang" w:cs="Tahoma"/>
          <w:bCs/>
          <w:lang w:val="es-ES" w:eastAsia="es-ES"/>
        </w:rPr>
      </w:pPr>
    </w:p>
    <w:p w14:paraId="4F8D3F3A" w14:textId="77777777" w:rsidR="000F69E0" w:rsidRPr="003179FE" w:rsidRDefault="000F69E0" w:rsidP="005C4054">
      <w:pPr>
        <w:numPr>
          <w:ilvl w:val="0"/>
          <w:numId w:val="10"/>
        </w:numPr>
        <w:spacing w:after="0" w:line="360" w:lineRule="auto"/>
        <w:contextualSpacing/>
        <w:jc w:val="left"/>
        <w:rPr>
          <w:rFonts w:eastAsia="Times New Roman" w:cs="Tahoma"/>
          <w:b/>
          <w:color w:val="auto"/>
          <w:kern w:val="2"/>
          <w:lang w:eastAsia="es-ES"/>
          <w14:ligatures w14:val="standardContextual"/>
        </w:rPr>
      </w:pPr>
      <w:r w:rsidRPr="003179FE">
        <w:rPr>
          <w:rFonts w:eastAsia="Times New Roman" w:cs="Tahoma"/>
          <w:b/>
          <w:kern w:val="2"/>
          <w:lang w:eastAsia="es-ES"/>
          <w14:ligatures w14:val="standardContextual"/>
        </w:rPr>
        <w:t>Número de empleado</w:t>
      </w:r>
    </w:p>
    <w:p w14:paraId="78BF68E3" w14:textId="77777777" w:rsidR="000F69E0" w:rsidRPr="003179FE" w:rsidRDefault="000F69E0" w:rsidP="005C4054">
      <w:pPr>
        <w:spacing w:after="0" w:line="360" w:lineRule="auto"/>
        <w:rPr>
          <w:rFonts w:eastAsia="Times New Roman" w:cs="Tahoma"/>
          <w:b/>
          <w:lang w:eastAsia="es-ES"/>
        </w:rPr>
      </w:pPr>
    </w:p>
    <w:p w14:paraId="6227BDFB" w14:textId="77777777" w:rsidR="000F69E0" w:rsidRPr="003179FE" w:rsidRDefault="000F69E0" w:rsidP="005C4054">
      <w:pPr>
        <w:spacing w:after="0" w:line="360" w:lineRule="auto"/>
        <w:rPr>
          <w:rFonts w:eastAsia="Calibri" w:cs="Tahoma"/>
          <w:bCs/>
          <w:iCs/>
          <w:lang w:eastAsia="es-ES"/>
        </w:rPr>
      </w:pPr>
      <w:r w:rsidRPr="003179FE">
        <w:rPr>
          <w:rFonts w:eastAsia="Calibri" w:cs="Tahoma"/>
          <w:bCs/>
          <w:iCs/>
          <w:lang w:eastAsia="es-ES"/>
        </w:rPr>
        <w:lastRenderedPageBreak/>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29B02738" w14:textId="77777777" w:rsidR="000F69E0" w:rsidRPr="003179FE" w:rsidRDefault="000F69E0" w:rsidP="005C4054">
      <w:pPr>
        <w:spacing w:after="0" w:line="360" w:lineRule="auto"/>
        <w:rPr>
          <w:rFonts w:eastAsia="Calibri" w:cs="Tahoma"/>
          <w:bCs/>
          <w:iCs/>
          <w:lang w:eastAsia="es-ES"/>
        </w:rPr>
      </w:pPr>
    </w:p>
    <w:p w14:paraId="65DD4B6F" w14:textId="77777777" w:rsidR="000F69E0" w:rsidRPr="003179FE" w:rsidRDefault="000F69E0" w:rsidP="005C4054">
      <w:pPr>
        <w:spacing w:after="0" w:line="360" w:lineRule="auto"/>
        <w:rPr>
          <w:rFonts w:eastAsia="Calibri" w:cs="Tahoma"/>
          <w:bCs/>
          <w:iCs/>
          <w:lang w:eastAsia="es-ES"/>
        </w:rPr>
      </w:pPr>
      <w:r w:rsidRPr="003179FE">
        <w:rPr>
          <w:rFonts w:eastAsia="Calibri" w:cs="Tahoma"/>
          <w:bCs/>
          <w:iCs/>
          <w:lang w:eastAsia="es-ES"/>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75A3D516" w14:textId="77777777" w:rsidR="000F69E0" w:rsidRPr="003179FE" w:rsidRDefault="000F69E0" w:rsidP="005C4054">
      <w:pPr>
        <w:spacing w:after="0" w:line="360" w:lineRule="auto"/>
        <w:rPr>
          <w:rFonts w:eastAsia="Calibri" w:cs="Tahoma"/>
          <w:bCs/>
          <w:iCs/>
          <w:lang w:eastAsia="es-ES"/>
        </w:rPr>
      </w:pPr>
    </w:p>
    <w:p w14:paraId="29329F2F" w14:textId="77777777" w:rsidR="000F69E0" w:rsidRPr="003179FE" w:rsidRDefault="000F69E0" w:rsidP="005C4054">
      <w:pPr>
        <w:spacing w:after="0" w:line="360" w:lineRule="auto"/>
        <w:contextualSpacing/>
        <w:rPr>
          <w:rFonts w:eastAsia="Calibri" w:cs="Tahoma"/>
          <w:bCs/>
          <w:iCs/>
        </w:rPr>
      </w:pPr>
      <w:r w:rsidRPr="003179FE">
        <w:rPr>
          <w:rFonts w:eastAsia="Calibri" w:cs="Tahoma"/>
          <w:bCs/>
          <w:iCs/>
        </w:rPr>
        <w:t xml:space="preserve">Lo anterior, toma sustento en el </w:t>
      </w:r>
      <w:r w:rsidRPr="003179FE">
        <w:rPr>
          <w:rFonts w:eastAsia="Calibri" w:cs="Tahoma"/>
          <w:bCs/>
          <w:lang w:val="es-ES"/>
        </w:rPr>
        <w:t xml:space="preserve">Criterio de Interpretación, de la Segunda Época, con número de registro </w:t>
      </w:r>
      <w:r w:rsidRPr="003179FE">
        <w:rPr>
          <w:rFonts w:eastAsia="Calibri" w:cs="Tahoma"/>
          <w:bCs/>
        </w:rPr>
        <w:t>SO/006/2019</w:t>
      </w:r>
      <w:r w:rsidRPr="003179FE">
        <w:rPr>
          <w:rFonts w:eastAsia="Calibri" w:cs="Tahoma"/>
          <w:bCs/>
          <w:iCs/>
        </w:rPr>
        <w:t>, emitido por el Instituto Nacional de Transparencia, Acceso a la Información y Protección de Datos Personales, que establece lo siguiente:</w:t>
      </w:r>
    </w:p>
    <w:p w14:paraId="1611A106" w14:textId="77777777" w:rsidR="000F69E0" w:rsidRPr="003179FE" w:rsidRDefault="000F69E0" w:rsidP="005C4054">
      <w:pPr>
        <w:spacing w:after="0" w:line="360" w:lineRule="auto"/>
        <w:rPr>
          <w:rFonts w:eastAsia="Calibri" w:cs="Tahoma"/>
          <w:bCs/>
          <w:iCs/>
          <w:lang w:eastAsia="es-ES"/>
        </w:rPr>
      </w:pPr>
    </w:p>
    <w:p w14:paraId="3D5B1994" w14:textId="77777777" w:rsidR="000F69E0" w:rsidRPr="003179FE" w:rsidRDefault="000F69E0" w:rsidP="005C4054">
      <w:pPr>
        <w:spacing w:after="0" w:line="360" w:lineRule="auto"/>
        <w:ind w:left="567" w:right="567"/>
        <w:rPr>
          <w:rFonts w:eastAsia="Calibri" w:cs="Tahoma"/>
          <w:bCs/>
          <w:i/>
          <w:iCs/>
          <w:sz w:val="20"/>
          <w:szCs w:val="20"/>
          <w:lang w:eastAsia="es-ES"/>
        </w:rPr>
      </w:pPr>
      <w:r w:rsidRPr="003179FE">
        <w:rPr>
          <w:rFonts w:eastAsia="Calibri" w:cs="Tahoma"/>
          <w:b/>
          <w:bCs/>
          <w:i/>
          <w:iCs/>
          <w:sz w:val="20"/>
          <w:szCs w:val="20"/>
          <w:lang w:eastAsia="es-ES"/>
        </w:rPr>
        <w:t xml:space="preserve">“Número de empleado. </w:t>
      </w:r>
      <w:r w:rsidRPr="003179FE">
        <w:rPr>
          <w:rFonts w:eastAsia="Calibri" w:cs="Tahoma"/>
          <w:bCs/>
          <w:i/>
          <w:iCs/>
          <w:sz w:val="20"/>
          <w:szCs w:val="20"/>
          <w:lang w:eastAsia="es-ES"/>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6AF117A8" w14:textId="77777777" w:rsidR="000F69E0" w:rsidRPr="003179FE" w:rsidRDefault="000F69E0" w:rsidP="005C4054">
      <w:pPr>
        <w:spacing w:after="0" w:line="360" w:lineRule="auto"/>
        <w:rPr>
          <w:rFonts w:eastAsia="Calibri" w:cs="Tahoma"/>
          <w:bCs/>
          <w:iCs/>
          <w:lang w:eastAsia="es-ES"/>
        </w:rPr>
      </w:pPr>
    </w:p>
    <w:p w14:paraId="3E258084" w14:textId="77777777" w:rsidR="000F69E0" w:rsidRPr="003179FE" w:rsidRDefault="000F69E0" w:rsidP="005C4054">
      <w:pPr>
        <w:spacing w:after="0" w:line="360" w:lineRule="auto"/>
        <w:contextualSpacing/>
        <w:rPr>
          <w:rFonts w:eastAsia="Calibri" w:cs="Tahoma"/>
          <w:bCs/>
          <w:iCs/>
        </w:rPr>
      </w:pPr>
      <w:r w:rsidRPr="003179FE">
        <w:rPr>
          <w:rFonts w:eastAsia="Calibri" w:cs="Tahoma"/>
          <w:bCs/>
          <w:iCs/>
        </w:rPr>
        <w:t>Así, se colige que solamente procederá la clasificación del número de empleado, cuando se integre con datos personales de los servidores públicos o funcione como clave de acceso que no requiera una contraseña para ingresar a sistemas o bases de datos.</w:t>
      </w:r>
    </w:p>
    <w:p w14:paraId="3FC024CA" w14:textId="77777777" w:rsidR="000F69E0" w:rsidRPr="003179FE" w:rsidRDefault="000F69E0" w:rsidP="005C4054">
      <w:pPr>
        <w:spacing w:after="0" w:line="360" w:lineRule="auto"/>
        <w:contextualSpacing/>
        <w:rPr>
          <w:rFonts w:eastAsia="Calibri" w:cs="Tahoma"/>
          <w:b/>
          <w:bCs/>
          <w:iCs/>
        </w:rPr>
      </w:pPr>
    </w:p>
    <w:p w14:paraId="05C32E3D" w14:textId="77777777" w:rsidR="005C4054" w:rsidRPr="003179FE" w:rsidRDefault="005C4054" w:rsidP="005C4054">
      <w:pPr>
        <w:spacing w:after="0" w:line="360" w:lineRule="auto"/>
        <w:contextualSpacing/>
        <w:rPr>
          <w:rFonts w:eastAsia="Calibri" w:cs="Tahoma"/>
          <w:bCs/>
          <w:iCs/>
          <w:color w:val="auto"/>
        </w:rPr>
      </w:pPr>
      <w:r w:rsidRPr="003179FE">
        <w:rPr>
          <w:rFonts w:eastAsia="Calibri" w:cs="Tahoma"/>
          <w:bCs/>
          <w:iCs/>
          <w:color w:val="auto"/>
        </w:rPr>
        <w:t xml:space="preserve">De tales circunstancias, se considera que el Ente Recurrido </w:t>
      </w:r>
      <w:r w:rsidRPr="003179FE">
        <w:rPr>
          <w:rFonts w:eastAsia="Calibri" w:cs="Tahoma"/>
          <w:b/>
          <w:bCs/>
          <w:iCs/>
          <w:color w:val="auto"/>
        </w:rPr>
        <w:t xml:space="preserve">deberá proporcionar dicho dato, en el caso, de que este se conforme únicamente de números, símbolos o dígitos, que de ninguna manera puedan revelar datos personales o de acceso a sistemas con información </w:t>
      </w:r>
      <w:r w:rsidRPr="003179FE">
        <w:rPr>
          <w:rFonts w:eastAsia="Calibri" w:cs="Tahoma"/>
          <w:b/>
          <w:bCs/>
          <w:iCs/>
          <w:color w:val="auto"/>
        </w:rPr>
        <w:lastRenderedPageBreak/>
        <w:t>de los trabajadores;</w:t>
      </w:r>
      <w:r w:rsidRPr="003179FE">
        <w:rPr>
          <w:rFonts w:eastAsia="Calibri" w:cs="Tahoma"/>
          <w:bCs/>
          <w:iCs/>
          <w:color w:val="auto"/>
        </w:rPr>
        <w:t xml:space="preserve"> en el caso contrario, procederá su clasificación, en términos del artículo 143, fracción I, de la Ley de la materia.</w:t>
      </w:r>
    </w:p>
    <w:p w14:paraId="4A408A6B" w14:textId="77777777" w:rsidR="005C4054" w:rsidRPr="003179FE" w:rsidRDefault="005C4054" w:rsidP="005C4054">
      <w:pPr>
        <w:spacing w:after="0" w:line="360" w:lineRule="auto"/>
        <w:contextualSpacing/>
        <w:rPr>
          <w:rFonts w:eastAsia="Calibri" w:cs="Tahoma"/>
          <w:b/>
          <w:bCs/>
          <w:iCs/>
        </w:rPr>
      </w:pPr>
    </w:p>
    <w:p w14:paraId="4950353F" w14:textId="77777777" w:rsidR="000F69E0" w:rsidRPr="003179FE" w:rsidRDefault="000F69E0" w:rsidP="005C4054">
      <w:pPr>
        <w:pStyle w:val="Prrafodelista"/>
        <w:numPr>
          <w:ilvl w:val="0"/>
          <w:numId w:val="12"/>
        </w:numPr>
        <w:spacing w:after="0" w:line="360" w:lineRule="auto"/>
        <w:jc w:val="left"/>
        <w:rPr>
          <w:b/>
          <w:bCs/>
          <w:iCs/>
          <w:lang w:val="es-ES_tradnl"/>
        </w:rPr>
      </w:pPr>
      <w:r w:rsidRPr="003179FE">
        <w:rPr>
          <w:b/>
          <w:bCs/>
          <w:iCs/>
          <w:lang w:val="es-ES_tradnl"/>
        </w:rPr>
        <w:t>Nombre de menores de edad</w:t>
      </w:r>
    </w:p>
    <w:p w14:paraId="25177FE4" w14:textId="77777777" w:rsidR="000F69E0" w:rsidRPr="003179FE" w:rsidRDefault="000F69E0" w:rsidP="005C4054">
      <w:pPr>
        <w:spacing w:after="0" w:line="360" w:lineRule="auto"/>
        <w:rPr>
          <w:color w:val="242424"/>
          <w:bdr w:val="none" w:sz="0" w:space="0" w:color="auto" w:frame="1"/>
          <w:lang w:val="es-ES"/>
        </w:rPr>
      </w:pPr>
      <w:r w:rsidRPr="003179FE">
        <w:rPr>
          <w:color w:val="242424"/>
          <w:bdr w:val="none" w:sz="0" w:space="0" w:color="auto" w:frame="1"/>
          <w:lang w:val="es-ES"/>
        </w:rPr>
        <w:t> </w:t>
      </w:r>
    </w:p>
    <w:p w14:paraId="119204AE" w14:textId="4CB2B8E6" w:rsidR="000F69E0" w:rsidRPr="003179FE" w:rsidRDefault="005C4054" w:rsidP="005C4054">
      <w:pPr>
        <w:spacing w:after="0" w:line="360" w:lineRule="auto"/>
        <w:contextualSpacing/>
        <w:rPr>
          <w:rFonts w:eastAsia="Calibri" w:cs="Tahoma"/>
          <w:bCs/>
          <w:iCs/>
        </w:rPr>
      </w:pPr>
      <w:r w:rsidRPr="003179FE">
        <w:rPr>
          <w:rFonts w:eastAsia="Calibri" w:cs="Tahoma"/>
          <w:bCs/>
          <w:iCs/>
        </w:rPr>
        <w:t>Sobre el tema</w:t>
      </w:r>
      <w:r w:rsidR="000F69E0" w:rsidRPr="003179FE">
        <w:rPr>
          <w:rFonts w:eastAsia="Calibri" w:cs="Tahoma"/>
          <w:bCs/>
          <w:iCs/>
        </w:rPr>
        <w:t>, el artículo 2°, párrafo segundo, de la Ley General de los Derechos de Niñas, Niños y Adolescentes, que precisa que el interés superior de la niñez deberá ser considerado primordial en la toma de decisiones sobre la cuestión debatida que involucre a menores de edad.</w:t>
      </w:r>
    </w:p>
    <w:p w14:paraId="29CA3931" w14:textId="77777777" w:rsidR="000F69E0" w:rsidRPr="003179FE" w:rsidRDefault="000F69E0" w:rsidP="005C4054">
      <w:pPr>
        <w:spacing w:after="0" w:line="360" w:lineRule="auto"/>
        <w:contextualSpacing/>
        <w:rPr>
          <w:rFonts w:eastAsia="Calibri" w:cs="Tahoma"/>
          <w:bCs/>
          <w:iCs/>
        </w:rPr>
      </w:pPr>
      <w:r w:rsidRPr="003179FE">
        <w:rPr>
          <w:rFonts w:eastAsia="Calibri" w:cs="Tahoma"/>
          <w:bCs/>
          <w:iCs/>
        </w:rPr>
        <w:t> </w:t>
      </w:r>
    </w:p>
    <w:p w14:paraId="4E00C632" w14:textId="77777777" w:rsidR="000F69E0" w:rsidRPr="003179FE" w:rsidRDefault="000F69E0" w:rsidP="005C4054">
      <w:pPr>
        <w:spacing w:after="0" w:line="360" w:lineRule="auto"/>
        <w:contextualSpacing/>
        <w:rPr>
          <w:rFonts w:eastAsia="Calibri" w:cs="Tahoma"/>
          <w:bCs/>
          <w:iCs/>
        </w:rPr>
      </w:pPr>
      <w:r w:rsidRPr="003179FE">
        <w:rPr>
          <w:rFonts w:eastAsia="Calibri" w:cs="Tahoma"/>
          <w:bCs/>
          <w:iCs/>
        </w:rPr>
        <w:t>En ese orden de ideas, la jurisprudencia con número 1a./J. 25/2012 (9a.), emitida por la Primera Sala de la Suprema Corte de Justicia de la Nación, publicada en la Gaceta del Semanario Judicial de la Federación y su Gaceta, Libro XV, Tomo 1, de diciembre de 2012, página 344, establece que el interés superior del menor, implica que el desarrollo de los niños y el ejercicio de sus derechos deber ser considerados como criterios rectores para la aplicación de las normas relaticos a la vida de estos.</w:t>
      </w:r>
    </w:p>
    <w:p w14:paraId="0EC04B40" w14:textId="77777777" w:rsidR="000F69E0" w:rsidRPr="003179FE" w:rsidRDefault="000F69E0" w:rsidP="005C4054">
      <w:pPr>
        <w:spacing w:after="0" w:line="360" w:lineRule="auto"/>
        <w:contextualSpacing/>
        <w:rPr>
          <w:rFonts w:eastAsia="Calibri" w:cs="Tahoma"/>
          <w:bCs/>
          <w:iCs/>
        </w:rPr>
      </w:pPr>
      <w:r w:rsidRPr="003179FE">
        <w:rPr>
          <w:rFonts w:eastAsia="Calibri" w:cs="Tahoma"/>
          <w:bCs/>
          <w:iCs/>
        </w:rPr>
        <w:t> </w:t>
      </w:r>
    </w:p>
    <w:p w14:paraId="02139CFD" w14:textId="77777777" w:rsidR="000F69E0" w:rsidRPr="003179FE" w:rsidRDefault="000F69E0" w:rsidP="005C4054">
      <w:pPr>
        <w:spacing w:after="0" w:line="360" w:lineRule="auto"/>
        <w:contextualSpacing/>
        <w:rPr>
          <w:rFonts w:eastAsia="Calibri" w:cs="Tahoma"/>
          <w:bCs/>
          <w:iCs/>
        </w:rPr>
      </w:pPr>
      <w:r w:rsidRPr="003179FE">
        <w:rPr>
          <w:rFonts w:eastAsia="Calibri" w:cs="Tahoma"/>
          <w:bCs/>
          <w:iCs/>
        </w:rPr>
        <w:t>En ese sentido, el artículo 76, de la Ley General de los Derechos de Niñas, Niños y Adolescentes, establece que las niñas, niños y adolescentes tienen derecho a la intimidad personal y familiar; así como, a la protección de sus datos personales. Además, que no podrán ser objeto de injerencias arbitrarias o ilegales, en su vida privada o bien, de divulgaciones o difusiones ilícitas de información o datos personales, incluyendo de aquella que tenga el carácter informativo a la opinión pública y que atenten contra su honra, imagen o reputación.</w:t>
      </w:r>
    </w:p>
    <w:p w14:paraId="457A3501" w14:textId="77777777" w:rsidR="000F69E0" w:rsidRPr="003179FE" w:rsidRDefault="000F69E0" w:rsidP="005C4054">
      <w:pPr>
        <w:pStyle w:val="xmsonormal"/>
        <w:shd w:val="clear" w:color="auto" w:fill="FFFFFF"/>
        <w:spacing w:before="0" w:beforeAutospacing="0" w:after="0" w:afterAutospacing="0" w:line="360" w:lineRule="auto"/>
        <w:jc w:val="both"/>
        <w:rPr>
          <w:color w:val="242424"/>
          <w:sz w:val="20"/>
          <w:szCs w:val="20"/>
          <w:lang w:val="es-MX"/>
        </w:rPr>
      </w:pPr>
      <w:r w:rsidRPr="003179FE">
        <w:rPr>
          <w:rFonts w:ascii="Palatino Linotype" w:hAnsi="Palatino Linotype"/>
          <w:color w:val="242424"/>
          <w:sz w:val="22"/>
          <w:szCs w:val="22"/>
          <w:bdr w:val="none" w:sz="0" w:space="0" w:color="auto" w:frame="1"/>
          <w:lang w:val="es-MX"/>
        </w:rPr>
        <w:t> </w:t>
      </w:r>
    </w:p>
    <w:p w14:paraId="7C504FD0" w14:textId="77777777" w:rsidR="000F69E0" w:rsidRPr="003179FE" w:rsidRDefault="000F69E0" w:rsidP="005C4054">
      <w:pPr>
        <w:pStyle w:val="xmsonormal"/>
        <w:shd w:val="clear" w:color="auto" w:fill="FFFFFF"/>
        <w:spacing w:before="0" w:beforeAutospacing="0" w:after="0" w:afterAutospacing="0" w:line="360" w:lineRule="auto"/>
        <w:jc w:val="both"/>
        <w:rPr>
          <w:color w:val="242424"/>
          <w:sz w:val="20"/>
          <w:szCs w:val="20"/>
          <w:lang w:val="es-MX"/>
        </w:rPr>
      </w:pPr>
      <w:r w:rsidRPr="003179FE">
        <w:rPr>
          <w:rFonts w:ascii="Palatino Linotype" w:hAnsi="Palatino Linotype"/>
          <w:color w:val="242424"/>
          <w:sz w:val="22"/>
          <w:szCs w:val="22"/>
          <w:bdr w:val="none" w:sz="0" w:space="0" w:color="auto" w:frame="1"/>
          <w:lang w:val="es-MX"/>
        </w:rPr>
        <w:t xml:space="preserve">Conforme a lo anterior, se puede colegir que en los casos en que se debe analizar los datos personales de menores de edad, prevalecerá el derecho a la protección de estos, pues se debe </w:t>
      </w:r>
      <w:r w:rsidRPr="003179FE">
        <w:rPr>
          <w:rFonts w:ascii="Palatino Linotype" w:hAnsi="Palatino Linotype"/>
          <w:color w:val="242424"/>
          <w:sz w:val="22"/>
          <w:szCs w:val="22"/>
          <w:bdr w:val="none" w:sz="0" w:space="0" w:color="auto" w:frame="1"/>
          <w:lang w:val="es-MX"/>
        </w:rPr>
        <w:lastRenderedPageBreak/>
        <w:t>asegurar en todo momento el interés superior de los niños; por lo que, aquellos datos que los hagan identificables, tal como es el caso de su nombre, domicilio, entre otros, se deberá buscar su resguardo, a través de la clasificación de la información, para evitar vulneraciones en su privacidad.</w:t>
      </w:r>
    </w:p>
    <w:p w14:paraId="3012D759" w14:textId="77777777" w:rsidR="000F69E0" w:rsidRPr="003179FE" w:rsidRDefault="000F69E0" w:rsidP="005C4054">
      <w:pPr>
        <w:spacing w:after="0" w:line="360" w:lineRule="auto"/>
        <w:contextualSpacing/>
        <w:rPr>
          <w:rFonts w:eastAsia="Calibri" w:cs="Tahoma"/>
          <w:bCs/>
          <w:iCs/>
        </w:rPr>
      </w:pPr>
      <w:r w:rsidRPr="003179FE">
        <w:rPr>
          <w:rFonts w:eastAsia="Calibri" w:cs="Tahoma"/>
          <w:bCs/>
          <w:iCs/>
        </w:rPr>
        <w:t> </w:t>
      </w:r>
    </w:p>
    <w:p w14:paraId="5DDC43AD" w14:textId="77777777" w:rsidR="000F69E0" w:rsidRPr="003179FE" w:rsidRDefault="000F69E0" w:rsidP="005C4054">
      <w:pPr>
        <w:spacing w:after="0" w:line="360" w:lineRule="auto"/>
        <w:contextualSpacing/>
        <w:rPr>
          <w:rFonts w:eastAsia="Calibri" w:cs="Tahoma"/>
          <w:bCs/>
          <w:iCs/>
        </w:rPr>
      </w:pPr>
      <w:r w:rsidRPr="003179FE">
        <w:rPr>
          <w:rFonts w:eastAsia="Calibri" w:cs="Tahoma"/>
          <w:bCs/>
          <w:iCs/>
        </w:rPr>
        <w:t>Dicha situación que se robustece en el artículo 8° de la Ley de Protección de Datos Personales del Sujetos Obligados del Estado de México y Municipios, que precisa que no se publicarán datos personales de niños y adolescentes, a excepción del consentimiento de su representante; además, que, en el tratamiento de estos, se privilegiará el interés superior de estos.</w:t>
      </w:r>
    </w:p>
    <w:p w14:paraId="661D3596" w14:textId="77777777" w:rsidR="000F69E0" w:rsidRPr="003179FE" w:rsidRDefault="000F69E0" w:rsidP="005C4054">
      <w:pPr>
        <w:spacing w:after="0" w:line="360" w:lineRule="auto"/>
        <w:contextualSpacing/>
        <w:rPr>
          <w:rFonts w:eastAsia="Calibri" w:cs="Tahoma"/>
          <w:bCs/>
          <w:iCs/>
        </w:rPr>
      </w:pPr>
      <w:r w:rsidRPr="003179FE">
        <w:rPr>
          <w:rFonts w:eastAsia="Calibri" w:cs="Tahoma"/>
          <w:bCs/>
          <w:iCs/>
        </w:rPr>
        <w:t> </w:t>
      </w:r>
    </w:p>
    <w:p w14:paraId="099DB15C" w14:textId="77777777" w:rsidR="000F69E0" w:rsidRPr="003179FE" w:rsidRDefault="000F69E0" w:rsidP="005C4054">
      <w:pPr>
        <w:spacing w:after="0" w:line="360" w:lineRule="auto"/>
        <w:contextualSpacing/>
        <w:rPr>
          <w:rFonts w:eastAsia="Calibri" w:cs="Tahoma"/>
          <w:bCs/>
          <w:iCs/>
        </w:rPr>
      </w:pPr>
      <w:r w:rsidRPr="003179FE">
        <w:rPr>
          <w:rFonts w:eastAsia="Calibri" w:cs="Tahoma"/>
          <w:bCs/>
          <w:iCs/>
        </w:rPr>
        <w:t>En ese contexto, a manera de analogía, el Criterio reiterado 04/19 de este Instituto, publicado en el Periódico Oficial del Gobierno del Estado Libre y Soberano de México “Gaceta de Gobierno”, el dieciocho de diciembre de dos mil diecinueve,  establece que el nombre de las personas menores de edad, son datos confidenciales, pues su publicación revelaría las condiciones sociales, culturales y plena identidad; además, que corresponden a grupos vulnerables y sociales, en condiciones de desventaja, por lo cual, es necesario su protección.</w:t>
      </w:r>
    </w:p>
    <w:p w14:paraId="01A9BF30" w14:textId="77777777" w:rsidR="000F69E0" w:rsidRPr="003179FE" w:rsidRDefault="000F69E0" w:rsidP="005C4054">
      <w:pPr>
        <w:spacing w:after="0" w:line="360" w:lineRule="auto"/>
        <w:contextualSpacing/>
        <w:rPr>
          <w:rFonts w:eastAsia="Calibri" w:cs="Tahoma"/>
          <w:bCs/>
          <w:iCs/>
        </w:rPr>
      </w:pPr>
      <w:r w:rsidRPr="003179FE">
        <w:rPr>
          <w:rFonts w:eastAsia="Calibri" w:cs="Tahoma"/>
          <w:bCs/>
          <w:iCs/>
        </w:rPr>
        <w:t> </w:t>
      </w:r>
    </w:p>
    <w:p w14:paraId="681840B8" w14:textId="77777777" w:rsidR="000F69E0" w:rsidRPr="003179FE" w:rsidRDefault="000F69E0" w:rsidP="005C4054">
      <w:pPr>
        <w:spacing w:after="0" w:line="360" w:lineRule="auto"/>
        <w:contextualSpacing/>
        <w:rPr>
          <w:rFonts w:eastAsia="Calibri" w:cs="Tahoma"/>
          <w:bCs/>
          <w:iCs/>
        </w:rPr>
      </w:pPr>
      <w:r w:rsidRPr="003179FE">
        <w:rPr>
          <w:rFonts w:eastAsia="Calibri" w:cs="Tahoma"/>
          <w:bCs/>
          <w:iCs/>
        </w:rPr>
        <w:t>Conforme a lo anterior, se advierte que el nombre de menores de edad, se considera como confidencial, en términos del artículo 143, fracción I de la Ley de Transparencia y Acceso a la Información Pública del estado de México y Municipios.</w:t>
      </w:r>
    </w:p>
    <w:p w14:paraId="0577BA1A" w14:textId="77777777" w:rsidR="000F69E0" w:rsidRPr="003179FE" w:rsidRDefault="000F69E0" w:rsidP="005C4054">
      <w:pPr>
        <w:spacing w:after="0" w:line="360" w:lineRule="auto"/>
        <w:contextualSpacing/>
        <w:rPr>
          <w:rFonts w:eastAsia="Calibri" w:cs="Tahoma"/>
          <w:bCs/>
          <w:iCs/>
        </w:rPr>
      </w:pPr>
    </w:p>
    <w:p w14:paraId="08C7DDCA" w14:textId="48AFF36C" w:rsidR="005C4054" w:rsidRPr="003179FE" w:rsidRDefault="000F69E0" w:rsidP="005C4054">
      <w:pPr>
        <w:spacing w:after="0" w:line="360" w:lineRule="auto"/>
        <w:rPr>
          <w:rFonts w:cs="Tahoma"/>
        </w:rPr>
      </w:pPr>
      <w:r w:rsidRPr="003179FE">
        <w:rPr>
          <w:rFonts w:eastAsia="Calibri" w:cs="Tahoma"/>
          <w:bCs/>
          <w:iCs/>
        </w:rPr>
        <w:t xml:space="preserve">Así, este Instituto considera </w:t>
      </w:r>
      <w:r w:rsidR="005C4054" w:rsidRPr="003179FE">
        <w:rPr>
          <w:rFonts w:eastAsia="Calibri" w:cs="Tahoma"/>
          <w:bCs/>
          <w:iCs/>
        </w:rPr>
        <w:t xml:space="preserve">que el Sujeto Obligado deberá proporcionar los oficios faltantes, para dar cumplimiento a los artículos 12 y 160 de la Ley de la materia; además que deberá entregarlos, en su caso, en versión pública; para lo cual, </w:t>
      </w:r>
      <w:r w:rsidR="005C4054" w:rsidRPr="003179FE">
        <w:rPr>
          <w:rFonts w:cs="Tahoma"/>
        </w:rPr>
        <w:t xml:space="preserve">deberá seguir el procedimiento establecido en el artículo 168 de dicho ordenamiento jurídico; esto es, que el área competente deberá elaborar la versión pública en los términos planteados en la presente Resolución, así </w:t>
      </w:r>
      <w:r w:rsidR="005C4054" w:rsidRPr="003179FE">
        <w:rPr>
          <w:rFonts w:cs="Tahoma"/>
        </w:rPr>
        <w:lastRenderedPageBreak/>
        <w:t>como emitir el Acuerdo, por parte del Comité de Transparencia, donde confirme la clasificación de los datos previamente señalados, fundando y motivando la clasificación.</w:t>
      </w:r>
    </w:p>
    <w:p w14:paraId="3DDA9074" w14:textId="77777777" w:rsidR="005C4054" w:rsidRPr="003179FE" w:rsidRDefault="005C4054" w:rsidP="005C4054">
      <w:pPr>
        <w:spacing w:after="0" w:line="360" w:lineRule="auto"/>
        <w:contextualSpacing/>
        <w:rPr>
          <w:rFonts w:eastAsia="Times New Roman" w:cs="Tahoma"/>
          <w:bCs/>
          <w:iCs/>
          <w:lang w:val="es-ES" w:eastAsia="es-ES"/>
        </w:rPr>
      </w:pPr>
    </w:p>
    <w:p w14:paraId="1D3A63EA" w14:textId="32E14289" w:rsidR="00C81691" w:rsidRPr="003179FE" w:rsidRDefault="00C81691" w:rsidP="005C4054">
      <w:pPr>
        <w:spacing w:after="0" w:line="360" w:lineRule="auto"/>
        <w:contextualSpacing/>
        <w:rPr>
          <w:rFonts w:eastAsia="Times New Roman" w:cs="Tahoma"/>
          <w:bCs/>
          <w:iCs/>
          <w:lang w:val="es-ES" w:eastAsia="es-ES"/>
        </w:rPr>
      </w:pPr>
      <w:r w:rsidRPr="003179FE">
        <w:rPr>
          <w:rFonts w:eastAsia="Times New Roman" w:cs="Tahoma"/>
          <w:bCs/>
          <w:iCs/>
          <w:lang w:val="es-ES" w:eastAsia="es-ES"/>
        </w:rPr>
        <w:t>Ahora bien, para el caso de que alguno de los oficios haya sido cancelado, deberá hacerlo del conocimiento de la parte Recurrente de manera clara y precisa, en términos del artículo 19, párrafo segundo, de la Ley de Transparencia y Acceso a la Información Pública del Estado de México y Municipios.</w:t>
      </w:r>
    </w:p>
    <w:p w14:paraId="01FB421F" w14:textId="77777777" w:rsidR="00C81691" w:rsidRPr="003179FE" w:rsidRDefault="00C81691" w:rsidP="005C4054">
      <w:pPr>
        <w:spacing w:after="0" w:line="360" w:lineRule="auto"/>
        <w:contextualSpacing/>
        <w:rPr>
          <w:rFonts w:eastAsia="Times New Roman" w:cs="Tahoma"/>
          <w:bCs/>
          <w:iCs/>
          <w:lang w:val="es-ES" w:eastAsia="es-ES"/>
        </w:rPr>
      </w:pPr>
    </w:p>
    <w:p w14:paraId="0565B836" w14:textId="77777777" w:rsidR="0080000D" w:rsidRPr="003179FE" w:rsidRDefault="0080000D" w:rsidP="005C4054">
      <w:pPr>
        <w:spacing w:after="0" w:line="360" w:lineRule="auto"/>
        <w:contextualSpacing/>
        <w:rPr>
          <w:rFonts w:eastAsia="Calibri" w:cs="Tahoma"/>
          <w:b/>
          <w:color w:val="auto"/>
        </w:rPr>
      </w:pPr>
      <w:r w:rsidRPr="003179FE">
        <w:rPr>
          <w:rFonts w:eastAsia="Calibri" w:cs="Tahoma"/>
          <w:b/>
          <w:color w:val="auto"/>
        </w:rPr>
        <w:t>SEXTO. Decisión</w:t>
      </w:r>
    </w:p>
    <w:p w14:paraId="38963B54" w14:textId="77777777" w:rsidR="0080000D" w:rsidRPr="003179FE" w:rsidRDefault="0080000D" w:rsidP="005C4054">
      <w:pPr>
        <w:spacing w:after="0" w:line="360" w:lineRule="auto"/>
        <w:jc w:val="left"/>
        <w:rPr>
          <w:b/>
          <w:bCs/>
          <w:iCs/>
          <w:lang w:val="es-ES_tradnl"/>
        </w:rPr>
      </w:pPr>
    </w:p>
    <w:p w14:paraId="2BCFDD70" w14:textId="7E2FF689" w:rsidR="00CD33AC" w:rsidRPr="003179FE" w:rsidRDefault="00CD33AC" w:rsidP="005C4054">
      <w:pPr>
        <w:spacing w:after="0" w:line="360" w:lineRule="auto"/>
        <w:rPr>
          <w:rFonts w:eastAsia="Calibri" w:cs="Times New Roman"/>
          <w:bCs/>
          <w:iCs/>
        </w:rPr>
      </w:pPr>
      <w:r w:rsidRPr="003179FE">
        <w:rPr>
          <w:rFonts w:eastAsia="Calibri" w:cs="Times New Roman"/>
          <w:bCs/>
          <w:iCs/>
        </w:rPr>
        <w:t>Con fundamento en lo dispuesto en el artículo 186, fracciones I y IV, de la Ley de Transparencia y Acceso a la Información Pública del Estado de México y Municipios, se considera procedente, lo siguiente:</w:t>
      </w:r>
    </w:p>
    <w:p w14:paraId="77096F44" w14:textId="77777777" w:rsidR="00CD33AC" w:rsidRPr="003179FE" w:rsidRDefault="00CD33AC" w:rsidP="005C4054">
      <w:pPr>
        <w:spacing w:after="0" w:line="360" w:lineRule="auto"/>
        <w:rPr>
          <w:rFonts w:eastAsia="Calibri" w:cs="Times New Roman"/>
          <w:bCs/>
          <w:iCs/>
        </w:rPr>
      </w:pPr>
    </w:p>
    <w:p w14:paraId="43F1D21D" w14:textId="527C9BDF" w:rsidR="00CD33AC" w:rsidRPr="003179FE" w:rsidRDefault="00CD33AC" w:rsidP="005C4054">
      <w:pPr>
        <w:numPr>
          <w:ilvl w:val="0"/>
          <w:numId w:val="17"/>
        </w:numPr>
        <w:spacing w:after="0" w:line="360" w:lineRule="auto"/>
        <w:rPr>
          <w:rFonts w:eastAsia="Calibri" w:cs="Times New Roman"/>
          <w:bCs/>
          <w:iCs/>
        </w:rPr>
      </w:pPr>
      <w:r w:rsidRPr="003179FE">
        <w:rPr>
          <w:rFonts w:eastAsia="Calibri" w:cs="Times New Roman"/>
          <w:b/>
          <w:bCs/>
          <w:iCs/>
        </w:rPr>
        <w:t xml:space="preserve">SOBRESEER </w:t>
      </w:r>
      <w:r w:rsidRPr="003179FE">
        <w:rPr>
          <w:rFonts w:eastAsia="Calibri" w:cs="Times New Roman"/>
          <w:bCs/>
          <w:iCs/>
        </w:rPr>
        <w:t xml:space="preserve">los Recursos de Revisión </w:t>
      </w:r>
      <w:r w:rsidRPr="003179FE">
        <w:t>07111/INFOEM/IP/RR/2024 y 07112/INFOEM/IP/RR/2024</w:t>
      </w:r>
      <w:r w:rsidRPr="003179FE">
        <w:rPr>
          <w:rFonts w:eastAsia="Calibri" w:cs="Times New Roman"/>
          <w:bCs/>
          <w:iCs/>
        </w:rPr>
        <w:t xml:space="preserve">, en virtud de que se actualiza la hipótesis normativa prevista en la fracción V, del artículo 192, del citado ordenamiento legal. </w:t>
      </w:r>
    </w:p>
    <w:p w14:paraId="5EBAD21B" w14:textId="299D58DE" w:rsidR="00CD33AC" w:rsidRPr="003179FE" w:rsidRDefault="00CD33AC" w:rsidP="005C4054">
      <w:pPr>
        <w:pStyle w:val="Prrafodelista"/>
        <w:numPr>
          <w:ilvl w:val="0"/>
          <w:numId w:val="17"/>
        </w:numPr>
        <w:spacing w:after="0" w:line="360" w:lineRule="auto"/>
        <w:rPr>
          <w:rFonts w:eastAsia="Calibri" w:cs="Tahoma"/>
          <w:iCs/>
          <w:color w:val="000000"/>
          <w:lang w:val="es-ES" w:eastAsia="es-ES_tradnl"/>
        </w:rPr>
      </w:pPr>
      <w:r w:rsidRPr="003179FE">
        <w:rPr>
          <w:rFonts w:eastAsia="Times New Roman" w:cs="Tahoma"/>
          <w:b/>
          <w:bCs/>
          <w:color w:val="auto"/>
          <w:lang w:eastAsia="es-ES"/>
        </w:rPr>
        <w:t>ORDENAR</w:t>
      </w:r>
      <w:r w:rsidRPr="003179FE">
        <w:rPr>
          <w:rFonts w:eastAsia="Times New Roman" w:cs="Tahoma"/>
          <w:color w:val="auto"/>
          <w:lang w:eastAsia="es-ES"/>
        </w:rPr>
        <w:t xml:space="preserve"> a la </w:t>
      </w:r>
      <w:r w:rsidRPr="003179FE">
        <w:rPr>
          <w:rFonts w:eastAsia="Calibri" w:cs="Tahoma"/>
        </w:rPr>
        <w:t>Comisión del Agua del Estado de México</w:t>
      </w:r>
      <w:r w:rsidRPr="003179FE">
        <w:rPr>
          <w:rFonts w:cs="Tahoma"/>
          <w:color w:val="0D0D0D" w:themeColor="text1" w:themeTint="F2"/>
        </w:rPr>
        <w:t xml:space="preserve">, a efecto de que, </w:t>
      </w:r>
      <w:r w:rsidRPr="003179FE">
        <w:rPr>
          <w:rFonts w:eastAsia="Calibri" w:cs="Tahoma"/>
          <w:color w:val="000000"/>
        </w:rPr>
        <w:t xml:space="preserve">previa búsqueda exhaustiva y razonable, en los archivos de las unidades administrativas competentes, entregue en versión pública </w:t>
      </w:r>
      <w:r w:rsidR="005C4054" w:rsidRPr="003179FE">
        <w:rPr>
          <w:rFonts w:eastAsia="Calibri" w:cs="Tahoma"/>
          <w:color w:val="000000"/>
        </w:rPr>
        <w:t>los oficios faltantes</w:t>
      </w:r>
      <w:r w:rsidRPr="003179FE">
        <w:rPr>
          <w:rFonts w:eastAsia="Calibri" w:cs="Tahoma"/>
          <w:color w:val="000000"/>
        </w:rPr>
        <w:t>.</w:t>
      </w:r>
    </w:p>
    <w:p w14:paraId="2EE33D7E" w14:textId="77777777" w:rsidR="00CD33AC" w:rsidRPr="003179FE" w:rsidRDefault="00CD33AC" w:rsidP="005C4054">
      <w:pPr>
        <w:spacing w:after="0" w:line="360" w:lineRule="auto"/>
        <w:ind w:left="720"/>
        <w:rPr>
          <w:rFonts w:eastAsia="Calibri" w:cs="Times New Roman"/>
          <w:bCs/>
          <w:iCs/>
        </w:rPr>
      </w:pPr>
    </w:p>
    <w:p w14:paraId="61F8E9E7" w14:textId="77777777" w:rsidR="00CD33AC" w:rsidRPr="003179FE" w:rsidRDefault="00CD33AC" w:rsidP="005C4054">
      <w:pPr>
        <w:spacing w:after="0" w:line="360" w:lineRule="auto"/>
        <w:rPr>
          <w:rFonts w:eastAsia="Times New Roman" w:cs="Tahoma"/>
          <w:b/>
          <w:bCs/>
          <w:iCs/>
          <w:color w:val="auto"/>
          <w:lang w:eastAsia="es-ES"/>
        </w:rPr>
      </w:pPr>
      <w:r w:rsidRPr="003179FE">
        <w:rPr>
          <w:rFonts w:eastAsia="Times New Roman" w:cs="Tahoma"/>
          <w:b/>
          <w:bCs/>
          <w:iCs/>
          <w:color w:val="auto"/>
          <w:lang w:eastAsia="es-ES"/>
        </w:rPr>
        <w:t>SÉPTIMO. Vista a la Secretaría</w:t>
      </w:r>
      <w:r w:rsidRPr="003179FE">
        <w:rPr>
          <w:rFonts w:eastAsia="Times New Roman" w:cs="Tahoma"/>
          <w:b/>
          <w:bCs/>
          <w:iCs/>
          <w:color w:val="auto"/>
          <w:lang w:val="x-none" w:eastAsia="es-ES"/>
        </w:rPr>
        <w:t xml:space="preserve"> Técnica del </w:t>
      </w:r>
      <w:r w:rsidRPr="003179FE">
        <w:rPr>
          <w:rFonts w:eastAsia="Times New Roman" w:cs="Tahoma"/>
          <w:b/>
          <w:bCs/>
          <w:iCs/>
          <w:color w:val="auto"/>
          <w:lang w:eastAsia="es-ES"/>
        </w:rPr>
        <w:t>Pleno</w:t>
      </w:r>
    </w:p>
    <w:p w14:paraId="2532235A" w14:textId="77777777" w:rsidR="00CD33AC" w:rsidRPr="003179FE" w:rsidRDefault="00CD33AC" w:rsidP="005C4054">
      <w:pPr>
        <w:spacing w:after="0" w:line="360" w:lineRule="auto"/>
        <w:rPr>
          <w:rFonts w:eastAsia="Times New Roman" w:cs="Tahoma"/>
          <w:bCs/>
          <w:color w:val="FF0000"/>
          <w:lang w:eastAsia="es-ES"/>
        </w:rPr>
      </w:pPr>
    </w:p>
    <w:p w14:paraId="24C0ED3C" w14:textId="25FE8A4B" w:rsidR="00CD33AC" w:rsidRPr="003179FE" w:rsidRDefault="00CD33AC" w:rsidP="005C4054">
      <w:pPr>
        <w:spacing w:after="0" w:line="360" w:lineRule="auto"/>
        <w:ind w:right="-93"/>
        <w:rPr>
          <w:rFonts w:eastAsia="Calibri" w:cs="Tahoma"/>
          <w:bCs/>
          <w:color w:val="auto"/>
        </w:rPr>
      </w:pPr>
      <w:r w:rsidRPr="003179FE">
        <w:rPr>
          <w:rFonts w:eastAsia="Times New Roman" w:cs="Tahoma"/>
          <w:color w:val="auto"/>
          <w:lang w:eastAsia="es-ES"/>
        </w:rPr>
        <w:t xml:space="preserve">En el caso en estudio, como ha quedado señalado que la </w:t>
      </w:r>
      <w:r w:rsidRPr="003179FE">
        <w:rPr>
          <w:rFonts w:eastAsia="Calibri" w:cs="Tahoma"/>
          <w:b/>
          <w:bCs/>
        </w:rPr>
        <w:t>Comisión del Agua del Estado de México</w:t>
      </w:r>
      <w:r w:rsidRPr="003179FE">
        <w:rPr>
          <w:rFonts w:eastAsia="Times New Roman" w:cs="Tahoma"/>
          <w:color w:val="auto"/>
          <w:lang w:eastAsia="es-ES"/>
        </w:rPr>
        <w:t xml:space="preserve"> 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w:t>
      </w:r>
      <w:r w:rsidRPr="003179FE">
        <w:rPr>
          <w:rFonts w:eastAsia="Times New Roman" w:cs="Tahoma"/>
          <w:color w:val="auto"/>
          <w:lang w:eastAsia="es-ES"/>
        </w:rPr>
        <w:lastRenderedPageBreak/>
        <w:t>hacer del conocimiento del Órgano Interno de Control o equivalente de cada Sujeto Obligado las infracciones a esta Ley.</w:t>
      </w:r>
      <w:r w:rsidRPr="003179FE">
        <w:rPr>
          <w:rFonts w:eastAsia="Calibri" w:cs="Tahoma"/>
          <w:bCs/>
          <w:color w:val="auto"/>
        </w:rPr>
        <w:t xml:space="preserve"> </w:t>
      </w:r>
    </w:p>
    <w:p w14:paraId="1859DF8E" w14:textId="77777777" w:rsidR="00CD33AC" w:rsidRPr="003179FE" w:rsidRDefault="00CD33AC" w:rsidP="005C4054">
      <w:pPr>
        <w:spacing w:after="0" w:line="360" w:lineRule="auto"/>
        <w:ind w:right="-93"/>
        <w:rPr>
          <w:rFonts w:eastAsia="Calibri" w:cs="Tahoma"/>
          <w:bCs/>
          <w:color w:val="auto"/>
        </w:rPr>
      </w:pPr>
    </w:p>
    <w:p w14:paraId="1E4FD88E" w14:textId="73B4A16D" w:rsidR="00CD33AC" w:rsidRPr="003179FE" w:rsidRDefault="00CD33AC" w:rsidP="005C4054">
      <w:pPr>
        <w:spacing w:after="0" w:line="360" w:lineRule="auto"/>
        <w:ind w:right="-93"/>
        <w:rPr>
          <w:rFonts w:eastAsia="Calibri" w:cs="Tahoma"/>
          <w:bCs/>
          <w:color w:val="auto"/>
        </w:rPr>
      </w:pPr>
      <w:r w:rsidRPr="003179FE">
        <w:rPr>
          <w:rFonts w:eastAsia="Calibri" w:cs="Tahoma"/>
          <w:bCs/>
          <w:color w:val="auto"/>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r w:rsidR="00C81691" w:rsidRPr="003179FE">
        <w:rPr>
          <w:rFonts w:eastAsia="Calibri" w:cs="Tahoma"/>
          <w:bCs/>
          <w:color w:val="auto"/>
        </w:rPr>
        <w:t xml:space="preserve"> </w:t>
      </w:r>
    </w:p>
    <w:p w14:paraId="783388A3" w14:textId="77777777" w:rsidR="00CD33AC" w:rsidRPr="003179FE" w:rsidRDefault="00CD33AC" w:rsidP="005C4054">
      <w:pPr>
        <w:spacing w:after="0" w:line="360" w:lineRule="auto"/>
        <w:ind w:right="-93"/>
        <w:rPr>
          <w:rFonts w:eastAsia="Calibri" w:cs="Tahoma"/>
          <w:bCs/>
          <w:color w:val="auto"/>
        </w:rPr>
      </w:pPr>
    </w:p>
    <w:p w14:paraId="6C0DD93C" w14:textId="77777777" w:rsidR="00CD33AC" w:rsidRPr="003179FE" w:rsidRDefault="00CD33AC" w:rsidP="005C4054">
      <w:pPr>
        <w:spacing w:after="0" w:line="360" w:lineRule="auto"/>
        <w:ind w:right="-93"/>
        <w:rPr>
          <w:rFonts w:eastAsia="Calibri" w:cs="Tahoma"/>
          <w:bCs/>
          <w:color w:val="auto"/>
        </w:rPr>
      </w:pPr>
      <w:r w:rsidRPr="003179FE">
        <w:rPr>
          <w:rFonts w:eastAsia="Calibri" w:cs="Tahoma"/>
          <w:bCs/>
          <w:color w:val="auto"/>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6A53D518" w14:textId="77777777" w:rsidR="00CD33AC" w:rsidRPr="003179FE" w:rsidRDefault="00CD33AC" w:rsidP="005C4054">
      <w:pPr>
        <w:spacing w:after="0" w:line="360" w:lineRule="auto"/>
        <w:ind w:right="-93"/>
        <w:rPr>
          <w:rFonts w:eastAsia="Calibri" w:cs="Tahoma"/>
          <w:bCs/>
          <w:color w:val="auto"/>
        </w:rPr>
      </w:pPr>
    </w:p>
    <w:p w14:paraId="2D22F521" w14:textId="77777777" w:rsidR="00CD33AC" w:rsidRPr="003179FE" w:rsidRDefault="00CD33AC" w:rsidP="005C4054">
      <w:pPr>
        <w:spacing w:after="0" w:line="360" w:lineRule="auto"/>
        <w:ind w:right="-93"/>
        <w:rPr>
          <w:rFonts w:eastAsia="Calibri" w:cs="Tahoma"/>
          <w:bCs/>
          <w:color w:val="auto"/>
        </w:rPr>
      </w:pPr>
      <w:r w:rsidRPr="003179FE">
        <w:rPr>
          <w:rFonts w:eastAsia="Calibri" w:cs="Tahoma"/>
          <w:bCs/>
          <w:color w:val="auto"/>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3179FE">
        <w:rPr>
          <w:rFonts w:eastAsia="Calibri" w:cs="Tahoma"/>
          <w:bCs/>
          <w:color w:val="auto"/>
          <w:lang w:val="es-ES_tradnl"/>
        </w:rPr>
        <w:t>a la Secretaría Técnica de este Instituto</w:t>
      </w:r>
      <w:r w:rsidRPr="003179FE">
        <w:rPr>
          <w:rFonts w:eastAsia="Calibri" w:cs="Tahoma"/>
          <w:bCs/>
          <w:color w:val="auto"/>
        </w:rPr>
        <w:t>, para que realice lo conducente.</w:t>
      </w:r>
    </w:p>
    <w:p w14:paraId="3122ACAF" w14:textId="77777777" w:rsidR="00CD33AC" w:rsidRPr="003179FE" w:rsidRDefault="00CD33AC" w:rsidP="005C4054">
      <w:pPr>
        <w:spacing w:after="0" w:line="360" w:lineRule="auto"/>
        <w:ind w:right="-93"/>
        <w:rPr>
          <w:rFonts w:eastAsia="Calibri" w:cs="Tahoma"/>
          <w:bCs/>
          <w:color w:val="auto"/>
        </w:rPr>
      </w:pPr>
    </w:p>
    <w:p w14:paraId="1A478A2C" w14:textId="77777777" w:rsidR="00CD33AC" w:rsidRPr="003179FE" w:rsidRDefault="00CD33AC" w:rsidP="005C4054">
      <w:pPr>
        <w:autoSpaceDE w:val="0"/>
        <w:autoSpaceDN w:val="0"/>
        <w:adjustRightInd w:val="0"/>
        <w:spacing w:after="0" w:line="360" w:lineRule="auto"/>
        <w:rPr>
          <w:rFonts w:eastAsia="Calibri" w:cs="Tahoma"/>
          <w:b/>
          <w:bCs/>
          <w:iCs/>
          <w:color w:val="auto"/>
          <w:lang w:val="es-ES"/>
        </w:rPr>
      </w:pPr>
      <w:r w:rsidRPr="003179FE">
        <w:rPr>
          <w:rFonts w:eastAsia="Calibri" w:cs="Tahoma"/>
          <w:b/>
          <w:bCs/>
          <w:iCs/>
          <w:color w:val="auto"/>
          <w:lang w:val="es-ES"/>
        </w:rPr>
        <w:t>Términos de la Resolución para conocimiento del Particular</w:t>
      </w:r>
    </w:p>
    <w:p w14:paraId="458C703C" w14:textId="77777777" w:rsidR="00CD33AC" w:rsidRPr="003179FE" w:rsidRDefault="00CD33AC" w:rsidP="005C4054">
      <w:pPr>
        <w:widowControl w:val="0"/>
        <w:autoSpaceDE w:val="0"/>
        <w:autoSpaceDN w:val="0"/>
        <w:adjustRightInd w:val="0"/>
        <w:spacing w:after="0" w:line="360" w:lineRule="auto"/>
        <w:rPr>
          <w:rFonts w:eastAsia="Calibri" w:cs="Tahoma"/>
          <w:bCs/>
          <w:iCs/>
          <w:color w:val="auto"/>
          <w:lang w:val="es-ES"/>
        </w:rPr>
      </w:pPr>
    </w:p>
    <w:p w14:paraId="33BB9EC9" w14:textId="488C559F" w:rsidR="00CD33AC" w:rsidRPr="003179FE" w:rsidRDefault="00CD33AC" w:rsidP="00C81691">
      <w:pPr>
        <w:spacing w:after="0" w:line="360" w:lineRule="auto"/>
        <w:rPr>
          <w:rFonts w:eastAsia="Calibri" w:cs="Tahoma"/>
          <w:bCs/>
          <w:iCs/>
          <w:color w:val="auto"/>
          <w:lang w:eastAsia="es-ES"/>
        </w:rPr>
      </w:pPr>
      <w:r w:rsidRPr="003179FE">
        <w:rPr>
          <w:rFonts w:eastAsia="Calibri" w:cs="Times New Roman"/>
          <w:bCs/>
          <w:iCs/>
        </w:rPr>
        <w:lastRenderedPageBreak/>
        <w:t xml:space="preserve">Se le hace del conocimiento a la persona Recurrente, que, en el caso de los Recursos de Revisión </w:t>
      </w:r>
      <w:r w:rsidRPr="003179FE">
        <w:t xml:space="preserve">07111/INFOEM/IP/RR/2024 y 07112/INFOEM/IP/RR/2024, el Sujeto Obligado si bien no dio respuesta, mediante informe justificado entregó y precisó la información entregada, asimismo, del </w:t>
      </w:r>
      <w:r w:rsidRPr="003179FE">
        <w:rPr>
          <w:rFonts w:eastAsia="Calibri" w:cs="Times New Roman"/>
          <w:bCs/>
          <w:iCs/>
        </w:rPr>
        <w:t xml:space="preserve">Recurso de Revisión </w:t>
      </w:r>
      <w:r w:rsidRPr="003179FE">
        <w:t>07113/INFOEM/IP/RR/2024</w:t>
      </w:r>
      <w:r w:rsidRPr="003179FE">
        <w:rPr>
          <w:rFonts w:eastAsia="Calibri" w:cs="Times New Roman"/>
          <w:bCs/>
          <w:iCs/>
        </w:rPr>
        <w:t xml:space="preserve">, el Sujeto Obligado entregó parte de la información, por lo que, deberá entregar la información </w:t>
      </w:r>
      <w:r w:rsidR="00194CA5" w:rsidRPr="003179FE">
        <w:rPr>
          <w:rFonts w:eastAsia="Calibri" w:cs="Times New Roman"/>
          <w:bCs/>
          <w:iCs/>
        </w:rPr>
        <w:t>en su totalidad.</w:t>
      </w:r>
      <w:r w:rsidR="00C81691" w:rsidRPr="003179FE">
        <w:rPr>
          <w:rFonts w:eastAsia="Calibri" w:cs="Times New Roman"/>
          <w:bCs/>
          <w:iCs/>
        </w:rPr>
        <w:t xml:space="preserve"> </w:t>
      </w:r>
      <w:r w:rsidRPr="003179FE">
        <w:rPr>
          <w:rFonts w:eastAsia="Calibri" w:cs="Tahoma"/>
          <w:bCs/>
          <w:iCs/>
          <w:color w:val="auto"/>
          <w:lang w:val="es-ES" w:eastAsia="es-ES_tradnl"/>
        </w:rPr>
        <w:t>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w:t>
      </w:r>
      <w:r w:rsidR="00C81691" w:rsidRPr="003179FE">
        <w:rPr>
          <w:rFonts w:eastAsia="Calibri" w:cs="Tahoma"/>
          <w:bCs/>
          <w:iCs/>
          <w:color w:val="auto"/>
          <w:lang w:val="es-ES" w:eastAsia="es-ES_tradnl"/>
        </w:rPr>
        <w:t xml:space="preserve"> </w:t>
      </w:r>
      <w:r w:rsidR="00C81691" w:rsidRPr="003179FE">
        <w:rPr>
          <w:rFonts w:eastAsia="Calibri" w:cs="Tahoma"/>
          <w:bCs/>
          <w:iCs/>
          <w:color w:val="auto"/>
          <w:lang w:eastAsia="es-ES"/>
        </w:rPr>
        <w:t>L</w:t>
      </w:r>
      <w:r w:rsidRPr="003179FE">
        <w:rPr>
          <w:rFonts w:eastAsia="Calibri" w:cs="Tahoma"/>
          <w:bCs/>
          <w:iCs/>
          <w:color w:val="auto"/>
          <w:lang w:eastAsia="es-ES"/>
        </w:rPr>
        <w:t>a labor del Instituto, es apoyar a la población a acceder a la información pública y garantizar la protección de sus datos personales.</w:t>
      </w:r>
    </w:p>
    <w:p w14:paraId="3FC75E7C" w14:textId="77777777" w:rsidR="00CD33AC" w:rsidRPr="003179FE" w:rsidRDefault="00CD33AC" w:rsidP="005C4054">
      <w:pPr>
        <w:spacing w:after="0" w:line="360" w:lineRule="auto"/>
        <w:rPr>
          <w:rFonts w:eastAsia="Times New Roman" w:cs="Tahoma"/>
          <w:bCs/>
          <w:color w:val="auto"/>
          <w:lang w:eastAsia="es-ES"/>
        </w:rPr>
      </w:pPr>
    </w:p>
    <w:p w14:paraId="5E80903D" w14:textId="77777777" w:rsidR="00CD33AC" w:rsidRPr="003179FE" w:rsidRDefault="00CD33AC" w:rsidP="005C4054">
      <w:pPr>
        <w:spacing w:after="0" w:line="360" w:lineRule="auto"/>
        <w:rPr>
          <w:rFonts w:eastAsia="Times New Roman" w:cs="Tahoma"/>
          <w:bCs/>
          <w:color w:val="auto"/>
          <w:lang w:eastAsia="es-ES"/>
        </w:rPr>
      </w:pPr>
      <w:r w:rsidRPr="003179FE">
        <w:rPr>
          <w:rFonts w:eastAsia="Times New Roman" w:cs="Tahoma"/>
          <w:bCs/>
          <w:color w:val="auto"/>
          <w:lang w:eastAsia="es-ES"/>
        </w:rPr>
        <w:t>Por lo expuesto y fundado, este Pleno:</w:t>
      </w:r>
    </w:p>
    <w:p w14:paraId="052A6229" w14:textId="77777777" w:rsidR="00CD33AC" w:rsidRPr="003179FE" w:rsidRDefault="00CD33AC" w:rsidP="005C4054">
      <w:pPr>
        <w:spacing w:after="0" w:line="360" w:lineRule="auto"/>
        <w:rPr>
          <w:rFonts w:eastAsia="Times New Roman" w:cs="Tahoma"/>
          <w:bCs/>
          <w:color w:val="auto"/>
          <w:lang w:eastAsia="es-ES"/>
        </w:rPr>
      </w:pPr>
    </w:p>
    <w:p w14:paraId="460464E2" w14:textId="77777777" w:rsidR="00CD33AC" w:rsidRPr="003179FE" w:rsidRDefault="00CD33AC" w:rsidP="005C4054">
      <w:pPr>
        <w:spacing w:after="0" w:line="360" w:lineRule="auto"/>
        <w:jc w:val="center"/>
        <w:rPr>
          <w:rFonts w:eastAsia="Times New Roman" w:cs="Tahoma"/>
          <w:b/>
          <w:bCs/>
          <w:color w:val="auto"/>
          <w:lang w:eastAsia="es-ES"/>
        </w:rPr>
      </w:pPr>
      <w:r w:rsidRPr="003179FE">
        <w:rPr>
          <w:rFonts w:eastAsia="Times New Roman" w:cs="Tahoma"/>
          <w:b/>
          <w:bCs/>
          <w:color w:val="auto"/>
          <w:lang w:eastAsia="es-ES"/>
        </w:rPr>
        <w:t>R E S U E L V E</w:t>
      </w:r>
    </w:p>
    <w:p w14:paraId="319F0F77" w14:textId="77777777" w:rsidR="00CD33AC" w:rsidRPr="003179FE" w:rsidRDefault="00CD33AC" w:rsidP="005C4054">
      <w:pPr>
        <w:spacing w:after="0" w:line="360" w:lineRule="auto"/>
        <w:ind w:right="113"/>
        <w:rPr>
          <w:rFonts w:eastAsia="Times New Roman" w:cs="Arial"/>
          <w:b/>
          <w:color w:val="FF0000"/>
          <w:lang w:eastAsia="es-ES"/>
        </w:rPr>
      </w:pPr>
    </w:p>
    <w:p w14:paraId="6000B20A" w14:textId="071AFF67" w:rsidR="00344DC2" w:rsidRPr="003179FE" w:rsidRDefault="00344DC2" w:rsidP="005C4054">
      <w:pPr>
        <w:spacing w:after="0" w:line="360" w:lineRule="auto"/>
        <w:rPr>
          <w:rFonts w:cs="Tahoma"/>
        </w:rPr>
      </w:pPr>
      <w:r w:rsidRPr="003179FE">
        <w:rPr>
          <w:rFonts w:eastAsia="Calibri" w:cs="Times New Roman"/>
          <w:b/>
          <w:bCs/>
          <w:iCs/>
        </w:rPr>
        <w:t xml:space="preserve">PRIMERO. </w:t>
      </w:r>
      <w:r w:rsidRPr="003179FE">
        <w:rPr>
          <w:rFonts w:eastAsia="Calibri" w:cs="Times New Roman"/>
          <w:bCs/>
          <w:iCs/>
        </w:rPr>
        <w:t xml:space="preserve">Se </w:t>
      </w:r>
      <w:r w:rsidRPr="003179FE">
        <w:rPr>
          <w:rFonts w:eastAsia="Calibri" w:cs="Times New Roman"/>
          <w:b/>
          <w:bCs/>
          <w:iCs/>
        </w:rPr>
        <w:t>SOBRESEE</w:t>
      </w:r>
      <w:r w:rsidR="005C4054" w:rsidRPr="003179FE">
        <w:rPr>
          <w:rFonts w:eastAsia="Calibri" w:cs="Times New Roman"/>
          <w:b/>
          <w:bCs/>
          <w:iCs/>
        </w:rPr>
        <w:t>N</w:t>
      </w:r>
      <w:r w:rsidRPr="003179FE">
        <w:rPr>
          <w:rFonts w:eastAsia="Calibri" w:cs="Times New Roman"/>
          <w:b/>
          <w:bCs/>
          <w:iCs/>
        </w:rPr>
        <w:t xml:space="preserve"> </w:t>
      </w:r>
      <w:r w:rsidRPr="003179FE">
        <w:rPr>
          <w:rFonts w:eastAsia="Calibri" w:cs="Times New Roman"/>
          <w:bCs/>
          <w:iCs/>
        </w:rPr>
        <w:t xml:space="preserve">los Recursos de Revisión </w:t>
      </w:r>
      <w:r w:rsidRPr="003179FE">
        <w:t>07111/INFOEM/IP/RR/2024 y 07112/INFOEM/IP/RR/2024</w:t>
      </w:r>
      <w:r w:rsidRPr="003179FE">
        <w:rPr>
          <w:rFonts w:eastAsia="Calibri" w:cs="Times New Roman"/>
          <w:bCs/>
          <w:iCs/>
        </w:rPr>
        <w:t xml:space="preserve">, en términos del artículo 192, fracción V, de la Ley de Transparencia y Acceso a la Información Pública del Estado de México y Municipios, </w:t>
      </w:r>
      <w:r w:rsidRPr="003179FE">
        <w:rPr>
          <w:rFonts w:cs="Tahoma"/>
          <w:bCs/>
        </w:rPr>
        <w:t xml:space="preserve">porque el Sujeto Obligado, al dar </w:t>
      </w:r>
      <w:r w:rsidR="005C4054" w:rsidRPr="003179FE">
        <w:rPr>
          <w:rFonts w:cs="Tahoma"/>
          <w:bCs/>
        </w:rPr>
        <w:t>contestación</w:t>
      </w:r>
      <w:r w:rsidRPr="003179FE">
        <w:rPr>
          <w:rFonts w:cs="Tahoma"/>
          <w:bCs/>
        </w:rPr>
        <w:t xml:space="preserve"> a la solicitud, mediante Informe Justificado, el Medio de Impugnación quedó sin materia</w:t>
      </w:r>
      <w:r w:rsidRPr="003179FE">
        <w:rPr>
          <w:rFonts w:cs="Tahoma"/>
        </w:rPr>
        <w:t xml:space="preserve">, de conformidad con los Considerandos TERCERO y CUARTO de la presente Resolución.    </w:t>
      </w:r>
    </w:p>
    <w:p w14:paraId="126A6C1E" w14:textId="77777777" w:rsidR="005C4054" w:rsidRPr="003179FE" w:rsidRDefault="005C4054" w:rsidP="005C4054">
      <w:pPr>
        <w:widowControl w:val="0"/>
        <w:spacing w:after="0" w:line="360" w:lineRule="auto"/>
        <w:rPr>
          <w:rFonts w:eastAsia="Times New Roman" w:cs="Tahoma"/>
          <w:b/>
          <w:bCs/>
          <w:color w:val="auto"/>
          <w:lang w:eastAsia="es-ES"/>
        </w:rPr>
      </w:pPr>
    </w:p>
    <w:p w14:paraId="3E210825" w14:textId="1426092F" w:rsidR="00CD33AC" w:rsidRPr="003179FE" w:rsidRDefault="00344DC2" w:rsidP="005C4054">
      <w:pPr>
        <w:widowControl w:val="0"/>
        <w:spacing w:after="0" w:line="360" w:lineRule="auto"/>
        <w:rPr>
          <w:rFonts w:eastAsia="Calibri" w:cs="Tahoma"/>
          <w:bCs/>
          <w:color w:val="auto"/>
        </w:rPr>
      </w:pPr>
      <w:r w:rsidRPr="003179FE">
        <w:rPr>
          <w:rFonts w:eastAsia="Times New Roman" w:cs="Tahoma"/>
          <w:b/>
          <w:bCs/>
          <w:color w:val="auto"/>
          <w:lang w:eastAsia="es-ES"/>
        </w:rPr>
        <w:t>SEGUNDO</w:t>
      </w:r>
      <w:r w:rsidR="00CD33AC" w:rsidRPr="003179FE">
        <w:rPr>
          <w:rFonts w:eastAsia="Times New Roman" w:cs="Tahoma"/>
          <w:b/>
          <w:bCs/>
          <w:color w:val="auto"/>
          <w:lang w:eastAsia="es-ES"/>
        </w:rPr>
        <w:t xml:space="preserve">. </w:t>
      </w:r>
      <w:r w:rsidR="00CD33AC" w:rsidRPr="003179FE">
        <w:rPr>
          <w:rFonts w:eastAsia="Calibri" w:cs="Tahoma"/>
          <w:bCs/>
          <w:color w:val="auto"/>
        </w:rPr>
        <w:t xml:space="preserve">Resultan </w:t>
      </w:r>
      <w:r w:rsidR="00CD33AC" w:rsidRPr="003179FE">
        <w:rPr>
          <w:rFonts w:eastAsia="Calibri" w:cs="Tahoma"/>
          <w:b/>
          <w:bCs/>
          <w:color w:val="auto"/>
        </w:rPr>
        <w:t>FUNDADAS</w:t>
      </w:r>
      <w:r w:rsidR="00CD33AC" w:rsidRPr="003179FE">
        <w:rPr>
          <w:rFonts w:eastAsia="Calibri" w:cs="Tahoma"/>
          <w:bCs/>
          <w:color w:val="auto"/>
        </w:rPr>
        <w:t xml:space="preserve"> las razones o motivos de inconformidad hechos valer por el Particular en el Recurso de Revisión </w:t>
      </w:r>
      <w:r w:rsidR="00CD33AC" w:rsidRPr="003179FE">
        <w:rPr>
          <w:rFonts w:eastAsia="Calibri" w:cs="Tahoma"/>
          <w:color w:val="auto"/>
        </w:rPr>
        <w:t>0</w:t>
      </w:r>
      <w:r w:rsidRPr="003179FE">
        <w:rPr>
          <w:rFonts w:eastAsia="Calibri" w:cs="Tahoma"/>
          <w:color w:val="auto"/>
        </w:rPr>
        <w:t>7113</w:t>
      </w:r>
      <w:r w:rsidR="00CD33AC" w:rsidRPr="003179FE">
        <w:rPr>
          <w:rFonts w:eastAsia="Calibri" w:cs="Tahoma"/>
          <w:color w:val="auto"/>
        </w:rPr>
        <w:t>/INFOEM/IP/RR/2024</w:t>
      </w:r>
      <w:r w:rsidR="00CD33AC" w:rsidRPr="003179FE">
        <w:rPr>
          <w:rFonts w:eastAsia="Calibri" w:cs="Tahoma"/>
          <w:bCs/>
          <w:color w:val="auto"/>
        </w:rPr>
        <w:t>,</w:t>
      </w:r>
      <w:r w:rsidR="00CD33AC" w:rsidRPr="003179FE">
        <w:rPr>
          <w:rFonts w:eastAsia="Times New Roman" w:cs="Tahoma"/>
          <w:b/>
          <w:color w:val="auto"/>
          <w:lang w:eastAsia="es-ES"/>
        </w:rPr>
        <w:t xml:space="preserve"> </w:t>
      </w:r>
      <w:r w:rsidR="00CD33AC" w:rsidRPr="003179FE">
        <w:rPr>
          <w:rFonts w:eastAsia="Calibri" w:cs="Tahoma"/>
          <w:bCs/>
          <w:color w:val="auto"/>
        </w:rPr>
        <w:t>en términos de los considerandos QUINTO y SEXTO de la presente Resolución.</w:t>
      </w:r>
    </w:p>
    <w:p w14:paraId="73F51C39" w14:textId="77777777" w:rsidR="00344DC2" w:rsidRPr="003179FE" w:rsidRDefault="00344DC2" w:rsidP="005C4054">
      <w:pPr>
        <w:spacing w:after="0" w:line="360" w:lineRule="auto"/>
        <w:rPr>
          <w:rFonts w:eastAsia="Times New Roman" w:cs="Tahoma"/>
          <w:b/>
          <w:bCs/>
          <w:color w:val="FF0000"/>
          <w:lang w:eastAsia="es-ES"/>
        </w:rPr>
      </w:pPr>
    </w:p>
    <w:p w14:paraId="075374C7" w14:textId="4ABD8ED3" w:rsidR="00344DC2" w:rsidRPr="003179FE" w:rsidRDefault="00CD33AC" w:rsidP="005C4054">
      <w:pPr>
        <w:spacing w:after="0" w:line="360" w:lineRule="auto"/>
      </w:pPr>
      <w:r w:rsidRPr="003179FE">
        <w:rPr>
          <w:rFonts w:eastAsia="Calibri" w:cs="Tahoma"/>
          <w:color w:val="auto"/>
          <w:lang w:eastAsia="es-MX"/>
        </w:rPr>
        <w:lastRenderedPageBreak/>
        <w:t xml:space="preserve">Se </w:t>
      </w:r>
      <w:r w:rsidRPr="003179FE">
        <w:rPr>
          <w:rFonts w:eastAsia="Calibri" w:cs="Tahoma"/>
          <w:b/>
          <w:color w:val="auto"/>
          <w:lang w:eastAsia="es-MX"/>
        </w:rPr>
        <w:t xml:space="preserve">ORDENA </w:t>
      </w:r>
      <w:r w:rsidRPr="003179FE">
        <w:rPr>
          <w:rFonts w:eastAsia="Calibri" w:cs="Tahoma"/>
          <w:color w:val="auto"/>
          <w:lang w:eastAsia="es-MX"/>
        </w:rPr>
        <w:t>al Sujeto Obligado</w:t>
      </w:r>
      <w:r w:rsidRPr="003179FE">
        <w:rPr>
          <w:rFonts w:cs="Tahoma"/>
          <w:color w:val="0D0D0D" w:themeColor="text1" w:themeTint="F2"/>
        </w:rPr>
        <w:t xml:space="preserve">, a efecto de que, </w:t>
      </w:r>
      <w:r w:rsidRPr="003179FE">
        <w:rPr>
          <w:rFonts w:eastAsia="Calibri" w:cs="Tahoma"/>
          <w:color w:val="000000"/>
        </w:rPr>
        <w:t xml:space="preserve">previa búsqueda exhaustiva y razonable, en los archivos de las unidades administrativas competentes, entregue </w:t>
      </w:r>
      <w:r w:rsidRPr="003179FE">
        <w:rPr>
          <w:rFonts w:eastAsia="Times New Roman" w:cs="Tahoma"/>
          <w:bCs/>
          <w:color w:val="auto"/>
          <w:lang w:eastAsia="es-ES"/>
        </w:rPr>
        <w:t>a través del Sistema de Acceso a la Información Mexiquense (SAIMEX),</w:t>
      </w:r>
      <w:r w:rsidRPr="003179FE">
        <w:rPr>
          <w:rFonts w:eastAsia="Calibri" w:cs="Tahoma"/>
          <w:color w:val="000000"/>
        </w:rPr>
        <w:t xml:space="preserve"> en</w:t>
      </w:r>
      <w:r w:rsidR="005C4054" w:rsidRPr="003179FE">
        <w:rPr>
          <w:rFonts w:eastAsia="Calibri" w:cs="Tahoma"/>
          <w:color w:val="000000"/>
        </w:rPr>
        <w:t xml:space="preserve"> su caso, en</w:t>
      </w:r>
      <w:r w:rsidRPr="003179FE">
        <w:rPr>
          <w:rFonts w:eastAsia="Calibri" w:cs="Tahoma"/>
          <w:color w:val="000000"/>
        </w:rPr>
        <w:t xml:space="preserve"> versión pública</w:t>
      </w:r>
      <w:r w:rsidRPr="003179FE">
        <w:t xml:space="preserve">, </w:t>
      </w:r>
      <w:r w:rsidR="00344DC2" w:rsidRPr="003179FE">
        <w:t>lo siguiente:</w:t>
      </w:r>
    </w:p>
    <w:p w14:paraId="44356BDA" w14:textId="77777777" w:rsidR="00344DC2" w:rsidRPr="003179FE" w:rsidRDefault="00344DC2" w:rsidP="005C4054">
      <w:pPr>
        <w:spacing w:after="0" w:line="360" w:lineRule="auto"/>
      </w:pPr>
    </w:p>
    <w:p w14:paraId="7FCC4BF0" w14:textId="40D8EF63" w:rsidR="00344DC2" w:rsidRPr="003179FE" w:rsidRDefault="00344DC2" w:rsidP="005C4054">
      <w:pPr>
        <w:numPr>
          <w:ilvl w:val="0"/>
          <w:numId w:val="21"/>
        </w:numPr>
        <w:spacing w:after="0" w:line="360" w:lineRule="auto"/>
        <w:contextualSpacing/>
        <w:rPr>
          <w:rFonts w:eastAsia="Times New Roman" w:cs="Times New Roman"/>
          <w:color w:val="000000"/>
          <w:szCs w:val="24"/>
          <w:lang w:eastAsia="es-ES"/>
        </w:rPr>
      </w:pPr>
      <w:r w:rsidRPr="003179FE">
        <w:rPr>
          <w:rFonts w:eastAsia="Times New Roman" w:cs="Times New Roman"/>
          <w:color w:val="000000"/>
          <w:szCs w:val="24"/>
          <w:lang w:eastAsia="es-ES"/>
        </w:rPr>
        <w:t xml:space="preserve">Los oficios firmados por la servidora pública referida </w:t>
      </w:r>
      <w:r w:rsidR="005C4054" w:rsidRPr="003179FE">
        <w:rPr>
          <w:rFonts w:eastAsia="Times New Roman" w:cs="Times New Roman"/>
          <w:color w:val="000000"/>
          <w:szCs w:val="24"/>
          <w:lang w:eastAsia="es-ES"/>
        </w:rPr>
        <w:t>en la solicitud de información 00510/CAEM/IP/2024</w:t>
      </w:r>
      <w:r w:rsidRPr="003179FE">
        <w:rPr>
          <w:rFonts w:cs="Tahoma"/>
        </w:rPr>
        <w:t>, del dieciséis de abril al siete de octubre de dos mil veinticuatro</w:t>
      </w:r>
      <w:r w:rsidR="005C4054" w:rsidRPr="003179FE">
        <w:rPr>
          <w:rFonts w:cs="Tahoma"/>
        </w:rPr>
        <w:t>, faltantes</w:t>
      </w:r>
      <w:r w:rsidRPr="003179FE">
        <w:rPr>
          <w:rFonts w:cs="Tahoma"/>
        </w:rPr>
        <w:t>.</w:t>
      </w:r>
    </w:p>
    <w:p w14:paraId="190E2B46" w14:textId="5DCF9677" w:rsidR="00344DC2" w:rsidRPr="003179FE" w:rsidRDefault="00344DC2" w:rsidP="005C4054">
      <w:pPr>
        <w:spacing w:after="0" w:line="360" w:lineRule="auto"/>
        <w:ind w:left="720"/>
        <w:contextualSpacing/>
        <w:rPr>
          <w:rFonts w:eastAsia="Times New Roman" w:cs="Times New Roman"/>
          <w:color w:val="000000"/>
          <w:szCs w:val="24"/>
          <w:lang w:eastAsia="es-ES"/>
        </w:rPr>
      </w:pPr>
      <w:r w:rsidRPr="003179FE">
        <w:rPr>
          <w:rFonts w:eastAsia="Times New Roman" w:cs="Times New Roman"/>
          <w:color w:val="000000"/>
          <w:szCs w:val="24"/>
          <w:lang w:eastAsia="es-ES"/>
        </w:rPr>
        <w:t xml:space="preserve"> </w:t>
      </w:r>
    </w:p>
    <w:p w14:paraId="1E02E67A" w14:textId="50241FCA" w:rsidR="00344DC2" w:rsidRPr="003179FE" w:rsidRDefault="00344DC2" w:rsidP="005C4054">
      <w:pPr>
        <w:spacing w:after="0" w:line="360" w:lineRule="auto"/>
      </w:pPr>
      <w:r w:rsidRPr="003179FE">
        <w:t>Además</w:t>
      </w:r>
      <w:r w:rsidR="005C4054" w:rsidRPr="003179FE">
        <w:t>,</w:t>
      </w:r>
      <w:r w:rsidRPr="003179FE">
        <w:t xml:space="preserve"> deberá proporcionar el Acuerdo de Clasificación donde el Comité de Transparencia, confirme la eliminación de los datos clasificados, en la versión pública, de conformidad con los artículos 49, fracciones II y VIII, 132, fracción II y 143, fracción I, de la Ley de Transparencia y Acceso a la Información Pública del Estado de México y Municipios.</w:t>
      </w:r>
    </w:p>
    <w:p w14:paraId="79B7D220" w14:textId="77777777" w:rsidR="00ED0D14" w:rsidRPr="003179FE" w:rsidRDefault="00ED0D14" w:rsidP="005C4054">
      <w:pPr>
        <w:spacing w:after="0" w:line="360" w:lineRule="auto"/>
      </w:pPr>
    </w:p>
    <w:p w14:paraId="06826CB1" w14:textId="77777777" w:rsidR="00ED0D14" w:rsidRPr="003179FE" w:rsidRDefault="00ED0D14" w:rsidP="00ED0D14">
      <w:pPr>
        <w:spacing w:after="0" w:line="360" w:lineRule="auto"/>
        <w:rPr>
          <w:bCs/>
          <w:iCs/>
        </w:rPr>
      </w:pPr>
      <w:r w:rsidRPr="003179FE">
        <w:rPr>
          <w:lang w:val="es-ES"/>
        </w:rPr>
        <w:t>Para el caso, de que haya cancelado alguno de los oficios</w:t>
      </w:r>
      <w:r w:rsidRPr="003179FE">
        <w:rPr>
          <w:bCs/>
          <w:iCs/>
        </w:rPr>
        <w:t>, deberá hacerlo del conocimiento del Recurrente de manera clara y precisa.</w:t>
      </w:r>
    </w:p>
    <w:p w14:paraId="7050A0CC" w14:textId="77777777" w:rsidR="00344DC2" w:rsidRPr="003179FE" w:rsidRDefault="00344DC2" w:rsidP="005C4054">
      <w:pPr>
        <w:spacing w:after="0" w:line="360" w:lineRule="auto"/>
      </w:pPr>
    </w:p>
    <w:p w14:paraId="5DD39A69" w14:textId="77777777" w:rsidR="00CD33AC" w:rsidRPr="003179FE" w:rsidRDefault="00CD33AC" w:rsidP="005C4054">
      <w:pPr>
        <w:spacing w:after="0" w:line="360" w:lineRule="auto"/>
        <w:rPr>
          <w:rFonts w:eastAsia="Calibri" w:cs="Tahoma"/>
          <w:bCs/>
          <w:iCs/>
          <w:color w:val="auto"/>
          <w:lang w:val="es-ES_tradnl" w:eastAsia="es-ES"/>
        </w:rPr>
      </w:pPr>
      <w:r w:rsidRPr="003179FE">
        <w:rPr>
          <w:rFonts w:eastAsia="Calibri" w:cs="Tahoma"/>
          <w:b/>
          <w:bCs/>
          <w:iCs/>
          <w:color w:val="auto"/>
          <w:lang w:val="es-ES" w:eastAsia="es-ES"/>
        </w:rPr>
        <w:t>TERCERO</w:t>
      </w:r>
      <w:r w:rsidRPr="003179FE">
        <w:rPr>
          <w:rFonts w:eastAsia="Calibri" w:cs="Tahoma"/>
          <w:b/>
          <w:bCs/>
          <w:color w:val="auto"/>
        </w:rPr>
        <w:t xml:space="preserve">. </w:t>
      </w:r>
      <w:r w:rsidRPr="003179FE">
        <w:rPr>
          <w:rFonts w:eastAsia="Calibri" w:cs="Tahoma"/>
          <w:bCs/>
          <w:iCs/>
          <w:color w:val="auto"/>
          <w:lang w:val="es-ES_tradnl" w:eastAsia="es-ES"/>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19D7A5E2" w14:textId="77777777" w:rsidR="00CD33AC" w:rsidRPr="003179FE" w:rsidRDefault="00CD33AC" w:rsidP="005C4054">
      <w:pPr>
        <w:spacing w:after="0" w:line="360" w:lineRule="auto"/>
        <w:rPr>
          <w:rFonts w:eastAsia="Calibri" w:cs="Tahoma"/>
          <w:bCs/>
          <w:iCs/>
          <w:color w:val="auto"/>
          <w:lang w:eastAsia="es-ES"/>
        </w:rPr>
      </w:pPr>
    </w:p>
    <w:p w14:paraId="01038C9F" w14:textId="77777777" w:rsidR="00CD33AC" w:rsidRPr="003179FE" w:rsidRDefault="00CD33AC" w:rsidP="005C4054">
      <w:pPr>
        <w:spacing w:after="0" w:line="360" w:lineRule="auto"/>
        <w:rPr>
          <w:color w:val="auto"/>
        </w:rPr>
      </w:pPr>
      <w:r w:rsidRPr="003179FE">
        <w:rPr>
          <w:rFonts w:eastAsia="Calibri" w:cs="Tahoma"/>
          <w:b/>
          <w:color w:val="auto"/>
          <w:lang w:eastAsia="es-MX"/>
        </w:rPr>
        <w:t>CUARTO</w:t>
      </w:r>
      <w:r w:rsidRPr="003179FE">
        <w:rPr>
          <w:rFonts w:eastAsia="Calibri" w:cs="Tahoma"/>
          <w:b/>
          <w:bCs/>
          <w:color w:val="auto"/>
        </w:rPr>
        <w:t xml:space="preserve">. </w:t>
      </w:r>
      <w:r w:rsidRPr="003179FE">
        <w:rPr>
          <w:rFonts w:eastAsia="Times New Roman" w:cs="Tahoma"/>
          <w:b/>
          <w:color w:val="auto"/>
          <w:lang w:eastAsia="es-ES"/>
        </w:rPr>
        <w:t xml:space="preserve">NOTIFÍQUESE POR SAIMEX </w:t>
      </w:r>
      <w:r w:rsidRPr="003179FE">
        <w:rPr>
          <w:rFonts w:eastAsia="Times New Roman" w:cs="Tahoma"/>
          <w:color w:val="auto"/>
          <w:lang w:eastAsia="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w:t>
      </w:r>
      <w:r w:rsidRPr="003179FE">
        <w:rPr>
          <w:rFonts w:eastAsia="Times New Roman" w:cs="Tahoma"/>
          <w:color w:val="auto"/>
          <w:lang w:eastAsia="es-ES"/>
        </w:rPr>
        <w:lastRenderedPageBreak/>
        <w:t xml:space="preserve">días hábiles, e informe a este Instituto en un plazo de tres días hábiles siguientes sobre el cumplimiento dado a la presente, </w:t>
      </w:r>
      <w:r w:rsidRPr="003179FE">
        <w:rPr>
          <w:color w:val="auto"/>
        </w:rPr>
        <w:t>se le apercibe que en caso de negarse a cumplir la presente resolución o hacerlo de manera parcial, se le impondrá una medida de apremio de conformidad con lo previsto en los artículos 198, 200, fracción III, 214, 215 y 216 de la Ley referida.</w:t>
      </w:r>
    </w:p>
    <w:p w14:paraId="0036681D" w14:textId="77777777" w:rsidR="00CD33AC" w:rsidRPr="003179FE" w:rsidRDefault="00CD33AC" w:rsidP="005C4054">
      <w:pPr>
        <w:spacing w:after="0" w:line="360" w:lineRule="auto"/>
        <w:rPr>
          <w:rFonts w:eastAsia="Times New Roman" w:cs="Tahoma"/>
          <w:color w:val="auto"/>
          <w:lang w:eastAsia="es-ES"/>
        </w:rPr>
      </w:pPr>
    </w:p>
    <w:p w14:paraId="4244C46D" w14:textId="176AF858" w:rsidR="00CD33AC" w:rsidRPr="003179FE" w:rsidRDefault="00CD33AC" w:rsidP="005C4054">
      <w:pPr>
        <w:spacing w:after="0" w:line="360" w:lineRule="auto"/>
        <w:ind w:right="-93"/>
        <w:rPr>
          <w:rFonts w:eastAsia="Times New Roman" w:cs="Tahoma"/>
          <w:lang w:eastAsia="es-ES"/>
        </w:rPr>
      </w:pPr>
      <w:r w:rsidRPr="003179FE">
        <w:rPr>
          <w:rFonts w:eastAsia="Calibri" w:cs="Tahoma"/>
          <w:b/>
          <w:bCs/>
          <w:iCs/>
          <w:color w:val="auto"/>
          <w:lang w:val="es-ES" w:eastAsia="es-ES"/>
        </w:rPr>
        <w:t>QUINTO</w:t>
      </w:r>
      <w:r w:rsidRPr="003179FE">
        <w:rPr>
          <w:rFonts w:eastAsia="Calibri" w:cs="Tahoma"/>
          <w:bCs/>
          <w:iCs/>
          <w:color w:val="auto"/>
          <w:lang w:val="es-ES" w:eastAsia="es-ES"/>
        </w:rPr>
        <w:t>.</w:t>
      </w:r>
      <w:r w:rsidRPr="003179FE">
        <w:rPr>
          <w:rFonts w:eastAsia="Times New Roman" w:cs="Tahoma"/>
          <w:b/>
          <w:color w:val="auto"/>
          <w:lang w:eastAsia="es-ES"/>
        </w:rPr>
        <w:t xml:space="preserve"> NOTIFÍQUESE POR SAIMEX </w:t>
      </w:r>
      <w:r w:rsidRPr="003179FE">
        <w:rPr>
          <w:rFonts w:eastAsia="Times New Roman" w:cs="Tahoma"/>
          <w:bCs/>
          <w:color w:val="auto"/>
          <w:lang w:eastAsia="es-ES"/>
        </w:rPr>
        <w:t>a la persona Recurrente la presente Resolución</w:t>
      </w:r>
      <w:r w:rsidRPr="003179FE">
        <w:rPr>
          <w:rFonts w:eastAsia="Times New Roman" w:cs="Tahoma"/>
          <w:bCs/>
          <w:color w:val="auto"/>
          <w:lang w:val="es-ES" w:eastAsia="es-ES"/>
        </w:rPr>
        <w:t>,</w:t>
      </w:r>
      <w:r w:rsidRPr="003179FE">
        <w:rPr>
          <w:rFonts w:eastAsia="Times New Roman" w:cs="Tahoma"/>
          <w:bCs/>
          <w:color w:val="auto"/>
          <w:lang w:eastAsia="es-ES"/>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w:t>
      </w:r>
      <w:r w:rsidR="00B24773" w:rsidRPr="003179FE">
        <w:rPr>
          <w:rFonts w:eastAsia="Times New Roman" w:cs="Tahoma"/>
          <w:bCs/>
          <w:color w:val="auto"/>
          <w:lang w:eastAsia="es-ES"/>
        </w:rPr>
        <w:t>.</w:t>
      </w:r>
    </w:p>
    <w:p w14:paraId="63306F29" w14:textId="77777777" w:rsidR="00CD33AC" w:rsidRPr="003179FE" w:rsidRDefault="00CD33AC" w:rsidP="005C4054">
      <w:pPr>
        <w:spacing w:after="0" w:line="360" w:lineRule="auto"/>
        <w:rPr>
          <w:rFonts w:eastAsia="Times New Roman" w:cs="Tahoma"/>
          <w:color w:val="auto"/>
          <w:lang w:eastAsia="es-ES"/>
        </w:rPr>
      </w:pPr>
    </w:p>
    <w:p w14:paraId="54255900" w14:textId="77777777" w:rsidR="00CD33AC" w:rsidRPr="003179FE" w:rsidRDefault="00CD33AC" w:rsidP="005C4054">
      <w:pPr>
        <w:spacing w:after="0" w:line="360" w:lineRule="auto"/>
        <w:rPr>
          <w:rFonts w:eastAsia="Calibri" w:cs="Tahoma"/>
          <w:bCs/>
          <w:color w:val="auto"/>
        </w:rPr>
      </w:pPr>
      <w:r w:rsidRPr="003179FE">
        <w:rPr>
          <w:b/>
          <w:bCs/>
          <w:color w:val="auto"/>
        </w:rPr>
        <w:t>SEXTO.</w:t>
      </w:r>
      <w:r w:rsidRPr="003179FE">
        <w:rPr>
          <w:color w:val="auto"/>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37D43E6D" w14:textId="77777777" w:rsidR="00CD33AC" w:rsidRPr="003179FE" w:rsidRDefault="00CD33AC" w:rsidP="005C4054">
      <w:pPr>
        <w:spacing w:after="0" w:line="360" w:lineRule="auto"/>
        <w:rPr>
          <w:bCs/>
          <w:color w:val="auto"/>
        </w:rPr>
      </w:pPr>
    </w:p>
    <w:p w14:paraId="646BA4E0" w14:textId="2A10D700" w:rsidR="00CD33AC" w:rsidRDefault="00CD33AC" w:rsidP="005C4054">
      <w:pPr>
        <w:spacing w:after="0" w:line="360" w:lineRule="auto"/>
        <w:rPr>
          <w:rFonts w:cs="Tahoma"/>
          <w:color w:val="auto"/>
          <w:lang w:eastAsia="es-MX"/>
        </w:rPr>
      </w:pPr>
      <w:r w:rsidRPr="003179FE">
        <w:rPr>
          <w:rFonts w:cs="Tahoma"/>
          <w:color w:val="auto"/>
          <w:lang w:eastAsia="es-MX"/>
        </w:rPr>
        <w:t xml:space="preserve">ASÍ, POR </w:t>
      </w:r>
      <w:r w:rsidRPr="003179FE">
        <w:rPr>
          <w:rFonts w:cs="Tahoma"/>
          <w:b/>
          <w:color w:val="auto"/>
          <w:lang w:eastAsia="es-MX"/>
        </w:rPr>
        <w:t>UNANIMIDAD</w:t>
      </w:r>
      <w:r w:rsidRPr="003179FE">
        <w:rPr>
          <w:rFonts w:cs="Tahoma"/>
          <w:color w:val="auto"/>
          <w:lang w:eastAsia="es-MX"/>
        </w:rPr>
        <w:t xml:space="preserve"> DE VOTOS, LO RESOLVIERON Y FIRMAN LOS COMISIONADOS DEL INSTITUTO DE TRANSPARENCIA, ACCESO A LA INFORMACIÓN PÚBLICA Y PROTECCIÓN DE DATOS PERSONALES DEL ESTADO DE MÉXICO Y MUNICIPIOS, </w:t>
      </w:r>
      <w:r w:rsidRPr="003179FE">
        <w:rPr>
          <w:rFonts w:cs="Tahoma"/>
          <w:bCs/>
          <w:color w:val="auto"/>
          <w:lang w:eastAsia="es-MX"/>
        </w:rPr>
        <w:t>CONFORMADO POR LOS COMISIONADOS JOSÉ MARTÍNEZ VILCHIS, MARÍA DEL ROSARIO MEJÍA AYALA, SHARON CRISTINA MORALES MARTÍNEZ, LUIS GUSTAVO PARRA NORIEGA Y GUADALUPE RAMÍREZ PEÑA</w:t>
      </w:r>
      <w:r w:rsidRPr="003179FE">
        <w:rPr>
          <w:rFonts w:cs="Tahoma"/>
          <w:color w:val="auto"/>
          <w:lang w:eastAsia="es-MX"/>
        </w:rPr>
        <w:t xml:space="preserve">, EN LA </w:t>
      </w:r>
      <w:r w:rsidR="00F25DCB" w:rsidRPr="003179FE">
        <w:rPr>
          <w:rFonts w:cs="Tahoma"/>
          <w:color w:val="auto"/>
          <w:lang w:eastAsia="es-MX"/>
        </w:rPr>
        <w:t>CUADRAGÉSIMA TERCERA</w:t>
      </w:r>
      <w:r w:rsidRPr="003179FE">
        <w:rPr>
          <w:rFonts w:cs="Tahoma"/>
          <w:color w:val="auto"/>
          <w:lang w:eastAsia="es-MX"/>
        </w:rPr>
        <w:t xml:space="preserve"> SESIÓN ORDINARIA, CELEBRADA EL </w:t>
      </w:r>
      <w:r w:rsidR="00D77F62" w:rsidRPr="003179FE">
        <w:rPr>
          <w:rFonts w:cs="Tahoma"/>
          <w:color w:val="auto"/>
          <w:lang w:eastAsia="es-MX"/>
        </w:rPr>
        <w:t xml:space="preserve">ONCE DE DICIEMBRE </w:t>
      </w:r>
      <w:r w:rsidRPr="003179FE">
        <w:rPr>
          <w:rFonts w:eastAsia="Times New Roman" w:cs="Tahoma"/>
          <w:bCs/>
          <w:color w:val="auto"/>
          <w:lang w:eastAsia="es-ES"/>
        </w:rPr>
        <w:t>DE DOS MIL VEINTICUATRO</w:t>
      </w:r>
      <w:r w:rsidRPr="003179FE">
        <w:rPr>
          <w:rFonts w:cs="Tahoma"/>
          <w:color w:val="auto"/>
          <w:lang w:eastAsia="es-MX"/>
        </w:rPr>
        <w:t>, ANTE EL SECRETARIO TÉCNICO DEL PLENO, ALEXIS TAPIA RAMÍREZ.</w:t>
      </w:r>
    </w:p>
    <w:p w14:paraId="2236CBAF" w14:textId="77777777" w:rsidR="00CD33AC" w:rsidRPr="00D321FF" w:rsidRDefault="00CD33AC" w:rsidP="005C4054">
      <w:pPr>
        <w:spacing w:after="0" w:line="360" w:lineRule="auto"/>
        <w:rPr>
          <w:rFonts w:eastAsia="Calibri" w:cs="Times New Roman"/>
          <w:bCs/>
          <w:iCs/>
        </w:rPr>
      </w:pPr>
    </w:p>
    <w:p w14:paraId="65C4B992" w14:textId="6E8D2690" w:rsidR="00F56401" w:rsidRPr="00C03D4D" w:rsidRDefault="00F56401" w:rsidP="005C4054">
      <w:pPr>
        <w:spacing w:after="0" w:line="360" w:lineRule="auto"/>
        <w:rPr>
          <w:b/>
          <w:bCs/>
          <w:color w:val="000000"/>
        </w:rPr>
      </w:pPr>
    </w:p>
    <w:p w14:paraId="6A0F3DDA" w14:textId="77777777" w:rsidR="00F56401" w:rsidRDefault="00F56401" w:rsidP="005C4054">
      <w:pPr>
        <w:tabs>
          <w:tab w:val="left" w:pos="4962"/>
        </w:tabs>
        <w:spacing w:after="0" w:line="360" w:lineRule="auto"/>
        <w:rPr>
          <w:rFonts w:cs="Tahoma"/>
        </w:rPr>
      </w:pPr>
    </w:p>
    <w:p w14:paraId="1759FEA2" w14:textId="77777777" w:rsidR="0091092F" w:rsidRDefault="0091092F" w:rsidP="005C4054">
      <w:pPr>
        <w:tabs>
          <w:tab w:val="left" w:pos="4962"/>
        </w:tabs>
        <w:spacing w:after="0" w:line="360" w:lineRule="auto"/>
        <w:rPr>
          <w:rFonts w:cs="Tahoma"/>
        </w:rPr>
      </w:pPr>
    </w:p>
    <w:p w14:paraId="2EDB87D8" w14:textId="77777777" w:rsidR="008B0144" w:rsidRDefault="008B0144" w:rsidP="005C4054">
      <w:pPr>
        <w:tabs>
          <w:tab w:val="left" w:pos="4962"/>
        </w:tabs>
        <w:spacing w:after="0" w:line="360" w:lineRule="auto"/>
        <w:rPr>
          <w:rFonts w:cs="Tahoma"/>
        </w:rPr>
      </w:pPr>
    </w:p>
    <w:p w14:paraId="475999CF" w14:textId="77777777" w:rsidR="008B0144" w:rsidRPr="009F37C2" w:rsidRDefault="008B0144" w:rsidP="005C4054">
      <w:pPr>
        <w:tabs>
          <w:tab w:val="left" w:pos="4962"/>
        </w:tabs>
        <w:spacing w:after="0" w:line="360" w:lineRule="auto"/>
        <w:rPr>
          <w:rFonts w:eastAsia="Calibri" w:cs="Tahoma"/>
          <w:iCs/>
          <w:lang w:val="es-ES" w:eastAsia="es-ES_tradnl"/>
        </w:rPr>
      </w:pPr>
    </w:p>
    <w:p w14:paraId="00260261" w14:textId="39D0D39F" w:rsidR="002D3907" w:rsidRDefault="002D3907" w:rsidP="005C4054">
      <w:pPr>
        <w:spacing w:after="0" w:line="360" w:lineRule="auto"/>
        <w:contextualSpacing/>
        <w:rPr>
          <w:rFonts w:cs="Tahoma"/>
          <w:bCs/>
        </w:rPr>
      </w:pPr>
    </w:p>
    <w:p w14:paraId="0388E89B" w14:textId="4D35EA0D" w:rsidR="00712AB9" w:rsidRPr="004D24F0" w:rsidRDefault="00712AB9" w:rsidP="005C4054">
      <w:pPr>
        <w:spacing w:after="0" w:line="360" w:lineRule="auto"/>
        <w:rPr>
          <w:rFonts w:eastAsia="Calibri" w:cs="Tahoma"/>
          <w:bCs/>
        </w:rPr>
      </w:pPr>
    </w:p>
    <w:p w14:paraId="3650364F" w14:textId="77777777" w:rsidR="00712AB9" w:rsidRPr="004D24F0" w:rsidRDefault="00712AB9" w:rsidP="005C4054">
      <w:pPr>
        <w:spacing w:after="0" w:line="360" w:lineRule="auto"/>
        <w:rPr>
          <w:rFonts w:eastAsia="Calibri" w:cs="Tahoma"/>
          <w:bCs/>
        </w:rPr>
      </w:pPr>
    </w:p>
    <w:p w14:paraId="7C12D9C2" w14:textId="77777777" w:rsidR="00D9713D" w:rsidRDefault="00D9713D" w:rsidP="005C4054">
      <w:pPr>
        <w:spacing w:after="0" w:line="360" w:lineRule="auto"/>
        <w:rPr>
          <w:rFonts w:eastAsia="Times New Roman" w:cs="Tahoma"/>
          <w:color w:val="auto"/>
          <w:lang w:eastAsia="es-ES"/>
        </w:rPr>
      </w:pPr>
    </w:p>
    <w:p w14:paraId="49210536" w14:textId="77777777" w:rsidR="00712AB9" w:rsidRDefault="00712AB9" w:rsidP="005C4054">
      <w:pPr>
        <w:spacing w:after="0" w:line="360" w:lineRule="auto"/>
        <w:rPr>
          <w:rFonts w:eastAsia="Times New Roman" w:cs="Tahoma"/>
          <w:lang w:eastAsia="es-ES"/>
        </w:rPr>
      </w:pPr>
    </w:p>
    <w:p w14:paraId="562C9EA5" w14:textId="77777777" w:rsidR="00712AB9" w:rsidRDefault="00712AB9" w:rsidP="005C4054">
      <w:pPr>
        <w:spacing w:after="0" w:line="360" w:lineRule="auto"/>
        <w:jc w:val="center"/>
        <w:rPr>
          <w:rFonts w:eastAsia="Times New Roman" w:cs="Tahoma"/>
          <w:b/>
          <w:color w:val="auto"/>
          <w:lang w:val="es-ES" w:eastAsia="es-ES"/>
        </w:rPr>
      </w:pPr>
    </w:p>
    <w:p w14:paraId="6BC1793A" w14:textId="77777777" w:rsidR="007C0C00" w:rsidRDefault="007C0C00" w:rsidP="005C4054">
      <w:pPr>
        <w:spacing w:after="0" w:line="360" w:lineRule="auto"/>
        <w:jc w:val="center"/>
        <w:rPr>
          <w:rFonts w:eastAsia="Times New Roman" w:cs="Tahoma"/>
          <w:b/>
          <w:color w:val="auto"/>
          <w:lang w:val="es-ES" w:eastAsia="es-ES"/>
        </w:rPr>
      </w:pPr>
    </w:p>
    <w:p w14:paraId="61DD8436" w14:textId="77777777" w:rsidR="007C0C00" w:rsidRDefault="007C0C00" w:rsidP="005C4054">
      <w:pPr>
        <w:spacing w:after="0" w:line="360" w:lineRule="auto"/>
        <w:jc w:val="center"/>
        <w:rPr>
          <w:rFonts w:eastAsia="Times New Roman" w:cs="Tahoma"/>
          <w:b/>
          <w:color w:val="auto"/>
          <w:lang w:val="es-ES" w:eastAsia="es-ES"/>
        </w:rPr>
      </w:pPr>
    </w:p>
    <w:p w14:paraId="700ACFAF" w14:textId="77777777" w:rsidR="007C0C00" w:rsidRDefault="007C0C00" w:rsidP="005C4054">
      <w:pPr>
        <w:spacing w:after="0" w:line="360" w:lineRule="auto"/>
        <w:jc w:val="center"/>
        <w:rPr>
          <w:rFonts w:eastAsia="Times New Roman" w:cs="Tahoma"/>
          <w:b/>
          <w:color w:val="auto"/>
          <w:lang w:val="es-ES" w:eastAsia="es-ES"/>
        </w:rPr>
      </w:pPr>
    </w:p>
    <w:p w14:paraId="2CBD3C3C" w14:textId="77777777" w:rsidR="007C0C00" w:rsidRDefault="007C0C00" w:rsidP="005C4054">
      <w:pPr>
        <w:spacing w:after="0" w:line="360" w:lineRule="auto"/>
        <w:jc w:val="center"/>
        <w:rPr>
          <w:rFonts w:eastAsia="Times New Roman" w:cs="Tahoma"/>
          <w:b/>
          <w:color w:val="auto"/>
          <w:lang w:val="es-ES" w:eastAsia="es-ES"/>
        </w:rPr>
      </w:pPr>
    </w:p>
    <w:p w14:paraId="477FF12D" w14:textId="77777777" w:rsidR="007C0C00" w:rsidRDefault="007C0C00" w:rsidP="005C4054">
      <w:pPr>
        <w:spacing w:after="0" w:line="360" w:lineRule="auto"/>
        <w:jc w:val="center"/>
        <w:rPr>
          <w:rFonts w:eastAsia="Times New Roman" w:cs="Tahoma"/>
          <w:b/>
          <w:color w:val="auto"/>
          <w:lang w:val="es-ES" w:eastAsia="es-ES"/>
        </w:rPr>
      </w:pPr>
    </w:p>
    <w:p w14:paraId="3F298ADF" w14:textId="77777777" w:rsidR="007C0C00" w:rsidRDefault="007C0C00" w:rsidP="005C4054">
      <w:pPr>
        <w:spacing w:after="0" w:line="360" w:lineRule="auto"/>
        <w:jc w:val="center"/>
        <w:rPr>
          <w:rFonts w:eastAsia="Times New Roman" w:cs="Tahoma"/>
          <w:b/>
          <w:color w:val="auto"/>
          <w:lang w:val="es-ES" w:eastAsia="es-ES"/>
        </w:rPr>
      </w:pPr>
    </w:p>
    <w:p w14:paraId="10F851DB" w14:textId="77777777" w:rsidR="007C0C00" w:rsidRDefault="007C0C00" w:rsidP="005C4054">
      <w:pPr>
        <w:spacing w:after="0" w:line="360" w:lineRule="auto"/>
        <w:jc w:val="center"/>
        <w:rPr>
          <w:rFonts w:eastAsia="Times New Roman" w:cs="Tahoma"/>
          <w:b/>
          <w:color w:val="auto"/>
          <w:lang w:val="es-ES" w:eastAsia="es-ES"/>
        </w:rPr>
      </w:pPr>
    </w:p>
    <w:p w14:paraId="28660817" w14:textId="77777777" w:rsidR="009109DA" w:rsidRDefault="009109DA" w:rsidP="005C4054">
      <w:pPr>
        <w:spacing w:after="0" w:line="360" w:lineRule="auto"/>
        <w:ind w:right="-28"/>
        <w:rPr>
          <w:rFonts w:eastAsia="Calibri" w:cs="Tahoma"/>
          <w:b/>
          <w:bCs/>
          <w:color w:val="auto"/>
        </w:rPr>
      </w:pPr>
    </w:p>
    <w:p w14:paraId="4BC3DC36" w14:textId="77777777" w:rsidR="00D501AD" w:rsidRDefault="00D501AD" w:rsidP="005C4054">
      <w:pPr>
        <w:spacing w:after="0" w:line="360" w:lineRule="auto"/>
        <w:ind w:right="-28"/>
        <w:rPr>
          <w:rFonts w:eastAsia="Calibri" w:cs="Tahoma"/>
          <w:b/>
          <w:bCs/>
          <w:color w:val="auto"/>
        </w:rPr>
      </w:pPr>
    </w:p>
    <w:sectPr w:rsidR="00D501AD" w:rsidSect="007F77E2">
      <w:type w:val="continuous"/>
      <w:pgSz w:w="12240" w:h="15840"/>
      <w:pgMar w:top="1418" w:right="1608" w:bottom="1560"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A2664" w14:textId="77777777" w:rsidR="004A62CE" w:rsidRDefault="004A62CE" w:rsidP="009109DA">
      <w:pPr>
        <w:spacing w:after="0" w:line="240" w:lineRule="auto"/>
      </w:pPr>
      <w:r>
        <w:separator/>
      </w:r>
    </w:p>
  </w:endnote>
  <w:endnote w:type="continuationSeparator" w:id="0">
    <w:p w14:paraId="5D367F4B" w14:textId="77777777" w:rsidR="004A62CE" w:rsidRDefault="004A62CE" w:rsidP="009109DA">
      <w:pPr>
        <w:spacing w:after="0" w:line="240" w:lineRule="auto"/>
      </w:pPr>
      <w:r>
        <w:continuationSeparator/>
      </w:r>
    </w:p>
  </w:endnote>
  <w:endnote w:type="continuationNotice" w:id="1">
    <w:p w14:paraId="3581B03D" w14:textId="77777777" w:rsidR="004A62CE" w:rsidRDefault="004A6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1D3D5161" w14:textId="77777777" w:rsidR="00021304" w:rsidRDefault="0002130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A05F5">
              <w:rPr>
                <w:b/>
                <w:bCs/>
                <w:noProof/>
              </w:rPr>
              <w:t>45</w:t>
            </w:r>
            <w:r>
              <w:rPr>
                <w:b/>
                <w:bCs/>
                <w:sz w:val="24"/>
                <w:szCs w:val="24"/>
              </w:rPr>
              <w:fldChar w:fldCharType="end"/>
            </w:r>
          </w:p>
        </w:sdtContent>
      </w:sdt>
    </w:sdtContent>
  </w:sdt>
  <w:p w14:paraId="5467B2EE" w14:textId="77777777" w:rsidR="00021304" w:rsidRDefault="000213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1E2C91C" w14:textId="77777777" w:rsidR="00021304" w:rsidRDefault="0002130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D4E82">
              <w:rPr>
                <w:b/>
                <w:bCs/>
                <w:noProof/>
              </w:rPr>
              <w:t>44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D4E82">
              <w:rPr>
                <w:b/>
                <w:bCs/>
                <w:noProof/>
              </w:rPr>
              <w:t>45</w:t>
            </w:r>
            <w:r>
              <w:rPr>
                <w:b/>
                <w:bCs/>
                <w:sz w:val="24"/>
                <w:szCs w:val="24"/>
              </w:rPr>
              <w:fldChar w:fldCharType="end"/>
            </w:r>
          </w:p>
        </w:sdtContent>
      </w:sdt>
    </w:sdtContent>
  </w:sdt>
  <w:p w14:paraId="044A0D1E" w14:textId="77777777" w:rsidR="00021304" w:rsidRDefault="000213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1CD3AE81" w14:textId="77777777" w:rsidR="00021304" w:rsidRDefault="0002130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D4E8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D4E82">
              <w:rPr>
                <w:b/>
                <w:bCs/>
                <w:noProof/>
              </w:rPr>
              <w:t>45</w:t>
            </w:r>
            <w:r>
              <w:rPr>
                <w:b/>
                <w:bCs/>
                <w:sz w:val="24"/>
                <w:szCs w:val="24"/>
              </w:rPr>
              <w:fldChar w:fldCharType="end"/>
            </w:r>
          </w:p>
        </w:sdtContent>
      </w:sdt>
    </w:sdtContent>
  </w:sdt>
  <w:p w14:paraId="7FDA568A" w14:textId="77777777" w:rsidR="00021304" w:rsidRDefault="000213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3A596" w14:textId="77777777" w:rsidR="004A62CE" w:rsidRDefault="004A62CE" w:rsidP="009109DA">
      <w:pPr>
        <w:spacing w:after="0" w:line="240" w:lineRule="auto"/>
      </w:pPr>
      <w:r>
        <w:separator/>
      </w:r>
    </w:p>
  </w:footnote>
  <w:footnote w:type="continuationSeparator" w:id="0">
    <w:p w14:paraId="79E5D89F" w14:textId="77777777" w:rsidR="004A62CE" w:rsidRDefault="004A62CE" w:rsidP="009109DA">
      <w:pPr>
        <w:spacing w:after="0" w:line="240" w:lineRule="auto"/>
      </w:pPr>
      <w:r>
        <w:continuationSeparator/>
      </w:r>
    </w:p>
  </w:footnote>
  <w:footnote w:type="continuationNotice" w:id="1">
    <w:p w14:paraId="7AD64B71" w14:textId="77777777" w:rsidR="004A62CE" w:rsidRDefault="004A62C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021304" w:rsidRPr="00E152D8" w14:paraId="5CF799E1" w14:textId="77777777" w:rsidTr="00021304">
      <w:trPr>
        <w:trHeight w:val="132"/>
      </w:trPr>
      <w:tc>
        <w:tcPr>
          <w:tcW w:w="2691" w:type="dxa"/>
        </w:tcPr>
        <w:p w14:paraId="58433B88" w14:textId="77777777" w:rsidR="00021304" w:rsidRPr="00E152D8" w:rsidRDefault="00021304" w:rsidP="00021304">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264FC2F9" w14:textId="77777777" w:rsidR="00021304" w:rsidRPr="00EE1572" w:rsidRDefault="00021304" w:rsidP="00021304">
          <w:pPr>
            <w:tabs>
              <w:tab w:val="right" w:pos="8838"/>
            </w:tabs>
            <w:ind w:left="-28" w:right="-32"/>
            <w:rPr>
              <w:rFonts w:eastAsia="Calibri" w:cs="Tahoma"/>
            </w:rPr>
          </w:pPr>
          <w:r w:rsidRPr="00EE1572">
            <w:rPr>
              <w:rFonts w:eastAsia="Calibri" w:cs="Tahoma"/>
            </w:rPr>
            <w:t>03846/INFOEM/IP/RR/2020</w:t>
          </w:r>
        </w:p>
      </w:tc>
    </w:tr>
    <w:tr w:rsidR="00021304" w:rsidRPr="00E152D8" w14:paraId="4F9344E6" w14:textId="77777777" w:rsidTr="00021304">
      <w:trPr>
        <w:trHeight w:val="261"/>
      </w:trPr>
      <w:tc>
        <w:tcPr>
          <w:tcW w:w="2691" w:type="dxa"/>
        </w:tcPr>
        <w:p w14:paraId="21D73B42" w14:textId="77777777" w:rsidR="00021304" w:rsidRPr="00E152D8" w:rsidRDefault="00021304"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90929BE" w14:textId="77777777" w:rsidR="00021304" w:rsidRPr="00EE1572" w:rsidRDefault="00021304" w:rsidP="00021304">
          <w:pPr>
            <w:tabs>
              <w:tab w:val="right" w:pos="8838"/>
            </w:tabs>
            <w:ind w:right="-32"/>
            <w:rPr>
              <w:rFonts w:eastAsia="Calibri" w:cs="Tahoma"/>
              <w:lang w:val="es-MX"/>
            </w:rPr>
          </w:pPr>
          <w:r w:rsidRPr="00EE1572">
            <w:rPr>
              <w:rFonts w:eastAsia="Calibri" w:cs="Tahoma"/>
              <w:lang w:val="es-MX"/>
            </w:rPr>
            <w:t>Ayuntamiento de Temascalcingo</w:t>
          </w:r>
        </w:p>
      </w:tc>
    </w:tr>
    <w:tr w:rsidR="00021304" w:rsidRPr="00E152D8" w14:paraId="0CB77E34" w14:textId="77777777" w:rsidTr="00021304">
      <w:trPr>
        <w:trHeight w:val="261"/>
      </w:trPr>
      <w:tc>
        <w:tcPr>
          <w:tcW w:w="2691" w:type="dxa"/>
        </w:tcPr>
        <w:p w14:paraId="5FC71474" w14:textId="77777777" w:rsidR="00021304" w:rsidRPr="00E152D8" w:rsidRDefault="00021304" w:rsidP="00021304">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73688B5E" w14:textId="77777777" w:rsidR="00021304" w:rsidRPr="00E152D8" w:rsidRDefault="00021304" w:rsidP="00021304">
          <w:pPr>
            <w:tabs>
              <w:tab w:val="right" w:pos="8838"/>
            </w:tabs>
            <w:ind w:right="-32"/>
            <w:rPr>
              <w:rFonts w:eastAsia="Calibri" w:cs="Tahoma"/>
              <w:b/>
              <w:lang w:val="es-MX"/>
            </w:rPr>
          </w:pPr>
          <w:r w:rsidRPr="00E152D8">
            <w:rPr>
              <w:rFonts w:eastAsia="Calibri" w:cs="Tahoma"/>
              <w:lang w:val="es-MX"/>
            </w:rPr>
            <w:t>Luis Gustavo Parra Noriega</w:t>
          </w:r>
        </w:p>
      </w:tc>
    </w:tr>
  </w:tbl>
  <w:p w14:paraId="7671377A" w14:textId="77777777" w:rsidR="00021304" w:rsidRDefault="004A62CE">
    <w:pPr>
      <w:pStyle w:val="Encabezado"/>
    </w:pPr>
    <w:r>
      <w:rPr>
        <w:noProof/>
      </w:rPr>
      <w:pict w14:anchorId="7525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49" type="#_x0000_t75" alt="" style="position:absolute;left:0;text-align:left;margin-left:0;margin-top:0;width:663.5pt;height:12in;z-index:-251658240;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4"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3"/>
    </w:tblGrid>
    <w:tr w:rsidR="00021304" w:rsidRPr="00E152D8" w14:paraId="588DF1A0" w14:textId="77777777" w:rsidTr="00225915">
      <w:trPr>
        <w:trHeight w:val="138"/>
      </w:trPr>
      <w:tc>
        <w:tcPr>
          <w:tcW w:w="2551" w:type="dxa"/>
        </w:tcPr>
        <w:p w14:paraId="350F7BA3" w14:textId="77777777" w:rsidR="00021304" w:rsidRPr="00E152D8" w:rsidRDefault="00021304" w:rsidP="00021304">
          <w:pPr>
            <w:tabs>
              <w:tab w:val="right" w:pos="8838"/>
            </w:tabs>
            <w:ind w:right="-105"/>
            <w:jc w:val="left"/>
            <w:rPr>
              <w:rFonts w:eastAsia="Calibri" w:cs="Tahoma"/>
              <w:b/>
              <w:lang w:val="es-MX"/>
            </w:rPr>
          </w:pPr>
          <w:r w:rsidRPr="00E152D8">
            <w:rPr>
              <w:rFonts w:eastAsia="Calibri" w:cs="Tahoma"/>
              <w:b/>
              <w:lang w:val="es-MX"/>
            </w:rPr>
            <w:t>Recurso de Revisión:</w:t>
          </w:r>
        </w:p>
      </w:tc>
      <w:tc>
        <w:tcPr>
          <w:tcW w:w="4253" w:type="dxa"/>
        </w:tcPr>
        <w:p w14:paraId="2E06DE61" w14:textId="6726E474" w:rsidR="00021304" w:rsidRPr="00051642" w:rsidRDefault="00D96DD8" w:rsidP="009367AE">
          <w:pPr>
            <w:tabs>
              <w:tab w:val="right" w:pos="8838"/>
            </w:tabs>
            <w:ind w:left="-107" w:right="-32"/>
            <w:rPr>
              <w:rFonts w:eastAsia="Calibri" w:cs="Tahoma"/>
            </w:rPr>
          </w:pPr>
          <w:r>
            <w:rPr>
              <w:rFonts w:eastAsia="Calibri" w:cs="Tahoma"/>
              <w:lang w:val="es-MX"/>
            </w:rPr>
            <w:t>0</w:t>
          </w:r>
          <w:r w:rsidR="00636CCC">
            <w:rPr>
              <w:rFonts w:eastAsia="Calibri" w:cs="Tahoma"/>
              <w:lang w:val="es-MX"/>
            </w:rPr>
            <w:t>7111</w:t>
          </w:r>
          <w:r>
            <w:rPr>
              <w:rFonts w:eastAsia="Calibri" w:cs="Tahoma"/>
              <w:lang w:val="es-MX"/>
            </w:rPr>
            <w:t>/INFOEM/IP/RR/202</w:t>
          </w:r>
          <w:r w:rsidR="00496AEA">
            <w:rPr>
              <w:rFonts w:eastAsia="Calibri" w:cs="Tahoma"/>
              <w:lang w:val="es-MX"/>
            </w:rPr>
            <w:t>4</w:t>
          </w:r>
          <w:r>
            <w:rPr>
              <w:rFonts w:eastAsia="Calibri" w:cs="Tahoma"/>
              <w:lang w:val="es-MX"/>
            </w:rPr>
            <w:t xml:space="preserve"> y acumulado</w:t>
          </w:r>
          <w:r w:rsidR="00496AEA">
            <w:rPr>
              <w:rFonts w:eastAsia="Calibri" w:cs="Tahoma"/>
              <w:lang w:val="es-MX"/>
            </w:rPr>
            <w:t>s</w:t>
          </w:r>
        </w:p>
      </w:tc>
    </w:tr>
    <w:tr w:rsidR="00021304" w:rsidRPr="00E152D8" w14:paraId="6B38F986" w14:textId="77777777" w:rsidTr="00225915">
      <w:trPr>
        <w:trHeight w:val="273"/>
      </w:trPr>
      <w:tc>
        <w:tcPr>
          <w:tcW w:w="2551" w:type="dxa"/>
        </w:tcPr>
        <w:p w14:paraId="587B5E6A" w14:textId="77777777" w:rsidR="00021304" w:rsidRPr="00E152D8" w:rsidRDefault="00021304"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3" w:type="dxa"/>
        </w:tcPr>
        <w:p w14:paraId="0FE1F9CD" w14:textId="1E71003A" w:rsidR="00021304" w:rsidRPr="00636CCC" w:rsidRDefault="00636CCC" w:rsidP="009367AE">
          <w:pPr>
            <w:tabs>
              <w:tab w:val="right" w:pos="8838"/>
            </w:tabs>
            <w:ind w:left="-107" w:right="-32"/>
            <w:rPr>
              <w:rFonts w:eastAsia="Calibri" w:cs="Tahoma"/>
              <w:lang w:val="es-MX"/>
            </w:rPr>
          </w:pPr>
          <w:r w:rsidRPr="00636CCC">
            <w:rPr>
              <w:rFonts w:eastAsia="Calibri" w:cs="Tahoma"/>
              <w:lang w:val="es-MX"/>
            </w:rPr>
            <w:t>Comisión del Agua del Estado de México</w:t>
          </w:r>
        </w:p>
      </w:tc>
    </w:tr>
    <w:tr w:rsidR="00021304" w:rsidRPr="00E152D8" w14:paraId="641CFA98" w14:textId="77777777" w:rsidTr="00225915">
      <w:trPr>
        <w:trHeight w:val="273"/>
      </w:trPr>
      <w:tc>
        <w:tcPr>
          <w:tcW w:w="2551" w:type="dxa"/>
        </w:tcPr>
        <w:p w14:paraId="03C97189" w14:textId="77777777" w:rsidR="00021304" w:rsidRPr="00E152D8" w:rsidRDefault="00021304" w:rsidP="00021304">
          <w:pPr>
            <w:tabs>
              <w:tab w:val="right" w:pos="8838"/>
            </w:tabs>
            <w:ind w:right="-105"/>
            <w:rPr>
              <w:rFonts w:eastAsia="Calibri" w:cs="Tahoma"/>
              <w:b/>
              <w:lang w:val="es-MX"/>
            </w:rPr>
          </w:pPr>
          <w:r w:rsidRPr="00E152D8">
            <w:rPr>
              <w:rFonts w:eastAsia="Calibri" w:cs="Tahoma"/>
              <w:b/>
              <w:lang w:val="es-MX"/>
            </w:rPr>
            <w:t>Comisionado Ponente:</w:t>
          </w:r>
        </w:p>
      </w:tc>
      <w:tc>
        <w:tcPr>
          <w:tcW w:w="4253" w:type="dxa"/>
        </w:tcPr>
        <w:p w14:paraId="62153EF4" w14:textId="77777777" w:rsidR="00021304" w:rsidRPr="00E152D8" w:rsidRDefault="00021304" w:rsidP="009367AE">
          <w:pPr>
            <w:tabs>
              <w:tab w:val="right" w:pos="8838"/>
            </w:tabs>
            <w:ind w:left="-107" w:right="-32"/>
            <w:rPr>
              <w:rFonts w:eastAsia="Calibri" w:cs="Tahoma"/>
              <w:b/>
              <w:lang w:val="es-MX"/>
            </w:rPr>
          </w:pPr>
          <w:r w:rsidRPr="00E152D8">
            <w:rPr>
              <w:rFonts w:eastAsia="Calibri" w:cs="Tahoma"/>
              <w:lang w:val="es-MX"/>
            </w:rPr>
            <w:t>Luis Gustavo Parra Noriega</w:t>
          </w:r>
        </w:p>
      </w:tc>
    </w:tr>
  </w:tbl>
  <w:p w14:paraId="46C67EE5" w14:textId="406D328D" w:rsidR="00021304" w:rsidRDefault="004A62CE" w:rsidP="00021304">
    <w:pPr>
      <w:pStyle w:val="Encabezado"/>
    </w:pPr>
    <w:r>
      <w:rPr>
        <w:noProof/>
      </w:rPr>
      <w:pict w14:anchorId="3A2F3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 style="position:absolute;left:0;text-align:left;margin-left:-78.6pt;margin-top:-122.15pt;width:663.5pt;height:12in;z-index:-251658239;mso-wrap-edited:f;mso-width-percent:0;mso-height-percent:0;mso-position-horizontal-relative:margin;mso-position-vertical-relative:margin;mso-width-percent:0;mso-height-percent:0" o:allowincell="f">
          <v:imagedata r:id="rId1" o:title="MARCA DE AGUA - HOJA RESOLUCIÓN"/>
          <w10:wrap anchorx="margin" anchory="margin"/>
        </v:shape>
      </w:pict>
    </w:r>
    <w:r w:rsidR="0022591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521"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970"/>
    </w:tblGrid>
    <w:tr w:rsidR="00021304" w:rsidRPr="00E152D8" w14:paraId="7ED8A7F5" w14:textId="77777777" w:rsidTr="000F31B9">
      <w:trPr>
        <w:trHeight w:val="132"/>
      </w:trPr>
      <w:tc>
        <w:tcPr>
          <w:tcW w:w="2551" w:type="dxa"/>
        </w:tcPr>
        <w:p w14:paraId="3C7A9CEA" w14:textId="77777777" w:rsidR="00021304" w:rsidRPr="00E152D8" w:rsidRDefault="00021304" w:rsidP="00021304">
          <w:pPr>
            <w:tabs>
              <w:tab w:val="right" w:pos="8838"/>
            </w:tabs>
            <w:ind w:right="-105"/>
            <w:rPr>
              <w:rFonts w:eastAsia="Calibri" w:cs="Tahoma"/>
              <w:b/>
              <w:lang w:val="es-MX"/>
            </w:rPr>
          </w:pPr>
          <w:r w:rsidRPr="00E152D8">
            <w:rPr>
              <w:rFonts w:eastAsia="Calibri" w:cs="Tahoma"/>
              <w:b/>
              <w:lang w:val="es-MX"/>
            </w:rPr>
            <w:t>Recurso de Revisión:</w:t>
          </w:r>
        </w:p>
      </w:tc>
      <w:tc>
        <w:tcPr>
          <w:tcW w:w="3970" w:type="dxa"/>
        </w:tcPr>
        <w:p w14:paraId="46E29E1D" w14:textId="01AFBFE2" w:rsidR="00021304" w:rsidRPr="00051642" w:rsidRDefault="004A3A96" w:rsidP="00496AEA">
          <w:pPr>
            <w:tabs>
              <w:tab w:val="right" w:pos="8838"/>
            </w:tabs>
            <w:ind w:left="-111" w:right="-111"/>
            <w:rPr>
              <w:rFonts w:eastAsia="Calibri" w:cs="Tahoma"/>
            </w:rPr>
          </w:pPr>
          <w:r>
            <w:rPr>
              <w:rFonts w:eastAsia="Calibri" w:cs="Tahoma"/>
              <w:lang w:val="es-MX"/>
            </w:rPr>
            <w:t>0</w:t>
          </w:r>
          <w:r w:rsidR="00636CCC">
            <w:rPr>
              <w:rFonts w:eastAsia="Calibri" w:cs="Tahoma"/>
              <w:lang w:val="es-MX"/>
            </w:rPr>
            <w:t>7111</w:t>
          </w:r>
          <w:r w:rsidR="00021304">
            <w:rPr>
              <w:rFonts w:eastAsia="Calibri" w:cs="Tahoma"/>
              <w:lang w:val="es-MX"/>
            </w:rPr>
            <w:t>/INFOEM/IP/RR/202</w:t>
          </w:r>
          <w:r w:rsidR="00496AEA">
            <w:rPr>
              <w:rFonts w:eastAsia="Calibri" w:cs="Tahoma"/>
              <w:lang w:val="es-MX"/>
            </w:rPr>
            <w:t>4</w:t>
          </w:r>
          <w:r w:rsidR="00021304">
            <w:rPr>
              <w:rFonts w:eastAsia="Calibri" w:cs="Tahoma"/>
              <w:lang w:val="es-MX"/>
            </w:rPr>
            <w:t xml:space="preserve"> y acumulado</w:t>
          </w:r>
          <w:r w:rsidR="00496AEA">
            <w:rPr>
              <w:rFonts w:eastAsia="Calibri" w:cs="Tahoma"/>
              <w:lang w:val="es-MX"/>
            </w:rPr>
            <w:t>s</w:t>
          </w:r>
        </w:p>
      </w:tc>
    </w:tr>
    <w:tr w:rsidR="00021304" w:rsidRPr="00E152D8" w14:paraId="4C9A1F64" w14:textId="77777777" w:rsidTr="000F31B9">
      <w:trPr>
        <w:trHeight w:val="132"/>
      </w:trPr>
      <w:tc>
        <w:tcPr>
          <w:tcW w:w="2551" w:type="dxa"/>
        </w:tcPr>
        <w:p w14:paraId="58B051A5" w14:textId="77777777" w:rsidR="00021304" w:rsidRPr="00E152D8" w:rsidRDefault="00021304" w:rsidP="00021304">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3970" w:type="dxa"/>
        </w:tcPr>
        <w:p w14:paraId="7F3919A7" w14:textId="28105EC7" w:rsidR="00021304" w:rsidRPr="00E152D8" w:rsidRDefault="00094C00" w:rsidP="00021304">
          <w:pPr>
            <w:tabs>
              <w:tab w:val="right" w:pos="8838"/>
            </w:tabs>
            <w:ind w:left="-111" w:right="-109"/>
            <w:rPr>
              <w:rFonts w:eastAsia="Calibri" w:cs="Tahoma"/>
              <w:lang w:val="es-MX"/>
            </w:rPr>
          </w:pPr>
          <w:r w:rsidRPr="00094C00">
            <w:rPr>
              <w:rFonts w:eastAsia="Calibri" w:cs="Tahoma"/>
              <w:highlight w:val="black"/>
              <w:lang w:val="es-MX"/>
            </w:rPr>
            <w:t>XXXXXXXXXXXXX</w:t>
          </w:r>
          <w:r w:rsidR="00636CCC">
            <w:rPr>
              <w:rFonts w:eastAsia="Calibri" w:cs="Tahoma"/>
              <w:lang w:val="es-MX"/>
            </w:rPr>
            <w:t xml:space="preserve"> </w:t>
          </w:r>
        </w:p>
      </w:tc>
    </w:tr>
    <w:tr w:rsidR="00021304" w:rsidRPr="00E152D8" w14:paraId="1F528C45" w14:textId="77777777" w:rsidTr="000F31B9">
      <w:trPr>
        <w:trHeight w:val="261"/>
      </w:trPr>
      <w:tc>
        <w:tcPr>
          <w:tcW w:w="2551" w:type="dxa"/>
        </w:tcPr>
        <w:p w14:paraId="4FB325C1" w14:textId="77777777" w:rsidR="00021304" w:rsidRPr="00E152D8" w:rsidRDefault="00021304"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970" w:type="dxa"/>
        </w:tcPr>
        <w:p w14:paraId="26BC4291" w14:textId="2E339E1F" w:rsidR="00021304" w:rsidRPr="00636CCC" w:rsidRDefault="00636CCC" w:rsidP="000F31B9">
          <w:pPr>
            <w:tabs>
              <w:tab w:val="right" w:pos="8838"/>
            </w:tabs>
            <w:ind w:left="-111" w:right="-108"/>
            <w:rPr>
              <w:rFonts w:eastAsia="Calibri" w:cs="Tahoma"/>
              <w:lang w:val="es-MX"/>
            </w:rPr>
          </w:pPr>
          <w:r w:rsidRPr="00636CCC">
            <w:rPr>
              <w:rFonts w:eastAsia="Calibri" w:cs="Tahoma"/>
              <w:lang w:val="es-MX"/>
            </w:rPr>
            <w:t>Comisión del Agua del Estado de México</w:t>
          </w:r>
        </w:p>
      </w:tc>
    </w:tr>
    <w:tr w:rsidR="00021304" w:rsidRPr="00E152D8" w14:paraId="35FBBE19" w14:textId="77777777" w:rsidTr="000F31B9">
      <w:trPr>
        <w:trHeight w:val="261"/>
      </w:trPr>
      <w:tc>
        <w:tcPr>
          <w:tcW w:w="2551" w:type="dxa"/>
        </w:tcPr>
        <w:p w14:paraId="3CDBF381" w14:textId="77777777" w:rsidR="00021304" w:rsidRPr="00E152D8" w:rsidRDefault="00021304" w:rsidP="00021304">
          <w:pPr>
            <w:tabs>
              <w:tab w:val="right" w:pos="8838"/>
            </w:tabs>
            <w:ind w:right="-105"/>
            <w:rPr>
              <w:rFonts w:eastAsia="Calibri" w:cs="Tahoma"/>
              <w:b/>
              <w:lang w:val="es-MX"/>
            </w:rPr>
          </w:pPr>
          <w:r w:rsidRPr="00E152D8">
            <w:rPr>
              <w:rFonts w:eastAsia="Calibri" w:cs="Tahoma"/>
              <w:b/>
              <w:lang w:val="es-MX"/>
            </w:rPr>
            <w:t>Comisionado Ponente:</w:t>
          </w:r>
        </w:p>
      </w:tc>
      <w:tc>
        <w:tcPr>
          <w:tcW w:w="3970" w:type="dxa"/>
        </w:tcPr>
        <w:p w14:paraId="5D197DCB" w14:textId="77777777" w:rsidR="00021304" w:rsidRPr="00E152D8" w:rsidRDefault="00021304" w:rsidP="00021304">
          <w:pPr>
            <w:tabs>
              <w:tab w:val="right" w:pos="8838"/>
            </w:tabs>
            <w:ind w:left="-111" w:right="-32"/>
            <w:rPr>
              <w:rFonts w:eastAsia="Calibri" w:cs="Tahoma"/>
              <w:b/>
              <w:lang w:val="es-MX"/>
            </w:rPr>
          </w:pPr>
          <w:r w:rsidRPr="00E152D8">
            <w:rPr>
              <w:rFonts w:eastAsia="Calibri" w:cs="Tahoma"/>
              <w:lang w:val="es-MX"/>
            </w:rPr>
            <w:t>Luis Gustavo Parra Noriega</w:t>
          </w:r>
        </w:p>
      </w:tc>
    </w:tr>
  </w:tbl>
  <w:p w14:paraId="15B88765" w14:textId="77777777" w:rsidR="00021304" w:rsidRDefault="004A62CE" w:rsidP="00021304">
    <w:pPr>
      <w:pStyle w:val="Encabezado"/>
      <w:tabs>
        <w:tab w:val="left" w:pos="5812"/>
      </w:tabs>
    </w:pPr>
    <w:r>
      <w:rPr>
        <w:noProof/>
      </w:rPr>
      <w:pict w14:anchorId="40EAB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51" type="#_x0000_t75" alt="" style="position:absolute;left:0;text-align:left;margin-left:-89.1pt;margin-top:-125pt;width:663.5pt;height:12in;z-index:-25165823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620AB"/>
    <w:multiLevelType w:val="hybridMultilevel"/>
    <w:tmpl w:val="F65601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CA0450"/>
    <w:multiLevelType w:val="hybridMultilevel"/>
    <w:tmpl w:val="2F2E67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E2B1400"/>
    <w:multiLevelType w:val="hybridMultilevel"/>
    <w:tmpl w:val="11CE74C8"/>
    <w:lvl w:ilvl="0" w:tplc="7480C6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FFF350A"/>
    <w:multiLevelType w:val="hybridMultilevel"/>
    <w:tmpl w:val="17FC8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F85E3A"/>
    <w:multiLevelType w:val="hybridMultilevel"/>
    <w:tmpl w:val="3F7CCD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796FF1"/>
    <w:multiLevelType w:val="hybridMultilevel"/>
    <w:tmpl w:val="6D4ED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8B356B"/>
    <w:multiLevelType w:val="hybridMultilevel"/>
    <w:tmpl w:val="F818749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99308A"/>
    <w:multiLevelType w:val="hybridMultilevel"/>
    <w:tmpl w:val="1B8870C2"/>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471EE5"/>
    <w:multiLevelType w:val="hybridMultilevel"/>
    <w:tmpl w:val="BD482C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710D61C5"/>
    <w:multiLevelType w:val="hybridMultilevel"/>
    <w:tmpl w:val="F9F4A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1E6D92"/>
    <w:multiLevelType w:val="hybridMultilevel"/>
    <w:tmpl w:val="AAB2D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6585ACA"/>
    <w:multiLevelType w:val="hybridMultilevel"/>
    <w:tmpl w:val="9F782A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
  </w:num>
  <w:num w:numId="4">
    <w:abstractNumId w:val="6"/>
  </w:num>
  <w:num w:numId="5">
    <w:abstractNumId w:val="2"/>
  </w:num>
  <w:num w:numId="6">
    <w:abstractNumId w:val="20"/>
  </w:num>
  <w:num w:numId="7">
    <w:abstractNumId w:val="3"/>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14"/>
  </w:num>
  <w:num w:numId="13">
    <w:abstractNumId w:val="8"/>
  </w:num>
  <w:num w:numId="14">
    <w:abstractNumId w:val="4"/>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15"/>
  </w:num>
  <w:num w:numId="18">
    <w:abstractNumId w:val="13"/>
  </w:num>
  <w:num w:numId="19">
    <w:abstractNumId w:val="0"/>
  </w:num>
  <w:num w:numId="20">
    <w:abstractNumId w:val="10"/>
  </w:num>
  <w:num w:numId="21">
    <w:abstractNumId w:val="12"/>
  </w:num>
  <w:num w:numId="2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DA"/>
    <w:rsid w:val="00000E7F"/>
    <w:rsid w:val="00004BF3"/>
    <w:rsid w:val="00005BF0"/>
    <w:rsid w:val="00006088"/>
    <w:rsid w:val="00015743"/>
    <w:rsid w:val="0001603B"/>
    <w:rsid w:val="00021304"/>
    <w:rsid w:val="0002483B"/>
    <w:rsid w:val="00024C7E"/>
    <w:rsid w:val="000273DE"/>
    <w:rsid w:val="00032190"/>
    <w:rsid w:val="000321E9"/>
    <w:rsid w:val="00032302"/>
    <w:rsid w:val="00032C2C"/>
    <w:rsid w:val="000357E9"/>
    <w:rsid w:val="00042C80"/>
    <w:rsid w:val="00045950"/>
    <w:rsid w:val="00056A25"/>
    <w:rsid w:val="000606D9"/>
    <w:rsid w:val="00065864"/>
    <w:rsid w:val="000746B0"/>
    <w:rsid w:val="00074B5D"/>
    <w:rsid w:val="00083729"/>
    <w:rsid w:val="00084D97"/>
    <w:rsid w:val="00086155"/>
    <w:rsid w:val="00094C00"/>
    <w:rsid w:val="00097B07"/>
    <w:rsid w:val="000A19D6"/>
    <w:rsid w:val="000A38DF"/>
    <w:rsid w:val="000A41E1"/>
    <w:rsid w:val="000C4012"/>
    <w:rsid w:val="000D0B14"/>
    <w:rsid w:val="000D0F72"/>
    <w:rsid w:val="000D6771"/>
    <w:rsid w:val="000E78B8"/>
    <w:rsid w:val="000F1AC6"/>
    <w:rsid w:val="000F31B9"/>
    <w:rsid w:val="000F5346"/>
    <w:rsid w:val="000F69E0"/>
    <w:rsid w:val="001000D8"/>
    <w:rsid w:val="001006A0"/>
    <w:rsid w:val="00103791"/>
    <w:rsid w:val="00103ED5"/>
    <w:rsid w:val="001045C0"/>
    <w:rsid w:val="00105421"/>
    <w:rsid w:val="0011173F"/>
    <w:rsid w:val="00113AE3"/>
    <w:rsid w:val="00121E88"/>
    <w:rsid w:val="00121FAB"/>
    <w:rsid w:val="00127155"/>
    <w:rsid w:val="00127605"/>
    <w:rsid w:val="00127A18"/>
    <w:rsid w:val="0013028B"/>
    <w:rsid w:val="00132086"/>
    <w:rsid w:val="001344E0"/>
    <w:rsid w:val="00141009"/>
    <w:rsid w:val="0014618A"/>
    <w:rsid w:val="00151624"/>
    <w:rsid w:val="0015465F"/>
    <w:rsid w:val="00155367"/>
    <w:rsid w:val="001560BF"/>
    <w:rsid w:val="00165A41"/>
    <w:rsid w:val="00171694"/>
    <w:rsid w:val="0017329F"/>
    <w:rsid w:val="001759D7"/>
    <w:rsid w:val="00176972"/>
    <w:rsid w:val="00192EAE"/>
    <w:rsid w:val="00194CA5"/>
    <w:rsid w:val="001A6009"/>
    <w:rsid w:val="001B0084"/>
    <w:rsid w:val="001B34F3"/>
    <w:rsid w:val="001B6516"/>
    <w:rsid w:val="001C41C4"/>
    <w:rsid w:val="001C6C6E"/>
    <w:rsid w:val="001D0615"/>
    <w:rsid w:val="001D1AA3"/>
    <w:rsid w:val="001E225F"/>
    <w:rsid w:val="001E3D0C"/>
    <w:rsid w:val="001E7A18"/>
    <w:rsid w:val="001F317C"/>
    <w:rsid w:val="00201985"/>
    <w:rsid w:val="00205855"/>
    <w:rsid w:val="00207B39"/>
    <w:rsid w:val="0021022D"/>
    <w:rsid w:val="00212CB3"/>
    <w:rsid w:val="002147A6"/>
    <w:rsid w:val="00220D4B"/>
    <w:rsid w:val="00225915"/>
    <w:rsid w:val="00230733"/>
    <w:rsid w:val="00233322"/>
    <w:rsid w:val="0023499D"/>
    <w:rsid w:val="00235405"/>
    <w:rsid w:val="00244F79"/>
    <w:rsid w:val="002473B3"/>
    <w:rsid w:val="002514BF"/>
    <w:rsid w:val="002636DC"/>
    <w:rsid w:val="00263962"/>
    <w:rsid w:val="002666EE"/>
    <w:rsid w:val="00273255"/>
    <w:rsid w:val="0027449E"/>
    <w:rsid w:val="002752B6"/>
    <w:rsid w:val="002838F8"/>
    <w:rsid w:val="00285ED7"/>
    <w:rsid w:val="002877B3"/>
    <w:rsid w:val="00287DD2"/>
    <w:rsid w:val="00291EB3"/>
    <w:rsid w:val="00292D21"/>
    <w:rsid w:val="002A2F47"/>
    <w:rsid w:val="002A33D8"/>
    <w:rsid w:val="002B0499"/>
    <w:rsid w:val="002B1058"/>
    <w:rsid w:val="002B3033"/>
    <w:rsid w:val="002B3B7E"/>
    <w:rsid w:val="002B61D6"/>
    <w:rsid w:val="002C53A2"/>
    <w:rsid w:val="002D0EBE"/>
    <w:rsid w:val="002D3907"/>
    <w:rsid w:val="002E03F2"/>
    <w:rsid w:val="002E1F34"/>
    <w:rsid w:val="002E7995"/>
    <w:rsid w:val="002F5F10"/>
    <w:rsid w:val="002F64A1"/>
    <w:rsid w:val="002F70FE"/>
    <w:rsid w:val="00300418"/>
    <w:rsid w:val="003020BF"/>
    <w:rsid w:val="00302F90"/>
    <w:rsid w:val="00304D9F"/>
    <w:rsid w:val="0031055E"/>
    <w:rsid w:val="00312D75"/>
    <w:rsid w:val="00314B2B"/>
    <w:rsid w:val="003155F0"/>
    <w:rsid w:val="00316B41"/>
    <w:rsid w:val="003179FE"/>
    <w:rsid w:val="003268CD"/>
    <w:rsid w:val="00332BED"/>
    <w:rsid w:val="00335D93"/>
    <w:rsid w:val="00340F96"/>
    <w:rsid w:val="00341274"/>
    <w:rsid w:val="0034440D"/>
    <w:rsid w:val="00344DC2"/>
    <w:rsid w:val="00344EE8"/>
    <w:rsid w:val="00347055"/>
    <w:rsid w:val="003478C3"/>
    <w:rsid w:val="00352206"/>
    <w:rsid w:val="00353C89"/>
    <w:rsid w:val="00354EE5"/>
    <w:rsid w:val="00361940"/>
    <w:rsid w:val="003720E4"/>
    <w:rsid w:val="00373EDF"/>
    <w:rsid w:val="0038074C"/>
    <w:rsid w:val="00382F13"/>
    <w:rsid w:val="00390EFE"/>
    <w:rsid w:val="003917FB"/>
    <w:rsid w:val="00391CC5"/>
    <w:rsid w:val="00392D86"/>
    <w:rsid w:val="003935DD"/>
    <w:rsid w:val="00395071"/>
    <w:rsid w:val="003A55E1"/>
    <w:rsid w:val="003A7513"/>
    <w:rsid w:val="003A7900"/>
    <w:rsid w:val="003C4BBD"/>
    <w:rsid w:val="003C58D4"/>
    <w:rsid w:val="003D71C4"/>
    <w:rsid w:val="003E0446"/>
    <w:rsid w:val="003E4F8E"/>
    <w:rsid w:val="003F12C6"/>
    <w:rsid w:val="003F26A5"/>
    <w:rsid w:val="003F2700"/>
    <w:rsid w:val="00402552"/>
    <w:rsid w:val="00416664"/>
    <w:rsid w:val="00422878"/>
    <w:rsid w:val="00425E39"/>
    <w:rsid w:val="00434731"/>
    <w:rsid w:val="004427B7"/>
    <w:rsid w:val="004440F0"/>
    <w:rsid w:val="0044785C"/>
    <w:rsid w:val="00463869"/>
    <w:rsid w:val="00464B0C"/>
    <w:rsid w:val="00465A15"/>
    <w:rsid w:val="00467386"/>
    <w:rsid w:val="004717AB"/>
    <w:rsid w:val="004734C3"/>
    <w:rsid w:val="00480272"/>
    <w:rsid w:val="00482426"/>
    <w:rsid w:val="004858A0"/>
    <w:rsid w:val="004920A7"/>
    <w:rsid w:val="00496AEA"/>
    <w:rsid w:val="004A3215"/>
    <w:rsid w:val="004A3A96"/>
    <w:rsid w:val="004A5655"/>
    <w:rsid w:val="004A62CE"/>
    <w:rsid w:val="004B603F"/>
    <w:rsid w:val="004D24F0"/>
    <w:rsid w:val="004E0B39"/>
    <w:rsid w:val="004E1A5B"/>
    <w:rsid w:val="004E1B8F"/>
    <w:rsid w:val="004E3775"/>
    <w:rsid w:val="004E7F5B"/>
    <w:rsid w:val="004F06E7"/>
    <w:rsid w:val="00501640"/>
    <w:rsid w:val="005113DE"/>
    <w:rsid w:val="0051185B"/>
    <w:rsid w:val="00513F21"/>
    <w:rsid w:val="005145FA"/>
    <w:rsid w:val="0051666C"/>
    <w:rsid w:val="00520445"/>
    <w:rsid w:val="00521168"/>
    <w:rsid w:val="00521603"/>
    <w:rsid w:val="00521C02"/>
    <w:rsid w:val="0052460E"/>
    <w:rsid w:val="005313FE"/>
    <w:rsid w:val="00531CEF"/>
    <w:rsid w:val="005322C8"/>
    <w:rsid w:val="005509A2"/>
    <w:rsid w:val="005510A2"/>
    <w:rsid w:val="00554E81"/>
    <w:rsid w:val="00556985"/>
    <w:rsid w:val="00561818"/>
    <w:rsid w:val="00570663"/>
    <w:rsid w:val="00570C92"/>
    <w:rsid w:val="005760D2"/>
    <w:rsid w:val="00577556"/>
    <w:rsid w:val="00593BFB"/>
    <w:rsid w:val="005A1B35"/>
    <w:rsid w:val="005A230B"/>
    <w:rsid w:val="005A2496"/>
    <w:rsid w:val="005A4226"/>
    <w:rsid w:val="005A7869"/>
    <w:rsid w:val="005B2CD5"/>
    <w:rsid w:val="005C1191"/>
    <w:rsid w:val="005C1A1B"/>
    <w:rsid w:val="005C4054"/>
    <w:rsid w:val="005D00E2"/>
    <w:rsid w:val="005D2C72"/>
    <w:rsid w:val="005D2D37"/>
    <w:rsid w:val="005D39F2"/>
    <w:rsid w:val="005E09A1"/>
    <w:rsid w:val="005E1854"/>
    <w:rsid w:val="005E20E0"/>
    <w:rsid w:val="005E3D01"/>
    <w:rsid w:val="005E41D0"/>
    <w:rsid w:val="005F3D3A"/>
    <w:rsid w:val="005F4E7A"/>
    <w:rsid w:val="00602604"/>
    <w:rsid w:val="006043CF"/>
    <w:rsid w:val="006168F8"/>
    <w:rsid w:val="00616C7B"/>
    <w:rsid w:val="006213B2"/>
    <w:rsid w:val="00625A48"/>
    <w:rsid w:val="00625E67"/>
    <w:rsid w:val="00633F72"/>
    <w:rsid w:val="00636CCC"/>
    <w:rsid w:val="0064218A"/>
    <w:rsid w:val="006429D5"/>
    <w:rsid w:val="006435F0"/>
    <w:rsid w:val="00643AFB"/>
    <w:rsid w:val="00651715"/>
    <w:rsid w:val="0067669B"/>
    <w:rsid w:val="0069289F"/>
    <w:rsid w:val="00694AD6"/>
    <w:rsid w:val="00696785"/>
    <w:rsid w:val="00696EE5"/>
    <w:rsid w:val="006A38D1"/>
    <w:rsid w:val="006A6D5F"/>
    <w:rsid w:val="006B5205"/>
    <w:rsid w:val="006B70E5"/>
    <w:rsid w:val="006C1D36"/>
    <w:rsid w:val="006C550F"/>
    <w:rsid w:val="006D6F0E"/>
    <w:rsid w:val="006E4C66"/>
    <w:rsid w:val="006E7F2D"/>
    <w:rsid w:val="006F03FC"/>
    <w:rsid w:val="006F51EC"/>
    <w:rsid w:val="006F532C"/>
    <w:rsid w:val="00700FDD"/>
    <w:rsid w:val="007016CA"/>
    <w:rsid w:val="00702443"/>
    <w:rsid w:val="00711D2E"/>
    <w:rsid w:val="00712AB9"/>
    <w:rsid w:val="00726B1C"/>
    <w:rsid w:val="00727541"/>
    <w:rsid w:val="00741097"/>
    <w:rsid w:val="007439CE"/>
    <w:rsid w:val="00750C4D"/>
    <w:rsid w:val="0075375A"/>
    <w:rsid w:val="007548C5"/>
    <w:rsid w:val="00754DF1"/>
    <w:rsid w:val="00757CCE"/>
    <w:rsid w:val="0076191A"/>
    <w:rsid w:val="00763DF9"/>
    <w:rsid w:val="0076551F"/>
    <w:rsid w:val="00771242"/>
    <w:rsid w:val="00774C4C"/>
    <w:rsid w:val="00775799"/>
    <w:rsid w:val="00785E01"/>
    <w:rsid w:val="00786792"/>
    <w:rsid w:val="00787C5D"/>
    <w:rsid w:val="007937B4"/>
    <w:rsid w:val="007960AB"/>
    <w:rsid w:val="0079660C"/>
    <w:rsid w:val="007A29F9"/>
    <w:rsid w:val="007B1E83"/>
    <w:rsid w:val="007B32E7"/>
    <w:rsid w:val="007B5614"/>
    <w:rsid w:val="007C0C00"/>
    <w:rsid w:val="007C2C93"/>
    <w:rsid w:val="007D1E59"/>
    <w:rsid w:val="007E0CF7"/>
    <w:rsid w:val="007E1385"/>
    <w:rsid w:val="007E668F"/>
    <w:rsid w:val="007E69E4"/>
    <w:rsid w:val="007F1FE4"/>
    <w:rsid w:val="007F4CD1"/>
    <w:rsid w:val="007F77E2"/>
    <w:rsid w:val="0080000D"/>
    <w:rsid w:val="00802B14"/>
    <w:rsid w:val="0080627B"/>
    <w:rsid w:val="0081328D"/>
    <w:rsid w:val="00813B38"/>
    <w:rsid w:val="00817259"/>
    <w:rsid w:val="00822090"/>
    <w:rsid w:val="00825FAA"/>
    <w:rsid w:val="00827374"/>
    <w:rsid w:val="00830672"/>
    <w:rsid w:val="008326CE"/>
    <w:rsid w:val="008344DA"/>
    <w:rsid w:val="00835AA2"/>
    <w:rsid w:val="00836D1D"/>
    <w:rsid w:val="008370D7"/>
    <w:rsid w:val="00842418"/>
    <w:rsid w:val="00846D9C"/>
    <w:rsid w:val="0085297F"/>
    <w:rsid w:val="00852F84"/>
    <w:rsid w:val="00866411"/>
    <w:rsid w:val="00872E6C"/>
    <w:rsid w:val="00877974"/>
    <w:rsid w:val="00877AB5"/>
    <w:rsid w:val="00882D43"/>
    <w:rsid w:val="00883020"/>
    <w:rsid w:val="008830A3"/>
    <w:rsid w:val="008945CB"/>
    <w:rsid w:val="008A5301"/>
    <w:rsid w:val="008A639A"/>
    <w:rsid w:val="008B0144"/>
    <w:rsid w:val="008B0D92"/>
    <w:rsid w:val="008B375E"/>
    <w:rsid w:val="008C133A"/>
    <w:rsid w:val="008C4EC4"/>
    <w:rsid w:val="008C5801"/>
    <w:rsid w:val="008C5ACC"/>
    <w:rsid w:val="008C6BBA"/>
    <w:rsid w:val="008C7B79"/>
    <w:rsid w:val="008D012C"/>
    <w:rsid w:val="008D1DA1"/>
    <w:rsid w:val="008D394B"/>
    <w:rsid w:val="008D49FC"/>
    <w:rsid w:val="008D6E84"/>
    <w:rsid w:val="008F2BA2"/>
    <w:rsid w:val="00900054"/>
    <w:rsid w:val="009025B0"/>
    <w:rsid w:val="009030D8"/>
    <w:rsid w:val="0090792A"/>
    <w:rsid w:val="0091092F"/>
    <w:rsid w:val="009109DA"/>
    <w:rsid w:val="00910C82"/>
    <w:rsid w:val="00911D5E"/>
    <w:rsid w:val="009169CA"/>
    <w:rsid w:val="00921469"/>
    <w:rsid w:val="00924FD0"/>
    <w:rsid w:val="00925AEF"/>
    <w:rsid w:val="00925C01"/>
    <w:rsid w:val="009266E0"/>
    <w:rsid w:val="009277AF"/>
    <w:rsid w:val="0093175C"/>
    <w:rsid w:val="00933544"/>
    <w:rsid w:val="009367AE"/>
    <w:rsid w:val="00936F42"/>
    <w:rsid w:val="00943187"/>
    <w:rsid w:val="009501AB"/>
    <w:rsid w:val="0095027C"/>
    <w:rsid w:val="009513E1"/>
    <w:rsid w:val="0095742B"/>
    <w:rsid w:val="0096103B"/>
    <w:rsid w:val="00961D42"/>
    <w:rsid w:val="00964D57"/>
    <w:rsid w:val="00965074"/>
    <w:rsid w:val="00971843"/>
    <w:rsid w:val="00971B10"/>
    <w:rsid w:val="009764EC"/>
    <w:rsid w:val="0097716F"/>
    <w:rsid w:val="009817EE"/>
    <w:rsid w:val="009825A4"/>
    <w:rsid w:val="00985015"/>
    <w:rsid w:val="00995BCA"/>
    <w:rsid w:val="009A7C84"/>
    <w:rsid w:val="009B6620"/>
    <w:rsid w:val="009B668F"/>
    <w:rsid w:val="009C5138"/>
    <w:rsid w:val="009D1FBF"/>
    <w:rsid w:val="009D7D2B"/>
    <w:rsid w:val="009E2CBE"/>
    <w:rsid w:val="009E3576"/>
    <w:rsid w:val="009E41B6"/>
    <w:rsid w:val="009E60A5"/>
    <w:rsid w:val="009F110E"/>
    <w:rsid w:val="009F37C2"/>
    <w:rsid w:val="009F531A"/>
    <w:rsid w:val="00A00C6C"/>
    <w:rsid w:val="00A015AA"/>
    <w:rsid w:val="00A02B57"/>
    <w:rsid w:val="00A1420A"/>
    <w:rsid w:val="00A21CDE"/>
    <w:rsid w:val="00A21D5D"/>
    <w:rsid w:val="00A22017"/>
    <w:rsid w:val="00A25456"/>
    <w:rsid w:val="00A33A82"/>
    <w:rsid w:val="00A3687E"/>
    <w:rsid w:val="00A402F2"/>
    <w:rsid w:val="00A42917"/>
    <w:rsid w:val="00A43E8D"/>
    <w:rsid w:val="00A440AA"/>
    <w:rsid w:val="00A4656A"/>
    <w:rsid w:val="00A46D98"/>
    <w:rsid w:val="00A5200A"/>
    <w:rsid w:val="00A52763"/>
    <w:rsid w:val="00A53AD2"/>
    <w:rsid w:val="00A54FA3"/>
    <w:rsid w:val="00A5729B"/>
    <w:rsid w:val="00A6253C"/>
    <w:rsid w:val="00A63ACE"/>
    <w:rsid w:val="00A66D74"/>
    <w:rsid w:val="00A71B4F"/>
    <w:rsid w:val="00A73F0C"/>
    <w:rsid w:val="00A76A8B"/>
    <w:rsid w:val="00A81685"/>
    <w:rsid w:val="00A82BD2"/>
    <w:rsid w:val="00A91932"/>
    <w:rsid w:val="00A91ABC"/>
    <w:rsid w:val="00A95F16"/>
    <w:rsid w:val="00A962D6"/>
    <w:rsid w:val="00A96690"/>
    <w:rsid w:val="00AA05F5"/>
    <w:rsid w:val="00AA1327"/>
    <w:rsid w:val="00AA3F1F"/>
    <w:rsid w:val="00AA48A3"/>
    <w:rsid w:val="00AA52EF"/>
    <w:rsid w:val="00AB4186"/>
    <w:rsid w:val="00AB5C3F"/>
    <w:rsid w:val="00AB6F31"/>
    <w:rsid w:val="00AC1A54"/>
    <w:rsid w:val="00AD4AEB"/>
    <w:rsid w:val="00AD6B6E"/>
    <w:rsid w:val="00AD78C1"/>
    <w:rsid w:val="00AF00E3"/>
    <w:rsid w:val="00AF6970"/>
    <w:rsid w:val="00AF707A"/>
    <w:rsid w:val="00B031EC"/>
    <w:rsid w:val="00B03C9A"/>
    <w:rsid w:val="00B114D4"/>
    <w:rsid w:val="00B13212"/>
    <w:rsid w:val="00B17E20"/>
    <w:rsid w:val="00B20BA9"/>
    <w:rsid w:val="00B221D3"/>
    <w:rsid w:val="00B23180"/>
    <w:rsid w:val="00B24773"/>
    <w:rsid w:val="00B25235"/>
    <w:rsid w:val="00B360C8"/>
    <w:rsid w:val="00B47934"/>
    <w:rsid w:val="00B509B8"/>
    <w:rsid w:val="00B636C8"/>
    <w:rsid w:val="00B6394E"/>
    <w:rsid w:val="00B80045"/>
    <w:rsid w:val="00B819BA"/>
    <w:rsid w:val="00B84CF1"/>
    <w:rsid w:val="00B86D6F"/>
    <w:rsid w:val="00B874BA"/>
    <w:rsid w:val="00B936FD"/>
    <w:rsid w:val="00B937C7"/>
    <w:rsid w:val="00B93FC1"/>
    <w:rsid w:val="00B94E2F"/>
    <w:rsid w:val="00BA3733"/>
    <w:rsid w:val="00BA44E4"/>
    <w:rsid w:val="00BA5C6D"/>
    <w:rsid w:val="00BB072D"/>
    <w:rsid w:val="00BD1519"/>
    <w:rsid w:val="00BD2A18"/>
    <w:rsid w:val="00BD5514"/>
    <w:rsid w:val="00BD5769"/>
    <w:rsid w:val="00BE4728"/>
    <w:rsid w:val="00BE5EDE"/>
    <w:rsid w:val="00BF36A5"/>
    <w:rsid w:val="00C04127"/>
    <w:rsid w:val="00C104F9"/>
    <w:rsid w:val="00C15BCB"/>
    <w:rsid w:val="00C1697C"/>
    <w:rsid w:val="00C2064C"/>
    <w:rsid w:val="00C2150A"/>
    <w:rsid w:val="00C21BAA"/>
    <w:rsid w:val="00C2425A"/>
    <w:rsid w:val="00C311DF"/>
    <w:rsid w:val="00C35BF3"/>
    <w:rsid w:val="00C37906"/>
    <w:rsid w:val="00C41C31"/>
    <w:rsid w:val="00C44857"/>
    <w:rsid w:val="00C467BD"/>
    <w:rsid w:val="00C47F5F"/>
    <w:rsid w:val="00C576B2"/>
    <w:rsid w:val="00C57BF8"/>
    <w:rsid w:val="00C64F98"/>
    <w:rsid w:val="00C66D45"/>
    <w:rsid w:val="00C71E26"/>
    <w:rsid w:val="00C737DB"/>
    <w:rsid w:val="00C74F2C"/>
    <w:rsid w:val="00C75A80"/>
    <w:rsid w:val="00C81691"/>
    <w:rsid w:val="00C82A69"/>
    <w:rsid w:val="00C82F45"/>
    <w:rsid w:val="00C91A4C"/>
    <w:rsid w:val="00C93B7E"/>
    <w:rsid w:val="00CA0815"/>
    <w:rsid w:val="00CA3705"/>
    <w:rsid w:val="00CA4C35"/>
    <w:rsid w:val="00CA4CF3"/>
    <w:rsid w:val="00CA7BB7"/>
    <w:rsid w:val="00CC19F3"/>
    <w:rsid w:val="00CC26D2"/>
    <w:rsid w:val="00CC3031"/>
    <w:rsid w:val="00CD14DD"/>
    <w:rsid w:val="00CD33AC"/>
    <w:rsid w:val="00CD6EE6"/>
    <w:rsid w:val="00CD7B20"/>
    <w:rsid w:val="00CE1307"/>
    <w:rsid w:val="00CE2FDB"/>
    <w:rsid w:val="00CF05ED"/>
    <w:rsid w:val="00CF1AE6"/>
    <w:rsid w:val="00CF46BA"/>
    <w:rsid w:val="00CF6147"/>
    <w:rsid w:val="00D003C1"/>
    <w:rsid w:val="00D043B2"/>
    <w:rsid w:val="00D04F50"/>
    <w:rsid w:val="00D14CB5"/>
    <w:rsid w:val="00D24FA7"/>
    <w:rsid w:val="00D27EB2"/>
    <w:rsid w:val="00D31FB1"/>
    <w:rsid w:val="00D331A5"/>
    <w:rsid w:val="00D33DA0"/>
    <w:rsid w:val="00D35F77"/>
    <w:rsid w:val="00D44F21"/>
    <w:rsid w:val="00D501AD"/>
    <w:rsid w:val="00D53C5E"/>
    <w:rsid w:val="00D547E0"/>
    <w:rsid w:val="00D54BF5"/>
    <w:rsid w:val="00D564F6"/>
    <w:rsid w:val="00D6197A"/>
    <w:rsid w:val="00D67CA6"/>
    <w:rsid w:val="00D70D70"/>
    <w:rsid w:val="00D73239"/>
    <w:rsid w:val="00D75375"/>
    <w:rsid w:val="00D77774"/>
    <w:rsid w:val="00D77F62"/>
    <w:rsid w:val="00D80DE9"/>
    <w:rsid w:val="00D92D95"/>
    <w:rsid w:val="00D96DD8"/>
    <w:rsid w:val="00D9713D"/>
    <w:rsid w:val="00DA3676"/>
    <w:rsid w:val="00DB1D08"/>
    <w:rsid w:val="00DB6F7B"/>
    <w:rsid w:val="00DC32A2"/>
    <w:rsid w:val="00DC5AC4"/>
    <w:rsid w:val="00DC7AA4"/>
    <w:rsid w:val="00DD0B12"/>
    <w:rsid w:val="00DD351E"/>
    <w:rsid w:val="00DD55A8"/>
    <w:rsid w:val="00DE321A"/>
    <w:rsid w:val="00DF38CA"/>
    <w:rsid w:val="00E00064"/>
    <w:rsid w:val="00E045E0"/>
    <w:rsid w:val="00E10956"/>
    <w:rsid w:val="00E152A2"/>
    <w:rsid w:val="00E16DD3"/>
    <w:rsid w:val="00E17E82"/>
    <w:rsid w:val="00E20508"/>
    <w:rsid w:val="00E22655"/>
    <w:rsid w:val="00E236C7"/>
    <w:rsid w:val="00E241CB"/>
    <w:rsid w:val="00E25031"/>
    <w:rsid w:val="00E275B8"/>
    <w:rsid w:val="00E33668"/>
    <w:rsid w:val="00E429E3"/>
    <w:rsid w:val="00E42CED"/>
    <w:rsid w:val="00E4772F"/>
    <w:rsid w:val="00E5026F"/>
    <w:rsid w:val="00E5030C"/>
    <w:rsid w:val="00E508EF"/>
    <w:rsid w:val="00E53BF2"/>
    <w:rsid w:val="00E604E6"/>
    <w:rsid w:val="00E62327"/>
    <w:rsid w:val="00E6572C"/>
    <w:rsid w:val="00E67BC6"/>
    <w:rsid w:val="00E70589"/>
    <w:rsid w:val="00E71C2B"/>
    <w:rsid w:val="00E75633"/>
    <w:rsid w:val="00E77852"/>
    <w:rsid w:val="00E85AAE"/>
    <w:rsid w:val="00E947D2"/>
    <w:rsid w:val="00EA449A"/>
    <w:rsid w:val="00EA4647"/>
    <w:rsid w:val="00EA71A8"/>
    <w:rsid w:val="00EB3376"/>
    <w:rsid w:val="00EB459D"/>
    <w:rsid w:val="00EC0884"/>
    <w:rsid w:val="00EC6027"/>
    <w:rsid w:val="00EC725F"/>
    <w:rsid w:val="00ED099E"/>
    <w:rsid w:val="00ED0D14"/>
    <w:rsid w:val="00ED4E82"/>
    <w:rsid w:val="00EE2D94"/>
    <w:rsid w:val="00EE5FA7"/>
    <w:rsid w:val="00EE6910"/>
    <w:rsid w:val="00EF0958"/>
    <w:rsid w:val="00F0439B"/>
    <w:rsid w:val="00F117CB"/>
    <w:rsid w:val="00F139F6"/>
    <w:rsid w:val="00F203D0"/>
    <w:rsid w:val="00F20F82"/>
    <w:rsid w:val="00F25C97"/>
    <w:rsid w:val="00F25DCB"/>
    <w:rsid w:val="00F313FF"/>
    <w:rsid w:val="00F32CEA"/>
    <w:rsid w:val="00F34CA9"/>
    <w:rsid w:val="00F411C8"/>
    <w:rsid w:val="00F424FB"/>
    <w:rsid w:val="00F46724"/>
    <w:rsid w:val="00F5505B"/>
    <w:rsid w:val="00F56401"/>
    <w:rsid w:val="00F57B6A"/>
    <w:rsid w:val="00F6241E"/>
    <w:rsid w:val="00F66423"/>
    <w:rsid w:val="00F67661"/>
    <w:rsid w:val="00F7292C"/>
    <w:rsid w:val="00F76255"/>
    <w:rsid w:val="00F77BD9"/>
    <w:rsid w:val="00F77EA7"/>
    <w:rsid w:val="00F83571"/>
    <w:rsid w:val="00F85430"/>
    <w:rsid w:val="00F91C70"/>
    <w:rsid w:val="00F9337E"/>
    <w:rsid w:val="00F96343"/>
    <w:rsid w:val="00FA1ECF"/>
    <w:rsid w:val="00FA3009"/>
    <w:rsid w:val="00FA54D2"/>
    <w:rsid w:val="00FA591B"/>
    <w:rsid w:val="00FA66EC"/>
    <w:rsid w:val="00FA6BD9"/>
    <w:rsid w:val="00FC0870"/>
    <w:rsid w:val="00FC1916"/>
    <w:rsid w:val="00FC501D"/>
    <w:rsid w:val="00FD0866"/>
    <w:rsid w:val="00FD288C"/>
    <w:rsid w:val="00FE36A6"/>
    <w:rsid w:val="00FE3902"/>
    <w:rsid w:val="00FF03B6"/>
    <w:rsid w:val="00FF1373"/>
    <w:rsid w:val="00FF7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626BFB"/>
  <w15:chartTrackingRefBased/>
  <w15:docId w15:val="{F47B485E-C5B7-45A5-A5C1-524EB879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843"/>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9DA"/>
    <w:rPr>
      <w:rFonts w:ascii="Palatino Linotype" w:hAnsi="Palatino Linotype"/>
      <w:color w:val="000000" w:themeColor="text1"/>
    </w:rPr>
  </w:style>
  <w:style w:type="paragraph" w:styleId="Piedepgina">
    <w:name w:val="footer"/>
    <w:basedOn w:val="Normal"/>
    <w:link w:val="PiedepginaCar"/>
    <w:uiPriority w:val="99"/>
    <w:unhideWhenUsed/>
    <w:rsid w:val="00910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9DA"/>
    <w:rPr>
      <w:rFonts w:ascii="Palatino Linotype" w:hAnsi="Palatino Linotype"/>
      <w:color w:val="000000" w:themeColor="text1"/>
    </w:rPr>
  </w:style>
  <w:style w:type="table" w:styleId="Tablaconcuadrcula">
    <w:name w:val="Table Grid"/>
    <w:basedOn w:val="Tablanormal"/>
    <w:uiPriority w:val="59"/>
    <w:qFormat/>
    <w:rsid w:val="009109D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5D93"/>
    <w:pPr>
      <w:ind w:left="720"/>
      <w:contextualSpacing/>
    </w:pPr>
  </w:style>
  <w:style w:type="character" w:styleId="Hipervnculo">
    <w:name w:val="Hyperlink"/>
    <w:basedOn w:val="Fuentedeprrafopredeter"/>
    <w:uiPriority w:val="99"/>
    <w:unhideWhenUsed/>
    <w:rsid w:val="001344E0"/>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52206"/>
    <w:rPr>
      <w:rFonts w:ascii="Palatino Linotype" w:hAnsi="Palatino Linotype"/>
      <w:color w:val="000000" w:themeColor="text1"/>
    </w:rPr>
  </w:style>
  <w:style w:type="paragraph" w:styleId="NormalWeb">
    <w:name w:val="Normal (Web)"/>
    <w:basedOn w:val="Normal"/>
    <w:uiPriority w:val="99"/>
    <w:unhideWhenUsed/>
    <w:rsid w:val="00712AB9"/>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D80DE9"/>
    <w:rPr>
      <w:color w:val="605E5C"/>
      <w:shd w:val="clear" w:color="auto" w:fill="E1DFDD"/>
    </w:rPr>
  </w:style>
  <w:style w:type="character" w:customStyle="1" w:styleId="normaltextrun">
    <w:name w:val="normaltextrun"/>
    <w:basedOn w:val="Fuentedeprrafopredeter"/>
    <w:rsid w:val="009D1FBF"/>
  </w:style>
  <w:style w:type="paragraph" w:customStyle="1" w:styleId="paragraph">
    <w:name w:val="paragraph"/>
    <w:basedOn w:val="Normal"/>
    <w:rsid w:val="009D1FBF"/>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9D1FBF"/>
  </w:style>
  <w:style w:type="table" w:customStyle="1" w:styleId="Tablaconcuadrcula2">
    <w:name w:val="Tabla con cuadrícula2"/>
    <w:basedOn w:val="Tablanormal"/>
    <w:next w:val="Tablaconcuadrcula"/>
    <w:uiPriority w:val="59"/>
    <w:qFormat/>
    <w:rsid w:val="00496AE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A54D2"/>
    <w:rPr>
      <w:color w:val="605E5C"/>
      <w:shd w:val="clear" w:color="auto" w:fill="E1DFDD"/>
    </w:rPr>
  </w:style>
  <w:style w:type="paragraph" w:customStyle="1" w:styleId="xmsonormal">
    <w:name w:val="x_msonormal"/>
    <w:basedOn w:val="Normal"/>
    <w:rsid w:val="003478C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7696">
      <w:bodyDiv w:val="1"/>
      <w:marLeft w:val="0"/>
      <w:marRight w:val="0"/>
      <w:marTop w:val="0"/>
      <w:marBottom w:val="0"/>
      <w:divBdr>
        <w:top w:val="none" w:sz="0" w:space="0" w:color="auto"/>
        <w:left w:val="none" w:sz="0" w:space="0" w:color="auto"/>
        <w:bottom w:val="none" w:sz="0" w:space="0" w:color="auto"/>
        <w:right w:val="none" w:sz="0" w:space="0" w:color="auto"/>
      </w:divBdr>
    </w:div>
    <w:div w:id="182741806">
      <w:bodyDiv w:val="1"/>
      <w:marLeft w:val="0"/>
      <w:marRight w:val="0"/>
      <w:marTop w:val="0"/>
      <w:marBottom w:val="0"/>
      <w:divBdr>
        <w:top w:val="none" w:sz="0" w:space="0" w:color="auto"/>
        <w:left w:val="none" w:sz="0" w:space="0" w:color="auto"/>
        <w:bottom w:val="none" w:sz="0" w:space="0" w:color="auto"/>
        <w:right w:val="none" w:sz="0" w:space="0" w:color="auto"/>
      </w:divBdr>
    </w:div>
    <w:div w:id="366301897">
      <w:bodyDiv w:val="1"/>
      <w:marLeft w:val="0"/>
      <w:marRight w:val="0"/>
      <w:marTop w:val="0"/>
      <w:marBottom w:val="0"/>
      <w:divBdr>
        <w:top w:val="none" w:sz="0" w:space="0" w:color="auto"/>
        <w:left w:val="none" w:sz="0" w:space="0" w:color="auto"/>
        <w:bottom w:val="none" w:sz="0" w:space="0" w:color="auto"/>
        <w:right w:val="none" w:sz="0" w:space="0" w:color="auto"/>
      </w:divBdr>
    </w:div>
    <w:div w:id="405958219">
      <w:bodyDiv w:val="1"/>
      <w:marLeft w:val="0"/>
      <w:marRight w:val="0"/>
      <w:marTop w:val="0"/>
      <w:marBottom w:val="0"/>
      <w:divBdr>
        <w:top w:val="none" w:sz="0" w:space="0" w:color="auto"/>
        <w:left w:val="none" w:sz="0" w:space="0" w:color="auto"/>
        <w:bottom w:val="none" w:sz="0" w:space="0" w:color="auto"/>
        <w:right w:val="none" w:sz="0" w:space="0" w:color="auto"/>
      </w:divBdr>
    </w:div>
    <w:div w:id="468596820">
      <w:bodyDiv w:val="1"/>
      <w:marLeft w:val="0"/>
      <w:marRight w:val="0"/>
      <w:marTop w:val="0"/>
      <w:marBottom w:val="0"/>
      <w:divBdr>
        <w:top w:val="none" w:sz="0" w:space="0" w:color="auto"/>
        <w:left w:val="none" w:sz="0" w:space="0" w:color="auto"/>
        <w:bottom w:val="none" w:sz="0" w:space="0" w:color="auto"/>
        <w:right w:val="none" w:sz="0" w:space="0" w:color="auto"/>
      </w:divBdr>
    </w:div>
    <w:div w:id="480586201">
      <w:bodyDiv w:val="1"/>
      <w:marLeft w:val="0"/>
      <w:marRight w:val="0"/>
      <w:marTop w:val="0"/>
      <w:marBottom w:val="0"/>
      <w:divBdr>
        <w:top w:val="none" w:sz="0" w:space="0" w:color="auto"/>
        <w:left w:val="none" w:sz="0" w:space="0" w:color="auto"/>
        <w:bottom w:val="none" w:sz="0" w:space="0" w:color="auto"/>
        <w:right w:val="none" w:sz="0" w:space="0" w:color="auto"/>
      </w:divBdr>
    </w:div>
    <w:div w:id="503938023">
      <w:bodyDiv w:val="1"/>
      <w:marLeft w:val="0"/>
      <w:marRight w:val="0"/>
      <w:marTop w:val="0"/>
      <w:marBottom w:val="0"/>
      <w:divBdr>
        <w:top w:val="none" w:sz="0" w:space="0" w:color="auto"/>
        <w:left w:val="none" w:sz="0" w:space="0" w:color="auto"/>
        <w:bottom w:val="none" w:sz="0" w:space="0" w:color="auto"/>
        <w:right w:val="none" w:sz="0" w:space="0" w:color="auto"/>
      </w:divBdr>
    </w:div>
    <w:div w:id="545870307">
      <w:bodyDiv w:val="1"/>
      <w:marLeft w:val="0"/>
      <w:marRight w:val="0"/>
      <w:marTop w:val="0"/>
      <w:marBottom w:val="0"/>
      <w:divBdr>
        <w:top w:val="none" w:sz="0" w:space="0" w:color="auto"/>
        <w:left w:val="none" w:sz="0" w:space="0" w:color="auto"/>
        <w:bottom w:val="none" w:sz="0" w:space="0" w:color="auto"/>
        <w:right w:val="none" w:sz="0" w:space="0" w:color="auto"/>
      </w:divBdr>
    </w:div>
    <w:div w:id="647370042">
      <w:bodyDiv w:val="1"/>
      <w:marLeft w:val="0"/>
      <w:marRight w:val="0"/>
      <w:marTop w:val="0"/>
      <w:marBottom w:val="0"/>
      <w:divBdr>
        <w:top w:val="none" w:sz="0" w:space="0" w:color="auto"/>
        <w:left w:val="none" w:sz="0" w:space="0" w:color="auto"/>
        <w:bottom w:val="none" w:sz="0" w:space="0" w:color="auto"/>
        <w:right w:val="none" w:sz="0" w:space="0" w:color="auto"/>
      </w:divBdr>
    </w:div>
    <w:div w:id="664018031">
      <w:bodyDiv w:val="1"/>
      <w:marLeft w:val="0"/>
      <w:marRight w:val="0"/>
      <w:marTop w:val="0"/>
      <w:marBottom w:val="0"/>
      <w:divBdr>
        <w:top w:val="none" w:sz="0" w:space="0" w:color="auto"/>
        <w:left w:val="none" w:sz="0" w:space="0" w:color="auto"/>
        <w:bottom w:val="none" w:sz="0" w:space="0" w:color="auto"/>
        <w:right w:val="none" w:sz="0" w:space="0" w:color="auto"/>
      </w:divBdr>
    </w:div>
    <w:div w:id="666980698">
      <w:bodyDiv w:val="1"/>
      <w:marLeft w:val="0"/>
      <w:marRight w:val="0"/>
      <w:marTop w:val="0"/>
      <w:marBottom w:val="0"/>
      <w:divBdr>
        <w:top w:val="none" w:sz="0" w:space="0" w:color="auto"/>
        <w:left w:val="none" w:sz="0" w:space="0" w:color="auto"/>
        <w:bottom w:val="none" w:sz="0" w:space="0" w:color="auto"/>
        <w:right w:val="none" w:sz="0" w:space="0" w:color="auto"/>
      </w:divBdr>
    </w:div>
    <w:div w:id="718669104">
      <w:bodyDiv w:val="1"/>
      <w:marLeft w:val="0"/>
      <w:marRight w:val="0"/>
      <w:marTop w:val="0"/>
      <w:marBottom w:val="0"/>
      <w:divBdr>
        <w:top w:val="none" w:sz="0" w:space="0" w:color="auto"/>
        <w:left w:val="none" w:sz="0" w:space="0" w:color="auto"/>
        <w:bottom w:val="none" w:sz="0" w:space="0" w:color="auto"/>
        <w:right w:val="none" w:sz="0" w:space="0" w:color="auto"/>
      </w:divBdr>
    </w:div>
    <w:div w:id="732852155">
      <w:bodyDiv w:val="1"/>
      <w:marLeft w:val="0"/>
      <w:marRight w:val="0"/>
      <w:marTop w:val="0"/>
      <w:marBottom w:val="0"/>
      <w:divBdr>
        <w:top w:val="none" w:sz="0" w:space="0" w:color="auto"/>
        <w:left w:val="none" w:sz="0" w:space="0" w:color="auto"/>
        <w:bottom w:val="none" w:sz="0" w:space="0" w:color="auto"/>
        <w:right w:val="none" w:sz="0" w:space="0" w:color="auto"/>
      </w:divBdr>
    </w:div>
    <w:div w:id="772357185">
      <w:bodyDiv w:val="1"/>
      <w:marLeft w:val="0"/>
      <w:marRight w:val="0"/>
      <w:marTop w:val="0"/>
      <w:marBottom w:val="0"/>
      <w:divBdr>
        <w:top w:val="none" w:sz="0" w:space="0" w:color="auto"/>
        <w:left w:val="none" w:sz="0" w:space="0" w:color="auto"/>
        <w:bottom w:val="none" w:sz="0" w:space="0" w:color="auto"/>
        <w:right w:val="none" w:sz="0" w:space="0" w:color="auto"/>
      </w:divBdr>
    </w:div>
    <w:div w:id="993221602">
      <w:bodyDiv w:val="1"/>
      <w:marLeft w:val="0"/>
      <w:marRight w:val="0"/>
      <w:marTop w:val="0"/>
      <w:marBottom w:val="0"/>
      <w:divBdr>
        <w:top w:val="none" w:sz="0" w:space="0" w:color="auto"/>
        <w:left w:val="none" w:sz="0" w:space="0" w:color="auto"/>
        <w:bottom w:val="none" w:sz="0" w:space="0" w:color="auto"/>
        <w:right w:val="none" w:sz="0" w:space="0" w:color="auto"/>
      </w:divBdr>
    </w:div>
    <w:div w:id="1240478661">
      <w:bodyDiv w:val="1"/>
      <w:marLeft w:val="0"/>
      <w:marRight w:val="0"/>
      <w:marTop w:val="0"/>
      <w:marBottom w:val="0"/>
      <w:divBdr>
        <w:top w:val="none" w:sz="0" w:space="0" w:color="auto"/>
        <w:left w:val="none" w:sz="0" w:space="0" w:color="auto"/>
        <w:bottom w:val="none" w:sz="0" w:space="0" w:color="auto"/>
        <w:right w:val="none" w:sz="0" w:space="0" w:color="auto"/>
      </w:divBdr>
    </w:div>
    <w:div w:id="1277373074">
      <w:bodyDiv w:val="1"/>
      <w:marLeft w:val="0"/>
      <w:marRight w:val="0"/>
      <w:marTop w:val="0"/>
      <w:marBottom w:val="0"/>
      <w:divBdr>
        <w:top w:val="none" w:sz="0" w:space="0" w:color="auto"/>
        <w:left w:val="none" w:sz="0" w:space="0" w:color="auto"/>
        <w:bottom w:val="none" w:sz="0" w:space="0" w:color="auto"/>
        <w:right w:val="none" w:sz="0" w:space="0" w:color="auto"/>
      </w:divBdr>
    </w:div>
    <w:div w:id="1293705038">
      <w:bodyDiv w:val="1"/>
      <w:marLeft w:val="0"/>
      <w:marRight w:val="0"/>
      <w:marTop w:val="0"/>
      <w:marBottom w:val="0"/>
      <w:divBdr>
        <w:top w:val="none" w:sz="0" w:space="0" w:color="auto"/>
        <w:left w:val="none" w:sz="0" w:space="0" w:color="auto"/>
        <w:bottom w:val="none" w:sz="0" w:space="0" w:color="auto"/>
        <w:right w:val="none" w:sz="0" w:space="0" w:color="auto"/>
      </w:divBdr>
    </w:div>
    <w:div w:id="1340963496">
      <w:bodyDiv w:val="1"/>
      <w:marLeft w:val="0"/>
      <w:marRight w:val="0"/>
      <w:marTop w:val="0"/>
      <w:marBottom w:val="0"/>
      <w:divBdr>
        <w:top w:val="none" w:sz="0" w:space="0" w:color="auto"/>
        <w:left w:val="none" w:sz="0" w:space="0" w:color="auto"/>
        <w:bottom w:val="none" w:sz="0" w:space="0" w:color="auto"/>
        <w:right w:val="none" w:sz="0" w:space="0" w:color="auto"/>
      </w:divBdr>
    </w:div>
    <w:div w:id="1362323660">
      <w:bodyDiv w:val="1"/>
      <w:marLeft w:val="0"/>
      <w:marRight w:val="0"/>
      <w:marTop w:val="0"/>
      <w:marBottom w:val="0"/>
      <w:divBdr>
        <w:top w:val="none" w:sz="0" w:space="0" w:color="auto"/>
        <w:left w:val="none" w:sz="0" w:space="0" w:color="auto"/>
        <w:bottom w:val="none" w:sz="0" w:space="0" w:color="auto"/>
        <w:right w:val="none" w:sz="0" w:space="0" w:color="auto"/>
      </w:divBdr>
    </w:div>
    <w:div w:id="1370568850">
      <w:bodyDiv w:val="1"/>
      <w:marLeft w:val="0"/>
      <w:marRight w:val="0"/>
      <w:marTop w:val="0"/>
      <w:marBottom w:val="0"/>
      <w:divBdr>
        <w:top w:val="none" w:sz="0" w:space="0" w:color="auto"/>
        <w:left w:val="none" w:sz="0" w:space="0" w:color="auto"/>
        <w:bottom w:val="none" w:sz="0" w:space="0" w:color="auto"/>
        <w:right w:val="none" w:sz="0" w:space="0" w:color="auto"/>
      </w:divBdr>
    </w:div>
    <w:div w:id="1383365131">
      <w:bodyDiv w:val="1"/>
      <w:marLeft w:val="0"/>
      <w:marRight w:val="0"/>
      <w:marTop w:val="0"/>
      <w:marBottom w:val="0"/>
      <w:divBdr>
        <w:top w:val="none" w:sz="0" w:space="0" w:color="auto"/>
        <w:left w:val="none" w:sz="0" w:space="0" w:color="auto"/>
        <w:bottom w:val="none" w:sz="0" w:space="0" w:color="auto"/>
        <w:right w:val="none" w:sz="0" w:space="0" w:color="auto"/>
      </w:divBdr>
    </w:div>
    <w:div w:id="1420322557">
      <w:bodyDiv w:val="1"/>
      <w:marLeft w:val="0"/>
      <w:marRight w:val="0"/>
      <w:marTop w:val="0"/>
      <w:marBottom w:val="0"/>
      <w:divBdr>
        <w:top w:val="none" w:sz="0" w:space="0" w:color="auto"/>
        <w:left w:val="none" w:sz="0" w:space="0" w:color="auto"/>
        <w:bottom w:val="none" w:sz="0" w:space="0" w:color="auto"/>
        <w:right w:val="none" w:sz="0" w:space="0" w:color="auto"/>
      </w:divBdr>
    </w:div>
    <w:div w:id="1466197188">
      <w:bodyDiv w:val="1"/>
      <w:marLeft w:val="0"/>
      <w:marRight w:val="0"/>
      <w:marTop w:val="0"/>
      <w:marBottom w:val="0"/>
      <w:divBdr>
        <w:top w:val="none" w:sz="0" w:space="0" w:color="auto"/>
        <w:left w:val="none" w:sz="0" w:space="0" w:color="auto"/>
        <w:bottom w:val="none" w:sz="0" w:space="0" w:color="auto"/>
        <w:right w:val="none" w:sz="0" w:space="0" w:color="auto"/>
      </w:divBdr>
    </w:div>
    <w:div w:id="1499225622">
      <w:bodyDiv w:val="1"/>
      <w:marLeft w:val="0"/>
      <w:marRight w:val="0"/>
      <w:marTop w:val="0"/>
      <w:marBottom w:val="0"/>
      <w:divBdr>
        <w:top w:val="none" w:sz="0" w:space="0" w:color="auto"/>
        <w:left w:val="none" w:sz="0" w:space="0" w:color="auto"/>
        <w:bottom w:val="none" w:sz="0" w:space="0" w:color="auto"/>
        <w:right w:val="none" w:sz="0" w:space="0" w:color="auto"/>
      </w:divBdr>
    </w:div>
    <w:div w:id="1556745349">
      <w:bodyDiv w:val="1"/>
      <w:marLeft w:val="0"/>
      <w:marRight w:val="0"/>
      <w:marTop w:val="0"/>
      <w:marBottom w:val="0"/>
      <w:divBdr>
        <w:top w:val="none" w:sz="0" w:space="0" w:color="auto"/>
        <w:left w:val="none" w:sz="0" w:space="0" w:color="auto"/>
        <w:bottom w:val="none" w:sz="0" w:space="0" w:color="auto"/>
        <w:right w:val="none" w:sz="0" w:space="0" w:color="auto"/>
      </w:divBdr>
    </w:div>
    <w:div w:id="1629435398">
      <w:bodyDiv w:val="1"/>
      <w:marLeft w:val="0"/>
      <w:marRight w:val="0"/>
      <w:marTop w:val="0"/>
      <w:marBottom w:val="0"/>
      <w:divBdr>
        <w:top w:val="none" w:sz="0" w:space="0" w:color="auto"/>
        <w:left w:val="none" w:sz="0" w:space="0" w:color="auto"/>
        <w:bottom w:val="none" w:sz="0" w:space="0" w:color="auto"/>
        <w:right w:val="none" w:sz="0" w:space="0" w:color="auto"/>
      </w:divBdr>
    </w:div>
    <w:div w:id="1635256307">
      <w:bodyDiv w:val="1"/>
      <w:marLeft w:val="0"/>
      <w:marRight w:val="0"/>
      <w:marTop w:val="0"/>
      <w:marBottom w:val="0"/>
      <w:divBdr>
        <w:top w:val="none" w:sz="0" w:space="0" w:color="auto"/>
        <w:left w:val="none" w:sz="0" w:space="0" w:color="auto"/>
        <w:bottom w:val="none" w:sz="0" w:space="0" w:color="auto"/>
        <w:right w:val="none" w:sz="0" w:space="0" w:color="auto"/>
      </w:divBdr>
    </w:div>
    <w:div w:id="1666930131">
      <w:bodyDiv w:val="1"/>
      <w:marLeft w:val="0"/>
      <w:marRight w:val="0"/>
      <w:marTop w:val="0"/>
      <w:marBottom w:val="0"/>
      <w:divBdr>
        <w:top w:val="none" w:sz="0" w:space="0" w:color="auto"/>
        <w:left w:val="none" w:sz="0" w:space="0" w:color="auto"/>
        <w:bottom w:val="none" w:sz="0" w:space="0" w:color="auto"/>
        <w:right w:val="none" w:sz="0" w:space="0" w:color="auto"/>
      </w:divBdr>
    </w:div>
    <w:div w:id="1737047849">
      <w:bodyDiv w:val="1"/>
      <w:marLeft w:val="0"/>
      <w:marRight w:val="0"/>
      <w:marTop w:val="0"/>
      <w:marBottom w:val="0"/>
      <w:divBdr>
        <w:top w:val="none" w:sz="0" w:space="0" w:color="auto"/>
        <w:left w:val="none" w:sz="0" w:space="0" w:color="auto"/>
        <w:bottom w:val="none" w:sz="0" w:space="0" w:color="auto"/>
        <w:right w:val="none" w:sz="0" w:space="0" w:color="auto"/>
      </w:divBdr>
    </w:div>
    <w:div w:id="1759591953">
      <w:bodyDiv w:val="1"/>
      <w:marLeft w:val="0"/>
      <w:marRight w:val="0"/>
      <w:marTop w:val="0"/>
      <w:marBottom w:val="0"/>
      <w:divBdr>
        <w:top w:val="none" w:sz="0" w:space="0" w:color="auto"/>
        <w:left w:val="none" w:sz="0" w:space="0" w:color="auto"/>
        <w:bottom w:val="none" w:sz="0" w:space="0" w:color="auto"/>
        <w:right w:val="none" w:sz="0" w:space="0" w:color="auto"/>
      </w:divBdr>
    </w:div>
    <w:div w:id="1760834826">
      <w:bodyDiv w:val="1"/>
      <w:marLeft w:val="0"/>
      <w:marRight w:val="0"/>
      <w:marTop w:val="0"/>
      <w:marBottom w:val="0"/>
      <w:divBdr>
        <w:top w:val="none" w:sz="0" w:space="0" w:color="auto"/>
        <w:left w:val="none" w:sz="0" w:space="0" w:color="auto"/>
        <w:bottom w:val="none" w:sz="0" w:space="0" w:color="auto"/>
        <w:right w:val="none" w:sz="0" w:space="0" w:color="auto"/>
      </w:divBdr>
    </w:div>
    <w:div w:id="2086946991">
      <w:bodyDiv w:val="1"/>
      <w:marLeft w:val="0"/>
      <w:marRight w:val="0"/>
      <w:marTop w:val="0"/>
      <w:marBottom w:val="0"/>
      <w:divBdr>
        <w:top w:val="none" w:sz="0" w:space="0" w:color="auto"/>
        <w:left w:val="none" w:sz="0" w:space="0" w:color="auto"/>
        <w:bottom w:val="none" w:sz="0" w:space="0" w:color="auto"/>
        <w:right w:val="none" w:sz="0" w:space="0" w:color="auto"/>
      </w:divBdr>
    </w:div>
    <w:div w:id="21419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18" Type="http://schemas.openxmlformats.org/officeDocument/2006/relationships/image" Target="media/image6.tm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ob.mx/segob/renapo/acciones-y-programas/clave-unica-de-registro-de-poblacion-curp-1422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tmp"/><Relationship Id="rId19" Type="http://schemas.openxmlformats.org/officeDocument/2006/relationships/hyperlink" Target="https://consultas.curp.gob.mx/CurpSP/html/informacionecurpPS.html"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E0F7B-26E7-4D8D-98AB-C48B95D0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11069</Words>
  <Characters>60881</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cp:lastModifiedBy>
  <cp:revision>5</cp:revision>
  <cp:lastPrinted>2024-12-13T15:19:00Z</cp:lastPrinted>
  <dcterms:created xsi:type="dcterms:W3CDTF">2024-12-13T04:28:00Z</dcterms:created>
  <dcterms:modified xsi:type="dcterms:W3CDTF">2025-02-04T18:20:00Z</dcterms:modified>
</cp:coreProperties>
</file>