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C6116" w:rsidRDefault="00AE3DA7" w:rsidP="00FC6116">
          <w:pPr>
            <w:pStyle w:val="TtulodeTDC"/>
            <w:spacing w:before="0" w:line="240" w:lineRule="auto"/>
            <w:rPr>
              <w:rFonts w:ascii="Palatino Linotype" w:hAnsi="Palatino Linotype"/>
              <w:color w:val="auto"/>
              <w:sz w:val="24"/>
              <w:szCs w:val="24"/>
              <w:lang w:val="es-ES"/>
            </w:rPr>
          </w:pPr>
          <w:r w:rsidRPr="00FC6116">
            <w:rPr>
              <w:rFonts w:ascii="Palatino Linotype" w:hAnsi="Palatino Linotype"/>
              <w:color w:val="auto"/>
              <w:sz w:val="24"/>
              <w:szCs w:val="24"/>
              <w:lang w:val="es-ES"/>
            </w:rPr>
            <w:t>Contenido</w:t>
          </w:r>
        </w:p>
        <w:p w14:paraId="3EB312A7" w14:textId="77777777" w:rsidR="00AA6EA9" w:rsidRPr="00FC6116" w:rsidRDefault="00AA6EA9" w:rsidP="00FC6116">
          <w:pPr>
            <w:spacing w:line="240" w:lineRule="auto"/>
            <w:rPr>
              <w:sz w:val="16"/>
              <w:szCs w:val="16"/>
              <w:lang w:val="es-ES" w:eastAsia="es-MX"/>
            </w:rPr>
          </w:pPr>
        </w:p>
        <w:p w14:paraId="38FAE777" w14:textId="77777777" w:rsidR="00780D5A" w:rsidRPr="00FC6116" w:rsidRDefault="00AE3DA7" w:rsidP="00FC6116">
          <w:pPr>
            <w:pStyle w:val="TDC1"/>
            <w:tabs>
              <w:tab w:val="right" w:leader="dot" w:pos="9034"/>
            </w:tabs>
            <w:rPr>
              <w:rFonts w:asciiTheme="minorHAnsi" w:eastAsiaTheme="minorEastAsia" w:hAnsiTheme="minorHAnsi" w:cstheme="minorBidi"/>
              <w:noProof/>
              <w:szCs w:val="22"/>
              <w:lang w:eastAsia="es-MX"/>
            </w:rPr>
          </w:pPr>
          <w:r w:rsidRPr="00FC6116">
            <w:rPr>
              <w:sz w:val="16"/>
              <w:szCs w:val="16"/>
            </w:rPr>
            <w:fldChar w:fldCharType="begin"/>
          </w:r>
          <w:r w:rsidRPr="00FC6116">
            <w:rPr>
              <w:sz w:val="16"/>
              <w:szCs w:val="16"/>
            </w:rPr>
            <w:instrText xml:space="preserve"> TOC \o "1-3" \h \z \u </w:instrText>
          </w:r>
          <w:r w:rsidRPr="00FC6116">
            <w:rPr>
              <w:sz w:val="16"/>
              <w:szCs w:val="16"/>
            </w:rPr>
            <w:fldChar w:fldCharType="separate"/>
          </w:r>
          <w:hyperlink w:anchor="_Toc173844344" w:history="1">
            <w:r w:rsidR="00780D5A" w:rsidRPr="00FC6116">
              <w:rPr>
                <w:rStyle w:val="Hipervnculo"/>
                <w:noProof/>
                <w:color w:val="auto"/>
              </w:rPr>
              <w:t>ANTECEDENTES</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_Toc173844344 \h </w:instrText>
            </w:r>
            <w:r w:rsidR="00780D5A" w:rsidRPr="00FC6116">
              <w:rPr>
                <w:noProof/>
                <w:webHidden/>
              </w:rPr>
            </w:r>
            <w:r w:rsidR="00780D5A" w:rsidRPr="00FC6116">
              <w:rPr>
                <w:noProof/>
                <w:webHidden/>
              </w:rPr>
              <w:fldChar w:fldCharType="separate"/>
            </w:r>
            <w:r w:rsidR="00AB35F4">
              <w:rPr>
                <w:noProof/>
                <w:webHidden/>
              </w:rPr>
              <w:t>1</w:t>
            </w:r>
            <w:r w:rsidR="00780D5A" w:rsidRPr="00FC6116">
              <w:rPr>
                <w:noProof/>
                <w:webHidden/>
              </w:rPr>
              <w:fldChar w:fldCharType="end"/>
            </w:r>
          </w:hyperlink>
        </w:p>
        <w:p w14:paraId="0C8E9C8C" w14:textId="77777777" w:rsidR="00780D5A" w:rsidRPr="00FC6116" w:rsidRDefault="0049625C" w:rsidP="00FC6116">
          <w:pPr>
            <w:pStyle w:val="TDC2"/>
            <w:rPr>
              <w:rFonts w:asciiTheme="minorHAnsi" w:eastAsiaTheme="minorEastAsia" w:hAnsiTheme="minorHAnsi" w:cstheme="minorBidi"/>
              <w:noProof/>
              <w:szCs w:val="22"/>
              <w:lang w:eastAsia="es-MX"/>
            </w:rPr>
          </w:pPr>
          <w:hyperlink w:anchor="_Toc173844345" w:history="1">
            <w:r w:rsidR="00780D5A" w:rsidRPr="00FC6116">
              <w:rPr>
                <w:rStyle w:val="Hipervnculo"/>
                <w:noProof/>
                <w:color w:val="auto"/>
              </w:rPr>
              <w:t>DE LA SOLICITUD DE INFORMACIÓN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_Toc173844345 \h </w:instrText>
            </w:r>
            <w:r w:rsidR="00780D5A" w:rsidRPr="00FC6116">
              <w:rPr>
                <w:noProof/>
                <w:webHidden/>
              </w:rPr>
            </w:r>
            <w:r w:rsidR="00780D5A" w:rsidRPr="00FC6116">
              <w:rPr>
                <w:noProof/>
                <w:webHidden/>
              </w:rPr>
              <w:fldChar w:fldCharType="separate"/>
            </w:r>
            <w:r w:rsidR="00AB35F4">
              <w:rPr>
                <w:noProof/>
                <w:webHidden/>
              </w:rPr>
              <w:t>1</w:t>
            </w:r>
            <w:r w:rsidR="00780D5A" w:rsidRPr="00FC6116">
              <w:rPr>
                <w:noProof/>
                <w:webHidden/>
              </w:rPr>
              <w:fldChar w:fldCharType="end"/>
            </w:r>
          </w:hyperlink>
        </w:p>
        <w:p w14:paraId="56185D68"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46" w:history="1">
            <w:r w:rsidR="00780D5A" w:rsidRPr="00FC6116">
              <w:rPr>
                <w:rStyle w:val="Hipervnculo"/>
                <w:noProof/>
                <w:color w:val="auto"/>
              </w:rPr>
              <w:t>a) Solicitud de información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_Toc173844346 \h </w:instrText>
            </w:r>
            <w:r w:rsidR="00780D5A" w:rsidRPr="00FC6116">
              <w:rPr>
                <w:noProof/>
                <w:webHidden/>
              </w:rPr>
            </w:r>
            <w:r w:rsidR="00780D5A" w:rsidRPr="00FC6116">
              <w:rPr>
                <w:noProof/>
                <w:webHidden/>
              </w:rPr>
              <w:fldChar w:fldCharType="separate"/>
            </w:r>
            <w:r w:rsidR="00AB35F4">
              <w:rPr>
                <w:noProof/>
                <w:webHidden/>
              </w:rPr>
              <w:t>1</w:t>
            </w:r>
            <w:r w:rsidR="00780D5A" w:rsidRPr="00FC6116">
              <w:rPr>
                <w:noProof/>
                <w:webHidden/>
              </w:rPr>
              <w:fldChar w:fldCharType="end"/>
            </w:r>
          </w:hyperlink>
        </w:p>
        <w:p w14:paraId="7FC4419C"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47" w:history="1">
            <w:r w:rsidR="00780D5A" w:rsidRPr="00FC6116">
              <w:rPr>
                <w:rStyle w:val="Hipervnculo"/>
                <w:noProof/>
                <w:color w:val="auto"/>
                <w:lang w:val="es-ES"/>
              </w:rPr>
              <w:t>b) Solicitud de aclaración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_Toc173844347 \h </w:instrText>
            </w:r>
            <w:r w:rsidR="00780D5A" w:rsidRPr="00FC6116">
              <w:rPr>
                <w:noProof/>
                <w:webHidden/>
              </w:rPr>
            </w:r>
            <w:r w:rsidR="00780D5A" w:rsidRPr="00FC6116">
              <w:rPr>
                <w:noProof/>
                <w:webHidden/>
              </w:rPr>
              <w:fldChar w:fldCharType="separate"/>
            </w:r>
            <w:r w:rsidR="00AB35F4">
              <w:rPr>
                <w:noProof/>
                <w:webHidden/>
              </w:rPr>
              <w:t>2</w:t>
            </w:r>
            <w:r w:rsidR="00780D5A" w:rsidRPr="00FC6116">
              <w:rPr>
                <w:noProof/>
                <w:webHidden/>
              </w:rPr>
              <w:fldChar w:fldCharType="end"/>
            </w:r>
          </w:hyperlink>
        </w:p>
        <w:p w14:paraId="2715EDEB"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48" w:history="1">
            <w:r w:rsidR="00780D5A" w:rsidRPr="00FC6116">
              <w:rPr>
                <w:rStyle w:val="Hipervnculo"/>
                <w:noProof/>
                <w:color w:val="auto"/>
                <w:lang w:val="es-ES"/>
              </w:rPr>
              <w:t>c) No presentó Aclaración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_Toc173844348 \h </w:instrText>
            </w:r>
            <w:r w:rsidR="00780D5A" w:rsidRPr="00FC6116">
              <w:rPr>
                <w:noProof/>
                <w:webHidden/>
              </w:rPr>
            </w:r>
            <w:r w:rsidR="00780D5A" w:rsidRPr="00FC6116">
              <w:rPr>
                <w:noProof/>
                <w:webHidden/>
              </w:rPr>
              <w:fldChar w:fldCharType="separate"/>
            </w:r>
            <w:r w:rsidR="00AB35F4">
              <w:rPr>
                <w:noProof/>
                <w:webHidden/>
              </w:rPr>
              <w:t>2</w:t>
            </w:r>
            <w:r w:rsidR="00780D5A" w:rsidRPr="00FC6116">
              <w:rPr>
                <w:noProof/>
                <w:webHidden/>
              </w:rPr>
              <w:fldChar w:fldCharType="end"/>
            </w:r>
          </w:hyperlink>
        </w:p>
        <w:p w14:paraId="0F5507BF" w14:textId="77777777" w:rsidR="00780D5A" w:rsidRPr="00FC6116" w:rsidRDefault="0049625C" w:rsidP="00FC6116">
          <w:pPr>
            <w:pStyle w:val="TDC2"/>
            <w:rPr>
              <w:rFonts w:asciiTheme="minorHAnsi" w:eastAsiaTheme="minorEastAsia" w:hAnsiTheme="minorHAnsi" w:cstheme="minorBidi"/>
              <w:noProof/>
              <w:szCs w:val="22"/>
              <w:lang w:eastAsia="es-MX"/>
            </w:rPr>
          </w:pPr>
          <w:hyperlink w:anchor="_Toc173844349" w:history="1">
            <w:r w:rsidR="00780D5A" w:rsidRPr="00FC6116">
              <w:rPr>
                <w:rStyle w:val="Hipervnculo"/>
                <w:noProof/>
                <w:color w:val="auto"/>
              </w:rPr>
              <w:t>DEL RECURSO DE REVISIÓN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_Toc173844349 \h </w:instrText>
            </w:r>
            <w:r w:rsidR="00780D5A" w:rsidRPr="00FC6116">
              <w:rPr>
                <w:noProof/>
                <w:webHidden/>
              </w:rPr>
            </w:r>
            <w:r w:rsidR="00780D5A" w:rsidRPr="00FC6116">
              <w:rPr>
                <w:noProof/>
                <w:webHidden/>
              </w:rPr>
              <w:fldChar w:fldCharType="separate"/>
            </w:r>
            <w:r w:rsidR="00AB35F4">
              <w:rPr>
                <w:noProof/>
                <w:webHidden/>
              </w:rPr>
              <w:t>3</w:t>
            </w:r>
            <w:r w:rsidR="00780D5A" w:rsidRPr="00FC6116">
              <w:rPr>
                <w:noProof/>
                <w:webHidden/>
              </w:rPr>
              <w:fldChar w:fldCharType="end"/>
            </w:r>
          </w:hyperlink>
        </w:p>
        <w:p w14:paraId="4C16E6C7"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50" w:history="1">
            <w:r w:rsidR="00780D5A" w:rsidRPr="00FC6116">
              <w:rPr>
                <w:rStyle w:val="Hipervnculo"/>
                <w:noProof/>
                <w:color w:val="auto"/>
              </w:rPr>
              <w:t>a) Interposición del Recurso de Revisión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_Toc173844350 \h </w:instrText>
            </w:r>
            <w:r w:rsidR="00780D5A" w:rsidRPr="00FC6116">
              <w:rPr>
                <w:noProof/>
                <w:webHidden/>
              </w:rPr>
            </w:r>
            <w:r w:rsidR="00780D5A" w:rsidRPr="00FC6116">
              <w:rPr>
                <w:noProof/>
                <w:webHidden/>
              </w:rPr>
              <w:fldChar w:fldCharType="separate"/>
            </w:r>
            <w:r w:rsidR="00AB35F4">
              <w:rPr>
                <w:noProof/>
                <w:webHidden/>
              </w:rPr>
              <w:t>3</w:t>
            </w:r>
            <w:r w:rsidR="00780D5A" w:rsidRPr="00FC6116">
              <w:rPr>
                <w:noProof/>
                <w:webHidden/>
              </w:rPr>
              <w:fldChar w:fldCharType="end"/>
            </w:r>
          </w:hyperlink>
        </w:p>
        <w:p w14:paraId="25A04992"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51" w:history="1">
            <w:r w:rsidR="00780D5A" w:rsidRPr="00FC6116">
              <w:rPr>
                <w:rStyle w:val="Hipervnculo"/>
                <w:noProof/>
                <w:color w:val="auto"/>
              </w:rPr>
              <w:t>b) Turno del Recurso de Revisión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_Toc173844351 \h </w:instrText>
            </w:r>
            <w:r w:rsidR="00780D5A" w:rsidRPr="00FC6116">
              <w:rPr>
                <w:noProof/>
                <w:webHidden/>
              </w:rPr>
            </w:r>
            <w:r w:rsidR="00780D5A" w:rsidRPr="00FC6116">
              <w:rPr>
                <w:noProof/>
                <w:webHidden/>
              </w:rPr>
              <w:fldChar w:fldCharType="separate"/>
            </w:r>
            <w:r w:rsidR="00AB35F4">
              <w:rPr>
                <w:noProof/>
                <w:webHidden/>
              </w:rPr>
              <w:t>4</w:t>
            </w:r>
            <w:r w:rsidR="00780D5A" w:rsidRPr="00FC6116">
              <w:rPr>
                <w:noProof/>
                <w:webHidden/>
              </w:rPr>
              <w:fldChar w:fldCharType="end"/>
            </w:r>
          </w:hyperlink>
        </w:p>
        <w:p w14:paraId="11332163"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52" w:history="1">
            <w:r w:rsidR="00780D5A" w:rsidRPr="00FC6116">
              <w:rPr>
                <w:rStyle w:val="Hipervnculo"/>
                <w:noProof/>
                <w:color w:val="auto"/>
              </w:rPr>
              <w:t>c) Admisión del Recurso de Revisión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_Toc173844352 \h </w:instrText>
            </w:r>
            <w:r w:rsidR="00780D5A" w:rsidRPr="00FC6116">
              <w:rPr>
                <w:noProof/>
                <w:webHidden/>
              </w:rPr>
            </w:r>
            <w:r w:rsidR="00780D5A" w:rsidRPr="00FC6116">
              <w:rPr>
                <w:noProof/>
                <w:webHidden/>
              </w:rPr>
              <w:fldChar w:fldCharType="separate"/>
            </w:r>
            <w:r w:rsidR="00AB35F4">
              <w:rPr>
                <w:noProof/>
                <w:webHidden/>
              </w:rPr>
              <w:t>4</w:t>
            </w:r>
            <w:r w:rsidR="00780D5A" w:rsidRPr="00FC6116">
              <w:rPr>
                <w:noProof/>
                <w:webHidden/>
              </w:rPr>
              <w:fldChar w:fldCharType="end"/>
            </w:r>
          </w:hyperlink>
        </w:p>
        <w:p w14:paraId="7194810B"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53" w:history="1">
            <w:r w:rsidR="00780D5A" w:rsidRPr="00FC6116">
              <w:rPr>
                <w:rStyle w:val="Hipervnculo"/>
                <w:noProof/>
                <w:color w:val="auto"/>
              </w:rPr>
              <w:t>d) Acumulación de los Recursos de Revisión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_Toc173844353 \h </w:instrText>
            </w:r>
            <w:r w:rsidR="00780D5A" w:rsidRPr="00FC6116">
              <w:rPr>
                <w:noProof/>
                <w:webHidden/>
              </w:rPr>
            </w:r>
            <w:r w:rsidR="00780D5A" w:rsidRPr="00FC6116">
              <w:rPr>
                <w:noProof/>
                <w:webHidden/>
              </w:rPr>
              <w:fldChar w:fldCharType="separate"/>
            </w:r>
            <w:r w:rsidR="00AB35F4">
              <w:rPr>
                <w:b/>
                <w:bCs/>
                <w:noProof/>
                <w:webHidden/>
                <w:lang w:val="es-ES"/>
              </w:rPr>
              <w:t>¡Error! Marcador no definido.</w:t>
            </w:r>
            <w:r w:rsidR="00780D5A" w:rsidRPr="00FC6116">
              <w:rPr>
                <w:noProof/>
                <w:webHidden/>
              </w:rPr>
              <w:fldChar w:fldCharType="end"/>
            </w:r>
          </w:hyperlink>
        </w:p>
        <w:p w14:paraId="69277808"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54" w:history="1">
            <w:r w:rsidR="00780D5A" w:rsidRPr="00FC6116">
              <w:rPr>
                <w:rStyle w:val="Hipervnculo"/>
                <w:noProof/>
                <w:color w:val="auto"/>
              </w:rPr>
              <w:t>e) Informe Justificado del Sujeto Obligado</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_Toc173844354 \h </w:instrText>
            </w:r>
            <w:r w:rsidR="00780D5A" w:rsidRPr="00FC6116">
              <w:rPr>
                <w:noProof/>
                <w:webHidden/>
              </w:rPr>
            </w:r>
            <w:r w:rsidR="00780D5A" w:rsidRPr="00FC6116">
              <w:rPr>
                <w:noProof/>
                <w:webHidden/>
              </w:rPr>
              <w:fldChar w:fldCharType="separate"/>
            </w:r>
            <w:r w:rsidR="00AB35F4">
              <w:rPr>
                <w:noProof/>
                <w:webHidden/>
              </w:rPr>
              <w:t>4</w:t>
            </w:r>
            <w:r w:rsidR="00780D5A" w:rsidRPr="00FC6116">
              <w:rPr>
                <w:noProof/>
                <w:webHidden/>
              </w:rPr>
              <w:fldChar w:fldCharType="end"/>
            </w:r>
          </w:hyperlink>
        </w:p>
        <w:p w14:paraId="2A34C09F"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55" w:history="1">
            <w:r w:rsidR="00780D5A" w:rsidRPr="00FC6116">
              <w:rPr>
                <w:rStyle w:val="Hipervnculo"/>
                <w:rFonts w:eastAsia="Calibri"/>
                <w:bCs/>
                <w:noProof/>
                <w:color w:val="auto"/>
                <w:lang w:eastAsia="en-US"/>
              </w:rPr>
              <w:t>f)</w:t>
            </w:r>
            <w:r w:rsidR="00780D5A" w:rsidRPr="00FC6116">
              <w:rPr>
                <w:rStyle w:val="Hipervnculo"/>
                <w:noProof/>
                <w:color w:val="auto"/>
              </w:rPr>
              <w:t xml:space="preserve"> </w:t>
            </w:r>
            <w:r w:rsidR="00780D5A" w:rsidRPr="00FC6116">
              <w:rPr>
                <w:rStyle w:val="Hipervnculo"/>
                <w:noProof/>
                <w:color w:val="auto"/>
                <w:lang w:val="es-ES"/>
              </w:rPr>
              <w:t>Manifestaciones de la Parte Recurrente</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_Toc173844355 \h </w:instrText>
            </w:r>
            <w:r w:rsidR="00780D5A" w:rsidRPr="00FC6116">
              <w:rPr>
                <w:noProof/>
                <w:webHidden/>
              </w:rPr>
            </w:r>
            <w:r w:rsidR="00780D5A" w:rsidRPr="00FC6116">
              <w:rPr>
                <w:noProof/>
                <w:webHidden/>
              </w:rPr>
              <w:fldChar w:fldCharType="separate"/>
            </w:r>
            <w:r w:rsidR="00AB35F4">
              <w:rPr>
                <w:b/>
                <w:bCs/>
                <w:noProof/>
                <w:webHidden/>
                <w:lang w:val="es-ES"/>
              </w:rPr>
              <w:t>¡Error! Marcador no definido.</w:t>
            </w:r>
            <w:r w:rsidR="00780D5A" w:rsidRPr="00FC6116">
              <w:rPr>
                <w:noProof/>
                <w:webHidden/>
              </w:rPr>
              <w:fldChar w:fldCharType="end"/>
            </w:r>
          </w:hyperlink>
        </w:p>
        <w:p w14:paraId="44CE54F3"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56" w:history="1">
            <w:r w:rsidR="00780D5A" w:rsidRPr="00FC6116">
              <w:rPr>
                <w:rStyle w:val="Hipervnculo"/>
                <w:rFonts w:eastAsia="Calibri"/>
                <w:noProof/>
                <w:color w:val="auto"/>
              </w:rPr>
              <w:t>g) Ampliación de plazo para resolver el Recurso de Revisión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_Toc173844356 \h </w:instrText>
            </w:r>
            <w:r w:rsidR="00780D5A" w:rsidRPr="00FC6116">
              <w:rPr>
                <w:noProof/>
                <w:webHidden/>
              </w:rPr>
            </w:r>
            <w:r w:rsidR="00780D5A" w:rsidRPr="00FC6116">
              <w:rPr>
                <w:noProof/>
                <w:webHidden/>
              </w:rPr>
              <w:fldChar w:fldCharType="separate"/>
            </w:r>
            <w:r w:rsidR="00AB35F4">
              <w:rPr>
                <w:b/>
                <w:bCs/>
                <w:noProof/>
                <w:webHidden/>
                <w:lang w:val="es-ES"/>
              </w:rPr>
              <w:t>¡Error! Marcador no definido.</w:t>
            </w:r>
            <w:r w:rsidR="00780D5A" w:rsidRPr="00FC6116">
              <w:rPr>
                <w:noProof/>
                <w:webHidden/>
              </w:rPr>
              <w:fldChar w:fldCharType="end"/>
            </w:r>
          </w:hyperlink>
        </w:p>
        <w:p w14:paraId="3A9DC92B"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57" w:history="1">
            <w:r w:rsidR="00780D5A" w:rsidRPr="00FC6116">
              <w:rPr>
                <w:rStyle w:val="Hipervnculo"/>
                <w:noProof/>
                <w:color w:val="auto"/>
              </w:rPr>
              <w:t>h) Cierre de instrucción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_Toc173844357 \h </w:instrText>
            </w:r>
            <w:r w:rsidR="00780D5A" w:rsidRPr="00FC6116">
              <w:rPr>
                <w:noProof/>
                <w:webHidden/>
              </w:rPr>
            </w:r>
            <w:r w:rsidR="00780D5A" w:rsidRPr="00FC6116">
              <w:rPr>
                <w:noProof/>
                <w:webHidden/>
              </w:rPr>
              <w:fldChar w:fldCharType="separate"/>
            </w:r>
            <w:r w:rsidR="00AB35F4">
              <w:rPr>
                <w:noProof/>
                <w:webHidden/>
              </w:rPr>
              <w:t>5</w:t>
            </w:r>
            <w:r w:rsidR="00780D5A" w:rsidRPr="00FC6116">
              <w:rPr>
                <w:noProof/>
                <w:webHidden/>
              </w:rPr>
              <w:fldChar w:fldCharType="end"/>
            </w:r>
          </w:hyperlink>
        </w:p>
        <w:p w14:paraId="523B36C2" w14:textId="77777777" w:rsidR="00780D5A" w:rsidRPr="00FC6116" w:rsidRDefault="0049625C" w:rsidP="00FC6116">
          <w:pPr>
            <w:pStyle w:val="TDC1"/>
            <w:tabs>
              <w:tab w:val="right" w:leader="dot" w:pos="9034"/>
            </w:tabs>
            <w:rPr>
              <w:rFonts w:asciiTheme="minorHAnsi" w:eastAsiaTheme="minorEastAsia" w:hAnsiTheme="minorHAnsi" w:cstheme="minorBidi"/>
              <w:noProof/>
              <w:szCs w:val="22"/>
              <w:lang w:eastAsia="es-MX"/>
            </w:rPr>
          </w:pPr>
          <w:hyperlink w:anchor="_Toc173844358" w:history="1">
            <w:r w:rsidR="00780D5A" w:rsidRPr="00FC6116">
              <w:rPr>
                <w:rStyle w:val="Hipervnculo"/>
                <w:rFonts w:eastAsiaTheme="minorHAnsi"/>
                <w:noProof/>
                <w:color w:val="auto"/>
                <w:lang w:eastAsia="en-US"/>
              </w:rPr>
              <w:t>CONSIDERANDOS</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_Toc173844358 \h </w:instrText>
            </w:r>
            <w:r w:rsidR="00780D5A" w:rsidRPr="00FC6116">
              <w:rPr>
                <w:noProof/>
                <w:webHidden/>
              </w:rPr>
            </w:r>
            <w:r w:rsidR="00780D5A" w:rsidRPr="00FC6116">
              <w:rPr>
                <w:noProof/>
                <w:webHidden/>
              </w:rPr>
              <w:fldChar w:fldCharType="separate"/>
            </w:r>
            <w:r w:rsidR="00AB35F4">
              <w:rPr>
                <w:noProof/>
                <w:webHidden/>
              </w:rPr>
              <w:t>5</w:t>
            </w:r>
            <w:r w:rsidR="00780D5A" w:rsidRPr="00FC6116">
              <w:rPr>
                <w:noProof/>
                <w:webHidden/>
              </w:rPr>
              <w:fldChar w:fldCharType="end"/>
            </w:r>
          </w:hyperlink>
        </w:p>
        <w:p w14:paraId="44B09CE6" w14:textId="77777777" w:rsidR="00780D5A" w:rsidRPr="00FC6116" w:rsidRDefault="0049625C" w:rsidP="00FC6116">
          <w:pPr>
            <w:pStyle w:val="TDC2"/>
            <w:rPr>
              <w:rFonts w:asciiTheme="minorHAnsi" w:eastAsiaTheme="minorEastAsia" w:hAnsiTheme="minorHAnsi" w:cstheme="minorBidi"/>
              <w:noProof/>
              <w:szCs w:val="22"/>
              <w:lang w:eastAsia="es-MX"/>
            </w:rPr>
          </w:pPr>
          <w:hyperlink w:anchor="_Toc173844359" w:history="1">
            <w:r w:rsidR="00780D5A" w:rsidRPr="00FC6116">
              <w:rPr>
                <w:rStyle w:val="Hipervnculo"/>
                <w:rFonts w:eastAsia="Batang"/>
                <w:noProof/>
                <w:color w:val="auto"/>
              </w:rPr>
              <w:t>PRIMERO. Procedibilidad</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_Toc173844359 \h </w:instrText>
            </w:r>
            <w:r w:rsidR="00780D5A" w:rsidRPr="00FC6116">
              <w:rPr>
                <w:noProof/>
                <w:webHidden/>
              </w:rPr>
            </w:r>
            <w:r w:rsidR="00780D5A" w:rsidRPr="00FC6116">
              <w:rPr>
                <w:noProof/>
                <w:webHidden/>
              </w:rPr>
              <w:fldChar w:fldCharType="separate"/>
            </w:r>
            <w:r w:rsidR="00AB35F4">
              <w:rPr>
                <w:noProof/>
                <w:webHidden/>
              </w:rPr>
              <w:t>5</w:t>
            </w:r>
            <w:r w:rsidR="00780D5A" w:rsidRPr="00FC6116">
              <w:rPr>
                <w:noProof/>
                <w:webHidden/>
              </w:rPr>
              <w:fldChar w:fldCharType="end"/>
            </w:r>
          </w:hyperlink>
        </w:p>
        <w:p w14:paraId="467FF706"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60" w:history="1">
            <w:r w:rsidR="00780D5A" w:rsidRPr="00FC6116">
              <w:rPr>
                <w:rStyle w:val="Hipervnculo"/>
                <w:noProof/>
                <w:color w:val="auto"/>
              </w:rPr>
              <w:t>a) Competencia del Instituto</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_Toc173844360 \h </w:instrText>
            </w:r>
            <w:r w:rsidR="00780D5A" w:rsidRPr="00FC6116">
              <w:rPr>
                <w:noProof/>
                <w:webHidden/>
              </w:rPr>
            </w:r>
            <w:r w:rsidR="00780D5A" w:rsidRPr="00FC6116">
              <w:rPr>
                <w:noProof/>
                <w:webHidden/>
              </w:rPr>
              <w:fldChar w:fldCharType="separate"/>
            </w:r>
            <w:r w:rsidR="00AB35F4">
              <w:rPr>
                <w:noProof/>
                <w:webHidden/>
              </w:rPr>
              <w:t>5</w:t>
            </w:r>
            <w:r w:rsidR="00780D5A" w:rsidRPr="00FC6116">
              <w:rPr>
                <w:noProof/>
                <w:webHidden/>
              </w:rPr>
              <w:fldChar w:fldCharType="end"/>
            </w:r>
          </w:hyperlink>
        </w:p>
        <w:p w14:paraId="3634885B"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61" w:history="1">
            <w:r w:rsidR="00780D5A" w:rsidRPr="00FC6116">
              <w:rPr>
                <w:rStyle w:val="Hipervnculo"/>
                <w:noProof/>
                <w:color w:val="auto"/>
              </w:rPr>
              <w:t>b) Legitimidad de la parte recurrente</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_Toc173844361 \h </w:instrText>
            </w:r>
            <w:r w:rsidR="00780D5A" w:rsidRPr="00FC6116">
              <w:rPr>
                <w:noProof/>
                <w:webHidden/>
              </w:rPr>
            </w:r>
            <w:r w:rsidR="00780D5A" w:rsidRPr="00FC6116">
              <w:rPr>
                <w:noProof/>
                <w:webHidden/>
              </w:rPr>
              <w:fldChar w:fldCharType="separate"/>
            </w:r>
            <w:r w:rsidR="00AB35F4">
              <w:rPr>
                <w:noProof/>
                <w:webHidden/>
              </w:rPr>
              <w:t>6</w:t>
            </w:r>
            <w:r w:rsidR="00780D5A" w:rsidRPr="00FC6116">
              <w:rPr>
                <w:noProof/>
                <w:webHidden/>
              </w:rPr>
              <w:fldChar w:fldCharType="end"/>
            </w:r>
          </w:hyperlink>
        </w:p>
        <w:p w14:paraId="185FE979"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62" w:history="1">
            <w:r w:rsidR="00780D5A" w:rsidRPr="00FC6116">
              <w:rPr>
                <w:rStyle w:val="Hipervnculo"/>
                <w:rFonts w:eastAsia="Calibri"/>
                <w:noProof/>
                <w:color w:val="auto"/>
                <w:lang w:eastAsia="es-ES_tradnl"/>
              </w:rPr>
              <w:t>c) Plazo para interponer el recurso</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_Toc173844362 \h </w:instrText>
            </w:r>
            <w:r w:rsidR="00780D5A" w:rsidRPr="00FC6116">
              <w:rPr>
                <w:noProof/>
                <w:webHidden/>
              </w:rPr>
            </w:r>
            <w:r w:rsidR="00780D5A" w:rsidRPr="00FC6116">
              <w:rPr>
                <w:noProof/>
                <w:webHidden/>
              </w:rPr>
              <w:fldChar w:fldCharType="separate"/>
            </w:r>
            <w:r w:rsidR="00AB35F4">
              <w:rPr>
                <w:noProof/>
                <w:webHidden/>
              </w:rPr>
              <w:t>6</w:t>
            </w:r>
            <w:r w:rsidR="00780D5A" w:rsidRPr="00FC6116">
              <w:rPr>
                <w:noProof/>
                <w:webHidden/>
              </w:rPr>
              <w:fldChar w:fldCharType="end"/>
            </w:r>
          </w:hyperlink>
        </w:p>
        <w:p w14:paraId="328C7557"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63" w:history="1">
            <w:r w:rsidR="00780D5A" w:rsidRPr="00FC6116">
              <w:rPr>
                <w:rStyle w:val="Hipervnculo"/>
                <w:rFonts w:eastAsia="Calibri"/>
                <w:noProof/>
                <w:color w:val="auto"/>
                <w:lang w:eastAsia="es-ES_tradnl"/>
              </w:rPr>
              <w:t>d) Interés legítimo</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_Toc173844363 \h </w:instrText>
            </w:r>
            <w:r w:rsidR="00780D5A" w:rsidRPr="00FC6116">
              <w:rPr>
                <w:noProof/>
                <w:webHidden/>
              </w:rPr>
            </w:r>
            <w:r w:rsidR="00780D5A" w:rsidRPr="00FC6116">
              <w:rPr>
                <w:noProof/>
                <w:webHidden/>
              </w:rPr>
              <w:fldChar w:fldCharType="separate"/>
            </w:r>
            <w:r w:rsidR="00AB35F4">
              <w:rPr>
                <w:noProof/>
                <w:webHidden/>
              </w:rPr>
              <w:t>7</w:t>
            </w:r>
            <w:r w:rsidR="00780D5A" w:rsidRPr="00FC6116">
              <w:rPr>
                <w:noProof/>
                <w:webHidden/>
              </w:rPr>
              <w:fldChar w:fldCharType="end"/>
            </w:r>
          </w:hyperlink>
        </w:p>
        <w:p w14:paraId="517E4ECA"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64" w:history="1">
            <w:r w:rsidR="00780D5A" w:rsidRPr="00FC6116">
              <w:rPr>
                <w:rStyle w:val="Hipervnculo"/>
                <w:noProof/>
                <w:color w:val="auto"/>
              </w:rPr>
              <w:t>e) Requisitos formales para la interposición del recurso</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_Toc173844364 \h </w:instrText>
            </w:r>
            <w:r w:rsidR="00780D5A" w:rsidRPr="00FC6116">
              <w:rPr>
                <w:noProof/>
                <w:webHidden/>
              </w:rPr>
            </w:r>
            <w:r w:rsidR="00780D5A" w:rsidRPr="00FC6116">
              <w:rPr>
                <w:noProof/>
                <w:webHidden/>
              </w:rPr>
              <w:fldChar w:fldCharType="separate"/>
            </w:r>
            <w:r w:rsidR="00AB35F4">
              <w:rPr>
                <w:noProof/>
                <w:webHidden/>
              </w:rPr>
              <w:t>7</w:t>
            </w:r>
            <w:r w:rsidR="00780D5A" w:rsidRPr="00FC6116">
              <w:rPr>
                <w:noProof/>
                <w:webHidden/>
              </w:rPr>
              <w:fldChar w:fldCharType="end"/>
            </w:r>
          </w:hyperlink>
        </w:p>
        <w:p w14:paraId="75A18075"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65" w:history="1">
            <w:r w:rsidR="00780D5A" w:rsidRPr="00FC6116">
              <w:rPr>
                <w:rStyle w:val="Hipervnculo"/>
                <w:noProof/>
                <w:color w:val="auto"/>
              </w:rPr>
              <w:t>f) Acumulación de los Recursos de Revisión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_Toc173844365 \h </w:instrText>
            </w:r>
            <w:r w:rsidR="00780D5A" w:rsidRPr="00FC6116">
              <w:rPr>
                <w:noProof/>
                <w:webHidden/>
              </w:rPr>
            </w:r>
            <w:r w:rsidR="00780D5A" w:rsidRPr="00FC6116">
              <w:rPr>
                <w:noProof/>
                <w:webHidden/>
              </w:rPr>
              <w:fldChar w:fldCharType="separate"/>
            </w:r>
            <w:r w:rsidR="00AB35F4">
              <w:rPr>
                <w:b/>
                <w:bCs/>
                <w:noProof/>
                <w:webHidden/>
                <w:lang w:val="es-ES"/>
              </w:rPr>
              <w:t>¡Error! Marcador no definido.</w:t>
            </w:r>
            <w:r w:rsidR="00780D5A" w:rsidRPr="00FC6116">
              <w:rPr>
                <w:noProof/>
                <w:webHidden/>
              </w:rPr>
              <w:fldChar w:fldCharType="end"/>
            </w:r>
          </w:hyperlink>
        </w:p>
        <w:p w14:paraId="4FCA09FB" w14:textId="77777777" w:rsidR="00780D5A" w:rsidRPr="00FC6116" w:rsidRDefault="0049625C" w:rsidP="00FC6116">
          <w:pPr>
            <w:pStyle w:val="TDC2"/>
            <w:rPr>
              <w:rFonts w:asciiTheme="minorHAnsi" w:eastAsiaTheme="minorEastAsia" w:hAnsiTheme="minorHAnsi" w:cstheme="minorBidi"/>
              <w:noProof/>
              <w:szCs w:val="22"/>
              <w:lang w:eastAsia="es-MX"/>
            </w:rPr>
          </w:pPr>
          <w:hyperlink w:anchor="_Toc173844366" w:history="1">
            <w:r w:rsidR="00780D5A" w:rsidRPr="00FC6116">
              <w:rPr>
                <w:rStyle w:val="Hipervnculo"/>
                <w:noProof/>
                <w:color w:val="auto"/>
              </w:rPr>
              <w:t>SEGUNDO. Estudio de Fondo</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_Toc173844366 \h </w:instrText>
            </w:r>
            <w:r w:rsidR="00780D5A" w:rsidRPr="00FC6116">
              <w:rPr>
                <w:noProof/>
                <w:webHidden/>
              </w:rPr>
            </w:r>
            <w:r w:rsidR="00780D5A" w:rsidRPr="00FC6116">
              <w:rPr>
                <w:noProof/>
                <w:webHidden/>
              </w:rPr>
              <w:fldChar w:fldCharType="separate"/>
            </w:r>
            <w:r w:rsidR="00AB35F4">
              <w:rPr>
                <w:noProof/>
                <w:webHidden/>
              </w:rPr>
              <w:t>7</w:t>
            </w:r>
            <w:r w:rsidR="00780D5A" w:rsidRPr="00FC6116">
              <w:rPr>
                <w:noProof/>
                <w:webHidden/>
              </w:rPr>
              <w:fldChar w:fldCharType="end"/>
            </w:r>
          </w:hyperlink>
        </w:p>
        <w:p w14:paraId="14EDB73B"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67" w:history="1">
            <w:r w:rsidR="00780D5A" w:rsidRPr="00FC6116">
              <w:rPr>
                <w:rStyle w:val="Hipervnculo"/>
                <w:noProof/>
                <w:color w:val="auto"/>
              </w:rPr>
              <w:t>a) Mandato de transparencia y responsabilidad del Sujeto Obligado</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_Toc173844367 \h </w:instrText>
            </w:r>
            <w:r w:rsidR="00780D5A" w:rsidRPr="00FC6116">
              <w:rPr>
                <w:noProof/>
                <w:webHidden/>
              </w:rPr>
            </w:r>
            <w:r w:rsidR="00780D5A" w:rsidRPr="00FC6116">
              <w:rPr>
                <w:noProof/>
                <w:webHidden/>
              </w:rPr>
              <w:fldChar w:fldCharType="separate"/>
            </w:r>
            <w:r w:rsidR="00AB35F4">
              <w:rPr>
                <w:noProof/>
                <w:webHidden/>
              </w:rPr>
              <w:t>7</w:t>
            </w:r>
            <w:r w:rsidR="00780D5A" w:rsidRPr="00FC6116">
              <w:rPr>
                <w:noProof/>
                <w:webHidden/>
              </w:rPr>
              <w:fldChar w:fldCharType="end"/>
            </w:r>
          </w:hyperlink>
        </w:p>
        <w:p w14:paraId="7E9B0C20"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68" w:history="1">
            <w:r w:rsidR="00780D5A" w:rsidRPr="00FC6116">
              <w:rPr>
                <w:rStyle w:val="Hipervnculo"/>
                <w:rFonts w:eastAsia="Calibri"/>
                <w:noProof/>
                <w:color w:val="auto"/>
                <w:lang w:eastAsia="es-ES_tradnl"/>
              </w:rPr>
              <w:t>b) Controversia a resolver</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_Toc173844368 \h </w:instrText>
            </w:r>
            <w:r w:rsidR="00780D5A" w:rsidRPr="00FC6116">
              <w:rPr>
                <w:noProof/>
                <w:webHidden/>
              </w:rPr>
            </w:r>
            <w:r w:rsidR="00780D5A" w:rsidRPr="00FC6116">
              <w:rPr>
                <w:noProof/>
                <w:webHidden/>
              </w:rPr>
              <w:fldChar w:fldCharType="separate"/>
            </w:r>
            <w:r w:rsidR="00AB35F4">
              <w:rPr>
                <w:noProof/>
                <w:webHidden/>
              </w:rPr>
              <w:t>10</w:t>
            </w:r>
            <w:r w:rsidR="00780D5A" w:rsidRPr="00FC6116">
              <w:rPr>
                <w:noProof/>
                <w:webHidden/>
              </w:rPr>
              <w:fldChar w:fldCharType="end"/>
            </w:r>
          </w:hyperlink>
        </w:p>
        <w:p w14:paraId="1D2D2296"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69" w:history="1">
            <w:r w:rsidR="00780D5A" w:rsidRPr="00FC6116">
              <w:rPr>
                <w:rStyle w:val="Hipervnculo"/>
                <w:noProof/>
                <w:color w:val="auto"/>
              </w:rPr>
              <w:t>c) Estudio de la controversia</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_Toc173844369 \h </w:instrText>
            </w:r>
            <w:r w:rsidR="00780D5A" w:rsidRPr="00FC6116">
              <w:rPr>
                <w:noProof/>
                <w:webHidden/>
              </w:rPr>
            </w:r>
            <w:r w:rsidR="00780D5A" w:rsidRPr="00FC6116">
              <w:rPr>
                <w:noProof/>
                <w:webHidden/>
              </w:rPr>
              <w:fldChar w:fldCharType="separate"/>
            </w:r>
            <w:r w:rsidR="00AB35F4">
              <w:rPr>
                <w:noProof/>
                <w:webHidden/>
              </w:rPr>
              <w:t>11</w:t>
            </w:r>
            <w:r w:rsidR="00780D5A" w:rsidRPr="00FC6116">
              <w:rPr>
                <w:noProof/>
                <w:webHidden/>
              </w:rPr>
              <w:fldChar w:fldCharType="end"/>
            </w:r>
          </w:hyperlink>
        </w:p>
        <w:p w14:paraId="67948AD0"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70" w:history="1">
            <w:r w:rsidR="00780D5A" w:rsidRPr="00FC6116">
              <w:rPr>
                <w:rStyle w:val="Hipervnculo"/>
                <w:noProof/>
                <w:color w:val="auto"/>
              </w:rPr>
              <w:t>d) Versión pública</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_Toc173844370 \h </w:instrText>
            </w:r>
            <w:r w:rsidR="00780D5A" w:rsidRPr="00FC6116">
              <w:rPr>
                <w:noProof/>
                <w:webHidden/>
              </w:rPr>
            </w:r>
            <w:r w:rsidR="00780D5A" w:rsidRPr="00FC6116">
              <w:rPr>
                <w:noProof/>
                <w:webHidden/>
              </w:rPr>
              <w:fldChar w:fldCharType="separate"/>
            </w:r>
            <w:r w:rsidR="00AB35F4">
              <w:rPr>
                <w:b/>
                <w:bCs/>
                <w:noProof/>
                <w:webHidden/>
                <w:lang w:val="es-ES"/>
              </w:rPr>
              <w:t>¡Error! Marcador no definido.</w:t>
            </w:r>
            <w:r w:rsidR="00780D5A" w:rsidRPr="00FC6116">
              <w:rPr>
                <w:noProof/>
                <w:webHidden/>
              </w:rPr>
              <w:fldChar w:fldCharType="end"/>
            </w:r>
          </w:hyperlink>
        </w:p>
        <w:p w14:paraId="489E41DA"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71" w:history="1">
            <w:r w:rsidR="00780D5A" w:rsidRPr="00FC6116">
              <w:rPr>
                <w:rStyle w:val="Hipervnculo"/>
                <w:rFonts w:eastAsia="Calibri"/>
                <w:noProof/>
                <w:color w:val="auto"/>
              </w:rPr>
              <w:t>e) Acuerdo de Inexistencia</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_Toc173844371 \h </w:instrText>
            </w:r>
            <w:r w:rsidR="00780D5A" w:rsidRPr="00FC6116">
              <w:rPr>
                <w:noProof/>
                <w:webHidden/>
              </w:rPr>
            </w:r>
            <w:r w:rsidR="00780D5A" w:rsidRPr="00FC6116">
              <w:rPr>
                <w:noProof/>
                <w:webHidden/>
              </w:rPr>
              <w:fldChar w:fldCharType="separate"/>
            </w:r>
            <w:r w:rsidR="00AB35F4">
              <w:rPr>
                <w:b/>
                <w:bCs/>
                <w:noProof/>
                <w:webHidden/>
                <w:lang w:val="es-ES"/>
              </w:rPr>
              <w:t>¡Error! Marcador no definido.</w:t>
            </w:r>
            <w:r w:rsidR="00780D5A" w:rsidRPr="00FC6116">
              <w:rPr>
                <w:noProof/>
                <w:webHidden/>
              </w:rPr>
              <w:fldChar w:fldCharType="end"/>
            </w:r>
          </w:hyperlink>
        </w:p>
        <w:p w14:paraId="7A511E6F" w14:textId="77777777" w:rsidR="00780D5A" w:rsidRPr="00FC6116" w:rsidRDefault="0049625C" w:rsidP="00FC6116">
          <w:pPr>
            <w:pStyle w:val="TDC3"/>
            <w:rPr>
              <w:rFonts w:asciiTheme="minorHAnsi" w:eastAsiaTheme="minorEastAsia" w:hAnsiTheme="minorHAnsi" w:cstheme="minorBidi"/>
              <w:noProof/>
              <w:szCs w:val="22"/>
              <w:lang w:eastAsia="es-MX"/>
            </w:rPr>
          </w:pPr>
          <w:hyperlink w:anchor="_Toc173844372" w:history="1">
            <w:r w:rsidR="00780D5A" w:rsidRPr="00FC6116">
              <w:rPr>
                <w:rStyle w:val="Hipervnculo"/>
                <w:noProof/>
                <w:color w:val="auto"/>
              </w:rPr>
              <w:t>f) Conclusión</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_Toc173844372 \h </w:instrText>
            </w:r>
            <w:r w:rsidR="00780D5A" w:rsidRPr="00FC6116">
              <w:rPr>
                <w:noProof/>
                <w:webHidden/>
              </w:rPr>
            </w:r>
            <w:r w:rsidR="00780D5A" w:rsidRPr="00FC6116">
              <w:rPr>
                <w:noProof/>
                <w:webHidden/>
              </w:rPr>
              <w:fldChar w:fldCharType="separate"/>
            </w:r>
            <w:r w:rsidR="00AB35F4">
              <w:rPr>
                <w:b/>
                <w:bCs/>
                <w:noProof/>
                <w:webHidden/>
                <w:lang w:val="es-ES"/>
              </w:rPr>
              <w:t>¡Error! Marcador no definido.</w:t>
            </w:r>
            <w:r w:rsidR="00780D5A" w:rsidRPr="00FC6116">
              <w:rPr>
                <w:noProof/>
                <w:webHidden/>
              </w:rPr>
              <w:fldChar w:fldCharType="end"/>
            </w:r>
          </w:hyperlink>
        </w:p>
        <w:p w14:paraId="15098B27" w14:textId="77777777" w:rsidR="00780D5A" w:rsidRPr="00FC6116" w:rsidRDefault="0049625C" w:rsidP="00FC6116">
          <w:pPr>
            <w:pStyle w:val="TDC1"/>
            <w:tabs>
              <w:tab w:val="right" w:leader="dot" w:pos="9034"/>
            </w:tabs>
            <w:rPr>
              <w:rFonts w:asciiTheme="minorHAnsi" w:eastAsiaTheme="minorEastAsia" w:hAnsiTheme="minorHAnsi" w:cstheme="minorBidi"/>
              <w:noProof/>
              <w:szCs w:val="22"/>
              <w:lang w:eastAsia="es-MX"/>
            </w:rPr>
          </w:pPr>
          <w:hyperlink w:anchor="_Toc173844373" w:history="1">
            <w:r w:rsidR="00780D5A" w:rsidRPr="00FC6116">
              <w:rPr>
                <w:rStyle w:val="Hipervnculo"/>
                <w:noProof/>
                <w:color w:val="auto"/>
              </w:rPr>
              <w:t>RESUELVE</w:t>
            </w:r>
            <w:r w:rsidR="00780D5A" w:rsidRPr="00FC6116">
              <w:rPr>
                <w:noProof/>
                <w:webHidden/>
              </w:rPr>
              <w:tab/>
            </w:r>
            <w:r w:rsidR="00780D5A" w:rsidRPr="00FC6116">
              <w:rPr>
                <w:noProof/>
                <w:webHidden/>
              </w:rPr>
              <w:fldChar w:fldCharType="begin"/>
            </w:r>
            <w:r w:rsidR="00780D5A" w:rsidRPr="00FC6116">
              <w:rPr>
                <w:noProof/>
                <w:webHidden/>
              </w:rPr>
              <w:instrText xml:space="preserve"> PAGEREF _Toc173844373 \h </w:instrText>
            </w:r>
            <w:r w:rsidR="00780D5A" w:rsidRPr="00FC6116">
              <w:rPr>
                <w:noProof/>
                <w:webHidden/>
              </w:rPr>
            </w:r>
            <w:r w:rsidR="00780D5A" w:rsidRPr="00FC6116">
              <w:rPr>
                <w:noProof/>
                <w:webHidden/>
              </w:rPr>
              <w:fldChar w:fldCharType="separate"/>
            </w:r>
            <w:r w:rsidR="00AB35F4">
              <w:rPr>
                <w:b/>
                <w:bCs/>
                <w:noProof/>
                <w:webHidden/>
                <w:lang w:val="es-ES"/>
              </w:rPr>
              <w:t>¡Error! Marcador no definido.</w:t>
            </w:r>
            <w:r w:rsidR="00780D5A" w:rsidRPr="00FC6116">
              <w:rPr>
                <w:noProof/>
                <w:webHidden/>
              </w:rPr>
              <w:fldChar w:fldCharType="end"/>
            </w:r>
          </w:hyperlink>
        </w:p>
        <w:p w14:paraId="0C82FD7A" w14:textId="56536608" w:rsidR="009B2945" w:rsidRPr="00FC6116" w:rsidRDefault="00AE3DA7" w:rsidP="00FC6116">
          <w:pPr>
            <w:spacing w:line="240" w:lineRule="auto"/>
            <w:rPr>
              <w:b/>
              <w:bCs/>
              <w:lang w:val="es-ES"/>
            </w:rPr>
          </w:pPr>
          <w:r w:rsidRPr="00FC6116">
            <w:rPr>
              <w:b/>
              <w:bCs/>
              <w:sz w:val="16"/>
              <w:szCs w:val="16"/>
              <w:lang w:val="es-ES"/>
            </w:rPr>
            <w:fldChar w:fldCharType="end"/>
          </w:r>
        </w:p>
      </w:sdtContent>
    </w:sdt>
    <w:p w14:paraId="603A07E2" w14:textId="77777777" w:rsidR="00646436" w:rsidRPr="00FC6116" w:rsidRDefault="00646436" w:rsidP="00FC6116">
      <w:pPr>
        <w:rPr>
          <w:rFonts w:cs="Tahoma"/>
          <w:szCs w:val="22"/>
        </w:rPr>
        <w:sectPr w:rsidR="00646436" w:rsidRPr="00FC611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2A06989" w:rsidR="00775BFC" w:rsidRPr="00FC6116" w:rsidRDefault="00775BFC" w:rsidP="00FC6116">
      <w:pPr>
        <w:rPr>
          <w:b/>
        </w:rPr>
      </w:pPr>
      <w:r w:rsidRPr="00FC6116">
        <w:lastRenderedPageBreak/>
        <w:t>Resolución del Pleno del Instituto de Transparencia, Acceso a la Información Pública y Protección de Datos Personales del Estado de México y Municipios, con domicilio e</w:t>
      </w:r>
      <w:r w:rsidR="00CC33D4" w:rsidRPr="00FC6116">
        <w:t xml:space="preserve">n Metepec, Estado de México, </w:t>
      </w:r>
      <w:r w:rsidR="00277D99" w:rsidRPr="00FC6116">
        <w:rPr>
          <w:b/>
          <w:bCs/>
        </w:rPr>
        <w:t xml:space="preserve">el </w:t>
      </w:r>
      <w:r w:rsidR="00CC33D4" w:rsidRPr="00FC6116">
        <w:rPr>
          <w:b/>
        </w:rPr>
        <w:t>catorce de agosto de dos mil veinticuatro.</w:t>
      </w:r>
    </w:p>
    <w:p w14:paraId="0AF3AAC4" w14:textId="77777777" w:rsidR="00775BFC" w:rsidRPr="00FC6116" w:rsidRDefault="00775BFC" w:rsidP="00FC6116"/>
    <w:p w14:paraId="40EAE038" w14:textId="14F8D0A4" w:rsidR="00775BFC" w:rsidRPr="00FC6116" w:rsidRDefault="00775BFC" w:rsidP="00FC6116">
      <w:r w:rsidRPr="00FC6116">
        <w:rPr>
          <w:b/>
        </w:rPr>
        <w:t xml:space="preserve">VISTO </w:t>
      </w:r>
      <w:r w:rsidRPr="00FC6116">
        <w:t xml:space="preserve">el expediente formado con motivo del Recurso de Revisión </w:t>
      </w:r>
      <w:r w:rsidR="00CC33D4" w:rsidRPr="00FC6116">
        <w:rPr>
          <w:rFonts w:eastAsia="Calibri"/>
          <w:b/>
          <w:lang w:eastAsia="en-US"/>
        </w:rPr>
        <w:t>4037</w:t>
      </w:r>
      <w:r w:rsidRPr="00FC6116">
        <w:rPr>
          <w:rFonts w:eastAsia="Calibri"/>
          <w:b/>
          <w:lang w:eastAsia="en-US"/>
        </w:rPr>
        <w:t>/INFOEM/IP/RR/</w:t>
      </w:r>
      <w:r w:rsidR="00CC33D4" w:rsidRPr="00FC6116">
        <w:rPr>
          <w:rFonts w:eastAsia="Calibri"/>
          <w:b/>
          <w:lang w:eastAsia="en-US"/>
        </w:rPr>
        <w:t>2024</w:t>
      </w:r>
      <w:r w:rsidRPr="00FC6116">
        <w:rPr>
          <w:rFonts w:eastAsia="Calibri"/>
          <w:lang w:eastAsia="en-US"/>
        </w:rPr>
        <w:t xml:space="preserve"> </w:t>
      </w:r>
      <w:r w:rsidRPr="00FC6116">
        <w:t>interpuesto por</w:t>
      </w:r>
      <w:r w:rsidR="00CC33D4" w:rsidRPr="00FC6116">
        <w:t xml:space="preserve"> </w:t>
      </w:r>
      <w:r w:rsidR="00F97C8E">
        <w:rPr>
          <w:b/>
        </w:rPr>
        <w:t xml:space="preserve">XXXXXXX XXXXXX </w:t>
      </w:r>
      <w:proofErr w:type="spellStart"/>
      <w:r w:rsidR="00F97C8E">
        <w:rPr>
          <w:b/>
        </w:rPr>
        <w:t>XXXXXX</w:t>
      </w:r>
      <w:proofErr w:type="spellEnd"/>
      <w:r w:rsidRPr="00FC6116">
        <w:t xml:space="preserve">, a quien en lo subsecuente se le denominará </w:t>
      </w:r>
      <w:r w:rsidRPr="00FC6116">
        <w:rPr>
          <w:b/>
          <w:bCs/>
        </w:rPr>
        <w:t>LA PARTE RECURRENTE</w:t>
      </w:r>
      <w:r w:rsidRPr="00FC6116">
        <w:t xml:space="preserve">, en contra de la respuesta emitida por </w:t>
      </w:r>
      <w:r w:rsidR="00CC33D4" w:rsidRPr="00FC6116">
        <w:rPr>
          <w:b/>
        </w:rPr>
        <w:t>Tribunal de Justicia Administrativa del Estado de México</w:t>
      </w:r>
      <w:r w:rsidRPr="00FC6116">
        <w:rPr>
          <w:b/>
        </w:rPr>
        <w:t>,</w:t>
      </w:r>
      <w:r w:rsidRPr="00FC6116">
        <w:t xml:space="preserve"> en adelante </w:t>
      </w:r>
      <w:r w:rsidRPr="00FC6116">
        <w:rPr>
          <w:b/>
          <w:bCs/>
        </w:rPr>
        <w:t>EL SUJETO OBLIGADO</w:t>
      </w:r>
      <w:r w:rsidRPr="00FC6116">
        <w:rPr>
          <w:rFonts w:eastAsia="Calibri"/>
          <w:lang w:eastAsia="en-US"/>
        </w:rPr>
        <w:t xml:space="preserve">, </w:t>
      </w:r>
      <w:r w:rsidRPr="00FC6116">
        <w:t>se emite la presente Resolución con base en los Antecedentes y Considerandos que se exponen a continuación:</w:t>
      </w:r>
    </w:p>
    <w:p w14:paraId="2116968C" w14:textId="77777777" w:rsidR="00775BFC" w:rsidRPr="00FC6116" w:rsidRDefault="00775BFC" w:rsidP="00FC6116"/>
    <w:p w14:paraId="5A444FB6" w14:textId="639D3567" w:rsidR="00664420" w:rsidRPr="00FC6116" w:rsidRDefault="00664420" w:rsidP="00FC6116">
      <w:pPr>
        <w:pStyle w:val="Ttulo1"/>
      </w:pPr>
      <w:bookmarkStart w:id="2" w:name="_Toc173844344"/>
      <w:r w:rsidRPr="00FC6116">
        <w:t>ANTECEDENTES</w:t>
      </w:r>
      <w:bookmarkEnd w:id="2"/>
    </w:p>
    <w:p w14:paraId="7CE9E53D" w14:textId="77777777" w:rsidR="00E37A3F" w:rsidRPr="00FC6116" w:rsidRDefault="00E37A3F" w:rsidP="00FC6116"/>
    <w:p w14:paraId="09B2D38F" w14:textId="6E49D146" w:rsidR="00664420" w:rsidRPr="00FC6116" w:rsidRDefault="00E37A3F" w:rsidP="00FC6116">
      <w:pPr>
        <w:pStyle w:val="Ttulo2"/>
      </w:pPr>
      <w:bookmarkStart w:id="3" w:name="_Toc173844345"/>
      <w:r w:rsidRPr="00FC6116">
        <w:t>DE LA SOLICITUD DE INFORMACIÓN</w:t>
      </w:r>
      <w:bookmarkEnd w:id="3"/>
    </w:p>
    <w:p w14:paraId="7B7535DF" w14:textId="77777777" w:rsidR="00E37A3F" w:rsidRPr="00FC6116" w:rsidRDefault="00E37A3F" w:rsidP="00FC6116"/>
    <w:p w14:paraId="2C6AD1A5" w14:textId="0405B3CD" w:rsidR="00664420" w:rsidRPr="00FC6116" w:rsidRDefault="00E37A3F" w:rsidP="00FC6116">
      <w:pPr>
        <w:pStyle w:val="Ttulo3"/>
      </w:pPr>
      <w:bookmarkStart w:id="4" w:name="_Toc173844346"/>
      <w:r w:rsidRPr="00FC6116">
        <w:t xml:space="preserve">a) </w:t>
      </w:r>
      <w:r w:rsidR="006B10B0" w:rsidRPr="00FC6116">
        <w:t>S</w:t>
      </w:r>
      <w:r w:rsidR="00664420" w:rsidRPr="00FC6116">
        <w:t xml:space="preserve">olicitud de </w:t>
      </w:r>
      <w:r w:rsidR="006B10B0" w:rsidRPr="00FC6116">
        <w:t>i</w:t>
      </w:r>
      <w:r w:rsidR="00664420" w:rsidRPr="00FC6116">
        <w:t>nformación</w:t>
      </w:r>
      <w:bookmarkEnd w:id="4"/>
    </w:p>
    <w:p w14:paraId="06DCD29D" w14:textId="5DD3142F" w:rsidR="009A2D78" w:rsidRPr="00FC6116" w:rsidRDefault="006B10B0" w:rsidP="00FC6116">
      <w:pPr>
        <w:pStyle w:val="Prrafodelista"/>
        <w:tabs>
          <w:tab w:val="left" w:pos="0"/>
        </w:tabs>
        <w:ind w:left="0"/>
        <w:contextualSpacing w:val="0"/>
        <w:rPr>
          <w:rFonts w:cs="Tahoma"/>
        </w:rPr>
      </w:pPr>
      <w:r w:rsidRPr="00FC6116">
        <w:rPr>
          <w:rFonts w:cs="Tahoma"/>
        </w:rPr>
        <w:t>El</w:t>
      </w:r>
      <w:r w:rsidR="00664420" w:rsidRPr="00FC6116">
        <w:rPr>
          <w:rFonts w:cs="Tahoma"/>
        </w:rPr>
        <w:t xml:space="preserve"> </w:t>
      </w:r>
      <w:r w:rsidR="00325C82" w:rsidRPr="00FC6116">
        <w:rPr>
          <w:rFonts w:cs="Tahoma"/>
          <w:b/>
          <w:bCs/>
        </w:rPr>
        <w:t>diecisiete de junio de dos mil veinticuatro</w:t>
      </w:r>
      <w:r w:rsidR="00664420" w:rsidRPr="00FC6116">
        <w:rPr>
          <w:rFonts w:cs="Tahoma"/>
        </w:rPr>
        <w:t xml:space="preserve">, </w:t>
      </w:r>
      <w:r w:rsidRPr="00FC6116">
        <w:rPr>
          <w:b/>
          <w:bCs/>
        </w:rPr>
        <w:t>LA PARTE RECURRENTE</w:t>
      </w:r>
      <w:r w:rsidR="00664420" w:rsidRPr="00FC6116">
        <w:rPr>
          <w:rFonts w:cs="Tahoma"/>
        </w:rPr>
        <w:t xml:space="preserve"> presentó una solicitud de acceso a la información pública </w:t>
      </w:r>
      <w:r w:rsidR="001F3515" w:rsidRPr="00FC6116">
        <w:rPr>
          <w:rFonts w:cs="Tahoma"/>
        </w:rPr>
        <w:t xml:space="preserve">ante el </w:t>
      </w:r>
      <w:r w:rsidR="001F3515" w:rsidRPr="00FC6116">
        <w:rPr>
          <w:rFonts w:cs="Tahoma"/>
          <w:b/>
          <w:bCs/>
        </w:rPr>
        <w:t>SUJETO OBLIGADO</w:t>
      </w:r>
      <w:r w:rsidR="001F3515" w:rsidRPr="00FC6116">
        <w:rPr>
          <w:rFonts w:cs="Tahoma"/>
        </w:rPr>
        <w:t xml:space="preserve">, </w:t>
      </w:r>
      <w:r w:rsidR="00664420" w:rsidRPr="00FC6116">
        <w:rPr>
          <w:rFonts w:cs="Tahoma"/>
        </w:rPr>
        <w:t>a través del Sistema de Acceso a la Información Mexiquense</w:t>
      </w:r>
      <w:r w:rsidRPr="00FC6116">
        <w:rPr>
          <w:rFonts w:cs="Tahoma"/>
        </w:rPr>
        <w:t xml:space="preserve"> </w:t>
      </w:r>
      <w:r w:rsidR="009A2D78" w:rsidRPr="00FC6116">
        <w:rPr>
          <w:rFonts w:cs="Tahoma"/>
          <w:b/>
        </w:rPr>
        <w:t>(</w:t>
      </w:r>
      <w:r w:rsidRPr="00FC6116">
        <w:rPr>
          <w:rFonts w:cs="Tahoma"/>
          <w:b/>
        </w:rPr>
        <w:t>SAIMEX</w:t>
      </w:r>
      <w:r w:rsidR="009A2D78" w:rsidRPr="00FC6116">
        <w:rPr>
          <w:rFonts w:cs="Tahoma"/>
        </w:rPr>
        <w:t>). Dicha solicitud quedó</w:t>
      </w:r>
      <w:r w:rsidRPr="00FC6116">
        <w:rPr>
          <w:rFonts w:cs="Tahoma"/>
        </w:rPr>
        <w:t xml:space="preserve"> registrada c</w:t>
      </w:r>
      <w:r w:rsidR="00664420" w:rsidRPr="00FC6116">
        <w:rPr>
          <w:rFonts w:cs="Tahoma"/>
        </w:rPr>
        <w:t>on el número de folio</w:t>
      </w:r>
      <w:r w:rsidR="00325C82" w:rsidRPr="00FC6116">
        <w:rPr>
          <w:rFonts w:cs="Tahoma"/>
        </w:rPr>
        <w:t xml:space="preserve"> </w:t>
      </w:r>
      <w:r w:rsidR="00325C82" w:rsidRPr="00FC6116">
        <w:rPr>
          <w:rFonts w:cs="Tahoma"/>
          <w:b/>
        </w:rPr>
        <w:t>00244/TRIJAEM/IP/2024</w:t>
      </w:r>
      <w:r w:rsidR="002A3601" w:rsidRPr="00FC6116">
        <w:rPr>
          <w:rFonts w:cs="Tahoma"/>
        </w:rPr>
        <w:t xml:space="preserve"> y en ella </w:t>
      </w:r>
      <w:r w:rsidR="009A2D78" w:rsidRPr="00FC6116">
        <w:rPr>
          <w:rFonts w:cs="Tahoma"/>
        </w:rPr>
        <w:t>se requirió la siguiente información:</w:t>
      </w:r>
    </w:p>
    <w:p w14:paraId="0459D6AC" w14:textId="77777777" w:rsidR="00664420" w:rsidRPr="00FC6116" w:rsidRDefault="00664420" w:rsidP="00FC6116">
      <w:pPr>
        <w:tabs>
          <w:tab w:val="left" w:pos="4667"/>
        </w:tabs>
        <w:ind w:left="567" w:right="567"/>
        <w:rPr>
          <w:rFonts w:cs="Tahoma"/>
          <w:b/>
          <w:bCs/>
        </w:rPr>
      </w:pPr>
    </w:p>
    <w:p w14:paraId="179FB369" w14:textId="6850E04F" w:rsidR="00664420" w:rsidRPr="00FC6116" w:rsidRDefault="00D71E55" w:rsidP="00FC6116">
      <w:pPr>
        <w:pStyle w:val="Puesto"/>
      </w:pPr>
      <w:r w:rsidRPr="00FC6116">
        <w:t>“</w:t>
      </w:r>
      <w:r w:rsidR="00325C82" w:rsidRPr="00FC6116">
        <w:t xml:space="preserve">SE SOLICITAN COPIAS SIMPLES DE LAS SENTENCIAS RESOLUTORIAS DE LOS JUCIOS ADMINISTRATIVOS Nos. 152/2023 Y 294/2023 DEL C. </w:t>
      </w:r>
      <w:r w:rsidR="00F97C8E">
        <w:t xml:space="preserve">XXXXXXXXX XXXXXXX </w:t>
      </w:r>
      <w:proofErr w:type="spellStart"/>
      <w:r w:rsidR="00F97C8E">
        <w:t>XXXXXXX</w:t>
      </w:r>
      <w:proofErr w:type="spellEnd"/>
      <w:r w:rsidRPr="00FC6116">
        <w:t>”</w:t>
      </w:r>
    </w:p>
    <w:p w14:paraId="64B27DE3" w14:textId="77777777" w:rsidR="00664420" w:rsidRPr="00FC6116" w:rsidRDefault="00664420" w:rsidP="00FC6116">
      <w:pPr>
        <w:tabs>
          <w:tab w:val="left" w:pos="4667"/>
        </w:tabs>
        <w:ind w:left="567" w:right="567"/>
        <w:rPr>
          <w:rFonts w:cs="Tahoma"/>
          <w:bCs/>
          <w:i/>
          <w:szCs w:val="22"/>
        </w:rPr>
      </w:pPr>
    </w:p>
    <w:p w14:paraId="0BD6321D" w14:textId="56D9ABBC" w:rsidR="00664420" w:rsidRPr="00FC6116" w:rsidRDefault="009A2D78" w:rsidP="00FC6116">
      <w:pPr>
        <w:tabs>
          <w:tab w:val="left" w:pos="4667"/>
        </w:tabs>
        <w:ind w:left="567" w:right="567"/>
        <w:rPr>
          <w:rFonts w:cs="Tahoma"/>
          <w:bCs/>
          <w:szCs w:val="22"/>
        </w:rPr>
      </w:pPr>
      <w:r w:rsidRPr="00FC6116">
        <w:rPr>
          <w:rFonts w:cs="Tahoma"/>
          <w:b/>
          <w:bCs/>
          <w:szCs w:val="22"/>
        </w:rPr>
        <w:lastRenderedPageBreak/>
        <w:t>Modalidad de entrega</w:t>
      </w:r>
      <w:r w:rsidRPr="00FC6116">
        <w:rPr>
          <w:rFonts w:cs="Tahoma"/>
          <w:bCs/>
          <w:szCs w:val="22"/>
        </w:rPr>
        <w:t>: a</w:t>
      </w:r>
      <w:r w:rsidR="00664420" w:rsidRPr="00FC6116">
        <w:rPr>
          <w:rFonts w:cs="Tahoma"/>
          <w:bCs/>
          <w:i/>
          <w:szCs w:val="22"/>
        </w:rPr>
        <w:t xml:space="preserve"> través del </w:t>
      </w:r>
      <w:r w:rsidR="00664420" w:rsidRPr="00FC6116">
        <w:rPr>
          <w:rFonts w:cs="Tahoma"/>
          <w:b/>
          <w:bCs/>
          <w:i/>
          <w:szCs w:val="22"/>
        </w:rPr>
        <w:t>SAIMEX</w:t>
      </w:r>
      <w:r w:rsidRPr="00FC6116">
        <w:rPr>
          <w:rFonts w:cs="Tahoma"/>
          <w:bCs/>
          <w:i/>
          <w:szCs w:val="22"/>
        </w:rPr>
        <w:t>.</w:t>
      </w:r>
    </w:p>
    <w:p w14:paraId="3FF7943C" w14:textId="24F70BCF" w:rsidR="00D036D3" w:rsidRPr="00FC6116" w:rsidRDefault="00D036D3" w:rsidP="00FC6116"/>
    <w:p w14:paraId="0A71A002" w14:textId="625E6E9B" w:rsidR="00AF03C4" w:rsidRPr="00FC6116" w:rsidRDefault="00780D5A" w:rsidP="00FC6116">
      <w:pPr>
        <w:pStyle w:val="Ttulo3"/>
        <w:rPr>
          <w:lang w:val="es-ES"/>
        </w:rPr>
      </w:pPr>
      <w:bookmarkStart w:id="5" w:name="_Toc173844347"/>
      <w:r w:rsidRPr="00FC6116">
        <w:rPr>
          <w:lang w:val="es-ES"/>
        </w:rPr>
        <w:t>b</w:t>
      </w:r>
      <w:r w:rsidR="00E37A3F" w:rsidRPr="00FC6116">
        <w:rPr>
          <w:lang w:val="es-ES"/>
        </w:rPr>
        <w:t xml:space="preserve">) </w:t>
      </w:r>
      <w:r w:rsidR="00AF03C4" w:rsidRPr="00FC6116">
        <w:rPr>
          <w:lang w:val="es-ES"/>
        </w:rPr>
        <w:t>Solicitud de aclaración</w:t>
      </w:r>
      <w:bookmarkEnd w:id="5"/>
      <w:r w:rsidR="00AF03C4" w:rsidRPr="00FC6116">
        <w:rPr>
          <w:lang w:val="es-ES"/>
        </w:rPr>
        <w:t xml:space="preserve"> </w:t>
      </w:r>
    </w:p>
    <w:p w14:paraId="4414296B" w14:textId="12FE73CE" w:rsidR="00AF03C4" w:rsidRPr="00FC6116" w:rsidRDefault="00AF03C4" w:rsidP="00FC6116">
      <w:pPr>
        <w:rPr>
          <w:lang w:val="es-ES"/>
        </w:rPr>
      </w:pPr>
      <w:r w:rsidRPr="00FC6116">
        <w:rPr>
          <w:lang w:val="es-ES"/>
        </w:rPr>
        <w:t xml:space="preserve">De las constancias que obran en el expediente electrónico, se advierte que en fecha </w:t>
      </w:r>
      <w:r w:rsidR="001B3C5B" w:rsidRPr="00FC6116">
        <w:rPr>
          <w:b/>
          <w:lang w:val="es-ES"/>
        </w:rPr>
        <w:t>diecisiete de junio</w:t>
      </w:r>
      <w:r w:rsidR="001B3C5B" w:rsidRPr="00FC6116">
        <w:rPr>
          <w:lang w:val="es-ES"/>
        </w:rPr>
        <w:t xml:space="preserve"> </w:t>
      </w:r>
      <w:r w:rsidR="001B3C5B" w:rsidRPr="00FC6116">
        <w:rPr>
          <w:b/>
          <w:lang w:val="es-ES"/>
        </w:rPr>
        <w:t>de dos mil veinticuatro</w:t>
      </w:r>
      <w:r w:rsidRPr="00FC6116">
        <w:rPr>
          <w:lang w:val="es-ES"/>
        </w:rPr>
        <w:t xml:space="preserve">, </w:t>
      </w:r>
      <w:r w:rsidRPr="00FC6116">
        <w:rPr>
          <w:b/>
          <w:bCs/>
          <w:lang w:val="es-ES"/>
        </w:rPr>
        <w:t>EL SUJETO OBLIGADO</w:t>
      </w:r>
      <w:r w:rsidRPr="00FC6116">
        <w:rPr>
          <w:lang w:val="es-ES"/>
        </w:rPr>
        <w:t xml:space="preserve"> requirió a </w:t>
      </w:r>
      <w:r w:rsidRPr="00FC6116">
        <w:rPr>
          <w:b/>
          <w:bCs/>
          <w:lang w:val="es-ES"/>
        </w:rPr>
        <w:t>LA PARTE RECURRENTE</w:t>
      </w:r>
      <w:r w:rsidRPr="00FC6116">
        <w:rPr>
          <w:lang w:val="es-ES"/>
        </w:rPr>
        <w:t xml:space="preserve"> aclarar la solicitud de información pública planteada, en los siguientes términos:</w:t>
      </w:r>
    </w:p>
    <w:p w14:paraId="5485CCA8" w14:textId="77777777" w:rsidR="00AF03C4" w:rsidRPr="00FC6116" w:rsidRDefault="00AF03C4" w:rsidP="00FC6116">
      <w:pPr>
        <w:rPr>
          <w:lang w:val="es-ES"/>
        </w:rPr>
      </w:pPr>
    </w:p>
    <w:p w14:paraId="5E99DFF8" w14:textId="3D11B92E" w:rsidR="006A42CA" w:rsidRPr="00FC6116" w:rsidRDefault="006A42CA" w:rsidP="00FC6116">
      <w:pPr>
        <w:pStyle w:val="Puesto"/>
        <w:rPr>
          <w:lang w:val="es-ES"/>
        </w:rPr>
      </w:pPr>
      <w:r w:rsidRPr="00FC6116">
        <w:rPr>
          <w:lang w:val="es-ES"/>
        </w:rPr>
        <w:t>“Aclare y refiera la sala del Tribunal de Justicia Administrativa del Estado de</w:t>
      </w:r>
    </w:p>
    <w:p w14:paraId="50320EBA" w14:textId="77777777" w:rsidR="006A42CA" w:rsidRPr="00FC6116" w:rsidRDefault="006A42CA" w:rsidP="00FC6116">
      <w:pPr>
        <w:pStyle w:val="Puesto"/>
        <w:rPr>
          <w:lang w:val="es-ES"/>
        </w:rPr>
      </w:pPr>
      <w:r w:rsidRPr="00FC6116">
        <w:rPr>
          <w:lang w:val="es-ES"/>
        </w:rPr>
        <w:t>México en la que se lleva a cabo el procedimiento administrativo del que se</w:t>
      </w:r>
    </w:p>
    <w:p w14:paraId="77FBDC58" w14:textId="55F11CF1" w:rsidR="00AF03C4" w:rsidRPr="00FC6116" w:rsidRDefault="006A42CA" w:rsidP="00FC6116">
      <w:pPr>
        <w:pStyle w:val="Puesto"/>
        <w:rPr>
          <w:lang w:val="es-ES"/>
        </w:rPr>
      </w:pPr>
      <w:r w:rsidRPr="00FC6116">
        <w:rPr>
          <w:lang w:val="es-ES"/>
        </w:rPr>
        <w:t>requiere conocer la información.”</w:t>
      </w:r>
    </w:p>
    <w:p w14:paraId="5EF00052" w14:textId="77777777" w:rsidR="00AF03C4" w:rsidRPr="00FC6116" w:rsidRDefault="00AF03C4" w:rsidP="00FC6116">
      <w:pPr>
        <w:rPr>
          <w:lang w:val="es-ES"/>
        </w:rPr>
      </w:pPr>
    </w:p>
    <w:p w14:paraId="38492906" w14:textId="5A65C41C" w:rsidR="00AF03C4" w:rsidRPr="00FC6116" w:rsidRDefault="00780D5A" w:rsidP="00FC6116">
      <w:pPr>
        <w:pStyle w:val="Ttulo3"/>
        <w:rPr>
          <w:lang w:val="es-ES"/>
        </w:rPr>
      </w:pPr>
      <w:bookmarkStart w:id="6" w:name="_Toc173844348"/>
      <w:r w:rsidRPr="00FC6116">
        <w:rPr>
          <w:lang w:val="es-ES"/>
        </w:rPr>
        <w:t>c</w:t>
      </w:r>
      <w:r w:rsidR="00E37A3F" w:rsidRPr="00FC6116">
        <w:rPr>
          <w:lang w:val="es-ES"/>
        </w:rPr>
        <w:t xml:space="preserve">) </w:t>
      </w:r>
      <w:r w:rsidR="004966E6" w:rsidRPr="00FC6116">
        <w:rPr>
          <w:lang w:val="es-ES"/>
        </w:rPr>
        <w:t xml:space="preserve">No presentó </w:t>
      </w:r>
      <w:r w:rsidR="00AF03C4" w:rsidRPr="00FC6116">
        <w:rPr>
          <w:lang w:val="es-ES"/>
        </w:rPr>
        <w:t>Aclaración</w:t>
      </w:r>
      <w:bookmarkEnd w:id="6"/>
      <w:r w:rsidR="00AF03C4" w:rsidRPr="00FC6116">
        <w:rPr>
          <w:lang w:val="es-ES"/>
        </w:rPr>
        <w:t xml:space="preserve"> </w:t>
      </w:r>
    </w:p>
    <w:p w14:paraId="69B79FD9" w14:textId="0B01B438" w:rsidR="00AF03C4" w:rsidRPr="00FC6116" w:rsidRDefault="00AF03C4" w:rsidP="00FC6116">
      <w:pPr>
        <w:rPr>
          <w:lang w:val="es-ES"/>
        </w:rPr>
      </w:pPr>
      <w:r w:rsidRPr="00FC6116">
        <w:rPr>
          <w:lang w:val="es-ES"/>
        </w:rPr>
        <w:t>En fecha</w:t>
      </w:r>
      <w:r w:rsidRPr="00FC6116">
        <w:rPr>
          <w:b/>
          <w:bCs/>
          <w:lang w:val="es-ES"/>
        </w:rPr>
        <w:t xml:space="preserve"> </w:t>
      </w:r>
      <w:r w:rsidR="004966E6" w:rsidRPr="00FC6116">
        <w:rPr>
          <w:b/>
          <w:bCs/>
          <w:lang w:val="es-ES"/>
        </w:rPr>
        <w:t>dos de julio de dos mil veinticuatro</w:t>
      </w:r>
      <w:r w:rsidRPr="00FC6116">
        <w:rPr>
          <w:lang w:val="es-ES"/>
        </w:rPr>
        <w:t xml:space="preserve">, </w:t>
      </w:r>
      <w:r w:rsidR="004966E6" w:rsidRPr="00FC6116">
        <w:rPr>
          <w:b/>
          <w:bCs/>
          <w:lang w:val="es-ES"/>
        </w:rPr>
        <w:t>EL SUJETO OBLIGADO</w:t>
      </w:r>
      <w:r w:rsidR="004966E6" w:rsidRPr="00FC6116">
        <w:rPr>
          <w:lang w:val="es-ES"/>
        </w:rPr>
        <w:t xml:space="preserve"> resolvió la omisión en los siguientes</w:t>
      </w:r>
      <w:r w:rsidRPr="00FC6116">
        <w:rPr>
          <w:lang w:val="es-ES"/>
        </w:rPr>
        <w:t xml:space="preserve"> términos: </w:t>
      </w:r>
    </w:p>
    <w:p w14:paraId="4FAAA29E" w14:textId="4109816F" w:rsidR="004966E6" w:rsidRPr="00FC6116" w:rsidRDefault="004966E6" w:rsidP="00FC6116">
      <w:pPr>
        <w:pStyle w:val="Puesto"/>
        <w:jc w:val="center"/>
      </w:pPr>
      <w:r w:rsidRPr="00FC6116">
        <w:rPr>
          <w:lang w:val="es-ES"/>
        </w:rPr>
        <w:t>“</w:t>
      </w:r>
      <w:r w:rsidRPr="00FC6116">
        <w:t>RESUELVE</w:t>
      </w:r>
    </w:p>
    <w:p w14:paraId="4B340D96" w14:textId="77777777" w:rsidR="004966E6" w:rsidRPr="00FC6116" w:rsidRDefault="004966E6" w:rsidP="00FC6116">
      <w:pPr>
        <w:pStyle w:val="Puesto"/>
        <w:jc w:val="center"/>
      </w:pPr>
    </w:p>
    <w:p w14:paraId="5A9286C5" w14:textId="77777777" w:rsidR="004966E6" w:rsidRPr="00FC6116" w:rsidRDefault="004966E6" w:rsidP="00FC6116">
      <w:pPr>
        <w:pStyle w:val="Puesto"/>
      </w:pPr>
      <w:r w:rsidRPr="00FC6116">
        <w:t xml:space="preserve">PRIMERO. Esta Unidad da cuenta, que </w:t>
      </w:r>
      <w:r w:rsidRPr="00FC6116">
        <w:rPr>
          <w:b/>
        </w:rPr>
        <w:t>la petición realizada, no fue presentada dentro de los diez días hábiles a los que tiene derecho el solicitante</w:t>
      </w:r>
      <w:r w:rsidRPr="00FC6116">
        <w:t xml:space="preserve">, los que transcurrieron a partir del dieciocho de junio de la presente anualidad siendo este el día uno, hasta el día uno de julio de la presente anualidad, siendo este el día diez, feneciendo el plazo para aportar mayores elementos, el cual se encuentra determinado en el artículo 159 de la Ley de Transparencia y Acceso a la Información Pública del Estado de México y Municipios. </w:t>
      </w:r>
    </w:p>
    <w:p w14:paraId="074C43B1" w14:textId="77777777" w:rsidR="004966E6" w:rsidRPr="00FC6116" w:rsidRDefault="004966E6" w:rsidP="00FC6116">
      <w:pPr>
        <w:pStyle w:val="Puesto"/>
      </w:pPr>
    </w:p>
    <w:p w14:paraId="576511AF" w14:textId="1FDECA74" w:rsidR="00AF03C4" w:rsidRPr="00FC6116" w:rsidRDefault="004966E6" w:rsidP="00FC6116">
      <w:pPr>
        <w:pStyle w:val="Puesto"/>
        <w:rPr>
          <w:lang w:val="es-ES"/>
        </w:rPr>
      </w:pPr>
      <w:r w:rsidRPr="00FC6116">
        <w:t>SEGUNDO. Siendo el día dos de julio de la presente anualidad se remite el presente acuerdo, motivo por el cual se tenga por atendida la presente solicitud de acceso a la información</w:t>
      </w:r>
      <w:r w:rsidRPr="00FC6116">
        <w:rPr>
          <w:lang w:val="es-ES"/>
        </w:rPr>
        <w:t>.”</w:t>
      </w:r>
    </w:p>
    <w:p w14:paraId="5A5DAB9E" w14:textId="77777777" w:rsidR="00E37A3F" w:rsidRPr="00FC6116" w:rsidRDefault="00E37A3F" w:rsidP="00FC6116">
      <w:pPr>
        <w:pStyle w:val="Ttulo2"/>
        <w:jc w:val="left"/>
      </w:pPr>
      <w:bookmarkStart w:id="7" w:name="_Toc173844349"/>
      <w:r w:rsidRPr="00FC6116">
        <w:lastRenderedPageBreak/>
        <w:t>DEL RECURSO DE REVISIÓN</w:t>
      </w:r>
      <w:bookmarkEnd w:id="7"/>
    </w:p>
    <w:p w14:paraId="0B17CD08" w14:textId="77777777" w:rsidR="00664420" w:rsidRPr="00FC6116" w:rsidRDefault="00664420" w:rsidP="00FC6116">
      <w:pPr>
        <w:autoSpaceDE w:val="0"/>
        <w:autoSpaceDN w:val="0"/>
        <w:adjustRightInd w:val="0"/>
        <w:ind w:right="-28"/>
        <w:rPr>
          <w:rFonts w:cs="Tahoma"/>
          <w:bCs/>
          <w:szCs w:val="22"/>
          <w:lang w:val="es-ES"/>
        </w:rPr>
      </w:pPr>
    </w:p>
    <w:p w14:paraId="2B216813" w14:textId="61ADBB2B" w:rsidR="00664420" w:rsidRPr="00FC6116" w:rsidRDefault="006E25BC" w:rsidP="00FC6116">
      <w:pPr>
        <w:pStyle w:val="Ttulo3"/>
      </w:pPr>
      <w:bookmarkStart w:id="8" w:name="_Toc173844350"/>
      <w:r w:rsidRPr="00FC6116">
        <w:rPr>
          <w:szCs w:val="32"/>
        </w:rPr>
        <w:t>a)</w:t>
      </w:r>
      <w:r w:rsidRPr="00FC6116">
        <w:t xml:space="preserve"> </w:t>
      </w:r>
      <w:r w:rsidR="00664420" w:rsidRPr="00FC6116">
        <w:t>Interposición del Recurso de Revisión</w:t>
      </w:r>
      <w:bookmarkEnd w:id="8"/>
    </w:p>
    <w:p w14:paraId="6279C622" w14:textId="6C77EE9B" w:rsidR="00664420" w:rsidRPr="00FC6116" w:rsidRDefault="00664420" w:rsidP="00FC6116">
      <w:pPr>
        <w:autoSpaceDE w:val="0"/>
        <w:autoSpaceDN w:val="0"/>
        <w:adjustRightInd w:val="0"/>
        <w:ind w:right="-28"/>
        <w:rPr>
          <w:rFonts w:cs="Tahoma"/>
          <w:szCs w:val="22"/>
        </w:rPr>
      </w:pPr>
      <w:r w:rsidRPr="00FC6116">
        <w:rPr>
          <w:rFonts w:cs="Tahoma"/>
          <w:szCs w:val="22"/>
        </w:rPr>
        <w:t xml:space="preserve">El </w:t>
      </w:r>
      <w:r w:rsidR="00780D5A" w:rsidRPr="00FC6116">
        <w:rPr>
          <w:rFonts w:cs="Tahoma"/>
          <w:b/>
          <w:szCs w:val="22"/>
        </w:rPr>
        <w:t>dos de julio de dos mil veinticuatro</w:t>
      </w:r>
      <w:r w:rsidRPr="00FC6116">
        <w:rPr>
          <w:rFonts w:cs="Tahoma"/>
          <w:szCs w:val="22"/>
        </w:rPr>
        <w:t xml:space="preserve"> </w:t>
      </w:r>
      <w:r w:rsidR="00F75D23" w:rsidRPr="00FC6116">
        <w:rPr>
          <w:rFonts w:cs="Tahoma"/>
          <w:b/>
          <w:bCs/>
          <w:szCs w:val="22"/>
        </w:rPr>
        <w:t>LA PARTE RECURRENTE</w:t>
      </w:r>
      <w:r w:rsidR="00F75D23" w:rsidRPr="00FC6116">
        <w:rPr>
          <w:rFonts w:cs="Tahoma"/>
          <w:szCs w:val="22"/>
        </w:rPr>
        <w:t xml:space="preserve"> interpuso el recurso de revisión en contra de la respuesta emitida por el </w:t>
      </w:r>
      <w:r w:rsidR="00F75D23" w:rsidRPr="00FC6116">
        <w:rPr>
          <w:rFonts w:cs="Tahoma"/>
          <w:b/>
          <w:bCs/>
          <w:szCs w:val="22"/>
        </w:rPr>
        <w:t>SUJETO OBLIGADO</w:t>
      </w:r>
      <w:r w:rsidR="00953430" w:rsidRPr="00FC6116">
        <w:rPr>
          <w:rFonts w:cs="Tahoma"/>
          <w:szCs w:val="22"/>
        </w:rPr>
        <w:t xml:space="preserve">, mismo que fue registrado en el SAIMEX con el número de expediente </w:t>
      </w:r>
      <w:r w:rsidR="00780D5A" w:rsidRPr="00FC6116">
        <w:rPr>
          <w:rFonts w:cs="Tahoma"/>
          <w:b/>
          <w:szCs w:val="22"/>
        </w:rPr>
        <w:t>04037/INFOEM/IP/RR/2024</w:t>
      </w:r>
      <w:r w:rsidR="00953430" w:rsidRPr="00FC6116">
        <w:rPr>
          <w:rFonts w:cs="Tahoma"/>
          <w:szCs w:val="22"/>
        </w:rPr>
        <w:t>, y en el cual manifiesta lo siguiente</w:t>
      </w:r>
      <w:r w:rsidRPr="00FC6116">
        <w:rPr>
          <w:rFonts w:cs="Tahoma"/>
          <w:szCs w:val="22"/>
        </w:rPr>
        <w:t>:</w:t>
      </w:r>
    </w:p>
    <w:p w14:paraId="74B30008" w14:textId="77777777" w:rsidR="00664420" w:rsidRPr="00FC6116" w:rsidRDefault="00664420" w:rsidP="00FC6116">
      <w:pPr>
        <w:tabs>
          <w:tab w:val="left" w:pos="4667"/>
        </w:tabs>
        <w:ind w:right="539"/>
        <w:rPr>
          <w:rFonts w:cs="Tahoma"/>
          <w:szCs w:val="22"/>
        </w:rPr>
      </w:pPr>
    </w:p>
    <w:p w14:paraId="12153283" w14:textId="77777777" w:rsidR="00664420" w:rsidRPr="00FC6116" w:rsidRDefault="00664420" w:rsidP="00FC6116">
      <w:pPr>
        <w:tabs>
          <w:tab w:val="left" w:pos="4667"/>
        </w:tabs>
        <w:ind w:left="567" w:right="539"/>
        <w:rPr>
          <w:rFonts w:cs="Tahoma"/>
          <w:b/>
          <w:iCs/>
        </w:rPr>
      </w:pPr>
      <w:r w:rsidRPr="00FC6116">
        <w:rPr>
          <w:rFonts w:cs="Tahoma"/>
          <w:b/>
          <w:iCs/>
        </w:rPr>
        <w:t>ACTO IMPUGNADO</w:t>
      </w:r>
      <w:r w:rsidRPr="00FC6116">
        <w:rPr>
          <w:rFonts w:cs="Tahoma"/>
          <w:b/>
          <w:iCs/>
        </w:rPr>
        <w:tab/>
      </w:r>
    </w:p>
    <w:p w14:paraId="2101B01C" w14:textId="77777777" w:rsidR="00EB274C" w:rsidRPr="00FC6116" w:rsidRDefault="00EB274C" w:rsidP="00FC6116">
      <w:pPr>
        <w:tabs>
          <w:tab w:val="left" w:pos="4667"/>
        </w:tabs>
        <w:ind w:left="567" w:right="539"/>
        <w:rPr>
          <w:rFonts w:cs="Tahoma"/>
          <w:b/>
          <w:iCs/>
        </w:rPr>
      </w:pPr>
    </w:p>
    <w:p w14:paraId="523F8BF4" w14:textId="25F5D837" w:rsidR="00664420" w:rsidRPr="00FC6116" w:rsidRDefault="00E10D25" w:rsidP="00FC6116">
      <w:pPr>
        <w:pStyle w:val="Puesto"/>
      </w:pPr>
      <w:r w:rsidRPr="00FC6116">
        <w:t>“ACUERDO No.00244/TRIJAEM/IP/2024.”</w:t>
      </w:r>
    </w:p>
    <w:p w14:paraId="6AE8EA9A" w14:textId="77777777" w:rsidR="00664420" w:rsidRPr="00FC6116" w:rsidRDefault="00664420" w:rsidP="00FC6116">
      <w:pPr>
        <w:tabs>
          <w:tab w:val="left" w:pos="4667"/>
        </w:tabs>
        <w:ind w:left="567" w:right="539"/>
        <w:rPr>
          <w:rFonts w:cs="Tahoma"/>
          <w:bCs/>
          <w:i/>
        </w:rPr>
      </w:pPr>
    </w:p>
    <w:p w14:paraId="047D036B" w14:textId="77777777" w:rsidR="00664420" w:rsidRPr="00FC6116" w:rsidRDefault="00664420" w:rsidP="00FC6116">
      <w:pPr>
        <w:tabs>
          <w:tab w:val="left" w:pos="4667"/>
        </w:tabs>
        <w:ind w:left="567" w:right="539"/>
        <w:rPr>
          <w:rFonts w:cs="Tahoma"/>
          <w:b/>
          <w:iCs/>
        </w:rPr>
      </w:pPr>
      <w:r w:rsidRPr="00FC6116">
        <w:rPr>
          <w:rFonts w:cs="Tahoma"/>
          <w:b/>
          <w:iCs/>
        </w:rPr>
        <w:t>RAZONES O MOTIVOS DE LA INCONFORMIDAD</w:t>
      </w:r>
      <w:r w:rsidRPr="00FC6116">
        <w:rPr>
          <w:rFonts w:cs="Tahoma"/>
          <w:b/>
          <w:iCs/>
        </w:rPr>
        <w:tab/>
      </w:r>
    </w:p>
    <w:p w14:paraId="58CDE229" w14:textId="77777777" w:rsidR="00EB274C" w:rsidRPr="00FC6116" w:rsidRDefault="00EB274C" w:rsidP="00FC6116">
      <w:pPr>
        <w:tabs>
          <w:tab w:val="left" w:pos="4667"/>
        </w:tabs>
        <w:ind w:left="567" w:right="539"/>
        <w:rPr>
          <w:rFonts w:cs="Tahoma"/>
          <w:b/>
          <w:iCs/>
        </w:rPr>
      </w:pPr>
    </w:p>
    <w:p w14:paraId="1DAE2563" w14:textId="19B31766" w:rsidR="00953430" w:rsidRPr="00FC6116" w:rsidRDefault="00E10D25" w:rsidP="00FC6116">
      <w:pPr>
        <w:pStyle w:val="Puesto"/>
      </w:pPr>
      <w:r w:rsidRPr="00FC6116">
        <w:t>“EN EL ACUERDO No.00244/TRIJAEM/IP/2024 DE FECHA 2 DE JULIO DEL 2024, EN LOS ANTECEDENTES, NUMERAL 2, REFIERE QUE "...se solicitó al particular otorgará más elementos o especificará respecto del cuestionamiento vertido, a efecto de evitar interpretaciones equívocas y proporcionar la respuesta acorde a la normativa en materia..." NO ESPECIFICA O REFIERE PORQUE MEDIOS SE SOLICITÓ AL PARTICULAR OTORGARÁ MÁS ELEMENTOS</w:t>
      </w:r>
      <w:proofErr w:type="gramStart"/>
      <w:r w:rsidRPr="00FC6116">
        <w:t>??</w:t>
      </w:r>
      <w:proofErr w:type="gramEnd"/>
      <w:r w:rsidRPr="00FC6116">
        <w:t xml:space="preserve"> DE IGUAL MANERA LA SOLICITUD DE INFORMACIÓN CON NÚMERO DE FOLIO 00244/TRIJAEM/IP/2024, UNICAMENTE REFIERE A UNA SOLICITUD DE COPIAS SIMPLES DE LAS SENTENCIAS RESOLUTORIAS DE LOS JUCIOS ADMINISTRATIVOS Nos. 152/2023 Y 294/2023 DEL C. ALEJANDRO BARRETO JIMENEZ, SIN HACER O REALIZAR NINGUN CUESTIONAMIENTO AL RESPECTO, COMO LO REFIERE LA AUTORIDAD EN SU ACUERDO No.00244/TRIJAEM/IP/2024 DE FECHA 2 DE JULIO DEL 2024.”</w:t>
      </w:r>
    </w:p>
    <w:p w14:paraId="3F709049" w14:textId="77777777" w:rsidR="00964E53" w:rsidRPr="00FC6116" w:rsidRDefault="00964E53" w:rsidP="00FC6116">
      <w:pPr>
        <w:tabs>
          <w:tab w:val="left" w:pos="4667"/>
        </w:tabs>
        <w:ind w:right="567"/>
        <w:rPr>
          <w:rFonts w:cs="Tahoma"/>
          <w:b/>
          <w:bCs/>
        </w:rPr>
      </w:pPr>
    </w:p>
    <w:p w14:paraId="505E4837" w14:textId="3152EB78" w:rsidR="00964E53" w:rsidRPr="00FC6116" w:rsidRDefault="00EB274C" w:rsidP="00FC6116">
      <w:pPr>
        <w:pStyle w:val="Prrafodelista"/>
        <w:widowControl w:val="0"/>
        <w:tabs>
          <w:tab w:val="left" w:pos="0"/>
        </w:tabs>
        <w:autoSpaceDE w:val="0"/>
        <w:autoSpaceDN w:val="0"/>
        <w:adjustRightInd w:val="0"/>
        <w:spacing w:before="240" w:after="240"/>
        <w:ind w:left="0"/>
        <w:rPr>
          <w:rFonts w:cs="Tahoma"/>
          <w:bCs/>
        </w:rPr>
      </w:pPr>
      <w:r w:rsidRPr="00FC6116">
        <w:rPr>
          <w:rFonts w:cs="Arial"/>
          <w:lang w:val="es-ES_tradnl"/>
        </w:rPr>
        <w:lastRenderedPageBreak/>
        <w:t xml:space="preserve">Asimismo, </w:t>
      </w:r>
      <w:r w:rsidRPr="00FC6116">
        <w:rPr>
          <w:rFonts w:cs="Arial"/>
          <w:b/>
          <w:lang w:val="es-ES_tradnl"/>
        </w:rPr>
        <w:t>LA PARTE RECURRENTE</w:t>
      </w:r>
      <w:r w:rsidRPr="00FC6116">
        <w:rPr>
          <w:rFonts w:cs="Arial"/>
          <w:lang w:val="es-ES_tradnl"/>
        </w:rPr>
        <w:t xml:space="preserve"> adjuntó a su Recurso de Revisión el archivo electrónico denominado </w:t>
      </w:r>
      <w:r w:rsidR="00964E53" w:rsidRPr="00FC6116">
        <w:rPr>
          <w:rFonts w:cs="Tahoma"/>
          <w:b/>
          <w:bCs/>
        </w:rPr>
        <w:t xml:space="preserve">ACUERDO NO PRESENTÓ ACLARACIÓN SOL 244.pdf.- </w:t>
      </w:r>
      <w:r w:rsidRPr="00FC6116">
        <w:rPr>
          <w:rFonts w:cs="Tahoma"/>
          <w:bCs/>
        </w:rPr>
        <w:t xml:space="preserve">el cual corresponde al </w:t>
      </w:r>
      <w:r w:rsidR="00964E53" w:rsidRPr="00FC6116">
        <w:rPr>
          <w:rFonts w:cs="Tahoma"/>
          <w:bCs/>
        </w:rPr>
        <w:t xml:space="preserve">archivo que le fue entregado por </w:t>
      </w:r>
      <w:r w:rsidRPr="00FC6116">
        <w:rPr>
          <w:rFonts w:cs="Tahoma"/>
          <w:b/>
          <w:bCs/>
        </w:rPr>
        <w:t>EL SUJETO OBLIGADO</w:t>
      </w:r>
      <w:r w:rsidRPr="00FC6116">
        <w:rPr>
          <w:rFonts w:cs="Tahoma"/>
          <w:bCs/>
        </w:rPr>
        <w:t xml:space="preserve"> </w:t>
      </w:r>
      <w:r w:rsidR="00964E53" w:rsidRPr="00FC6116">
        <w:rPr>
          <w:rFonts w:cs="Tahoma"/>
          <w:bCs/>
        </w:rPr>
        <w:t>en donde no presentó aclaración.</w:t>
      </w:r>
      <w:bookmarkStart w:id="9" w:name="_Toc173844351"/>
    </w:p>
    <w:p w14:paraId="7459F4A5" w14:textId="77777777" w:rsidR="00964E53" w:rsidRPr="00FC6116" w:rsidRDefault="00964E53" w:rsidP="00FC6116">
      <w:pPr>
        <w:tabs>
          <w:tab w:val="left" w:pos="4667"/>
        </w:tabs>
        <w:ind w:right="567"/>
      </w:pPr>
    </w:p>
    <w:p w14:paraId="6804DEF1" w14:textId="3C4F6CB5" w:rsidR="00664420" w:rsidRPr="00FC6116" w:rsidRDefault="006E25BC" w:rsidP="00FC6116">
      <w:pPr>
        <w:pStyle w:val="Ttulo3"/>
      </w:pPr>
      <w:r w:rsidRPr="00FC6116">
        <w:t>b</w:t>
      </w:r>
      <w:r w:rsidR="00664420" w:rsidRPr="00FC6116">
        <w:t>) Turno del Recurso de Revisión</w:t>
      </w:r>
      <w:bookmarkEnd w:id="9"/>
    </w:p>
    <w:p w14:paraId="1173671B" w14:textId="493EBA9D" w:rsidR="00C72DAA" w:rsidRPr="00FC6116" w:rsidRDefault="00C72DAA" w:rsidP="00FC6116">
      <w:r w:rsidRPr="00FC6116">
        <w:t>Con fundamento en el artículo 185, fracción I de la Ley de Transparencia y Acceso a la Información Pública del Estado de México y Municipios, el</w:t>
      </w:r>
      <w:r w:rsidRPr="00FC6116">
        <w:rPr>
          <w:b/>
          <w:bCs/>
        </w:rPr>
        <w:t xml:space="preserve"> </w:t>
      </w:r>
      <w:r w:rsidR="00173746" w:rsidRPr="00FC6116">
        <w:rPr>
          <w:b/>
          <w:bCs/>
        </w:rPr>
        <w:t>dos de julio de dos mil veinticuatro</w:t>
      </w:r>
      <w:r w:rsidRPr="00FC6116">
        <w:t xml:space="preserve"> se turnó el recurso de revisión a través del</w:t>
      </w:r>
      <w:r w:rsidRPr="00FC6116">
        <w:rPr>
          <w:rFonts w:eastAsia="Arial Unicode MS"/>
        </w:rPr>
        <w:t xml:space="preserve"> </w:t>
      </w:r>
      <w:r w:rsidRPr="00FC6116">
        <w:rPr>
          <w:rFonts w:eastAsia="Arial Unicode MS"/>
          <w:bCs/>
        </w:rPr>
        <w:t>SAIMEX</w:t>
      </w:r>
      <w:r w:rsidRPr="00FC6116">
        <w:t xml:space="preserve"> a la </w:t>
      </w:r>
      <w:r w:rsidRPr="00FC6116">
        <w:rPr>
          <w:b/>
        </w:rPr>
        <w:t>Comisionada Sharon Cristina Morales Martínez</w:t>
      </w:r>
      <w:r w:rsidRPr="00FC6116">
        <w:rPr>
          <w:bCs/>
        </w:rPr>
        <w:t xml:space="preserve">, </w:t>
      </w:r>
      <w:r w:rsidRPr="00FC6116">
        <w:t xml:space="preserve">a efecto de decretar su admisión o desechamiento. </w:t>
      </w:r>
    </w:p>
    <w:p w14:paraId="18F305CB" w14:textId="77777777" w:rsidR="00664420" w:rsidRPr="00FC6116" w:rsidRDefault="00664420" w:rsidP="00FC6116">
      <w:pPr>
        <w:rPr>
          <w:rFonts w:eastAsia="Batang" w:cs="Tahoma"/>
          <w:bCs/>
          <w:szCs w:val="22"/>
        </w:rPr>
      </w:pPr>
    </w:p>
    <w:p w14:paraId="3E31EC2D" w14:textId="295256A1" w:rsidR="00664420" w:rsidRPr="00FC6116" w:rsidRDefault="006E25BC" w:rsidP="00FC6116">
      <w:pPr>
        <w:pStyle w:val="Ttulo3"/>
      </w:pPr>
      <w:bookmarkStart w:id="10" w:name="_Toc173844352"/>
      <w:r w:rsidRPr="00FC6116">
        <w:t>c</w:t>
      </w:r>
      <w:r w:rsidR="00664420" w:rsidRPr="00FC6116">
        <w:t>) Admisión del Recurso de Revisión</w:t>
      </w:r>
      <w:bookmarkEnd w:id="10"/>
    </w:p>
    <w:p w14:paraId="240447D5" w14:textId="064C1663" w:rsidR="000E09C4" w:rsidRPr="00FC6116" w:rsidRDefault="000E09C4" w:rsidP="00FC6116">
      <w:pPr>
        <w:rPr>
          <w:rFonts w:cs="Arial"/>
        </w:rPr>
      </w:pPr>
      <w:r w:rsidRPr="00FC6116">
        <w:rPr>
          <w:rFonts w:cs="Arial"/>
        </w:rPr>
        <w:t xml:space="preserve">El </w:t>
      </w:r>
      <w:r w:rsidR="00173746" w:rsidRPr="00FC6116">
        <w:rPr>
          <w:rFonts w:cs="Arial"/>
          <w:b/>
        </w:rPr>
        <w:t>cuatro de julio de dos mil veinticuatro</w:t>
      </w:r>
      <w:r w:rsidR="00173746" w:rsidRPr="00FC6116">
        <w:rPr>
          <w:rFonts w:cs="Arial"/>
        </w:rPr>
        <w:t>,</w:t>
      </w:r>
      <w:r w:rsidRPr="00FC611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C6116">
        <w:rPr>
          <w:rFonts w:cs="Arial"/>
        </w:rPr>
        <w:t>, fracción II</w:t>
      </w:r>
      <w:r w:rsidRPr="00FC6116">
        <w:rPr>
          <w:rFonts w:cs="Arial"/>
        </w:rPr>
        <w:t xml:space="preserve"> de la Ley de Transparencia y Acceso a la Información Pública del Estado de México y Municipios.</w:t>
      </w:r>
    </w:p>
    <w:p w14:paraId="09B589C5" w14:textId="77777777" w:rsidR="00664420" w:rsidRPr="00FC6116" w:rsidRDefault="00664420" w:rsidP="00FC6116">
      <w:pPr>
        <w:rPr>
          <w:rFonts w:cs="Tahoma"/>
          <w:b/>
          <w:szCs w:val="22"/>
        </w:rPr>
      </w:pPr>
    </w:p>
    <w:p w14:paraId="3B820F58" w14:textId="11B4F422" w:rsidR="00865CF4" w:rsidRPr="00FC6116" w:rsidRDefault="00173746" w:rsidP="00FC6116">
      <w:pPr>
        <w:pStyle w:val="Ttulo3"/>
      </w:pPr>
      <w:bookmarkStart w:id="11" w:name="_Toc173844354"/>
      <w:r w:rsidRPr="00FC6116">
        <w:t>d</w:t>
      </w:r>
      <w:r w:rsidR="00664420" w:rsidRPr="00FC6116">
        <w:t xml:space="preserve">) </w:t>
      </w:r>
      <w:r w:rsidR="00865CF4" w:rsidRPr="00FC6116">
        <w:t>Informe Justificado del Sujeto Obligado</w:t>
      </w:r>
      <w:bookmarkEnd w:id="11"/>
    </w:p>
    <w:p w14:paraId="6E939452" w14:textId="3923DB25" w:rsidR="00865CF4" w:rsidRPr="00FC6116" w:rsidRDefault="00865CF4" w:rsidP="00FC6116">
      <w:pPr>
        <w:rPr>
          <w:rFonts w:eastAsia="Calibri" w:cs="Tahoma"/>
          <w:szCs w:val="22"/>
          <w:lang w:eastAsia="en-US"/>
        </w:rPr>
      </w:pPr>
      <w:r w:rsidRPr="00FC6116">
        <w:rPr>
          <w:rFonts w:cs="Tahoma"/>
          <w:bCs/>
          <w:szCs w:val="24"/>
        </w:rPr>
        <w:t xml:space="preserve">El </w:t>
      </w:r>
      <w:r w:rsidR="00CF158E" w:rsidRPr="00FC6116">
        <w:rPr>
          <w:rFonts w:cs="Tahoma"/>
          <w:b/>
          <w:bCs/>
          <w:szCs w:val="24"/>
        </w:rPr>
        <w:t>doce de julio de dos mil veinticuatro</w:t>
      </w:r>
      <w:r w:rsidRPr="00FC6116">
        <w:rPr>
          <w:rFonts w:cs="Tahoma"/>
          <w:b/>
          <w:szCs w:val="24"/>
        </w:rPr>
        <w:t xml:space="preserve"> EL SUJETO OBLIGADO</w:t>
      </w:r>
      <w:r w:rsidRPr="00FC6116">
        <w:rPr>
          <w:rFonts w:cs="Tahoma"/>
          <w:bCs/>
          <w:szCs w:val="24"/>
        </w:rPr>
        <w:t xml:space="preserve"> rindió su informe justificado a través del </w:t>
      </w:r>
      <w:r w:rsidRPr="00FC6116">
        <w:rPr>
          <w:rFonts w:cs="Tahoma"/>
          <w:b/>
          <w:bCs/>
          <w:szCs w:val="24"/>
        </w:rPr>
        <w:t>SAIMEX</w:t>
      </w:r>
      <w:r w:rsidRPr="00FC6116">
        <w:rPr>
          <w:rFonts w:cs="Tahoma"/>
          <w:bCs/>
          <w:szCs w:val="24"/>
        </w:rPr>
        <w:t xml:space="preserve">, </w:t>
      </w:r>
      <w:r w:rsidRPr="00FC6116">
        <w:rPr>
          <w:rFonts w:eastAsia="Calibri" w:cs="Tahoma"/>
          <w:szCs w:val="22"/>
          <w:lang w:eastAsia="en-US"/>
        </w:rPr>
        <w:t xml:space="preserve">en el cual </w:t>
      </w:r>
      <w:r w:rsidR="00D52313" w:rsidRPr="00FC6116">
        <w:rPr>
          <w:rFonts w:eastAsia="Calibri" w:cs="Tahoma"/>
          <w:szCs w:val="22"/>
          <w:lang w:eastAsia="en-US"/>
        </w:rPr>
        <w:t>ratificó lo relativo a la aclaración solicitada, no obstante ello, entregó la orientación para consulta de la información solicitada mediante una liga</w:t>
      </w:r>
      <w:r w:rsidR="00EB274C" w:rsidRPr="00FC6116">
        <w:rPr>
          <w:rFonts w:eastAsia="Calibri" w:cs="Tahoma"/>
          <w:szCs w:val="22"/>
          <w:lang w:eastAsia="en-US"/>
        </w:rPr>
        <w:t xml:space="preserve"> electrónica</w:t>
      </w:r>
      <w:r w:rsidR="00D52313" w:rsidRPr="00FC6116">
        <w:rPr>
          <w:rFonts w:eastAsia="Calibri" w:cs="Tahoma"/>
          <w:szCs w:val="22"/>
          <w:lang w:eastAsia="en-US"/>
        </w:rPr>
        <w:t>, la cual contiene información de las resoluciones dictadas por el Tribunal de Justicia Administrativa del Estado de México, para efecto de que obtenga lo peticionado.</w:t>
      </w:r>
    </w:p>
    <w:p w14:paraId="0C5F0FD8" w14:textId="77777777" w:rsidR="00BB6132" w:rsidRPr="00FC6116" w:rsidRDefault="00BB6132" w:rsidP="00FC6116">
      <w:pPr>
        <w:ind w:left="567" w:right="539"/>
        <w:rPr>
          <w:rFonts w:cs="Tahoma"/>
          <w:bCs/>
          <w:szCs w:val="24"/>
        </w:rPr>
      </w:pPr>
    </w:p>
    <w:p w14:paraId="2D130A9D" w14:textId="70FB1B13" w:rsidR="00865CF4" w:rsidRPr="00FC6116" w:rsidRDefault="00865CF4" w:rsidP="00FC6116">
      <w:pPr>
        <w:rPr>
          <w:rFonts w:cs="Tahoma"/>
          <w:bCs/>
          <w:szCs w:val="24"/>
        </w:rPr>
      </w:pPr>
      <w:r w:rsidRPr="00FC6116">
        <w:rPr>
          <w:rFonts w:cs="Tahoma"/>
          <w:bCs/>
          <w:szCs w:val="24"/>
        </w:rPr>
        <w:t xml:space="preserve">Esta información fue puesta a la vista de </w:t>
      </w:r>
      <w:r w:rsidRPr="00FC6116">
        <w:rPr>
          <w:rFonts w:cs="Tahoma"/>
          <w:b/>
          <w:szCs w:val="24"/>
        </w:rPr>
        <w:t xml:space="preserve">LA PARTE RECURRENTE </w:t>
      </w:r>
      <w:r w:rsidRPr="00FC6116">
        <w:rPr>
          <w:rFonts w:cs="Tahoma"/>
          <w:bCs/>
          <w:szCs w:val="24"/>
        </w:rPr>
        <w:t>el</w:t>
      </w:r>
      <w:r w:rsidR="00DD0A99" w:rsidRPr="00FC6116">
        <w:rPr>
          <w:rFonts w:cs="Tahoma"/>
          <w:bCs/>
          <w:szCs w:val="24"/>
        </w:rPr>
        <w:t xml:space="preserve"> </w:t>
      </w:r>
      <w:r w:rsidR="00DD0A99" w:rsidRPr="00FC6116">
        <w:rPr>
          <w:rFonts w:cs="Tahoma"/>
          <w:b/>
          <w:bCs/>
          <w:szCs w:val="24"/>
        </w:rPr>
        <w:t>seis de agosto de dos mil veinticuatro</w:t>
      </w:r>
      <w:r w:rsidRPr="00FC6116">
        <w:rPr>
          <w:rFonts w:cs="Tahoma"/>
          <w:bCs/>
          <w:szCs w:val="24"/>
        </w:rPr>
        <w:t xml:space="preserve"> para que, en un plazo de tres días hábiles, manifestara lo que a su derecho conviniera, de conformidad con lo establecido en el </w:t>
      </w:r>
      <w:r w:rsidRPr="00FC6116">
        <w:rPr>
          <w:rFonts w:cs="Arial"/>
        </w:rPr>
        <w:t>artículo 185, fracción III de la Ley de Transparencia y Acceso a la Información Pública del Estado de México y Municipios</w:t>
      </w:r>
      <w:r w:rsidRPr="00FC6116">
        <w:rPr>
          <w:rFonts w:cs="Tahoma"/>
          <w:bCs/>
          <w:szCs w:val="24"/>
        </w:rPr>
        <w:t>.</w:t>
      </w:r>
    </w:p>
    <w:p w14:paraId="6923684C" w14:textId="77777777" w:rsidR="00664420" w:rsidRPr="00FC6116" w:rsidRDefault="00664420" w:rsidP="00FC6116">
      <w:pPr>
        <w:rPr>
          <w:rFonts w:cs="Tahoma"/>
          <w:szCs w:val="22"/>
        </w:rPr>
      </w:pPr>
    </w:p>
    <w:p w14:paraId="0E651988" w14:textId="0A472210" w:rsidR="00664420" w:rsidRPr="00FC6116" w:rsidRDefault="006E25BC" w:rsidP="00FC6116">
      <w:pPr>
        <w:pStyle w:val="Ttulo3"/>
      </w:pPr>
      <w:bookmarkStart w:id="12" w:name="_Toc173844357"/>
      <w:r w:rsidRPr="00FC6116">
        <w:t>h</w:t>
      </w:r>
      <w:r w:rsidR="00664420" w:rsidRPr="00FC6116">
        <w:t>) Cierre de instrucción</w:t>
      </w:r>
      <w:bookmarkEnd w:id="12"/>
    </w:p>
    <w:p w14:paraId="79AF95DC" w14:textId="02E7CF54" w:rsidR="00664420" w:rsidRPr="00FC6116" w:rsidRDefault="00BF091A" w:rsidP="00FC6116">
      <w:r w:rsidRPr="00FC6116">
        <w:rPr>
          <w:rFonts w:cs="Tahoma"/>
          <w:szCs w:val="22"/>
        </w:rPr>
        <w:t>Al no existir diligencias pendientes por desahogar</w:t>
      </w:r>
      <w:r w:rsidRPr="00FC6116">
        <w:rPr>
          <w:rFonts w:cs="Arial"/>
        </w:rPr>
        <w:t xml:space="preserve">, el </w:t>
      </w:r>
      <w:bookmarkStart w:id="13" w:name="_Hlk104892386"/>
      <w:r w:rsidR="00364D64" w:rsidRPr="00FC6116">
        <w:rPr>
          <w:rFonts w:cs="Arial"/>
          <w:b/>
        </w:rPr>
        <w:t>trece de agosto de dos mil veinticuatro</w:t>
      </w:r>
      <w:bookmarkEnd w:id="13"/>
      <w:r w:rsidR="00364D64" w:rsidRPr="00FC6116">
        <w:rPr>
          <w:rFonts w:cs="Arial"/>
        </w:rPr>
        <w:t xml:space="preserve"> </w:t>
      </w:r>
      <w:r w:rsidRPr="00FC6116">
        <w:rPr>
          <w:rFonts w:cs="Arial"/>
        </w:rPr>
        <w:t xml:space="preserve">la </w:t>
      </w:r>
      <w:r w:rsidRPr="00FC6116">
        <w:rPr>
          <w:rFonts w:cs="Arial"/>
          <w:b/>
          <w:bCs/>
        </w:rPr>
        <w:t xml:space="preserve">Comisionada </w:t>
      </w:r>
      <w:r w:rsidRPr="00FC6116">
        <w:rPr>
          <w:b/>
        </w:rPr>
        <w:t xml:space="preserve">Sharon Cristina Morales Martínez </w:t>
      </w:r>
      <w:r w:rsidRPr="00FC6116">
        <w:rPr>
          <w:rFonts w:cs="Arial"/>
        </w:rPr>
        <w:t>acordó el cierre de instrucción</w:t>
      </w:r>
      <w:r w:rsidR="0011350D" w:rsidRPr="00FC6116">
        <w:rPr>
          <w:rFonts w:cs="Arial"/>
        </w:rPr>
        <w:t xml:space="preserve"> y</w:t>
      </w:r>
      <w:r w:rsidRPr="00FC6116">
        <w:rPr>
          <w:rFonts w:cs="Arial"/>
        </w:rPr>
        <w:t xml:space="preserve"> </w:t>
      </w:r>
      <w:r w:rsidR="0011350D" w:rsidRPr="00FC6116">
        <w:rPr>
          <w:rFonts w:cs="Arial"/>
        </w:rPr>
        <w:t xml:space="preserve">la </w:t>
      </w:r>
      <w:r w:rsidRPr="00FC6116">
        <w:rPr>
          <w:rFonts w:cs="Arial"/>
        </w:rPr>
        <w:t>remisión del expediente a efecto de ser resuelto, de conformidad con lo establecido en el artículo 185 fracciones VI y VIII de la Ley de Transparencia y Acceso a la Información Pública del Estado de México y Municipios</w:t>
      </w:r>
      <w:r w:rsidRPr="00FC6116">
        <w:t>.</w:t>
      </w:r>
      <w:r w:rsidR="0011350D" w:rsidRPr="00FC6116">
        <w:t xml:space="preserve"> Dicho acuerdo </w:t>
      </w:r>
      <w:r w:rsidR="00664420" w:rsidRPr="00FC6116">
        <w:rPr>
          <w:rFonts w:cs="Tahoma"/>
          <w:szCs w:val="22"/>
        </w:rPr>
        <w:t xml:space="preserve">fue notificado a las partes el mismo día a través del </w:t>
      </w:r>
      <w:r w:rsidR="00664420" w:rsidRPr="00FC6116">
        <w:rPr>
          <w:rFonts w:cs="Tahoma"/>
          <w:szCs w:val="22"/>
          <w:lang w:val="es-ES"/>
        </w:rPr>
        <w:t>SAIMEX</w:t>
      </w:r>
      <w:r w:rsidR="00664420" w:rsidRPr="00FC6116">
        <w:rPr>
          <w:rFonts w:cs="Tahoma"/>
          <w:szCs w:val="22"/>
        </w:rPr>
        <w:t>.</w:t>
      </w:r>
    </w:p>
    <w:p w14:paraId="741683E3" w14:textId="77777777" w:rsidR="0011350D" w:rsidRPr="00FC6116" w:rsidRDefault="0011350D" w:rsidP="00FC6116">
      <w:pPr>
        <w:rPr>
          <w:rFonts w:cs="Tahoma"/>
          <w:szCs w:val="22"/>
        </w:rPr>
      </w:pPr>
    </w:p>
    <w:p w14:paraId="7A9629DE" w14:textId="77777777" w:rsidR="00664420" w:rsidRPr="00FC6116" w:rsidRDefault="00664420" w:rsidP="00FC6116">
      <w:pPr>
        <w:pStyle w:val="Ttulo1"/>
        <w:rPr>
          <w:rFonts w:eastAsiaTheme="minorHAnsi"/>
          <w:lang w:eastAsia="en-US"/>
        </w:rPr>
      </w:pPr>
      <w:bookmarkStart w:id="14" w:name="_Toc173844358"/>
      <w:r w:rsidRPr="00FC6116">
        <w:rPr>
          <w:rFonts w:eastAsiaTheme="minorHAnsi"/>
          <w:lang w:eastAsia="en-US"/>
        </w:rPr>
        <w:t>CONSIDERANDOS</w:t>
      </w:r>
      <w:bookmarkEnd w:id="14"/>
    </w:p>
    <w:p w14:paraId="6DD1243B" w14:textId="77777777" w:rsidR="00664420" w:rsidRPr="00FC6116" w:rsidRDefault="00664420" w:rsidP="00FC6116">
      <w:pPr>
        <w:contextualSpacing/>
        <w:jc w:val="center"/>
        <w:rPr>
          <w:rFonts w:eastAsiaTheme="minorHAnsi" w:cs="Tahoma"/>
          <w:b/>
          <w:szCs w:val="22"/>
          <w:lang w:eastAsia="en-US"/>
        </w:rPr>
      </w:pPr>
    </w:p>
    <w:p w14:paraId="0B67CB92" w14:textId="2E307D3B" w:rsidR="00664420" w:rsidRPr="00FC6116" w:rsidRDefault="00664420" w:rsidP="00FC6116">
      <w:pPr>
        <w:pStyle w:val="Ttulo2"/>
        <w:rPr>
          <w:rFonts w:eastAsia="Batang"/>
        </w:rPr>
      </w:pPr>
      <w:bookmarkStart w:id="15" w:name="_Toc173844359"/>
      <w:r w:rsidRPr="00FC6116">
        <w:rPr>
          <w:rFonts w:eastAsia="Batang"/>
        </w:rPr>
        <w:t xml:space="preserve">PRIMERO. </w:t>
      </w:r>
      <w:r w:rsidR="00BA55A8" w:rsidRPr="00FC6116">
        <w:rPr>
          <w:rFonts w:eastAsia="Batang"/>
        </w:rPr>
        <w:t>Procedibilidad</w:t>
      </w:r>
      <w:bookmarkEnd w:id="15"/>
    </w:p>
    <w:p w14:paraId="39C52BC1" w14:textId="56FCC20D" w:rsidR="00BA55A8" w:rsidRPr="00FC6116" w:rsidRDefault="00BA55A8" w:rsidP="00FC6116">
      <w:pPr>
        <w:pStyle w:val="Ttulo3"/>
      </w:pPr>
      <w:bookmarkStart w:id="16" w:name="_Toc173844360"/>
      <w:r w:rsidRPr="00FC6116">
        <w:t>a) Competencia</w:t>
      </w:r>
      <w:r w:rsidR="00150C49" w:rsidRPr="00FC6116">
        <w:t xml:space="preserve"> del Instituto</w:t>
      </w:r>
      <w:bookmarkEnd w:id="16"/>
    </w:p>
    <w:p w14:paraId="56E64942" w14:textId="6572EDF7" w:rsidR="0011350D" w:rsidRPr="00FC6116" w:rsidRDefault="0011350D" w:rsidP="00FC6116">
      <w:pPr>
        <w:rPr>
          <w:rFonts w:cs="Arial"/>
        </w:rPr>
      </w:pPr>
      <w:r w:rsidRPr="00FC6116">
        <w:t xml:space="preserve">Este Instituto de Transparencia, Acceso a la Información Pública y Protección de Datos Personales del Estado de México y Municipios es competente para conocer y resolver </w:t>
      </w:r>
      <w:r w:rsidR="005F65B7" w:rsidRPr="00FC6116">
        <w:t xml:space="preserve">el </w:t>
      </w:r>
      <w:r w:rsidRPr="00FC6116">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FC6116">
        <w:lastRenderedPageBreak/>
        <w:t>párrafo tercero y 185 de la Ley de Transparencia y Acceso a la Información Pública del Estado de México y Municipios</w:t>
      </w:r>
      <w:r w:rsidRPr="00FC611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FC6116" w:rsidRDefault="00DB1C09" w:rsidP="00FC6116">
      <w:pPr>
        <w:rPr>
          <w:rFonts w:cs="Arial"/>
        </w:rPr>
      </w:pPr>
    </w:p>
    <w:p w14:paraId="517A2DD6" w14:textId="4169BE4D" w:rsidR="00664420" w:rsidRPr="00FC6116" w:rsidRDefault="00BA55A8" w:rsidP="00FC6116">
      <w:pPr>
        <w:pStyle w:val="Ttulo3"/>
      </w:pPr>
      <w:bookmarkStart w:id="17" w:name="_Toc173844361"/>
      <w:r w:rsidRPr="00FC6116">
        <w:t>b)</w:t>
      </w:r>
      <w:r w:rsidR="00664420" w:rsidRPr="00FC6116">
        <w:t xml:space="preserve"> </w:t>
      </w:r>
      <w:r w:rsidR="00D91CB4" w:rsidRPr="00FC6116">
        <w:t>Legitimidad</w:t>
      </w:r>
      <w:r w:rsidRPr="00FC6116">
        <w:t xml:space="preserve"> de la parte recurrente</w:t>
      </w:r>
      <w:bookmarkEnd w:id="17"/>
    </w:p>
    <w:p w14:paraId="26FEA382" w14:textId="0B06695C" w:rsidR="00D91CB4" w:rsidRPr="00FC6116" w:rsidRDefault="00D91CB4" w:rsidP="00FC6116">
      <w:pPr>
        <w:rPr>
          <w:rFonts w:cs="Arial"/>
          <w:bCs/>
        </w:rPr>
      </w:pPr>
      <w:r w:rsidRPr="00FC6116">
        <w:rPr>
          <w:rFonts w:cs="Arial"/>
          <w:bCs/>
        </w:rPr>
        <w:t>El recurso de revisión fue interpuesto por parte legítima, ya que se presentó por la misma persona que formuló la solicitud de acceso a la Información Pública,</w:t>
      </w:r>
      <w:r w:rsidRPr="00FC6116">
        <w:rPr>
          <w:rFonts w:cs="Arial"/>
          <w:b/>
          <w:bCs/>
        </w:rPr>
        <w:t xml:space="preserve"> </w:t>
      </w:r>
      <w:r w:rsidRPr="00FC6116">
        <w:rPr>
          <w:rFonts w:cs="Arial"/>
        </w:rPr>
        <w:t>debido a que los datos de acceso</w:t>
      </w:r>
      <w:r w:rsidRPr="00FC6116">
        <w:rPr>
          <w:rFonts w:cs="Arial"/>
          <w:b/>
          <w:bCs/>
        </w:rPr>
        <w:t xml:space="preserve"> </w:t>
      </w:r>
      <w:r w:rsidRPr="00FC6116">
        <w:rPr>
          <w:rFonts w:cs="Arial"/>
        </w:rPr>
        <w:t>SAIMEX</w:t>
      </w:r>
      <w:r w:rsidRPr="00FC6116">
        <w:rPr>
          <w:rFonts w:eastAsia="Calibri" w:cs="Arial"/>
          <w:lang w:eastAsia="en-US"/>
        </w:rPr>
        <w:t xml:space="preserve"> son personales e irrepetibles.</w:t>
      </w:r>
    </w:p>
    <w:p w14:paraId="2C367810" w14:textId="77777777" w:rsidR="00D91CB4" w:rsidRPr="00FC6116" w:rsidRDefault="00D91CB4" w:rsidP="00FC6116"/>
    <w:p w14:paraId="496490FC" w14:textId="1A5F3FDB" w:rsidR="00D91CB4" w:rsidRPr="00FC6116" w:rsidRDefault="00BA55A8" w:rsidP="00FC6116">
      <w:pPr>
        <w:pStyle w:val="Ttulo3"/>
        <w:rPr>
          <w:rFonts w:eastAsia="Calibri"/>
          <w:lang w:eastAsia="es-ES_tradnl"/>
        </w:rPr>
      </w:pPr>
      <w:bookmarkStart w:id="18" w:name="_Toc173844362"/>
      <w:r w:rsidRPr="00FC6116">
        <w:rPr>
          <w:rFonts w:eastAsia="Calibri"/>
          <w:lang w:eastAsia="es-ES_tradnl"/>
        </w:rPr>
        <w:t>c)</w:t>
      </w:r>
      <w:r w:rsidR="00664420" w:rsidRPr="00FC6116">
        <w:rPr>
          <w:rFonts w:eastAsia="Calibri"/>
          <w:lang w:eastAsia="es-ES_tradnl"/>
        </w:rPr>
        <w:t xml:space="preserve"> </w:t>
      </w:r>
      <w:r w:rsidR="00D91CB4" w:rsidRPr="00FC6116">
        <w:rPr>
          <w:rFonts w:eastAsia="Calibri"/>
          <w:lang w:eastAsia="es-ES_tradnl"/>
        </w:rPr>
        <w:t>Plazo para interponer el recurso</w:t>
      </w:r>
      <w:bookmarkEnd w:id="18"/>
    </w:p>
    <w:p w14:paraId="2E84A48B" w14:textId="710E9548" w:rsidR="00F04891" w:rsidRPr="00FC6116" w:rsidRDefault="00F04891" w:rsidP="00FC6116">
      <w:pPr>
        <w:rPr>
          <w:rFonts w:eastAsiaTheme="minorEastAsia" w:cs="Arial"/>
          <w:lang w:val="es-ES_tradnl"/>
        </w:rPr>
      </w:pPr>
      <w:r w:rsidRPr="00FC6116">
        <w:rPr>
          <w:rFonts w:cs="Arial"/>
          <w:b/>
        </w:rPr>
        <w:t>EL SUJETO OBLIGADO</w:t>
      </w:r>
      <w:r w:rsidRPr="00FC6116">
        <w:rPr>
          <w:rFonts w:cs="Arial"/>
        </w:rPr>
        <w:t xml:space="preserve"> notificó </w:t>
      </w:r>
      <w:r w:rsidR="00763678" w:rsidRPr="00FC6116">
        <w:rPr>
          <w:rFonts w:cs="Arial"/>
        </w:rPr>
        <w:t>como respuesta la falta de atención a la solicitud de aclaración realizada y solicitó se tuviera por atendida</w:t>
      </w:r>
      <w:r w:rsidRPr="00FC6116">
        <w:rPr>
          <w:rFonts w:cs="Arial"/>
        </w:rPr>
        <w:t xml:space="preserve"> la solicitud de acceso a la Información Pública el dos de julio de dos mil veinticuatro y el recurso </w:t>
      </w:r>
      <w:r w:rsidRPr="00FC6116">
        <w:rPr>
          <w:rFonts w:eastAsia="Palatino Linotype" w:cs="Palatino Linotype"/>
        </w:rPr>
        <w:t>que nos ocupa se interpuso el dos de julio de dos mil veinticuatro</w:t>
      </w:r>
      <w:r w:rsidRPr="00FC6116">
        <w:rPr>
          <w:rFonts w:eastAsia="Palatino Linotype" w:cs="Palatino Linotype"/>
          <w:bCs/>
        </w:rPr>
        <w:t>;</w:t>
      </w:r>
      <w:r w:rsidRPr="00FC6116">
        <w:rPr>
          <w:rFonts w:eastAsia="Palatino Linotype" w:cs="Palatino Linotype"/>
        </w:rPr>
        <w:t xml:space="preserve"> por lo tanto, éste se encuentra dentro del margen temporal previsto en el artículo 178 de la </w:t>
      </w:r>
      <w:r w:rsidRPr="00FC6116">
        <w:rPr>
          <w:rFonts w:cs="Arial"/>
        </w:rPr>
        <w:t xml:space="preserve">Ley de Transparencia y Acceso a la Información Pública del Estado de México y Municipios, </w:t>
      </w:r>
      <w:r w:rsidRPr="00FC6116">
        <w:rPr>
          <w:rFonts w:eastAsia="Calibri"/>
          <w:lang w:eastAsia="es-ES_tradnl"/>
        </w:rPr>
        <w:t xml:space="preserve">el cual </w:t>
      </w:r>
      <w:r w:rsidRPr="00FC6116">
        <w:rPr>
          <w:rFonts w:cs="Arial"/>
        </w:rPr>
        <w:t xml:space="preserve">transcurrió del tres de julio al seis de agosto de dos mil veinticuatro, </w:t>
      </w:r>
      <w:r w:rsidRPr="00FC6116">
        <w:rPr>
          <w:rFonts w:eastAsiaTheme="minorEastAsia" w:cs="Arial"/>
          <w:lang w:val="es-ES_tradnl"/>
        </w:rPr>
        <w:t xml:space="preserve">sin contemplar en el cómputo los días </w:t>
      </w:r>
      <w:bookmarkStart w:id="19" w:name="_Hlk62134391"/>
      <w:r w:rsidRPr="00FC6116">
        <w:rPr>
          <w:rFonts w:eastAsiaTheme="minorEastAsia" w:cs="Arial"/>
          <w:lang w:val="es-ES_tradnl"/>
        </w:rPr>
        <w:t xml:space="preserve">sábados, domingos y aquellos considerados como días inhábiles en términos del </w:t>
      </w:r>
      <w:bookmarkEnd w:id="19"/>
      <w:r w:rsidRPr="00FC6116">
        <w:rPr>
          <w:rFonts w:eastAsiaTheme="minorEastAsia" w:cs="Arial"/>
          <w:lang w:val="es-ES_tradnl"/>
        </w:rPr>
        <w:t xml:space="preserve">Calendario </w:t>
      </w:r>
      <w:r w:rsidR="00FD4049" w:rsidRPr="00FC6116">
        <w:rPr>
          <w:rFonts w:eastAsiaTheme="minorEastAsia" w:cs="Arial"/>
          <w:lang w:val="es-ES_tradnl"/>
        </w:rPr>
        <w:t xml:space="preserve">Oficial </w:t>
      </w:r>
      <w:r w:rsidRPr="00FC6116">
        <w:rPr>
          <w:rFonts w:eastAsiaTheme="minorEastAsia" w:cs="Arial"/>
          <w:lang w:val="es-ES_tradnl"/>
        </w:rPr>
        <w:t>en Materia de Transparencia, Acceso a la Información Pública y Protección de Datos Personales del Estado de México y Municipios, así como de labores del Instituto.</w:t>
      </w:r>
    </w:p>
    <w:p w14:paraId="46C0EB3A" w14:textId="73A2149B" w:rsidR="00A53315" w:rsidRPr="00FC6116" w:rsidRDefault="00BA55A8" w:rsidP="00FC6116">
      <w:pPr>
        <w:pStyle w:val="Ttulo3"/>
        <w:rPr>
          <w:rFonts w:eastAsia="Calibri"/>
          <w:lang w:eastAsia="es-ES_tradnl"/>
        </w:rPr>
      </w:pPr>
      <w:bookmarkStart w:id="20" w:name="_Toc173844363"/>
      <w:r w:rsidRPr="00FC6116">
        <w:rPr>
          <w:rFonts w:eastAsia="Calibri"/>
          <w:lang w:eastAsia="es-ES_tradnl"/>
        </w:rPr>
        <w:lastRenderedPageBreak/>
        <w:t>d)</w:t>
      </w:r>
      <w:r w:rsidR="00D91CB4" w:rsidRPr="00FC6116">
        <w:rPr>
          <w:rFonts w:eastAsia="Calibri"/>
          <w:lang w:eastAsia="es-ES_tradnl"/>
        </w:rPr>
        <w:t xml:space="preserve"> </w:t>
      </w:r>
      <w:bookmarkEnd w:id="20"/>
      <w:r w:rsidR="00EB274C" w:rsidRPr="00FC6116">
        <w:rPr>
          <w:rFonts w:eastAsia="Calibri"/>
          <w:lang w:eastAsia="es-ES_tradnl"/>
        </w:rPr>
        <w:t xml:space="preserve">Causal de procedencia </w:t>
      </w:r>
    </w:p>
    <w:p w14:paraId="190404A6" w14:textId="07130DB4" w:rsidR="00BA55A8" w:rsidRPr="00FC6116" w:rsidRDefault="00BA55A8" w:rsidP="00FC6116">
      <w:r w:rsidRPr="00FC6116">
        <w:rPr>
          <w:rFonts w:cs="Arial"/>
        </w:rPr>
        <w:t xml:space="preserve">Resulta procedente la interposición del recurso de revisión, ya que </w:t>
      </w:r>
      <w:r w:rsidRPr="00FC6116">
        <w:rPr>
          <w:rFonts w:eastAsia="Calibri" w:cs="Tahoma"/>
          <w:szCs w:val="22"/>
          <w:lang w:eastAsia="es-MX"/>
        </w:rPr>
        <w:t xml:space="preserve">se actualiza la causal de procedencia señalada en el artículo 179, fracción </w:t>
      </w:r>
      <w:r w:rsidR="00964E53" w:rsidRPr="00FC6116">
        <w:rPr>
          <w:rFonts w:eastAsia="Calibri" w:cs="Tahoma"/>
          <w:szCs w:val="22"/>
          <w:lang w:eastAsia="es-MX"/>
        </w:rPr>
        <w:t>I</w:t>
      </w:r>
      <w:r w:rsidRPr="00FC6116">
        <w:rPr>
          <w:rFonts w:cs="Arial"/>
        </w:rPr>
        <w:t xml:space="preserve"> de la </w:t>
      </w:r>
      <w:r w:rsidRPr="00FC6116">
        <w:t>Ley de Transparencia y Acceso a la Información Pública del Estado de México y Municipios.</w:t>
      </w:r>
    </w:p>
    <w:p w14:paraId="0EFF7141" w14:textId="77777777" w:rsidR="00362A11" w:rsidRPr="00FC6116" w:rsidRDefault="00362A11" w:rsidP="00FC6116"/>
    <w:p w14:paraId="2284D7EB" w14:textId="3EE1D036" w:rsidR="00BA55A8" w:rsidRPr="00FC6116" w:rsidRDefault="00362A11" w:rsidP="00FC6116">
      <w:pPr>
        <w:pStyle w:val="Ttulo3"/>
      </w:pPr>
      <w:bookmarkStart w:id="21" w:name="_Toc173844364"/>
      <w:r w:rsidRPr="00FC6116">
        <w:t>e) Requisitos formales para la interposición del recurso</w:t>
      </w:r>
      <w:bookmarkEnd w:id="21"/>
    </w:p>
    <w:p w14:paraId="6390674A" w14:textId="78A894DD" w:rsidR="00BA55A8" w:rsidRPr="00FC6116" w:rsidRDefault="00BA55A8" w:rsidP="00FC6116">
      <w:pPr>
        <w:rPr>
          <w:rFonts w:cs="Arial"/>
        </w:rPr>
      </w:pPr>
      <w:r w:rsidRPr="00FC6116">
        <w:rPr>
          <w:rFonts w:cs="Arial"/>
          <w:b/>
          <w:bCs/>
        </w:rPr>
        <w:t xml:space="preserve">LA PARTE RECURRENTE </w:t>
      </w:r>
      <w:r w:rsidRPr="00FC6116">
        <w:rPr>
          <w:rFonts w:cs="Arial"/>
        </w:rPr>
        <w:t>acreditó todos y cada uno de los elementos formales exigidos por el artículo 180 de la misma normatividad.</w:t>
      </w:r>
    </w:p>
    <w:p w14:paraId="20BDA7EE" w14:textId="77777777" w:rsidR="005F5301" w:rsidRPr="00FC6116" w:rsidRDefault="005F5301" w:rsidP="00FC6116">
      <w:pPr>
        <w:rPr>
          <w:rFonts w:cs="Arial"/>
        </w:rPr>
      </w:pPr>
    </w:p>
    <w:p w14:paraId="457548E9" w14:textId="3F7AF03B" w:rsidR="00C71CEF" w:rsidRPr="00FC6116" w:rsidRDefault="00C71CEF" w:rsidP="00FC6116">
      <w:pPr>
        <w:pStyle w:val="Ttulo2"/>
      </w:pPr>
      <w:bookmarkStart w:id="22" w:name="_Toc173844366"/>
      <w:r w:rsidRPr="00FC6116">
        <w:t>SEGUNDO. Estudio de Fondo</w:t>
      </w:r>
      <w:bookmarkEnd w:id="22"/>
    </w:p>
    <w:p w14:paraId="2A308F59" w14:textId="0FF373F0" w:rsidR="00C049E2" w:rsidRPr="00FC6116" w:rsidRDefault="00C71CEF" w:rsidP="00FC6116">
      <w:pPr>
        <w:pStyle w:val="Ttulo3"/>
      </w:pPr>
      <w:bookmarkStart w:id="23" w:name="_Toc173844367"/>
      <w:r w:rsidRPr="00FC6116">
        <w:t>a</w:t>
      </w:r>
      <w:r w:rsidR="00C049E2" w:rsidRPr="00FC6116">
        <w:t>) Mandato de transparencia y responsabilidad del Sujeto Obligado</w:t>
      </w:r>
      <w:bookmarkEnd w:id="23"/>
    </w:p>
    <w:p w14:paraId="6901A889" w14:textId="59EEDAE1" w:rsidR="00C049E2" w:rsidRPr="00FC6116" w:rsidRDefault="00C049E2" w:rsidP="00FC6116">
      <w:pPr>
        <w:rPr>
          <w:rFonts w:eastAsia="Palatino Linotype"/>
        </w:rPr>
      </w:pPr>
      <w:r w:rsidRPr="00FC6116">
        <w:rPr>
          <w:rFonts w:eastAsia="Palatino Linotype"/>
        </w:rPr>
        <w:t xml:space="preserve">El </w:t>
      </w:r>
      <w:r w:rsidR="00717E59" w:rsidRPr="00FC6116">
        <w:rPr>
          <w:rFonts w:eastAsia="Palatino Linotype"/>
        </w:rPr>
        <w:t>d</w:t>
      </w:r>
      <w:r w:rsidRPr="00FC6116">
        <w:rPr>
          <w:rFonts w:eastAsia="Palatino Linotype"/>
        </w:rPr>
        <w:t xml:space="preserve">erecho de </w:t>
      </w:r>
      <w:r w:rsidR="00717E59" w:rsidRPr="00FC6116">
        <w:rPr>
          <w:rFonts w:eastAsia="Palatino Linotype"/>
        </w:rPr>
        <w:t>a</w:t>
      </w:r>
      <w:r w:rsidRPr="00FC6116">
        <w:rPr>
          <w:rFonts w:eastAsia="Palatino Linotype"/>
        </w:rPr>
        <w:t xml:space="preserve">cceso a la </w:t>
      </w:r>
      <w:r w:rsidR="00717E59" w:rsidRPr="00FC6116">
        <w:rPr>
          <w:rFonts w:eastAsia="Palatino Linotype"/>
        </w:rPr>
        <w:t>i</w:t>
      </w:r>
      <w:r w:rsidRPr="00FC6116">
        <w:rPr>
          <w:rFonts w:eastAsia="Palatino Linotype"/>
        </w:rPr>
        <w:t xml:space="preserve">nformación </w:t>
      </w:r>
      <w:r w:rsidR="00717E59" w:rsidRPr="00FC6116">
        <w:rPr>
          <w:rFonts w:eastAsia="Palatino Linotype"/>
        </w:rPr>
        <w:t>p</w:t>
      </w:r>
      <w:r w:rsidRPr="00FC611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C6116">
        <w:rPr>
          <w:rFonts w:eastAsia="Palatino Linotype"/>
        </w:rPr>
        <w:t>:</w:t>
      </w:r>
    </w:p>
    <w:p w14:paraId="7FAB8D32" w14:textId="77777777" w:rsidR="00C049E2" w:rsidRPr="00FC6116" w:rsidRDefault="00C049E2" w:rsidP="00FC6116">
      <w:pPr>
        <w:rPr>
          <w:rFonts w:eastAsia="Palatino Linotype"/>
        </w:rPr>
      </w:pPr>
    </w:p>
    <w:p w14:paraId="05320813" w14:textId="77777777" w:rsidR="00C049E2" w:rsidRPr="00FC6116" w:rsidRDefault="00C049E2" w:rsidP="00FC6116">
      <w:pPr>
        <w:spacing w:line="240" w:lineRule="auto"/>
        <w:ind w:left="567" w:right="539"/>
        <w:rPr>
          <w:rFonts w:eastAsia="Palatino Linotype"/>
          <w:b/>
          <w:i/>
        </w:rPr>
      </w:pPr>
      <w:r w:rsidRPr="00FC6116">
        <w:rPr>
          <w:rFonts w:eastAsia="Palatino Linotype"/>
          <w:b/>
          <w:i/>
        </w:rPr>
        <w:t>Constitución Política de los Estados Unidos Mexicanos</w:t>
      </w:r>
    </w:p>
    <w:p w14:paraId="6B6C67B6" w14:textId="77777777" w:rsidR="00C049E2" w:rsidRPr="00FC6116" w:rsidRDefault="00C049E2" w:rsidP="00FC6116">
      <w:pPr>
        <w:spacing w:line="240" w:lineRule="auto"/>
        <w:ind w:left="567" w:right="539"/>
        <w:rPr>
          <w:rFonts w:eastAsia="Palatino Linotype"/>
          <w:b/>
          <w:i/>
        </w:rPr>
      </w:pPr>
      <w:r w:rsidRPr="00FC6116">
        <w:rPr>
          <w:rFonts w:eastAsia="Palatino Linotype"/>
          <w:b/>
          <w:i/>
        </w:rPr>
        <w:t>“Artículo 6.</w:t>
      </w:r>
    </w:p>
    <w:p w14:paraId="38D3B4C4" w14:textId="77777777" w:rsidR="00C049E2" w:rsidRPr="00FC6116" w:rsidRDefault="00C049E2" w:rsidP="00FC6116">
      <w:pPr>
        <w:spacing w:line="240" w:lineRule="auto"/>
        <w:ind w:left="567" w:right="539"/>
        <w:rPr>
          <w:rFonts w:eastAsia="Palatino Linotype"/>
          <w:i/>
        </w:rPr>
      </w:pPr>
      <w:r w:rsidRPr="00FC6116">
        <w:rPr>
          <w:rFonts w:eastAsia="Palatino Linotype"/>
          <w:i/>
        </w:rPr>
        <w:t>(…)</w:t>
      </w:r>
    </w:p>
    <w:p w14:paraId="2CCAA297" w14:textId="6602827B" w:rsidR="00C049E2" w:rsidRPr="00FC6116" w:rsidRDefault="00C049E2" w:rsidP="00FC6116">
      <w:pPr>
        <w:spacing w:line="240" w:lineRule="auto"/>
        <w:ind w:left="567" w:right="539"/>
        <w:rPr>
          <w:rFonts w:eastAsia="Palatino Linotype"/>
          <w:i/>
        </w:rPr>
      </w:pPr>
      <w:r w:rsidRPr="00FC6116">
        <w:rPr>
          <w:rFonts w:eastAsia="Palatino Linotype"/>
          <w:i/>
        </w:rPr>
        <w:t>Para efectos de lo dispuesto en el presente artículo se observará lo siguiente:</w:t>
      </w:r>
    </w:p>
    <w:p w14:paraId="74CC3718" w14:textId="77777777" w:rsidR="00C049E2" w:rsidRPr="00FC6116" w:rsidRDefault="00C049E2" w:rsidP="00FC6116">
      <w:pPr>
        <w:spacing w:line="240" w:lineRule="auto"/>
        <w:ind w:left="567" w:right="539"/>
        <w:rPr>
          <w:rFonts w:eastAsia="Palatino Linotype"/>
          <w:b/>
          <w:i/>
        </w:rPr>
      </w:pPr>
      <w:r w:rsidRPr="00FC6116">
        <w:rPr>
          <w:rFonts w:eastAsia="Palatino Linotype"/>
          <w:b/>
          <w:i/>
        </w:rPr>
        <w:t>A</w:t>
      </w:r>
      <w:r w:rsidRPr="00FC6116">
        <w:rPr>
          <w:rFonts w:eastAsia="Palatino Linotype"/>
          <w:i/>
        </w:rPr>
        <w:t xml:space="preserve">. </w:t>
      </w:r>
      <w:r w:rsidRPr="00FC6116">
        <w:rPr>
          <w:rFonts w:eastAsia="Palatino Linotype"/>
          <w:b/>
          <w:i/>
        </w:rPr>
        <w:t>Para el ejercicio del derecho de acceso a la información</w:t>
      </w:r>
      <w:r w:rsidRPr="00FC6116">
        <w:rPr>
          <w:rFonts w:eastAsia="Palatino Linotype"/>
          <w:i/>
        </w:rPr>
        <w:t xml:space="preserve">, la Federación y </w:t>
      </w:r>
      <w:r w:rsidRPr="00FC6116">
        <w:rPr>
          <w:rFonts w:eastAsia="Palatino Linotype"/>
          <w:b/>
          <w:i/>
        </w:rPr>
        <w:t>las entidades federativas, en el ámbito de sus respectivas competencias, se regirán por los siguientes principios y bases:</w:t>
      </w:r>
    </w:p>
    <w:p w14:paraId="596A956B" w14:textId="77777777" w:rsidR="00C049E2" w:rsidRPr="00FC6116" w:rsidRDefault="00C049E2" w:rsidP="00FC6116">
      <w:pPr>
        <w:spacing w:line="240" w:lineRule="auto"/>
        <w:ind w:left="567" w:right="539"/>
        <w:rPr>
          <w:rFonts w:eastAsia="Palatino Linotype"/>
          <w:i/>
        </w:rPr>
      </w:pPr>
      <w:r w:rsidRPr="00FC6116">
        <w:rPr>
          <w:rFonts w:eastAsia="Palatino Linotype"/>
          <w:b/>
          <w:i/>
        </w:rPr>
        <w:t xml:space="preserve">I. </w:t>
      </w:r>
      <w:r w:rsidRPr="00FC6116">
        <w:rPr>
          <w:rFonts w:eastAsia="Palatino Linotype"/>
          <w:b/>
          <w:i/>
        </w:rPr>
        <w:tab/>
        <w:t>Toda la información en posesión de cualquier</w:t>
      </w:r>
      <w:r w:rsidRPr="00FC6116">
        <w:rPr>
          <w:rFonts w:eastAsia="Palatino Linotype"/>
          <w:i/>
        </w:rPr>
        <w:t xml:space="preserve"> </w:t>
      </w:r>
      <w:r w:rsidRPr="00FC6116">
        <w:rPr>
          <w:rFonts w:eastAsia="Palatino Linotype"/>
          <w:b/>
          <w:i/>
        </w:rPr>
        <w:t>autoridad</w:t>
      </w:r>
      <w:r w:rsidRPr="00FC611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C6116">
        <w:rPr>
          <w:rFonts w:eastAsia="Palatino Linotype"/>
          <w:b/>
          <w:i/>
        </w:rPr>
        <w:t>municipal</w:t>
      </w:r>
      <w:r w:rsidRPr="00FC6116">
        <w:rPr>
          <w:rFonts w:eastAsia="Palatino Linotype"/>
          <w:i/>
        </w:rPr>
        <w:t xml:space="preserve">, </w:t>
      </w:r>
      <w:r w:rsidRPr="00FC6116">
        <w:rPr>
          <w:rFonts w:eastAsia="Palatino Linotype"/>
          <w:b/>
          <w:i/>
        </w:rPr>
        <w:t>es pública</w:t>
      </w:r>
      <w:r w:rsidRPr="00FC6116">
        <w:rPr>
          <w:rFonts w:eastAsia="Palatino Linotype"/>
          <w:i/>
        </w:rPr>
        <w:t xml:space="preserve"> y sólo podrá ser reservada temporalmente por </w:t>
      </w:r>
      <w:r w:rsidRPr="00FC6116">
        <w:rPr>
          <w:rFonts w:eastAsia="Palatino Linotype"/>
          <w:i/>
        </w:rPr>
        <w:lastRenderedPageBreak/>
        <w:t xml:space="preserve">razones de interés público y seguridad nacional, en los términos que fijen las leyes. </w:t>
      </w:r>
      <w:r w:rsidRPr="00FC611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C6116">
        <w:rPr>
          <w:rFonts w:eastAsia="Palatino Linotype"/>
          <w:i/>
        </w:rPr>
        <w:t>, la ley determinará los supuestos específicos bajo los cuales procederá la declaración de inexistencia de la información.”</w:t>
      </w:r>
    </w:p>
    <w:p w14:paraId="68F313E4" w14:textId="77777777" w:rsidR="00C049E2" w:rsidRPr="00FC6116" w:rsidRDefault="00C049E2" w:rsidP="00FC6116">
      <w:pPr>
        <w:spacing w:line="240" w:lineRule="auto"/>
        <w:ind w:left="567" w:right="539"/>
        <w:rPr>
          <w:rFonts w:eastAsia="Palatino Linotype"/>
          <w:b/>
          <w:i/>
        </w:rPr>
      </w:pPr>
    </w:p>
    <w:p w14:paraId="504F12DB" w14:textId="77777777" w:rsidR="00C049E2" w:rsidRPr="00FC6116" w:rsidRDefault="00C049E2" w:rsidP="00FC6116">
      <w:pPr>
        <w:spacing w:line="240" w:lineRule="auto"/>
        <w:ind w:left="567" w:right="539"/>
        <w:rPr>
          <w:rFonts w:eastAsia="Palatino Linotype"/>
          <w:b/>
          <w:i/>
        </w:rPr>
      </w:pPr>
      <w:r w:rsidRPr="00FC6116">
        <w:rPr>
          <w:rFonts w:eastAsia="Palatino Linotype"/>
          <w:b/>
          <w:i/>
        </w:rPr>
        <w:t>Constitución Política del Estado Libre y Soberano de México</w:t>
      </w:r>
    </w:p>
    <w:p w14:paraId="04932D29" w14:textId="77777777" w:rsidR="00C049E2" w:rsidRPr="00FC6116" w:rsidRDefault="00C049E2" w:rsidP="00FC6116">
      <w:pPr>
        <w:spacing w:line="240" w:lineRule="auto"/>
        <w:ind w:left="567" w:right="539"/>
        <w:rPr>
          <w:rFonts w:eastAsia="Palatino Linotype"/>
          <w:i/>
        </w:rPr>
      </w:pPr>
      <w:r w:rsidRPr="00FC6116">
        <w:rPr>
          <w:rFonts w:eastAsia="Palatino Linotype"/>
          <w:b/>
          <w:i/>
        </w:rPr>
        <w:t>“Artículo 5</w:t>
      </w:r>
      <w:r w:rsidRPr="00FC6116">
        <w:rPr>
          <w:rFonts w:eastAsia="Palatino Linotype"/>
          <w:i/>
        </w:rPr>
        <w:t xml:space="preserve">.- </w:t>
      </w:r>
    </w:p>
    <w:p w14:paraId="1D3829F4" w14:textId="77777777" w:rsidR="00C049E2" w:rsidRPr="00FC6116" w:rsidRDefault="00C049E2" w:rsidP="00FC6116">
      <w:pPr>
        <w:spacing w:line="240" w:lineRule="auto"/>
        <w:ind w:left="567" w:right="539"/>
        <w:rPr>
          <w:rFonts w:eastAsia="Palatino Linotype"/>
          <w:i/>
        </w:rPr>
      </w:pPr>
      <w:r w:rsidRPr="00FC6116">
        <w:rPr>
          <w:rFonts w:eastAsia="Palatino Linotype"/>
          <w:i/>
        </w:rPr>
        <w:t>(…)</w:t>
      </w:r>
    </w:p>
    <w:p w14:paraId="0EAE47FD" w14:textId="77777777" w:rsidR="00C049E2" w:rsidRPr="00FC6116" w:rsidRDefault="00C049E2" w:rsidP="00FC6116">
      <w:pPr>
        <w:spacing w:line="240" w:lineRule="auto"/>
        <w:ind w:left="567" w:right="539"/>
        <w:rPr>
          <w:rFonts w:eastAsia="Palatino Linotype"/>
          <w:i/>
        </w:rPr>
      </w:pPr>
      <w:r w:rsidRPr="00FC6116">
        <w:rPr>
          <w:rFonts w:eastAsia="Palatino Linotype"/>
          <w:b/>
          <w:i/>
        </w:rPr>
        <w:t>El derecho a la información será garantizado por el Estado. La ley establecerá las previsiones que permitan asegurar la protección, el respeto y la difusión de este derecho</w:t>
      </w:r>
      <w:r w:rsidRPr="00FC6116">
        <w:rPr>
          <w:rFonts w:eastAsia="Palatino Linotype"/>
          <w:i/>
        </w:rPr>
        <w:t>.</w:t>
      </w:r>
    </w:p>
    <w:p w14:paraId="4F0C804A" w14:textId="77777777" w:rsidR="00C049E2" w:rsidRPr="00FC6116" w:rsidRDefault="00C049E2" w:rsidP="00FC6116">
      <w:pPr>
        <w:spacing w:line="240" w:lineRule="auto"/>
        <w:ind w:left="567" w:right="539"/>
        <w:rPr>
          <w:rFonts w:eastAsia="Palatino Linotype"/>
          <w:i/>
        </w:rPr>
      </w:pPr>
      <w:r w:rsidRPr="00FC611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C6116" w:rsidRDefault="00C049E2" w:rsidP="00FC6116">
      <w:pPr>
        <w:spacing w:line="240" w:lineRule="auto"/>
        <w:ind w:left="567" w:right="539"/>
        <w:rPr>
          <w:rFonts w:eastAsia="Palatino Linotype"/>
          <w:i/>
        </w:rPr>
      </w:pPr>
      <w:r w:rsidRPr="00FC6116">
        <w:rPr>
          <w:rFonts w:eastAsia="Palatino Linotype"/>
          <w:b/>
          <w:i/>
        </w:rPr>
        <w:t>Este derecho se regirá por los principios y bases siguientes</w:t>
      </w:r>
      <w:r w:rsidRPr="00FC6116">
        <w:rPr>
          <w:rFonts w:eastAsia="Palatino Linotype"/>
          <w:i/>
        </w:rPr>
        <w:t>:</w:t>
      </w:r>
    </w:p>
    <w:p w14:paraId="4A3E8CBA" w14:textId="77777777" w:rsidR="00C049E2" w:rsidRPr="00FC6116" w:rsidRDefault="00C049E2" w:rsidP="00FC6116">
      <w:pPr>
        <w:spacing w:line="240" w:lineRule="auto"/>
        <w:ind w:left="567" w:right="539"/>
        <w:rPr>
          <w:rFonts w:eastAsia="Palatino Linotype"/>
          <w:i/>
        </w:rPr>
      </w:pPr>
      <w:r w:rsidRPr="00FC6116">
        <w:rPr>
          <w:rFonts w:eastAsia="Palatino Linotype"/>
          <w:b/>
          <w:i/>
        </w:rPr>
        <w:t>I. Toda la información en posesión de cualquier autoridad, entidad, órgano y organismos de los</w:t>
      </w:r>
      <w:r w:rsidRPr="00FC6116">
        <w:rPr>
          <w:rFonts w:eastAsia="Palatino Linotype"/>
          <w:i/>
        </w:rPr>
        <w:t xml:space="preserve"> Poderes Ejecutivo, Legislativo y Judicial, órganos autónomos, partidos políticos, fideicomisos y fondos públicos estatales y </w:t>
      </w:r>
      <w:r w:rsidRPr="00FC6116">
        <w:rPr>
          <w:rFonts w:eastAsia="Palatino Linotype"/>
          <w:b/>
          <w:i/>
        </w:rPr>
        <w:t>municipales</w:t>
      </w:r>
      <w:r w:rsidRPr="00FC611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C6116">
        <w:rPr>
          <w:rFonts w:eastAsia="Palatino Linotype"/>
          <w:b/>
          <w:i/>
        </w:rPr>
        <w:t>es pública</w:t>
      </w:r>
      <w:r w:rsidRPr="00FC611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C6116">
        <w:rPr>
          <w:rFonts w:eastAsia="Palatino Linotype"/>
          <w:b/>
          <w:i/>
        </w:rPr>
        <w:t>En la interpretación de este derecho deberá prevalecer el principio de máxima publicidad</w:t>
      </w:r>
      <w:r w:rsidRPr="00FC6116">
        <w:rPr>
          <w:rFonts w:eastAsia="Palatino Linotype"/>
          <w:i/>
        </w:rPr>
        <w:t xml:space="preserve">. </w:t>
      </w:r>
      <w:r w:rsidRPr="00FC6116">
        <w:rPr>
          <w:rFonts w:eastAsia="Palatino Linotype"/>
          <w:b/>
          <w:i/>
        </w:rPr>
        <w:t>Los sujetos obligados deberán documentar todo acto que derive del ejercicio de sus facultades, competencias o funciones</w:t>
      </w:r>
      <w:r w:rsidRPr="00FC6116">
        <w:rPr>
          <w:rFonts w:eastAsia="Palatino Linotype"/>
          <w:i/>
        </w:rPr>
        <w:t>, la ley determinará los supuestos específicos bajo los cuales procederá la declaración de inexistencia de la información.”</w:t>
      </w:r>
    </w:p>
    <w:p w14:paraId="5CA98E37" w14:textId="77777777" w:rsidR="00C049E2" w:rsidRPr="00FC6116" w:rsidRDefault="00C049E2" w:rsidP="00FC6116">
      <w:pPr>
        <w:rPr>
          <w:rFonts w:eastAsia="Palatino Linotype"/>
          <w:b/>
          <w:i/>
        </w:rPr>
      </w:pPr>
    </w:p>
    <w:p w14:paraId="6FC1BB3B" w14:textId="3BF4A33D" w:rsidR="00C049E2" w:rsidRPr="00FC6116" w:rsidRDefault="00717E59" w:rsidP="00FC6116">
      <w:pPr>
        <w:rPr>
          <w:rFonts w:eastAsia="Palatino Linotype"/>
          <w:i/>
        </w:rPr>
      </w:pPr>
      <w:r w:rsidRPr="00FC6116">
        <w:rPr>
          <w:rFonts w:eastAsia="Palatino Linotype"/>
        </w:rPr>
        <w:t xml:space="preserve">Asimismo, </w:t>
      </w:r>
      <w:r w:rsidR="00C049E2" w:rsidRPr="00FC6116">
        <w:rPr>
          <w:rFonts w:eastAsia="Palatino Linotype"/>
        </w:rPr>
        <w:t>el artículo 150 de la Ley de Transparencia y Acceso a la Información Pública del Estado de México y Municipios</w:t>
      </w:r>
      <w:r w:rsidR="00057B2D" w:rsidRPr="00FC6116">
        <w:rPr>
          <w:rFonts w:eastAsia="Palatino Linotype"/>
        </w:rPr>
        <w:t xml:space="preserve"> </w:t>
      </w:r>
      <w:r w:rsidR="00E9335C" w:rsidRPr="00FC6116">
        <w:rPr>
          <w:rFonts w:eastAsia="Palatino Linotype"/>
        </w:rPr>
        <w:t xml:space="preserve">indica </w:t>
      </w:r>
      <w:r w:rsidR="00057B2D" w:rsidRPr="00FC6116">
        <w:rPr>
          <w:rFonts w:eastAsia="Palatino Linotype"/>
        </w:rPr>
        <w:t>que</w:t>
      </w:r>
      <w:r w:rsidR="00C049E2" w:rsidRPr="00FC6116">
        <w:rPr>
          <w:rFonts w:eastAsia="Palatino Linotype"/>
        </w:rPr>
        <w:t xml:space="preserve"> la solicitud es la garantía primaria del Derecho de Acceso a la Información, además, establece que se regirá </w:t>
      </w:r>
      <w:r w:rsidR="00C049E2" w:rsidRPr="00FC6116">
        <w:rPr>
          <w:rFonts w:eastAsia="Palatino Linotype"/>
          <w:i/>
        </w:rPr>
        <w:t>por los principios de simplicidad, rapidez</w:t>
      </w:r>
      <w:r w:rsidR="005F65B7" w:rsidRPr="00FC6116">
        <w:rPr>
          <w:rFonts w:eastAsia="Palatino Linotype"/>
          <w:i/>
        </w:rPr>
        <w:t>,</w:t>
      </w:r>
      <w:r w:rsidR="00C049E2" w:rsidRPr="00FC6116">
        <w:rPr>
          <w:rFonts w:eastAsia="Palatino Linotype"/>
          <w:i/>
        </w:rPr>
        <w:t xml:space="preserve"> gratuidad del procedimiento, auxilio y orientación a los particulare</w:t>
      </w:r>
      <w:r w:rsidR="001A58B3" w:rsidRPr="00FC6116">
        <w:rPr>
          <w:rFonts w:eastAsia="Palatino Linotype"/>
          <w:i/>
        </w:rPr>
        <w:t>s.</w:t>
      </w:r>
    </w:p>
    <w:p w14:paraId="04ADA10B" w14:textId="574A944A" w:rsidR="001A58B3" w:rsidRPr="00FC6116" w:rsidRDefault="00233F17" w:rsidP="00FC6116">
      <w:pPr>
        <w:rPr>
          <w:rFonts w:eastAsia="Palatino Linotype" w:cs="Palatino Linotype"/>
          <w:i/>
          <w:szCs w:val="22"/>
        </w:rPr>
      </w:pPr>
      <w:r w:rsidRPr="00FC6116">
        <w:rPr>
          <w:rFonts w:eastAsia="Palatino Linotype" w:cs="Palatino Linotype"/>
        </w:rPr>
        <w:lastRenderedPageBreak/>
        <w:t xml:space="preserve">Por su parte, el artículo 4 de </w:t>
      </w:r>
      <w:r w:rsidR="001A58B3" w:rsidRPr="00FC611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C6116">
        <w:rPr>
          <w:rFonts w:eastAsia="Palatino Linotype" w:cs="Palatino Linotype"/>
        </w:rPr>
        <w:t>.</w:t>
      </w:r>
    </w:p>
    <w:p w14:paraId="1407DBB8" w14:textId="77777777" w:rsidR="001A58B3" w:rsidRPr="00FC6116" w:rsidRDefault="001A58B3" w:rsidP="00FC6116">
      <w:pPr>
        <w:rPr>
          <w:rFonts w:eastAsia="Palatino Linotype" w:cs="Palatino Linotype"/>
        </w:rPr>
      </w:pPr>
    </w:p>
    <w:p w14:paraId="7552AA79" w14:textId="5C52E4A4" w:rsidR="001A58B3" w:rsidRPr="00FC6116" w:rsidRDefault="001A58B3" w:rsidP="00FC6116">
      <w:pPr>
        <w:rPr>
          <w:rFonts w:eastAsia="Palatino Linotype" w:cs="Palatino Linotype"/>
        </w:rPr>
      </w:pPr>
      <w:r w:rsidRPr="00FC6116">
        <w:rPr>
          <w:rFonts w:eastAsia="Palatino Linotype" w:cs="Palatino Linotype"/>
        </w:rPr>
        <w:t xml:space="preserve">Esto es, que los Sujetos Obligados </w:t>
      </w:r>
      <w:r w:rsidR="00FA5957" w:rsidRPr="00FC6116">
        <w:rPr>
          <w:rFonts w:eastAsia="Palatino Linotype" w:cs="Palatino Linotype"/>
        </w:rPr>
        <w:t>deben</w:t>
      </w:r>
      <w:r w:rsidRPr="00FC6116">
        <w:rPr>
          <w:rFonts w:eastAsia="Palatino Linotype" w:cs="Palatino Linotype"/>
        </w:rPr>
        <w:t xml:space="preserve"> atender las solicitudes de acceso a la información pública que se les </w:t>
      </w:r>
      <w:r w:rsidR="00FA5957" w:rsidRPr="00FC6116">
        <w:rPr>
          <w:rFonts w:eastAsia="Palatino Linotype" w:cs="Palatino Linotype"/>
        </w:rPr>
        <w:t>sean realizadas,</w:t>
      </w:r>
      <w:r w:rsidRPr="00FC6116">
        <w:rPr>
          <w:rFonts w:eastAsia="Palatino Linotype" w:cs="Palatino Linotype"/>
        </w:rPr>
        <w:t xml:space="preserve"> y proporcionar la información pública que obre en su poder</w:t>
      </w:r>
      <w:r w:rsidR="00FA5957" w:rsidRPr="00FC6116">
        <w:rPr>
          <w:rFonts w:eastAsia="Palatino Linotype" w:cs="Palatino Linotype"/>
        </w:rPr>
        <w:t>,</w:t>
      </w:r>
      <w:r w:rsidRPr="00FC6116">
        <w:rPr>
          <w:rFonts w:eastAsia="Palatino Linotype" w:cs="Palatino Linotype"/>
        </w:rPr>
        <w:t xml:space="preserve"> conforme </w:t>
      </w:r>
      <w:r w:rsidR="00FA5957" w:rsidRPr="00FC6116">
        <w:rPr>
          <w:rFonts w:eastAsia="Palatino Linotype" w:cs="Palatino Linotype"/>
        </w:rPr>
        <w:t>a</w:t>
      </w:r>
      <w:r w:rsidRPr="00FC6116">
        <w:rPr>
          <w:rFonts w:eastAsia="Palatino Linotype" w:cs="Palatino Linotype"/>
        </w:rPr>
        <w:t xml:space="preserve">l estado </w:t>
      </w:r>
      <w:r w:rsidR="00FA5957" w:rsidRPr="00FC6116">
        <w:rPr>
          <w:rFonts w:eastAsia="Palatino Linotype" w:cs="Palatino Linotype"/>
        </w:rPr>
        <w:t xml:space="preserve">en </w:t>
      </w:r>
      <w:r w:rsidRPr="00FC6116">
        <w:rPr>
          <w:rFonts w:eastAsia="Palatino Linotype" w:cs="Palatino Linotype"/>
        </w:rPr>
        <w:t>que se encuentr</w:t>
      </w:r>
      <w:r w:rsidR="00FA5957" w:rsidRPr="00FC6116">
        <w:rPr>
          <w:rFonts w:eastAsia="Palatino Linotype" w:cs="Palatino Linotype"/>
        </w:rPr>
        <w:t>e, sin que sea necesario</w:t>
      </w:r>
      <w:r w:rsidRPr="00FC6116">
        <w:rPr>
          <w:rFonts w:eastAsia="Palatino Linotype" w:cs="Palatino Linotype"/>
        </w:rPr>
        <w:t xml:space="preserve"> </w:t>
      </w:r>
      <w:r w:rsidR="00FA5957" w:rsidRPr="00FC6116">
        <w:rPr>
          <w:rFonts w:eastAsia="Palatino Linotype" w:cs="Palatino Linotype"/>
        </w:rPr>
        <w:t>procesar</w:t>
      </w:r>
      <w:r w:rsidRPr="00FC6116">
        <w:rPr>
          <w:rFonts w:eastAsia="Palatino Linotype" w:cs="Palatino Linotype"/>
        </w:rPr>
        <w:t xml:space="preserve"> la misma, ni presentarla conforme al interés del solicitante; </w:t>
      </w:r>
      <w:r w:rsidR="00FA5957" w:rsidRPr="00FC6116">
        <w:rPr>
          <w:rFonts w:eastAsia="Palatino Linotype" w:cs="Palatino Linotype"/>
        </w:rPr>
        <w:t>tal y como</w:t>
      </w:r>
      <w:r w:rsidRPr="00FC6116">
        <w:rPr>
          <w:rFonts w:eastAsia="Palatino Linotype" w:cs="Palatino Linotype"/>
        </w:rPr>
        <w:t xml:space="preserve"> lo establece el artículo 12 de la Ley de Transparencia y Acceso a la Información Pública del Estado de México y Municipios</w:t>
      </w:r>
      <w:r w:rsidR="00970EB3" w:rsidRPr="00FC6116">
        <w:rPr>
          <w:rFonts w:eastAsia="Palatino Linotype" w:cs="Palatino Linotype"/>
        </w:rPr>
        <w:t>.</w:t>
      </w:r>
    </w:p>
    <w:p w14:paraId="73245195" w14:textId="77777777" w:rsidR="00970EB3" w:rsidRPr="00FC6116" w:rsidRDefault="00970EB3" w:rsidP="00FC6116">
      <w:pPr>
        <w:rPr>
          <w:rFonts w:eastAsia="Palatino Linotype" w:cs="Palatino Linotype"/>
        </w:rPr>
      </w:pPr>
    </w:p>
    <w:p w14:paraId="7F62D4DF" w14:textId="775730E1" w:rsidR="001A58B3" w:rsidRPr="00FC6116" w:rsidRDefault="001A58B3" w:rsidP="00FC6116">
      <w:pPr>
        <w:rPr>
          <w:rFonts w:eastAsia="Palatino Linotype" w:cs="Palatino Linotype"/>
        </w:rPr>
      </w:pPr>
      <w:r w:rsidRPr="00FC6116">
        <w:rPr>
          <w:rFonts w:eastAsia="Palatino Linotype" w:cs="Palatino Linotype"/>
        </w:rPr>
        <w:t>Es decir, que todo sujeto obligado que genere, recopile, administre, procese, archive, posea o conserven, son responsables de la misma</w:t>
      </w:r>
      <w:r w:rsidR="00970EB3" w:rsidRPr="00FC6116">
        <w:rPr>
          <w:rFonts w:eastAsia="Palatino Linotype" w:cs="Palatino Linotype"/>
        </w:rPr>
        <w:t>,</w:t>
      </w:r>
      <w:r w:rsidRPr="00FC611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C6116">
        <w:rPr>
          <w:rFonts w:eastAsia="Palatino Linotype" w:cs="Palatino Linotype"/>
        </w:rPr>
        <w:t>o</w:t>
      </w:r>
      <w:r w:rsidRPr="00FC611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C6116" w:rsidRDefault="001A58B3" w:rsidP="00FC6116">
      <w:pPr>
        <w:rPr>
          <w:rFonts w:eastAsia="Palatino Linotype" w:cs="Palatino Linotype"/>
        </w:rPr>
      </w:pPr>
    </w:p>
    <w:p w14:paraId="04E42DFE" w14:textId="573F1198" w:rsidR="001A58B3" w:rsidRPr="00FC6116" w:rsidRDefault="001A58B3" w:rsidP="00FC6116">
      <w:pPr>
        <w:rPr>
          <w:rFonts w:eastAsia="Palatino Linotype" w:cs="Palatino Linotype"/>
        </w:rPr>
      </w:pPr>
      <w:r w:rsidRPr="00FC6116">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FC6116">
        <w:rPr>
          <w:rFonts w:eastAsia="Palatino Linotype" w:cs="Palatino Linotype"/>
        </w:rPr>
        <w:lastRenderedPageBreak/>
        <w:t>garantizar el Derecho de Acceso a la Información Pública</w:t>
      </w:r>
      <w:r w:rsidR="00331F35" w:rsidRPr="00FC6116">
        <w:rPr>
          <w:rFonts w:eastAsia="Palatino Linotype" w:cs="Palatino Linotype"/>
        </w:rPr>
        <w:t>, s</w:t>
      </w:r>
      <w:r w:rsidRPr="00FC6116">
        <w:rPr>
          <w:rFonts w:eastAsia="Palatino Linotype" w:cs="Palatino Linotype"/>
        </w:rPr>
        <w:t xml:space="preserve">iempre y cuando no se trate de información reservada o </w:t>
      </w:r>
      <w:r w:rsidR="00331F35" w:rsidRPr="00FC6116">
        <w:rPr>
          <w:rFonts w:eastAsia="Palatino Linotype" w:cs="Palatino Linotype"/>
        </w:rPr>
        <w:t>confidencial.</w:t>
      </w:r>
    </w:p>
    <w:p w14:paraId="40C5219F" w14:textId="77777777" w:rsidR="001A58B3" w:rsidRPr="00FC6116" w:rsidRDefault="001A58B3" w:rsidP="00FC6116">
      <w:pPr>
        <w:rPr>
          <w:rFonts w:eastAsia="Palatino Linotype" w:cs="Palatino Linotype"/>
        </w:rPr>
      </w:pPr>
    </w:p>
    <w:p w14:paraId="2E629608" w14:textId="01727E15" w:rsidR="00C049E2" w:rsidRPr="00FC6116" w:rsidRDefault="006067C7" w:rsidP="00FC6116">
      <w:pPr>
        <w:rPr>
          <w:rFonts w:eastAsia="Palatino Linotype"/>
        </w:rPr>
      </w:pPr>
      <w:bookmarkStart w:id="24" w:name="_heading=h.2s8eyo1" w:colFirst="0" w:colLast="0"/>
      <w:bookmarkEnd w:id="24"/>
      <w:r w:rsidRPr="00FC6116">
        <w:rPr>
          <w:rFonts w:eastAsia="Palatino Linotype"/>
        </w:rPr>
        <w:t>Con base en lo anterior</w:t>
      </w:r>
      <w:r w:rsidR="00B22A80" w:rsidRPr="00FC6116">
        <w:rPr>
          <w:rFonts w:eastAsia="Palatino Linotype"/>
        </w:rPr>
        <w:t>, se considera que</w:t>
      </w:r>
      <w:r w:rsidR="00C049E2" w:rsidRPr="00FC6116">
        <w:rPr>
          <w:rFonts w:eastAsia="Palatino Linotype"/>
        </w:rPr>
        <w:t xml:space="preserve"> </w:t>
      </w:r>
      <w:r w:rsidR="00B22A80" w:rsidRPr="00FC6116">
        <w:rPr>
          <w:rFonts w:eastAsia="Palatino Linotype"/>
          <w:b/>
          <w:bCs/>
        </w:rPr>
        <w:t>EL</w:t>
      </w:r>
      <w:r w:rsidR="00C049E2" w:rsidRPr="00FC6116">
        <w:rPr>
          <w:rFonts w:eastAsia="Palatino Linotype"/>
        </w:rPr>
        <w:t xml:space="preserve"> </w:t>
      </w:r>
      <w:r w:rsidR="00C049E2" w:rsidRPr="00FC6116">
        <w:rPr>
          <w:rFonts w:eastAsia="Palatino Linotype"/>
          <w:b/>
        </w:rPr>
        <w:t>SUJETO OBLIGADO</w:t>
      </w:r>
      <w:r w:rsidR="00C049E2" w:rsidRPr="00FC6116">
        <w:rPr>
          <w:rFonts w:eastAsia="Palatino Linotype"/>
        </w:rPr>
        <w:t xml:space="preserve"> </w:t>
      </w:r>
      <w:r w:rsidR="00B22A80" w:rsidRPr="00FC6116">
        <w:rPr>
          <w:rFonts w:eastAsia="Palatino Linotype"/>
        </w:rPr>
        <w:t xml:space="preserve">se </w:t>
      </w:r>
      <w:r w:rsidR="00717E59" w:rsidRPr="00FC6116">
        <w:rPr>
          <w:rFonts w:eastAsia="Palatino Linotype"/>
        </w:rPr>
        <w:t>encontraba</w:t>
      </w:r>
      <w:r w:rsidR="00B22A80" w:rsidRPr="00FC6116">
        <w:rPr>
          <w:rFonts w:eastAsia="Palatino Linotype"/>
        </w:rPr>
        <w:t xml:space="preserve"> compelido a</w:t>
      </w:r>
      <w:r w:rsidR="00C049E2" w:rsidRPr="00FC6116">
        <w:rPr>
          <w:rFonts w:eastAsia="Palatino Linotype"/>
        </w:rPr>
        <w:t xml:space="preserve"> atender la solicitud de acceso a la información </w:t>
      </w:r>
      <w:r w:rsidR="00B22A80" w:rsidRPr="00FC6116">
        <w:rPr>
          <w:rFonts w:eastAsia="Palatino Linotype"/>
        </w:rPr>
        <w:t xml:space="preserve">realizada por </w:t>
      </w:r>
      <w:r w:rsidR="00B22A80" w:rsidRPr="00FC6116">
        <w:rPr>
          <w:rFonts w:eastAsia="Palatino Linotype"/>
          <w:b/>
          <w:bCs/>
        </w:rPr>
        <w:t>LA PARTE RECURRENTE</w:t>
      </w:r>
      <w:r w:rsidR="00331F35" w:rsidRPr="00FC6116">
        <w:rPr>
          <w:rFonts w:eastAsia="Palatino Linotype"/>
        </w:rPr>
        <w:t>.</w:t>
      </w:r>
    </w:p>
    <w:p w14:paraId="1B0AB8B9" w14:textId="77777777" w:rsidR="00EB274C" w:rsidRPr="00FC6116" w:rsidRDefault="00EB274C" w:rsidP="00FC6116">
      <w:pPr>
        <w:pStyle w:val="Ttulo3"/>
        <w:rPr>
          <w:rFonts w:eastAsia="Calibri"/>
          <w:lang w:eastAsia="es-ES_tradnl"/>
        </w:rPr>
      </w:pPr>
      <w:bookmarkStart w:id="25" w:name="_Toc173844368"/>
    </w:p>
    <w:p w14:paraId="51A0E8B4" w14:textId="676DCA47" w:rsidR="00664420" w:rsidRPr="00FC6116" w:rsidRDefault="00C71CEF" w:rsidP="00FC6116">
      <w:pPr>
        <w:pStyle w:val="Ttulo3"/>
        <w:rPr>
          <w:rFonts w:eastAsia="Calibri"/>
          <w:lang w:eastAsia="es-ES_tradnl"/>
        </w:rPr>
      </w:pPr>
      <w:r w:rsidRPr="00FC6116">
        <w:rPr>
          <w:rFonts w:eastAsia="Calibri"/>
          <w:lang w:eastAsia="es-ES_tradnl"/>
        </w:rPr>
        <w:t>b)</w:t>
      </w:r>
      <w:r w:rsidR="00A53315" w:rsidRPr="00FC6116">
        <w:rPr>
          <w:rFonts w:eastAsia="Calibri"/>
          <w:lang w:eastAsia="es-ES_tradnl"/>
        </w:rPr>
        <w:t xml:space="preserve"> </w:t>
      </w:r>
      <w:r w:rsidR="00A21A20" w:rsidRPr="00FC6116">
        <w:rPr>
          <w:rFonts w:eastAsia="Calibri"/>
          <w:lang w:eastAsia="es-ES_tradnl"/>
        </w:rPr>
        <w:t>Controversia a resolver</w:t>
      </w:r>
      <w:bookmarkEnd w:id="25"/>
    </w:p>
    <w:p w14:paraId="5DAE2A65" w14:textId="382C31A9" w:rsidR="00664420" w:rsidRPr="00FC6116" w:rsidRDefault="00664420" w:rsidP="00FC6116">
      <w:pPr>
        <w:rPr>
          <w:rFonts w:eastAsia="Calibri"/>
          <w:lang w:eastAsia="es-ES_tradnl"/>
        </w:rPr>
      </w:pPr>
      <w:r w:rsidRPr="00FC611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C6116">
        <w:rPr>
          <w:rFonts w:eastAsia="Calibri"/>
          <w:b/>
          <w:bCs/>
          <w:lang w:eastAsia="es-ES_tradnl"/>
        </w:rPr>
        <w:t>LA PARTE RECURRENTE</w:t>
      </w:r>
      <w:r w:rsidRPr="00FC6116">
        <w:rPr>
          <w:rFonts w:eastAsia="Calibri"/>
          <w:lang w:eastAsia="es-ES_tradnl"/>
        </w:rPr>
        <w:t xml:space="preserve"> solicitó lo siguiente:</w:t>
      </w:r>
    </w:p>
    <w:p w14:paraId="7D9D559B" w14:textId="77777777" w:rsidR="00664420" w:rsidRPr="00FC6116" w:rsidRDefault="00664420" w:rsidP="00FC6116">
      <w:pPr>
        <w:tabs>
          <w:tab w:val="left" w:pos="4962"/>
        </w:tabs>
        <w:contextualSpacing/>
        <w:rPr>
          <w:rFonts w:eastAsia="Calibri" w:cs="Tahoma"/>
          <w:iCs/>
          <w:szCs w:val="22"/>
          <w:lang w:eastAsia="es-ES_tradnl"/>
        </w:rPr>
      </w:pPr>
    </w:p>
    <w:p w14:paraId="5E049C83" w14:textId="5E521F2D" w:rsidR="00964E53" w:rsidRPr="00FC6116" w:rsidRDefault="00964E53" w:rsidP="00FC6116">
      <w:pPr>
        <w:pStyle w:val="Prrafodelista"/>
        <w:numPr>
          <w:ilvl w:val="0"/>
          <w:numId w:val="8"/>
        </w:numPr>
        <w:tabs>
          <w:tab w:val="left" w:pos="4962"/>
        </w:tabs>
        <w:rPr>
          <w:rFonts w:eastAsiaTheme="minorHAnsi" w:cs="Tahoma"/>
          <w:bCs/>
          <w:iCs/>
          <w:szCs w:val="22"/>
          <w:lang w:eastAsia="en-US"/>
        </w:rPr>
      </w:pPr>
      <w:r w:rsidRPr="00FC6116">
        <w:t xml:space="preserve">Copias simples de las sentencias resolutorias de los juicios administrativos 152/2023 y 294/2023 del C. </w:t>
      </w:r>
      <w:bookmarkStart w:id="26" w:name="_GoBack"/>
      <w:bookmarkEnd w:id="26"/>
      <w:r w:rsidR="00F97C8E">
        <w:t xml:space="preserve">XXXXXXXXX XXXXXXX </w:t>
      </w:r>
      <w:proofErr w:type="spellStart"/>
      <w:r w:rsidR="00F97C8E">
        <w:t>XXXXXXX</w:t>
      </w:r>
      <w:proofErr w:type="spellEnd"/>
    </w:p>
    <w:p w14:paraId="6846727B" w14:textId="77777777" w:rsidR="00964E53" w:rsidRPr="00FC6116" w:rsidRDefault="00964E53" w:rsidP="00FC6116">
      <w:pPr>
        <w:pStyle w:val="Prrafodelista"/>
        <w:tabs>
          <w:tab w:val="left" w:pos="4962"/>
        </w:tabs>
        <w:rPr>
          <w:rFonts w:eastAsiaTheme="minorHAnsi" w:cs="Tahoma"/>
          <w:bCs/>
          <w:iCs/>
          <w:szCs w:val="22"/>
          <w:lang w:eastAsia="en-US"/>
        </w:rPr>
      </w:pPr>
    </w:p>
    <w:p w14:paraId="6ED6E4B2" w14:textId="7F9AEBE7" w:rsidR="00964E53" w:rsidRPr="00FC6116" w:rsidRDefault="000902C7" w:rsidP="00FC6116">
      <w:pPr>
        <w:pStyle w:val="Prrafodelista"/>
        <w:tabs>
          <w:tab w:val="left" w:pos="4962"/>
        </w:tabs>
        <w:ind w:left="0"/>
        <w:rPr>
          <w:rFonts w:eastAsiaTheme="minorHAnsi" w:cs="Tahoma"/>
          <w:bCs/>
          <w:iCs/>
          <w:szCs w:val="22"/>
          <w:lang w:eastAsia="en-US"/>
        </w:rPr>
      </w:pPr>
      <w:r w:rsidRPr="00FC6116">
        <w:rPr>
          <w:rFonts w:eastAsiaTheme="minorHAnsi" w:cs="Tahoma"/>
          <w:b/>
          <w:bCs/>
          <w:iCs/>
          <w:szCs w:val="22"/>
          <w:lang w:eastAsia="en-US"/>
        </w:rPr>
        <w:t>EL SUJETO OBLIGADO</w:t>
      </w:r>
      <w:r w:rsidRPr="00FC6116">
        <w:rPr>
          <w:rFonts w:eastAsiaTheme="minorHAnsi" w:cs="Tahoma"/>
          <w:bCs/>
          <w:iCs/>
          <w:szCs w:val="22"/>
          <w:lang w:eastAsia="en-US"/>
        </w:rPr>
        <w:t xml:space="preserve"> </w:t>
      </w:r>
      <w:r w:rsidR="00964E53" w:rsidRPr="00FC6116">
        <w:rPr>
          <w:rFonts w:eastAsiaTheme="minorHAnsi" w:cs="Tahoma"/>
          <w:bCs/>
          <w:iCs/>
          <w:szCs w:val="22"/>
          <w:lang w:eastAsia="en-US"/>
        </w:rPr>
        <w:t xml:space="preserve">solicitó </w:t>
      </w:r>
      <w:r w:rsidR="00964E53" w:rsidRPr="00FC6116">
        <w:rPr>
          <w:rFonts w:eastAsiaTheme="minorHAnsi" w:cs="Tahoma"/>
          <w:b/>
          <w:bCs/>
          <w:iCs/>
          <w:szCs w:val="22"/>
          <w:lang w:eastAsia="en-US"/>
        </w:rPr>
        <w:t>aclaración de la solicitud de información</w:t>
      </w:r>
      <w:r w:rsidR="00964E53" w:rsidRPr="00FC6116">
        <w:rPr>
          <w:rFonts w:eastAsiaTheme="minorHAnsi" w:cs="Tahoma"/>
          <w:bCs/>
          <w:iCs/>
          <w:szCs w:val="22"/>
          <w:lang w:eastAsia="en-US"/>
        </w:rPr>
        <w:t xml:space="preserve"> para que </w:t>
      </w:r>
      <w:r w:rsidR="00D620C4" w:rsidRPr="00FC6116">
        <w:rPr>
          <w:rFonts w:eastAsiaTheme="minorHAnsi" w:cs="Tahoma"/>
          <w:bCs/>
          <w:iCs/>
          <w:szCs w:val="22"/>
          <w:lang w:eastAsia="en-US"/>
        </w:rPr>
        <w:t>informara</w:t>
      </w:r>
      <w:r w:rsidR="00964E53" w:rsidRPr="00FC6116">
        <w:rPr>
          <w:rFonts w:eastAsiaTheme="minorHAnsi" w:cs="Tahoma"/>
          <w:bCs/>
          <w:iCs/>
          <w:szCs w:val="22"/>
          <w:lang w:eastAsia="en-US"/>
        </w:rPr>
        <w:t xml:space="preserve"> en que sala del Tribunal de Justicia Administrativa se llevaba a cabo el procedimiento del que se requiere la información; al no haber aclaración, se tuvo por no presentada</w:t>
      </w:r>
      <w:r w:rsidR="00D620C4" w:rsidRPr="00FC6116">
        <w:rPr>
          <w:rFonts w:eastAsiaTheme="minorHAnsi" w:cs="Tahoma"/>
          <w:bCs/>
          <w:iCs/>
          <w:szCs w:val="22"/>
          <w:lang w:eastAsia="en-US"/>
        </w:rPr>
        <w:t xml:space="preserve"> y se solicitó tener por atendida la presente solicitud de información.</w:t>
      </w:r>
    </w:p>
    <w:p w14:paraId="4BEBD880" w14:textId="77777777" w:rsidR="00664420" w:rsidRPr="00FC6116" w:rsidRDefault="00664420" w:rsidP="00FC6116">
      <w:pPr>
        <w:tabs>
          <w:tab w:val="left" w:pos="4962"/>
        </w:tabs>
        <w:contextualSpacing/>
        <w:rPr>
          <w:rFonts w:eastAsiaTheme="minorHAnsi" w:cs="Tahoma"/>
          <w:bCs/>
          <w:iCs/>
          <w:szCs w:val="22"/>
          <w:lang w:eastAsia="en-US"/>
        </w:rPr>
      </w:pPr>
    </w:p>
    <w:p w14:paraId="5E81533F" w14:textId="4509A7A8" w:rsidR="00D620C4" w:rsidRPr="00FC6116" w:rsidRDefault="00CF7586" w:rsidP="00FC6116">
      <w:pPr>
        <w:tabs>
          <w:tab w:val="left" w:pos="4962"/>
        </w:tabs>
        <w:contextualSpacing/>
        <w:rPr>
          <w:rFonts w:eastAsiaTheme="minorHAnsi" w:cs="Tahoma"/>
          <w:bCs/>
          <w:iCs/>
          <w:szCs w:val="22"/>
          <w:lang w:eastAsia="en-US"/>
        </w:rPr>
      </w:pPr>
      <w:r w:rsidRPr="00FC6116">
        <w:rPr>
          <w:rFonts w:eastAsiaTheme="minorHAnsi" w:cs="Tahoma"/>
          <w:bCs/>
          <w:iCs/>
          <w:szCs w:val="22"/>
          <w:lang w:eastAsia="en-US"/>
        </w:rPr>
        <w:t xml:space="preserve">Ahora bien, en la interposición del presente recurso </w:t>
      </w:r>
      <w:r w:rsidRPr="00FC6116">
        <w:rPr>
          <w:rFonts w:eastAsiaTheme="minorHAnsi" w:cs="Tahoma"/>
          <w:b/>
          <w:iCs/>
          <w:szCs w:val="22"/>
          <w:lang w:eastAsia="en-US"/>
        </w:rPr>
        <w:t>LA PARTE RECURRENTE</w:t>
      </w:r>
      <w:r w:rsidR="00664420" w:rsidRPr="00FC6116">
        <w:rPr>
          <w:rFonts w:eastAsiaTheme="minorHAnsi" w:cs="Tahoma"/>
          <w:bCs/>
          <w:iCs/>
          <w:szCs w:val="22"/>
          <w:lang w:eastAsia="en-US"/>
        </w:rPr>
        <w:t xml:space="preserve"> se inconformó de</w:t>
      </w:r>
      <w:r w:rsidR="00D620C4" w:rsidRPr="00FC6116">
        <w:rPr>
          <w:rFonts w:eastAsiaTheme="minorHAnsi" w:cs="Tahoma"/>
          <w:bCs/>
          <w:iCs/>
          <w:szCs w:val="22"/>
          <w:lang w:eastAsia="en-US"/>
        </w:rPr>
        <w:t xml:space="preserve"> la negativa de entrega de la información</w:t>
      </w:r>
      <w:r w:rsidRPr="00FC6116">
        <w:rPr>
          <w:rFonts w:eastAsiaTheme="minorHAnsi" w:cs="Tahoma"/>
          <w:bCs/>
          <w:iCs/>
          <w:szCs w:val="22"/>
          <w:lang w:eastAsia="en-US"/>
        </w:rPr>
        <w:t xml:space="preserve">, por lo cual, el estudio </w:t>
      </w:r>
      <w:r w:rsidR="005B18AF" w:rsidRPr="00FC6116">
        <w:rPr>
          <w:rFonts w:eastAsiaTheme="minorHAnsi" w:cs="Tahoma"/>
          <w:bCs/>
          <w:iCs/>
          <w:szCs w:val="22"/>
          <w:lang w:eastAsia="en-US"/>
        </w:rPr>
        <w:t xml:space="preserve">se centrará en determinar si </w:t>
      </w:r>
      <w:r w:rsidR="00D620C4" w:rsidRPr="00FC6116">
        <w:rPr>
          <w:rFonts w:eastAsiaTheme="minorHAnsi" w:cs="Tahoma"/>
          <w:bCs/>
          <w:iCs/>
          <w:szCs w:val="22"/>
          <w:lang w:eastAsia="en-US"/>
        </w:rPr>
        <w:t>en factible la entrega.</w:t>
      </w:r>
    </w:p>
    <w:p w14:paraId="5ACDC1B8" w14:textId="77777777" w:rsidR="00A52565" w:rsidRPr="00FC6116" w:rsidRDefault="00A52565" w:rsidP="00FC6116">
      <w:pPr>
        <w:tabs>
          <w:tab w:val="left" w:pos="4962"/>
        </w:tabs>
        <w:contextualSpacing/>
        <w:rPr>
          <w:rFonts w:eastAsiaTheme="minorHAnsi" w:cs="Tahoma"/>
          <w:bCs/>
          <w:iCs/>
          <w:szCs w:val="22"/>
          <w:lang w:eastAsia="en-US"/>
        </w:rPr>
      </w:pPr>
    </w:p>
    <w:p w14:paraId="1C8A9CCE" w14:textId="344E38D6" w:rsidR="00A52565" w:rsidRPr="00FC6116" w:rsidRDefault="00A52565" w:rsidP="00FC6116">
      <w:pPr>
        <w:tabs>
          <w:tab w:val="left" w:pos="4962"/>
        </w:tabs>
        <w:contextualSpacing/>
        <w:rPr>
          <w:i/>
        </w:rPr>
      </w:pPr>
      <w:r w:rsidRPr="00FC6116">
        <w:rPr>
          <w:rFonts w:eastAsiaTheme="minorHAnsi" w:cs="Tahoma"/>
          <w:bCs/>
          <w:iCs/>
          <w:szCs w:val="22"/>
          <w:lang w:eastAsia="en-US"/>
        </w:rPr>
        <w:lastRenderedPageBreak/>
        <w:t xml:space="preserve">Cabe destacar que en etapa de manifestaciones, </w:t>
      </w:r>
      <w:r w:rsidR="000902C7" w:rsidRPr="00FC6116">
        <w:rPr>
          <w:rFonts w:eastAsiaTheme="minorHAnsi" w:cs="Tahoma"/>
          <w:b/>
          <w:bCs/>
          <w:iCs/>
          <w:szCs w:val="22"/>
          <w:lang w:eastAsia="en-US"/>
        </w:rPr>
        <w:t>EL</w:t>
      </w:r>
      <w:r w:rsidR="000902C7" w:rsidRPr="00FC6116">
        <w:rPr>
          <w:rFonts w:eastAsiaTheme="minorHAnsi" w:cs="Tahoma"/>
          <w:bCs/>
          <w:iCs/>
          <w:szCs w:val="22"/>
          <w:lang w:eastAsia="en-US"/>
        </w:rPr>
        <w:t xml:space="preserve"> </w:t>
      </w:r>
      <w:r w:rsidRPr="00FC6116">
        <w:rPr>
          <w:rFonts w:eastAsiaTheme="minorHAnsi" w:cs="Tahoma"/>
          <w:b/>
          <w:bCs/>
          <w:iCs/>
          <w:szCs w:val="22"/>
          <w:lang w:eastAsia="en-US"/>
        </w:rPr>
        <w:t>SUJETO OBLIGADO</w:t>
      </w:r>
      <w:r w:rsidRPr="00FC6116">
        <w:rPr>
          <w:rFonts w:eastAsiaTheme="minorHAnsi" w:cs="Tahoma"/>
          <w:bCs/>
          <w:iCs/>
          <w:szCs w:val="22"/>
          <w:lang w:eastAsia="en-US"/>
        </w:rPr>
        <w:t xml:space="preserve"> remitió oficio firmado por la Jefa de la Unidad de Información, Planeación, Programación y Evaluación, mediante el cual hizo del conocimiento que ratifica lo relativo a la aclaración solicitada y no atendida, así como orienta al solicitante </w:t>
      </w:r>
      <w:r w:rsidRPr="00FC6116">
        <w:t>a efecto de que consulte la información peticionada la cual se encuentra dentro del portal de Sentencias de</w:t>
      </w:r>
      <w:r w:rsidR="000C0843" w:rsidRPr="00FC6116">
        <w:t>l</w:t>
      </w:r>
      <w:r w:rsidRPr="00FC6116">
        <w:t xml:space="preserve"> Tribunal, proporcionando la liga de consulta y plasmando imágenes para su mejor entendimiento.</w:t>
      </w:r>
    </w:p>
    <w:p w14:paraId="12609DE8" w14:textId="77777777" w:rsidR="00D620C4" w:rsidRPr="00FC6116" w:rsidRDefault="00D620C4" w:rsidP="00FC6116">
      <w:pPr>
        <w:tabs>
          <w:tab w:val="left" w:pos="4962"/>
        </w:tabs>
        <w:contextualSpacing/>
        <w:rPr>
          <w:rFonts w:eastAsiaTheme="minorHAnsi" w:cs="Tahoma"/>
          <w:bCs/>
          <w:iCs/>
          <w:szCs w:val="22"/>
          <w:lang w:eastAsia="en-US"/>
        </w:rPr>
      </w:pPr>
    </w:p>
    <w:p w14:paraId="414FD2D5" w14:textId="4408E416" w:rsidR="00664420" w:rsidRPr="00FC6116" w:rsidRDefault="00A21A20" w:rsidP="00FC6116">
      <w:pPr>
        <w:pStyle w:val="Ttulo3"/>
      </w:pPr>
      <w:bookmarkStart w:id="27" w:name="_Toc173844369"/>
      <w:r w:rsidRPr="00FC6116">
        <w:t>c)</w:t>
      </w:r>
      <w:r w:rsidR="00664420" w:rsidRPr="00FC6116">
        <w:t xml:space="preserve"> </w:t>
      </w:r>
      <w:r w:rsidRPr="00FC6116">
        <w:t>Estudio de la controversia</w:t>
      </w:r>
      <w:bookmarkEnd w:id="27"/>
    </w:p>
    <w:p w14:paraId="34D39380" w14:textId="0133732B" w:rsidR="000B4F2F" w:rsidRPr="00FC6116" w:rsidRDefault="000B4F2F" w:rsidP="00FC6116">
      <w:pPr>
        <w:rPr>
          <w:rFonts w:eastAsia="Palatino Linotype" w:cs="Palatino Linotype"/>
        </w:rPr>
      </w:pPr>
      <w:r w:rsidRPr="00FC6116">
        <w:rPr>
          <w:rFonts w:eastAsia="Palatino Linotype" w:cs="Palatino Linotype"/>
        </w:rPr>
        <w:t xml:space="preserve">Primeramente, es importante señalar que la Ley de la materia establece que cuando los solicitantes no atiendan el requerimiento de información presentado por </w:t>
      </w:r>
      <w:r w:rsidRPr="00FC6116">
        <w:rPr>
          <w:rFonts w:eastAsia="Palatino Linotype" w:cs="Palatino Linotype"/>
          <w:b/>
        </w:rPr>
        <w:t>EL SUJETO OBLIGADO</w:t>
      </w:r>
      <w:r w:rsidRPr="00FC6116">
        <w:rPr>
          <w:rFonts w:eastAsia="Palatino Linotype" w:cs="Palatino Linotype"/>
        </w:rPr>
        <w:t>, ésta se tendrá por no presentada de conformidad con el artículo 159 de la Ley de Transparencia y Acceso a la Información Pública del Estado de México y Municipios.</w:t>
      </w:r>
    </w:p>
    <w:p w14:paraId="33CE763C" w14:textId="77777777" w:rsidR="000B4F2F" w:rsidRPr="00FC6116" w:rsidRDefault="000B4F2F" w:rsidP="00FC6116">
      <w:pPr>
        <w:rPr>
          <w:rFonts w:eastAsia="Palatino Linotype" w:cs="Palatino Linotype"/>
        </w:rPr>
      </w:pPr>
    </w:p>
    <w:p w14:paraId="6CB004FC" w14:textId="2150A1C6" w:rsidR="00201F2B" w:rsidRPr="00FC6116" w:rsidRDefault="00D37161" w:rsidP="00FC6116">
      <w:pPr>
        <w:rPr>
          <w:rFonts w:eastAsia="Palatino Linotype" w:cs="Palatino Linotype"/>
        </w:rPr>
      </w:pPr>
      <w:r w:rsidRPr="00FC6116">
        <w:rPr>
          <w:rFonts w:eastAsia="Palatino Linotype" w:cs="Palatino Linotype"/>
        </w:rPr>
        <w:t xml:space="preserve">No obstante lo anterior, </w:t>
      </w:r>
      <w:r w:rsidR="000C0843" w:rsidRPr="00FC6116">
        <w:rPr>
          <w:rFonts w:eastAsia="Palatino Linotype" w:cs="Palatino Linotype"/>
        </w:rPr>
        <w:t xml:space="preserve">derivado que </w:t>
      </w:r>
      <w:r w:rsidR="000C0843" w:rsidRPr="00FC6116">
        <w:rPr>
          <w:rFonts w:eastAsia="Palatino Linotype" w:cs="Palatino Linotype"/>
          <w:b/>
        </w:rPr>
        <w:t>EL SUJETO OBLIGADO</w:t>
      </w:r>
      <w:r w:rsidR="000C0843" w:rsidRPr="00FC6116">
        <w:rPr>
          <w:rFonts w:eastAsia="Palatino Linotype" w:cs="Palatino Linotype"/>
        </w:rPr>
        <w:t xml:space="preserve"> dio por no presentada la solicitud de aclaración,</w:t>
      </w:r>
      <w:r w:rsidRPr="00FC6116">
        <w:rPr>
          <w:rFonts w:eastAsia="Palatino Linotype" w:cs="Palatino Linotype"/>
        </w:rPr>
        <w:t xml:space="preserve"> atendiendo a que </w:t>
      </w:r>
      <w:r w:rsidR="000902C7" w:rsidRPr="00FC6116">
        <w:rPr>
          <w:rFonts w:eastAsia="Palatino Linotype" w:cs="Palatino Linotype"/>
          <w:b/>
        </w:rPr>
        <w:t>LA PARTE</w:t>
      </w:r>
      <w:r w:rsidRPr="00FC6116">
        <w:rPr>
          <w:rFonts w:eastAsia="Palatino Linotype" w:cs="Palatino Linotype"/>
        </w:rPr>
        <w:t xml:space="preserve"> </w:t>
      </w:r>
      <w:r w:rsidRPr="00FC6116">
        <w:rPr>
          <w:rFonts w:eastAsia="Palatino Linotype" w:cs="Palatino Linotype"/>
          <w:b/>
        </w:rPr>
        <w:t>RECURRENTE</w:t>
      </w:r>
      <w:r w:rsidRPr="00FC6116">
        <w:rPr>
          <w:rFonts w:eastAsia="Palatino Linotype" w:cs="Palatino Linotype"/>
        </w:rPr>
        <w:t xml:space="preserve"> no le informó en que </w:t>
      </w:r>
      <w:r w:rsidRPr="00FC6116">
        <w:rPr>
          <w:rFonts w:eastAsiaTheme="minorHAnsi" w:cs="Tahoma"/>
          <w:bCs/>
          <w:iCs/>
          <w:szCs w:val="22"/>
          <w:lang w:eastAsia="en-US"/>
        </w:rPr>
        <w:t>sala del Tribunal de Justicia Administrativa se llevaba a cabo el procedimiento del que se requiere la información</w:t>
      </w:r>
      <w:r w:rsidR="004767FC" w:rsidRPr="00FC6116">
        <w:rPr>
          <w:rFonts w:eastAsia="Palatino Linotype" w:cs="Palatino Linotype"/>
        </w:rPr>
        <w:t>;</w:t>
      </w:r>
      <w:r w:rsidR="00201F2B" w:rsidRPr="00FC6116">
        <w:rPr>
          <w:rFonts w:eastAsia="Palatino Linotype" w:cs="Palatino Linotype"/>
        </w:rPr>
        <w:t xml:space="preserve"> en vía de </w:t>
      </w:r>
      <w:r w:rsidR="00201F2B" w:rsidRPr="00FC6116">
        <w:rPr>
          <w:rFonts w:eastAsia="Palatino Linotype" w:cs="Palatino Linotype"/>
          <w:b/>
        </w:rPr>
        <w:t>informe justificado</w:t>
      </w:r>
      <w:r w:rsidR="00201F2B" w:rsidRPr="00FC6116">
        <w:rPr>
          <w:rFonts w:eastAsia="Palatino Linotype" w:cs="Palatino Linotype"/>
        </w:rPr>
        <w:t xml:space="preserve"> fue entregado el siguiente archivo</w:t>
      </w:r>
      <w:r w:rsidR="00073D42" w:rsidRPr="00FC6116">
        <w:rPr>
          <w:rFonts w:eastAsia="Palatino Linotype" w:cs="Palatino Linotype"/>
        </w:rPr>
        <w:t>:</w:t>
      </w:r>
    </w:p>
    <w:p w14:paraId="37BC1BE0" w14:textId="77777777" w:rsidR="00201F2B" w:rsidRPr="00FC6116" w:rsidRDefault="00201F2B" w:rsidP="00FC6116">
      <w:pPr>
        <w:rPr>
          <w:rFonts w:eastAsia="Palatino Linotype" w:cs="Palatino Linotype"/>
        </w:rPr>
      </w:pPr>
    </w:p>
    <w:p w14:paraId="05C1660B" w14:textId="512057A4" w:rsidR="00637EB6" w:rsidRPr="00FC6116" w:rsidRDefault="00637EB6" w:rsidP="00FC6116">
      <w:pPr>
        <w:pStyle w:val="Puesto"/>
      </w:pPr>
      <w:r w:rsidRPr="00FC6116">
        <w:rPr>
          <w:rFonts w:cs="Tahoma"/>
          <w:b/>
          <w:bCs/>
        </w:rPr>
        <w:t xml:space="preserve">RR_244.pdf.- </w:t>
      </w:r>
      <w:r w:rsidR="00073D42" w:rsidRPr="00FC6116">
        <w:rPr>
          <w:rFonts w:cs="Tahoma"/>
          <w:bCs/>
        </w:rPr>
        <w:t>R</w:t>
      </w:r>
      <w:r w:rsidRPr="00FC6116">
        <w:t xml:space="preserve">esulta imperativo, señalar que se requería conocer de la Sala Jurisdiccional que tenga conocimiento del expediente solicitado, para que la Unidad de Información, Planeación, Programación y Evaluación se encontrara en posibilidades de llevar a cabo las gestiones tendientes a turnar la solicitud de acceso a la información al área que conozca de la misma. </w:t>
      </w:r>
    </w:p>
    <w:p w14:paraId="67745B7B" w14:textId="77777777" w:rsidR="00637EB6" w:rsidRPr="00FC6116" w:rsidRDefault="00637EB6" w:rsidP="00FC6116">
      <w:pPr>
        <w:pStyle w:val="Puesto"/>
      </w:pPr>
    </w:p>
    <w:p w14:paraId="75E67351" w14:textId="77777777" w:rsidR="00637EB6" w:rsidRPr="00FC6116" w:rsidRDefault="00637EB6" w:rsidP="00FC6116">
      <w:pPr>
        <w:pStyle w:val="Puesto"/>
      </w:pPr>
      <w:r w:rsidRPr="00FC6116">
        <w:t xml:space="preserve">A su vez, se le hizo de conocimiento a la persona solicitante que, en caso de requerir asesoría, orientación o cualquier auxilio relacionado con la elaboración de su aclaración, formulación de solicitudes de información, o en general con las obligaciones en materia de </w:t>
      </w:r>
      <w:r w:rsidRPr="00FC6116">
        <w:lastRenderedPageBreak/>
        <w:t xml:space="preserve">transparencia y acceso a la información pública a cargo del Tribunal de Justicia Administrativa del Estado de México podía hacerlo mediante los datos de contacto proporcionados. </w:t>
      </w:r>
    </w:p>
    <w:p w14:paraId="24E2F160" w14:textId="77777777" w:rsidR="00637EB6" w:rsidRPr="00FC6116" w:rsidRDefault="00637EB6" w:rsidP="00FC6116">
      <w:pPr>
        <w:pStyle w:val="Puesto"/>
      </w:pPr>
    </w:p>
    <w:p w14:paraId="3152A899" w14:textId="77777777" w:rsidR="00637EB6" w:rsidRPr="00FC6116" w:rsidRDefault="00637EB6" w:rsidP="00FC6116">
      <w:pPr>
        <w:pStyle w:val="Puesto"/>
      </w:pPr>
      <w:r w:rsidRPr="00FC6116">
        <w:t xml:space="preserve">Finalmente, se hace de conocimiento que transcurrido el plazo para la presentación de la aclaración, transcurrió del dieciocho de junio al siendo el día uno, hasta el día uno de julio de la presente anualidad y en virtud de que la solicitud no fue aclarada y no se vieron vulnerados los derechos del hoy recurrente, se solicita se tenga por colmada, en términos del artículo 159 de la Ley de Transparencia y Acceso a la Información Pública del Estado de México y Municipios. </w:t>
      </w:r>
    </w:p>
    <w:p w14:paraId="4B1ABC50" w14:textId="77777777" w:rsidR="00637EB6" w:rsidRPr="00FC6116" w:rsidRDefault="00637EB6" w:rsidP="00FC6116">
      <w:pPr>
        <w:pStyle w:val="Puesto"/>
      </w:pPr>
    </w:p>
    <w:p w14:paraId="5BB734E2" w14:textId="6F3FFBDB" w:rsidR="00637EB6" w:rsidRPr="00FC6116" w:rsidRDefault="00637EB6" w:rsidP="00FC6116">
      <w:pPr>
        <w:pStyle w:val="Puesto"/>
      </w:pPr>
      <w:r w:rsidRPr="00FC6116">
        <w:t>Ahora bien, atendiendo al principio de máxima publicidad, este Tribunal de Justicia Administrativa orienta a la persona solici</w:t>
      </w:r>
      <w:r w:rsidR="00073D42" w:rsidRPr="00FC6116">
        <w:t>tante a efecto de que consulte l</w:t>
      </w:r>
      <w:r w:rsidRPr="00FC6116">
        <w:t xml:space="preserve">a información que puede ser de su interés dentro del Portal de Sentencias de este Tribunal, por lo que, para ingresar a realizar la búsqueda de las mismas se dirige al siguiente hipervínculo: </w:t>
      </w:r>
    </w:p>
    <w:p w14:paraId="6F7F8371" w14:textId="77777777" w:rsidR="00201F2B" w:rsidRPr="00FC6116" w:rsidRDefault="00201F2B" w:rsidP="00FC6116">
      <w:pPr>
        <w:ind w:left="567" w:right="539"/>
        <w:rPr>
          <w:i/>
        </w:rPr>
      </w:pPr>
    </w:p>
    <w:p w14:paraId="09E278EB" w14:textId="19871376" w:rsidR="00201F2B" w:rsidRPr="00FC6116" w:rsidRDefault="00201F2B" w:rsidP="00FC6116">
      <w:pPr>
        <w:ind w:left="567" w:right="539"/>
        <w:rPr>
          <w:i/>
        </w:rPr>
      </w:pPr>
      <w:r w:rsidRPr="00FC6116">
        <w:rPr>
          <w:i/>
          <w:noProof/>
          <w:lang w:eastAsia="es-MX"/>
        </w:rPr>
        <w:drawing>
          <wp:inline distT="0" distB="0" distL="0" distR="0" wp14:anchorId="6E0261C4" wp14:editId="2F9CE524">
            <wp:extent cx="4695825" cy="1896361"/>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3151" cy="1907396"/>
                    </a:xfrm>
                    <a:prstGeom prst="rect">
                      <a:avLst/>
                    </a:prstGeom>
                  </pic:spPr>
                </pic:pic>
              </a:graphicData>
            </a:graphic>
          </wp:inline>
        </w:drawing>
      </w:r>
    </w:p>
    <w:p w14:paraId="6C96BD32" w14:textId="7DB0E5CA" w:rsidR="00073D42" w:rsidRPr="00FC6116" w:rsidRDefault="00073D42" w:rsidP="00FC6116">
      <w:pPr>
        <w:ind w:left="567" w:right="539"/>
        <w:rPr>
          <w:i/>
        </w:rPr>
      </w:pPr>
      <w:r w:rsidRPr="00FC6116">
        <w:rPr>
          <w:i/>
          <w:noProof/>
          <w:lang w:eastAsia="es-MX"/>
        </w:rPr>
        <w:lastRenderedPageBreak/>
        <w:drawing>
          <wp:inline distT="0" distB="0" distL="0" distR="0" wp14:anchorId="066C67C1" wp14:editId="133D364E">
            <wp:extent cx="5742940" cy="32391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239135"/>
                    </a:xfrm>
                    <a:prstGeom prst="rect">
                      <a:avLst/>
                    </a:prstGeom>
                  </pic:spPr>
                </pic:pic>
              </a:graphicData>
            </a:graphic>
          </wp:inline>
        </w:drawing>
      </w:r>
    </w:p>
    <w:p w14:paraId="2E58FDC4" w14:textId="137A2701" w:rsidR="00073D42" w:rsidRPr="00FC6116" w:rsidRDefault="00073D42" w:rsidP="00FC6116">
      <w:pPr>
        <w:ind w:right="539"/>
        <w:rPr>
          <w:i/>
        </w:rPr>
      </w:pPr>
      <w:r w:rsidRPr="00FC6116">
        <w:rPr>
          <w:i/>
          <w:noProof/>
          <w:lang w:eastAsia="es-MX"/>
        </w:rPr>
        <w:drawing>
          <wp:inline distT="0" distB="0" distL="0" distR="0" wp14:anchorId="5036FE52" wp14:editId="2DE89220">
            <wp:extent cx="5742940" cy="165163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1651635"/>
                    </a:xfrm>
                    <a:prstGeom prst="rect">
                      <a:avLst/>
                    </a:prstGeom>
                  </pic:spPr>
                </pic:pic>
              </a:graphicData>
            </a:graphic>
          </wp:inline>
        </w:drawing>
      </w:r>
    </w:p>
    <w:p w14:paraId="50459461" w14:textId="77777777" w:rsidR="00201F2B" w:rsidRPr="00FC6116" w:rsidRDefault="00201F2B" w:rsidP="00FC6116">
      <w:pPr>
        <w:ind w:left="567" w:right="539"/>
        <w:rPr>
          <w:b/>
        </w:rPr>
      </w:pPr>
    </w:p>
    <w:p w14:paraId="7CBFC500" w14:textId="77777777" w:rsidR="00637EB6" w:rsidRPr="00FC6116" w:rsidRDefault="00637EB6" w:rsidP="00FC6116">
      <w:pPr>
        <w:pStyle w:val="Puesto"/>
      </w:pPr>
      <w:r w:rsidRPr="00FC6116">
        <w:t xml:space="preserve">Se hace de su conocimiento que si llegara a ser parte de un proceso administrativo dentro del Tribunal de Justicia Administrativa del Estado de México, el proceso para tener acceso al mismo, regulado por el Código de Procedimientos Administrativos del Estado de México, por lo que privilegiando los principios de igualdad entre las partes, el debido proceso u otros derechos en los juicios o procedimientos seguidos en forma de juicio, consagrados en el artículo 17 de la Constitución Política de los Estados Unidos Mexicanos; así como atendiendo a lo dispuesto por el artículo 20 del Código de Procedimientos Administrativos del Estado de México y Municipios, las partes podrán consultar los expedientes en que se </w:t>
      </w:r>
      <w:r w:rsidRPr="00FC6116">
        <w:lastRenderedPageBreak/>
        <w:t>documenta el procedimiento y proceso administrativo y obtener copia certificada de los documentos y actuaciones que los integren, previo a la acreditación de su personalidad jurídica.</w:t>
      </w:r>
    </w:p>
    <w:p w14:paraId="10F13A5E" w14:textId="77777777" w:rsidR="00D620C4" w:rsidRPr="00FC6116" w:rsidRDefault="00D620C4" w:rsidP="00FC6116">
      <w:pPr>
        <w:pStyle w:val="Prrafodelista"/>
        <w:ind w:right="-93"/>
        <w:rPr>
          <w:rFonts w:cs="Tahoma"/>
          <w:bCs/>
          <w:szCs w:val="22"/>
        </w:rPr>
      </w:pPr>
    </w:p>
    <w:p w14:paraId="015D6EF8" w14:textId="289659D7" w:rsidR="00D620C4" w:rsidRPr="00FC6116" w:rsidRDefault="00073D42" w:rsidP="00FC6116">
      <w:pPr>
        <w:pStyle w:val="Prrafodelista"/>
        <w:ind w:left="0" w:right="-93"/>
        <w:rPr>
          <w:rFonts w:cs="Tahoma"/>
          <w:bCs/>
          <w:szCs w:val="22"/>
        </w:rPr>
      </w:pPr>
      <w:r w:rsidRPr="00FC6116">
        <w:rPr>
          <w:rFonts w:cs="Tahoma"/>
          <w:bCs/>
          <w:szCs w:val="22"/>
        </w:rPr>
        <w:t xml:space="preserve">Atendiendo a lo expuesto en dicho informe, se advierte que, con independencia de </w:t>
      </w:r>
      <w:r w:rsidR="002C71C5" w:rsidRPr="00FC6116">
        <w:rPr>
          <w:rFonts w:cs="Tahoma"/>
          <w:bCs/>
          <w:szCs w:val="22"/>
        </w:rPr>
        <w:t>haber desestimado la solicitud de información por falta de aclaración</w:t>
      </w:r>
      <w:r w:rsidR="004767FC" w:rsidRPr="00FC6116">
        <w:rPr>
          <w:rFonts w:cs="Tahoma"/>
          <w:bCs/>
          <w:szCs w:val="22"/>
        </w:rPr>
        <w:t xml:space="preserve"> y estarla ratificando en informe justificado</w:t>
      </w:r>
      <w:r w:rsidR="002C71C5" w:rsidRPr="00FC6116">
        <w:rPr>
          <w:rFonts w:cs="Tahoma"/>
          <w:bCs/>
          <w:szCs w:val="22"/>
        </w:rPr>
        <w:t xml:space="preserve">, el </w:t>
      </w:r>
      <w:r w:rsidR="002C71C5" w:rsidRPr="00FC6116">
        <w:rPr>
          <w:rFonts w:cs="Tahoma"/>
          <w:b/>
          <w:bCs/>
          <w:szCs w:val="22"/>
        </w:rPr>
        <w:t>SUJETO OBLIGADO</w:t>
      </w:r>
      <w:r w:rsidR="002C71C5" w:rsidRPr="00FC6116">
        <w:rPr>
          <w:rFonts w:cs="Tahoma"/>
          <w:bCs/>
          <w:szCs w:val="22"/>
        </w:rPr>
        <w:t xml:space="preserve">, se dio a la tarea de proporcionar los pasos a seguir para consultar las resoluciones que se dictan en el </w:t>
      </w:r>
      <w:r w:rsidR="002C71C5" w:rsidRPr="00FC6116">
        <w:rPr>
          <w:rFonts w:eastAsia="Calibri" w:cs="Tahoma"/>
          <w:szCs w:val="22"/>
          <w:lang w:eastAsia="en-US"/>
        </w:rPr>
        <w:t>Tribunal de Justicia Administrativa del Estado de México</w:t>
      </w:r>
      <w:r w:rsidR="004767FC" w:rsidRPr="00FC6116">
        <w:rPr>
          <w:rFonts w:eastAsia="Calibri" w:cs="Tahoma"/>
          <w:szCs w:val="22"/>
          <w:lang w:eastAsia="en-US"/>
        </w:rPr>
        <w:t xml:space="preserve"> ello </w:t>
      </w:r>
      <w:r w:rsidR="004767FC" w:rsidRPr="00FC6116">
        <w:t>atendiendo al principio de máxima publicidad</w:t>
      </w:r>
      <w:r w:rsidR="002C71C5" w:rsidRPr="00FC6116">
        <w:rPr>
          <w:rFonts w:cs="Tahoma"/>
          <w:bCs/>
          <w:szCs w:val="22"/>
        </w:rPr>
        <w:t>; y para la debida verificación</w:t>
      </w:r>
      <w:r w:rsidR="004767FC" w:rsidRPr="00FC6116">
        <w:rPr>
          <w:rFonts w:cs="Tahoma"/>
          <w:bCs/>
          <w:szCs w:val="22"/>
        </w:rPr>
        <w:t xml:space="preserve"> de la orientación realizada</w:t>
      </w:r>
      <w:r w:rsidR="002C71C5" w:rsidRPr="00FC6116">
        <w:rPr>
          <w:rFonts w:cs="Tahoma"/>
          <w:bCs/>
          <w:szCs w:val="22"/>
        </w:rPr>
        <w:t>, esta ponencia consultó el enlace proporcionado, y este arrojo lo siguiente:</w:t>
      </w:r>
    </w:p>
    <w:p w14:paraId="27FB72B3" w14:textId="0C7FDC64" w:rsidR="002C71C5" w:rsidRPr="00FC6116" w:rsidRDefault="002C71C5" w:rsidP="00FC6116">
      <w:pPr>
        <w:pStyle w:val="Prrafodelista"/>
        <w:ind w:left="0" w:right="-93"/>
        <w:rPr>
          <w:rFonts w:cs="Tahoma"/>
          <w:bCs/>
          <w:szCs w:val="22"/>
        </w:rPr>
      </w:pPr>
      <w:r w:rsidRPr="00FC6116">
        <w:rPr>
          <w:rFonts w:cs="Tahoma"/>
          <w:bCs/>
          <w:noProof/>
          <w:szCs w:val="22"/>
          <w:lang w:eastAsia="es-MX"/>
        </w:rPr>
        <w:drawing>
          <wp:inline distT="0" distB="0" distL="0" distR="0" wp14:anchorId="2036A459" wp14:editId="5D649150">
            <wp:extent cx="5742901" cy="2736112"/>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00494" cy="2763551"/>
                    </a:xfrm>
                    <a:prstGeom prst="rect">
                      <a:avLst/>
                    </a:prstGeom>
                  </pic:spPr>
                </pic:pic>
              </a:graphicData>
            </a:graphic>
          </wp:inline>
        </w:drawing>
      </w:r>
    </w:p>
    <w:p w14:paraId="70AFC26B" w14:textId="77777777" w:rsidR="00D620C4" w:rsidRPr="00FC6116" w:rsidRDefault="00D620C4" w:rsidP="00FC6116">
      <w:pPr>
        <w:pStyle w:val="Prrafodelista"/>
        <w:ind w:right="-93"/>
        <w:rPr>
          <w:rFonts w:cs="Tahoma"/>
          <w:bCs/>
          <w:szCs w:val="22"/>
        </w:rPr>
      </w:pPr>
    </w:p>
    <w:p w14:paraId="4B60E9C1" w14:textId="0676F177" w:rsidR="00D620C4" w:rsidRPr="00FC6116" w:rsidRDefault="002C71C5" w:rsidP="00FC6116">
      <w:pPr>
        <w:pStyle w:val="Prrafodelista"/>
        <w:ind w:left="0" w:right="-93"/>
        <w:jc w:val="center"/>
        <w:rPr>
          <w:rFonts w:cs="Tahoma"/>
          <w:bCs/>
          <w:szCs w:val="22"/>
        </w:rPr>
      </w:pPr>
      <w:r w:rsidRPr="00FC6116">
        <w:rPr>
          <w:rFonts w:cs="Tahoma"/>
          <w:bCs/>
          <w:noProof/>
          <w:szCs w:val="22"/>
          <w:lang w:eastAsia="es-MX"/>
        </w:rPr>
        <w:lastRenderedPageBreak/>
        <w:drawing>
          <wp:inline distT="0" distB="0" distL="0" distR="0" wp14:anchorId="1C1A0A3F" wp14:editId="235B2317">
            <wp:extent cx="5742940" cy="2095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2095500"/>
                    </a:xfrm>
                    <a:prstGeom prst="rect">
                      <a:avLst/>
                    </a:prstGeom>
                  </pic:spPr>
                </pic:pic>
              </a:graphicData>
            </a:graphic>
          </wp:inline>
        </w:drawing>
      </w:r>
    </w:p>
    <w:p w14:paraId="5CF28534" w14:textId="77777777" w:rsidR="00D620C4" w:rsidRPr="00FC6116" w:rsidRDefault="00D620C4" w:rsidP="00FC6116">
      <w:pPr>
        <w:pStyle w:val="Prrafodelista"/>
        <w:ind w:right="-93"/>
        <w:rPr>
          <w:rFonts w:cs="Tahoma"/>
          <w:bCs/>
          <w:szCs w:val="22"/>
        </w:rPr>
      </w:pPr>
    </w:p>
    <w:p w14:paraId="6A32B467" w14:textId="35AA89F7" w:rsidR="00D620C4" w:rsidRPr="00FC6116" w:rsidRDefault="002C71C5" w:rsidP="00FC6116">
      <w:pPr>
        <w:pStyle w:val="Prrafodelista"/>
        <w:ind w:right="-93"/>
        <w:rPr>
          <w:u w:val="single"/>
        </w:rPr>
      </w:pPr>
      <w:r w:rsidRPr="00FC6116">
        <w:rPr>
          <w:u w:val="single"/>
        </w:rPr>
        <w:t xml:space="preserve">152/2023: </w:t>
      </w:r>
    </w:p>
    <w:p w14:paraId="625A35D5" w14:textId="77777777" w:rsidR="002C71C5" w:rsidRPr="00FC6116" w:rsidRDefault="002C71C5" w:rsidP="00FC6116">
      <w:pPr>
        <w:pStyle w:val="Prrafodelista"/>
        <w:ind w:right="-93"/>
      </w:pPr>
    </w:p>
    <w:p w14:paraId="39D00BC3" w14:textId="1A7A54D5" w:rsidR="002C71C5" w:rsidRPr="00FC6116" w:rsidRDefault="002C71C5" w:rsidP="00FC6116">
      <w:pPr>
        <w:pStyle w:val="Prrafodelista"/>
        <w:ind w:left="0" w:right="-93"/>
        <w:rPr>
          <w:rFonts w:cs="Tahoma"/>
          <w:bCs/>
          <w:szCs w:val="22"/>
        </w:rPr>
      </w:pPr>
      <w:r w:rsidRPr="00FC6116">
        <w:rPr>
          <w:rFonts w:cs="Tahoma"/>
          <w:bCs/>
          <w:noProof/>
          <w:szCs w:val="22"/>
          <w:lang w:eastAsia="es-MX"/>
        </w:rPr>
        <w:drawing>
          <wp:inline distT="0" distB="0" distL="0" distR="0" wp14:anchorId="62152626" wp14:editId="2920E4BA">
            <wp:extent cx="5742940" cy="27743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2774315"/>
                    </a:xfrm>
                    <a:prstGeom prst="rect">
                      <a:avLst/>
                    </a:prstGeom>
                  </pic:spPr>
                </pic:pic>
              </a:graphicData>
            </a:graphic>
          </wp:inline>
        </w:drawing>
      </w:r>
    </w:p>
    <w:p w14:paraId="761A3F60" w14:textId="77777777" w:rsidR="002C71C5" w:rsidRPr="00FC6116" w:rsidRDefault="002C71C5" w:rsidP="00FC6116">
      <w:pPr>
        <w:pStyle w:val="Prrafodelista"/>
        <w:ind w:left="0" w:right="-93"/>
        <w:rPr>
          <w:rFonts w:cs="Tahoma"/>
          <w:bCs/>
          <w:szCs w:val="22"/>
        </w:rPr>
      </w:pPr>
    </w:p>
    <w:p w14:paraId="62AA3CE3" w14:textId="5EB12E56" w:rsidR="002C71C5" w:rsidRPr="00FC6116" w:rsidRDefault="002C71C5" w:rsidP="00FC6116">
      <w:pPr>
        <w:pStyle w:val="Prrafodelista"/>
        <w:ind w:left="0" w:right="-93"/>
        <w:rPr>
          <w:rFonts w:cs="Tahoma"/>
          <w:bCs/>
          <w:szCs w:val="22"/>
          <w:u w:val="single"/>
        </w:rPr>
      </w:pPr>
      <w:r w:rsidRPr="00FC6116">
        <w:rPr>
          <w:u w:val="single"/>
        </w:rPr>
        <w:t>294/2023:</w:t>
      </w:r>
    </w:p>
    <w:p w14:paraId="2CA18973" w14:textId="77777777" w:rsidR="002C71C5" w:rsidRPr="00FC6116" w:rsidRDefault="002C71C5" w:rsidP="00FC6116">
      <w:pPr>
        <w:pStyle w:val="Prrafodelista"/>
        <w:ind w:left="0" w:right="-93"/>
        <w:rPr>
          <w:rFonts w:cs="Tahoma"/>
          <w:bCs/>
          <w:szCs w:val="22"/>
        </w:rPr>
      </w:pPr>
    </w:p>
    <w:p w14:paraId="7E0E76B9" w14:textId="5DD3A1A9" w:rsidR="002C71C5" w:rsidRPr="00FC6116" w:rsidRDefault="002C71C5" w:rsidP="00FC6116">
      <w:pPr>
        <w:pStyle w:val="Prrafodelista"/>
        <w:ind w:left="0" w:right="-93"/>
        <w:jc w:val="center"/>
        <w:rPr>
          <w:rFonts w:cs="Tahoma"/>
          <w:bCs/>
          <w:szCs w:val="22"/>
        </w:rPr>
      </w:pPr>
      <w:r w:rsidRPr="00FC6116">
        <w:rPr>
          <w:rFonts w:cs="Tahoma"/>
          <w:bCs/>
          <w:noProof/>
          <w:szCs w:val="22"/>
          <w:lang w:eastAsia="es-MX"/>
        </w:rPr>
        <w:lastRenderedPageBreak/>
        <w:drawing>
          <wp:inline distT="0" distB="0" distL="0" distR="0" wp14:anchorId="1AEDBF24" wp14:editId="7AA525A1">
            <wp:extent cx="5742940" cy="2106295"/>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42940" cy="2106295"/>
                    </a:xfrm>
                    <a:prstGeom prst="rect">
                      <a:avLst/>
                    </a:prstGeom>
                  </pic:spPr>
                </pic:pic>
              </a:graphicData>
            </a:graphic>
          </wp:inline>
        </w:drawing>
      </w:r>
    </w:p>
    <w:p w14:paraId="4D3EFE2C" w14:textId="77777777" w:rsidR="00D620C4" w:rsidRPr="00FC6116" w:rsidRDefault="00D620C4" w:rsidP="00FC6116">
      <w:pPr>
        <w:pStyle w:val="Prrafodelista"/>
        <w:ind w:right="-93"/>
        <w:rPr>
          <w:rFonts w:cs="Tahoma"/>
          <w:bCs/>
          <w:szCs w:val="22"/>
        </w:rPr>
      </w:pPr>
    </w:p>
    <w:p w14:paraId="753D843C" w14:textId="17088EB0" w:rsidR="006852D1" w:rsidRPr="00FC6116" w:rsidRDefault="00EF45BB" w:rsidP="00FC6116">
      <w:pPr>
        <w:pStyle w:val="Prrafodelista"/>
        <w:ind w:left="0" w:right="-93"/>
        <w:rPr>
          <w:b/>
        </w:rPr>
      </w:pPr>
      <w:r w:rsidRPr="00FC6116">
        <w:rPr>
          <w:rFonts w:cs="Tahoma"/>
          <w:bCs/>
          <w:szCs w:val="22"/>
        </w:rPr>
        <w:t>De las imágenes plasmadas se puede advertir la existencia de</w:t>
      </w:r>
      <w:r w:rsidR="00D37161" w:rsidRPr="00FC6116">
        <w:rPr>
          <w:rFonts w:cs="Tahoma"/>
          <w:bCs/>
          <w:szCs w:val="22"/>
        </w:rPr>
        <w:t xml:space="preserve"> diversas</w:t>
      </w:r>
      <w:r w:rsidRPr="00FC6116">
        <w:rPr>
          <w:rFonts w:cs="Tahoma"/>
          <w:bCs/>
          <w:szCs w:val="22"/>
        </w:rPr>
        <w:t xml:space="preserve"> resoluciones atinentes a los números de procedimientos</w:t>
      </w:r>
      <w:r w:rsidR="006852D1" w:rsidRPr="00FC6116">
        <w:rPr>
          <w:rFonts w:cs="Tahoma"/>
          <w:bCs/>
          <w:szCs w:val="22"/>
        </w:rPr>
        <w:t xml:space="preserve"> </w:t>
      </w:r>
      <w:r w:rsidR="006852D1" w:rsidRPr="00FC6116">
        <w:t>294/2023 y 152/2023</w:t>
      </w:r>
      <w:r w:rsidR="000902C7" w:rsidRPr="00FC6116">
        <w:t xml:space="preserve"> entre las cuales puede encontrarse las pertenecientes a la persona precisada en la solicitud. </w:t>
      </w:r>
    </w:p>
    <w:p w14:paraId="0A948C32" w14:textId="77777777" w:rsidR="006F1B49" w:rsidRPr="00FC6116" w:rsidRDefault="006F1B49" w:rsidP="00FC6116">
      <w:pPr>
        <w:pStyle w:val="Prrafodelista"/>
        <w:ind w:left="0" w:right="-93"/>
      </w:pPr>
    </w:p>
    <w:p w14:paraId="3CDA1763" w14:textId="7DD7D8E1" w:rsidR="000133E8" w:rsidRPr="00FC6116" w:rsidRDefault="000902C7" w:rsidP="00FC6116">
      <w:pPr>
        <w:pStyle w:val="Prrafodelista"/>
        <w:ind w:left="0" w:right="-93"/>
        <w:rPr>
          <w:lang w:val="es-ES"/>
        </w:rPr>
      </w:pPr>
      <w:r w:rsidRPr="00FC6116">
        <w:t xml:space="preserve">Es así que, el requerimiento realizado por el particular resultaba procedente dado que existen números de procedimientos en </w:t>
      </w:r>
      <w:r w:rsidRPr="00FC6116">
        <w:rPr>
          <w:rFonts w:eastAsia="Calibri" w:cs="Tahoma"/>
          <w:szCs w:val="22"/>
          <w:lang w:eastAsia="en-US"/>
        </w:rPr>
        <w:t>diversas salas regionales y especializadas</w:t>
      </w:r>
      <w:r w:rsidR="000133E8" w:rsidRPr="00FC6116">
        <w:rPr>
          <w:lang w:val="es-ES"/>
        </w:rPr>
        <w:t>, pues dicho tribunal</w:t>
      </w:r>
      <w:r w:rsidR="00F37D65" w:rsidRPr="00FC6116">
        <w:rPr>
          <w:lang w:val="es-ES"/>
        </w:rPr>
        <w:t xml:space="preserve"> de acuerdo su Ley Orgánica</w:t>
      </w:r>
      <w:r w:rsidR="000133E8" w:rsidRPr="00FC6116">
        <w:rPr>
          <w:lang w:val="es-ES"/>
        </w:rPr>
        <w:t xml:space="preserve"> se compone de la siguiente manera:</w:t>
      </w:r>
    </w:p>
    <w:p w14:paraId="6707ED15" w14:textId="77777777" w:rsidR="004767FC" w:rsidRPr="00FC6116" w:rsidRDefault="004767FC" w:rsidP="00FC6116">
      <w:pPr>
        <w:pStyle w:val="Prrafodelista"/>
        <w:ind w:left="0" w:right="-93"/>
        <w:rPr>
          <w:rFonts w:cs="Tahoma"/>
          <w:bCs/>
          <w:szCs w:val="22"/>
          <w:u w:val="single"/>
        </w:rPr>
      </w:pPr>
    </w:p>
    <w:p w14:paraId="64F30F26" w14:textId="77777777" w:rsidR="00F37D65" w:rsidRPr="00FC6116" w:rsidRDefault="000133E8" w:rsidP="00FC6116">
      <w:pPr>
        <w:pStyle w:val="Puesto"/>
        <w:jc w:val="center"/>
        <w:rPr>
          <w:b/>
        </w:rPr>
      </w:pPr>
      <w:r w:rsidRPr="00FC6116">
        <w:rPr>
          <w:b/>
        </w:rPr>
        <w:t>TÍTULO SEGUNDO</w:t>
      </w:r>
    </w:p>
    <w:p w14:paraId="3991361E" w14:textId="050F75CE" w:rsidR="00F37D65" w:rsidRPr="00FC6116" w:rsidRDefault="000133E8" w:rsidP="00FC6116">
      <w:pPr>
        <w:pStyle w:val="Puesto"/>
        <w:jc w:val="center"/>
        <w:rPr>
          <w:b/>
        </w:rPr>
      </w:pPr>
      <w:r w:rsidRPr="00FC6116">
        <w:rPr>
          <w:b/>
        </w:rPr>
        <w:t>DE LA INTEGRACIÓN Y FUNCIONAMIENTO DEL TRIBUNAL</w:t>
      </w:r>
    </w:p>
    <w:p w14:paraId="35C65E11" w14:textId="3D270886" w:rsidR="00F37D65" w:rsidRPr="00FC6116" w:rsidRDefault="000133E8" w:rsidP="00FC6116">
      <w:pPr>
        <w:pStyle w:val="Puesto"/>
        <w:jc w:val="center"/>
        <w:rPr>
          <w:b/>
        </w:rPr>
      </w:pPr>
      <w:r w:rsidRPr="00FC6116">
        <w:rPr>
          <w:b/>
        </w:rPr>
        <w:t>CAPÍTULO ÚNICO</w:t>
      </w:r>
    </w:p>
    <w:p w14:paraId="03BC0BFD" w14:textId="1D7EC85C" w:rsidR="00F37D65" w:rsidRPr="00FC6116" w:rsidRDefault="000133E8" w:rsidP="00FC6116">
      <w:pPr>
        <w:pStyle w:val="Puesto"/>
        <w:jc w:val="center"/>
        <w:rPr>
          <w:b/>
        </w:rPr>
      </w:pPr>
      <w:r w:rsidRPr="00FC6116">
        <w:rPr>
          <w:b/>
        </w:rPr>
        <w:t>DE LA INTEGRACIÓN</w:t>
      </w:r>
    </w:p>
    <w:p w14:paraId="7548CDE3" w14:textId="77777777" w:rsidR="00F37D65" w:rsidRPr="00FC6116" w:rsidRDefault="00F37D65" w:rsidP="00FC6116">
      <w:pPr>
        <w:pStyle w:val="Puesto"/>
      </w:pPr>
    </w:p>
    <w:p w14:paraId="23D9366F" w14:textId="77777777" w:rsidR="00F37D65" w:rsidRPr="00FC6116" w:rsidRDefault="000133E8" w:rsidP="00FC6116">
      <w:pPr>
        <w:pStyle w:val="Puesto"/>
      </w:pPr>
      <w:r w:rsidRPr="00FC6116">
        <w:rPr>
          <w:b/>
        </w:rPr>
        <w:t>Artículo 5.</w:t>
      </w:r>
      <w:r w:rsidRPr="00FC6116">
        <w:t xml:space="preserve"> El Tribunal se integrará por: </w:t>
      </w:r>
    </w:p>
    <w:p w14:paraId="1D871DE1" w14:textId="77777777" w:rsidR="00F37D65" w:rsidRPr="00FC6116" w:rsidRDefault="000133E8" w:rsidP="00FC6116">
      <w:pPr>
        <w:pStyle w:val="Puesto"/>
      </w:pPr>
      <w:r w:rsidRPr="00FC6116">
        <w:t>I. Una Sala Superior que se compone de la manera siguiente:</w:t>
      </w:r>
    </w:p>
    <w:p w14:paraId="7138D4D0" w14:textId="2F2A8957" w:rsidR="00F37D65" w:rsidRPr="00FC6116" w:rsidRDefault="000133E8" w:rsidP="00FC6116">
      <w:pPr>
        <w:pStyle w:val="Puesto"/>
      </w:pPr>
      <w:r w:rsidRPr="00FC6116">
        <w:t>a) Secciones de Jurisdicción Ordinaria, y</w:t>
      </w:r>
    </w:p>
    <w:p w14:paraId="0E7826DA" w14:textId="19460B41" w:rsidR="00F37D65" w:rsidRPr="00FC6116" w:rsidRDefault="000133E8" w:rsidP="00FC6116">
      <w:pPr>
        <w:pStyle w:val="Puesto"/>
      </w:pPr>
      <w:r w:rsidRPr="00FC6116">
        <w:t>b) Sección Especializada en materia de Responsabilidades Administrativas.</w:t>
      </w:r>
    </w:p>
    <w:p w14:paraId="239D15C4" w14:textId="67BEAED5" w:rsidR="00F37D65" w:rsidRPr="00FC6116" w:rsidRDefault="000133E8" w:rsidP="00FC6116">
      <w:pPr>
        <w:pStyle w:val="Puesto"/>
      </w:pPr>
      <w:r w:rsidRPr="00FC6116">
        <w:t>II. Salas Regionales de Jurisdicción Ordinaria;</w:t>
      </w:r>
    </w:p>
    <w:p w14:paraId="0DE3A873" w14:textId="77777777" w:rsidR="00F37D65" w:rsidRPr="00FC6116" w:rsidRDefault="000133E8" w:rsidP="00FC6116">
      <w:pPr>
        <w:pStyle w:val="Puesto"/>
      </w:pPr>
      <w:r w:rsidRPr="00FC6116">
        <w:t xml:space="preserve">III. Salas Especializadas en Materia de Responsabilidades Administrativas; </w:t>
      </w:r>
    </w:p>
    <w:p w14:paraId="37FDF862" w14:textId="77777777" w:rsidR="00F37D65" w:rsidRPr="00FC6116" w:rsidRDefault="000133E8" w:rsidP="00FC6116">
      <w:pPr>
        <w:pStyle w:val="Puesto"/>
      </w:pPr>
      <w:r w:rsidRPr="00FC6116">
        <w:lastRenderedPageBreak/>
        <w:t xml:space="preserve">IV. Magistratura Consultiva; y </w:t>
      </w:r>
    </w:p>
    <w:p w14:paraId="073991A5" w14:textId="77777777" w:rsidR="00F37D65" w:rsidRPr="00FC6116" w:rsidRDefault="000133E8" w:rsidP="00FC6116">
      <w:pPr>
        <w:pStyle w:val="Puesto"/>
      </w:pPr>
      <w:r w:rsidRPr="00FC6116">
        <w:t xml:space="preserve">V. Magistraturas Supernumerarias. </w:t>
      </w:r>
    </w:p>
    <w:p w14:paraId="5E716B94" w14:textId="77777777" w:rsidR="00F37D65" w:rsidRPr="00FC6116" w:rsidRDefault="00F37D65" w:rsidP="00FC6116">
      <w:pPr>
        <w:pStyle w:val="Puesto"/>
      </w:pPr>
    </w:p>
    <w:p w14:paraId="40390420" w14:textId="77777777" w:rsidR="00F37D65" w:rsidRPr="00FC6116" w:rsidRDefault="000133E8" w:rsidP="00FC6116">
      <w:pPr>
        <w:pStyle w:val="Puesto"/>
      </w:pPr>
      <w:r w:rsidRPr="00FC6116">
        <w:t xml:space="preserve">Lo anterior sin perjuicio de que el Tribunal pueda crear nuevas Salas Regionales y Secciones, de acuerdo a las cargas de trabajo y la disponibilidad presupuestal. </w:t>
      </w:r>
    </w:p>
    <w:p w14:paraId="11C6047F" w14:textId="77777777" w:rsidR="00F37D65" w:rsidRPr="00FC6116" w:rsidRDefault="00F37D65" w:rsidP="00FC6116">
      <w:pPr>
        <w:pStyle w:val="Puesto"/>
      </w:pPr>
    </w:p>
    <w:p w14:paraId="361F3970" w14:textId="66602706" w:rsidR="004767FC" w:rsidRPr="00FC6116" w:rsidRDefault="000133E8" w:rsidP="00FC6116">
      <w:pPr>
        <w:pStyle w:val="Puesto"/>
        <w:rPr>
          <w:rFonts w:cs="Tahoma"/>
          <w:bCs/>
          <w:szCs w:val="22"/>
          <w:u w:val="single"/>
        </w:rPr>
      </w:pPr>
      <w:r w:rsidRPr="00FC6116">
        <w:t>El Tribunal contará además con unidades administrativas, así como con el personal profesional, administrativo y técnico necesario para el desempeño de sus funciones, de conformidad con las disposiciones jurídicas aplicables.</w:t>
      </w:r>
    </w:p>
    <w:p w14:paraId="66EB4C5C" w14:textId="77777777" w:rsidR="004767FC" w:rsidRPr="00FC6116" w:rsidRDefault="004767FC" w:rsidP="00FC6116">
      <w:pPr>
        <w:pStyle w:val="Prrafodelista"/>
        <w:ind w:left="0" w:right="-93"/>
        <w:rPr>
          <w:rFonts w:cs="Tahoma"/>
          <w:bCs/>
          <w:szCs w:val="22"/>
          <w:u w:val="single"/>
        </w:rPr>
      </w:pPr>
    </w:p>
    <w:p w14:paraId="1C8A705D" w14:textId="7F1F553F" w:rsidR="007E5095" w:rsidRPr="00FC6116" w:rsidRDefault="007E5095" w:rsidP="00FC6116">
      <w:pPr>
        <w:pStyle w:val="Prrafodelista"/>
        <w:ind w:left="0" w:right="-93"/>
        <w:rPr>
          <w:rFonts w:cs="Tahoma"/>
          <w:bCs/>
          <w:szCs w:val="22"/>
        </w:rPr>
      </w:pPr>
      <w:r w:rsidRPr="00FC6116">
        <w:rPr>
          <w:rFonts w:cs="Tahoma"/>
          <w:bCs/>
          <w:szCs w:val="22"/>
        </w:rPr>
        <w:t xml:space="preserve">Además, de acuerdo al organigrama del </w:t>
      </w:r>
      <w:r w:rsidRPr="00FC6116">
        <w:rPr>
          <w:rFonts w:eastAsia="Calibri" w:cs="Tahoma"/>
          <w:szCs w:val="22"/>
          <w:lang w:eastAsia="en-US"/>
        </w:rPr>
        <w:t>Tribunal de Justicia Administrativa del Estado de México, también se puede apreciar que este se compone de diversas salas regionales y especializadas como se puede advertir a continuación:</w:t>
      </w:r>
    </w:p>
    <w:p w14:paraId="06056480" w14:textId="77777777" w:rsidR="007E5095" w:rsidRPr="00FC6116" w:rsidRDefault="007E5095" w:rsidP="00FC6116">
      <w:pPr>
        <w:pStyle w:val="Prrafodelista"/>
        <w:ind w:left="0" w:right="-93"/>
        <w:rPr>
          <w:rFonts w:cs="Tahoma"/>
          <w:bCs/>
          <w:szCs w:val="22"/>
        </w:rPr>
      </w:pPr>
    </w:p>
    <w:p w14:paraId="3A4263D9" w14:textId="0BE6BF1B" w:rsidR="00D620C4" w:rsidRPr="00FC6116" w:rsidRDefault="00D620C4" w:rsidP="00FC6116">
      <w:pPr>
        <w:pStyle w:val="Prrafodelista"/>
        <w:ind w:left="0" w:right="-93"/>
        <w:rPr>
          <w:rFonts w:cs="Tahoma"/>
          <w:bCs/>
          <w:szCs w:val="22"/>
        </w:rPr>
      </w:pPr>
    </w:p>
    <w:p w14:paraId="3232C859" w14:textId="1F2D89C3" w:rsidR="00D620C4" w:rsidRPr="00FC6116" w:rsidRDefault="00073D42" w:rsidP="00FC6116">
      <w:pPr>
        <w:pStyle w:val="Prrafodelista"/>
        <w:ind w:left="0" w:right="-93"/>
        <w:jc w:val="center"/>
        <w:rPr>
          <w:rFonts w:cs="Tahoma"/>
          <w:bCs/>
          <w:szCs w:val="22"/>
        </w:rPr>
      </w:pPr>
      <w:r w:rsidRPr="00FC6116">
        <w:rPr>
          <w:rFonts w:cs="Tahoma"/>
          <w:bCs/>
          <w:noProof/>
          <w:szCs w:val="22"/>
          <w:lang w:eastAsia="es-MX"/>
        </w:rPr>
        <w:drawing>
          <wp:inline distT="0" distB="0" distL="0" distR="0" wp14:anchorId="310ABAFC" wp14:editId="37736A3A">
            <wp:extent cx="5741670" cy="3219041"/>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4208" cy="3231677"/>
                    </a:xfrm>
                    <a:prstGeom prst="rect">
                      <a:avLst/>
                    </a:prstGeom>
                  </pic:spPr>
                </pic:pic>
              </a:graphicData>
            </a:graphic>
          </wp:inline>
        </w:drawing>
      </w:r>
    </w:p>
    <w:p w14:paraId="4B49E78D" w14:textId="77777777" w:rsidR="00D620C4" w:rsidRPr="00FC6116" w:rsidRDefault="00D620C4" w:rsidP="00FC6116">
      <w:pPr>
        <w:pStyle w:val="Prrafodelista"/>
        <w:ind w:right="-93"/>
        <w:rPr>
          <w:rFonts w:cs="Tahoma"/>
          <w:bCs/>
          <w:szCs w:val="22"/>
        </w:rPr>
      </w:pPr>
    </w:p>
    <w:p w14:paraId="072C69CE" w14:textId="311192D4" w:rsidR="003B4623" w:rsidRPr="00FC6116" w:rsidRDefault="00C36C10" w:rsidP="00FC6116">
      <w:pPr>
        <w:rPr>
          <w:rFonts w:eastAsia="Palatino Linotype" w:cs="Palatino Linotype"/>
          <w:szCs w:val="22"/>
        </w:rPr>
      </w:pPr>
      <w:r w:rsidRPr="00FC6116">
        <w:rPr>
          <w:rFonts w:eastAsia="Palatino Linotype" w:cs="Palatino Linotype"/>
          <w:szCs w:val="22"/>
        </w:rPr>
        <w:lastRenderedPageBreak/>
        <w:t xml:space="preserve">En virtud de todo lo anteriormente expuesto, </w:t>
      </w:r>
      <w:r w:rsidR="001F2859" w:rsidRPr="00FC6116">
        <w:rPr>
          <w:rFonts w:eastAsia="Palatino Linotype" w:cs="Palatino Linotype"/>
          <w:szCs w:val="22"/>
        </w:rPr>
        <w:t xml:space="preserve">este </w:t>
      </w:r>
      <w:r w:rsidR="000902C7" w:rsidRPr="00FC6116">
        <w:rPr>
          <w:rFonts w:eastAsia="Palatino Linotype" w:cs="Palatino Linotype"/>
          <w:szCs w:val="22"/>
        </w:rPr>
        <w:t xml:space="preserve">Órgano Garante </w:t>
      </w:r>
      <w:r w:rsidR="001F2859" w:rsidRPr="00FC6116">
        <w:rPr>
          <w:rFonts w:eastAsia="Palatino Linotype" w:cs="Palatino Linotype"/>
          <w:szCs w:val="22"/>
        </w:rPr>
        <w:t xml:space="preserve">considera que el </w:t>
      </w:r>
      <w:r w:rsidR="001F2859" w:rsidRPr="00FC6116">
        <w:rPr>
          <w:rFonts w:eastAsia="Calibri" w:cs="Tahoma"/>
          <w:szCs w:val="22"/>
          <w:lang w:eastAsia="en-US"/>
        </w:rPr>
        <w:t xml:space="preserve">Tribunal de Justicia Administrativa del Estado de México como </w:t>
      </w:r>
      <w:r w:rsidR="001F2859" w:rsidRPr="00FC6116">
        <w:rPr>
          <w:rFonts w:eastAsia="Calibri" w:cs="Tahoma"/>
          <w:b/>
          <w:szCs w:val="22"/>
          <w:lang w:eastAsia="en-US"/>
        </w:rPr>
        <w:t>SUJETO OBLIGADO</w:t>
      </w:r>
      <w:r w:rsidR="001F2859" w:rsidRPr="00FC6116">
        <w:rPr>
          <w:rFonts w:eastAsia="Calibri" w:cs="Tahoma"/>
          <w:szCs w:val="22"/>
          <w:lang w:eastAsia="en-US"/>
        </w:rPr>
        <w:t xml:space="preserve"> actuó apegado a la norma al haber solicitado que </w:t>
      </w:r>
      <w:r w:rsidR="000902C7" w:rsidRPr="00FC6116">
        <w:rPr>
          <w:rFonts w:eastAsia="Calibri" w:cs="Tahoma"/>
          <w:b/>
          <w:szCs w:val="22"/>
          <w:lang w:eastAsia="en-US"/>
        </w:rPr>
        <w:t xml:space="preserve">LA PARTE </w:t>
      </w:r>
      <w:r w:rsidR="001F2859" w:rsidRPr="00FC6116">
        <w:rPr>
          <w:rFonts w:eastAsia="Calibri" w:cs="Tahoma"/>
          <w:b/>
          <w:szCs w:val="22"/>
          <w:lang w:eastAsia="en-US"/>
        </w:rPr>
        <w:t>RECURRENTE</w:t>
      </w:r>
      <w:r w:rsidR="001F2859" w:rsidRPr="00FC6116">
        <w:rPr>
          <w:rFonts w:eastAsia="Calibri" w:cs="Tahoma"/>
          <w:szCs w:val="22"/>
          <w:lang w:eastAsia="en-US"/>
        </w:rPr>
        <w:t xml:space="preserve"> realizará la aclaración atinente a que se le proporcionara la Sala en la que se lleva o llevó a cabo el procedimiento administrativo del cual se quiere obtener las sentencias de los juicios administrativos </w:t>
      </w:r>
      <w:r w:rsidR="000902C7" w:rsidRPr="00FC6116">
        <w:rPr>
          <w:szCs w:val="22"/>
        </w:rPr>
        <w:t>152/2023 y 294/2023 de la persona precisada en la solicitud</w:t>
      </w:r>
      <w:r w:rsidR="00F24393" w:rsidRPr="00FC6116">
        <w:rPr>
          <w:szCs w:val="22"/>
        </w:rPr>
        <w:t xml:space="preserve">, pues como se advierte del estudio realizado el número de estos juicios arroja diversos procedimientos, que a su vez encuentran tramitados en diversas salas; y no obstante lo anterior, </w:t>
      </w:r>
      <w:r w:rsidR="000902C7" w:rsidRPr="00FC6116">
        <w:rPr>
          <w:b/>
          <w:szCs w:val="22"/>
        </w:rPr>
        <w:t>EL SUJETO OBLIGADO</w:t>
      </w:r>
      <w:r w:rsidR="00F24393" w:rsidRPr="00FC6116">
        <w:rPr>
          <w:szCs w:val="22"/>
        </w:rPr>
        <w:t xml:space="preserve"> realizó la orientación pertinente para que </w:t>
      </w:r>
      <w:r w:rsidR="000902C7" w:rsidRPr="00FC6116">
        <w:rPr>
          <w:b/>
          <w:szCs w:val="22"/>
        </w:rPr>
        <w:t>LA PARTE</w:t>
      </w:r>
      <w:r w:rsidR="00F24393" w:rsidRPr="00FC6116">
        <w:rPr>
          <w:szCs w:val="22"/>
        </w:rPr>
        <w:t xml:space="preserve"> </w:t>
      </w:r>
      <w:r w:rsidR="00F24393" w:rsidRPr="00FC6116">
        <w:rPr>
          <w:b/>
          <w:szCs w:val="22"/>
        </w:rPr>
        <w:t>RECUIRRENTE</w:t>
      </w:r>
      <w:r w:rsidR="00F24393" w:rsidRPr="00FC6116">
        <w:rPr>
          <w:szCs w:val="22"/>
        </w:rPr>
        <w:t xml:space="preserve"> pudiera obtener </w:t>
      </w:r>
      <w:r w:rsidR="003B4623" w:rsidRPr="00FC6116">
        <w:rPr>
          <w:szCs w:val="22"/>
        </w:rPr>
        <w:t xml:space="preserve">la información solicitada, ello atendiendo a lo estipulado en el </w:t>
      </w:r>
      <w:r w:rsidR="003B4623" w:rsidRPr="00FC6116">
        <w:rPr>
          <w:rFonts w:eastAsia="Palatino Linotype" w:cs="Palatino Linotype"/>
          <w:szCs w:val="22"/>
        </w:rPr>
        <w:t>artículo 161</w:t>
      </w:r>
      <w:r w:rsidR="003B4623" w:rsidRPr="00FC6116">
        <w:rPr>
          <w:rFonts w:eastAsia="Palatino Linotype" w:cs="Palatino Linotype"/>
          <w:szCs w:val="22"/>
          <w:vertAlign w:val="superscript"/>
        </w:rPr>
        <w:footnoteReference w:id="1"/>
      </w:r>
      <w:r w:rsidR="003B4623" w:rsidRPr="00FC6116">
        <w:rPr>
          <w:rFonts w:eastAsia="Palatino Linotype" w:cs="Palatino Linotype"/>
          <w:szCs w:val="22"/>
        </w:rPr>
        <w:t xml:space="preserve"> de la Ley de Transparencia y Acceso a la Información Pública del Estado de México y Municipios</w:t>
      </w:r>
      <w:r w:rsidR="003B4623" w:rsidRPr="00FC6116">
        <w:rPr>
          <w:rFonts w:eastAsia="Palatino Linotype" w:cs="Palatino Linotype"/>
          <w:i/>
          <w:szCs w:val="22"/>
        </w:rPr>
        <w:t xml:space="preserve">, </w:t>
      </w:r>
      <w:r w:rsidR="003B4623" w:rsidRPr="00FC6116">
        <w:rPr>
          <w:rFonts w:eastAsia="Palatino Linotype" w:cs="Palatino Linotype"/>
          <w:szCs w:val="22"/>
        </w:rPr>
        <w:t>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4DE3C852" w14:textId="77777777" w:rsidR="003B4623" w:rsidRPr="00FC6116" w:rsidRDefault="003B4623" w:rsidP="00FC6116">
      <w:pPr>
        <w:spacing w:before="120" w:after="120" w:line="276" w:lineRule="auto"/>
        <w:ind w:left="284" w:right="51"/>
        <w:rPr>
          <w:rFonts w:eastAsia="Palatino Linotype" w:cs="Palatino Linotype"/>
          <w:szCs w:val="22"/>
        </w:rPr>
      </w:pPr>
      <w:r w:rsidRPr="00FC6116">
        <w:rPr>
          <w:rFonts w:eastAsia="Palatino Linotype" w:cs="Palatino Linotype"/>
          <w:szCs w:val="22"/>
        </w:rPr>
        <w:t>a) La fuente</w:t>
      </w:r>
    </w:p>
    <w:p w14:paraId="3688CC61" w14:textId="77777777" w:rsidR="003B4623" w:rsidRPr="00FC6116" w:rsidRDefault="003B4623" w:rsidP="00FC6116">
      <w:pPr>
        <w:spacing w:before="120" w:after="120" w:line="276" w:lineRule="auto"/>
        <w:ind w:left="284" w:right="51"/>
        <w:rPr>
          <w:rFonts w:eastAsia="Palatino Linotype" w:cs="Palatino Linotype"/>
          <w:szCs w:val="22"/>
        </w:rPr>
      </w:pPr>
      <w:r w:rsidRPr="00FC6116">
        <w:rPr>
          <w:rFonts w:eastAsia="Palatino Linotype" w:cs="Palatino Linotype"/>
          <w:szCs w:val="22"/>
        </w:rPr>
        <w:t>b) El lugar y</w:t>
      </w:r>
    </w:p>
    <w:p w14:paraId="39156FDE" w14:textId="77777777" w:rsidR="003B4623" w:rsidRPr="00FC6116" w:rsidRDefault="003B4623" w:rsidP="00FC6116">
      <w:pPr>
        <w:spacing w:before="120" w:after="120" w:line="276" w:lineRule="auto"/>
        <w:ind w:left="284" w:right="51"/>
        <w:rPr>
          <w:rFonts w:eastAsia="Palatino Linotype" w:cs="Palatino Linotype"/>
          <w:szCs w:val="22"/>
        </w:rPr>
      </w:pPr>
      <w:r w:rsidRPr="00FC6116">
        <w:rPr>
          <w:rFonts w:eastAsia="Palatino Linotype" w:cs="Palatino Linotype"/>
          <w:szCs w:val="22"/>
        </w:rPr>
        <w:t>c) La forma</w:t>
      </w:r>
    </w:p>
    <w:p w14:paraId="06716E32" w14:textId="77777777" w:rsidR="003B4623" w:rsidRPr="00FC6116" w:rsidRDefault="003B4623" w:rsidP="00FC6116">
      <w:pPr>
        <w:spacing w:before="240" w:after="240"/>
        <w:ind w:right="49"/>
        <w:rPr>
          <w:rFonts w:eastAsia="Palatino Linotype" w:cs="Palatino Linotype"/>
          <w:szCs w:val="22"/>
        </w:rPr>
      </w:pPr>
      <w:r w:rsidRPr="00FC6116">
        <w:rPr>
          <w:rFonts w:eastAsia="Palatino Linotype" w:cs="Palatino Linotype"/>
          <w:szCs w:val="22"/>
        </w:rPr>
        <w:t>Asimismo, se establece que la fuente de la información deberá ser:</w:t>
      </w:r>
    </w:p>
    <w:p w14:paraId="489D1FC6" w14:textId="77777777" w:rsidR="003B4623" w:rsidRPr="00FC6116" w:rsidRDefault="003B4623" w:rsidP="00FC6116">
      <w:pPr>
        <w:spacing w:before="120" w:after="120" w:line="276" w:lineRule="auto"/>
        <w:ind w:left="284" w:right="51"/>
        <w:rPr>
          <w:rFonts w:eastAsia="Palatino Linotype" w:cs="Palatino Linotype"/>
          <w:szCs w:val="22"/>
        </w:rPr>
      </w:pPr>
      <w:r w:rsidRPr="00FC6116">
        <w:rPr>
          <w:rFonts w:eastAsia="Palatino Linotype" w:cs="Palatino Linotype"/>
          <w:szCs w:val="22"/>
        </w:rPr>
        <w:lastRenderedPageBreak/>
        <w:t>a) Precisa</w:t>
      </w:r>
    </w:p>
    <w:p w14:paraId="4ED8BDD4" w14:textId="77777777" w:rsidR="003B4623" w:rsidRPr="00FC6116" w:rsidRDefault="003B4623" w:rsidP="00FC6116">
      <w:pPr>
        <w:spacing w:before="120" w:after="120" w:line="276" w:lineRule="auto"/>
        <w:ind w:left="284" w:right="51"/>
        <w:rPr>
          <w:rFonts w:eastAsia="Palatino Linotype" w:cs="Palatino Linotype"/>
          <w:szCs w:val="22"/>
        </w:rPr>
      </w:pPr>
      <w:r w:rsidRPr="00FC6116">
        <w:rPr>
          <w:rFonts w:eastAsia="Palatino Linotype" w:cs="Palatino Linotype"/>
          <w:szCs w:val="22"/>
        </w:rPr>
        <w:t>b) Concreta</w:t>
      </w:r>
    </w:p>
    <w:p w14:paraId="6BF7521E" w14:textId="77777777" w:rsidR="003B4623" w:rsidRPr="00FC6116" w:rsidRDefault="003B4623" w:rsidP="00FC6116">
      <w:pPr>
        <w:spacing w:before="120" w:after="120" w:line="276" w:lineRule="auto"/>
        <w:ind w:left="284" w:right="51"/>
        <w:rPr>
          <w:rFonts w:eastAsia="Palatino Linotype" w:cs="Palatino Linotype"/>
          <w:szCs w:val="22"/>
        </w:rPr>
      </w:pPr>
      <w:r w:rsidRPr="00FC6116">
        <w:rPr>
          <w:rFonts w:eastAsia="Palatino Linotype" w:cs="Palatino Linotype"/>
          <w:szCs w:val="22"/>
        </w:rPr>
        <w:t>c) Y no debe implicar que el solicitante realice una búsqueda en toda la información que se encuentre disponible.</w:t>
      </w:r>
    </w:p>
    <w:p w14:paraId="0A163C84" w14:textId="77777777" w:rsidR="003B4623" w:rsidRPr="00FC6116" w:rsidRDefault="003B4623" w:rsidP="00FC6116">
      <w:pPr>
        <w:spacing w:before="240" w:after="240"/>
        <w:ind w:right="49"/>
        <w:rPr>
          <w:rFonts w:eastAsia="Palatino Linotype" w:cs="Palatino Linotype"/>
          <w:szCs w:val="22"/>
        </w:rPr>
      </w:pPr>
      <w:r w:rsidRPr="00FC6116">
        <w:rPr>
          <w:rFonts w:eastAsia="Palatino Linotype" w:cs="Palatino Linotype"/>
          <w:szCs w:val="22"/>
        </w:rPr>
        <w:t>Imperativos legales que establecen el procedimiento que deben seguir los Sujetos Obligados para que pueda tomarse como válida su orientación sobre la forma en que puede consultar la información requerida.</w:t>
      </w:r>
    </w:p>
    <w:p w14:paraId="17E76252" w14:textId="56C9D9A0" w:rsidR="00C36C10" w:rsidRPr="00FC6116" w:rsidRDefault="003B4623" w:rsidP="00FC6116">
      <w:pPr>
        <w:rPr>
          <w:rFonts w:eastAsia="Palatino Linotype" w:cs="Palatino Linotype"/>
        </w:rPr>
      </w:pPr>
      <w:r w:rsidRPr="00FC6116">
        <w:rPr>
          <w:rFonts w:eastAsia="Palatino Linotype" w:cs="Palatino Linotype"/>
        </w:rPr>
        <w:t xml:space="preserve">Por todo lo anterior </w:t>
      </w:r>
      <w:r w:rsidR="00C36C10" w:rsidRPr="00FC6116">
        <w:rPr>
          <w:rFonts w:eastAsia="Palatino Linotype" w:cs="Palatino Linotype"/>
        </w:rPr>
        <w:t xml:space="preserve">este Órgano Garante advierte que en el presente caso se actualiza la causal de </w:t>
      </w:r>
      <w:r w:rsidR="00C36C10" w:rsidRPr="00FC6116">
        <w:rPr>
          <w:rFonts w:eastAsia="Palatino Linotype" w:cs="Palatino Linotype"/>
          <w:b/>
        </w:rPr>
        <w:t>sobreseimiento</w:t>
      </w:r>
      <w:r w:rsidR="00C36C10" w:rsidRPr="00FC6116">
        <w:rPr>
          <w:rFonts w:eastAsia="Palatino Linotype" w:cs="Palatino Linotype"/>
        </w:rPr>
        <w:t xml:space="preserve"> pues en vía de informe justificado entregó el pronunciamiento reseñado colmando así la pretensión del </w:t>
      </w:r>
      <w:r w:rsidR="00C36C10" w:rsidRPr="00FC6116">
        <w:rPr>
          <w:rFonts w:eastAsia="Palatino Linotype" w:cs="Palatino Linotype"/>
          <w:b/>
        </w:rPr>
        <w:t>RECURRENTE</w:t>
      </w:r>
      <w:r w:rsidR="00C36C10" w:rsidRPr="00FC6116">
        <w:rPr>
          <w:rFonts w:eastAsia="Palatino Linotype" w:cs="Palatino Linotype"/>
        </w:rPr>
        <w:t xml:space="preserve">; por ello se considera que se actualiza la fracción III del artículo 192 de la Ley de Transparencia y Acceso a la Información Pública del Estado de México y Municipios, que a la letra dice: </w:t>
      </w:r>
    </w:p>
    <w:p w14:paraId="22B39A87" w14:textId="77777777" w:rsidR="00C36C10" w:rsidRPr="00FC6116" w:rsidRDefault="00C36C10" w:rsidP="00FC6116">
      <w:pPr>
        <w:rPr>
          <w:rFonts w:eastAsia="Palatino Linotype" w:cs="Palatino Linotype"/>
        </w:rPr>
      </w:pPr>
    </w:p>
    <w:p w14:paraId="5F3BE7BF" w14:textId="77777777" w:rsidR="00C36C10" w:rsidRPr="00FC6116" w:rsidRDefault="00C36C10" w:rsidP="00FC6116">
      <w:pPr>
        <w:pStyle w:val="Puesto"/>
        <w:rPr>
          <w:rFonts w:eastAsia="Palatino Linotype"/>
        </w:rPr>
      </w:pPr>
      <w:r w:rsidRPr="00FC6116">
        <w:rPr>
          <w:rFonts w:eastAsia="Palatino Linotype"/>
        </w:rPr>
        <w:t>“</w:t>
      </w:r>
      <w:r w:rsidRPr="00FC6116">
        <w:rPr>
          <w:rFonts w:eastAsia="Palatino Linotype"/>
          <w:b/>
        </w:rPr>
        <w:t xml:space="preserve">Artículo 192. </w:t>
      </w:r>
      <w:r w:rsidRPr="00FC6116">
        <w:rPr>
          <w:rFonts w:eastAsia="Palatino Linotype"/>
        </w:rPr>
        <w:t>El recurso será sobreseído, en todo o en parte, cuando una vez admitido, se actualicen alguno de los siguientes supuestos:</w:t>
      </w:r>
    </w:p>
    <w:p w14:paraId="18368383" w14:textId="77777777" w:rsidR="00C36C10" w:rsidRPr="00FC6116" w:rsidRDefault="00C36C10" w:rsidP="00FC6116">
      <w:pPr>
        <w:pStyle w:val="Puesto"/>
        <w:rPr>
          <w:rFonts w:eastAsia="Palatino Linotype"/>
        </w:rPr>
      </w:pPr>
      <w:r w:rsidRPr="00FC6116">
        <w:rPr>
          <w:rFonts w:eastAsia="Palatino Linotype"/>
        </w:rPr>
        <w:t>(…)</w:t>
      </w:r>
    </w:p>
    <w:p w14:paraId="7E5FF0C8" w14:textId="77777777" w:rsidR="00C36C10" w:rsidRPr="00FC6116" w:rsidRDefault="00C36C10" w:rsidP="00FC6116">
      <w:pPr>
        <w:pStyle w:val="Puesto"/>
        <w:rPr>
          <w:rFonts w:eastAsia="Palatino Linotype"/>
        </w:rPr>
      </w:pPr>
      <w:r w:rsidRPr="00FC6116">
        <w:rPr>
          <w:rFonts w:eastAsia="Palatino Linotype"/>
          <w:b/>
        </w:rPr>
        <w:t>III.</w:t>
      </w:r>
      <w:r w:rsidRPr="00FC6116">
        <w:rPr>
          <w:rFonts w:eastAsia="Palatino Linotype"/>
        </w:rPr>
        <w:t xml:space="preserve"> El sujeto obligado responsable del acto lo modifique o revoque de tal manera que el Recurso de Revisión quede sin materia; </w:t>
      </w:r>
    </w:p>
    <w:p w14:paraId="41A531B3" w14:textId="77777777" w:rsidR="00C36C10" w:rsidRPr="00FC6116" w:rsidRDefault="00C36C10" w:rsidP="00FC6116">
      <w:pPr>
        <w:pStyle w:val="Puesto"/>
        <w:rPr>
          <w:rFonts w:eastAsia="Palatino Linotype"/>
        </w:rPr>
      </w:pPr>
      <w:r w:rsidRPr="00FC6116">
        <w:rPr>
          <w:rFonts w:eastAsia="Palatino Linotype"/>
        </w:rPr>
        <w:t>(Énfasis añadido)</w:t>
      </w:r>
    </w:p>
    <w:p w14:paraId="79708268" w14:textId="77777777" w:rsidR="00C36C10" w:rsidRPr="00FC6116" w:rsidRDefault="00C36C10" w:rsidP="00FC6116">
      <w:pPr>
        <w:ind w:left="851" w:right="901"/>
        <w:rPr>
          <w:rFonts w:eastAsia="Palatino Linotype" w:cs="Palatino Linotype"/>
          <w:sz w:val="18"/>
          <w:szCs w:val="18"/>
        </w:rPr>
      </w:pPr>
    </w:p>
    <w:p w14:paraId="6C47BC93" w14:textId="77777777" w:rsidR="00C36C10" w:rsidRPr="00FC6116" w:rsidRDefault="00C36C10" w:rsidP="00FC6116">
      <w:pPr>
        <w:rPr>
          <w:rFonts w:eastAsia="Palatino Linotype" w:cs="Palatino Linotype"/>
        </w:rPr>
      </w:pPr>
      <w:r w:rsidRPr="00FC6116">
        <w:rPr>
          <w:rFonts w:eastAsia="Palatino Linotype" w:cs="Palatino Linotype"/>
        </w:rPr>
        <w:t>Por analogía, se cita la Tesis emitida por el Séptimo Tribunal Colegiado en Materia Civil del Primer Circuito que en su literalidad, establece lo siguiente:</w:t>
      </w:r>
    </w:p>
    <w:p w14:paraId="171A49B8" w14:textId="77777777" w:rsidR="00C36C10" w:rsidRPr="00FC6116" w:rsidRDefault="00C36C10" w:rsidP="00FC6116">
      <w:pPr>
        <w:ind w:right="992"/>
        <w:rPr>
          <w:rFonts w:eastAsia="Palatino Linotype" w:cs="Palatino Linotype"/>
        </w:rPr>
      </w:pPr>
    </w:p>
    <w:p w14:paraId="76646716" w14:textId="2BACE5E6" w:rsidR="00C36C10" w:rsidRPr="00FC6116" w:rsidRDefault="00C36C10" w:rsidP="00FC6116">
      <w:pPr>
        <w:pStyle w:val="Puesto"/>
        <w:rPr>
          <w:rFonts w:eastAsia="Palatino Linotype"/>
        </w:rPr>
      </w:pPr>
      <w:r w:rsidRPr="00FC6116">
        <w:rPr>
          <w:rFonts w:eastAsia="Palatino Linotype"/>
        </w:rPr>
        <w:t xml:space="preserve">“SOBRESEIMIENTO EN EL JUICIO DE AMPARO DIRECTO. IMPIDE EL ESTUDIO DE LAS VIOLACIONES PROCESALES PLANTEADAS EN LOS CONCEPTOS DE VIOLACIÓN. El sobreseimiento en el juicio de amparo directo provoca la terminación de la controversia planteada por el quejoso en la demanda de amparo, sin </w:t>
      </w:r>
      <w:r w:rsidRPr="00FC6116">
        <w:rPr>
          <w:rFonts w:eastAsia="Palatino Linotype"/>
        </w:rPr>
        <w:lastRenderedPageBreak/>
        <w:t>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00277D99" w:rsidRPr="00FC6116">
        <w:rPr>
          <w:rFonts w:eastAsia="Palatino Linotype"/>
        </w:rPr>
        <w:t xml:space="preserve">.” </w:t>
      </w:r>
    </w:p>
    <w:p w14:paraId="4B6B36A4" w14:textId="77777777" w:rsidR="00277D99" w:rsidRPr="00FC6116" w:rsidRDefault="00277D99" w:rsidP="00FC6116">
      <w:pPr>
        <w:rPr>
          <w:rFonts w:eastAsia="Palatino Linotype"/>
        </w:rPr>
      </w:pPr>
    </w:p>
    <w:p w14:paraId="04D3BACC" w14:textId="77777777" w:rsidR="00C36C10" w:rsidRPr="00FC6116" w:rsidRDefault="00C36C10" w:rsidP="00FC6116">
      <w:pPr>
        <w:widowControl w:val="0"/>
        <w:rPr>
          <w:rFonts w:eastAsia="Palatino Linotype" w:cs="Palatino Linotype"/>
        </w:rPr>
      </w:pPr>
      <w:r w:rsidRPr="00FC6116">
        <w:rPr>
          <w:rFonts w:eastAsia="Palatino Linotype" w:cs="Palatino Linotype"/>
        </w:rPr>
        <w:t xml:space="preserve">En consecuencia, se determina </w:t>
      </w:r>
      <w:r w:rsidRPr="00FC6116">
        <w:rPr>
          <w:rFonts w:eastAsia="Palatino Linotype" w:cs="Palatino Linotype"/>
          <w:b/>
        </w:rPr>
        <w:t>SOBRESEER</w:t>
      </w:r>
      <w:r w:rsidRPr="00FC6116">
        <w:rPr>
          <w:rFonts w:eastAsia="Palatino Linotype" w:cs="Palatino Linotype"/>
        </w:rPr>
        <w:t xml:space="preserve"> el presente Recurso de Revisión, en términos del artículo 186, fracción I, de la Ley de Transparencia y Acceso a la Información Pública del Estado de México y Municipios:</w:t>
      </w:r>
    </w:p>
    <w:p w14:paraId="49B1C4B4" w14:textId="77777777" w:rsidR="00C36C10" w:rsidRPr="00FC6116" w:rsidRDefault="00C36C10" w:rsidP="00FC6116">
      <w:pPr>
        <w:widowControl w:val="0"/>
        <w:rPr>
          <w:rFonts w:eastAsia="Palatino Linotype" w:cs="Palatino Linotype"/>
        </w:rPr>
      </w:pPr>
    </w:p>
    <w:p w14:paraId="43D407C1" w14:textId="77777777" w:rsidR="00C36C10" w:rsidRPr="00FC6116" w:rsidRDefault="00C36C10" w:rsidP="00FC6116">
      <w:pPr>
        <w:pStyle w:val="Puesto"/>
        <w:rPr>
          <w:rFonts w:eastAsia="Palatino Linotype"/>
        </w:rPr>
      </w:pPr>
      <w:r w:rsidRPr="00FC6116">
        <w:rPr>
          <w:rFonts w:eastAsia="Palatino Linotype"/>
        </w:rPr>
        <w:t>“</w:t>
      </w:r>
      <w:r w:rsidRPr="00FC6116">
        <w:rPr>
          <w:rFonts w:eastAsia="Palatino Linotype"/>
          <w:b/>
        </w:rPr>
        <w:t>Artículo 186. Las resoluciones del Instituto podrán</w:t>
      </w:r>
      <w:r w:rsidRPr="00FC6116">
        <w:rPr>
          <w:rFonts w:eastAsia="Palatino Linotype"/>
        </w:rPr>
        <w:t xml:space="preserve">: </w:t>
      </w:r>
    </w:p>
    <w:p w14:paraId="383A5333" w14:textId="77777777" w:rsidR="00C36C10" w:rsidRPr="00FC6116" w:rsidRDefault="00C36C10" w:rsidP="00FC6116">
      <w:pPr>
        <w:pStyle w:val="Puesto"/>
        <w:rPr>
          <w:rFonts w:eastAsia="Palatino Linotype"/>
        </w:rPr>
      </w:pPr>
      <w:r w:rsidRPr="00FC6116">
        <w:rPr>
          <w:rFonts w:eastAsia="Palatino Linotype"/>
        </w:rPr>
        <w:t xml:space="preserve">I. Desechar o </w:t>
      </w:r>
      <w:r w:rsidRPr="00FC6116">
        <w:rPr>
          <w:rFonts w:eastAsia="Palatino Linotype"/>
          <w:b/>
        </w:rPr>
        <w:t>sobreseer el recurso</w:t>
      </w:r>
      <w:r w:rsidRPr="00FC6116">
        <w:rPr>
          <w:rFonts w:eastAsia="Palatino Linotype"/>
        </w:rPr>
        <w:t xml:space="preserve">;” </w:t>
      </w:r>
    </w:p>
    <w:p w14:paraId="3096AE6F" w14:textId="77777777" w:rsidR="00C36C10" w:rsidRPr="00FC6116" w:rsidRDefault="00C36C10" w:rsidP="00FC6116">
      <w:pPr>
        <w:pStyle w:val="Puesto"/>
        <w:rPr>
          <w:rFonts w:eastAsia="Palatino Linotype"/>
        </w:rPr>
      </w:pPr>
      <w:r w:rsidRPr="00FC6116">
        <w:rPr>
          <w:rFonts w:eastAsia="Palatino Linotype"/>
        </w:rPr>
        <w:t>(Énfasis añadido)</w:t>
      </w:r>
    </w:p>
    <w:p w14:paraId="1FAEA92D" w14:textId="77777777" w:rsidR="00C36C10" w:rsidRPr="00FC6116" w:rsidRDefault="00C36C10" w:rsidP="00FC6116">
      <w:pPr>
        <w:tabs>
          <w:tab w:val="left" w:pos="851"/>
        </w:tabs>
        <w:ind w:right="901"/>
        <w:rPr>
          <w:rFonts w:eastAsia="Palatino Linotype" w:cs="Palatino Linotype"/>
          <w:szCs w:val="22"/>
        </w:rPr>
      </w:pPr>
    </w:p>
    <w:p w14:paraId="0A9CD674" w14:textId="77777777" w:rsidR="00C36C10" w:rsidRPr="00FC6116" w:rsidRDefault="00C36C10" w:rsidP="00FC6116">
      <w:pPr>
        <w:rPr>
          <w:rFonts w:eastAsia="Palatino Linotype" w:cs="Palatino Linotype"/>
        </w:rPr>
      </w:pPr>
      <w:r w:rsidRPr="00FC6116">
        <w:rPr>
          <w:rFonts w:eastAsia="Palatino Linotype" w:cs="Palatino Linotype"/>
        </w:rPr>
        <w:t xml:space="preserve">Finalmente, no se omite referir que respecto a las documentales remitidas por </w:t>
      </w:r>
      <w:r w:rsidRPr="00FC6116">
        <w:rPr>
          <w:rFonts w:eastAsia="Palatino Linotype" w:cs="Palatino Linotype"/>
          <w:b/>
        </w:rPr>
        <w:t>EL SUJETO OBLIGADO</w:t>
      </w:r>
      <w:r w:rsidRPr="00FC6116">
        <w:rPr>
          <w:rFonts w:eastAsia="Palatino Linotype" w:cs="Palatino Linotype"/>
        </w:rPr>
        <w:t>, este Órgano Garante no se encuentra facultado para pronunciarse acerca de la veracidad de la información.</w:t>
      </w:r>
    </w:p>
    <w:p w14:paraId="3DDBCEF9" w14:textId="77777777" w:rsidR="00C36C10" w:rsidRPr="00FC6116" w:rsidRDefault="00C36C10" w:rsidP="00FC6116">
      <w:pPr>
        <w:rPr>
          <w:rFonts w:eastAsia="Palatino Linotype" w:cs="Palatino Linotype"/>
          <w:sz w:val="20"/>
        </w:rPr>
      </w:pPr>
    </w:p>
    <w:p w14:paraId="349FEE17" w14:textId="77777777" w:rsidR="00C36C10" w:rsidRPr="00FC6116" w:rsidRDefault="00C36C10" w:rsidP="00FC6116">
      <w:pPr>
        <w:rPr>
          <w:rFonts w:eastAsia="Palatino Linotype" w:cs="Palatino Linotype"/>
        </w:rPr>
      </w:pPr>
      <w:r w:rsidRPr="00FC6116">
        <w:rPr>
          <w:rFonts w:eastAsia="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67DB4B4" w14:textId="77777777" w:rsidR="00C36C10" w:rsidRPr="00FC6116" w:rsidRDefault="00C36C10" w:rsidP="00FC6116">
      <w:pPr>
        <w:rPr>
          <w:rFonts w:eastAsia="Palatino Linotype" w:cs="Palatino Linotype"/>
          <w:sz w:val="20"/>
        </w:rPr>
      </w:pPr>
    </w:p>
    <w:p w14:paraId="4F8A611D" w14:textId="77777777" w:rsidR="00C36C10" w:rsidRPr="00FC6116" w:rsidRDefault="00C36C10" w:rsidP="00FC6116">
      <w:pPr>
        <w:pStyle w:val="Puesto"/>
        <w:rPr>
          <w:rFonts w:eastAsia="Palatino Linotype"/>
        </w:rPr>
      </w:pPr>
      <w:r w:rsidRPr="00FC6116">
        <w:rPr>
          <w:rFonts w:eastAsia="Palatino Linotype"/>
        </w:rPr>
        <w:t>“</w:t>
      </w:r>
      <w:r w:rsidRPr="00FC6116">
        <w:rPr>
          <w:rFonts w:eastAsia="Palatino Linotype"/>
          <w:b/>
        </w:rPr>
        <w:t>El</w:t>
      </w:r>
      <w:r w:rsidRPr="00FC6116">
        <w:rPr>
          <w:rFonts w:eastAsia="Palatino Linotype"/>
        </w:rPr>
        <w:t xml:space="preserve"> </w:t>
      </w:r>
      <w:r w:rsidRPr="00FC6116">
        <w:rPr>
          <w:rFonts w:eastAsia="Palatino Linotype"/>
          <w:b/>
        </w:rPr>
        <w:t>Instituto Federal de Acceso a la Información y Protección de Datos no cuenta con facultades para pronunciarse respecto de la veracidad de los documentos proporcionados por los sujetos obligados.</w:t>
      </w:r>
      <w:r w:rsidRPr="00FC6116">
        <w:rPr>
          <w:rFonts w:eastAsia="Palatino Linotype"/>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w:t>
      </w:r>
      <w:r w:rsidRPr="00FC6116">
        <w:rPr>
          <w:rFonts w:eastAsia="Palatino Linotype"/>
        </w:rPr>
        <w:lastRenderedPageBreak/>
        <w:t xml:space="preserve">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0ABC7BF7" w14:textId="77777777" w:rsidR="00C36C10" w:rsidRPr="00FC6116" w:rsidRDefault="00C36C10" w:rsidP="00FC6116">
      <w:pPr>
        <w:pStyle w:val="Puesto"/>
        <w:rPr>
          <w:rFonts w:eastAsia="Palatino Linotype"/>
        </w:rPr>
      </w:pPr>
    </w:p>
    <w:p w14:paraId="7BEC71D1" w14:textId="77777777" w:rsidR="00C36C10" w:rsidRPr="00FC6116" w:rsidRDefault="00C36C10" w:rsidP="00FC6116">
      <w:pPr>
        <w:rPr>
          <w:rFonts w:eastAsia="Palatino Linotype" w:cs="Palatino Linotype"/>
        </w:rPr>
      </w:pPr>
      <w:r w:rsidRPr="00FC6116">
        <w:rPr>
          <w:rFonts w:eastAsia="Palatino Linotype" w:cs="Palatino Linotype"/>
        </w:rPr>
        <w:t xml:space="preserve">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0A3A9633" w14:textId="77777777" w:rsidR="000902C7" w:rsidRPr="00FC6116" w:rsidRDefault="000902C7" w:rsidP="00FC6116">
      <w:pPr>
        <w:rPr>
          <w:rFonts w:eastAsia="Palatino Linotype" w:cs="Palatino Linotype"/>
        </w:rPr>
      </w:pPr>
    </w:p>
    <w:p w14:paraId="39130A9E" w14:textId="77777777" w:rsidR="00C36C10" w:rsidRPr="00FC6116" w:rsidRDefault="00C36C10" w:rsidP="00FC6116">
      <w:pPr>
        <w:jc w:val="center"/>
        <w:rPr>
          <w:rFonts w:eastAsia="Palatino Linotype" w:cs="Palatino Linotype"/>
          <w:b/>
          <w:sz w:val="28"/>
          <w:szCs w:val="28"/>
        </w:rPr>
      </w:pPr>
      <w:r w:rsidRPr="00FC6116">
        <w:rPr>
          <w:rFonts w:eastAsia="Palatino Linotype" w:cs="Palatino Linotype"/>
          <w:b/>
          <w:sz w:val="28"/>
          <w:szCs w:val="28"/>
        </w:rPr>
        <w:t>RESUELVE</w:t>
      </w:r>
    </w:p>
    <w:p w14:paraId="04A0EB70" w14:textId="77777777" w:rsidR="000902C7" w:rsidRPr="00FC6116" w:rsidRDefault="000902C7" w:rsidP="00FC6116">
      <w:pPr>
        <w:jc w:val="center"/>
        <w:rPr>
          <w:rFonts w:eastAsia="Palatino Linotype" w:cs="Palatino Linotype"/>
          <w:b/>
          <w:sz w:val="28"/>
          <w:szCs w:val="28"/>
        </w:rPr>
      </w:pPr>
    </w:p>
    <w:p w14:paraId="3365193B" w14:textId="08C564F1" w:rsidR="00540CA0" w:rsidRPr="00FC6116" w:rsidRDefault="00540CA0" w:rsidP="00FC6116">
      <w:pPr>
        <w:widowControl w:val="0"/>
        <w:rPr>
          <w:rFonts w:cs="Arial"/>
          <w:b/>
        </w:rPr>
      </w:pPr>
      <w:r w:rsidRPr="00FC6116">
        <w:rPr>
          <w:b/>
          <w:bCs/>
        </w:rPr>
        <w:t>PRIMERO</w:t>
      </w:r>
      <w:r w:rsidRPr="00FC6116">
        <w:t xml:space="preserve">. </w:t>
      </w:r>
      <w:r w:rsidRPr="00FC6116">
        <w:rPr>
          <w:rFonts w:cs="Arial"/>
        </w:rPr>
        <w:t xml:space="preserve">Se </w:t>
      </w:r>
      <w:r w:rsidRPr="00FC6116">
        <w:rPr>
          <w:rFonts w:cs="Arial"/>
          <w:b/>
        </w:rPr>
        <w:t>SOBRESEE</w:t>
      </w:r>
      <w:r w:rsidRPr="00FC6116">
        <w:rPr>
          <w:rFonts w:cs="Arial"/>
        </w:rPr>
        <w:t xml:space="preserve"> el Recurso de Revisión número </w:t>
      </w:r>
      <w:r w:rsidRPr="00FC6116">
        <w:rPr>
          <w:rFonts w:cs="Arial"/>
          <w:b/>
        </w:rPr>
        <w:t>04037/INFOEM/IP/RR/2024</w:t>
      </w:r>
      <w:r w:rsidRPr="00FC6116">
        <w:rPr>
          <w:b/>
        </w:rPr>
        <w:t xml:space="preserve"> </w:t>
      </w:r>
      <w:r w:rsidRPr="00FC6116">
        <w:rPr>
          <w:rFonts w:cs="Arial"/>
          <w:lang w:val="es-ES"/>
        </w:rPr>
        <w:t xml:space="preserve">por actualizarse la causal establecida en la fracción III del artículo 192 de la </w:t>
      </w:r>
      <w:r w:rsidRPr="00FC6116">
        <w:rPr>
          <w:lang w:eastAsia="es-ES_tradnl"/>
        </w:rPr>
        <w:t>Ley de Transparencia y Acceso a la Información Pública del Estado de México y Municipios</w:t>
      </w:r>
      <w:r w:rsidRPr="00FC6116">
        <w:rPr>
          <w:rFonts w:cs="Arial"/>
          <w:lang w:val="es-ES"/>
        </w:rPr>
        <w:t xml:space="preserve">, ya que al </w:t>
      </w:r>
      <w:r w:rsidRPr="00FC6116">
        <w:rPr>
          <w:rFonts w:cs="Arial"/>
          <w:b/>
          <w:lang w:val="es-ES"/>
        </w:rPr>
        <w:t>modificar el Sujeto Obligado la respuesta, el Recurso de Revisión quedó sin materia</w:t>
      </w:r>
      <w:r w:rsidRPr="00FC6116">
        <w:rPr>
          <w:rFonts w:cs="Arial"/>
          <w:lang w:val="es-ES"/>
        </w:rPr>
        <w:t xml:space="preserve">, en términos del Considerando </w:t>
      </w:r>
      <w:r w:rsidRPr="00FC6116">
        <w:rPr>
          <w:rFonts w:cs="Arial"/>
          <w:b/>
          <w:lang w:val="es-ES"/>
        </w:rPr>
        <w:t>SEGUNDO</w:t>
      </w:r>
      <w:r w:rsidRPr="00FC6116">
        <w:rPr>
          <w:rFonts w:cs="Arial"/>
          <w:lang w:val="es-ES"/>
        </w:rPr>
        <w:t xml:space="preserve"> de la presente resolución.</w:t>
      </w:r>
    </w:p>
    <w:p w14:paraId="4885B544" w14:textId="77777777" w:rsidR="00540CA0" w:rsidRPr="00FC6116" w:rsidRDefault="00540CA0" w:rsidP="00FC6116">
      <w:pPr>
        <w:widowControl w:val="0"/>
      </w:pPr>
    </w:p>
    <w:p w14:paraId="4C87BA75" w14:textId="1CDAEA7A" w:rsidR="00540CA0" w:rsidRPr="00FC6116" w:rsidRDefault="00540CA0" w:rsidP="00FC6116">
      <w:pPr>
        <w:widowControl w:val="0"/>
      </w:pPr>
      <w:r w:rsidRPr="00FC6116">
        <w:rPr>
          <w:b/>
          <w:bCs/>
        </w:rPr>
        <w:t>SEGUNDO</w:t>
      </w:r>
      <w:r w:rsidRPr="00FC6116">
        <w:t>. Notifíquese vía Sistema de Acceso a la Información Mexiquense (</w:t>
      </w:r>
      <w:r w:rsidRPr="00FC6116">
        <w:rPr>
          <w:b/>
          <w:bCs/>
        </w:rPr>
        <w:t>SAIMEX</w:t>
      </w:r>
      <w:r w:rsidRPr="00FC6116">
        <w:rPr>
          <w:bCs/>
        </w:rPr>
        <w:t>)</w:t>
      </w:r>
      <w:r w:rsidRPr="00FC6116">
        <w:t xml:space="preserve"> a la Titular de la Unidad de Transparencia del </w:t>
      </w:r>
      <w:r w:rsidRPr="00FC6116">
        <w:rPr>
          <w:b/>
          <w:bCs/>
        </w:rPr>
        <w:t>SUJETO</w:t>
      </w:r>
      <w:r w:rsidRPr="00FC6116">
        <w:t xml:space="preserve"> </w:t>
      </w:r>
      <w:r w:rsidRPr="00FC6116">
        <w:rPr>
          <w:b/>
          <w:bCs/>
        </w:rPr>
        <w:t>OBLIGADO</w:t>
      </w:r>
      <w:r w:rsidRPr="00FC6116">
        <w:t xml:space="preserve"> para su conocimiento. </w:t>
      </w:r>
    </w:p>
    <w:p w14:paraId="4A42E0D1" w14:textId="77777777" w:rsidR="00C36C10" w:rsidRPr="00FC6116" w:rsidRDefault="00C36C10" w:rsidP="00FC6116">
      <w:pPr>
        <w:widowControl w:val="0"/>
        <w:rPr>
          <w:rFonts w:eastAsia="Palatino Linotype" w:cs="Palatino Linotype"/>
        </w:rPr>
      </w:pPr>
    </w:p>
    <w:p w14:paraId="3457A39A" w14:textId="77777777" w:rsidR="00540CA0" w:rsidRPr="00FC6116" w:rsidRDefault="00540CA0" w:rsidP="00FC6116">
      <w:r w:rsidRPr="00FC6116">
        <w:rPr>
          <w:b/>
          <w:bCs/>
        </w:rPr>
        <w:t>TERCERO.</w:t>
      </w:r>
      <w:r w:rsidRPr="00FC6116">
        <w:t xml:space="preserve"> Notifíquese a </w:t>
      </w:r>
      <w:r w:rsidRPr="00FC6116">
        <w:rPr>
          <w:b/>
          <w:bCs/>
        </w:rPr>
        <w:t>LA PARTE RECURRENTE</w:t>
      </w:r>
      <w:r w:rsidRPr="00FC6116">
        <w:t xml:space="preserve"> la presente resolución vía Sistema de Acceso a la Información Mexiquense (</w:t>
      </w:r>
      <w:r w:rsidRPr="00FC6116">
        <w:rPr>
          <w:b/>
        </w:rPr>
        <w:t>SAIMEX</w:t>
      </w:r>
      <w:r w:rsidRPr="00FC6116">
        <w:t>).</w:t>
      </w:r>
    </w:p>
    <w:p w14:paraId="33B779C6" w14:textId="77777777" w:rsidR="00540CA0" w:rsidRPr="00FC6116" w:rsidRDefault="00540CA0" w:rsidP="00FC6116">
      <w:r w:rsidRPr="00FC6116">
        <w:rPr>
          <w:b/>
          <w:bCs/>
        </w:rPr>
        <w:lastRenderedPageBreak/>
        <w:t>CUARTO</w:t>
      </w:r>
      <w:r w:rsidRPr="00FC6116">
        <w:t xml:space="preserve">. Hágase del conocimiento a </w:t>
      </w:r>
      <w:r w:rsidRPr="00FC6116">
        <w:rPr>
          <w:b/>
          <w:bCs/>
        </w:rPr>
        <w:t>LA PARTE RECURRENTE</w:t>
      </w:r>
      <w:r w:rsidRPr="00FC611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3EC7A6C" w14:textId="77777777" w:rsidR="00540CA0" w:rsidRPr="00FC6116" w:rsidRDefault="00540CA0" w:rsidP="00FC6116">
      <w:pPr>
        <w:widowControl w:val="0"/>
        <w:rPr>
          <w:rFonts w:eastAsia="Palatino Linotype" w:cs="Palatino Linotype"/>
        </w:rPr>
      </w:pPr>
    </w:p>
    <w:p w14:paraId="719A5C63" w14:textId="745AD2B1" w:rsidR="00664420" w:rsidRPr="00FC6116" w:rsidRDefault="00664420" w:rsidP="00FC6116">
      <w:pPr>
        <w:rPr>
          <w:rFonts w:eastAsia="Palatino Linotype" w:cs="Palatino Linotype"/>
          <w:szCs w:val="22"/>
        </w:rPr>
      </w:pPr>
      <w:r w:rsidRPr="00FC611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72786" w:rsidRPr="00FC6116">
        <w:rPr>
          <w:rFonts w:eastAsia="Palatino Linotype" w:cs="Palatino Linotype"/>
          <w:szCs w:val="22"/>
        </w:rPr>
        <w:t xml:space="preserve">VIGÉSIMA OCTAVA </w:t>
      </w:r>
      <w:r w:rsidRPr="00FC6116">
        <w:rPr>
          <w:rFonts w:eastAsia="Palatino Linotype" w:cs="Palatino Linotype"/>
          <w:szCs w:val="22"/>
        </w:rPr>
        <w:t xml:space="preserve">SESIÓN ORDINARIA, CELEBRADA EL </w:t>
      </w:r>
      <w:r w:rsidR="00E72786" w:rsidRPr="00FC6116">
        <w:rPr>
          <w:rFonts w:eastAsia="Palatino Linotype" w:cs="Palatino Linotype"/>
          <w:szCs w:val="22"/>
        </w:rPr>
        <w:t>CATORCE</w:t>
      </w:r>
      <w:r w:rsidRPr="00FC6116">
        <w:rPr>
          <w:rFonts w:eastAsia="Palatino Linotype" w:cs="Palatino Linotype"/>
          <w:szCs w:val="22"/>
        </w:rPr>
        <w:t xml:space="preserve"> DE </w:t>
      </w:r>
      <w:r w:rsidR="00E72786" w:rsidRPr="00FC6116">
        <w:rPr>
          <w:rFonts w:eastAsia="Palatino Linotype" w:cs="Palatino Linotype"/>
          <w:szCs w:val="22"/>
        </w:rPr>
        <w:t>AGOSTO</w:t>
      </w:r>
      <w:r w:rsidRPr="00FC6116">
        <w:rPr>
          <w:rFonts w:eastAsia="Palatino Linotype" w:cs="Palatino Linotype"/>
          <w:szCs w:val="22"/>
        </w:rPr>
        <w:t xml:space="preserve"> DE DOS MIL </w:t>
      </w:r>
      <w:r w:rsidR="00E72786" w:rsidRPr="00FC6116">
        <w:rPr>
          <w:rFonts w:eastAsia="Palatino Linotype" w:cs="Palatino Linotype"/>
          <w:szCs w:val="22"/>
        </w:rPr>
        <w:t>VEINTICUATRO</w:t>
      </w:r>
      <w:r w:rsidRPr="00FC6116">
        <w:rPr>
          <w:rFonts w:eastAsia="Palatino Linotype" w:cs="Palatino Linotype"/>
          <w:szCs w:val="22"/>
        </w:rPr>
        <w:t>, ANTE EL SECRETARIO TÉCNICO DEL PLENO, ALEXIS TAPIA RAMÍREZ.</w:t>
      </w:r>
    </w:p>
    <w:p w14:paraId="45D8EEE1" w14:textId="45C29480" w:rsidR="00C87868" w:rsidRPr="00FC6116" w:rsidRDefault="00C87868" w:rsidP="00FC6116">
      <w:pPr>
        <w:widowControl w:val="0"/>
        <w:rPr>
          <w:rFonts w:eastAsia="Palatino Linotype" w:cs="Palatino Linotype"/>
          <w:sz w:val="20"/>
        </w:rPr>
      </w:pPr>
      <w:r w:rsidRPr="00FC6116">
        <w:rPr>
          <w:rFonts w:eastAsia="Palatino Linotype" w:cs="Palatino Linotype"/>
          <w:sz w:val="20"/>
        </w:rPr>
        <w:t>SCMM/AGZ/DEMF/AGE</w:t>
      </w:r>
    </w:p>
    <w:p w14:paraId="49D72DA3" w14:textId="4ADF5B03" w:rsidR="00664420" w:rsidRPr="00FC6116" w:rsidRDefault="00664420" w:rsidP="00FC6116">
      <w:pPr>
        <w:ind w:right="-93"/>
        <w:rPr>
          <w:rFonts w:eastAsia="Calibri" w:cs="Tahoma"/>
          <w:bCs/>
          <w:szCs w:val="22"/>
          <w:lang w:eastAsia="en-US"/>
        </w:rPr>
      </w:pPr>
    </w:p>
    <w:p w14:paraId="5EFEA0CD" w14:textId="77777777" w:rsidR="00664420" w:rsidRPr="00FC6116" w:rsidRDefault="00664420" w:rsidP="00FC6116">
      <w:pPr>
        <w:ind w:right="-93"/>
        <w:rPr>
          <w:rFonts w:eastAsia="Calibri" w:cs="Tahoma"/>
          <w:szCs w:val="22"/>
          <w:lang w:val="es-ES"/>
        </w:rPr>
      </w:pPr>
    </w:p>
    <w:p w14:paraId="696BC976" w14:textId="77777777" w:rsidR="00664420" w:rsidRPr="00FC6116" w:rsidRDefault="00664420" w:rsidP="00FC6116">
      <w:pPr>
        <w:ind w:right="-93"/>
        <w:rPr>
          <w:rFonts w:eastAsia="Calibri" w:cs="Tahoma"/>
          <w:bCs/>
          <w:szCs w:val="22"/>
          <w:lang w:val="es-ES" w:eastAsia="en-US"/>
        </w:rPr>
      </w:pPr>
    </w:p>
    <w:p w14:paraId="671CB0C5" w14:textId="77777777" w:rsidR="00664420" w:rsidRPr="00FC6116" w:rsidRDefault="00664420" w:rsidP="00FC6116">
      <w:pPr>
        <w:ind w:right="-93"/>
        <w:rPr>
          <w:rFonts w:eastAsia="Calibri" w:cs="Tahoma"/>
          <w:bCs/>
          <w:szCs w:val="22"/>
          <w:lang w:val="es-ES_tradnl" w:eastAsia="en-US"/>
        </w:rPr>
      </w:pPr>
    </w:p>
    <w:p w14:paraId="52B66DE7" w14:textId="77777777" w:rsidR="00664420" w:rsidRPr="00FC6116" w:rsidRDefault="00664420" w:rsidP="00FC6116">
      <w:pPr>
        <w:ind w:right="-93"/>
        <w:rPr>
          <w:rFonts w:eastAsia="Calibri" w:cs="Tahoma"/>
          <w:bCs/>
          <w:szCs w:val="22"/>
          <w:lang w:val="es-ES_tradnl" w:eastAsia="en-US"/>
        </w:rPr>
      </w:pPr>
    </w:p>
    <w:p w14:paraId="3BA305D1" w14:textId="77777777" w:rsidR="00664420" w:rsidRPr="00FC6116" w:rsidRDefault="00664420" w:rsidP="00FC6116">
      <w:pPr>
        <w:ind w:right="-93"/>
        <w:rPr>
          <w:rFonts w:eastAsia="Calibri" w:cs="Tahoma"/>
          <w:bCs/>
          <w:szCs w:val="22"/>
          <w:lang w:val="es-ES_tradnl" w:eastAsia="en-US"/>
        </w:rPr>
      </w:pPr>
    </w:p>
    <w:p w14:paraId="78230707" w14:textId="77777777" w:rsidR="00664420" w:rsidRPr="00FC6116" w:rsidRDefault="00664420" w:rsidP="00FC6116">
      <w:pPr>
        <w:ind w:right="-93"/>
        <w:rPr>
          <w:rFonts w:eastAsia="Calibri" w:cs="Tahoma"/>
          <w:bCs/>
          <w:szCs w:val="22"/>
          <w:lang w:val="es-ES_tradnl" w:eastAsia="en-US"/>
        </w:rPr>
      </w:pPr>
    </w:p>
    <w:p w14:paraId="72D18B28" w14:textId="77777777" w:rsidR="00664420" w:rsidRPr="00FC6116" w:rsidRDefault="00664420" w:rsidP="00FC6116">
      <w:pPr>
        <w:ind w:right="-93"/>
        <w:rPr>
          <w:rFonts w:eastAsia="Calibri" w:cs="Tahoma"/>
          <w:bCs/>
          <w:szCs w:val="22"/>
          <w:lang w:val="es-ES_tradnl" w:eastAsia="en-US"/>
        </w:rPr>
      </w:pPr>
    </w:p>
    <w:p w14:paraId="6BD461DC" w14:textId="77777777" w:rsidR="00664420" w:rsidRPr="00FC6116" w:rsidRDefault="00664420" w:rsidP="00FC6116">
      <w:pPr>
        <w:tabs>
          <w:tab w:val="center" w:pos="4568"/>
        </w:tabs>
        <w:ind w:right="-93"/>
        <w:rPr>
          <w:rFonts w:eastAsia="Calibri" w:cs="Tahoma"/>
          <w:bCs/>
          <w:szCs w:val="22"/>
          <w:lang w:eastAsia="en-US"/>
        </w:rPr>
      </w:pPr>
    </w:p>
    <w:p w14:paraId="4DBB1727" w14:textId="77777777" w:rsidR="00664420" w:rsidRPr="00FC6116" w:rsidRDefault="00664420" w:rsidP="00FC6116">
      <w:pPr>
        <w:tabs>
          <w:tab w:val="center" w:pos="4568"/>
        </w:tabs>
        <w:ind w:right="-93"/>
        <w:rPr>
          <w:rFonts w:eastAsia="Calibri" w:cs="Tahoma"/>
          <w:bCs/>
          <w:szCs w:val="22"/>
          <w:lang w:eastAsia="en-US"/>
        </w:rPr>
      </w:pPr>
    </w:p>
    <w:p w14:paraId="1D74121B" w14:textId="77777777" w:rsidR="00664420" w:rsidRPr="00FC6116" w:rsidRDefault="00664420" w:rsidP="00FC6116">
      <w:pPr>
        <w:tabs>
          <w:tab w:val="center" w:pos="4568"/>
        </w:tabs>
        <w:ind w:right="-93"/>
        <w:rPr>
          <w:rFonts w:eastAsia="Calibri" w:cs="Tahoma"/>
          <w:bCs/>
          <w:szCs w:val="22"/>
          <w:lang w:eastAsia="en-US"/>
        </w:rPr>
      </w:pPr>
    </w:p>
    <w:p w14:paraId="08E74E9C" w14:textId="77777777" w:rsidR="00664420" w:rsidRPr="00FC6116" w:rsidRDefault="00664420" w:rsidP="00FC6116">
      <w:pPr>
        <w:tabs>
          <w:tab w:val="center" w:pos="4568"/>
        </w:tabs>
        <w:ind w:right="-93"/>
        <w:rPr>
          <w:rFonts w:eastAsia="Calibri" w:cs="Tahoma"/>
          <w:bCs/>
          <w:szCs w:val="22"/>
          <w:lang w:eastAsia="en-US"/>
        </w:rPr>
      </w:pPr>
    </w:p>
    <w:p w14:paraId="2CBF5E03" w14:textId="77777777" w:rsidR="00664420" w:rsidRPr="00FC6116" w:rsidRDefault="00664420" w:rsidP="00FC6116">
      <w:pPr>
        <w:tabs>
          <w:tab w:val="center" w:pos="4568"/>
        </w:tabs>
        <w:ind w:right="-93"/>
        <w:rPr>
          <w:rFonts w:eastAsia="Calibri" w:cs="Tahoma"/>
          <w:bCs/>
          <w:szCs w:val="22"/>
          <w:lang w:eastAsia="en-US"/>
        </w:rPr>
      </w:pPr>
    </w:p>
    <w:p w14:paraId="44865A6D" w14:textId="77777777" w:rsidR="00664420" w:rsidRPr="00FC6116" w:rsidRDefault="00664420" w:rsidP="00FC6116">
      <w:pPr>
        <w:tabs>
          <w:tab w:val="center" w:pos="4568"/>
        </w:tabs>
        <w:ind w:right="-93"/>
        <w:rPr>
          <w:rFonts w:eastAsia="Calibri" w:cs="Tahoma"/>
          <w:bCs/>
          <w:szCs w:val="22"/>
          <w:lang w:eastAsia="en-US"/>
        </w:rPr>
      </w:pPr>
    </w:p>
    <w:p w14:paraId="7147F06B" w14:textId="77777777" w:rsidR="00664420" w:rsidRPr="00FC6116" w:rsidRDefault="00664420" w:rsidP="00FC6116">
      <w:pPr>
        <w:tabs>
          <w:tab w:val="center" w:pos="4568"/>
        </w:tabs>
        <w:ind w:right="-93"/>
        <w:rPr>
          <w:rFonts w:eastAsia="Calibri" w:cs="Tahoma"/>
          <w:bCs/>
          <w:szCs w:val="22"/>
          <w:lang w:eastAsia="en-US"/>
        </w:rPr>
      </w:pPr>
    </w:p>
    <w:p w14:paraId="6FDF3D7E" w14:textId="77777777" w:rsidR="00664420" w:rsidRPr="00FC6116" w:rsidRDefault="00664420" w:rsidP="00FC6116">
      <w:pPr>
        <w:tabs>
          <w:tab w:val="center" w:pos="4568"/>
        </w:tabs>
        <w:ind w:right="-93"/>
        <w:rPr>
          <w:rFonts w:eastAsia="Calibri" w:cs="Tahoma"/>
          <w:bCs/>
          <w:szCs w:val="22"/>
          <w:lang w:eastAsia="en-US"/>
        </w:rPr>
      </w:pPr>
    </w:p>
    <w:p w14:paraId="6246F818" w14:textId="77777777" w:rsidR="00664420" w:rsidRPr="00FC6116" w:rsidRDefault="00664420" w:rsidP="00FC6116">
      <w:pPr>
        <w:tabs>
          <w:tab w:val="center" w:pos="4568"/>
        </w:tabs>
        <w:ind w:right="-93"/>
        <w:rPr>
          <w:rFonts w:eastAsia="Calibri" w:cs="Tahoma"/>
          <w:bCs/>
          <w:szCs w:val="22"/>
          <w:lang w:eastAsia="en-US"/>
        </w:rPr>
      </w:pPr>
    </w:p>
    <w:p w14:paraId="57A88B28" w14:textId="77777777" w:rsidR="00664420" w:rsidRPr="00FC6116" w:rsidRDefault="00664420" w:rsidP="00FC6116">
      <w:pPr>
        <w:tabs>
          <w:tab w:val="center" w:pos="4568"/>
        </w:tabs>
        <w:ind w:right="-93"/>
        <w:rPr>
          <w:rFonts w:eastAsia="Calibri" w:cs="Tahoma"/>
          <w:bCs/>
          <w:szCs w:val="22"/>
          <w:lang w:eastAsia="en-US"/>
        </w:rPr>
      </w:pPr>
    </w:p>
    <w:p w14:paraId="77EF6095" w14:textId="77777777" w:rsidR="00664420" w:rsidRPr="00FC6116" w:rsidRDefault="00664420" w:rsidP="00FC6116">
      <w:pPr>
        <w:tabs>
          <w:tab w:val="center" w:pos="4568"/>
        </w:tabs>
        <w:ind w:right="-93"/>
        <w:rPr>
          <w:rFonts w:eastAsia="Calibri" w:cs="Tahoma"/>
          <w:bCs/>
          <w:szCs w:val="22"/>
          <w:lang w:eastAsia="en-US"/>
        </w:rPr>
      </w:pPr>
    </w:p>
    <w:p w14:paraId="35593947" w14:textId="77777777" w:rsidR="00664420" w:rsidRPr="00FC6116" w:rsidRDefault="00664420" w:rsidP="00FC6116">
      <w:pPr>
        <w:tabs>
          <w:tab w:val="center" w:pos="4568"/>
        </w:tabs>
        <w:ind w:right="-93"/>
        <w:rPr>
          <w:rFonts w:eastAsia="Calibri" w:cs="Tahoma"/>
          <w:bCs/>
          <w:szCs w:val="22"/>
          <w:lang w:eastAsia="en-US"/>
        </w:rPr>
      </w:pPr>
    </w:p>
    <w:p w14:paraId="3AF72A17" w14:textId="77777777" w:rsidR="00664420" w:rsidRPr="00FC6116" w:rsidRDefault="00664420" w:rsidP="00FC6116">
      <w:pPr>
        <w:tabs>
          <w:tab w:val="center" w:pos="4568"/>
        </w:tabs>
        <w:ind w:right="-93"/>
        <w:rPr>
          <w:rFonts w:eastAsia="Calibri" w:cs="Tahoma"/>
          <w:bCs/>
          <w:szCs w:val="22"/>
          <w:lang w:eastAsia="en-US"/>
        </w:rPr>
      </w:pPr>
    </w:p>
    <w:p w14:paraId="37169144" w14:textId="77777777" w:rsidR="00664420" w:rsidRPr="00FC6116" w:rsidRDefault="00664420" w:rsidP="00FC6116">
      <w:pPr>
        <w:tabs>
          <w:tab w:val="center" w:pos="4568"/>
        </w:tabs>
        <w:ind w:right="-93"/>
        <w:rPr>
          <w:rFonts w:eastAsia="Calibri" w:cs="Tahoma"/>
          <w:bCs/>
          <w:szCs w:val="22"/>
          <w:lang w:eastAsia="en-US"/>
        </w:rPr>
      </w:pPr>
    </w:p>
    <w:p w14:paraId="77CFC088" w14:textId="77777777" w:rsidR="00664420" w:rsidRPr="00FC6116" w:rsidRDefault="00664420" w:rsidP="00FC6116">
      <w:pPr>
        <w:tabs>
          <w:tab w:val="center" w:pos="4568"/>
        </w:tabs>
        <w:ind w:right="-93"/>
        <w:rPr>
          <w:rFonts w:eastAsia="Calibri" w:cs="Tahoma"/>
          <w:bCs/>
          <w:szCs w:val="22"/>
          <w:lang w:eastAsia="en-US"/>
        </w:rPr>
      </w:pPr>
    </w:p>
    <w:p w14:paraId="781A11A5" w14:textId="77777777" w:rsidR="00664420" w:rsidRPr="00FC6116" w:rsidRDefault="00664420" w:rsidP="00FC6116">
      <w:pPr>
        <w:tabs>
          <w:tab w:val="center" w:pos="4568"/>
        </w:tabs>
        <w:ind w:right="-93"/>
        <w:rPr>
          <w:rFonts w:eastAsia="Calibri" w:cs="Tahoma"/>
          <w:bCs/>
          <w:szCs w:val="22"/>
          <w:lang w:eastAsia="en-US"/>
        </w:rPr>
      </w:pPr>
    </w:p>
    <w:p w14:paraId="5B4ADFF3" w14:textId="77777777" w:rsidR="00A131AC" w:rsidRPr="00FC6116" w:rsidRDefault="00A131AC" w:rsidP="00FC6116"/>
    <w:sectPr w:rsidR="00A131AC" w:rsidRPr="00FC6116" w:rsidSect="00EE2AF2">
      <w:footerReference w:type="default" r:id="rId22"/>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F9FE8" w14:textId="77777777" w:rsidR="0049625C" w:rsidRDefault="0049625C" w:rsidP="00664420">
      <w:pPr>
        <w:spacing w:line="240" w:lineRule="auto"/>
      </w:pPr>
      <w:r>
        <w:separator/>
      </w:r>
    </w:p>
  </w:endnote>
  <w:endnote w:type="continuationSeparator" w:id="0">
    <w:p w14:paraId="0581E4BC" w14:textId="77777777" w:rsidR="0049625C" w:rsidRDefault="0049625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902C7" w:rsidRDefault="000902C7">
    <w:pPr>
      <w:tabs>
        <w:tab w:val="center" w:pos="4550"/>
        <w:tab w:val="left" w:pos="5818"/>
      </w:tabs>
      <w:ind w:right="260"/>
      <w:jc w:val="right"/>
      <w:rPr>
        <w:color w:val="071320" w:themeColor="text2" w:themeShade="80"/>
        <w:sz w:val="24"/>
        <w:szCs w:val="24"/>
      </w:rPr>
    </w:pPr>
  </w:p>
  <w:p w14:paraId="1BCA7F23" w14:textId="77777777" w:rsidR="000902C7" w:rsidRDefault="000902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902C7" w:rsidRDefault="000902C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9780B" w:rsidRPr="0009780B">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9780B" w:rsidRPr="0009780B">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0902C7" w:rsidRDefault="000902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3BF7A" w14:textId="77777777" w:rsidR="0049625C" w:rsidRDefault="0049625C" w:rsidP="00664420">
      <w:pPr>
        <w:spacing w:line="240" w:lineRule="auto"/>
      </w:pPr>
      <w:r>
        <w:separator/>
      </w:r>
    </w:p>
  </w:footnote>
  <w:footnote w:type="continuationSeparator" w:id="0">
    <w:p w14:paraId="7544C603" w14:textId="77777777" w:rsidR="0049625C" w:rsidRDefault="0049625C" w:rsidP="00664420">
      <w:pPr>
        <w:spacing w:line="240" w:lineRule="auto"/>
      </w:pPr>
      <w:r>
        <w:continuationSeparator/>
      </w:r>
    </w:p>
  </w:footnote>
  <w:footnote w:id="1">
    <w:p w14:paraId="7AD7532A" w14:textId="77777777" w:rsidR="000902C7" w:rsidRDefault="000902C7" w:rsidP="003B4623">
      <w:pPr>
        <w:pBdr>
          <w:top w:val="nil"/>
          <w:left w:val="nil"/>
          <w:bottom w:val="nil"/>
          <w:right w:val="nil"/>
          <w:between w:val="nil"/>
        </w:pBdr>
        <w:spacing w:line="240"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w:t>
      </w:r>
      <w:r>
        <w:rPr>
          <w:rFonts w:eastAsia="Palatino Linotype" w:cs="Palatino Linotype"/>
          <w:b/>
          <w:color w:val="000000"/>
          <w:sz w:val="16"/>
          <w:szCs w:val="16"/>
        </w:rPr>
        <w:t>Artículo 161</w:t>
      </w:r>
      <w:r>
        <w:rPr>
          <w:rFonts w:eastAsia="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902C7" w:rsidRPr="00330DA7" w14:paraId="070A4B18" w14:textId="77777777" w:rsidTr="003F35FD">
      <w:trPr>
        <w:trHeight w:val="144"/>
        <w:jc w:val="right"/>
      </w:trPr>
      <w:tc>
        <w:tcPr>
          <w:tcW w:w="2727" w:type="dxa"/>
        </w:tcPr>
        <w:p w14:paraId="62B7493A" w14:textId="77777777" w:rsidR="000902C7" w:rsidRPr="00330DA7" w:rsidRDefault="000902C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F3AB386" w:rsidR="000902C7" w:rsidRPr="00A90C72" w:rsidRDefault="000902C7" w:rsidP="00CC33D4">
          <w:pPr>
            <w:tabs>
              <w:tab w:val="right" w:pos="8838"/>
            </w:tabs>
            <w:ind w:left="-74" w:right="-105"/>
            <w:rPr>
              <w:rFonts w:eastAsia="Calibri" w:cs="Tahoma"/>
              <w:szCs w:val="22"/>
              <w:lang w:eastAsia="en-US"/>
            </w:rPr>
          </w:pPr>
          <w:r>
            <w:rPr>
              <w:rFonts w:eastAsia="Calibri" w:cs="Tahoma"/>
              <w:szCs w:val="22"/>
              <w:lang w:eastAsia="en-US"/>
            </w:rPr>
            <w:t>04037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0902C7" w:rsidRPr="00330DA7" w14:paraId="4521E058" w14:textId="77777777" w:rsidTr="003F35FD">
      <w:trPr>
        <w:trHeight w:val="283"/>
        <w:jc w:val="right"/>
      </w:trPr>
      <w:tc>
        <w:tcPr>
          <w:tcW w:w="2727" w:type="dxa"/>
        </w:tcPr>
        <w:p w14:paraId="0B68C086" w14:textId="77777777" w:rsidR="000902C7" w:rsidRPr="00330DA7" w:rsidRDefault="000902C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22B9E0E" w:rsidR="000902C7" w:rsidRPr="00952DD0" w:rsidRDefault="000902C7" w:rsidP="00CC33D4">
          <w:pPr>
            <w:tabs>
              <w:tab w:val="left" w:pos="2834"/>
              <w:tab w:val="right" w:pos="8838"/>
            </w:tabs>
            <w:ind w:left="-108" w:right="-105"/>
            <w:rPr>
              <w:rFonts w:eastAsia="Calibri" w:cs="Tahoma"/>
              <w:szCs w:val="22"/>
              <w:lang w:eastAsia="en-US"/>
            </w:rPr>
          </w:pPr>
          <w:r w:rsidRPr="00CC33D4">
            <w:rPr>
              <w:rFonts w:eastAsia="Calibri" w:cs="Tahoma"/>
              <w:szCs w:val="22"/>
              <w:lang w:eastAsia="en-US"/>
            </w:rPr>
            <w:t>Tribunal de Justicia Administrativa del Estado de México</w:t>
          </w:r>
        </w:p>
      </w:tc>
    </w:tr>
    <w:tr w:rsidR="000902C7" w:rsidRPr="00330DA7" w14:paraId="6331D9B6" w14:textId="77777777" w:rsidTr="003F35FD">
      <w:trPr>
        <w:trHeight w:val="283"/>
        <w:jc w:val="right"/>
      </w:trPr>
      <w:tc>
        <w:tcPr>
          <w:tcW w:w="2727" w:type="dxa"/>
        </w:tcPr>
        <w:p w14:paraId="3FA86BAE" w14:textId="3BBC44B2" w:rsidR="000902C7" w:rsidRPr="00330DA7" w:rsidRDefault="000902C7"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0902C7" w:rsidRPr="00EA66FC" w:rsidRDefault="000902C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902C7" w:rsidRPr="00443C6B" w:rsidRDefault="000902C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902C7" w:rsidRPr="00330DA7" w14:paraId="29CFF901" w14:textId="77777777" w:rsidTr="00CC33D4">
      <w:trPr>
        <w:trHeight w:val="1435"/>
      </w:trPr>
      <w:tc>
        <w:tcPr>
          <w:tcW w:w="283" w:type="dxa"/>
          <w:shd w:val="clear" w:color="auto" w:fill="auto"/>
        </w:tcPr>
        <w:p w14:paraId="046B9F8F" w14:textId="77777777" w:rsidR="000902C7" w:rsidRPr="00330DA7" w:rsidRDefault="000902C7" w:rsidP="00CC33D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902C7" w:rsidRPr="00330DA7" w14:paraId="04F272D2" w14:textId="77777777" w:rsidTr="00CC33D4">
            <w:trPr>
              <w:trHeight w:val="144"/>
            </w:trPr>
            <w:tc>
              <w:tcPr>
                <w:tcW w:w="2727" w:type="dxa"/>
              </w:tcPr>
              <w:p w14:paraId="2FD4DBF6" w14:textId="77777777" w:rsidR="000902C7" w:rsidRPr="00330DA7" w:rsidRDefault="000902C7" w:rsidP="00CC33D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2441251" w:rsidR="000902C7" w:rsidRPr="00A90C72" w:rsidRDefault="000902C7" w:rsidP="00CC33D4">
                <w:pPr>
                  <w:tabs>
                    <w:tab w:val="right" w:pos="8838"/>
                  </w:tabs>
                  <w:ind w:left="-74" w:right="-105"/>
                  <w:rPr>
                    <w:rFonts w:eastAsia="Calibri" w:cs="Tahoma"/>
                    <w:szCs w:val="22"/>
                    <w:lang w:eastAsia="en-US"/>
                  </w:rPr>
                </w:pPr>
                <w:r>
                  <w:rPr>
                    <w:rFonts w:eastAsia="Calibri" w:cs="Tahoma"/>
                    <w:szCs w:val="22"/>
                    <w:lang w:eastAsia="en-US"/>
                  </w:rPr>
                  <w:t>04037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0902C7" w:rsidRDefault="000902C7" w:rsidP="00CC33D4">
                <w:pPr>
                  <w:tabs>
                    <w:tab w:val="right" w:pos="8838"/>
                  </w:tabs>
                  <w:ind w:left="-74" w:right="-105"/>
                  <w:rPr>
                    <w:rFonts w:eastAsia="Calibri" w:cs="Tahoma"/>
                    <w:szCs w:val="22"/>
                    <w:lang w:eastAsia="en-US"/>
                  </w:rPr>
                </w:pPr>
              </w:p>
            </w:tc>
          </w:tr>
          <w:tr w:rsidR="000902C7" w:rsidRPr="00330DA7" w14:paraId="05C58951" w14:textId="77777777" w:rsidTr="00CC33D4">
            <w:trPr>
              <w:trHeight w:val="144"/>
            </w:trPr>
            <w:tc>
              <w:tcPr>
                <w:tcW w:w="2727" w:type="dxa"/>
              </w:tcPr>
              <w:p w14:paraId="642B9610" w14:textId="77777777" w:rsidR="000902C7" w:rsidRPr="00330DA7" w:rsidRDefault="000902C7" w:rsidP="00CC33D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864533B" w:rsidR="000902C7" w:rsidRPr="005F19B1" w:rsidRDefault="00F97C8E" w:rsidP="00CC33D4">
                <w:pPr>
                  <w:tabs>
                    <w:tab w:val="left" w:pos="3122"/>
                    <w:tab w:val="right" w:pos="8838"/>
                  </w:tabs>
                  <w:ind w:left="-105" w:right="-105"/>
                  <w:rPr>
                    <w:rFonts w:eastAsia="Calibri" w:cs="Tahoma"/>
                    <w:szCs w:val="22"/>
                    <w:lang w:eastAsia="en-US"/>
                  </w:rPr>
                </w:pPr>
                <w:r>
                  <w:rPr>
                    <w:rFonts w:eastAsia="Calibri" w:cs="Tahoma"/>
                    <w:szCs w:val="22"/>
                    <w:lang w:eastAsia="en-US"/>
                  </w:rPr>
                  <w:t xml:space="preserve">XXXXXXX XXXXXX </w:t>
                </w:r>
                <w:proofErr w:type="spellStart"/>
                <w:r>
                  <w:rPr>
                    <w:rFonts w:eastAsia="Calibri" w:cs="Tahoma"/>
                    <w:szCs w:val="22"/>
                    <w:lang w:eastAsia="en-US"/>
                  </w:rPr>
                  <w:t>XXXXXX</w:t>
                </w:r>
                <w:proofErr w:type="spellEnd"/>
              </w:p>
            </w:tc>
            <w:tc>
              <w:tcPr>
                <w:tcW w:w="3402" w:type="dxa"/>
              </w:tcPr>
              <w:p w14:paraId="73F47F53" w14:textId="77777777" w:rsidR="000902C7" w:rsidRPr="005F19B1" w:rsidRDefault="000902C7" w:rsidP="00CC33D4">
                <w:pPr>
                  <w:tabs>
                    <w:tab w:val="left" w:pos="3122"/>
                    <w:tab w:val="right" w:pos="8838"/>
                  </w:tabs>
                  <w:ind w:left="-105" w:right="-105"/>
                  <w:rPr>
                    <w:rFonts w:eastAsia="Calibri" w:cs="Tahoma"/>
                    <w:szCs w:val="22"/>
                    <w:lang w:eastAsia="en-US"/>
                  </w:rPr>
                </w:pPr>
              </w:p>
            </w:tc>
          </w:tr>
          <w:bookmarkEnd w:id="1"/>
          <w:tr w:rsidR="000902C7" w:rsidRPr="00330DA7" w14:paraId="00E6CDC1" w14:textId="77777777" w:rsidTr="00CC33D4">
            <w:trPr>
              <w:trHeight w:val="283"/>
            </w:trPr>
            <w:tc>
              <w:tcPr>
                <w:tcW w:w="2727" w:type="dxa"/>
              </w:tcPr>
              <w:p w14:paraId="0631AD24" w14:textId="77777777" w:rsidR="000902C7" w:rsidRPr="00330DA7" w:rsidRDefault="000902C7" w:rsidP="00CC33D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4AA101D" w:rsidR="000902C7" w:rsidRPr="00952DD0" w:rsidRDefault="000902C7" w:rsidP="00CC33D4">
                <w:pPr>
                  <w:tabs>
                    <w:tab w:val="left" w:pos="2834"/>
                    <w:tab w:val="right" w:pos="8838"/>
                  </w:tabs>
                  <w:ind w:left="-108" w:right="-105"/>
                  <w:rPr>
                    <w:rFonts w:eastAsia="Calibri" w:cs="Tahoma"/>
                    <w:szCs w:val="22"/>
                    <w:lang w:eastAsia="en-US"/>
                  </w:rPr>
                </w:pPr>
                <w:r w:rsidRPr="00CC33D4">
                  <w:rPr>
                    <w:rFonts w:eastAsia="Calibri" w:cs="Tahoma"/>
                    <w:szCs w:val="22"/>
                    <w:lang w:eastAsia="en-US"/>
                  </w:rPr>
                  <w:t>Tribunal de Justicia Administrativa del Estado de México</w:t>
                </w:r>
              </w:p>
            </w:tc>
            <w:tc>
              <w:tcPr>
                <w:tcW w:w="3402" w:type="dxa"/>
              </w:tcPr>
              <w:p w14:paraId="3A7DA319" w14:textId="77777777" w:rsidR="000902C7" w:rsidRPr="00A90C72" w:rsidRDefault="000902C7" w:rsidP="00CC33D4">
                <w:pPr>
                  <w:tabs>
                    <w:tab w:val="left" w:pos="2834"/>
                    <w:tab w:val="right" w:pos="8838"/>
                  </w:tabs>
                  <w:ind w:left="-108" w:right="-105"/>
                  <w:rPr>
                    <w:rFonts w:eastAsia="Calibri" w:cs="Tahoma"/>
                    <w:szCs w:val="22"/>
                    <w:lang w:eastAsia="en-US"/>
                  </w:rPr>
                </w:pPr>
              </w:p>
            </w:tc>
          </w:tr>
          <w:tr w:rsidR="000902C7" w:rsidRPr="00330DA7" w14:paraId="0F6CD8D2" w14:textId="77777777" w:rsidTr="00CC33D4">
            <w:trPr>
              <w:trHeight w:val="283"/>
            </w:trPr>
            <w:tc>
              <w:tcPr>
                <w:tcW w:w="2727" w:type="dxa"/>
              </w:tcPr>
              <w:p w14:paraId="31700628" w14:textId="74D5D605" w:rsidR="000902C7" w:rsidRPr="00330DA7" w:rsidRDefault="000902C7" w:rsidP="00F9445C">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902C7" w:rsidRPr="00EA66FC" w:rsidRDefault="000902C7" w:rsidP="00CC33D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902C7" w:rsidRPr="00330DA7" w:rsidRDefault="000902C7" w:rsidP="00CC33D4">
                <w:pPr>
                  <w:tabs>
                    <w:tab w:val="right" w:pos="8838"/>
                  </w:tabs>
                  <w:ind w:left="-108" w:right="-105"/>
                  <w:rPr>
                    <w:rFonts w:eastAsia="Calibri" w:cs="Tahoma"/>
                    <w:szCs w:val="22"/>
                    <w:lang w:eastAsia="en-US"/>
                  </w:rPr>
                </w:pPr>
              </w:p>
            </w:tc>
          </w:tr>
        </w:tbl>
        <w:p w14:paraId="5DC6AC61" w14:textId="77777777" w:rsidR="000902C7" w:rsidRPr="00330DA7" w:rsidRDefault="000902C7" w:rsidP="00CC33D4">
          <w:pPr>
            <w:tabs>
              <w:tab w:val="right" w:pos="8838"/>
            </w:tabs>
            <w:ind w:left="-28"/>
            <w:rPr>
              <w:rFonts w:ascii="Arial" w:eastAsia="Calibri" w:hAnsi="Arial" w:cs="Arial"/>
              <w:b/>
              <w:szCs w:val="22"/>
              <w:lang w:eastAsia="en-US"/>
            </w:rPr>
          </w:pPr>
        </w:p>
      </w:tc>
    </w:tr>
  </w:tbl>
  <w:p w14:paraId="2A906731" w14:textId="77777777" w:rsidR="000902C7" w:rsidRPr="00765661" w:rsidRDefault="0049625C" w:rsidP="00CC33D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6B6A49"/>
    <w:multiLevelType w:val="multilevel"/>
    <w:tmpl w:val="A41E9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5"/>
  </w:num>
  <w:num w:numId="5">
    <w:abstractNumId w:val="2"/>
  </w:num>
  <w:num w:numId="6">
    <w:abstractNumId w:val="14"/>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3"/>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3E8"/>
    <w:rsid w:val="0002702F"/>
    <w:rsid w:val="000318BC"/>
    <w:rsid w:val="00057B2D"/>
    <w:rsid w:val="00073D42"/>
    <w:rsid w:val="00080071"/>
    <w:rsid w:val="000902C7"/>
    <w:rsid w:val="0009780B"/>
    <w:rsid w:val="000B4F2F"/>
    <w:rsid w:val="000C0843"/>
    <w:rsid w:val="000D0D67"/>
    <w:rsid w:val="000E09C4"/>
    <w:rsid w:val="0011350D"/>
    <w:rsid w:val="00141876"/>
    <w:rsid w:val="0014207B"/>
    <w:rsid w:val="00150C49"/>
    <w:rsid w:val="001650C5"/>
    <w:rsid w:val="00173746"/>
    <w:rsid w:val="001A58B3"/>
    <w:rsid w:val="001B3C5B"/>
    <w:rsid w:val="001C7688"/>
    <w:rsid w:val="001F2859"/>
    <w:rsid w:val="001F3515"/>
    <w:rsid w:val="00201F2B"/>
    <w:rsid w:val="00233005"/>
    <w:rsid w:val="00233F17"/>
    <w:rsid w:val="00277D99"/>
    <w:rsid w:val="00297DCE"/>
    <w:rsid w:val="002A3601"/>
    <w:rsid w:val="002B7C6F"/>
    <w:rsid w:val="002C71C5"/>
    <w:rsid w:val="002D111C"/>
    <w:rsid w:val="00302476"/>
    <w:rsid w:val="00325C82"/>
    <w:rsid w:val="00331F35"/>
    <w:rsid w:val="00335CDF"/>
    <w:rsid w:val="00362A11"/>
    <w:rsid w:val="00364D64"/>
    <w:rsid w:val="003A40C1"/>
    <w:rsid w:val="003B4623"/>
    <w:rsid w:val="003B4A9F"/>
    <w:rsid w:val="003B5D3E"/>
    <w:rsid w:val="003C7C6D"/>
    <w:rsid w:val="003F35FD"/>
    <w:rsid w:val="0041385B"/>
    <w:rsid w:val="00441BFA"/>
    <w:rsid w:val="00454FBD"/>
    <w:rsid w:val="004767FC"/>
    <w:rsid w:val="0049625C"/>
    <w:rsid w:val="004966E6"/>
    <w:rsid w:val="004D7CD8"/>
    <w:rsid w:val="004E5068"/>
    <w:rsid w:val="004F7A00"/>
    <w:rsid w:val="00523F48"/>
    <w:rsid w:val="005313E0"/>
    <w:rsid w:val="005365FA"/>
    <w:rsid w:val="00540CA0"/>
    <w:rsid w:val="005723CB"/>
    <w:rsid w:val="00575400"/>
    <w:rsid w:val="005B18AF"/>
    <w:rsid w:val="005D5A50"/>
    <w:rsid w:val="005F5301"/>
    <w:rsid w:val="005F65B7"/>
    <w:rsid w:val="006067C7"/>
    <w:rsid w:val="006159AD"/>
    <w:rsid w:val="00637EB6"/>
    <w:rsid w:val="00646436"/>
    <w:rsid w:val="00664420"/>
    <w:rsid w:val="006852D1"/>
    <w:rsid w:val="006A42CA"/>
    <w:rsid w:val="006A646A"/>
    <w:rsid w:val="006B10B0"/>
    <w:rsid w:val="006E25BC"/>
    <w:rsid w:val="006E6BBC"/>
    <w:rsid w:val="006F1B49"/>
    <w:rsid w:val="006F7768"/>
    <w:rsid w:val="00717E59"/>
    <w:rsid w:val="00720A92"/>
    <w:rsid w:val="00763678"/>
    <w:rsid w:val="00775BFC"/>
    <w:rsid w:val="00780D5A"/>
    <w:rsid w:val="007A3459"/>
    <w:rsid w:val="007B6074"/>
    <w:rsid w:val="007D1C55"/>
    <w:rsid w:val="007D317F"/>
    <w:rsid w:val="007E5095"/>
    <w:rsid w:val="007F5D06"/>
    <w:rsid w:val="00805A6E"/>
    <w:rsid w:val="00865CF4"/>
    <w:rsid w:val="00876DBC"/>
    <w:rsid w:val="008A6003"/>
    <w:rsid w:val="008A6F88"/>
    <w:rsid w:val="008B1E16"/>
    <w:rsid w:val="008E1316"/>
    <w:rsid w:val="00910FD2"/>
    <w:rsid w:val="00931437"/>
    <w:rsid w:val="00953430"/>
    <w:rsid w:val="00964E53"/>
    <w:rsid w:val="00970EB3"/>
    <w:rsid w:val="009A2D78"/>
    <w:rsid w:val="009A7C10"/>
    <w:rsid w:val="009B2945"/>
    <w:rsid w:val="009E2DEE"/>
    <w:rsid w:val="009F797C"/>
    <w:rsid w:val="00A131AC"/>
    <w:rsid w:val="00A16D85"/>
    <w:rsid w:val="00A21A20"/>
    <w:rsid w:val="00A36A99"/>
    <w:rsid w:val="00A52565"/>
    <w:rsid w:val="00A53315"/>
    <w:rsid w:val="00A70EF0"/>
    <w:rsid w:val="00A9208D"/>
    <w:rsid w:val="00AA6EA9"/>
    <w:rsid w:val="00AB35F4"/>
    <w:rsid w:val="00AC2DB8"/>
    <w:rsid w:val="00AC3CA0"/>
    <w:rsid w:val="00AE3DA7"/>
    <w:rsid w:val="00AF03C4"/>
    <w:rsid w:val="00B22A80"/>
    <w:rsid w:val="00B36F46"/>
    <w:rsid w:val="00B94BF0"/>
    <w:rsid w:val="00BA55A8"/>
    <w:rsid w:val="00BB2ABF"/>
    <w:rsid w:val="00BB6132"/>
    <w:rsid w:val="00BB64F4"/>
    <w:rsid w:val="00BD3F4F"/>
    <w:rsid w:val="00BD5A7C"/>
    <w:rsid w:val="00BE5317"/>
    <w:rsid w:val="00BE7A1B"/>
    <w:rsid w:val="00BF0221"/>
    <w:rsid w:val="00BF091A"/>
    <w:rsid w:val="00BF4EAD"/>
    <w:rsid w:val="00C049E2"/>
    <w:rsid w:val="00C31E48"/>
    <w:rsid w:val="00C36795"/>
    <w:rsid w:val="00C36C10"/>
    <w:rsid w:val="00C461EC"/>
    <w:rsid w:val="00C507D4"/>
    <w:rsid w:val="00C6034F"/>
    <w:rsid w:val="00C71CEF"/>
    <w:rsid w:val="00C72DAA"/>
    <w:rsid w:val="00C80B14"/>
    <w:rsid w:val="00C87868"/>
    <w:rsid w:val="00CB5061"/>
    <w:rsid w:val="00CB7E9A"/>
    <w:rsid w:val="00CC33D4"/>
    <w:rsid w:val="00CD0B92"/>
    <w:rsid w:val="00CE29D3"/>
    <w:rsid w:val="00CF158E"/>
    <w:rsid w:val="00CF2D8B"/>
    <w:rsid w:val="00CF7586"/>
    <w:rsid w:val="00D036D3"/>
    <w:rsid w:val="00D2790D"/>
    <w:rsid w:val="00D37161"/>
    <w:rsid w:val="00D51ECD"/>
    <w:rsid w:val="00D52313"/>
    <w:rsid w:val="00D6170E"/>
    <w:rsid w:val="00D620C4"/>
    <w:rsid w:val="00D71E55"/>
    <w:rsid w:val="00D91CB4"/>
    <w:rsid w:val="00DB0131"/>
    <w:rsid w:val="00DB1C09"/>
    <w:rsid w:val="00DD0A99"/>
    <w:rsid w:val="00DE1133"/>
    <w:rsid w:val="00E10D25"/>
    <w:rsid w:val="00E16BF5"/>
    <w:rsid w:val="00E37A3F"/>
    <w:rsid w:val="00E37D3C"/>
    <w:rsid w:val="00E62E6A"/>
    <w:rsid w:val="00E72786"/>
    <w:rsid w:val="00E83EF5"/>
    <w:rsid w:val="00E9335C"/>
    <w:rsid w:val="00EB274C"/>
    <w:rsid w:val="00EC41C6"/>
    <w:rsid w:val="00ED1C1E"/>
    <w:rsid w:val="00EE2AF2"/>
    <w:rsid w:val="00EF45BB"/>
    <w:rsid w:val="00F04891"/>
    <w:rsid w:val="00F07EE6"/>
    <w:rsid w:val="00F24393"/>
    <w:rsid w:val="00F33CC8"/>
    <w:rsid w:val="00F37D65"/>
    <w:rsid w:val="00F4481C"/>
    <w:rsid w:val="00F75D23"/>
    <w:rsid w:val="00F9445C"/>
    <w:rsid w:val="00F97C8E"/>
    <w:rsid w:val="00FA5957"/>
    <w:rsid w:val="00FC3CE0"/>
    <w:rsid w:val="00FC6116"/>
    <w:rsid w:val="00FD06A8"/>
    <w:rsid w:val="00FD4049"/>
    <w:rsid w:val="00FE7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4485">
      <w:bodyDiv w:val="1"/>
      <w:marLeft w:val="0"/>
      <w:marRight w:val="0"/>
      <w:marTop w:val="0"/>
      <w:marBottom w:val="0"/>
      <w:divBdr>
        <w:top w:val="none" w:sz="0" w:space="0" w:color="auto"/>
        <w:left w:val="none" w:sz="0" w:space="0" w:color="auto"/>
        <w:bottom w:val="none" w:sz="0" w:space="0" w:color="auto"/>
        <w:right w:val="none" w:sz="0" w:space="0" w:color="auto"/>
      </w:divBdr>
    </w:div>
    <w:div w:id="6169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1CEF01-844B-4C17-AA68-86206CE8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4920</Words>
  <Characters>27063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2024-08-15T18:47:00Z</cp:lastPrinted>
  <dcterms:created xsi:type="dcterms:W3CDTF">2024-08-12T22:50:00Z</dcterms:created>
  <dcterms:modified xsi:type="dcterms:W3CDTF">2024-09-13T16:13:00Z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