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8FC1" w14:textId="00FE779F" w:rsidR="00CE58A5" w:rsidRPr="0089675F" w:rsidRDefault="00CE4466" w:rsidP="00E26391">
      <w:pPr>
        <w:spacing w:after="0" w:line="360" w:lineRule="auto"/>
      </w:pPr>
      <w:r w:rsidRPr="0089675F">
        <w:t xml:space="preserve">Resolución del Pleno del Instituto de Transparencia, Acceso </w:t>
      </w:r>
      <w:bookmarkStart w:id="0" w:name="_GoBack"/>
      <w:bookmarkEnd w:id="0"/>
      <w:r w:rsidRPr="0089675F">
        <w:t xml:space="preserve">a la Información Pública y Protección de Datos Personales del Estado de México y Municipios, con domicilio en Metepec, Estado de México, de fecha </w:t>
      </w:r>
      <w:r w:rsidR="00431F7B" w:rsidRPr="0089675F">
        <w:t>veintisiete de noviembre</w:t>
      </w:r>
      <w:r w:rsidRPr="0089675F">
        <w:t xml:space="preserve"> de dos mil veinticuatro.</w:t>
      </w:r>
    </w:p>
    <w:p w14:paraId="5B1FA2B3" w14:textId="77777777" w:rsidR="00CE58A5" w:rsidRPr="0089675F" w:rsidRDefault="00CE58A5" w:rsidP="00E26391">
      <w:pPr>
        <w:spacing w:after="0" w:line="360" w:lineRule="auto"/>
        <w:rPr>
          <w:b/>
        </w:rPr>
      </w:pPr>
    </w:p>
    <w:p w14:paraId="67B180B8" w14:textId="25C0B673" w:rsidR="00CE58A5" w:rsidRPr="0089675F" w:rsidRDefault="00CE4466" w:rsidP="00E26391">
      <w:pPr>
        <w:spacing w:after="0" w:line="360" w:lineRule="auto"/>
      </w:pPr>
      <w:r w:rsidRPr="0089675F">
        <w:rPr>
          <w:b/>
        </w:rPr>
        <w:t>VISTO</w:t>
      </w:r>
      <w:r w:rsidRPr="0089675F">
        <w:t xml:space="preserve"> el expediente conformado con motivo del Recurso de Revisión </w:t>
      </w:r>
      <w:r w:rsidR="006B0679" w:rsidRPr="00E42514">
        <w:rPr>
          <w:b/>
        </w:rPr>
        <w:t>06591</w:t>
      </w:r>
      <w:r w:rsidR="006D4068" w:rsidRPr="00E42514">
        <w:rPr>
          <w:b/>
        </w:rPr>
        <w:t>/INFOEM/IP/RR/2024</w:t>
      </w:r>
      <w:r w:rsidRPr="0089675F">
        <w:t xml:space="preserve">, interpuesto </w:t>
      </w:r>
      <w:r w:rsidR="001A54EF" w:rsidRPr="0089675F">
        <w:t xml:space="preserve">por </w:t>
      </w:r>
      <w:r w:rsidR="006B0679" w:rsidRPr="0089675F">
        <w:t>el</w:t>
      </w:r>
      <w:r w:rsidR="006D4068" w:rsidRPr="0089675F">
        <w:t xml:space="preserve"> </w:t>
      </w:r>
      <w:r w:rsidRPr="0089675F">
        <w:t xml:space="preserve">Recurrente o Particular, en contra de la respuesta del Sujeto Obligado, </w:t>
      </w:r>
      <w:r w:rsidRPr="00E42514">
        <w:rPr>
          <w:b/>
        </w:rPr>
        <w:t xml:space="preserve">Ayuntamiento de </w:t>
      </w:r>
      <w:r w:rsidR="006B0679" w:rsidRPr="00E42514">
        <w:rPr>
          <w:b/>
        </w:rPr>
        <w:t>Temamatla</w:t>
      </w:r>
      <w:r w:rsidRPr="0089675F">
        <w:t xml:space="preserve">, a la solicitud de acceso a la información </w:t>
      </w:r>
      <w:r w:rsidR="006B0679" w:rsidRPr="0089675F">
        <w:rPr>
          <w:color w:val="0D0D0D"/>
        </w:rPr>
        <w:t>00309/TEMAMATL/IP/2024</w:t>
      </w:r>
      <w:r w:rsidRPr="0089675F">
        <w:t xml:space="preserve">, se </w:t>
      </w:r>
      <w:r w:rsidRPr="0089675F">
        <w:rPr>
          <w:bCs/>
        </w:rPr>
        <w:t>emite la presente</w:t>
      </w:r>
      <w:r w:rsidRPr="0089675F">
        <w:t xml:space="preserve"> Resolución, con base en los Antecedentes y Considerandos que se exponen a continuación:</w:t>
      </w:r>
    </w:p>
    <w:p w14:paraId="144789C7" w14:textId="77777777" w:rsidR="003B3079" w:rsidRPr="0089675F" w:rsidRDefault="003B3079" w:rsidP="00E26391">
      <w:pPr>
        <w:spacing w:after="0" w:line="360" w:lineRule="auto"/>
      </w:pPr>
    </w:p>
    <w:p w14:paraId="73DD6C24" w14:textId="6D4C9EA9" w:rsidR="00CE58A5" w:rsidRPr="0089675F" w:rsidRDefault="00CE4466" w:rsidP="00E26391">
      <w:pPr>
        <w:pStyle w:val="Ttulo1"/>
        <w:spacing w:before="0" w:after="0"/>
      </w:pPr>
      <w:bookmarkStart w:id="1" w:name="_Toc179975594"/>
      <w:bookmarkStart w:id="2" w:name="_Toc179976882"/>
      <w:r w:rsidRPr="0089675F">
        <w:t>A N T E C E D E N T E S</w:t>
      </w:r>
      <w:bookmarkEnd w:id="1"/>
      <w:bookmarkEnd w:id="2"/>
    </w:p>
    <w:p w14:paraId="3EC6A0ED" w14:textId="77777777" w:rsidR="003B3079" w:rsidRPr="0089675F" w:rsidRDefault="003B3079" w:rsidP="00E26391">
      <w:pPr>
        <w:spacing w:after="0" w:line="360" w:lineRule="auto"/>
      </w:pPr>
    </w:p>
    <w:p w14:paraId="30C1BFAF" w14:textId="34BE2403" w:rsidR="00CE58A5" w:rsidRPr="0089675F" w:rsidRDefault="00CE4466" w:rsidP="00E26391">
      <w:pPr>
        <w:pStyle w:val="Ttulo2"/>
        <w:spacing w:before="0" w:after="0"/>
      </w:pPr>
      <w:bookmarkStart w:id="3" w:name="_Toc179975595"/>
      <w:bookmarkStart w:id="4" w:name="_Toc179976883"/>
      <w:r w:rsidRPr="0089675F">
        <w:t>I. Presentación</w:t>
      </w:r>
      <w:bookmarkEnd w:id="3"/>
      <w:r w:rsidRPr="0089675F">
        <w:t xml:space="preserve"> </w:t>
      </w:r>
      <w:r w:rsidR="00E57161" w:rsidRPr="0089675F">
        <w:t>de la solicitud</w:t>
      </w:r>
      <w:bookmarkEnd w:id="4"/>
    </w:p>
    <w:p w14:paraId="13E36A34" w14:textId="77777777" w:rsidR="00CE58A5" w:rsidRPr="0089675F" w:rsidRDefault="00CE58A5" w:rsidP="00E26391">
      <w:pPr>
        <w:tabs>
          <w:tab w:val="left" w:pos="567"/>
        </w:tabs>
        <w:spacing w:after="0" w:line="360" w:lineRule="auto"/>
      </w:pPr>
    </w:p>
    <w:p w14:paraId="166E0743" w14:textId="60463325" w:rsidR="00CE58A5" w:rsidRPr="0089675F" w:rsidRDefault="00CE4466" w:rsidP="00E26391">
      <w:pPr>
        <w:spacing w:after="0" w:line="360" w:lineRule="auto"/>
      </w:pPr>
      <w:r w:rsidRPr="0089675F">
        <w:t xml:space="preserve">Con fecha </w:t>
      </w:r>
      <w:r w:rsidR="006B0679" w:rsidRPr="0089675F">
        <w:t>veinticinco de septiembre</w:t>
      </w:r>
      <w:r w:rsidR="006D4068" w:rsidRPr="0089675F">
        <w:t xml:space="preserve"> de dos mil veinticuatro</w:t>
      </w:r>
      <w:r w:rsidRPr="0089675F">
        <w:t>, el Particular presentó una solicitud de acceso a la información pública</w:t>
      </w:r>
      <w:r w:rsidR="001A54EF" w:rsidRPr="0089675F">
        <w:t xml:space="preserve"> </w:t>
      </w:r>
      <w:r w:rsidRPr="0089675F">
        <w:t xml:space="preserve"> a través del Sistema de Acceso a la Información Mexiquense (SAIMEX), ante el Ayuntamiento de </w:t>
      </w:r>
      <w:r w:rsidR="0044120C" w:rsidRPr="0089675F">
        <w:t>Temamatla</w:t>
      </w:r>
      <w:r w:rsidRPr="0089675F">
        <w:t xml:space="preserve">, en los siguientes términos: </w:t>
      </w:r>
    </w:p>
    <w:p w14:paraId="16195BED" w14:textId="77777777" w:rsidR="00CE58A5" w:rsidRPr="0089675F" w:rsidRDefault="00CE58A5" w:rsidP="00E26391">
      <w:pPr>
        <w:spacing w:after="0" w:line="360" w:lineRule="auto"/>
      </w:pPr>
    </w:p>
    <w:p w14:paraId="65E84A9E" w14:textId="77777777" w:rsidR="00CE58A5" w:rsidRPr="0089675F" w:rsidRDefault="00CE4466" w:rsidP="00E26391">
      <w:pPr>
        <w:tabs>
          <w:tab w:val="left" w:pos="4667"/>
        </w:tabs>
        <w:spacing w:after="0" w:line="360" w:lineRule="auto"/>
        <w:ind w:left="567" w:right="567"/>
        <w:rPr>
          <w:b/>
          <w:i/>
          <w:sz w:val="20"/>
          <w:szCs w:val="20"/>
        </w:rPr>
      </w:pPr>
      <w:r w:rsidRPr="0089675F">
        <w:rPr>
          <w:b/>
          <w:i/>
          <w:sz w:val="20"/>
          <w:szCs w:val="20"/>
        </w:rPr>
        <w:t>“DESCRIPCIÓN CLARA Y PRECISA DE LA INFORMACIÓN SOLICITADA.</w:t>
      </w:r>
    </w:p>
    <w:p w14:paraId="1B838018" w14:textId="5432B160" w:rsidR="00CE58A5" w:rsidRPr="0089675F" w:rsidRDefault="006B0679" w:rsidP="00E26391">
      <w:pPr>
        <w:tabs>
          <w:tab w:val="left" w:pos="4667"/>
        </w:tabs>
        <w:spacing w:after="0" w:line="360" w:lineRule="auto"/>
        <w:ind w:left="567" w:right="567"/>
        <w:rPr>
          <w:i/>
          <w:sz w:val="20"/>
          <w:szCs w:val="20"/>
        </w:rPr>
      </w:pPr>
      <w:r w:rsidRPr="0089675F">
        <w:rPr>
          <w:i/>
          <w:sz w:val="20"/>
          <w:szCs w:val="20"/>
        </w:rPr>
        <w:t>Cual a sido el monto mensual de gasto por concepto de impresion de lonas y material de imprenta, durante la administración 2022 2024, cual ha sido el proveedor o proveedores, requiero la información desglosada por mes , favor de adjuntar las pólizas de egresos por este concepto</w:t>
      </w:r>
      <w:r w:rsidR="006D4068" w:rsidRPr="0089675F">
        <w:rPr>
          <w:i/>
          <w:sz w:val="20"/>
          <w:szCs w:val="20"/>
        </w:rPr>
        <w:t>.</w:t>
      </w:r>
      <w:r w:rsidR="001A54EF" w:rsidRPr="0089675F">
        <w:rPr>
          <w:i/>
          <w:sz w:val="20"/>
          <w:szCs w:val="20"/>
        </w:rPr>
        <w:t xml:space="preserve">” </w:t>
      </w:r>
      <w:r w:rsidR="001A54EF" w:rsidRPr="0089675F">
        <w:rPr>
          <w:i/>
          <w:sz w:val="16"/>
          <w:szCs w:val="16"/>
        </w:rPr>
        <w:t>(</w:t>
      </w:r>
      <w:r w:rsidR="001A54EF" w:rsidRPr="0089675F">
        <w:rPr>
          <w:i/>
          <w:sz w:val="20"/>
          <w:szCs w:val="20"/>
        </w:rPr>
        <w:t xml:space="preserve">Sic) </w:t>
      </w:r>
    </w:p>
    <w:p w14:paraId="039CE69D" w14:textId="77777777" w:rsidR="001A54EF" w:rsidRPr="0089675F" w:rsidRDefault="001A54EF" w:rsidP="00E26391">
      <w:pPr>
        <w:tabs>
          <w:tab w:val="left" w:pos="4667"/>
        </w:tabs>
        <w:spacing w:after="0" w:line="360" w:lineRule="auto"/>
        <w:ind w:left="567" w:right="567"/>
        <w:rPr>
          <w:b/>
          <w:i/>
          <w:sz w:val="20"/>
          <w:szCs w:val="20"/>
        </w:rPr>
      </w:pPr>
    </w:p>
    <w:p w14:paraId="0C1B5F6D" w14:textId="77777777" w:rsidR="00CE58A5" w:rsidRPr="0089675F" w:rsidRDefault="00CE4466" w:rsidP="00E26391">
      <w:pPr>
        <w:tabs>
          <w:tab w:val="left" w:pos="4667"/>
        </w:tabs>
        <w:spacing w:after="0" w:line="360" w:lineRule="auto"/>
        <w:ind w:left="567" w:right="567"/>
        <w:rPr>
          <w:b/>
          <w:i/>
          <w:sz w:val="20"/>
          <w:szCs w:val="20"/>
        </w:rPr>
      </w:pPr>
      <w:r w:rsidRPr="0089675F">
        <w:rPr>
          <w:b/>
          <w:i/>
          <w:sz w:val="20"/>
          <w:szCs w:val="20"/>
        </w:rPr>
        <w:t>“MODALIDAD DE ENTREGA</w:t>
      </w:r>
    </w:p>
    <w:p w14:paraId="11287FA3" w14:textId="77777777" w:rsidR="00CE58A5" w:rsidRPr="0089675F" w:rsidRDefault="00CE4466" w:rsidP="00E26391">
      <w:pPr>
        <w:spacing w:after="0" w:line="360" w:lineRule="auto"/>
        <w:ind w:left="567" w:right="567"/>
        <w:rPr>
          <w:i/>
          <w:sz w:val="20"/>
          <w:szCs w:val="20"/>
        </w:rPr>
      </w:pPr>
      <w:r w:rsidRPr="0089675F">
        <w:rPr>
          <w:i/>
          <w:sz w:val="20"/>
          <w:szCs w:val="20"/>
        </w:rPr>
        <w:t>A través del SAIMEX”</w:t>
      </w:r>
    </w:p>
    <w:p w14:paraId="59B55C0B" w14:textId="77777777" w:rsidR="00CE58A5" w:rsidRPr="0089675F" w:rsidRDefault="00CE58A5" w:rsidP="00E26391">
      <w:pPr>
        <w:spacing w:after="0" w:line="360" w:lineRule="auto"/>
        <w:rPr>
          <w:b/>
        </w:rPr>
      </w:pPr>
    </w:p>
    <w:p w14:paraId="1D98E4F2" w14:textId="42494019" w:rsidR="00CE58A5" w:rsidRPr="0089675F" w:rsidRDefault="001A54EF" w:rsidP="00E26391">
      <w:pPr>
        <w:pStyle w:val="Ttulo2"/>
        <w:spacing w:before="0" w:after="0"/>
      </w:pPr>
      <w:bookmarkStart w:id="5" w:name="_Toc179975597"/>
      <w:bookmarkStart w:id="6" w:name="_Toc179976885"/>
      <w:r w:rsidRPr="0089675F">
        <w:lastRenderedPageBreak/>
        <w:t>II. Respuesta del Sujeto Obligado</w:t>
      </w:r>
      <w:bookmarkEnd w:id="5"/>
      <w:bookmarkEnd w:id="6"/>
    </w:p>
    <w:p w14:paraId="0D93CE51" w14:textId="77777777" w:rsidR="00CE58A5" w:rsidRPr="0089675F" w:rsidRDefault="00CE58A5" w:rsidP="00E26391">
      <w:pPr>
        <w:spacing w:after="0" w:line="360" w:lineRule="auto"/>
        <w:rPr>
          <w:b/>
        </w:rPr>
      </w:pPr>
    </w:p>
    <w:p w14:paraId="7A5EA7F4" w14:textId="1E49D0BA" w:rsidR="00CE58A5" w:rsidRPr="0089675F" w:rsidRDefault="00CE4466" w:rsidP="00E26391">
      <w:pPr>
        <w:spacing w:after="0" w:line="360" w:lineRule="auto"/>
      </w:pPr>
      <w:r w:rsidRPr="0089675F">
        <w:t xml:space="preserve">Con fecha </w:t>
      </w:r>
      <w:r w:rsidR="006B0679" w:rsidRPr="0089675F">
        <w:t>diecisiete de octubre</w:t>
      </w:r>
      <w:r w:rsidR="00BD76D4" w:rsidRPr="0089675F">
        <w:t xml:space="preserve"> de dos mil veinticuatro</w:t>
      </w:r>
      <w:r w:rsidRPr="0089675F">
        <w:t xml:space="preserve">, el Sujeto Obligado notificó, a través del Sistema de Acceso a la Información Mexiquense (SAIMEX), la respuesta a la solicitud de acceso a la información pública, </w:t>
      </w:r>
      <w:r w:rsidR="00EE1C8D" w:rsidRPr="0089675F">
        <w:t xml:space="preserve">mediante la remisión de los siguientes documentos: </w:t>
      </w:r>
    </w:p>
    <w:p w14:paraId="0F09AE9C" w14:textId="77777777" w:rsidR="00EE1C8D" w:rsidRPr="0089675F" w:rsidRDefault="00EE1C8D" w:rsidP="00E26391">
      <w:pPr>
        <w:spacing w:after="0" w:line="360" w:lineRule="auto"/>
      </w:pPr>
    </w:p>
    <w:p w14:paraId="017C614E" w14:textId="06F57E4E" w:rsidR="00EE1C8D" w:rsidRPr="0089675F" w:rsidRDefault="00EE1C8D" w:rsidP="00E26391">
      <w:pPr>
        <w:pStyle w:val="Prrafodelista"/>
        <w:numPr>
          <w:ilvl w:val="0"/>
          <w:numId w:val="25"/>
        </w:numPr>
        <w:spacing w:line="360" w:lineRule="auto"/>
      </w:pPr>
      <w:r w:rsidRPr="0089675F">
        <w:t xml:space="preserve">Digitalización del oficio MT/TESORERIAMPAL/OI/409/2024 de la Tesorera municipal, donde refiere que la información solicitada se encuentra publicada en </w:t>
      </w:r>
      <w:r w:rsidR="0036629A" w:rsidRPr="0089675F">
        <w:t>la dirección electrónica que proporcionó, misma que se encuentra en formato cerrado.</w:t>
      </w:r>
    </w:p>
    <w:p w14:paraId="6E250BDA" w14:textId="57F9F7F6" w:rsidR="0036629A" w:rsidRPr="0089675F" w:rsidRDefault="0036629A" w:rsidP="00E26391">
      <w:pPr>
        <w:pStyle w:val="Prrafodelista"/>
        <w:numPr>
          <w:ilvl w:val="0"/>
          <w:numId w:val="25"/>
        </w:numPr>
        <w:spacing w:line="360" w:lineRule="auto"/>
      </w:pPr>
      <w:r w:rsidRPr="0089675F">
        <w:t xml:space="preserve">Digitalización de la Octogésima Tercera Sesión Ordinaria del Comité de Transparencia, donde se aprobó el cambio de modalidad </w:t>
      </w:r>
      <w:r w:rsidR="00CF3A29" w:rsidRPr="0089675F">
        <w:t xml:space="preserve">a consulta directa </w:t>
      </w:r>
      <w:r w:rsidRPr="0089675F">
        <w:t xml:space="preserve">en la entrega de la información de diversas solicitudes de información, incluida la </w:t>
      </w:r>
      <w:r w:rsidR="00CF3A29" w:rsidRPr="0089675F">
        <w:t xml:space="preserve">solicitud </w:t>
      </w:r>
      <w:r w:rsidR="00E84D5E" w:rsidRPr="0089675F">
        <w:t xml:space="preserve">presente </w:t>
      </w:r>
      <w:r w:rsidR="00CF3A29" w:rsidRPr="0089675F">
        <w:rPr>
          <w:b/>
        </w:rPr>
        <w:t>00309/TEMAMATL/IP/2024</w:t>
      </w:r>
      <w:r w:rsidR="00CF3A29" w:rsidRPr="0089675F">
        <w:t>.</w:t>
      </w:r>
    </w:p>
    <w:p w14:paraId="1B84C446" w14:textId="26272694" w:rsidR="000A5247" w:rsidRPr="0089675F" w:rsidRDefault="000A5247" w:rsidP="00E26391">
      <w:pPr>
        <w:spacing w:after="0" w:line="360" w:lineRule="auto"/>
      </w:pPr>
    </w:p>
    <w:p w14:paraId="2FA06B09" w14:textId="66EBE1D7" w:rsidR="00CE58A5" w:rsidRPr="0089675F" w:rsidRDefault="00CE4466" w:rsidP="00E26391">
      <w:pPr>
        <w:pStyle w:val="Ttulo2"/>
        <w:spacing w:before="0" w:after="0"/>
      </w:pPr>
      <w:bookmarkStart w:id="7" w:name="_Toc179975598"/>
      <w:bookmarkStart w:id="8" w:name="_Toc179976886"/>
      <w:r w:rsidRPr="0089675F">
        <w:t>I</w:t>
      </w:r>
      <w:r w:rsidR="00A50615" w:rsidRPr="0089675F">
        <w:t>V</w:t>
      </w:r>
      <w:r w:rsidRPr="0089675F">
        <w:t>. Interposición del Recurso de Revisión</w:t>
      </w:r>
      <w:bookmarkEnd w:id="7"/>
      <w:bookmarkEnd w:id="8"/>
    </w:p>
    <w:p w14:paraId="3837109C" w14:textId="77777777" w:rsidR="00CE58A5" w:rsidRPr="0089675F" w:rsidRDefault="00CE58A5" w:rsidP="00E26391">
      <w:pPr>
        <w:spacing w:after="0" w:line="360" w:lineRule="auto"/>
        <w:rPr>
          <w:b/>
        </w:rPr>
      </w:pPr>
    </w:p>
    <w:p w14:paraId="3385106E" w14:textId="205831AF" w:rsidR="00CE58A5" w:rsidRPr="0089675F" w:rsidRDefault="00CE4466" w:rsidP="00E26391">
      <w:pPr>
        <w:spacing w:after="0" w:line="360" w:lineRule="auto"/>
      </w:pPr>
      <w:r w:rsidRPr="0089675F">
        <w:t>Con fecha</w:t>
      </w:r>
      <w:r w:rsidR="00CF3A29" w:rsidRPr="0089675F">
        <w:t xml:space="preserve"> veintitrés de octubre </w:t>
      </w:r>
      <w:r w:rsidR="00DD7C00" w:rsidRPr="0089675F">
        <w:t xml:space="preserve"> de dos mil veinticuatro</w:t>
      </w:r>
      <w:r w:rsidRPr="0089675F">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89675F" w:rsidRDefault="00CE58A5" w:rsidP="00E26391">
      <w:pPr>
        <w:spacing w:after="0" w:line="360" w:lineRule="auto"/>
      </w:pPr>
    </w:p>
    <w:p w14:paraId="70843217" w14:textId="77777777" w:rsidR="00CE58A5" w:rsidRPr="0089675F" w:rsidRDefault="00CE4466" w:rsidP="00E26391">
      <w:pPr>
        <w:spacing w:after="0" w:line="360" w:lineRule="auto"/>
        <w:ind w:left="567" w:right="567"/>
        <w:rPr>
          <w:i/>
          <w:sz w:val="20"/>
          <w:szCs w:val="20"/>
        </w:rPr>
      </w:pPr>
      <w:r w:rsidRPr="0089675F">
        <w:rPr>
          <w:b/>
          <w:i/>
          <w:sz w:val="20"/>
          <w:szCs w:val="20"/>
        </w:rPr>
        <w:t>“ACTO IMPUGNADO”</w:t>
      </w:r>
    </w:p>
    <w:p w14:paraId="1A82882E" w14:textId="61FDF794" w:rsidR="00CE58A5" w:rsidRPr="0089675F" w:rsidRDefault="00CF3A29" w:rsidP="00E26391">
      <w:pPr>
        <w:spacing w:after="0" w:line="360" w:lineRule="auto"/>
        <w:ind w:left="567" w:right="567"/>
        <w:rPr>
          <w:i/>
          <w:sz w:val="20"/>
          <w:szCs w:val="20"/>
        </w:rPr>
      </w:pPr>
      <w:r w:rsidRPr="0089675F">
        <w:rPr>
          <w:i/>
          <w:color w:val="000000"/>
          <w:sz w:val="20"/>
          <w:szCs w:val="20"/>
        </w:rPr>
        <w:t>RESPUESTA DE SOLICITUD</w:t>
      </w:r>
      <w:r w:rsidR="00791585" w:rsidRPr="0089675F">
        <w:rPr>
          <w:i/>
          <w:sz w:val="20"/>
          <w:szCs w:val="20"/>
        </w:rPr>
        <w:t>” (Sic.)</w:t>
      </w:r>
    </w:p>
    <w:p w14:paraId="1CAF0EE0" w14:textId="77777777" w:rsidR="00CE58A5" w:rsidRPr="0089675F" w:rsidRDefault="00CE58A5" w:rsidP="00E26391">
      <w:pPr>
        <w:spacing w:after="0" w:line="360" w:lineRule="auto"/>
        <w:ind w:left="567" w:right="567"/>
        <w:rPr>
          <w:i/>
          <w:sz w:val="20"/>
          <w:szCs w:val="20"/>
        </w:rPr>
      </w:pPr>
    </w:p>
    <w:p w14:paraId="02DA69C4" w14:textId="77777777" w:rsidR="00CE58A5" w:rsidRPr="0089675F" w:rsidRDefault="00CE4466" w:rsidP="00E26391">
      <w:pPr>
        <w:spacing w:after="0" w:line="360" w:lineRule="auto"/>
        <w:ind w:left="567" w:right="567"/>
        <w:rPr>
          <w:b/>
          <w:i/>
          <w:sz w:val="20"/>
          <w:szCs w:val="20"/>
        </w:rPr>
      </w:pPr>
      <w:r w:rsidRPr="0089675F">
        <w:rPr>
          <w:b/>
          <w:i/>
          <w:sz w:val="20"/>
          <w:szCs w:val="20"/>
        </w:rPr>
        <w:t>“RAZONES O MOTIVOS DE LA INCONFORMIDAD”</w:t>
      </w:r>
    </w:p>
    <w:p w14:paraId="10183522" w14:textId="42656D0D" w:rsidR="00CE58A5" w:rsidRPr="0089675F" w:rsidRDefault="00CF3A29" w:rsidP="00E26391">
      <w:pPr>
        <w:spacing w:after="0" w:line="360" w:lineRule="auto"/>
        <w:ind w:left="567" w:right="567"/>
        <w:rPr>
          <w:i/>
          <w:sz w:val="20"/>
          <w:szCs w:val="20"/>
        </w:rPr>
      </w:pPr>
      <w:r w:rsidRPr="0089675F">
        <w:rPr>
          <w:i/>
          <w:color w:val="000000"/>
          <w:sz w:val="20"/>
          <w:szCs w:val="20"/>
        </w:rPr>
        <w:t xml:space="preserve">EL SUJETO OBLIGADO REFIERE EN SU RESPUESTA UNA LIGA PARA LA CONSULTA DE LA INFORMACION SIN EMBARGO EN SU PLATAFORMA NO SE ENCUENTRA LA INFORMACION DE MANERA ESPECIFICA DEACUERDO A MI SOLICITUD LA </w:t>
      </w:r>
      <w:r w:rsidRPr="0089675F">
        <w:rPr>
          <w:i/>
          <w:color w:val="000000"/>
          <w:sz w:val="20"/>
          <w:szCs w:val="20"/>
        </w:rPr>
        <w:lastRenderedPageBreak/>
        <w:t>INFORMACION ES GLOBAL Y GENERALIZADA, NI TAMPOCO SE ENCUENTRAN LAS POLIZAS DE LA INFORMACION SOLICITADA</w:t>
      </w:r>
      <w:r w:rsidR="00DD7C00" w:rsidRPr="0089675F">
        <w:rPr>
          <w:i/>
          <w:color w:val="000000"/>
          <w:sz w:val="20"/>
          <w:szCs w:val="20"/>
        </w:rPr>
        <w:t>.</w:t>
      </w:r>
      <w:r w:rsidR="00791585" w:rsidRPr="0089675F">
        <w:rPr>
          <w:i/>
          <w:sz w:val="20"/>
          <w:szCs w:val="20"/>
        </w:rPr>
        <w:t>” (Sic.)</w:t>
      </w:r>
    </w:p>
    <w:p w14:paraId="0BBB2449" w14:textId="77777777" w:rsidR="00CE58A5" w:rsidRPr="0089675F" w:rsidRDefault="00CE58A5" w:rsidP="00E26391">
      <w:pPr>
        <w:spacing w:after="0" w:line="360" w:lineRule="auto"/>
      </w:pPr>
    </w:p>
    <w:p w14:paraId="256BC137" w14:textId="0243D312" w:rsidR="00CE58A5" w:rsidRPr="0089675F" w:rsidRDefault="00CE4466" w:rsidP="00E26391">
      <w:pPr>
        <w:pStyle w:val="Ttulo2"/>
        <w:spacing w:before="0" w:after="0"/>
      </w:pPr>
      <w:bookmarkStart w:id="9" w:name="_Toc179975599"/>
      <w:bookmarkStart w:id="10" w:name="_Toc179976887"/>
      <w:r w:rsidRPr="0089675F">
        <w:t>V. Trámite del Recurso de Revisión ante este Instituto</w:t>
      </w:r>
      <w:bookmarkEnd w:id="9"/>
      <w:bookmarkEnd w:id="10"/>
    </w:p>
    <w:p w14:paraId="08451C4E" w14:textId="77777777" w:rsidR="001A54EF" w:rsidRPr="0089675F" w:rsidRDefault="001A54EF" w:rsidP="00E26391">
      <w:pPr>
        <w:spacing w:after="0" w:line="360" w:lineRule="auto"/>
        <w:rPr>
          <w:b/>
        </w:rPr>
      </w:pPr>
    </w:p>
    <w:p w14:paraId="31E01367" w14:textId="7622DF2C" w:rsidR="00CE58A5" w:rsidRPr="0089675F" w:rsidRDefault="00CE4466" w:rsidP="00E26391">
      <w:pPr>
        <w:spacing w:after="0" w:line="360" w:lineRule="auto"/>
        <w:rPr>
          <w:b/>
        </w:rPr>
      </w:pPr>
      <w:r w:rsidRPr="0089675F">
        <w:rPr>
          <w:b/>
        </w:rPr>
        <w:t>a) Turno del Medio de Impugnación.</w:t>
      </w:r>
      <w:r w:rsidRPr="0089675F">
        <w:t xml:space="preserve"> El </w:t>
      </w:r>
      <w:r w:rsidR="00A148A4" w:rsidRPr="0089675F">
        <w:t>veintitrés de octubre  de dos mil veinticuatro</w:t>
      </w:r>
      <w:r w:rsidRPr="0089675F">
        <w:t xml:space="preserve">, el Sistema de Acceso a la Información Mexiquense (SAIMEX), asignó el número de expediente </w:t>
      </w:r>
      <w:r w:rsidR="00A148A4" w:rsidRPr="0089675F">
        <w:rPr>
          <w:b/>
        </w:rPr>
        <w:t>06591</w:t>
      </w:r>
      <w:r w:rsidR="00FB2C05" w:rsidRPr="0089675F">
        <w:rPr>
          <w:b/>
        </w:rPr>
        <w:t xml:space="preserve"> </w:t>
      </w:r>
      <w:r w:rsidR="006D4068" w:rsidRPr="0089675F">
        <w:rPr>
          <w:b/>
        </w:rPr>
        <w:t>/INFOEM/IP/RR/2024</w:t>
      </w:r>
      <w:r w:rsidRPr="0089675F">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89675F" w:rsidRDefault="00CE58A5" w:rsidP="00E26391">
      <w:pPr>
        <w:spacing w:after="0" w:line="360" w:lineRule="auto"/>
      </w:pPr>
    </w:p>
    <w:p w14:paraId="69DE9485" w14:textId="6D76D65D" w:rsidR="00CE58A5" w:rsidRPr="0089675F" w:rsidRDefault="00CE4466" w:rsidP="00E26391">
      <w:pPr>
        <w:spacing w:after="0" w:line="360" w:lineRule="auto"/>
      </w:pPr>
      <w:r w:rsidRPr="0089675F">
        <w:rPr>
          <w:b/>
        </w:rPr>
        <w:t>b) Admisión del Recurso de Revisión.</w:t>
      </w:r>
      <w:r w:rsidRPr="0089675F">
        <w:t xml:space="preserve"> El </w:t>
      </w:r>
      <w:r w:rsidR="00DD7C00" w:rsidRPr="0089675F">
        <w:t>veinti</w:t>
      </w:r>
      <w:r w:rsidR="00372769" w:rsidRPr="0089675F">
        <w:t>ocho</w:t>
      </w:r>
      <w:r w:rsidR="00FB2C05" w:rsidRPr="0089675F">
        <w:t xml:space="preserve"> de octubre</w:t>
      </w:r>
      <w:r w:rsidR="00DD7C00" w:rsidRPr="0089675F">
        <w:t xml:space="preserve"> de dos mil veinticuatro</w:t>
      </w:r>
      <w:r w:rsidRPr="0089675F">
        <w:t>,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7D2BEC" w:rsidRPr="0089675F">
        <w:t xml:space="preserve"> mismo día</w:t>
      </w:r>
      <w:r w:rsidRPr="0089675F">
        <w:t>,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89675F" w:rsidRDefault="00CE58A5" w:rsidP="00E26391">
      <w:pPr>
        <w:spacing w:after="0" w:line="360" w:lineRule="auto"/>
        <w:rPr>
          <w:b/>
        </w:rPr>
      </w:pPr>
    </w:p>
    <w:p w14:paraId="3590ED0A" w14:textId="11DD05F2" w:rsidR="00CE58A5" w:rsidRPr="0089675F" w:rsidRDefault="00CE4466" w:rsidP="00E26391">
      <w:pPr>
        <w:spacing w:after="0" w:line="360" w:lineRule="auto"/>
      </w:pPr>
      <w:r w:rsidRPr="0089675F">
        <w:rPr>
          <w:b/>
          <w:color w:val="000000"/>
        </w:rPr>
        <w:t xml:space="preserve">c) </w:t>
      </w:r>
      <w:r w:rsidRPr="0089675F">
        <w:rPr>
          <w:b/>
        </w:rPr>
        <w:t xml:space="preserve">Informe Justificado o Manifestaciones. </w:t>
      </w:r>
      <w:r w:rsidR="00372769" w:rsidRPr="0089675F">
        <w:t xml:space="preserve">El </w:t>
      </w:r>
      <w:r w:rsidR="00FB2C05" w:rsidRPr="0089675F">
        <w:t>Sujeto Obligado fue omiso en rendir su informe justificado</w:t>
      </w:r>
      <w:r w:rsidR="00372769" w:rsidRPr="0089675F">
        <w:t xml:space="preserve">. Por su parte la particular </w:t>
      </w:r>
      <w:r w:rsidR="00FB2C05" w:rsidRPr="0089675F">
        <w:t xml:space="preserve">omitió realizar </w:t>
      </w:r>
      <w:r w:rsidR="0090536E" w:rsidRPr="0089675F">
        <w:t>manifestación</w:t>
      </w:r>
      <w:r w:rsidR="00FB2C05" w:rsidRPr="0089675F">
        <w:t xml:space="preserve"> alguna que a su derecho </w:t>
      </w:r>
      <w:r w:rsidR="0090536E" w:rsidRPr="0089675F">
        <w:t xml:space="preserve">asistiera. </w:t>
      </w:r>
      <w:r w:rsidR="00372769" w:rsidRPr="0089675F">
        <w:t xml:space="preserve"> </w:t>
      </w:r>
    </w:p>
    <w:p w14:paraId="56789300" w14:textId="77777777" w:rsidR="00372769" w:rsidRPr="0089675F" w:rsidRDefault="00372769" w:rsidP="00E26391">
      <w:pPr>
        <w:spacing w:after="0" w:line="360" w:lineRule="auto"/>
      </w:pPr>
    </w:p>
    <w:p w14:paraId="13E25C12" w14:textId="321C3D7A" w:rsidR="00CE58A5" w:rsidRPr="0089675F" w:rsidRDefault="00E84D5E" w:rsidP="00E26391">
      <w:pPr>
        <w:spacing w:after="0" w:line="360" w:lineRule="auto"/>
        <w:rPr>
          <w:b/>
        </w:rPr>
      </w:pPr>
      <w:r w:rsidRPr="0089675F">
        <w:rPr>
          <w:b/>
        </w:rPr>
        <w:t>d</w:t>
      </w:r>
      <w:r w:rsidR="00791585" w:rsidRPr="0089675F">
        <w:rPr>
          <w:b/>
        </w:rPr>
        <w:t>) Cierre de instrucción.</w:t>
      </w:r>
      <w:r w:rsidR="00791585" w:rsidRPr="0089675F">
        <w:t xml:space="preserve"> El </w:t>
      </w:r>
      <w:r w:rsidR="00100241" w:rsidRPr="0089675F">
        <w:t>doce</w:t>
      </w:r>
      <w:r w:rsidR="0090536E" w:rsidRPr="0089675F">
        <w:t xml:space="preserve"> de noviembre</w:t>
      </w:r>
      <w:r w:rsidR="00791585" w:rsidRPr="0089675F">
        <w:t xml:space="preserve"> de dos mil veinticuatro, al no existir diligencias pendientes por desahogar, se emitió el acuerdo por medio del cual se declaró cerrada la instrucción y se determinó pasar los expedientes a resolución, en términos de lo dispuesto en </w:t>
      </w:r>
      <w:r w:rsidR="00791585" w:rsidRPr="0089675F">
        <w:lastRenderedPageBreak/>
        <w:t>los artículos 185, fracciones VI y VIII, de la Ley de Transparencia y Acceso a la Información Pública del Estado de México y Municipios, acto que fue notificado a las partes, mediante el Sistema de Acceso a la Información Mexiquense (SAIMEX), el</w:t>
      </w:r>
      <w:r w:rsidR="00100241" w:rsidRPr="0089675F">
        <w:t xml:space="preserve"> trece de dicho mes y año</w:t>
      </w:r>
      <w:r w:rsidR="00791585" w:rsidRPr="0089675F">
        <w:t>.</w:t>
      </w:r>
    </w:p>
    <w:p w14:paraId="6DF2E44B" w14:textId="77777777" w:rsidR="00CE58A5" w:rsidRPr="0089675F" w:rsidRDefault="00CE58A5" w:rsidP="00E26391">
      <w:pPr>
        <w:spacing w:after="0" w:line="360" w:lineRule="auto"/>
      </w:pPr>
    </w:p>
    <w:p w14:paraId="1A2D1592" w14:textId="77777777" w:rsidR="00CE58A5" w:rsidRPr="0089675F" w:rsidRDefault="00CE4466" w:rsidP="00E26391">
      <w:pPr>
        <w:spacing w:after="0" w:line="360" w:lineRule="auto"/>
      </w:pPr>
      <w:r w:rsidRPr="0089675F">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89675F" w:rsidRDefault="00CE58A5" w:rsidP="00E26391">
      <w:pPr>
        <w:spacing w:after="0" w:line="360" w:lineRule="auto"/>
      </w:pPr>
    </w:p>
    <w:p w14:paraId="1E06E728" w14:textId="69856E54" w:rsidR="00CE58A5" w:rsidRPr="0089675F" w:rsidRDefault="00CE4466" w:rsidP="00E26391">
      <w:pPr>
        <w:pStyle w:val="Ttulo1"/>
        <w:spacing w:before="0" w:after="0"/>
      </w:pPr>
      <w:bookmarkStart w:id="11" w:name="_Toc179975600"/>
      <w:bookmarkStart w:id="12" w:name="_Toc179976888"/>
      <w:r w:rsidRPr="0089675F">
        <w:t>C O N S I D E R A N D O S</w:t>
      </w:r>
      <w:bookmarkEnd w:id="11"/>
      <w:bookmarkEnd w:id="12"/>
    </w:p>
    <w:p w14:paraId="09DEA601" w14:textId="77777777" w:rsidR="00CE58A5" w:rsidRPr="0089675F" w:rsidRDefault="00CE58A5" w:rsidP="00E26391">
      <w:pPr>
        <w:spacing w:after="0" w:line="360" w:lineRule="auto"/>
        <w:rPr>
          <w:b/>
        </w:rPr>
      </w:pPr>
    </w:p>
    <w:p w14:paraId="3D9317E1" w14:textId="77777777" w:rsidR="00CE58A5" w:rsidRPr="0089675F" w:rsidRDefault="00CE4466" w:rsidP="00E26391">
      <w:pPr>
        <w:pStyle w:val="Ttulo2"/>
        <w:spacing w:before="0" w:after="0"/>
      </w:pPr>
      <w:bookmarkStart w:id="13" w:name="_Toc179975601"/>
      <w:bookmarkStart w:id="14" w:name="_Toc179976889"/>
      <w:r w:rsidRPr="0089675F">
        <w:t>PRIMERO. Competencia</w:t>
      </w:r>
      <w:bookmarkEnd w:id="13"/>
      <w:bookmarkEnd w:id="14"/>
    </w:p>
    <w:p w14:paraId="4F07F053" w14:textId="77777777" w:rsidR="00CE58A5" w:rsidRPr="0089675F" w:rsidRDefault="00CE58A5" w:rsidP="00E26391">
      <w:pPr>
        <w:spacing w:after="0" w:line="360" w:lineRule="auto"/>
        <w:rPr>
          <w:b/>
        </w:rPr>
      </w:pPr>
    </w:p>
    <w:p w14:paraId="7E9B74F8" w14:textId="77777777" w:rsidR="00CE58A5" w:rsidRPr="0089675F" w:rsidRDefault="00CE4466" w:rsidP="00E26391">
      <w:pPr>
        <w:spacing w:after="0" w:line="360" w:lineRule="auto"/>
      </w:pPr>
      <w:r w:rsidRPr="0089675F">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89675F">
        <w:rPr>
          <w:color w:val="000000"/>
        </w:rPr>
        <w:t>trigésimo segundo, trigésimo tercero y trigésimo cuarto</w:t>
      </w:r>
      <w:r w:rsidRPr="0089675F">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89675F" w:rsidRDefault="00CE58A5" w:rsidP="00E26391">
      <w:pPr>
        <w:spacing w:after="0" w:line="360" w:lineRule="auto"/>
      </w:pPr>
    </w:p>
    <w:p w14:paraId="250C24B5" w14:textId="77777777" w:rsidR="00CE58A5" w:rsidRPr="0089675F" w:rsidRDefault="00CE4466" w:rsidP="00E26391">
      <w:pPr>
        <w:pStyle w:val="Ttulo2"/>
        <w:spacing w:before="0" w:after="0"/>
      </w:pPr>
      <w:bookmarkStart w:id="15" w:name="_Toc179975602"/>
      <w:bookmarkStart w:id="16" w:name="_Toc179976890"/>
      <w:r w:rsidRPr="0089675F">
        <w:t>SEGUNDO. Causales de improcedencia y sobreseimiento</w:t>
      </w:r>
      <w:bookmarkEnd w:id="15"/>
      <w:bookmarkEnd w:id="16"/>
    </w:p>
    <w:p w14:paraId="5DE8EFD8" w14:textId="77777777" w:rsidR="00CE58A5" w:rsidRPr="0089675F" w:rsidRDefault="00CE58A5" w:rsidP="00E26391">
      <w:pPr>
        <w:spacing w:after="0" w:line="360" w:lineRule="auto"/>
      </w:pPr>
    </w:p>
    <w:p w14:paraId="4C46253C" w14:textId="77777777" w:rsidR="00CE58A5" w:rsidRPr="0089675F" w:rsidRDefault="00CE4466" w:rsidP="00E26391">
      <w:pPr>
        <w:spacing w:after="0" w:line="360" w:lineRule="auto"/>
      </w:pPr>
      <w:r w:rsidRPr="0089675F">
        <w:lastRenderedPageBreak/>
        <w:t xml:space="preserve">De las constancias que forma parte del Recurso de Revisión que se analiza, se advierte que previo al estudio del fondo de la </w:t>
      </w:r>
      <w:r w:rsidRPr="0089675F">
        <w:rPr>
          <w:i/>
        </w:rPr>
        <w:t>litis</w:t>
      </w:r>
      <w:r w:rsidRPr="0089675F">
        <w:t>, es necesario estudiar las causales de improcedencia y sobreseimiento que se adviertan, para determinar lo que en Derecho proceda.</w:t>
      </w:r>
    </w:p>
    <w:p w14:paraId="3A0F3AA0" w14:textId="77777777" w:rsidR="00CE58A5" w:rsidRPr="0089675F" w:rsidRDefault="00CE58A5" w:rsidP="00E26391">
      <w:pPr>
        <w:spacing w:after="0" w:line="360" w:lineRule="auto"/>
      </w:pPr>
    </w:p>
    <w:p w14:paraId="7548DF11" w14:textId="77777777" w:rsidR="00CE58A5" w:rsidRPr="0089675F" w:rsidRDefault="00CE4466" w:rsidP="00E26391">
      <w:pPr>
        <w:spacing w:after="0" w:line="360" w:lineRule="auto"/>
        <w:rPr>
          <w:b/>
        </w:rPr>
      </w:pPr>
      <w:r w:rsidRPr="0089675F">
        <w:rPr>
          <w:b/>
        </w:rPr>
        <w:t>Causales de improcedencia</w:t>
      </w:r>
    </w:p>
    <w:p w14:paraId="76737F91" w14:textId="77777777" w:rsidR="003B3079" w:rsidRPr="0089675F" w:rsidRDefault="003B3079" w:rsidP="00E26391">
      <w:pPr>
        <w:spacing w:after="0" w:line="360" w:lineRule="auto"/>
      </w:pPr>
    </w:p>
    <w:p w14:paraId="02D368DF" w14:textId="77777777" w:rsidR="00CE58A5" w:rsidRPr="0089675F" w:rsidRDefault="00CE4466" w:rsidP="00E26391">
      <w:pPr>
        <w:spacing w:after="0" w:line="360" w:lineRule="auto"/>
      </w:pPr>
      <w:r w:rsidRPr="0089675F">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89675F">
        <w:rPr>
          <w:b/>
        </w:rPr>
        <w:t xml:space="preserve"> </w:t>
      </w:r>
      <w:r w:rsidRPr="0089675F">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89675F" w:rsidRDefault="00CE58A5" w:rsidP="00E26391">
      <w:pPr>
        <w:spacing w:after="0" w:line="360" w:lineRule="auto"/>
      </w:pPr>
    </w:p>
    <w:p w14:paraId="35F10868" w14:textId="77777777" w:rsidR="00CE58A5" w:rsidRPr="0089675F" w:rsidRDefault="00CE4466" w:rsidP="00E26391">
      <w:pPr>
        <w:spacing w:after="0" w:line="360" w:lineRule="auto"/>
      </w:pPr>
      <w:r w:rsidRPr="0089675F">
        <w:t xml:space="preserve">En el presente caso, </w:t>
      </w:r>
      <w:r w:rsidRPr="0089675F">
        <w:rPr>
          <w:b/>
        </w:rPr>
        <w:t>no se actualiza ninguna de las causales de improcedencia</w:t>
      </w:r>
      <w:r w:rsidRPr="0089675F">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89675F" w:rsidRDefault="00CE58A5" w:rsidP="00E26391">
      <w:pPr>
        <w:spacing w:after="0" w:line="360" w:lineRule="auto"/>
        <w:rPr>
          <w:b/>
        </w:rPr>
      </w:pPr>
    </w:p>
    <w:p w14:paraId="5BC4FA52" w14:textId="77777777" w:rsidR="003B3079" w:rsidRPr="0089675F" w:rsidRDefault="003B3079" w:rsidP="00E26391">
      <w:pPr>
        <w:widowControl w:val="0"/>
        <w:spacing w:after="0" w:line="360" w:lineRule="auto"/>
        <w:contextualSpacing/>
        <w:rPr>
          <w:color w:val="222222"/>
        </w:rPr>
      </w:pPr>
      <w:r w:rsidRPr="0089675F">
        <w:rPr>
          <w:rFonts w:cs="Tahoma"/>
        </w:rPr>
        <w:t xml:space="preserve">Asimismo, se actualiza la causal de procedencia del Recurso de Revisión señalada en el artículo 179, fracción VI, de la Ley en cita, </w:t>
      </w:r>
      <w:r w:rsidRPr="0089675F">
        <w:rPr>
          <w:rFonts w:eastAsia="Calibri" w:cs="Tahoma"/>
          <w:color w:val="000000"/>
        </w:rPr>
        <w:t xml:space="preserve">pues la Recurrente se inconformó con </w:t>
      </w:r>
      <w:r w:rsidRPr="0089675F">
        <w:rPr>
          <w:rFonts w:cs="Tahoma"/>
        </w:rPr>
        <w:t>la entrega de información que no corresponde con lo solicitado.</w:t>
      </w:r>
    </w:p>
    <w:p w14:paraId="404C2A95" w14:textId="77777777" w:rsidR="00CE58A5" w:rsidRPr="0089675F" w:rsidRDefault="00CE58A5" w:rsidP="00E26391">
      <w:pPr>
        <w:spacing w:after="0" w:line="360" w:lineRule="auto"/>
        <w:rPr>
          <w:b/>
        </w:rPr>
      </w:pPr>
    </w:p>
    <w:p w14:paraId="74D31774" w14:textId="723B4AAA" w:rsidR="00922619" w:rsidRPr="0089675F" w:rsidRDefault="0089675F" w:rsidP="00E26391">
      <w:pPr>
        <w:spacing w:after="0" w:line="360" w:lineRule="auto"/>
        <w:ind w:right="-28"/>
        <w:contextualSpacing/>
        <w:rPr>
          <w:rFonts w:eastAsia="Calibri" w:cs="Tahoma"/>
          <w:b/>
          <w:color w:val="auto"/>
          <w:lang w:val="es-ES" w:eastAsia="es-ES_tradnl"/>
        </w:rPr>
      </w:pPr>
      <w:r w:rsidRPr="0089675F">
        <w:rPr>
          <w:rFonts w:eastAsia="Calibri" w:cs="Tahoma"/>
          <w:b/>
          <w:color w:val="auto"/>
          <w:lang w:val="es-ES" w:eastAsia="es-ES_tradnl"/>
        </w:rPr>
        <w:t>Causales de sobreseimiento</w:t>
      </w:r>
    </w:p>
    <w:p w14:paraId="6137A151" w14:textId="77777777" w:rsidR="00922619" w:rsidRPr="0089675F" w:rsidRDefault="00922619" w:rsidP="00E26391">
      <w:pPr>
        <w:spacing w:after="0" w:line="360" w:lineRule="auto"/>
        <w:ind w:right="-28"/>
        <w:contextualSpacing/>
        <w:rPr>
          <w:rFonts w:eastAsia="Calibri" w:cs="Tahoma"/>
          <w:color w:val="auto"/>
          <w:lang w:val="es-ES" w:eastAsia="es-ES_tradnl"/>
        </w:rPr>
      </w:pPr>
    </w:p>
    <w:p w14:paraId="2E349B16" w14:textId="77777777" w:rsidR="00922619" w:rsidRPr="0089675F" w:rsidRDefault="00922619" w:rsidP="00E26391">
      <w:pPr>
        <w:spacing w:after="0" w:line="360" w:lineRule="auto"/>
        <w:contextualSpacing/>
        <w:rPr>
          <w:rFonts w:eastAsia="Times New Roman" w:cs="Tahoma"/>
          <w:color w:val="auto"/>
          <w:szCs w:val="24"/>
          <w:lang w:eastAsia="es-ES"/>
        </w:rPr>
      </w:pPr>
      <w:r w:rsidRPr="0089675F">
        <w:rPr>
          <w:rFonts w:eastAsia="Times New Roman" w:cs="Tahoma"/>
          <w:color w:val="auto"/>
          <w:szCs w:val="24"/>
          <w:lang w:eastAsia="es-ES"/>
        </w:rPr>
        <w:t>Por ser de previo y especial pronunciamiento, este Instituto analiza si se actualiza alguna causal de sobreseimiento.</w:t>
      </w:r>
    </w:p>
    <w:p w14:paraId="332E5BBB" w14:textId="77777777" w:rsidR="00922619" w:rsidRPr="0089675F" w:rsidRDefault="00922619" w:rsidP="00E26391">
      <w:pPr>
        <w:spacing w:after="0" w:line="360" w:lineRule="auto"/>
        <w:contextualSpacing/>
        <w:rPr>
          <w:rFonts w:eastAsia="Times New Roman" w:cs="Tahoma"/>
          <w:color w:val="auto"/>
          <w:szCs w:val="24"/>
          <w:lang w:eastAsia="es-ES"/>
        </w:rPr>
      </w:pPr>
    </w:p>
    <w:p w14:paraId="63CB8F1E" w14:textId="77777777" w:rsidR="003B3079" w:rsidRPr="0089675F" w:rsidRDefault="003B3079" w:rsidP="00E26391">
      <w:pPr>
        <w:spacing w:after="0" w:line="360" w:lineRule="auto"/>
        <w:contextualSpacing/>
        <w:rPr>
          <w:rFonts w:cs="Tahoma"/>
        </w:rPr>
      </w:pPr>
      <w:r w:rsidRPr="0089675F">
        <w:rPr>
          <w:rFonts w:cs="Tahoma"/>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133E6E22" w14:textId="77777777" w:rsidR="003B3079" w:rsidRPr="0089675F" w:rsidRDefault="003B3079" w:rsidP="00E26391">
      <w:pPr>
        <w:spacing w:after="0" w:line="360" w:lineRule="auto"/>
        <w:contextualSpacing/>
        <w:rPr>
          <w:rFonts w:cs="Tahoma"/>
        </w:rPr>
      </w:pPr>
    </w:p>
    <w:p w14:paraId="5D13C7F8" w14:textId="77777777" w:rsidR="003B3079" w:rsidRPr="0089675F" w:rsidRDefault="003B3079" w:rsidP="00E26391">
      <w:pPr>
        <w:tabs>
          <w:tab w:val="left" w:pos="4962"/>
        </w:tabs>
        <w:spacing w:after="0" w:line="360" w:lineRule="auto"/>
        <w:contextualSpacing/>
        <w:rPr>
          <w:rFonts w:cs="Tahoma"/>
        </w:rPr>
      </w:pPr>
      <w:r w:rsidRPr="0089675F">
        <w:rPr>
          <w:rFonts w:cs="Tahoma"/>
          <w:bCs/>
        </w:rPr>
        <w:t xml:space="preserve">Por tales motivos, </w:t>
      </w:r>
      <w:r w:rsidRPr="0089675F">
        <w:rPr>
          <w:rFonts w:cs="Tahoma"/>
        </w:rPr>
        <w:t xml:space="preserve">se considera procedente entrar al fondo del presente asunto. </w:t>
      </w:r>
    </w:p>
    <w:p w14:paraId="5755F7BD" w14:textId="77777777" w:rsidR="00922619" w:rsidRPr="0089675F" w:rsidRDefault="00922619" w:rsidP="00E26391">
      <w:pPr>
        <w:spacing w:after="0" w:line="360" w:lineRule="auto"/>
        <w:contextualSpacing/>
        <w:rPr>
          <w:rFonts w:eastAsia="Times New Roman" w:cs="Tahoma"/>
          <w:color w:val="auto"/>
          <w:szCs w:val="24"/>
          <w:lang w:eastAsia="es-ES"/>
        </w:rPr>
      </w:pPr>
    </w:p>
    <w:p w14:paraId="1E0EBBE3" w14:textId="59FAD4CD" w:rsidR="00CE58A5" w:rsidRPr="0089675F" w:rsidRDefault="00CE4466" w:rsidP="00E26391">
      <w:pPr>
        <w:pStyle w:val="Ttulo2"/>
        <w:spacing w:before="0" w:after="0"/>
      </w:pPr>
      <w:bookmarkStart w:id="17" w:name="_Toc179975603"/>
      <w:bookmarkStart w:id="18" w:name="_Toc179976891"/>
      <w:r w:rsidRPr="0089675F">
        <w:t>TERCERO. Determinación de la Controversia</w:t>
      </w:r>
      <w:bookmarkEnd w:id="17"/>
      <w:bookmarkEnd w:id="18"/>
    </w:p>
    <w:p w14:paraId="364AB4CE" w14:textId="77777777" w:rsidR="00CE58A5" w:rsidRPr="0089675F" w:rsidRDefault="00CE58A5" w:rsidP="00E26391">
      <w:pPr>
        <w:spacing w:after="0" w:line="360" w:lineRule="auto"/>
        <w:rPr>
          <w:b/>
        </w:rPr>
      </w:pPr>
    </w:p>
    <w:p w14:paraId="03799F52" w14:textId="7FE39FE1" w:rsidR="0090345F" w:rsidRPr="0089675F" w:rsidRDefault="00CE4466" w:rsidP="00E26391">
      <w:pPr>
        <w:widowControl w:val="0"/>
        <w:spacing w:after="0" w:line="360" w:lineRule="auto"/>
        <w:rPr>
          <w:color w:val="000000"/>
        </w:rPr>
      </w:pPr>
      <w:r w:rsidRPr="0089675F">
        <w:t xml:space="preserve">Una vez realizado el estudio de las constancias que integran el expediente en que se actúa, se desprende que el Recurrente </w:t>
      </w:r>
      <w:r w:rsidR="000A5247" w:rsidRPr="0089675F">
        <w:t>requirió</w:t>
      </w:r>
      <w:r w:rsidR="000A5247" w:rsidRPr="0089675F">
        <w:rPr>
          <w:color w:val="000000"/>
        </w:rPr>
        <w:t xml:space="preserve"> </w:t>
      </w:r>
      <w:r w:rsidR="00BE5B8C" w:rsidRPr="0089675F">
        <w:rPr>
          <w:color w:val="000000"/>
        </w:rPr>
        <w:t xml:space="preserve">el monto mensual del gasto por concepto de impresión de </w:t>
      </w:r>
      <w:r w:rsidR="00825915" w:rsidRPr="0089675F">
        <w:rPr>
          <w:color w:val="000000"/>
        </w:rPr>
        <w:t>lonas y</w:t>
      </w:r>
      <w:r w:rsidR="00BE5B8C" w:rsidRPr="0089675F">
        <w:rPr>
          <w:color w:val="000000"/>
        </w:rPr>
        <w:t xml:space="preserve"> material de imprenta, el proveedor y las pólizas de egresos de dichos pagos, </w:t>
      </w:r>
      <w:r w:rsidR="00825915" w:rsidRPr="0089675F">
        <w:rPr>
          <w:color w:val="000000"/>
        </w:rPr>
        <w:t>del primero de</w:t>
      </w:r>
      <w:r w:rsidR="00BE5B8C" w:rsidRPr="0089675F">
        <w:rPr>
          <w:color w:val="000000"/>
        </w:rPr>
        <w:t xml:space="preserve"> </w:t>
      </w:r>
      <w:r w:rsidR="008126BA" w:rsidRPr="0089675F">
        <w:rPr>
          <w:color w:val="000000"/>
        </w:rPr>
        <w:t>enero de dos mil veintidós al veinticinco de septiembre de dos mil veinticuatro.</w:t>
      </w:r>
    </w:p>
    <w:p w14:paraId="743A29C2" w14:textId="77777777" w:rsidR="00BE5B8C" w:rsidRPr="0089675F" w:rsidRDefault="00BE5B8C" w:rsidP="00E26391">
      <w:pPr>
        <w:widowControl w:val="0"/>
        <w:spacing w:after="0" w:line="360" w:lineRule="auto"/>
        <w:rPr>
          <w:color w:val="000000"/>
        </w:rPr>
      </w:pPr>
    </w:p>
    <w:p w14:paraId="7ED7BBD1" w14:textId="6F1FD67C" w:rsidR="00CE58A5" w:rsidRPr="0089675F" w:rsidRDefault="00CE4466" w:rsidP="00E26391">
      <w:pPr>
        <w:spacing w:after="0" w:line="360" w:lineRule="auto"/>
        <w:ind w:right="-28"/>
        <w:rPr>
          <w:color w:val="000000"/>
        </w:rPr>
      </w:pPr>
      <w:r w:rsidRPr="0089675F">
        <w:rPr>
          <w:color w:val="000000"/>
        </w:rPr>
        <w:t xml:space="preserve">En respuesta, el Sujeto Obligado a través de la </w:t>
      </w:r>
      <w:r w:rsidR="008126BA" w:rsidRPr="0089675F">
        <w:rPr>
          <w:color w:val="000000"/>
        </w:rPr>
        <w:t xml:space="preserve">Tesorera </w:t>
      </w:r>
      <w:r w:rsidR="00825915" w:rsidRPr="0089675F">
        <w:rPr>
          <w:color w:val="000000"/>
        </w:rPr>
        <w:t>M</w:t>
      </w:r>
      <w:r w:rsidR="008126BA" w:rsidRPr="0089675F">
        <w:rPr>
          <w:color w:val="000000"/>
        </w:rPr>
        <w:t xml:space="preserve">unicipal refirió que la información </w:t>
      </w:r>
      <w:r w:rsidR="00055AF3" w:rsidRPr="0089675F">
        <w:rPr>
          <w:color w:val="000000"/>
        </w:rPr>
        <w:t xml:space="preserve">solicitada se encontraba en la </w:t>
      </w:r>
      <w:r w:rsidR="008126BA" w:rsidRPr="0089675F">
        <w:rPr>
          <w:color w:val="000000"/>
        </w:rPr>
        <w:t>liga electrónica que proporcionó en formato cerrado</w:t>
      </w:r>
      <w:r w:rsidR="00825915" w:rsidRPr="0089675F">
        <w:rPr>
          <w:color w:val="000000"/>
        </w:rPr>
        <w:t>; a</w:t>
      </w:r>
      <w:r w:rsidR="008126BA" w:rsidRPr="0089675F">
        <w:rPr>
          <w:color w:val="000000"/>
        </w:rPr>
        <w:t>sí mismo</w:t>
      </w:r>
      <w:r w:rsidR="00DF132F" w:rsidRPr="0089675F">
        <w:rPr>
          <w:color w:val="000000"/>
        </w:rPr>
        <w:t>, el Sujeto Obligado</w:t>
      </w:r>
      <w:r w:rsidR="008126BA" w:rsidRPr="0089675F">
        <w:rPr>
          <w:color w:val="000000"/>
        </w:rPr>
        <w:t xml:space="preserve"> </w:t>
      </w:r>
      <w:r w:rsidR="00C91CC8" w:rsidRPr="0089675F">
        <w:rPr>
          <w:color w:val="000000"/>
        </w:rPr>
        <w:t>remitió</w:t>
      </w:r>
      <w:r w:rsidR="008126BA" w:rsidRPr="0089675F">
        <w:rPr>
          <w:color w:val="000000"/>
        </w:rPr>
        <w:t xml:space="preserve"> el acuerdo del Comité de </w:t>
      </w:r>
      <w:r w:rsidR="00C91CC8" w:rsidRPr="0089675F">
        <w:rPr>
          <w:color w:val="000000"/>
        </w:rPr>
        <w:t>Transparencia</w:t>
      </w:r>
      <w:r w:rsidR="008126BA" w:rsidRPr="0089675F">
        <w:rPr>
          <w:color w:val="000000"/>
        </w:rPr>
        <w:t>, donde comunicó el cambio de modalidad en la entrega de la información a consulta directa</w:t>
      </w:r>
      <w:r w:rsidR="00A7495B" w:rsidRPr="0089675F">
        <w:rPr>
          <w:color w:val="000000"/>
        </w:rPr>
        <w:t xml:space="preserve">; ante dicha respuesta, el Particular se inconformó de la entrega </w:t>
      </w:r>
      <w:r w:rsidR="00C91CC8" w:rsidRPr="0089675F">
        <w:rPr>
          <w:color w:val="000000"/>
        </w:rPr>
        <w:t xml:space="preserve">por medio de la liga </w:t>
      </w:r>
      <w:r w:rsidR="00AB379E" w:rsidRPr="0089675F">
        <w:rPr>
          <w:color w:val="000000"/>
        </w:rPr>
        <w:t>electrónica</w:t>
      </w:r>
      <w:r w:rsidR="00C91CC8" w:rsidRPr="0089675F">
        <w:rPr>
          <w:color w:val="000000"/>
        </w:rPr>
        <w:t xml:space="preserve">, refiriendo que en dicha dirección no se encuentra la información de manera específica de acuerdo a la solicitud ni </w:t>
      </w:r>
      <w:r w:rsidR="00C91CC8" w:rsidRPr="0089675F">
        <w:rPr>
          <w:color w:val="000000"/>
        </w:rPr>
        <w:lastRenderedPageBreak/>
        <w:t>tampoco se encuentran  las pólizas</w:t>
      </w:r>
      <w:r w:rsidR="00AB379E" w:rsidRPr="0089675F">
        <w:rPr>
          <w:color w:val="000000"/>
        </w:rPr>
        <w:t xml:space="preserve">, </w:t>
      </w:r>
      <w:r w:rsidR="00A7495B" w:rsidRPr="0089675F">
        <w:rPr>
          <w:color w:val="000000"/>
        </w:rPr>
        <w:t xml:space="preserve">lo cual actualiza los supuestos de procedencia establecidos en </w:t>
      </w:r>
      <w:r w:rsidR="00AB379E" w:rsidRPr="0089675F">
        <w:rPr>
          <w:color w:val="000000"/>
        </w:rPr>
        <w:t xml:space="preserve">el artículo 179, </w:t>
      </w:r>
      <w:r w:rsidR="00825915" w:rsidRPr="0089675F">
        <w:rPr>
          <w:color w:val="000000"/>
        </w:rPr>
        <w:t>fracción VI,</w:t>
      </w:r>
      <w:r w:rsidR="00AB379E" w:rsidRPr="0089675F">
        <w:rPr>
          <w:color w:val="000000"/>
        </w:rPr>
        <w:t xml:space="preserve"> </w:t>
      </w:r>
      <w:r w:rsidR="00A7495B" w:rsidRPr="0089675F">
        <w:rPr>
          <w:color w:val="000000"/>
        </w:rPr>
        <w:t xml:space="preserve">de la Ley de </w:t>
      </w:r>
      <w:r w:rsidR="00825915" w:rsidRPr="0089675F">
        <w:rPr>
          <w:color w:val="000000"/>
        </w:rPr>
        <w:t>T</w:t>
      </w:r>
      <w:r w:rsidR="00400449" w:rsidRPr="0089675F">
        <w:rPr>
          <w:color w:val="000000"/>
        </w:rPr>
        <w:t>rasparencia</w:t>
      </w:r>
      <w:r w:rsidR="00A7495B" w:rsidRPr="0089675F">
        <w:rPr>
          <w:color w:val="000000"/>
        </w:rPr>
        <w:t xml:space="preserve"> </w:t>
      </w:r>
      <w:r w:rsidR="00825915" w:rsidRPr="0089675F">
        <w:rPr>
          <w:color w:val="000000"/>
        </w:rPr>
        <w:t>L</w:t>
      </w:r>
      <w:r w:rsidR="00A7495B" w:rsidRPr="0089675F">
        <w:rPr>
          <w:color w:val="000000"/>
        </w:rPr>
        <w:t xml:space="preserve">ocal. </w:t>
      </w:r>
      <w:r w:rsidRPr="0089675F">
        <w:rPr>
          <w:color w:val="000000"/>
        </w:rPr>
        <w:t xml:space="preserve">Así las cosas, una vez admitido y notificado el Recurso de Revisión a las partes, </w:t>
      </w:r>
      <w:r w:rsidR="00400449" w:rsidRPr="0089675F">
        <w:rPr>
          <w:color w:val="000000"/>
        </w:rPr>
        <w:t xml:space="preserve">el Sujeto Obligado </w:t>
      </w:r>
      <w:r w:rsidR="00AB379E" w:rsidRPr="0089675F">
        <w:rPr>
          <w:color w:val="000000"/>
        </w:rPr>
        <w:t>fue omiso en remitir su informe justificado.</w:t>
      </w:r>
    </w:p>
    <w:p w14:paraId="354D33B8" w14:textId="77777777" w:rsidR="00CE58A5" w:rsidRPr="0089675F" w:rsidRDefault="00CE58A5" w:rsidP="00E26391">
      <w:pPr>
        <w:spacing w:after="0" w:line="360" w:lineRule="auto"/>
      </w:pPr>
    </w:p>
    <w:p w14:paraId="6DC5D7CF" w14:textId="27B9BC18" w:rsidR="00CE58A5" w:rsidRPr="0089675F" w:rsidRDefault="00CE4466" w:rsidP="00E26391">
      <w:pPr>
        <w:spacing w:after="0" w:line="360" w:lineRule="auto"/>
      </w:pPr>
      <w:r w:rsidRPr="0089675F">
        <w:t>Lo anterior, se desprende de las documentales que obran en los expedientes de referencia, materia de la presente resolución, consistente en: la solicitud de acceso a la información; la</w:t>
      </w:r>
      <w:r w:rsidR="00951E4D" w:rsidRPr="0089675F">
        <w:t xml:space="preserve"> respuesta del Sujeto Obligado y </w:t>
      </w:r>
      <w:r w:rsidRPr="0089675F">
        <w:t>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89675F" w:rsidRDefault="00CE58A5" w:rsidP="00E26391">
      <w:pPr>
        <w:spacing w:after="0" w:line="360" w:lineRule="auto"/>
      </w:pPr>
    </w:p>
    <w:p w14:paraId="276834F4" w14:textId="2C1ED29F" w:rsidR="00CE58A5" w:rsidRPr="0089675F" w:rsidRDefault="00CE4466" w:rsidP="00E26391">
      <w:pPr>
        <w:pStyle w:val="Ttulo2"/>
        <w:spacing w:before="0" w:after="0"/>
      </w:pPr>
      <w:bookmarkStart w:id="19" w:name="_Toc179975604"/>
      <w:bookmarkStart w:id="20" w:name="_Toc179976892"/>
      <w:r w:rsidRPr="0089675F">
        <w:t>CUARTO. Marco normativo aplicable en materia de transparencia y acceso a la información pública</w:t>
      </w:r>
      <w:bookmarkEnd w:id="19"/>
      <w:bookmarkEnd w:id="20"/>
    </w:p>
    <w:p w14:paraId="63C42A96" w14:textId="77777777" w:rsidR="00CE58A5" w:rsidRPr="0089675F" w:rsidRDefault="00CE58A5" w:rsidP="00E26391">
      <w:pPr>
        <w:spacing w:after="0" w:line="360" w:lineRule="auto"/>
        <w:rPr>
          <w:color w:val="000000"/>
        </w:rPr>
      </w:pPr>
    </w:p>
    <w:p w14:paraId="77A2B44D" w14:textId="77777777" w:rsidR="00CE58A5" w:rsidRPr="0089675F" w:rsidRDefault="00CE4466" w:rsidP="00E26391">
      <w:pPr>
        <w:spacing w:after="0" w:line="360" w:lineRule="auto"/>
        <w:rPr>
          <w:color w:val="000000"/>
        </w:rPr>
      </w:pPr>
      <w:r w:rsidRPr="0089675F">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89675F" w:rsidRDefault="00CE58A5" w:rsidP="00E26391">
      <w:pPr>
        <w:spacing w:after="0" w:line="360" w:lineRule="auto"/>
        <w:rPr>
          <w:color w:val="000000"/>
        </w:rPr>
      </w:pPr>
    </w:p>
    <w:p w14:paraId="6DE9CAE0" w14:textId="77777777" w:rsidR="00CE58A5" w:rsidRPr="0089675F" w:rsidRDefault="00CE4466" w:rsidP="00E26391">
      <w:pPr>
        <w:spacing w:after="0" w:line="360" w:lineRule="auto"/>
        <w:rPr>
          <w:color w:val="000000"/>
        </w:rPr>
      </w:pPr>
      <w:r w:rsidRPr="0089675F">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89675F" w:rsidRDefault="00922619" w:rsidP="00E26391">
      <w:pPr>
        <w:spacing w:after="0" w:line="360" w:lineRule="auto"/>
        <w:rPr>
          <w:color w:val="000000"/>
        </w:rPr>
      </w:pPr>
    </w:p>
    <w:p w14:paraId="7EFDC0B0" w14:textId="5473D89C" w:rsidR="00CE58A5" w:rsidRPr="0089675F" w:rsidRDefault="00CE4466" w:rsidP="00E26391">
      <w:pPr>
        <w:spacing w:after="0" w:line="360" w:lineRule="auto"/>
        <w:rPr>
          <w:color w:val="000000"/>
        </w:rPr>
      </w:pPr>
      <w:r w:rsidRPr="0089675F">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w:t>
      </w:r>
      <w:r w:rsidRPr="0089675F">
        <w:rPr>
          <w:color w:val="000000"/>
        </w:rPr>
        <w:lastRenderedPageBreak/>
        <w:t>referente a la intimidad de la vida privada y la imagen de las personas, con las excepciones que establezca la ley reglamentaria.</w:t>
      </w:r>
    </w:p>
    <w:p w14:paraId="67D61845" w14:textId="77777777" w:rsidR="00CE58A5" w:rsidRPr="0089675F" w:rsidRDefault="00CE58A5" w:rsidP="00E26391">
      <w:pPr>
        <w:spacing w:after="0" w:line="360" w:lineRule="auto"/>
        <w:rPr>
          <w:color w:val="000000"/>
        </w:rPr>
      </w:pPr>
    </w:p>
    <w:p w14:paraId="1B6E0455" w14:textId="77777777" w:rsidR="00CE58A5" w:rsidRPr="0089675F" w:rsidRDefault="00CE4466" w:rsidP="00E26391">
      <w:pPr>
        <w:spacing w:after="0" w:line="360" w:lineRule="auto"/>
        <w:rPr>
          <w:color w:val="000000"/>
        </w:rPr>
      </w:pPr>
      <w:r w:rsidRPr="0089675F">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89675F" w:rsidRDefault="00CE58A5" w:rsidP="00E26391">
      <w:pPr>
        <w:spacing w:after="0" w:line="360" w:lineRule="auto"/>
        <w:rPr>
          <w:color w:val="000000"/>
        </w:rPr>
      </w:pPr>
    </w:p>
    <w:p w14:paraId="79D71702" w14:textId="77777777" w:rsidR="00CE58A5" w:rsidRPr="0089675F" w:rsidRDefault="00CE4466" w:rsidP="00E26391">
      <w:pPr>
        <w:spacing w:after="0" w:line="360" w:lineRule="auto"/>
        <w:rPr>
          <w:color w:val="000000"/>
        </w:rPr>
      </w:pPr>
      <w:r w:rsidRPr="0089675F">
        <w:rPr>
          <w:color w:val="000000"/>
        </w:rPr>
        <w:t>El artículo 12, que, quienes generen, recopilen, administren, manejen, procesen, archiven o conserven información pública serán responsables de la misma.</w:t>
      </w:r>
    </w:p>
    <w:p w14:paraId="5C34EA42" w14:textId="77777777" w:rsidR="00D51406" w:rsidRPr="0089675F" w:rsidRDefault="00D51406" w:rsidP="00E26391">
      <w:pPr>
        <w:spacing w:after="0" w:line="360" w:lineRule="auto"/>
        <w:rPr>
          <w:color w:val="000000"/>
        </w:rPr>
      </w:pPr>
    </w:p>
    <w:p w14:paraId="08B8B529" w14:textId="77777777" w:rsidR="00CE58A5" w:rsidRPr="0089675F" w:rsidRDefault="00CE4466" w:rsidP="00E26391">
      <w:pPr>
        <w:widowControl w:val="0"/>
        <w:spacing w:after="0" w:line="360" w:lineRule="auto"/>
        <w:rPr>
          <w:color w:val="000000"/>
        </w:rPr>
      </w:pPr>
      <w:r w:rsidRPr="0089675F">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89675F" w:rsidRDefault="00CE58A5" w:rsidP="00E26391">
      <w:pPr>
        <w:spacing w:after="0" w:line="360" w:lineRule="auto"/>
        <w:rPr>
          <w:color w:val="000000"/>
        </w:rPr>
      </w:pPr>
    </w:p>
    <w:p w14:paraId="7EFDFF6E" w14:textId="77777777" w:rsidR="00CE58A5" w:rsidRPr="0089675F" w:rsidRDefault="00CE4466" w:rsidP="00E26391">
      <w:pPr>
        <w:spacing w:after="0" w:line="360" w:lineRule="auto"/>
        <w:rPr>
          <w:color w:val="000000"/>
        </w:rPr>
      </w:pPr>
      <w:r w:rsidRPr="0089675F">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89675F" w:rsidRDefault="00CE58A5" w:rsidP="00E26391">
      <w:pPr>
        <w:spacing w:after="0" w:line="360" w:lineRule="auto"/>
      </w:pPr>
    </w:p>
    <w:p w14:paraId="65FF02C1" w14:textId="13F7F900" w:rsidR="00A369DB" w:rsidRPr="0089675F" w:rsidRDefault="0089675F" w:rsidP="00E26391">
      <w:pPr>
        <w:spacing w:after="0" w:line="360" w:lineRule="auto"/>
        <w:rPr>
          <w:rFonts w:eastAsia="Times New Roman" w:cs="Tahoma"/>
          <w:b/>
          <w:lang w:eastAsia="es-ES"/>
        </w:rPr>
      </w:pPr>
      <w:r w:rsidRPr="0089675F">
        <w:rPr>
          <w:rFonts w:eastAsia="Times New Roman" w:cs="Tahoma"/>
          <w:b/>
          <w:lang w:eastAsia="es-ES"/>
        </w:rPr>
        <w:t>QUINTO. Estudio de Fondo</w:t>
      </w:r>
    </w:p>
    <w:p w14:paraId="03198BA5" w14:textId="77777777" w:rsidR="00A369DB" w:rsidRPr="0089675F" w:rsidRDefault="00A369DB" w:rsidP="00E26391">
      <w:pPr>
        <w:spacing w:after="0" w:line="360" w:lineRule="auto"/>
        <w:rPr>
          <w:rFonts w:eastAsia="Times New Roman" w:cs="Tahoma"/>
          <w:b/>
          <w:lang w:eastAsia="es-ES"/>
        </w:rPr>
      </w:pPr>
    </w:p>
    <w:p w14:paraId="060EFC9B" w14:textId="4442922C" w:rsidR="00A369DB" w:rsidRPr="0089675F" w:rsidRDefault="00A369DB" w:rsidP="00E26391">
      <w:pPr>
        <w:widowControl w:val="0"/>
        <w:spacing w:after="0" w:line="360" w:lineRule="auto"/>
        <w:rPr>
          <w:color w:val="000000"/>
          <w:lang w:eastAsia="en-US"/>
        </w:rPr>
      </w:pPr>
      <w:r w:rsidRPr="0089675F">
        <w:rPr>
          <w:color w:val="000000"/>
          <w:lang w:eastAsia="en-US"/>
        </w:rPr>
        <w:t xml:space="preserve">Expuestas las posturas de las partes, se procede al análisis de los agravios hechos valer por el Recurrente, concerniente </w:t>
      </w:r>
      <w:r w:rsidRPr="0089675F">
        <w:rPr>
          <w:lang w:eastAsia="en-US"/>
        </w:rPr>
        <w:t>a la puesta a disposición de la información en una modalidad distinta a la requerida</w:t>
      </w:r>
      <w:r w:rsidRPr="0089675F">
        <w:rPr>
          <w:color w:val="000000"/>
          <w:lang w:eastAsia="en-US"/>
        </w:rPr>
        <w:t xml:space="preserve">, </w:t>
      </w:r>
      <w:r w:rsidR="00BF1C9F" w:rsidRPr="0089675F">
        <w:rPr>
          <w:color w:val="000000"/>
          <w:lang w:eastAsia="en-US"/>
        </w:rPr>
        <w:t xml:space="preserve">la entrega incompleta y la entrega de información que no corresponde con lo solicitado, </w:t>
      </w:r>
      <w:r w:rsidRPr="0089675F">
        <w:rPr>
          <w:color w:val="000000"/>
          <w:lang w:eastAsia="en-US"/>
        </w:rPr>
        <w:t>para lo cual, en principio es necesario contextualizar la solicitud de información.</w:t>
      </w:r>
    </w:p>
    <w:p w14:paraId="07FD7A9D" w14:textId="77777777" w:rsidR="00A369DB" w:rsidRPr="0089675F" w:rsidRDefault="00A369DB" w:rsidP="00E26391">
      <w:pPr>
        <w:widowControl w:val="0"/>
        <w:spacing w:after="0" w:line="360" w:lineRule="auto"/>
        <w:rPr>
          <w:color w:val="000000"/>
          <w:lang w:eastAsia="en-US"/>
        </w:rPr>
      </w:pPr>
    </w:p>
    <w:p w14:paraId="05FAD185" w14:textId="77777777" w:rsidR="00825915" w:rsidRPr="0089675F" w:rsidRDefault="00825915" w:rsidP="00E26391">
      <w:pPr>
        <w:spacing w:after="0" w:line="360" w:lineRule="auto"/>
        <w:contextualSpacing/>
        <w:rPr>
          <w:rFonts w:eastAsia="Times New Roman" w:cs="Tahoma"/>
          <w:color w:val="0D0D0D" w:themeColor="text1" w:themeTint="F2"/>
          <w:lang w:val="es-ES" w:eastAsia="es-ES"/>
        </w:rPr>
      </w:pPr>
      <w:r w:rsidRPr="0089675F">
        <w:rPr>
          <w:rFonts w:eastAsia="Times New Roman" w:cs="Times New Roman"/>
          <w:color w:val="000000"/>
          <w:shd w:val="clear" w:color="auto" w:fill="FFFFFF"/>
          <w:lang w:eastAsia="es-ES"/>
        </w:rPr>
        <w:t xml:space="preserve">Ahora bien, </w:t>
      </w:r>
      <w:r w:rsidRPr="0089675F">
        <w:rPr>
          <w:rFonts w:eastAsia="Times New Roman" w:cs="Times New Roman"/>
          <w:color w:val="auto"/>
          <w:lang w:eastAsia="es-ES"/>
        </w:rPr>
        <w:t xml:space="preserve">López Olvera, Miguel Alejandro </w:t>
      </w:r>
      <w:proofErr w:type="spellStart"/>
      <w:r w:rsidRPr="0089675F">
        <w:rPr>
          <w:rFonts w:eastAsia="Times New Roman" w:cs="Times New Roman"/>
          <w:color w:val="auto"/>
          <w:lang w:eastAsia="es-ES"/>
        </w:rPr>
        <w:t>Cancino</w:t>
      </w:r>
      <w:proofErr w:type="spellEnd"/>
      <w:r w:rsidRPr="0089675F">
        <w:rPr>
          <w:rFonts w:eastAsia="Times New Roman" w:cs="Times New Roman"/>
          <w:color w:val="auto"/>
          <w:lang w:eastAsia="es-ES"/>
        </w:rPr>
        <w:t xml:space="preserve"> Gómez, Rodolfo. (2020). “La Contratación Pública y el Sistema Nacional Anticorrupción”. (p. 4) la </w:t>
      </w:r>
      <w:r w:rsidRPr="0089675F">
        <w:rPr>
          <w:rFonts w:eastAsia="Times New Roman" w:cs="Times New Roman"/>
          <w:b/>
          <w:color w:val="auto"/>
          <w:lang w:eastAsia="es-ES"/>
        </w:rPr>
        <w:t>contratación pública</w:t>
      </w:r>
      <w:r w:rsidRPr="0089675F">
        <w:rPr>
          <w:rFonts w:eastAsia="Times New Roman" w:cs="Times New Roman"/>
          <w:color w:val="auto"/>
          <w:lang w:eastAsia="es-ES"/>
        </w:rPr>
        <w:t xml:space="preserve">, es el </w:t>
      </w:r>
      <w:r w:rsidRPr="0089675F">
        <w:rPr>
          <w:rFonts w:eastAsia="Times New Roman" w:cs="Times New Roman"/>
          <w:color w:val="auto"/>
          <w:lang w:eastAsia="es-ES"/>
        </w:rPr>
        <w:lastRenderedPageBreak/>
        <w:t>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02448D4C" w14:textId="77777777" w:rsidR="00825915" w:rsidRPr="0089675F" w:rsidRDefault="00825915" w:rsidP="00E26391">
      <w:pPr>
        <w:spacing w:after="0" w:line="360" w:lineRule="auto"/>
        <w:contextualSpacing/>
        <w:rPr>
          <w:rFonts w:eastAsia="Times New Roman" w:cs="Times New Roman"/>
          <w:color w:val="auto"/>
          <w:lang w:eastAsia="es-ES"/>
        </w:rPr>
      </w:pPr>
    </w:p>
    <w:p w14:paraId="1AED5602" w14:textId="77777777" w:rsidR="00825915" w:rsidRPr="0089675F" w:rsidRDefault="00825915" w:rsidP="00E26391">
      <w:pPr>
        <w:spacing w:after="0" w:line="360" w:lineRule="auto"/>
        <w:contextualSpacing/>
        <w:rPr>
          <w:rFonts w:eastAsia="Calibri" w:cs="Tahoma"/>
          <w:color w:val="auto"/>
          <w:lang w:eastAsia="es-ES"/>
        </w:rPr>
      </w:pPr>
      <w:r w:rsidRPr="0089675F">
        <w:rPr>
          <w:rFonts w:eastAsia="Calibri" w:cs="Tahoma"/>
          <w:color w:val="auto"/>
          <w:lang w:eastAsia="es-ES"/>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89675F">
        <w:rPr>
          <w:rFonts w:eastAsia="Calibri" w:cs="Tahoma"/>
          <w:b/>
          <w:bCs/>
          <w:color w:val="auto"/>
          <w:lang w:eastAsia="es-ES"/>
        </w:rPr>
        <w:t>contratación de servicios</w:t>
      </w:r>
      <w:r w:rsidRPr="0089675F">
        <w:rPr>
          <w:rFonts w:eastAsia="Calibri" w:cs="Tahoma"/>
          <w:color w:val="auto"/>
          <w:lang w:eastAsia="es-ES"/>
        </w:rPr>
        <w:t xml:space="preserve"> de cualquier naturaleza. </w:t>
      </w:r>
    </w:p>
    <w:p w14:paraId="1E094374" w14:textId="77777777" w:rsidR="00825915" w:rsidRPr="0089675F" w:rsidRDefault="00825915" w:rsidP="00E26391">
      <w:pPr>
        <w:spacing w:after="0" w:line="360" w:lineRule="auto"/>
        <w:contextualSpacing/>
        <w:rPr>
          <w:rFonts w:eastAsia="Calibri" w:cs="Tahoma"/>
          <w:color w:val="auto"/>
          <w:lang w:eastAsia="es-ES"/>
        </w:rPr>
      </w:pPr>
    </w:p>
    <w:p w14:paraId="646D7083" w14:textId="77777777" w:rsidR="00825915" w:rsidRPr="0089675F" w:rsidRDefault="00825915" w:rsidP="00E26391">
      <w:pPr>
        <w:spacing w:after="0" w:line="360" w:lineRule="auto"/>
        <w:contextualSpacing/>
        <w:rPr>
          <w:rFonts w:eastAsia="Calibri" w:cs="Tahoma"/>
          <w:color w:val="auto"/>
          <w:lang w:eastAsia="es-ES"/>
        </w:rPr>
      </w:pPr>
      <w:r w:rsidRPr="0089675F">
        <w:rPr>
          <w:rFonts w:eastAsia="Calibri" w:cs="Tahoma"/>
          <w:color w:val="auto"/>
          <w:lang w:eastAsia="es-ES"/>
        </w:rPr>
        <w:t xml:space="preserve">En ese contexto, conforme a los artículos 26 y 27 de dicho ordenamiento jurídico, las adquisiciones, arrendamientos y </w:t>
      </w:r>
      <w:r w:rsidRPr="0089675F">
        <w:rPr>
          <w:rFonts w:eastAsia="Calibri" w:cs="Tahoma"/>
          <w:b/>
          <w:bCs/>
          <w:color w:val="auto"/>
          <w:lang w:eastAsia="es-ES"/>
        </w:rPr>
        <w:t>servicios</w:t>
      </w:r>
      <w:r w:rsidRPr="0089675F">
        <w:rPr>
          <w:rFonts w:eastAsia="Calibri" w:cs="Tahoma"/>
          <w:color w:val="auto"/>
          <w:lang w:eastAsia="es-ES"/>
        </w:rPr>
        <w:t>, se adjudicarán a través de procedimientos de licitación pública, invitación restringida y adjudicación directa.</w:t>
      </w:r>
    </w:p>
    <w:p w14:paraId="55823458" w14:textId="77777777" w:rsidR="00825915" w:rsidRPr="0089675F" w:rsidRDefault="00825915" w:rsidP="00E26391">
      <w:pPr>
        <w:spacing w:after="0" w:line="360" w:lineRule="auto"/>
        <w:contextualSpacing/>
        <w:rPr>
          <w:rFonts w:eastAsia="Calibri" w:cs="Tahoma"/>
          <w:color w:val="auto"/>
          <w:lang w:eastAsia="es-ES"/>
        </w:rPr>
      </w:pPr>
    </w:p>
    <w:p w14:paraId="7F1EFD3D" w14:textId="77777777" w:rsidR="00825915" w:rsidRPr="0089675F" w:rsidRDefault="00825915" w:rsidP="00E26391">
      <w:pPr>
        <w:spacing w:after="0" w:line="360" w:lineRule="auto"/>
        <w:contextualSpacing/>
        <w:rPr>
          <w:rFonts w:eastAsia="Calibri" w:cs="Tahoma"/>
          <w:color w:val="auto"/>
          <w:lang w:eastAsia="es-ES"/>
        </w:rPr>
      </w:pPr>
      <w:r w:rsidRPr="0089675F">
        <w:rPr>
          <w:rFonts w:eastAsia="Times New Roman" w:cs="Tahoma"/>
          <w:bCs/>
          <w:iCs/>
          <w:color w:val="auto"/>
          <w:lang w:val="es-ES"/>
        </w:rPr>
        <w:t xml:space="preserve">En ese orden de ideas, conforme al artículo 65 de la Ley de Contratación Pública del Estado de México y Municipios, la adjudicación de un procedimiento de </w:t>
      </w:r>
      <w:r w:rsidRPr="0089675F">
        <w:rPr>
          <w:rFonts w:eastAsia="Times New Roman" w:cs="Tahoma"/>
          <w:iCs/>
          <w:color w:val="auto"/>
          <w:lang w:val="es-ES"/>
        </w:rPr>
        <w:t xml:space="preserve">adquisición y arrendamiento de bienes y </w:t>
      </w:r>
      <w:r w:rsidRPr="0089675F">
        <w:rPr>
          <w:rFonts w:eastAsia="Times New Roman" w:cs="Tahoma"/>
          <w:b/>
          <w:bCs/>
          <w:iCs/>
          <w:color w:val="auto"/>
          <w:lang w:val="es-ES"/>
        </w:rPr>
        <w:t>contratación de servicios</w:t>
      </w:r>
      <w:r w:rsidRPr="0089675F">
        <w:rPr>
          <w:rFonts w:eastAsia="Times New Roman" w:cs="Tahoma"/>
          <w:bCs/>
          <w:iCs/>
          <w:color w:val="auto"/>
          <w:lang w:val="es-ES"/>
        </w:rPr>
        <w:t xml:space="preserve"> se realizará mediante la suscripción de un contrato, entre el Ayuntamiento y la persona a la cual haya ganado el procedimiento respectivo, dentro de los diez días hábiles siguientes a la notificación del fallo.</w:t>
      </w:r>
    </w:p>
    <w:p w14:paraId="62E6153A" w14:textId="77777777" w:rsidR="00825915" w:rsidRPr="0089675F" w:rsidRDefault="00825915" w:rsidP="00E26391">
      <w:pPr>
        <w:spacing w:after="0" w:line="360" w:lineRule="auto"/>
        <w:contextualSpacing/>
        <w:rPr>
          <w:rFonts w:eastAsia="Times New Roman" w:cs="Tahoma"/>
          <w:color w:val="auto"/>
          <w:lang w:val="es-ES" w:eastAsia="es-ES"/>
        </w:rPr>
      </w:pPr>
    </w:p>
    <w:p w14:paraId="2FC94CE1" w14:textId="68DB556F" w:rsidR="00825915" w:rsidRPr="0089675F" w:rsidRDefault="00825915" w:rsidP="00E26391">
      <w:pPr>
        <w:spacing w:after="0" w:line="360" w:lineRule="auto"/>
        <w:contextualSpacing/>
        <w:rPr>
          <w:rFonts w:eastAsia="Times New Roman" w:cs="Tahoma"/>
          <w:b/>
          <w:color w:val="auto"/>
          <w:lang w:val="es-ES" w:eastAsia="es-ES"/>
        </w:rPr>
      </w:pPr>
      <w:r w:rsidRPr="0089675F">
        <w:rPr>
          <w:rFonts w:eastAsia="Times New Roman" w:cs="Tahoma"/>
          <w:color w:val="auto"/>
          <w:lang w:val="es-ES" w:eastAsia="es-ES"/>
        </w:rPr>
        <w:t xml:space="preserve">Ahora bien, conforme al artículo 120 del Reglamento de la Ley de Contratación Pública del Estado de México y Municipios, dichos actos jurídicos se conforman por diversos datos, entre los cuales, se encuentran los datos de identificación de las partes y del contrato, </w:t>
      </w:r>
      <w:r w:rsidRPr="0089675F">
        <w:rPr>
          <w:rFonts w:eastAsia="Times New Roman" w:cs="Tahoma"/>
          <w:b/>
          <w:color w:val="auto"/>
          <w:lang w:val="es-ES" w:eastAsia="es-ES"/>
        </w:rPr>
        <w:t>así como el importe total.</w:t>
      </w:r>
    </w:p>
    <w:p w14:paraId="58972269" w14:textId="77777777" w:rsidR="00825915" w:rsidRPr="0089675F" w:rsidRDefault="00825915" w:rsidP="00E26391">
      <w:pPr>
        <w:spacing w:after="0" w:line="360" w:lineRule="auto"/>
        <w:contextualSpacing/>
        <w:rPr>
          <w:rFonts w:eastAsia="Times New Roman" w:cs="Tahoma"/>
          <w:b/>
          <w:color w:val="auto"/>
          <w:lang w:val="es-ES" w:eastAsia="es-ES"/>
        </w:rPr>
      </w:pPr>
    </w:p>
    <w:p w14:paraId="39100BB5" w14:textId="77777777" w:rsidR="00825915" w:rsidRPr="0089675F" w:rsidRDefault="00825915" w:rsidP="00E26391">
      <w:pPr>
        <w:spacing w:after="0" w:line="360" w:lineRule="auto"/>
        <w:contextualSpacing/>
        <w:rPr>
          <w:rFonts w:eastAsia="Times New Roman" w:cs="Times New Roman"/>
          <w:color w:val="000000"/>
          <w:shd w:val="clear" w:color="auto" w:fill="FFFFFF"/>
          <w:lang w:eastAsia="es-ES"/>
        </w:rPr>
      </w:pPr>
      <w:r w:rsidRPr="0089675F">
        <w:rPr>
          <w:rFonts w:eastAsia="Calibri" w:cs="Tahoma"/>
          <w:color w:val="auto"/>
          <w:lang w:eastAsia="es-ES"/>
        </w:rPr>
        <w:lastRenderedPageBreak/>
        <w:t>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w:t>
      </w:r>
    </w:p>
    <w:p w14:paraId="379DF85E" w14:textId="77777777" w:rsidR="00825915" w:rsidRPr="0089675F" w:rsidRDefault="00825915" w:rsidP="00E26391">
      <w:pPr>
        <w:spacing w:after="0" w:line="360" w:lineRule="auto"/>
        <w:contextualSpacing/>
        <w:rPr>
          <w:rFonts w:eastAsia="Times New Roman" w:cs="Times New Roman"/>
          <w:color w:val="000000"/>
          <w:shd w:val="clear" w:color="auto" w:fill="FFFFFF"/>
          <w:lang w:eastAsia="es-ES"/>
        </w:rPr>
      </w:pPr>
    </w:p>
    <w:p w14:paraId="424E1147" w14:textId="77777777" w:rsidR="00825915" w:rsidRPr="0089675F" w:rsidRDefault="00825915" w:rsidP="00E26391">
      <w:pPr>
        <w:spacing w:after="0" w:line="360" w:lineRule="auto"/>
        <w:contextualSpacing/>
        <w:rPr>
          <w:rFonts w:eastAsia="Calibri" w:cs="Tahoma"/>
          <w:color w:val="auto"/>
          <w:lang w:eastAsia="es-ES"/>
        </w:rPr>
      </w:pPr>
      <w:r w:rsidRPr="0089675F">
        <w:rPr>
          <w:rFonts w:eastAsia="Calibri" w:cs="Tahoma"/>
          <w:color w:val="auto"/>
          <w:lang w:eastAsia="es-ES"/>
        </w:rPr>
        <w:t xml:space="preserve">Sobre las pólizas, 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cuantificable la cual puede representarse por reportes, informes, estados y notas que expresan su situación financiera, los resultados de su operación y los cambios en su patrimonio. </w:t>
      </w:r>
    </w:p>
    <w:p w14:paraId="47F9B68C" w14:textId="77777777" w:rsidR="00825915" w:rsidRPr="0089675F" w:rsidRDefault="00825915" w:rsidP="00E26391">
      <w:pPr>
        <w:spacing w:after="0" w:line="360" w:lineRule="auto"/>
        <w:contextualSpacing/>
        <w:rPr>
          <w:rFonts w:eastAsia="Calibri" w:cs="Tahoma"/>
          <w:color w:val="auto"/>
          <w:lang w:eastAsia="es-ES"/>
        </w:rPr>
      </w:pPr>
      <w:r w:rsidRPr="0089675F">
        <w:rPr>
          <w:rFonts w:eastAsia="Calibri" w:cs="Tahoma"/>
          <w:color w:val="auto"/>
          <w:lang w:eastAsia="es-ES"/>
        </w:rPr>
        <w:t xml:space="preserve"> </w:t>
      </w:r>
    </w:p>
    <w:p w14:paraId="51DCE5F6" w14:textId="77777777" w:rsidR="00825915" w:rsidRPr="0089675F" w:rsidRDefault="00825915" w:rsidP="00E26391">
      <w:pPr>
        <w:spacing w:after="0" w:line="360" w:lineRule="auto"/>
        <w:contextualSpacing/>
        <w:rPr>
          <w:rFonts w:eastAsia="Calibri" w:cs="Tahoma"/>
          <w:color w:val="auto"/>
          <w:lang w:eastAsia="es-ES"/>
        </w:rPr>
      </w:pPr>
      <w:r w:rsidRPr="0089675F">
        <w:rPr>
          <w:rFonts w:eastAsia="Calibri" w:cs="Tahoma"/>
          <w:color w:val="auto"/>
          <w:lang w:eastAsia="es-ES"/>
        </w:rPr>
        <w:t>En ese contexto, los Sujetos Obligados deben generar pólizas contables que corresponden a un documento en el que se asientan las operaciones desarrolladas, por el municipio y toda la información necesaria para su identificación, de conformidad con la Guía Técnica 8 “La Contabilidad y la Cuenta Pública Municipal”; además, que la póliza de egresos, corresponde a aquella donde se anotan las operaciones que implique egresos, es decir, la salida de dinero, en efectivo o transferencia, para el municipio.</w:t>
      </w:r>
    </w:p>
    <w:p w14:paraId="226EE4B0" w14:textId="77777777" w:rsidR="00825915" w:rsidRPr="0089675F" w:rsidRDefault="00825915" w:rsidP="00E26391">
      <w:pPr>
        <w:spacing w:after="0" w:line="360" w:lineRule="auto"/>
        <w:contextualSpacing/>
        <w:rPr>
          <w:rFonts w:eastAsia="Calibri" w:cs="Tahoma"/>
          <w:color w:val="auto"/>
          <w:lang w:eastAsia="es-ES"/>
        </w:rPr>
      </w:pPr>
    </w:p>
    <w:p w14:paraId="1347F102" w14:textId="66696CCB" w:rsidR="00825915" w:rsidRPr="0089675F" w:rsidRDefault="00825915" w:rsidP="00E26391">
      <w:pPr>
        <w:spacing w:after="0" w:line="360" w:lineRule="auto"/>
        <w:contextualSpacing/>
        <w:rPr>
          <w:rFonts w:eastAsia="Calibri" w:cs="Tahoma"/>
          <w:bCs/>
          <w:color w:val="auto"/>
          <w:lang w:eastAsia="es-ES"/>
        </w:rPr>
      </w:pPr>
      <w:r w:rsidRPr="0089675F">
        <w:rPr>
          <w:rFonts w:eastAsia="Calibri" w:cs="Tahoma"/>
          <w:color w:val="auto"/>
          <w:lang w:eastAsia="es-ES"/>
        </w:rPr>
        <w:t xml:space="preserve">En ese orden de ideas, este Instituto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w:t>
      </w:r>
      <w:r w:rsidRPr="0089675F">
        <w:rPr>
          <w:rFonts w:eastAsia="Calibri" w:cs="Tahoma"/>
          <w:color w:val="auto"/>
          <w:lang w:eastAsia="es-ES"/>
        </w:rPr>
        <w:lastRenderedPageBreak/>
        <w:t xml:space="preserve">Fiscalización, en el Módulo 1, se advierte que se encuentran Póliza de Egresos, con los documentos comprobatorios. </w:t>
      </w:r>
    </w:p>
    <w:p w14:paraId="208DC7B7" w14:textId="77777777" w:rsidR="00B60AE8" w:rsidRPr="0089675F" w:rsidRDefault="00B60AE8" w:rsidP="00E26391">
      <w:pPr>
        <w:tabs>
          <w:tab w:val="left" w:pos="4962"/>
        </w:tabs>
        <w:spacing w:after="0" w:line="360" w:lineRule="auto"/>
        <w:rPr>
          <w:rFonts w:eastAsiaTheme="minorHAnsi" w:cstheme="minorBidi"/>
          <w:lang w:eastAsia="en-US"/>
        </w:rPr>
      </w:pPr>
    </w:p>
    <w:p w14:paraId="7313CE6B" w14:textId="5FF230A3" w:rsidR="00F12382" w:rsidRPr="0089675F" w:rsidRDefault="00F12382" w:rsidP="00E26391">
      <w:pPr>
        <w:spacing w:after="0" w:line="360" w:lineRule="auto"/>
        <w:contextualSpacing/>
        <w:rPr>
          <w:rFonts w:eastAsia="Calibri" w:cs="Tahoma"/>
        </w:rPr>
      </w:pPr>
      <w:r w:rsidRPr="0089675F">
        <w:rPr>
          <w:rFonts w:eastAsia="Calibri" w:cs="Tahoma"/>
        </w:rPr>
        <w:t>Ahora bien, los Manuales para la Planeación, Programación y Presupuesto de Egresos Municipal, para los Ejercicios Fiscales dos mil veintidós, dos mil veintitrés y dos mil veinticuatro, contienen el Clasificador por Objeto del Gasto, el cual se conforma por diversas partidas específicas, entre las cuales se encuentran las siguientes:</w:t>
      </w:r>
    </w:p>
    <w:p w14:paraId="76B7D7D8" w14:textId="77777777" w:rsidR="00F12382" w:rsidRPr="0089675F" w:rsidRDefault="00F12382" w:rsidP="00E26391">
      <w:pPr>
        <w:spacing w:after="0" w:line="360" w:lineRule="auto"/>
        <w:contextualSpacing/>
        <w:rPr>
          <w:rFonts w:eastAsia="Calibri" w:cs="Tahoma"/>
        </w:rPr>
      </w:pPr>
    </w:p>
    <w:p w14:paraId="6FFB4E91" w14:textId="58E8DD15" w:rsidR="00F12382" w:rsidRPr="0089675F" w:rsidRDefault="00D0110E" w:rsidP="00E26391">
      <w:pPr>
        <w:pStyle w:val="Prrafodelista"/>
        <w:numPr>
          <w:ilvl w:val="0"/>
          <w:numId w:val="34"/>
        </w:numPr>
        <w:spacing w:line="360" w:lineRule="auto"/>
        <w:rPr>
          <w:rFonts w:eastAsia="Calibri" w:cs="Tahoma"/>
          <w:b/>
          <w:bCs/>
        </w:rPr>
      </w:pPr>
      <w:r w:rsidRPr="0089675F">
        <w:rPr>
          <w:rFonts w:eastAsia="Calibri" w:cs="Tahoma"/>
          <w:b/>
          <w:bCs/>
        </w:rPr>
        <w:t>2121 “Material y útiles de imprenta y reproducción”:</w:t>
      </w:r>
      <w:r w:rsidRPr="0089675F">
        <w:t xml:space="preserve"> Asignaciones destinadas a la adquisición de materiales utilizados en la impresión, reproducción y encuadernación.</w:t>
      </w:r>
    </w:p>
    <w:p w14:paraId="07B14E6C" w14:textId="77777777" w:rsidR="00D0110E" w:rsidRPr="0089675F" w:rsidRDefault="00D0110E" w:rsidP="00E26391">
      <w:pPr>
        <w:pStyle w:val="Prrafodelista"/>
        <w:spacing w:line="360" w:lineRule="auto"/>
        <w:rPr>
          <w:rFonts w:eastAsia="Calibri" w:cs="Tahoma"/>
          <w:b/>
          <w:bCs/>
        </w:rPr>
      </w:pPr>
    </w:p>
    <w:p w14:paraId="4EF4E84D" w14:textId="03751E2F" w:rsidR="00F12382" w:rsidRPr="0089675F" w:rsidRDefault="00F12382" w:rsidP="00E26391">
      <w:pPr>
        <w:pStyle w:val="Prrafodelista"/>
        <w:numPr>
          <w:ilvl w:val="0"/>
          <w:numId w:val="34"/>
        </w:numPr>
        <w:spacing w:line="360" w:lineRule="auto"/>
        <w:rPr>
          <w:rFonts w:eastAsia="Calibri" w:cs="Tahoma"/>
          <w:b/>
          <w:bCs/>
        </w:rPr>
      </w:pPr>
      <w:r w:rsidRPr="0089675F">
        <w:rPr>
          <w:rFonts w:eastAsia="Calibri" w:cs="Tahoma"/>
          <w:b/>
          <w:bCs/>
        </w:rPr>
        <w:t xml:space="preserve">3363 “Servicios de impresión de documentos oficiales”: </w:t>
      </w:r>
      <w:r w:rsidR="00D0110E" w:rsidRPr="0089675F">
        <w:rPr>
          <w:rFonts w:eastAsia="Calibri" w:cs="Tahoma"/>
        </w:rPr>
        <w:t xml:space="preserve">Asignación destinada a cubrir el costo de los servicios de impresión y elaboración de material informativo, como son </w:t>
      </w:r>
      <w:r w:rsidR="00D0110E" w:rsidRPr="0089675F">
        <w:t>programas sectoriales, regionales, informes de labores, manuales de organización, de procedimientos y de servicios al público, decretos, acuerdos, convenios, oficios, circulares, programas de adquisiciones, instructivos, libros, revistas, folletos, boletines, posters, trípticos, edictos e informes, entre otros.</w:t>
      </w:r>
    </w:p>
    <w:p w14:paraId="68327733" w14:textId="77777777" w:rsidR="00F12382" w:rsidRPr="0089675F" w:rsidRDefault="00F12382" w:rsidP="00E26391">
      <w:pPr>
        <w:tabs>
          <w:tab w:val="left" w:pos="4962"/>
        </w:tabs>
        <w:spacing w:after="0" w:line="360" w:lineRule="auto"/>
        <w:rPr>
          <w:rFonts w:eastAsiaTheme="minorHAnsi" w:cstheme="minorBidi"/>
          <w:lang w:eastAsia="en-US"/>
        </w:rPr>
      </w:pPr>
    </w:p>
    <w:p w14:paraId="5F87F432" w14:textId="73C9A1D9" w:rsidR="00BF1C9F" w:rsidRPr="0089675F" w:rsidRDefault="00086C5F" w:rsidP="00E26391">
      <w:pPr>
        <w:spacing w:after="0" w:line="360" w:lineRule="auto"/>
        <w:rPr>
          <w:rFonts w:cs="Tahoma"/>
          <w:lang w:eastAsia="en-US"/>
        </w:rPr>
      </w:pPr>
      <w:r w:rsidRPr="0089675F">
        <w:rPr>
          <w:rFonts w:eastAsia="Calibri" w:cs="Tahoma"/>
          <w:bCs/>
        </w:rPr>
        <w:t>Conforme a lo anterior, se logra vislumbrar que el Sujeto Obligado cuenta con competencia para proporcionar lo peticionado, y que la pretensión del ahora Recurrente es obtener del primero de enero de dos mil veintidós al veinticinco de septiembre de dos mil veinticuatro, respecto al gasto por concepto de impresión de lonas y adquisición de material de imprenta, lo siguiente:</w:t>
      </w:r>
    </w:p>
    <w:p w14:paraId="72F59B8F" w14:textId="77777777" w:rsidR="00086C5F" w:rsidRPr="0089675F" w:rsidRDefault="00086C5F" w:rsidP="00E26391">
      <w:pPr>
        <w:spacing w:after="0" w:line="360" w:lineRule="auto"/>
        <w:rPr>
          <w:rFonts w:cs="Tahoma"/>
          <w:lang w:eastAsia="en-US"/>
        </w:rPr>
      </w:pPr>
    </w:p>
    <w:p w14:paraId="5E0627EC" w14:textId="77777777" w:rsidR="00086C5F" w:rsidRPr="0089675F" w:rsidRDefault="00086C5F" w:rsidP="00E26391">
      <w:pPr>
        <w:pStyle w:val="Prrafodelista"/>
        <w:numPr>
          <w:ilvl w:val="0"/>
          <w:numId w:val="35"/>
        </w:numPr>
        <w:spacing w:line="360" w:lineRule="auto"/>
        <w:rPr>
          <w:rFonts w:eastAsia="Calibri" w:cs="Tahoma"/>
          <w:bCs/>
          <w:szCs w:val="22"/>
        </w:rPr>
      </w:pPr>
      <w:r w:rsidRPr="0089675F">
        <w:rPr>
          <w:rFonts w:eastAsia="Calibri" w:cs="Tahoma"/>
          <w:bCs/>
          <w:szCs w:val="22"/>
        </w:rPr>
        <w:t>Nombre de los proveedores, y</w:t>
      </w:r>
    </w:p>
    <w:p w14:paraId="2D366C9E" w14:textId="77777777" w:rsidR="00086C5F" w:rsidRPr="0089675F" w:rsidRDefault="00086C5F" w:rsidP="00E26391">
      <w:pPr>
        <w:pStyle w:val="Prrafodelista"/>
        <w:numPr>
          <w:ilvl w:val="0"/>
          <w:numId w:val="35"/>
        </w:numPr>
        <w:spacing w:line="360" w:lineRule="auto"/>
        <w:rPr>
          <w:rFonts w:eastAsia="Calibri" w:cs="Tahoma"/>
          <w:bCs/>
          <w:szCs w:val="22"/>
        </w:rPr>
      </w:pPr>
      <w:r w:rsidRPr="0089675F">
        <w:rPr>
          <w:rFonts w:eastAsia="Calibri" w:cs="Tahoma"/>
          <w:bCs/>
          <w:szCs w:val="22"/>
        </w:rPr>
        <w:t>Pólizas de egresos.</w:t>
      </w:r>
    </w:p>
    <w:p w14:paraId="7E1A9D01" w14:textId="77777777" w:rsidR="00086C5F" w:rsidRPr="0089675F" w:rsidRDefault="00086C5F" w:rsidP="00E26391">
      <w:pPr>
        <w:spacing w:after="0" w:line="360" w:lineRule="auto"/>
        <w:rPr>
          <w:rFonts w:cs="Tahoma"/>
          <w:lang w:eastAsia="en-US"/>
        </w:rPr>
      </w:pPr>
    </w:p>
    <w:p w14:paraId="52E7CE07" w14:textId="0C482049" w:rsidR="00086C5F" w:rsidRPr="0089675F" w:rsidRDefault="00086C5F" w:rsidP="00E26391">
      <w:pPr>
        <w:spacing w:after="0" w:line="360" w:lineRule="auto"/>
        <w:rPr>
          <w:rFonts w:cs="Tahoma"/>
          <w:lang w:eastAsia="en-US"/>
        </w:rPr>
      </w:pPr>
      <w:r w:rsidRPr="0089675F">
        <w:rPr>
          <w:rFonts w:cs="Tahoma"/>
          <w:lang w:eastAsia="en-US"/>
        </w:rPr>
        <w:lastRenderedPageBreak/>
        <w:t>Lo anterior, resulta así pues este Instituto no localizó alguna fuente obligacional de contar con montos mensuales, sobre todo al no requerir información de partidas específicas, sino que se trata de conceptos que se encuentran inmersas en estas, por lo que, con las pólizas de egresos se da cuenta del gasto ejercido.</w:t>
      </w:r>
    </w:p>
    <w:p w14:paraId="4AB61AF3" w14:textId="77777777" w:rsidR="00086C5F" w:rsidRPr="0089675F" w:rsidRDefault="00086C5F" w:rsidP="00E26391">
      <w:pPr>
        <w:spacing w:after="0" w:line="360" w:lineRule="auto"/>
        <w:rPr>
          <w:rFonts w:cs="Tahoma"/>
          <w:lang w:eastAsia="en-US"/>
        </w:rPr>
      </w:pPr>
    </w:p>
    <w:p w14:paraId="75150447" w14:textId="77777777" w:rsidR="00086C5F" w:rsidRPr="0089675F" w:rsidRDefault="00086C5F" w:rsidP="00E26391">
      <w:pPr>
        <w:spacing w:after="0" w:line="360" w:lineRule="auto"/>
        <w:contextualSpacing/>
        <w:rPr>
          <w:rFonts w:eastAsia="Times New Roman" w:cs="Tahoma"/>
          <w:bCs/>
          <w:iCs/>
          <w:color w:val="auto"/>
          <w:lang w:val="es-ES" w:eastAsia="es-ES"/>
        </w:rPr>
      </w:pPr>
      <w:r w:rsidRPr="0089675F">
        <w:rPr>
          <w:rFonts w:eastAsia="Times New Roman" w:cs="Tahoma"/>
          <w:bCs/>
          <w:iCs/>
          <w:color w:val="auto"/>
          <w:lang w:val="es-ES" w:eastAsia="es-ES"/>
        </w:rPr>
        <w:t xml:space="preserve">Ahora bien, de las constancias que obran en el expediente, se logra vislumbrar que el Sujeto Obligado, turno la solicitud de información a la Tesorería Municipal, </w:t>
      </w:r>
      <w:r w:rsidRPr="0089675F">
        <w:rPr>
          <w:rFonts w:eastAsia="Times New Roman" w:cs="Tahoma"/>
          <w:bCs/>
          <w:iCs/>
          <w:color w:val="auto"/>
          <w:lang w:eastAsia="es-ES"/>
        </w:rPr>
        <w:t xml:space="preserve">por lo que, es necesario hacer referencia al </w:t>
      </w:r>
      <w:r w:rsidRPr="0089675F">
        <w:rPr>
          <w:rFonts w:eastAsia="Times New Roman" w:cs="Tahoma"/>
          <w:b/>
          <w:iCs/>
          <w:color w:val="auto"/>
          <w:lang w:eastAsia="es-ES"/>
        </w:rPr>
        <w:t xml:space="preserve">procedimiento de búsqueda </w:t>
      </w:r>
      <w:r w:rsidRPr="0089675F">
        <w:rPr>
          <w:rFonts w:eastAsia="Times New Roman" w:cs="Tahoma"/>
          <w:b/>
          <w:iCs/>
          <w:color w:val="auto"/>
          <w:lang w:val="es-ES" w:eastAsia="es-ES"/>
        </w:rPr>
        <w:t>que deben de seguir los Sujetos Obligados para localizar la información</w:t>
      </w:r>
      <w:r w:rsidRPr="0089675F">
        <w:rPr>
          <w:rFonts w:eastAsia="Times New Roman" w:cs="Tahoma"/>
          <w:bCs/>
          <w:iCs/>
          <w:color w:val="auto"/>
          <w:lang w:val="es-ES" w:eastAsia="es-ES"/>
        </w:rPr>
        <w:t>, el cual se encuentra previsto en el artículo 162 de la Ley de Transparencia y Acceso a la Información Pública del Estado de México y Municipios, mismo que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425202DE" w14:textId="77777777" w:rsidR="00086C5F" w:rsidRPr="0089675F" w:rsidRDefault="00086C5F" w:rsidP="00E26391">
      <w:pPr>
        <w:spacing w:after="0" w:line="360" w:lineRule="auto"/>
        <w:contextualSpacing/>
        <w:rPr>
          <w:rFonts w:eastAsia="Times New Roman" w:cs="Tahoma"/>
          <w:bCs/>
          <w:iCs/>
          <w:color w:val="auto"/>
          <w:lang w:val="es-ES" w:eastAsia="es-ES"/>
        </w:rPr>
      </w:pPr>
    </w:p>
    <w:p w14:paraId="5F44C7DA" w14:textId="77777777" w:rsidR="00086C5F" w:rsidRPr="0089675F" w:rsidRDefault="00086C5F" w:rsidP="00E26391">
      <w:pPr>
        <w:spacing w:after="0" w:line="360" w:lineRule="auto"/>
        <w:contextualSpacing/>
        <w:rPr>
          <w:rFonts w:eastAsia="Times New Roman" w:cs="Tahoma"/>
          <w:bCs/>
          <w:iCs/>
          <w:color w:val="auto"/>
          <w:lang w:eastAsia="es-ES"/>
        </w:rPr>
      </w:pPr>
      <w:r w:rsidRPr="0089675F">
        <w:rPr>
          <w:rFonts w:eastAsia="Times New Roman" w:cs="Tahoma"/>
          <w:bCs/>
          <w:iCs/>
          <w:color w:val="auto"/>
          <w:lang w:eastAsia="es-ES"/>
        </w:rPr>
        <w:t xml:space="preserve">Así, con la finalidad de determinar si el Sujeto Obligado cumplió con el procedimiento de búsqueda previamente establecido, es necesario traer a colación los artículos 44, fracción I y VIII, 57, 58, 59 y 60 del Bando </w:t>
      </w:r>
      <w:r w:rsidRPr="0089675F">
        <w:rPr>
          <w:rFonts w:eastAsia="Times New Roman" w:cs="Times New Roman"/>
          <w:color w:val="auto"/>
          <w:lang w:eastAsia="es-ES"/>
        </w:rPr>
        <w:t>Municipal de Temamatla, dos mil veinticuatro en relación con el Manual de Organización de la Dirección de Administración</w:t>
      </w:r>
      <w:r w:rsidRPr="0089675F">
        <w:rPr>
          <w:rFonts w:eastAsia="Times New Roman" w:cs="Tahoma"/>
          <w:bCs/>
          <w:iCs/>
          <w:color w:val="auto"/>
          <w:lang w:eastAsia="es-ES"/>
        </w:rPr>
        <w:t>, que precisan que, el Sujeto Obligado para el ejercicio de sus funciones cuenta con diversas unidades administrativas, entre otras las siguientes:</w:t>
      </w:r>
    </w:p>
    <w:p w14:paraId="6CB3E1CA" w14:textId="77777777" w:rsidR="00086C5F" w:rsidRPr="0089675F" w:rsidRDefault="00086C5F" w:rsidP="00E26391">
      <w:pPr>
        <w:spacing w:after="0" w:line="360" w:lineRule="auto"/>
        <w:contextualSpacing/>
        <w:rPr>
          <w:rFonts w:eastAsia="Times New Roman" w:cs="Tahoma"/>
          <w:bCs/>
          <w:iCs/>
          <w:color w:val="auto"/>
          <w:lang w:eastAsia="es-ES"/>
        </w:rPr>
      </w:pPr>
    </w:p>
    <w:p w14:paraId="4BE9FC4A" w14:textId="77777777" w:rsidR="00086C5F" w:rsidRPr="0089675F" w:rsidRDefault="00086C5F" w:rsidP="00E26391">
      <w:pPr>
        <w:numPr>
          <w:ilvl w:val="0"/>
          <w:numId w:val="37"/>
        </w:numPr>
        <w:spacing w:after="0" w:line="360" w:lineRule="auto"/>
        <w:ind w:left="850"/>
        <w:contextualSpacing/>
        <w:jc w:val="left"/>
        <w:rPr>
          <w:rFonts w:eastAsia="Times New Roman" w:cs="Tahoma"/>
          <w:b/>
          <w:bCs/>
          <w:iCs/>
          <w:color w:val="auto"/>
          <w:lang w:eastAsia="es-ES"/>
        </w:rPr>
      </w:pPr>
      <w:r w:rsidRPr="0089675F">
        <w:rPr>
          <w:rFonts w:eastAsia="Times New Roman" w:cs="Tahoma"/>
          <w:b/>
          <w:bCs/>
          <w:iCs/>
          <w:color w:val="auto"/>
          <w:lang w:eastAsia="es-ES"/>
        </w:rPr>
        <w:t xml:space="preserve">Tesorería Municipal: </w:t>
      </w:r>
      <w:r w:rsidRPr="0089675F">
        <w:rPr>
          <w:rFonts w:eastAsia="Times New Roman" w:cs="Tahoma"/>
          <w:iCs/>
          <w:color w:val="auto"/>
          <w:lang w:eastAsia="es-ES"/>
        </w:rPr>
        <w:t>Encargada de las erogaciones que realice el Ayuntamiento.</w:t>
      </w:r>
    </w:p>
    <w:p w14:paraId="6A80911A" w14:textId="77777777" w:rsidR="00086C5F" w:rsidRPr="0089675F" w:rsidRDefault="00086C5F" w:rsidP="00E26391">
      <w:pPr>
        <w:spacing w:after="0" w:line="360" w:lineRule="auto"/>
        <w:ind w:left="850"/>
        <w:contextualSpacing/>
        <w:rPr>
          <w:rFonts w:eastAsia="Times New Roman" w:cs="Tahoma"/>
          <w:b/>
          <w:bCs/>
          <w:iCs/>
          <w:color w:val="auto"/>
          <w:lang w:eastAsia="es-ES"/>
        </w:rPr>
      </w:pPr>
    </w:p>
    <w:p w14:paraId="614B73B3" w14:textId="77777777" w:rsidR="00086C5F" w:rsidRPr="0089675F" w:rsidRDefault="00086C5F" w:rsidP="00E26391">
      <w:pPr>
        <w:numPr>
          <w:ilvl w:val="0"/>
          <w:numId w:val="36"/>
        </w:numPr>
        <w:spacing w:after="0" w:line="360" w:lineRule="auto"/>
        <w:ind w:left="850"/>
        <w:contextualSpacing/>
        <w:jc w:val="left"/>
        <w:rPr>
          <w:rFonts w:eastAsia="Times New Roman" w:cs="Tahoma"/>
          <w:iCs/>
          <w:color w:val="auto"/>
          <w:lang w:eastAsia="es-ES"/>
        </w:rPr>
      </w:pPr>
      <w:r w:rsidRPr="0089675F">
        <w:rPr>
          <w:rFonts w:eastAsia="Times New Roman" w:cs="Tahoma"/>
          <w:b/>
          <w:bCs/>
          <w:iCs/>
          <w:color w:val="auto"/>
          <w:lang w:eastAsia="es-ES"/>
        </w:rPr>
        <w:t>Dirección de Administración:</w:t>
      </w:r>
      <w:r w:rsidRPr="0089675F">
        <w:rPr>
          <w:rFonts w:eastAsia="Times New Roman" w:cs="Tahoma"/>
          <w:iCs/>
          <w:color w:val="auto"/>
          <w:lang w:eastAsia="es-ES"/>
        </w:rPr>
        <w:t xml:space="preserve"> Encargada de planear, organizar, dirigir y controlar la adquisición de bienes, así como la presentación de los servicios requeridos por las </w:t>
      </w:r>
      <w:r w:rsidRPr="0089675F">
        <w:rPr>
          <w:rFonts w:eastAsia="Times New Roman" w:cs="Tahoma"/>
          <w:iCs/>
          <w:color w:val="auto"/>
          <w:lang w:eastAsia="es-ES"/>
        </w:rPr>
        <w:lastRenderedPageBreak/>
        <w:t xml:space="preserve">áreas administrativas para el cumplimiento de sus funciones y programas institucionales. </w:t>
      </w:r>
    </w:p>
    <w:p w14:paraId="26A29164" w14:textId="77777777" w:rsidR="00086C5F" w:rsidRPr="0089675F" w:rsidRDefault="00086C5F" w:rsidP="00E26391">
      <w:pPr>
        <w:spacing w:after="0" w:line="360" w:lineRule="auto"/>
        <w:ind w:left="850"/>
        <w:contextualSpacing/>
        <w:rPr>
          <w:rFonts w:eastAsia="Times New Roman" w:cs="Tahoma"/>
          <w:iCs/>
          <w:color w:val="auto"/>
          <w:lang w:eastAsia="es-ES"/>
        </w:rPr>
      </w:pPr>
    </w:p>
    <w:p w14:paraId="45B06A5E" w14:textId="77777777" w:rsidR="00086C5F" w:rsidRPr="0089675F" w:rsidRDefault="00086C5F" w:rsidP="00E26391">
      <w:pPr>
        <w:spacing w:after="0" w:line="360" w:lineRule="auto"/>
        <w:ind w:left="850"/>
        <w:contextualSpacing/>
        <w:rPr>
          <w:rFonts w:eastAsia="Times New Roman" w:cs="Tahoma"/>
          <w:iCs/>
          <w:color w:val="auto"/>
          <w:lang w:eastAsia="es-ES"/>
        </w:rPr>
      </w:pPr>
      <w:r w:rsidRPr="0089675F">
        <w:rPr>
          <w:rFonts w:eastAsia="Times New Roman" w:cs="Tahoma"/>
          <w:iCs/>
          <w:color w:val="auto"/>
          <w:lang w:eastAsia="es-ES"/>
        </w:rPr>
        <w:t>Para lograr lo anterior, contará con la Jefatura del Departamento de Adquisiciones, que, en coordinación de la Tesorería Municipal, realizará la adquisición de bienes e insumos; autoriza el suministro de recursos y servicios y registra y envía las facturas recibidas.</w:t>
      </w:r>
    </w:p>
    <w:p w14:paraId="1BED651A" w14:textId="77777777" w:rsidR="00086C5F" w:rsidRPr="0089675F" w:rsidRDefault="00086C5F" w:rsidP="00E26391">
      <w:pPr>
        <w:spacing w:after="0" w:line="360" w:lineRule="auto"/>
        <w:contextualSpacing/>
        <w:rPr>
          <w:rFonts w:eastAsia="Calibri" w:cs="Times New Roman"/>
          <w:color w:val="auto"/>
          <w:lang w:eastAsia="es-ES"/>
        </w:rPr>
      </w:pPr>
    </w:p>
    <w:p w14:paraId="7D4C5ED3" w14:textId="77777777" w:rsidR="00086C5F" w:rsidRPr="0089675F" w:rsidRDefault="00086C5F" w:rsidP="00E26391">
      <w:pPr>
        <w:spacing w:after="0" w:line="360" w:lineRule="auto"/>
        <w:contextualSpacing/>
        <w:rPr>
          <w:rFonts w:eastAsia="Calibri" w:cs="Tahoma"/>
          <w:color w:val="000000"/>
          <w:lang w:val="es-ES"/>
        </w:rPr>
      </w:pPr>
      <w:r w:rsidRPr="0089675F">
        <w:rPr>
          <w:rFonts w:eastAsia="Calibri" w:cs="Times New Roman"/>
          <w:color w:val="auto"/>
          <w:lang w:eastAsia="es-ES"/>
        </w:rPr>
        <w:t>De tal circunstancia</w:t>
      </w:r>
      <w:r w:rsidRPr="0089675F">
        <w:rPr>
          <w:rFonts w:eastAsia="Calibri" w:cs="Tahoma"/>
          <w:bCs/>
          <w:iCs/>
          <w:color w:val="auto"/>
          <w:lang w:eastAsia="es-ES"/>
        </w:rPr>
        <w:t xml:space="preserve">, se logra colegir que el Sujeto Obligado no cumplió con el procedimiento de búsqueda </w:t>
      </w:r>
      <w:r w:rsidRPr="0089675F">
        <w:rPr>
          <w:rFonts w:eastAsia="Calibri" w:cs="Tahoma"/>
          <w:color w:val="000000"/>
          <w:lang w:val="es-ES"/>
        </w:rPr>
        <w:t>establecido en el artículo 162 de la Ley de Transparencia y Acceso a la Información Pública del Estado de México y Municipios, ya que, si bien turno la solicitud a la Tesorería Municipal, omitió hacerlo a la Dirección de Administración.</w:t>
      </w:r>
    </w:p>
    <w:p w14:paraId="0AA635CB" w14:textId="77777777" w:rsidR="00B27D55" w:rsidRPr="0089675F" w:rsidRDefault="00B27D55" w:rsidP="00E26391">
      <w:pPr>
        <w:spacing w:after="0" w:line="360" w:lineRule="auto"/>
        <w:rPr>
          <w:color w:val="000000"/>
          <w:lang w:val="es-ES"/>
        </w:rPr>
      </w:pPr>
    </w:p>
    <w:p w14:paraId="5B42156F" w14:textId="654054B3" w:rsidR="00B27D55" w:rsidRPr="0089675F" w:rsidRDefault="00A369DB" w:rsidP="00E26391">
      <w:pPr>
        <w:spacing w:after="0" w:line="360" w:lineRule="auto"/>
        <w:rPr>
          <w:rFonts w:eastAsia="Times New Roman" w:cs="Tahoma"/>
          <w:lang w:val="es-ES"/>
        </w:rPr>
      </w:pPr>
      <w:r w:rsidRPr="0089675F">
        <w:rPr>
          <w:rFonts w:eastAsia="Times New Roman" w:cs="Tahoma"/>
          <w:lang w:val="es-ES"/>
        </w:rPr>
        <w:t>Establecido lo anterior, se procede analizar el agravio hecho valor por la Recurrente, referente</w:t>
      </w:r>
      <w:r w:rsidR="00B27D55" w:rsidRPr="0089675F">
        <w:rPr>
          <w:rFonts w:eastAsia="Times New Roman" w:cs="Tahoma"/>
          <w:lang w:val="es-ES"/>
        </w:rPr>
        <w:t>s</w:t>
      </w:r>
      <w:r w:rsidRPr="0089675F">
        <w:rPr>
          <w:rFonts w:eastAsia="Times New Roman" w:cs="Tahoma"/>
          <w:lang w:val="es-ES"/>
        </w:rPr>
        <w:t xml:space="preserve"> </w:t>
      </w:r>
      <w:r w:rsidR="00B27D55" w:rsidRPr="0089675F">
        <w:rPr>
          <w:rFonts w:eastAsia="Times New Roman" w:cs="Tahoma"/>
          <w:lang w:val="es-ES"/>
        </w:rPr>
        <w:t xml:space="preserve">a la entrega de información que no corresponde con lo solicitado y </w:t>
      </w:r>
      <w:r w:rsidRPr="0089675F">
        <w:rPr>
          <w:rFonts w:eastAsia="Times New Roman" w:cs="Tahoma"/>
          <w:lang w:val="es-ES"/>
        </w:rPr>
        <w:t>al cambió de modalidad a consulta directa realizada por el Ente Recurrido</w:t>
      </w:r>
      <w:r w:rsidR="00086C5F" w:rsidRPr="0089675F">
        <w:rPr>
          <w:rFonts w:eastAsia="Times New Roman" w:cs="Tahoma"/>
          <w:lang w:val="es-ES"/>
        </w:rPr>
        <w:t>.</w:t>
      </w:r>
    </w:p>
    <w:p w14:paraId="73A282C0" w14:textId="77777777" w:rsidR="00B27D55" w:rsidRPr="0089675F" w:rsidRDefault="00B27D55" w:rsidP="00E26391">
      <w:pPr>
        <w:spacing w:after="0" w:line="360" w:lineRule="auto"/>
        <w:rPr>
          <w:rFonts w:eastAsia="Times New Roman" w:cs="Tahoma"/>
          <w:lang w:val="es-ES"/>
        </w:rPr>
      </w:pPr>
    </w:p>
    <w:p w14:paraId="3C7EF71C" w14:textId="32D95C62" w:rsidR="00B27D55" w:rsidRPr="0089675F" w:rsidRDefault="00B27D55" w:rsidP="00E26391">
      <w:pPr>
        <w:spacing w:after="0" w:line="360" w:lineRule="auto"/>
        <w:rPr>
          <w:rFonts w:eastAsia="Times New Roman" w:cs="Tahoma"/>
          <w:lang w:val="es-ES"/>
        </w:rPr>
      </w:pPr>
      <w:r w:rsidRPr="0089675F">
        <w:rPr>
          <w:rFonts w:eastAsia="Times New Roman" w:cs="Tahoma"/>
          <w:lang w:val="es-ES"/>
        </w:rPr>
        <w:t xml:space="preserve">En primer término este Órgano Garante puede apreciar que la respuesta proporcionada por el Sujeto Obligado es </w:t>
      </w:r>
      <w:r w:rsidR="00B220A6" w:rsidRPr="0089675F">
        <w:rPr>
          <w:rFonts w:eastAsia="Times New Roman" w:cs="Tahoma"/>
          <w:lang w:val="es-ES"/>
        </w:rPr>
        <w:t xml:space="preserve">confusa, ya que en primer término refirió que la información solicitada </w:t>
      </w:r>
      <w:r w:rsidR="00C169EE" w:rsidRPr="0089675F">
        <w:rPr>
          <w:rFonts w:eastAsia="Times New Roman" w:cs="Tahoma"/>
          <w:lang w:val="es-ES"/>
        </w:rPr>
        <w:t>se encontraba en la</w:t>
      </w:r>
      <w:r w:rsidR="00B220A6" w:rsidRPr="0089675F">
        <w:rPr>
          <w:rFonts w:eastAsia="Times New Roman" w:cs="Tahoma"/>
          <w:lang w:val="es-ES"/>
        </w:rPr>
        <w:t xml:space="preserve"> liga electrónica que proporcionó y </w:t>
      </w:r>
      <w:r w:rsidR="00A51FC9" w:rsidRPr="0089675F">
        <w:rPr>
          <w:rFonts w:eastAsia="Times New Roman" w:cs="Tahoma"/>
          <w:lang w:val="es-ES"/>
        </w:rPr>
        <w:t xml:space="preserve">posteriormente, </w:t>
      </w:r>
      <w:r w:rsidR="00B220A6" w:rsidRPr="0089675F">
        <w:rPr>
          <w:rFonts w:eastAsia="Times New Roman" w:cs="Tahoma"/>
          <w:lang w:val="es-ES"/>
        </w:rPr>
        <w:t xml:space="preserve">en el acta del Comité de </w:t>
      </w:r>
      <w:r w:rsidR="00951E4D" w:rsidRPr="0089675F">
        <w:rPr>
          <w:rFonts w:eastAsia="Times New Roman" w:cs="Tahoma"/>
          <w:lang w:val="es-ES"/>
        </w:rPr>
        <w:t>Transparencia</w:t>
      </w:r>
      <w:r w:rsidR="00B220A6" w:rsidRPr="0089675F">
        <w:rPr>
          <w:rFonts w:eastAsia="Times New Roman" w:cs="Tahoma"/>
          <w:lang w:val="es-ES"/>
        </w:rPr>
        <w:t xml:space="preserve"> aprobó el cambio de modalidad de entrega de la información a consulta directa, por lo que se crea incertidumbre al Particular. En tal sentido este Instituto proce</w:t>
      </w:r>
      <w:r w:rsidR="006137E6" w:rsidRPr="0089675F">
        <w:rPr>
          <w:rFonts w:eastAsia="Times New Roman" w:cs="Tahoma"/>
          <w:lang w:val="es-ES"/>
        </w:rPr>
        <w:t xml:space="preserve">dió a analizar ambos documentos remitidos en respuesta. </w:t>
      </w:r>
    </w:p>
    <w:p w14:paraId="374BB47C" w14:textId="77777777" w:rsidR="006137E6" w:rsidRPr="0089675F" w:rsidRDefault="006137E6" w:rsidP="00E26391">
      <w:pPr>
        <w:spacing w:after="0" w:line="360" w:lineRule="auto"/>
        <w:rPr>
          <w:rFonts w:eastAsia="Times New Roman" w:cs="Tahoma"/>
          <w:lang w:val="es-ES"/>
        </w:rPr>
      </w:pPr>
    </w:p>
    <w:p w14:paraId="260DDB46" w14:textId="2BB128E3" w:rsidR="00D87D2E" w:rsidRPr="0089675F" w:rsidRDefault="006137E6" w:rsidP="00E26391">
      <w:pPr>
        <w:spacing w:after="0" w:line="360" w:lineRule="auto"/>
        <w:rPr>
          <w:rFonts w:eastAsia="Times New Roman" w:cs="Tahoma"/>
          <w:lang w:val="es-ES"/>
        </w:rPr>
      </w:pPr>
      <w:r w:rsidRPr="0089675F">
        <w:rPr>
          <w:rFonts w:eastAsia="Times New Roman" w:cs="Tahoma"/>
          <w:lang w:val="es-ES"/>
        </w:rPr>
        <w:t xml:space="preserve">En ese tenor, la Tesorera municipal refirió que la información requerida se encontraba disponible en la siguiente liga electrónica: </w:t>
      </w:r>
    </w:p>
    <w:p w14:paraId="7C96CED4" w14:textId="3D4A28D1" w:rsidR="006137E6" w:rsidRPr="0089675F" w:rsidRDefault="006137E6" w:rsidP="00E26391">
      <w:pPr>
        <w:spacing w:after="0" w:line="360" w:lineRule="auto"/>
        <w:jc w:val="center"/>
        <w:rPr>
          <w:rFonts w:eastAsia="Times New Roman" w:cs="Tahoma"/>
          <w:lang w:val="es-ES"/>
        </w:rPr>
      </w:pPr>
      <w:r w:rsidRPr="0089675F">
        <w:rPr>
          <w:rFonts w:eastAsia="Times New Roman" w:cs="Tahoma"/>
          <w:noProof/>
        </w:rPr>
        <w:lastRenderedPageBreak/>
        <w:drawing>
          <wp:inline distT="0" distB="0" distL="0" distR="0" wp14:anchorId="610CA993" wp14:editId="4D71E93E">
            <wp:extent cx="4500562" cy="513983"/>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0565" r="6585" b="16222"/>
                    <a:stretch/>
                  </pic:blipFill>
                  <pic:spPr bwMode="auto">
                    <a:xfrm>
                      <a:off x="0" y="0"/>
                      <a:ext cx="4582965" cy="523394"/>
                    </a:xfrm>
                    <a:prstGeom prst="rect">
                      <a:avLst/>
                    </a:prstGeom>
                    <a:ln>
                      <a:noFill/>
                    </a:ln>
                    <a:extLst>
                      <a:ext uri="{53640926-AAD7-44D8-BBD7-CCE9431645EC}">
                        <a14:shadowObscured xmlns:a14="http://schemas.microsoft.com/office/drawing/2010/main"/>
                      </a:ext>
                    </a:extLst>
                  </pic:spPr>
                </pic:pic>
              </a:graphicData>
            </a:graphic>
          </wp:inline>
        </w:drawing>
      </w:r>
    </w:p>
    <w:p w14:paraId="6DDAD4A5" w14:textId="77777777" w:rsidR="00B27D55" w:rsidRPr="0089675F" w:rsidRDefault="00B27D55" w:rsidP="00E26391">
      <w:pPr>
        <w:spacing w:after="0" w:line="360" w:lineRule="auto"/>
        <w:rPr>
          <w:rFonts w:eastAsia="Times New Roman" w:cs="Tahoma"/>
          <w:lang w:val="es-ES"/>
        </w:rPr>
      </w:pPr>
    </w:p>
    <w:p w14:paraId="0B15870C" w14:textId="7C85A384" w:rsidR="00425DC6" w:rsidRPr="0089675F" w:rsidRDefault="00D87D2E" w:rsidP="00E26391">
      <w:pPr>
        <w:spacing w:after="0" w:line="360" w:lineRule="auto"/>
        <w:rPr>
          <w:rFonts w:eastAsiaTheme="minorHAnsi" w:cs="Tahoma"/>
          <w:lang w:eastAsia="en-US"/>
        </w:rPr>
      </w:pPr>
      <w:r w:rsidRPr="0089675F">
        <w:rPr>
          <w:rFonts w:eastAsia="Times New Roman" w:cs="Tahoma"/>
          <w:lang w:val="es-ES"/>
        </w:rPr>
        <w:t xml:space="preserve">Por lo que en un primer análisis este Instituto aprecia que  la información fue proporcionada en datos cerrados. </w:t>
      </w:r>
      <w:r w:rsidR="00425DC6" w:rsidRPr="0089675F">
        <w:rPr>
          <w:rFonts w:eastAsiaTheme="minorHAnsi" w:cs="Tahoma"/>
          <w:lang w:eastAsia="en-US"/>
        </w:rP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3EA7EFF" w14:textId="77777777" w:rsidR="00425DC6" w:rsidRPr="0089675F" w:rsidRDefault="00425DC6" w:rsidP="00E26391">
      <w:pPr>
        <w:spacing w:after="0" w:line="360" w:lineRule="auto"/>
        <w:rPr>
          <w:rFonts w:eastAsiaTheme="minorHAnsi" w:cs="Tahoma"/>
          <w:lang w:eastAsia="en-US"/>
        </w:rPr>
      </w:pPr>
    </w:p>
    <w:p w14:paraId="6616D9D8" w14:textId="77777777" w:rsidR="00425DC6" w:rsidRPr="0089675F" w:rsidRDefault="00425DC6" w:rsidP="00E26391">
      <w:pPr>
        <w:spacing w:after="0" w:line="360" w:lineRule="auto"/>
        <w:rPr>
          <w:rFonts w:eastAsiaTheme="minorHAnsi" w:cs="Tahoma"/>
          <w:lang w:eastAsia="en-US"/>
        </w:rPr>
      </w:pPr>
      <w:r w:rsidRPr="0089675F">
        <w:rPr>
          <w:rFonts w:eastAsiaTheme="minorHAnsi" w:cs="Tahoma"/>
          <w:lang w:eastAsia="en-US"/>
        </w:rPr>
        <w:t>Asimismo, establece que al proporcionar información pública es necesario que sea en un formato que no tenga ninguna restricción en el acceso o reutilización, por lo que, es necesario que los datos digitales (como ligas electrónicas), se proporcionen en un formato abierto, porque la entrega en datos cerrados puede propiciar error en la redacción y ello impide el acceso a la información.</w:t>
      </w:r>
    </w:p>
    <w:p w14:paraId="15B0322D" w14:textId="77777777" w:rsidR="00425DC6" w:rsidRPr="0089675F" w:rsidRDefault="00425DC6" w:rsidP="00E26391">
      <w:pPr>
        <w:spacing w:after="0" w:line="360" w:lineRule="auto"/>
        <w:rPr>
          <w:rFonts w:eastAsiaTheme="minorHAnsi" w:cs="Tahoma"/>
          <w:lang w:eastAsia="en-US"/>
        </w:rPr>
      </w:pPr>
    </w:p>
    <w:p w14:paraId="2381A1BF" w14:textId="77777777" w:rsidR="00425DC6" w:rsidRPr="0089675F" w:rsidRDefault="00425DC6" w:rsidP="00E26391">
      <w:pPr>
        <w:spacing w:after="0" w:line="360" w:lineRule="auto"/>
        <w:rPr>
          <w:rFonts w:eastAsiaTheme="minorHAnsi" w:cs="Tahoma"/>
          <w:lang w:eastAsia="en-US"/>
        </w:rPr>
      </w:pPr>
      <w:r w:rsidRPr="0089675F">
        <w:rPr>
          <w:rFonts w:eastAsiaTheme="minorHAnsi" w:cs="Tahoma"/>
          <w:lang w:eastAsia="en-US"/>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F26D51C" w14:textId="77777777" w:rsidR="00425DC6" w:rsidRPr="0089675F" w:rsidRDefault="00425DC6" w:rsidP="00E26391">
      <w:pPr>
        <w:spacing w:after="0" w:line="360" w:lineRule="auto"/>
        <w:rPr>
          <w:rFonts w:eastAsiaTheme="minorHAnsi" w:cs="Tahoma"/>
          <w:lang w:eastAsia="en-US"/>
        </w:rPr>
      </w:pPr>
    </w:p>
    <w:p w14:paraId="4FCA59E7" w14:textId="77777777" w:rsidR="00425DC6" w:rsidRPr="0089675F" w:rsidRDefault="00425DC6" w:rsidP="00E26391">
      <w:pPr>
        <w:numPr>
          <w:ilvl w:val="0"/>
          <w:numId w:val="30"/>
        </w:numPr>
        <w:spacing w:after="0" w:line="360" w:lineRule="auto"/>
        <w:contextualSpacing/>
        <w:jc w:val="left"/>
        <w:rPr>
          <w:rFonts w:eastAsia="Times New Roman" w:cs="Tahoma"/>
          <w:szCs w:val="24"/>
          <w:lang w:eastAsia="es-ES"/>
        </w:rPr>
      </w:pPr>
      <w:r w:rsidRPr="0089675F">
        <w:rPr>
          <w:rFonts w:eastAsia="Times New Roman" w:cs="Tahoma"/>
          <w:b/>
          <w:szCs w:val="24"/>
          <w:lang w:eastAsia="es-ES"/>
        </w:rPr>
        <w:t xml:space="preserve">Dato abierto: </w:t>
      </w:r>
      <w:r w:rsidRPr="0089675F">
        <w:rPr>
          <w:rFonts w:eastAsia="Times New Roman" w:cs="Tahoma"/>
          <w:szCs w:val="24"/>
          <w:lang w:eastAsia="es-ES"/>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0E7DEBE" w14:textId="77777777" w:rsidR="00425DC6" w:rsidRPr="0089675F" w:rsidRDefault="00425DC6" w:rsidP="00E26391">
      <w:pPr>
        <w:spacing w:after="0" w:line="360" w:lineRule="auto"/>
        <w:rPr>
          <w:rFonts w:eastAsiaTheme="minorHAnsi" w:cs="Tahoma"/>
          <w:lang w:eastAsia="en-US"/>
        </w:rPr>
      </w:pPr>
    </w:p>
    <w:p w14:paraId="7A58E11B" w14:textId="77777777" w:rsidR="00425DC6" w:rsidRPr="0089675F" w:rsidRDefault="00425DC6" w:rsidP="00E26391">
      <w:pPr>
        <w:numPr>
          <w:ilvl w:val="0"/>
          <w:numId w:val="30"/>
        </w:numPr>
        <w:spacing w:after="0" w:line="360" w:lineRule="auto"/>
        <w:contextualSpacing/>
        <w:rPr>
          <w:rFonts w:eastAsia="Times New Roman" w:cs="Tahoma"/>
          <w:szCs w:val="24"/>
          <w:lang w:eastAsia="es-ES"/>
        </w:rPr>
      </w:pPr>
      <w:r w:rsidRPr="0089675F">
        <w:rPr>
          <w:rFonts w:eastAsia="Times New Roman" w:cs="Tahoma"/>
          <w:b/>
          <w:szCs w:val="24"/>
          <w:lang w:eastAsia="es-ES"/>
        </w:rPr>
        <w:lastRenderedPageBreak/>
        <w:t>Formato accesible:</w:t>
      </w:r>
      <w:r w:rsidRPr="0089675F">
        <w:rPr>
          <w:rFonts w:eastAsia="Times New Roman" w:cs="Tahoma"/>
          <w:szCs w:val="24"/>
          <w:lang w:eastAsia="es-ES"/>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EC0D0F4" w14:textId="77777777" w:rsidR="00425DC6" w:rsidRPr="0089675F" w:rsidRDefault="00425DC6" w:rsidP="00E26391">
      <w:pPr>
        <w:spacing w:after="0" w:line="360" w:lineRule="auto"/>
        <w:rPr>
          <w:rFonts w:eastAsiaTheme="minorHAnsi" w:cs="Tahoma"/>
          <w:lang w:eastAsia="en-US"/>
        </w:rPr>
      </w:pPr>
    </w:p>
    <w:p w14:paraId="061CFC22" w14:textId="77777777" w:rsidR="00425DC6" w:rsidRPr="0089675F" w:rsidRDefault="00425DC6" w:rsidP="00E26391">
      <w:pPr>
        <w:spacing w:after="0" w:line="360" w:lineRule="auto"/>
        <w:rPr>
          <w:rFonts w:eastAsiaTheme="minorHAnsi" w:cs="Tahoma"/>
          <w:lang w:eastAsia="en-US"/>
        </w:rPr>
      </w:pPr>
      <w:r w:rsidRPr="0089675F">
        <w:rPr>
          <w:rFonts w:eastAsiaTheme="minorHAnsi" w:cs="Tahoma"/>
          <w:lang w:eastAsia="en-US"/>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21014F83" w14:textId="77777777" w:rsidR="00425DC6" w:rsidRPr="0089675F" w:rsidRDefault="00425DC6" w:rsidP="00E26391">
      <w:pPr>
        <w:spacing w:after="0" w:line="360" w:lineRule="auto"/>
        <w:rPr>
          <w:rFonts w:eastAsiaTheme="minorHAnsi" w:cs="Tahoma"/>
          <w:lang w:eastAsia="en-US"/>
        </w:rPr>
      </w:pPr>
    </w:p>
    <w:p w14:paraId="4A54200B" w14:textId="77777777" w:rsidR="00425DC6" w:rsidRPr="0089675F" w:rsidRDefault="00425DC6" w:rsidP="00E26391">
      <w:pPr>
        <w:spacing w:after="0" w:line="360" w:lineRule="auto"/>
        <w:rPr>
          <w:rFonts w:eastAsiaTheme="minorHAnsi" w:cs="Tahoma"/>
          <w:lang w:eastAsia="en-US"/>
        </w:rPr>
      </w:pPr>
      <w:r w:rsidRPr="0089675F">
        <w:rPr>
          <w:rFonts w:eastAsiaTheme="minorHAnsi" w:cs="Tahoma"/>
          <w:lang w:eastAsia="en-US"/>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185E1C77" w14:textId="77777777" w:rsidR="00425DC6" w:rsidRPr="0089675F" w:rsidRDefault="00425DC6" w:rsidP="00E26391">
      <w:pPr>
        <w:spacing w:after="0" w:line="360" w:lineRule="auto"/>
        <w:rPr>
          <w:rFonts w:eastAsiaTheme="minorHAnsi" w:cs="Tahoma"/>
          <w:lang w:eastAsia="en-US"/>
        </w:rPr>
      </w:pPr>
    </w:p>
    <w:p w14:paraId="6D76CC3B" w14:textId="5E515A51" w:rsidR="00425DC6" w:rsidRPr="0089675F" w:rsidRDefault="00425DC6" w:rsidP="00E26391">
      <w:pPr>
        <w:spacing w:after="0" w:line="360" w:lineRule="auto"/>
        <w:rPr>
          <w:rFonts w:eastAsiaTheme="minorHAnsi" w:cs="Tahoma"/>
          <w:lang w:eastAsia="en-US"/>
        </w:rPr>
      </w:pPr>
      <w:r w:rsidRPr="0089675F">
        <w:rPr>
          <w:rFonts w:eastAsiaTheme="minorHAnsi" w:cs="Tahoma"/>
          <w:lang w:eastAsia="en-US"/>
        </w:rPr>
        <w:t>Como se logra observar, el Sujeto Obligado, si bien señaló la página elect</w:t>
      </w:r>
      <w:r w:rsidR="00A51FC9" w:rsidRPr="0089675F">
        <w:rPr>
          <w:rFonts w:eastAsiaTheme="minorHAnsi" w:cs="Tahoma"/>
          <w:lang w:eastAsia="en-US"/>
        </w:rPr>
        <w:t>rónica, omitió proporcionarla</w:t>
      </w:r>
      <w:r w:rsidRPr="0089675F">
        <w:rPr>
          <w:rFonts w:eastAsiaTheme="minorHAnsi" w:cs="Tahoma"/>
          <w:lang w:eastAsia="en-US"/>
        </w:rPr>
        <w:t xml:space="preserve"> en formato abierto,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p>
    <w:p w14:paraId="03F2EC9B" w14:textId="77777777" w:rsidR="00425DC6" w:rsidRPr="0089675F" w:rsidRDefault="00425DC6" w:rsidP="00E26391">
      <w:pPr>
        <w:spacing w:after="0" w:line="360" w:lineRule="auto"/>
        <w:rPr>
          <w:rFonts w:eastAsiaTheme="minorHAnsi" w:cs="Tahoma"/>
          <w:lang w:eastAsia="en-US"/>
        </w:rPr>
      </w:pPr>
    </w:p>
    <w:p w14:paraId="196B9C4D" w14:textId="656081B3" w:rsidR="00425DC6" w:rsidRPr="0089675F" w:rsidRDefault="00A51FC9" w:rsidP="00E26391">
      <w:pPr>
        <w:spacing w:after="0" w:line="360" w:lineRule="auto"/>
        <w:rPr>
          <w:rFonts w:eastAsiaTheme="minorHAnsi" w:cs="Tahoma"/>
          <w:lang w:eastAsia="en-US"/>
        </w:rPr>
      </w:pPr>
      <w:r w:rsidRPr="0089675F">
        <w:rPr>
          <w:rFonts w:eastAsiaTheme="minorHAnsi" w:cs="Tahoma"/>
          <w:lang w:eastAsia="en-US"/>
        </w:rPr>
        <w:t>No obstante lo anterior, este Órgano Garante</w:t>
      </w:r>
      <w:r w:rsidR="00425DC6" w:rsidRPr="0089675F">
        <w:rPr>
          <w:rFonts w:eastAsiaTheme="minorHAnsi" w:cs="Tahoma"/>
          <w:lang w:eastAsia="en-US"/>
        </w:rPr>
        <w:t xml:space="preserve"> procedió a realizar la consulta a la dirección electrónica proporcionada, misma que remite a la siguiente información</w:t>
      </w:r>
      <w:r w:rsidR="008051E4" w:rsidRPr="0089675F">
        <w:rPr>
          <w:rFonts w:eastAsiaTheme="minorHAnsi" w:cs="Tahoma"/>
          <w:lang w:eastAsia="en-US"/>
        </w:rPr>
        <w:t>:</w:t>
      </w:r>
    </w:p>
    <w:p w14:paraId="7CEF3006" w14:textId="7F002814" w:rsidR="00425DC6" w:rsidRPr="0089675F" w:rsidRDefault="008051E4" w:rsidP="00E26391">
      <w:pPr>
        <w:spacing w:after="0" w:line="360" w:lineRule="auto"/>
        <w:jc w:val="center"/>
        <w:rPr>
          <w:rFonts w:eastAsiaTheme="minorHAnsi" w:cs="Tahoma"/>
          <w:lang w:eastAsia="en-US"/>
        </w:rPr>
      </w:pPr>
      <w:r w:rsidRPr="0089675F">
        <w:rPr>
          <w:rFonts w:eastAsiaTheme="minorHAnsi" w:cs="Tahoma"/>
          <w:noProof/>
        </w:rPr>
        <w:lastRenderedPageBreak/>
        <w:drawing>
          <wp:inline distT="0" distB="0" distL="0" distR="0" wp14:anchorId="440E7290" wp14:editId="202676D8">
            <wp:extent cx="4318635" cy="3271448"/>
            <wp:effectExtent l="0" t="0" r="571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6729"/>
                    <a:stretch/>
                  </pic:blipFill>
                  <pic:spPr bwMode="auto">
                    <a:xfrm>
                      <a:off x="0" y="0"/>
                      <a:ext cx="4325335" cy="3276523"/>
                    </a:xfrm>
                    <a:prstGeom prst="rect">
                      <a:avLst/>
                    </a:prstGeom>
                    <a:ln>
                      <a:noFill/>
                    </a:ln>
                    <a:extLst>
                      <a:ext uri="{53640926-AAD7-44D8-BBD7-CCE9431645EC}">
                        <a14:shadowObscured xmlns:a14="http://schemas.microsoft.com/office/drawing/2010/main"/>
                      </a:ext>
                    </a:extLst>
                  </pic:spPr>
                </pic:pic>
              </a:graphicData>
            </a:graphic>
          </wp:inline>
        </w:drawing>
      </w:r>
    </w:p>
    <w:p w14:paraId="7F125C5F" w14:textId="77777777" w:rsidR="00425DC6" w:rsidRPr="0089675F" w:rsidRDefault="00425DC6" w:rsidP="00E26391">
      <w:pPr>
        <w:spacing w:after="0" w:line="360" w:lineRule="auto"/>
        <w:rPr>
          <w:rFonts w:eastAsiaTheme="minorHAnsi" w:cs="Tahoma"/>
          <w:lang w:eastAsia="en-US"/>
        </w:rPr>
      </w:pPr>
    </w:p>
    <w:p w14:paraId="10208787" w14:textId="77777777" w:rsidR="00086C5F" w:rsidRPr="0089675F" w:rsidRDefault="00086C5F" w:rsidP="00E26391">
      <w:pPr>
        <w:spacing w:after="0" w:line="360" w:lineRule="auto"/>
        <w:contextualSpacing/>
        <w:rPr>
          <w:rFonts w:cs="Tahoma"/>
          <w:lang w:val="es-ES"/>
        </w:rPr>
      </w:pPr>
      <w:r w:rsidRPr="0089675F">
        <w:rPr>
          <w:rFonts w:cs="Tahoma"/>
          <w:lang w:val="es-ES"/>
        </w:rPr>
        <w:t>Además, este Instituto localizó en el enlace proporcionado el Estado Comparativo Presupuestal de Egresos, que contiene el monto modificado y ejercido en un determinado tiempo, tal como se muestra a continuación:</w:t>
      </w:r>
    </w:p>
    <w:p w14:paraId="00E60C97" w14:textId="77777777" w:rsidR="00086C5F" w:rsidRPr="0089675F" w:rsidRDefault="00086C5F" w:rsidP="00E26391">
      <w:pPr>
        <w:spacing w:after="0" w:line="360" w:lineRule="auto"/>
        <w:rPr>
          <w:rFonts w:eastAsiaTheme="minorHAnsi" w:cs="Tahoma"/>
          <w:lang w:val="es-ES" w:eastAsia="en-US"/>
        </w:rPr>
      </w:pPr>
    </w:p>
    <w:p w14:paraId="1FAFAE16" w14:textId="31B645E1" w:rsidR="00086C5F" w:rsidRPr="0089675F" w:rsidRDefault="00086C5F" w:rsidP="00E26391">
      <w:pPr>
        <w:spacing w:after="0" w:line="360" w:lineRule="auto"/>
        <w:jc w:val="center"/>
        <w:rPr>
          <w:rFonts w:eastAsiaTheme="minorHAnsi" w:cs="Tahoma"/>
          <w:lang w:val="es-ES" w:eastAsia="en-US"/>
        </w:rPr>
      </w:pPr>
      <w:r w:rsidRPr="0089675F">
        <w:rPr>
          <w:rFonts w:cs="Tahoma"/>
          <w:noProof/>
        </w:rPr>
        <w:drawing>
          <wp:inline distT="0" distB="0" distL="0" distR="0" wp14:anchorId="38A391F2" wp14:editId="7B9B157A">
            <wp:extent cx="4649777" cy="2828925"/>
            <wp:effectExtent l="0" t="0" r="0" b="0"/>
            <wp:docPr id="173138310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1519" cy="2860405"/>
                    </a:xfrm>
                    <a:prstGeom prst="rect">
                      <a:avLst/>
                    </a:prstGeom>
                    <a:noFill/>
                  </pic:spPr>
                </pic:pic>
              </a:graphicData>
            </a:graphic>
          </wp:inline>
        </w:drawing>
      </w:r>
    </w:p>
    <w:p w14:paraId="2B98F6C7" w14:textId="77777777" w:rsidR="007A5326" w:rsidRPr="0089675F" w:rsidRDefault="007A5326" w:rsidP="00E26391">
      <w:pPr>
        <w:spacing w:after="0" w:line="360" w:lineRule="auto"/>
        <w:jc w:val="center"/>
        <w:rPr>
          <w:rFonts w:eastAsiaTheme="minorHAnsi" w:cs="Tahoma"/>
          <w:lang w:val="es-ES" w:eastAsia="en-US"/>
        </w:rPr>
      </w:pPr>
    </w:p>
    <w:p w14:paraId="41F5E327" w14:textId="2AA86E20" w:rsidR="007A5326" w:rsidRPr="0089675F" w:rsidRDefault="007A5326" w:rsidP="007A5326">
      <w:pPr>
        <w:spacing w:after="0" w:line="360" w:lineRule="auto"/>
        <w:rPr>
          <w:rFonts w:eastAsiaTheme="minorHAnsi" w:cs="Tahoma"/>
          <w:lang w:val="es-ES" w:eastAsia="en-US"/>
        </w:rPr>
      </w:pPr>
      <w:r w:rsidRPr="0089675F">
        <w:rPr>
          <w:rFonts w:eastAsiaTheme="minorHAnsi" w:cs="Tahoma"/>
          <w:lang w:val="es-ES" w:eastAsia="en-US"/>
        </w:rPr>
        <w:t xml:space="preserve">Cabe señalar que los Estados Comparativos no dan cuenta de lo solicitado, pues el Particular no requirió información de las partidas genéricas y específicas, sino de montos de conceptos que se localizan en estas, lo cual se traduce a que los </w:t>
      </w:r>
      <w:proofErr w:type="spellStart"/>
      <w:r w:rsidRPr="0089675F">
        <w:rPr>
          <w:rFonts w:eastAsiaTheme="minorHAnsi" w:cs="Tahoma"/>
          <w:lang w:val="es-ES" w:eastAsia="en-US"/>
        </w:rPr>
        <w:t>PbRM</w:t>
      </w:r>
      <w:proofErr w:type="spellEnd"/>
      <w:r w:rsidRPr="0089675F">
        <w:rPr>
          <w:rFonts w:eastAsiaTheme="minorHAnsi" w:cs="Tahoma"/>
          <w:lang w:val="es-ES" w:eastAsia="en-US"/>
        </w:rPr>
        <w:t xml:space="preserve"> no contienen la información al nivel de desglose solicitado; por lo que, únicamente </w:t>
      </w:r>
      <w:r w:rsidR="007F4086" w:rsidRPr="0089675F">
        <w:rPr>
          <w:rFonts w:eastAsiaTheme="minorHAnsi" w:cs="Tahoma"/>
          <w:lang w:val="es-ES" w:eastAsia="en-US"/>
        </w:rPr>
        <w:t>las pólizas de egresos pudieran</w:t>
      </w:r>
      <w:r w:rsidRPr="0089675F">
        <w:rPr>
          <w:rFonts w:eastAsiaTheme="minorHAnsi" w:cs="Tahoma"/>
          <w:lang w:val="es-ES" w:eastAsia="en-US"/>
        </w:rPr>
        <w:t xml:space="preserve"> dar cuenta de lo peticionado.</w:t>
      </w:r>
    </w:p>
    <w:p w14:paraId="68EC8C3F" w14:textId="77777777" w:rsidR="007A5326" w:rsidRPr="0089675F" w:rsidRDefault="007A5326" w:rsidP="007A5326">
      <w:pPr>
        <w:spacing w:after="0" w:line="360" w:lineRule="auto"/>
        <w:rPr>
          <w:rFonts w:eastAsiaTheme="minorHAnsi" w:cs="Tahoma"/>
          <w:lang w:val="es-ES" w:eastAsia="en-US"/>
        </w:rPr>
      </w:pPr>
    </w:p>
    <w:p w14:paraId="0F42C5A1" w14:textId="1D63CBD2" w:rsidR="00A369DB" w:rsidRPr="0089675F" w:rsidRDefault="00894FA0" w:rsidP="00E26391">
      <w:pPr>
        <w:spacing w:after="0" w:line="360" w:lineRule="auto"/>
        <w:rPr>
          <w:rFonts w:eastAsia="Times New Roman" w:cs="Tahoma"/>
        </w:rPr>
      </w:pPr>
      <w:r w:rsidRPr="0089675F">
        <w:rPr>
          <w:rFonts w:eastAsia="Times New Roman" w:cs="Tahoma"/>
          <w:lang w:val="es-ES"/>
        </w:rPr>
        <w:t>De forma adicional</w:t>
      </w:r>
      <w:r w:rsidR="007A4FC5" w:rsidRPr="0089675F">
        <w:rPr>
          <w:rFonts w:eastAsia="Times New Roman" w:cs="Tahoma"/>
          <w:lang w:val="es-ES"/>
        </w:rPr>
        <w:t xml:space="preserve">, en su respuesta el Ayuntamiento de Temamatla, </w:t>
      </w:r>
      <w:r w:rsidRPr="0089675F">
        <w:rPr>
          <w:rFonts w:eastAsia="Times New Roman" w:cs="Tahoma"/>
          <w:lang w:val="es-ES"/>
        </w:rPr>
        <w:t>remitió</w:t>
      </w:r>
      <w:r w:rsidR="007A4FC5" w:rsidRPr="0089675F">
        <w:rPr>
          <w:rFonts w:eastAsia="Times New Roman" w:cs="Tahoma"/>
          <w:lang w:val="es-ES"/>
        </w:rPr>
        <w:t xml:space="preserve"> </w:t>
      </w:r>
      <w:r w:rsidR="007A5326" w:rsidRPr="0089675F">
        <w:rPr>
          <w:rFonts w:eastAsia="Times New Roman" w:cs="Tahoma"/>
          <w:lang w:val="es-ES"/>
        </w:rPr>
        <w:t>el A</w:t>
      </w:r>
      <w:r w:rsidR="007A4FC5" w:rsidRPr="0089675F">
        <w:rPr>
          <w:rFonts w:eastAsia="Times New Roman" w:cs="Tahoma"/>
          <w:lang w:val="es-ES"/>
        </w:rPr>
        <w:t xml:space="preserve">cuerdo del Comité de Transparencia </w:t>
      </w:r>
      <w:r w:rsidR="005C4C29" w:rsidRPr="0089675F">
        <w:rPr>
          <w:rFonts w:eastAsia="Times New Roman" w:cs="Tahoma"/>
          <w:lang w:val="es-ES"/>
        </w:rPr>
        <w:t>aprobando</w:t>
      </w:r>
      <w:r w:rsidRPr="0089675F">
        <w:rPr>
          <w:rFonts w:eastAsia="Times New Roman" w:cs="Tahoma"/>
          <w:lang w:val="es-ES"/>
        </w:rPr>
        <w:t xml:space="preserve"> el cambio de modalidad a consulta directa para la entrega de la información</w:t>
      </w:r>
      <w:r w:rsidR="00E37CB6" w:rsidRPr="0089675F">
        <w:rPr>
          <w:rFonts w:eastAsia="Times New Roman" w:cs="Tahoma"/>
          <w:lang w:val="es-ES"/>
        </w:rPr>
        <w:t xml:space="preserve"> relativo a diversas solicitudes de información</w:t>
      </w:r>
      <w:r w:rsidR="00E72ADC" w:rsidRPr="0089675F">
        <w:rPr>
          <w:rFonts w:eastAsia="Times New Roman" w:cs="Tahoma"/>
          <w:lang w:val="es-ES"/>
        </w:rPr>
        <w:t xml:space="preserve">; sobre tal circunstancia, </w:t>
      </w:r>
      <w:r w:rsidR="00A369DB" w:rsidRPr="0089675F">
        <w:rPr>
          <w:rFonts w:eastAsia="Times New Roman" w:cs="Tahoma"/>
        </w:rPr>
        <w:t xml:space="preserve">el artículo 155, fracción V, de la Ley de Transparencia y Acceso a la Información Pública del Estado de México y Municipios, precisa que para presentar una solicitud, la particular podrá señalar </w:t>
      </w:r>
      <w:r w:rsidR="00A369DB" w:rsidRPr="0089675F">
        <w:rPr>
          <w:rFonts w:eastAsia="Times New Roman" w:cs="Tahoma"/>
          <w:b/>
          <w:bCs/>
        </w:rPr>
        <w:t>la modalidad en la que prefiere se otorgue el acceso a la información</w:t>
      </w:r>
      <w:r w:rsidR="00A369DB" w:rsidRPr="0089675F">
        <w:rPr>
          <w:rFonts w:eastAsia="Times New Roman" w:cs="Tahoma"/>
        </w:rPr>
        <w:t>, la cual podrá ser verbal, siempre y cuando sea para fines de orientación, mediante consulta directa, mediante la expedición de copias simples o certificadas o la reproducción en cualquier otro medio, incluidos los electrónicos.</w:t>
      </w:r>
    </w:p>
    <w:p w14:paraId="0FA464D1" w14:textId="77777777" w:rsidR="00A369DB" w:rsidRPr="0089675F" w:rsidRDefault="00A369DB" w:rsidP="00E26391">
      <w:pPr>
        <w:spacing w:after="0" w:line="360" w:lineRule="auto"/>
        <w:rPr>
          <w:rFonts w:eastAsia="Times New Roman" w:cs="Tahoma"/>
        </w:rPr>
      </w:pPr>
    </w:p>
    <w:p w14:paraId="30BC69AA" w14:textId="77777777" w:rsidR="00A369DB" w:rsidRPr="0089675F" w:rsidRDefault="00A369DB" w:rsidP="00E26391">
      <w:pPr>
        <w:spacing w:after="0" w:line="360" w:lineRule="auto"/>
        <w:rPr>
          <w:rFonts w:eastAsia="Times New Roman" w:cs="Tahoma"/>
          <w:b/>
          <w:bCs/>
          <w:lang w:val="es-ES" w:eastAsia="es-ES"/>
        </w:rPr>
      </w:pPr>
      <w:r w:rsidRPr="0089675F">
        <w:rPr>
          <w:rFonts w:eastAsia="Times New Roman" w:cs="Tahoma"/>
          <w:lang w:eastAsia="es-ES"/>
        </w:rPr>
        <w:t>El artículo 158, dispone que, de manera excepcional, cuando de manera fundada y motivada lo determine el Sujeto Obligado,</w:t>
      </w:r>
      <w:r w:rsidRPr="0089675F">
        <w:rPr>
          <w:rFonts w:eastAsia="Times New Roman" w:cs="Tahoma"/>
          <w:b/>
          <w:bCs/>
          <w:lang w:eastAsia="es-ES"/>
        </w:rPr>
        <w:t xml:space="preserve">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72E5A07" w14:textId="77777777" w:rsidR="00A369DB" w:rsidRPr="0089675F" w:rsidRDefault="00A369DB" w:rsidP="00E26391">
      <w:pPr>
        <w:spacing w:after="0" w:line="360" w:lineRule="auto"/>
        <w:rPr>
          <w:rFonts w:eastAsia="Times New Roman" w:cs="Tahoma"/>
          <w:szCs w:val="24"/>
          <w:lang w:eastAsia="es-ES"/>
        </w:rPr>
      </w:pPr>
    </w:p>
    <w:p w14:paraId="58408C05" w14:textId="77777777" w:rsidR="00A369DB" w:rsidRPr="0089675F" w:rsidRDefault="00A369DB" w:rsidP="00E26391">
      <w:pPr>
        <w:spacing w:after="0" w:line="360" w:lineRule="auto"/>
        <w:rPr>
          <w:rFonts w:eastAsia="Calibri" w:cs="Tahoma"/>
          <w:bCs/>
          <w:lang w:eastAsia="en-US"/>
        </w:rPr>
      </w:pPr>
      <w:r w:rsidRPr="0089675F">
        <w:rPr>
          <w:rFonts w:eastAsia="Calibri" w:cs="Tahoma"/>
          <w:bCs/>
          <w:lang w:val="es-ES" w:eastAsia="en-US"/>
        </w:rPr>
        <w:t xml:space="preserve">En ese orden de ideas, el artículo 164 de dicho ordenamiento jurídico, prevé que </w:t>
      </w:r>
      <w:r w:rsidRPr="0089675F">
        <w:rPr>
          <w:rFonts w:eastAsia="Calibri" w:cs="Tahoma"/>
          <w:bCs/>
          <w:lang w:eastAsia="en-US"/>
        </w:rPr>
        <w:t xml:space="preserve">el acceso se dará en la modalidad de entrega y, en su caso, de envío elegidos por al solicitante. </w:t>
      </w:r>
      <w:r w:rsidRPr="0089675F">
        <w:rPr>
          <w:rFonts w:eastAsia="Calibri" w:cs="Tahoma"/>
          <w:b/>
          <w:bCs/>
          <w:lang w:eastAsia="en-US"/>
        </w:rPr>
        <w:t xml:space="preserve">Cuando la información no pueda entregarse o enviarse en la modalidad elegida, el sujeto obligado </w:t>
      </w:r>
      <w:r w:rsidRPr="0089675F">
        <w:rPr>
          <w:rFonts w:eastAsia="Calibri" w:cs="Tahoma"/>
          <w:b/>
          <w:bCs/>
          <w:lang w:eastAsia="en-US"/>
        </w:rPr>
        <w:lastRenderedPageBreak/>
        <w:t>deberá ofrecer otra u otras modalidades de entrega.</w:t>
      </w:r>
      <w:r w:rsidRPr="0089675F">
        <w:rPr>
          <w:rFonts w:eastAsia="Calibri" w:cs="Tahoma"/>
          <w:bCs/>
          <w:lang w:eastAsia="en-US"/>
        </w:rPr>
        <w:t xml:space="preserve"> En cualquier caso, </w:t>
      </w:r>
      <w:r w:rsidRPr="0089675F">
        <w:rPr>
          <w:rFonts w:eastAsia="Calibri" w:cs="Tahoma"/>
          <w:b/>
          <w:bCs/>
          <w:lang w:eastAsia="en-US"/>
        </w:rPr>
        <w:t>se deberá fundar y motivar</w:t>
      </w:r>
      <w:r w:rsidRPr="0089675F">
        <w:rPr>
          <w:rFonts w:eastAsia="Calibri" w:cs="Tahoma"/>
          <w:bCs/>
          <w:lang w:eastAsia="en-US"/>
        </w:rPr>
        <w:t xml:space="preserve"> la necesidad de ofrecer otras modalidades.</w:t>
      </w:r>
    </w:p>
    <w:p w14:paraId="3F486E9D" w14:textId="77777777" w:rsidR="00A369DB" w:rsidRPr="0089675F" w:rsidRDefault="00A369DB" w:rsidP="00E26391">
      <w:pPr>
        <w:spacing w:after="0" w:line="360" w:lineRule="auto"/>
        <w:rPr>
          <w:rFonts w:eastAsia="Calibri" w:cs="Tahoma"/>
          <w:bCs/>
          <w:lang w:eastAsia="en-US"/>
        </w:rPr>
      </w:pPr>
    </w:p>
    <w:p w14:paraId="58C84BDC" w14:textId="77777777" w:rsidR="00A369DB" w:rsidRPr="0089675F" w:rsidRDefault="00A369DB" w:rsidP="00E26391">
      <w:pPr>
        <w:spacing w:after="0" w:line="360" w:lineRule="auto"/>
        <w:rPr>
          <w:rFonts w:eastAsia="Calibri" w:cs="Tahoma"/>
          <w:bCs/>
          <w:lang w:val="es-ES" w:eastAsia="en-US"/>
        </w:rPr>
      </w:pPr>
      <w:r w:rsidRPr="0089675F">
        <w:rPr>
          <w:rFonts w:eastAsia="Calibri" w:cs="Tahoma"/>
          <w:bCs/>
          <w:lang w:val="es-ES" w:eastAsia="en-U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89675F">
        <w:rPr>
          <w:rFonts w:eastAsia="Calibri" w:cs="Tahoma"/>
          <w:b/>
          <w:bCs/>
          <w:lang w:val="es-ES" w:eastAsia="en-US"/>
        </w:rPr>
        <w:t>en la medida de lo posible, en la forma solicitada por el interesado, salvo que exista un impedimento justificado para atenderla</w:t>
      </w:r>
      <w:r w:rsidRPr="0089675F">
        <w:rPr>
          <w:rFonts w:eastAsia="Calibri" w:cs="Tahoma"/>
          <w:bCs/>
          <w:lang w:val="es-ES" w:eastAsia="en-US"/>
        </w:rPr>
        <w:t xml:space="preserve">, en cuyo caso, deberán exponerse las razones por las cuales no es posible utilizar el medio de reproducción solicitado; en este sentido, la entrega de la información en una modalidad distinta a la elegida por la particular </w:t>
      </w:r>
      <w:r w:rsidRPr="0089675F">
        <w:rPr>
          <w:rFonts w:eastAsia="Calibri" w:cs="Tahoma"/>
          <w:b/>
          <w:bCs/>
          <w:lang w:val="es-ES" w:eastAsia="en-US"/>
        </w:rPr>
        <w:t>sólo procede, en caso de que se acredite la imposibilidad de atenderla.</w:t>
      </w:r>
      <w:r w:rsidRPr="0089675F">
        <w:rPr>
          <w:rFonts w:eastAsia="Calibri" w:cs="Tahoma"/>
          <w:bCs/>
          <w:lang w:val="es-ES" w:eastAsia="en-US"/>
        </w:rPr>
        <w:t xml:space="preserve"> </w:t>
      </w:r>
    </w:p>
    <w:p w14:paraId="17131410" w14:textId="77777777" w:rsidR="00A369DB" w:rsidRPr="0089675F" w:rsidRDefault="00A369DB" w:rsidP="00E26391">
      <w:pPr>
        <w:spacing w:after="0" w:line="360" w:lineRule="auto"/>
        <w:rPr>
          <w:rFonts w:eastAsia="Calibri" w:cs="Tahoma"/>
          <w:bCs/>
          <w:lang w:val="es-ES" w:eastAsia="en-US"/>
        </w:rPr>
      </w:pPr>
    </w:p>
    <w:p w14:paraId="51F554D2" w14:textId="77777777" w:rsidR="00A369DB" w:rsidRPr="0089675F" w:rsidRDefault="00A369DB" w:rsidP="00E26391">
      <w:pPr>
        <w:spacing w:after="0" w:line="360" w:lineRule="auto"/>
        <w:rPr>
          <w:rFonts w:eastAsia="Calibri" w:cs="Tahoma"/>
          <w:b/>
          <w:lang w:val="es-ES" w:eastAsia="en-US"/>
        </w:rPr>
      </w:pPr>
      <w:r w:rsidRPr="0089675F">
        <w:rPr>
          <w:rFonts w:eastAsia="Calibri" w:cs="Tahoma"/>
          <w:bCs/>
          <w:lang w:val="es-ES" w:eastAsia="en-US"/>
        </w:rPr>
        <w:t xml:space="preserve">Así, cuando se justifique el impedimento, </w:t>
      </w:r>
      <w:r w:rsidRPr="0089675F">
        <w:rPr>
          <w:rFonts w:eastAsia="Calibri" w:cs="Tahoma"/>
          <w:b/>
          <w:bCs/>
          <w:lang w:val="es-ES" w:eastAsia="en-US"/>
        </w:rPr>
        <w:t>los Sujetos Obligados deberán ofrecer al particular otras modalidades de entrega que permita la información</w:t>
      </w:r>
      <w:r w:rsidRPr="0089675F">
        <w:rPr>
          <w:rFonts w:eastAsia="Calibri" w:cs="Tahoma"/>
          <w:bCs/>
          <w:lang w:val="es-ES" w:eastAsia="en-US"/>
        </w:rPr>
        <w:t xml:space="preserve">, como consulta directa en las oficinas de la Unidad de Transparencia; lo anterior, es robustecido con el Criterio de Interpretación, con clave de control SO/008/2017, de la Segunda Época emitido por 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89675F">
        <w:rPr>
          <w:rFonts w:eastAsia="Calibri" w:cs="Tahoma"/>
          <w:b/>
          <w:lang w:val="es-ES" w:eastAsia="en-US"/>
        </w:rPr>
        <w:t>información en todas las modalidades que lo permitan, procurando reducir los costos de entrega.</w:t>
      </w:r>
    </w:p>
    <w:p w14:paraId="4BC3E02B" w14:textId="77777777" w:rsidR="00A369DB" w:rsidRPr="0089675F" w:rsidRDefault="00A369DB" w:rsidP="00E26391">
      <w:pPr>
        <w:spacing w:after="0" w:line="360" w:lineRule="auto"/>
        <w:rPr>
          <w:rFonts w:eastAsia="Times New Roman" w:cs="Tahoma"/>
          <w:lang w:val="es-ES" w:eastAsia="es-ES"/>
        </w:rPr>
      </w:pPr>
    </w:p>
    <w:p w14:paraId="347BB055" w14:textId="77777777" w:rsidR="00A369DB" w:rsidRPr="0089675F" w:rsidRDefault="00A369DB" w:rsidP="007A5326">
      <w:pPr>
        <w:spacing w:after="0" w:line="360" w:lineRule="auto"/>
        <w:rPr>
          <w:rFonts w:eastAsia="Calibri" w:cs="Tahoma"/>
          <w:bCs/>
          <w:lang w:val="es-ES" w:eastAsia="en-US"/>
        </w:rPr>
      </w:pPr>
      <w:r w:rsidRPr="0089675F">
        <w:rPr>
          <w:rFonts w:eastAsia="Calibri" w:cs="Tahoma"/>
          <w:bCs/>
          <w:lang w:val="es-ES" w:eastAsia="en-US"/>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las </w:t>
      </w:r>
      <w:r w:rsidRPr="0089675F">
        <w:rPr>
          <w:rFonts w:eastAsia="Calibri" w:cs="Tahoma"/>
          <w:bCs/>
          <w:lang w:val="es-ES" w:eastAsia="en-US"/>
        </w:rPr>
        <w:lastRenderedPageBreak/>
        <w:t>razones por las cuales no es posible otorgar el acceso a los documentos de otra forma; además que se deberá explicar de manera detallada lo siguiente:</w:t>
      </w:r>
    </w:p>
    <w:p w14:paraId="08287723" w14:textId="77777777" w:rsidR="00A369DB" w:rsidRPr="0089675F" w:rsidRDefault="00A369DB" w:rsidP="00E26391">
      <w:pPr>
        <w:spacing w:after="0" w:line="360" w:lineRule="auto"/>
        <w:rPr>
          <w:rFonts w:eastAsia="Calibri" w:cs="Tahoma"/>
          <w:bCs/>
          <w:lang w:val="es-ES" w:eastAsia="en-US"/>
        </w:rPr>
      </w:pPr>
    </w:p>
    <w:p w14:paraId="136F2D6B" w14:textId="77777777" w:rsidR="00A369DB" w:rsidRPr="0089675F" w:rsidRDefault="00A369DB" w:rsidP="00E26391">
      <w:pPr>
        <w:numPr>
          <w:ilvl w:val="0"/>
          <w:numId w:val="27"/>
        </w:numPr>
        <w:spacing w:after="0" w:line="360" w:lineRule="auto"/>
        <w:contextualSpacing/>
        <w:rPr>
          <w:rFonts w:eastAsia="Calibri" w:cs="Tahoma"/>
          <w:bCs/>
          <w:lang w:val="es-ES"/>
        </w:rPr>
      </w:pPr>
      <w:r w:rsidRPr="0089675F">
        <w:rPr>
          <w:rFonts w:eastAsia="Calibri" w:cs="Tahoma"/>
          <w:bCs/>
          <w:lang w:val="es-ES"/>
        </w:rPr>
        <w:t>Las razones por las cuales la información implicaba un análisis, estudio o procesamiento de datos;</w:t>
      </w:r>
    </w:p>
    <w:p w14:paraId="31F713D9" w14:textId="77777777" w:rsidR="007A5326" w:rsidRPr="0089675F" w:rsidRDefault="007A5326" w:rsidP="007A5326">
      <w:pPr>
        <w:spacing w:after="0" w:line="360" w:lineRule="auto"/>
        <w:ind w:left="720"/>
        <w:contextualSpacing/>
        <w:rPr>
          <w:rFonts w:eastAsia="Calibri" w:cs="Tahoma"/>
          <w:bCs/>
          <w:lang w:val="es-ES"/>
        </w:rPr>
      </w:pPr>
    </w:p>
    <w:p w14:paraId="23DE7305" w14:textId="77777777" w:rsidR="00A369DB" w:rsidRPr="0089675F" w:rsidRDefault="00A369DB" w:rsidP="00E26391">
      <w:pPr>
        <w:numPr>
          <w:ilvl w:val="0"/>
          <w:numId w:val="27"/>
        </w:numPr>
        <w:spacing w:after="0" w:line="360" w:lineRule="auto"/>
        <w:contextualSpacing/>
        <w:rPr>
          <w:rFonts w:eastAsia="Calibri" w:cs="Tahoma"/>
          <w:bCs/>
          <w:lang w:val="es-ES"/>
        </w:rPr>
      </w:pPr>
      <w:r w:rsidRPr="0089675F">
        <w:rPr>
          <w:rFonts w:eastAsia="Times New Roman" w:cs="Tahoma"/>
          <w:iCs/>
        </w:rPr>
        <w:t>Por qué motivo el tiempo, que se le otorga al Sujeto Obligado para dar respuesta, en la modalidad elegida a la solicitud de información, no le es suficiente</w:t>
      </w:r>
      <w:r w:rsidRPr="0089675F">
        <w:rPr>
          <w:rFonts w:eastAsia="Calibri" w:cs="Tahoma"/>
          <w:bCs/>
          <w:lang w:val="es-ES"/>
        </w:rPr>
        <w:t>, y</w:t>
      </w:r>
    </w:p>
    <w:p w14:paraId="53D4B17F" w14:textId="77777777" w:rsidR="007A5326" w:rsidRPr="0089675F" w:rsidRDefault="007A5326" w:rsidP="007A5326">
      <w:pPr>
        <w:pStyle w:val="Prrafodelista"/>
        <w:rPr>
          <w:rFonts w:eastAsia="Calibri" w:cs="Tahoma"/>
          <w:bCs/>
          <w:lang w:val="es-ES"/>
        </w:rPr>
      </w:pPr>
    </w:p>
    <w:p w14:paraId="23C970D0" w14:textId="77777777" w:rsidR="00A369DB" w:rsidRPr="0089675F" w:rsidRDefault="00A369DB" w:rsidP="00E26391">
      <w:pPr>
        <w:numPr>
          <w:ilvl w:val="0"/>
          <w:numId w:val="27"/>
        </w:numPr>
        <w:spacing w:after="0" w:line="360" w:lineRule="auto"/>
        <w:contextualSpacing/>
        <w:rPr>
          <w:rFonts w:eastAsia="Calibri" w:cs="Tahoma"/>
          <w:bCs/>
          <w:lang w:val="es-ES"/>
        </w:rPr>
      </w:pPr>
      <w:r w:rsidRPr="0089675F">
        <w:rPr>
          <w:rFonts w:eastAsia="Calibri" w:cs="Tahoma"/>
          <w:bCs/>
          <w:lang w:val="es-ES"/>
        </w:rPr>
        <w:t>La cantidad de recursos humanos y materiales con los que cuenta el Sujeto Obligado son insuficientes.</w:t>
      </w:r>
    </w:p>
    <w:p w14:paraId="01F99017" w14:textId="77777777" w:rsidR="00A369DB" w:rsidRPr="0089675F" w:rsidRDefault="00A369DB" w:rsidP="00E26391">
      <w:pPr>
        <w:spacing w:after="0" w:line="360" w:lineRule="auto"/>
        <w:ind w:right="-28"/>
        <w:contextualSpacing/>
        <w:rPr>
          <w:rFonts w:eastAsia="Calibri" w:cs="Tahoma"/>
          <w:bCs/>
          <w:color w:val="000000"/>
          <w:lang w:val="es-ES" w:eastAsia="en-US"/>
        </w:rPr>
      </w:pPr>
    </w:p>
    <w:p w14:paraId="5E19827E" w14:textId="03A9A470" w:rsidR="00A369DB" w:rsidRPr="0089675F" w:rsidRDefault="00A369DB" w:rsidP="00E26391">
      <w:pPr>
        <w:spacing w:after="0" w:line="360" w:lineRule="auto"/>
        <w:ind w:right="-28"/>
        <w:contextualSpacing/>
        <w:rPr>
          <w:rFonts w:eastAsia="Calibri" w:cs="Tahoma"/>
          <w:bCs/>
          <w:color w:val="000000"/>
          <w:lang w:eastAsia="en-US"/>
        </w:rPr>
      </w:pPr>
      <w:r w:rsidRPr="0089675F">
        <w:rPr>
          <w:rFonts w:eastAsia="Calibri" w:cs="Tahoma"/>
          <w:bCs/>
          <w:color w:val="000000"/>
          <w:lang w:eastAsia="en-US"/>
        </w:rPr>
        <w:t>Ahora bien, el Ente Recurrido</w:t>
      </w:r>
      <w:r w:rsidR="00E37CB6" w:rsidRPr="0089675F">
        <w:rPr>
          <w:rFonts w:eastAsia="Calibri" w:cs="Tahoma"/>
          <w:bCs/>
          <w:color w:val="000000"/>
          <w:lang w:eastAsia="en-US"/>
        </w:rPr>
        <w:t xml:space="preserve"> por medio del Comité de </w:t>
      </w:r>
      <w:r w:rsidR="003A656C" w:rsidRPr="0089675F">
        <w:rPr>
          <w:rFonts w:eastAsia="Calibri" w:cs="Tahoma"/>
          <w:bCs/>
          <w:color w:val="000000"/>
          <w:lang w:eastAsia="en-US"/>
        </w:rPr>
        <w:t>Transparencia</w:t>
      </w:r>
      <w:r w:rsidR="00E37CB6" w:rsidRPr="0089675F">
        <w:rPr>
          <w:rFonts w:eastAsia="Calibri" w:cs="Tahoma"/>
          <w:bCs/>
          <w:color w:val="000000"/>
          <w:lang w:eastAsia="en-US"/>
        </w:rPr>
        <w:t xml:space="preserve"> refirió</w:t>
      </w:r>
      <w:r w:rsidRPr="0089675F">
        <w:rPr>
          <w:rFonts w:eastAsia="Calibri" w:cs="Tahoma"/>
          <w:bCs/>
          <w:color w:val="000000"/>
          <w:lang w:eastAsia="en-US"/>
        </w:rPr>
        <w:t xml:space="preserve"> que </w:t>
      </w:r>
      <w:r w:rsidR="003A656C" w:rsidRPr="0089675F">
        <w:rPr>
          <w:rFonts w:eastAsia="Calibri" w:cs="Tahoma"/>
          <w:bCs/>
          <w:color w:val="000000"/>
          <w:lang w:eastAsia="en-US"/>
        </w:rPr>
        <w:t xml:space="preserve">la información </w:t>
      </w:r>
      <w:r w:rsidRPr="0089675F">
        <w:rPr>
          <w:rFonts w:eastAsia="Calibri" w:cs="Tahoma"/>
          <w:bCs/>
          <w:color w:val="000000"/>
          <w:lang w:eastAsia="en-US"/>
        </w:rPr>
        <w:t>podía ser consultada directamente en las oficinas del Sujeto Obligado, por lo que ponía a disposición del ahora Recurrente la documentación peticionada en consulta directa</w:t>
      </w:r>
      <w:r w:rsidR="003A656C" w:rsidRPr="0089675F">
        <w:rPr>
          <w:rFonts w:eastAsia="Calibri" w:cs="Tahoma"/>
          <w:bCs/>
          <w:color w:val="000000"/>
          <w:lang w:eastAsia="en-US"/>
        </w:rPr>
        <w:t xml:space="preserve">, bajo el argumento de </w:t>
      </w:r>
      <w:r w:rsidR="00CF5A68" w:rsidRPr="0089675F">
        <w:rPr>
          <w:rFonts w:eastAsia="Calibri" w:cs="Tahoma"/>
          <w:bCs/>
          <w:color w:val="000000"/>
          <w:lang w:eastAsia="en-US"/>
        </w:rPr>
        <w:t xml:space="preserve">la carga de trabajo, la falta de capacidad técnica, humana, material y las 1164 solicitudes de información presentadas al Sujeto Obligado; </w:t>
      </w:r>
      <w:r w:rsidRPr="0089675F">
        <w:rPr>
          <w:rFonts w:eastAsia="Calibri" w:cs="Tahoma"/>
          <w:bCs/>
          <w:color w:val="000000"/>
          <w:lang w:eastAsia="en-US"/>
        </w:rPr>
        <w:t xml:space="preserve"> sin embargo, este Instituto considera que omitió fundar y motivar el cambio de modalidad, pues no precisó las siguientes circunstancias:</w:t>
      </w:r>
    </w:p>
    <w:p w14:paraId="13B00833" w14:textId="77777777" w:rsidR="00A369DB" w:rsidRPr="0089675F" w:rsidRDefault="00A369DB" w:rsidP="00E26391">
      <w:pPr>
        <w:spacing w:after="0" w:line="360" w:lineRule="auto"/>
        <w:ind w:right="-28"/>
        <w:contextualSpacing/>
        <w:rPr>
          <w:rFonts w:eastAsia="Calibri" w:cs="Tahoma"/>
          <w:bCs/>
          <w:color w:val="000000"/>
          <w:lang w:eastAsia="en-US"/>
        </w:rPr>
      </w:pPr>
    </w:p>
    <w:p w14:paraId="633750A3" w14:textId="77777777" w:rsidR="00A369DB" w:rsidRPr="0089675F" w:rsidRDefault="00A369DB" w:rsidP="00E26391">
      <w:pPr>
        <w:numPr>
          <w:ilvl w:val="0"/>
          <w:numId w:val="28"/>
        </w:numPr>
        <w:spacing w:after="0" w:line="360" w:lineRule="auto"/>
        <w:contextualSpacing/>
        <w:jc w:val="left"/>
        <w:rPr>
          <w:rFonts w:eastAsia="Calibri" w:cs="Tahoma"/>
          <w:bCs/>
          <w:color w:val="000000"/>
          <w:lang w:val="es-ES" w:eastAsia="en-US"/>
        </w:rPr>
      </w:pPr>
      <w:r w:rsidRPr="0089675F">
        <w:rPr>
          <w:rFonts w:eastAsia="Calibri" w:cs="Tahoma"/>
          <w:bCs/>
          <w:color w:val="000000"/>
          <w:lang w:val="es-ES" w:eastAsia="en-US"/>
        </w:rPr>
        <w:t>El total de hojas que daban cuenta de solicitado;</w:t>
      </w:r>
    </w:p>
    <w:p w14:paraId="1BD87BF7" w14:textId="77777777" w:rsidR="007A5326" w:rsidRPr="0089675F" w:rsidRDefault="007A5326" w:rsidP="007A5326">
      <w:pPr>
        <w:spacing w:after="0" w:line="360" w:lineRule="auto"/>
        <w:ind w:left="780"/>
        <w:contextualSpacing/>
        <w:jc w:val="left"/>
        <w:rPr>
          <w:rFonts w:eastAsia="Calibri" w:cs="Tahoma"/>
          <w:bCs/>
          <w:color w:val="000000"/>
          <w:lang w:val="es-ES" w:eastAsia="en-US"/>
        </w:rPr>
      </w:pPr>
    </w:p>
    <w:p w14:paraId="6D455E62" w14:textId="77777777" w:rsidR="00A369DB" w:rsidRPr="0089675F" w:rsidRDefault="00A369DB" w:rsidP="00E26391">
      <w:pPr>
        <w:numPr>
          <w:ilvl w:val="0"/>
          <w:numId w:val="28"/>
        </w:numPr>
        <w:spacing w:after="0" w:line="360" w:lineRule="auto"/>
        <w:contextualSpacing/>
        <w:jc w:val="left"/>
        <w:rPr>
          <w:rFonts w:eastAsia="Calibri" w:cs="Tahoma"/>
          <w:bCs/>
          <w:color w:val="000000"/>
          <w:lang w:val="es-ES" w:eastAsia="en-US"/>
        </w:rPr>
      </w:pPr>
      <w:r w:rsidRPr="0089675F">
        <w:rPr>
          <w:rFonts w:eastAsia="Calibri" w:cs="Tahoma"/>
          <w:bCs/>
          <w:color w:val="000000"/>
          <w:lang w:val="es-ES" w:eastAsia="en-US"/>
        </w:rPr>
        <w:t>La forma en que se encontraba la información (físico o digital), y</w:t>
      </w:r>
    </w:p>
    <w:p w14:paraId="4B2BDE52" w14:textId="77777777" w:rsidR="007A5326" w:rsidRPr="0089675F" w:rsidRDefault="007A5326" w:rsidP="007A5326">
      <w:pPr>
        <w:pStyle w:val="Prrafodelista"/>
        <w:rPr>
          <w:rFonts w:eastAsia="Calibri" w:cs="Tahoma"/>
          <w:bCs/>
          <w:color w:val="000000"/>
          <w:lang w:val="es-ES" w:eastAsia="en-US"/>
        </w:rPr>
      </w:pPr>
    </w:p>
    <w:p w14:paraId="334ABA95" w14:textId="77777777" w:rsidR="00A369DB" w:rsidRPr="0089675F" w:rsidRDefault="00A369DB" w:rsidP="00E26391">
      <w:pPr>
        <w:numPr>
          <w:ilvl w:val="0"/>
          <w:numId w:val="28"/>
        </w:numPr>
        <w:spacing w:after="0" w:line="360" w:lineRule="auto"/>
        <w:contextualSpacing/>
        <w:jc w:val="left"/>
        <w:rPr>
          <w:rFonts w:eastAsia="Calibri" w:cs="Tahoma"/>
          <w:bCs/>
          <w:color w:val="000000"/>
          <w:lang w:val="es-ES" w:eastAsia="en-US"/>
        </w:rPr>
      </w:pPr>
      <w:r w:rsidRPr="0089675F">
        <w:rPr>
          <w:rFonts w:eastAsia="Calibri" w:cs="Tahoma"/>
          <w:bCs/>
          <w:color w:val="000000"/>
          <w:lang w:val="es-ES" w:eastAsia="en-US"/>
        </w:rPr>
        <w:t>Las capacidades técnicas y humanas con las que contaba el Sujeto Obligado.</w:t>
      </w:r>
    </w:p>
    <w:p w14:paraId="54E4B6E7" w14:textId="77777777" w:rsidR="00A369DB" w:rsidRPr="0089675F" w:rsidRDefault="00A369DB" w:rsidP="00E26391">
      <w:pPr>
        <w:spacing w:after="0" w:line="360" w:lineRule="auto"/>
        <w:rPr>
          <w:rFonts w:eastAsia="Times New Roman" w:cs="Times New Roman"/>
          <w:bCs/>
          <w:iCs/>
          <w:szCs w:val="20"/>
          <w:lang w:val="es-ES" w:eastAsia="es-ES"/>
        </w:rPr>
      </w:pPr>
    </w:p>
    <w:p w14:paraId="65498E69" w14:textId="60560EA8" w:rsidR="00A369DB" w:rsidRPr="0089675F" w:rsidRDefault="00A369DB" w:rsidP="00E26391">
      <w:pPr>
        <w:spacing w:after="0" w:line="360" w:lineRule="auto"/>
        <w:rPr>
          <w:rFonts w:eastAsia="Times New Roman" w:cs="Times New Roman"/>
          <w:bCs/>
          <w:iCs/>
          <w:szCs w:val="20"/>
          <w:lang w:val="es-ES" w:eastAsia="es-ES"/>
        </w:rPr>
      </w:pPr>
      <w:r w:rsidRPr="0089675F">
        <w:rPr>
          <w:rFonts w:eastAsia="Times New Roman" w:cs="Times New Roman"/>
          <w:bCs/>
          <w:iCs/>
          <w:szCs w:val="20"/>
          <w:lang w:val="es-ES" w:eastAsia="es-ES"/>
        </w:rPr>
        <w:t xml:space="preserve">Además, </w:t>
      </w:r>
      <w:r w:rsidR="00E72ADC" w:rsidRPr="0089675F">
        <w:rPr>
          <w:rFonts w:eastAsia="Times New Roman" w:cs="Times New Roman"/>
          <w:bCs/>
          <w:iCs/>
          <w:szCs w:val="20"/>
          <w:lang w:val="es-ES" w:eastAsia="es-ES"/>
        </w:rPr>
        <w:t>que no</w:t>
      </w:r>
      <w:r w:rsidRPr="0089675F">
        <w:rPr>
          <w:rFonts w:eastAsia="Times New Roman" w:cs="Times New Roman"/>
          <w:bCs/>
          <w:iCs/>
          <w:szCs w:val="20"/>
          <w:lang w:val="es-ES" w:eastAsia="es-ES"/>
        </w:rPr>
        <w:t xml:space="preserve"> acreditó que lo peticionado implicaba un análisis, procesamiento o estudio de documentos cuya reproducción sobrepasará las capacidades técnicas, administrativas y </w:t>
      </w:r>
      <w:r w:rsidRPr="0089675F">
        <w:rPr>
          <w:rFonts w:eastAsia="Times New Roman" w:cs="Times New Roman"/>
          <w:bCs/>
          <w:iCs/>
          <w:szCs w:val="20"/>
          <w:lang w:val="es-ES" w:eastAsia="es-ES"/>
        </w:rPr>
        <w:lastRenderedPageBreak/>
        <w:t>humanas del Sujeto Obligado, pues como se refirió no señaló ninguna de las circunstancias previamente referidas.</w:t>
      </w:r>
    </w:p>
    <w:p w14:paraId="51E951D2" w14:textId="77777777" w:rsidR="00A369DB" w:rsidRPr="0089675F" w:rsidRDefault="00A369DB" w:rsidP="00E26391">
      <w:pPr>
        <w:spacing w:after="0" w:line="360" w:lineRule="auto"/>
        <w:rPr>
          <w:rFonts w:eastAsia="Times New Roman" w:cs="Tahoma"/>
          <w:szCs w:val="24"/>
          <w:lang w:eastAsia="es-ES"/>
        </w:rPr>
      </w:pPr>
    </w:p>
    <w:p w14:paraId="7EF4D2E8" w14:textId="77777777" w:rsidR="00A369DB" w:rsidRPr="0089675F" w:rsidRDefault="00A369DB" w:rsidP="00E26391">
      <w:pPr>
        <w:spacing w:after="0" w:line="360" w:lineRule="auto"/>
        <w:ind w:right="-28"/>
        <w:contextualSpacing/>
        <w:rPr>
          <w:rFonts w:eastAsia="Times New Roman" w:cs="Tahoma"/>
          <w:iCs/>
          <w:lang w:eastAsia="es-ES"/>
        </w:rPr>
      </w:pPr>
      <w:r w:rsidRPr="0089675F">
        <w:rPr>
          <w:rFonts w:eastAsia="Times New Roman" w:cs="Tahoma"/>
          <w:iCs/>
          <w:lang w:eastAsia="es-ES"/>
        </w:rPr>
        <w:t xml:space="preserve">Sobre lo anterior, es de señalar que el Órgano Garante Nacional, a través de diversas resoluciones de los Recursos de Inconformidad, entre las cuales se encuentran el </w:t>
      </w:r>
      <w:r w:rsidRPr="0089675F">
        <w:rPr>
          <w:rFonts w:eastAsia="Times New Roman" w:cs="Tahoma"/>
          <w:b/>
          <w:bCs/>
          <w:iCs/>
          <w:lang w:eastAsia="es-ES"/>
        </w:rPr>
        <w:t>RIA 136/20, RIA 140/20, RIA 153/20 RIA 237/20, RIA 257/20, RIA 258/20,</w:t>
      </w:r>
      <w:r w:rsidRPr="0089675F">
        <w:rPr>
          <w:rFonts w:eastAsia="Times New Roman" w:cs="Tahoma"/>
          <w:iCs/>
          <w:lang w:eastAsia="es-ES"/>
        </w:rPr>
        <w:t xml:space="preserve">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114C0485" w14:textId="77777777" w:rsidR="00A369DB" w:rsidRPr="0089675F" w:rsidRDefault="00A369DB" w:rsidP="00E26391">
      <w:pPr>
        <w:spacing w:after="0" w:line="360" w:lineRule="auto"/>
        <w:ind w:right="-28"/>
        <w:contextualSpacing/>
        <w:rPr>
          <w:rFonts w:eastAsia="Times New Roman" w:cs="Tahoma"/>
          <w:iCs/>
          <w:lang w:eastAsia="es-ES"/>
        </w:rPr>
      </w:pPr>
    </w:p>
    <w:p w14:paraId="2C562E12" w14:textId="77777777" w:rsidR="00A369DB" w:rsidRPr="0089675F" w:rsidRDefault="00A369DB" w:rsidP="00E26391">
      <w:pPr>
        <w:spacing w:after="0" w:line="360" w:lineRule="auto"/>
        <w:ind w:right="-28"/>
        <w:contextualSpacing/>
        <w:rPr>
          <w:lang w:eastAsia="es-ES"/>
        </w:rPr>
      </w:pPr>
      <w:r w:rsidRPr="0089675F">
        <w:rPr>
          <w:lang w:eastAsia="es-ES"/>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01323485" w14:textId="77777777" w:rsidR="00A369DB" w:rsidRPr="0089675F" w:rsidRDefault="00A369DB" w:rsidP="00E26391">
      <w:pPr>
        <w:spacing w:after="0" w:line="360" w:lineRule="auto"/>
        <w:ind w:right="-28"/>
        <w:contextualSpacing/>
        <w:rPr>
          <w:rFonts w:eastAsia="Calibri" w:cs="Tahoma"/>
          <w:bCs/>
          <w:color w:val="000000"/>
          <w:lang w:val="es-ES" w:eastAsia="en-US"/>
        </w:rPr>
      </w:pPr>
    </w:p>
    <w:p w14:paraId="7E158CD5" w14:textId="3E10C2EC" w:rsidR="00A369DB" w:rsidRPr="0089675F" w:rsidRDefault="00A369DB" w:rsidP="00E26391">
      <w:pPr>
        <w:spacing w:after="0" w:line="360" w:lineRule="auto"/>
        <w:rPr>
          <w:rFonts w:eastAsia="Times New Roman" w:cs="Tahoma"/>
          <w:iCs/>
        </w:rPr>
      </w:pPr>
      <w:r w:rsidRPr="0089675F">
        <w:rPr>
          <w:rFonts w:eastAsia="Times New Roman" w:cs="Tahoma"/>
          <w:iCs/>
        </w:rPr>
        <w:t xml:space="preserve">Conforme a lo anterior, el </w:t>
      </w:r>
      <w:r w:rsidR="00214684" w:rsidRPr="0089675F">
        <w:rPr>
          <w:rFonts w:eastAsia="Times New Roman" w:cs="Tahoma"/>
          <w:iCs/>
        </w:rPr>
        <w:t>Ayuntamiento de Temamatla</w:t>
      </w:r>
      <w:r w:rsidRPr="0089675F">
        <w:rPr>
          <w:rFonts w:eastAsia="Times New Roman" w:cs="Tahoma"/>
          <w:iCs/>
        </w:rPr>
        <w:t xml:space="preserve">, no acreditó la imposibilidad humana, técnica y administrativa, establecida en el artículo 158 de la Ley de Transparencia y Acceso a la Información Pública del Estado de México y Municipios, para acreditar el cambio de modalidad a consulta directa, </w:t>
      </w:r>
      <w:r w:rsidR="00214684" w:rsidRPr="0089675F">
        <w:rPr>
          <w:rFonts w:eastAsia="Times New Roman" w:cs="Tahoma"/>
          <w:iCs/>
        </w:rPr>
        <w:t>además de que realizó un acuerdo de carácter general</w:t>
      </w:r>
      <w:r w:rsidR="00623D33" w:rsidRPr="0089675F">
        <w:rPr>
          <w:rFonts w:eastAsia="Times New Roman" w:cs="Tahoma"/>
          <w:iCs/>
        </w:rPr>
        <w:t>, sin analizar caso por caso</w:t>
      </w:r>
      <w:r w:rsidR="00E72ADC" w:rsidRPr="0089675F">
        <w:rPr>
          <w:rFonts w:eastAsia="Times New Roman" w:cs="Tahoma"/>
          <w:iCs/>
        </w:rPr>
        <w:t>.</w:t>
      </w:r>
    </w:p>
    <w:p w14:paraId="3D8591DF" w14:textId="77777777" w:rsidR="00A369DB" w:rsidRPr="0089675F" w:rsidRDefault="00A369DB" w:rsidP="00E26391">
      <w:pPr>
        <w:spacing w:after="0" w:line="360" w:lineRule="auto"/>
      </w:pPr>
    </w:p>
    <w:p w14:paraId="0D84E7C1" w14:textId="4F8CBCA6" w:rsidR="00E72ADC" w:rsidRPr="0089675F" w:rsidRDefault="00E72ADC" w:rsidP="00E26391">
      <w:pPr>
        <w:spacing w:after="0" w:line="360" w:lineRule="auto"/>
        <w:rPr>
          <w:rFonts w:cs="Tahoma"/>
          <w:b/>
          <w:bCs/>
        </w:rPr>
      </w:pPr>
      <w:r w:rsidRPr="0089675F">
        <w:rPr>
          <w:rFonts w:cs="Tahoma"/>
        </w:rPr>
        <w:t xml:space="preserve">Conforme a lo anterior, este Instituto considera que, si bien la Tesorería Municipal proporcionó el enlace para acceder a la información, lo cierto es que lo proporcionó en un formato que no permite el acceso directo a la información, aunado a que no se realizó de manera correcta el cambio de modalidad, ni se turnó el requerimiento a la Dirección de Administración, por lo que, se considera que el agravio es </w:t>
      </w:r>
      <w:r w:rsidRPr="0089675F">
        <w:rPr>
          <w:rFonts w:cs="Tahoma"/>
          <w:b/>
          <w:bCs/>
        </w:rPr>
        <w:t>FUNDADO.</w:t>
      </w:r>
    </w:p>
    <w:p w14:paraId="34F0259C" w14:textId="77777777" w:rsidR="00E72ADC" w:rsidRPr="0089675F" w:rsidRDefault="00E72ADC" w:rsidP="00E26391">
      <w:pPr>
        <w:spacing w:after="0" w:line="360" w:lineRule="auto"/>
        <w:rPr>
          <w:rFonts w:cs="Tahoma"/>
          <w:b/>
          <w:bCs/>
        </w:rPr>
      </w:pPr>
    </w:p>
    <w:p w14:paraId="10B42F11" w14:textId="549CE86A" w:rsidR="00E72ADC" w:rsidRPr="0089675F" w:rsidRDefault="00E72ADC" w:rsidP="00E26391">
      <w:pPr>
        <w:spacing w:after="0" w:line="360" w:lineRule="auto"/>
        <w:contextualSpacing/>
        <w:rPr>
          <w:rFonts w:cs="Tahoma"/>
          <w:lang w:val="es-ES"/>
        </w:rPr>
      </w:pPr>
      <w:r w:rsidRPr="0089675F">
        <w:rPr>
          <w:rFonts w:eastAsia="Calibri"/>
          <w:lang w:eastAsia="en-US"/>
        </w:rPr>
        <w:t xml:space="preserve">Así, </w:t>
      </w:r>
      <w:r w:rsidRPr="0089675F">
        <w:rPr>
          <w:rFonts w:cs="Tahoma"/>
          <w:lang w:val="es-ES"/>
        </w:rPr>
        <w:t>a efecto de garantizar el derecho de acceso a la información, deberá realizar una búsqueda exhaustiva y razonable en la Dirección de Administración y la Tesorería Municipal</w:t>
      </w:r>
      <w:r w:rsidRPr="0089675F">
        <w:t>, con el fin de</w:t>
      </w:r>
      <w:r w:rsidRPr="0089675F">
        <w:rPr>
          <w:rFonts w:cs="Tahoma"/>
          <w:lang w:val="es-ES"/>
        </w:rPr>
        <w:t xml:space="preserve"> proporcionar los documentos en donde conste la información solicitada respecto al monto gastado durante la presente administración por concepto de impresión de lonas y adquisición de materiales de impresión;</w:t>
      </w:r>
      <w:r w:rsidRPr="0089675F">
        <w:rPr>
          <w:rFonts w:eastAsia="Calibri" w:cs="Tahoma"/>
          <w:bCs/>
          <w:iCs/>
        </w:rPr>
        <w:t xml:space="preserve"> dicha situación toma sustento en</w:t>
      </w:r>
      <w:r w:rsidRPr="0089675F">
        <w:rPr>
          <w:rFonts w:eastAsia="Calibri" w:cs="Tahoma"/>
          <w:bCs/>
        </w:rPr>
        <w:t xml:space="preserve"> el</w:t>
      </w:r>
      <w:r w:rsidRPr="0089675F">
        <w:rPr>
          <w:rFonts w:cs="Tahoma"/>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6B7E5BDE" w14:textId="77777777" w:rsidR="00E72ADC" w:rsidRPr="0089675F" w:rsidRDefault="00E72ADC" w:rsidP="00E26391">
      <w:pPr>
        <w:spacing w:after="0" w:line="360" w:lineRule="auto"/>
        <w:contextualSpacing/>
        <w:rPr>
          <w:rFonts w:cs="Tahoma"/>
          <w:bCs/>
          <w:iCs/>
          <w:lang w:val="es-ES_tradnl"/>
        </w:rPr>
      </w:pPr>
    </w:p>
    <w:p w14:paraId="6997326E" w14:textId="77777777" w:rsidR="00E72ADC" w:rsidRPr="0089675F" w:rsidRDefault="00E72ADC" w:rsidP="00E26391">
      <w:pPr>
        <w:tabs>
          <w:tab w:val="left" w:pos="4962"/>
        </w:tabs>
        <w:spacing w:after="0" w:line="360" w:lineRule="auto"/>
        <w:contextualSpacing/>
        <w:rPr>
          <w:rFonts w:cs="Tahoma"/>
        </w:rPr>
      </w:pPr>
      <w:r w:rsidRPr="0089675F">
        <w:rPr>
          <w:rFonts w:cs="Tahoma"/>
        </w:rPr>
        <w:t xml:space="preserve">De esta manera, </w:t>
      </w:r>
      <w:r w:rsidRPr="0089675F">
        <w:rPr>
          <w:rFonts w:cs="Tahoma"/>
          <w:lang w:val="es-ES"/>
        </w:rPr>
        <w:t xml:space="preserve">el derecho de acceso a la información pública se satisface en aquellos casos en que se entregue el soporte documental en el que conste la información solicitada, sin necesidad de elaborar documentos </w:t>
      </w:r>
      <w:r w:rsidRPr="0089675F">
        <w:rPr>
          <w:rFonts w:cs="Tahoma"/>
          <w:i/>
        </w:rPr>
        <w:t>ad hoc</w:t>
      </w:r>
      <w:r w:rsidRPr="0089675F">
        <w:rPr>
          <w:rFonts w:cs="Tahoma"/>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8769D9F" w14:textId="77777777" w:rsidR="00E72ADC" w:rsidRPr="0089675F" w:rsidRDefault="00E72ADC" w:rsidP="00E26391">
      <w:pPr>
        <w:tabs>
          <w:tab w:val="left" w:pos="4962"/>
        </w:tabs>
        <w:spacing w:after="0" w:line="360" w:lineRule="auto"/>
        <w:contextualSpacing/>
        <w:rPr>
          <w:rFonts w:cs="Tahoma"/>
        </w:rPr>
      </w:pPr>
    </w:p>
    <w:p w14:paraId="2989B9AD" w14:textId="286064B2" w:rsidR="00E72ADC" w:rsidRPr="0089675F" w:rsidRDefault="00E72ADC" w:rsidP="00E26391">
      <w:pPr>
        <w:spacing w:after="0" w:line="360" w:lineRule="auto"/>
        <w:contextualSpacing/>
        <w:rPr>
          <w:rFonts w:cs="Tahoma"/>
          <w:lang w:val="es-ES"/>
        </w:rPr>
      </w:pPr>
      <w:r w:rsidRPr="0089675F">
        <w:rPr>
          <w:rFonts w:cs="Tahoma"/>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documento que obre en sus archivos y dé cuenta de lo solicitado.</w:t>
      </w:r>
    </w:p>
    <w:p w14:paraId="178D94C4" w14:textId="77777777" w:rsidR="00E72ADC" w:rsidRPr="0089675F" w:rsidRDefault="00E72ADC" w:rsidP="00E26391">
      <w:pPr>
        <w:spacing w:after="0" w:line="360" w:lineRule="auto"/>
        <w:contextualSpacing/>
        <w:rPr>
          <w:rFonts w:cs="Tahoma"/>
          <w:lang w:val="es-ES"/>
        </w:rPr>
      </w:pPr>
    </w:p>
    <w:p w14:paraId="7CACF4EB" w14:textId="3E0DEFDD" w:rsidR="00E72ADC" w:rsidRPr="0089675F" w:rsidRDefault="00E72ADC" w:rsidP="00E26391">
      <w:pPr>
        <w:spacing w:after="0" w:line="360" w:lineRule="auto"/>
        <w:contextualSpacing/>
        <w:rPr>
          <w:rFonts w:cs="Tahoma"/>
          <w:lang w:val="es-ES"/>
        </w:rPr>
      </w:pPr>
      <w:r w:rsidRPr="0089675F">
        <w:rPr>
          <w:rFonts w:cs="Tahoma"/>
          <w:lang w:val="es-ES"/>
        </w:rPr>
        <w:t xml:space="preserve">Ahora bien, es necesario precisar que el Particular solicitó el monto mensual gastado; sin embargo, es necesario precisar que, al tratarse de procedimientos de adquisición, estos se regulan por sus propios contratos, en las cláusulas, por lo que, puede ser que no se genere la información al nivel de desglose solicitado, por lo que, este Instituto considera que se tendrá </w:t>
      </w:r>
      <w:r w:rsidRPr="0089675F">
        <w:rPr>
          <w:rFonts w:cs="Tahoma"/>
          <w:lang w:val="es-ES"/>
        </w:rPr>
        <w:lastRenderedPageBreak/>
        <w:t xml:space="preserve">por atendido, </w:t>
      </w:r>
      <w:r w:rsidRPr="0089675F">
        <w:rPr>
          <w:rFonts w:cs="Tahoma"/>
        </w:rPr>
        <w:t>con aquel que se haya establecido en las pólizas de egresos que den cuenta de las erogaciones del concepto solicitados.</w:t>
      </w:r>
    </w:p>
    <w:p w14:paraId="4DD21D20" w14:textId="77777777" w:rsidR="00E72ADC" w:rsidRPr="0089675F" w:rsidRDefault="00E72ADC" w:rsidP="00E26391">
      <w:pPr>
        <w:spacing w:after="0" w:line="360" w:lineRule="auto"/>
        <w:rPr>
          <w:rFonts w:eastAsia="Times New Roman" w:cs="Tahoma"/>
          <w:lang w:val="es-ES"/>
        </w:rPr>
      </w:pPr>
    </w:p>
    <w:p w14:paraId="1F20F182" w14:textId="7BBD94F3" w:rsidR="00E72ADC" w:rsidRPr="0089675F" w:rsidRDefault="00E72ADC" w:rsidP="00E26391">
      <w:pPr>
        <w:spacing w:after="0" w:line="360" w:lineRule="auto"/>
        <w:contextualSpacing/>
        <w:rPr>
          <w:rFonts w:cs="Tahoma"/>
          <w:lang w:val="es-ES"/>
        </w:rPr>
      </w:pPr>
      <w:r w:rsidRPr="0089675F">
        <w:rPr>
          <w:rFonts w:cs="Tahoma"/>
          <w:lang w:val="es-ES"/>
        </w:rPr>
        <w:t xml:space="preserve">Además, para el caso de que en un periodo no se hayan ejercido recursos para </w:t>
      </w:r>
      <w:r w:rsidR="00E26391" w:rsidRPr="0089675F">
        <w:rPr>
          <w:rFonts w:cs="Tahoma"/>
          <w:lang w:val="es-ES"/>
        </w:rPr>
        <w:t>alguno de los conceptos</w:t>
      </w:r>
      <w:r w:rsidRPr="0089675F">
        <w:rPr>
          <w:rFonts w:cs="Tahoma"/>
          <w:lang w:val="es-ES"/>
        </w:rPr>
        <w:t xml:space="preserve">, deberá hacerlo del conocimiento de la parte Recurrente, de manera clara y precisa, en términos del artículo 19 párrafo segundo de la Ley de Transparencia y Acceso a la Información Pública del Estado de México y Municipios; lo anterior, toma relevancia pues este Instituto localizó el </w:t>
      </w:r>
      <w:r w:rsidR="00AC5976" w:rsidRPr="0089675F">
        <w:rPr>
          <w:rFonts w:cs="Tahoma"/>
        </w:rPr>
        <w:t>Estado Comparativo Presupuestal de Egresos</w:t>
      </w:r>
      <w:r w:rsidR="00E26391" w:rsidRPr="0089675F">
        <w:rPr>
          <w:rFonts w:cs="Tahoma"/>
        </w:rPr>
        <w:t>, del primero de enero al treinta de junio de dos mil veinticuatro, del cual se logra vislumbrar que no se erogaron recursos para la partida 3363, relacionada con los servicios de impresiones.</w:t>
      </w:r>
    </w:p>
    <w:p w14:paraId="7A057F29" w14:textId="77777777" w:rsidR="00E72ADC" w:rsidRPr="0089675F" w:rsidRDefault="00E72ADC" w:rsidP="00E26391">
      <w:pPr>
        <w:spacing w:after="0" w:line="360" w:lineRule="auto"/>
        <w:rPr>
          <w:lang w:val="es-ES"/>
        </w:rPr>
      </w:pPr>
    </w:p>
    <w:p w14:paraId="252C47E2" w14:textId="77777777" w:rsidR="00E26391" w:rsidRPr="0089675F" w:rsidRDefault="00E26391" w:rsidP="00E26391">
      <w:pPr>
        <w:spacing w:after="0" w:line="360" w:lineRule="auto"/>
        <w:contextualSpacing/>
        <w:rPr>
          <w:rFonts w:cs="Tahoma"/>
          <w:lang w:val="es-ES"/>
        </w:rPr>
      </w:pPr>
      <w:r w:rsidRPr="0089675F">
        <w:rPr>
          <w:rFonts w:cs="Tahoma"/>
          <w:bCs/>
          <w:iCs/>
          <w:lang w:val="es-ES_tradnl"/>
        </w:rPr>
        <w:t>No pasa desapercibido para este Instituto que los documentos que den cuenta de lo solicitado, pudieran contener datos o información clasificada de los proveedores, como datos bancarios; a</w:t>
      </w:r>
      <w:r w:rsidRPr="0089675F">
        <w:rPr>
          <w:rFonts w:cs="Tahoma"/>
          <w:bCs/>
          <w:iCs/>
          <w:lang w:val="es-ES"/>
        </w:rPr>
        <w:t>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Pr="0089675F">
        <w:rPr>
          <w:rFonts w:cs="Tahoma"/>
          <w:lang w:val="es-ES"/>
        </w:rPr>
        <w:t xml:space="preserve"> </w:t>
      </w:r>
    </w:p>
    <w:p w14:paraId="2ECE71EF" w14:textId="77777777" w:rsidR="00E26391" w:rsidRPr="0089675F" w:rsidRDefault="00E26391" w:rsidP="00E26391">
      <w:pPr>
        <w:spacing w:after="0" w:line="360" w:lineRule="auto"/>
        <w:contextualSpacing/>
        <w:rPr>
          <w:rFonts w:cs="Tahoma"/>
          <w:lang w:val="es-ES"/>
        </w:rPr>
      </w:pPr>
    </w:p>
    <w:p w14:paraId="40F5A694" w14:textId="77777777" w:rsidR="00E26391" w:rsidRPr="0089675F" w:rsidRDefault="00E26391" w:rsidP="00E26391">
      <w:pPr>
        <w:spacing w:after="0" w:line="360" w:lineRule="auto"/>
        <w:contextualSpacing/>
        <w:rPr>
          <w:rFonts w:cs="Tahoma"/>
          <w:lang w:val="es-ES"/>
        </w:rPr>
      </w:pPr>
      <w:r w:rsidRPr="0089675F">
        <w:rPr>
          <w:rFonts w:eastAsia="Calibri"/>
          <w:bCs/>
          <w:iCs/>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205C99B" w14:textId="77777777" w:rsidR="00A369DB" w:rsidRPr="0089675F" w:rsidRDefault="00A369DB" w:rsidP="00E26391">
      <w:pPr>
        <w:spacing w:after="0" w:line="360" w:lineRule="auto"/>
        <w:rPr>
          <w:color w:val="000000"/>
          <w:lang w:val="es-ES"/>
        </w:rPr>
      </w:pPr>
    </w:p>
    <w:p w14:paraId="631436D1" w14:textId="77777777" w:rsidR="00A369DB" w:rsidRPr="0089675F" w:rsidRDefault="00A369DB" w:rsidP="00E26391">
      <w:pPr>
        <w:spacing w:after="0" w:line="360" w:lineRule="auto"/>
        <w:rPr>
          <w:rFonts w:eastAsia="Times New Roman" w:cs="Tahoma"/>
          <w:b/>
          <w:color w:val="000000"/>
          <w:lang w:eastAsia="es-ES"/>
        </w:rPr>
      </w:pPr>
      <w:r w:rsidRPr="0089675F">
        <w:rPr>
          <w:rFonts w:eastAsia="Times New Roman" w:cs="Tahoma"/>
          <w:b/>
          <w:color w:val="000000"/>
          <w:lang w:eastAsia="es-ES"/>
        </w:rPr>
        <w:t xml:space="preserve">SEXTO. Decisión. </w:t>
      </w:r>
    </w:p>
    <w:p w14:paraId="1987E557" w14:textId="77777777" w:rsidR="00A369DB" w:rsidRPr="0089675F" w:rsidRDefault="00A369DB" w:rsidP="00E26391">
      <w:pPr>
        <w:spacing w:after="0" w:line="360" w:lineRule="auto"/>
        <w:rPr>
          <w:rFonts w:eastAsia="Times New Roman" w:cs="Tahoma"/>
          <w:color w:val="000000"/>
          <w:lang w:eastAsia="es-ES"/>
        </w:rPr>
      </w:pPr>
    </w:p>
    <w:p w14:paraId="3A2327E6" w14:textId="77777777" w:rsidR="007A5326" w:rsidRPr="0089675F" w:rsidRDefault="007A5326" w:rsidP="00E26391">
      <w:pPr>
        <w:spacing w:after="0" w:line="360" w:lineRule="auto"/>
        <w:rPr>
          <w:rFonts w:eastAsia="Times New Roman" w:cs="Tahoma"/>
          <w:color w:val="000000"/>
          <w:lang w:eastAsia="es-ES"/>
        </w:rPr>
      </w:pPr>
    </w:p>
    <w:p w14:paraId="0D760649" w14:textId="5E2C9461" w:rsidR="00A369DB" w:rsidRPr="0089675F" w:rsidRDefault="00A369DB" w:rsidP="00E26391">
      <w:pPr>
        <w:spacing w:after="0" w:line="360" w:lineRule="auto"/>
        <w:rPr>
          <w:rFonts w:eastAsia="Calibri" w:cs="Tahoma"/>
          <w:color w:val="000000"/>
          <w:lang w:eastAsia="en-US"/>
        </w:rPr>
      </w:pPr>
      <w:r w:rsidRPr="0089675F">
        <w:rPr>
          <w:rFonts w:eastAsia="Calibri" w:cs="Tahoma"/>
          <w:color w:val="000000"/>
          <w:lang w:eastAsia="en-US"/>
        </w:rPr>
        <w:t xml:space="preserve">Con fundamento en el artículo 186, fracción III, de la Ley de Transparencia y Acceso a la Información Pública del Estado de México y Municipios, este Instituto considera procedente </w:t>
      </w:r>
      <w:r w:rsidRPr="0089675F">
        <w:rPr>
          <w:rFonts w:eastAsia="Calibri" w:cs="Tahoma"/>
          <w:b/>
          <w:color w:val="000000"/>
          <w:lang w:eastAsia="en-US"/>
        </w:rPr>
        <w:t xml:space="preserve">REVOCAR </w:t>
      </w:r>
      <w:r w:rsidRPr="0089675F">
        <w:rPr>
          <w:rFonts w:eastAsia="Calibri" w:cs="Tahoma"/>
          <w:bCs/>
          <w:color w:val="000000"/>
          <w:lang w:eastAsia="en-US"/>
        </w:rPr>
        <w:t>la</w:t>
      </w:r>
      <w:r w:rsidRPr="0089675F">
        <w:rPr>
          <w:rFonts w:eastAsia="Calibri" w:cs="Tahoma"/>
          <w:color w:val="000000"/>
          <w:lang w:eastAsia="en-US"/>
        </w:rPr>
        <w:t xml:space="preserve"> respuesta otorgada por el Ayuntamiento de </w:t>
      </w:r>
      <w:r w:rsidR="003B4CB6" w:rsidRPr="0089675F">
        <w:rPr>
          <w:rFonts w:eastAsia="Calibri" w:cs="Tahoma"/>
          <w:color w:val="000000"/>
          <w:lang w:eastAsia="en-US"/>
        </w:rPr>
        <w:t>Temamatla</w:t>
      </w:r>
      <w:r w:rsidRPr="0089675F">
        <w:rPr>
          <w:rFonts w:eastAsia="Calibri" w:cs="Tahoma"/>
          <w:color w:val="000000"/>
          <w:lang w:eastAsia="en-US"/>
        </w:rPr>
        <w:t xml:space="preserve">, a efecto de que, entregue, a través del Sistema de Acceso a la Información Mexiquense (SAIMEX), </w:t>
      </w:r>
      <w:bookmarkStart w:id="21" w:name="_Hlk146747050"/>
      <w:r w:rsidRPr="0089675F">
        <w:rPr>
          <w:rFonts w:eastAsia="Calibri" w:cs="Tahoma"/>
          <w:color w:val="000000"/>
          <w:lang w:eastAsia="en-US"/>
        </w:rPr>
        <w:t xml:space="preserve">la información </w:t>
      </w:r>
      <w:r w:rsidR="003B4CB6" w:rsidRPr="0089675F">
        <w:rPr>
          <w:rFonts w:eastAsia="Calibri" w:cs="Tahoma"/>
          <w:color w:val="000000"/>
          <w:lang w:eastAsia="en-US"/>
        </w:rPr>
        <w:t>requerida.</w:t>
      </w:r>
    </w:p>
    <w:p w14:paraId="03DBE388" w14:textId="77777777" w:rsidR="00A369DB" w:rsidRPr="0089675F" w:rsidRDefault="00A369DB" w:rsidP="00E26391">
      <w:pPr>
        <w:spacing w:after="0" w:line="360" w:lineRule="auto"/>
        <w:rPr>
          <w:rFonts w:eastAsia="Times New Roman" w:cs="Tahoma"/>
          <w:color w:val="0D0D0D"/>
          <w:sz w:val="20"/>
          <w:lang w:eastAsia="es-ES"/>
        </w:rPr>
      </w:pPr>
    </w:p>
    <w:bookmarkEnd w:id="21"/>
    <w:p w14:paraId="25B4970C" w14:textId="3B24D4E9" w:rsidR="00A369DB" w:rsidRPr="0089675F" w:rsidRDefault="00A369DB" w:rsidP="00E26391">
      <w:pPr>
        <w:autoSpaceDE w:val="0"/>
        <w:autoSpaceDN w:val="0"/>
        <w:adjustRightInd w:val="0"/>
        <w:spacing w:after="0" w:line="360" w:lineRule="auto"/>
        <w:rPr>
          <w:rFonts w:eastAsia="Calibri" w:cs="Tahoma"/>
          <w:b/>
          <w:bCs/>
          <w:iCs/>
          <w:color w:val="000000"/>
          <w:lang w:val="es-ES" w:eastAsia="en-US"/>
        </w:rPr>
      </w:pPr>
      <w:r w:rsidRPr="0089675F">
        <w:rPr>
          <w:rFonts w:eastAsia="Calibri" w:cs="Tahoma"/>
          <w:b/>
          <w:bCs/>
          <w:iCs/>
          <w:color w:val="000000"/>
          <w:lang w:val="es-ES" w:eastAsia="en-US"/>
        </w:rPr>
        <w:t>Términos de la Resolución p</w:t>
      </w:r>
      <w:r w:rsidR="0089675F" w:rsidRPr="0089675F">
        <w:rPr>
          <w:rFonts w:eastAsia="Calibri" w:cs="Tahoma"/>
          <w:b/>
          <w:bCs/>
          <w:iCs/>
          <w:color w:val="000000"/>
          <w:lang w:val="es-ES" w:eastAsia="en-US"/>
        </w:rPr>
        <w:t>ara conocimiento del Particular</w:t>
      </w:r>
    </w:p>
    <w:p w14:paraId="1C137B82" w14:textId="77777777" w:rsidR="00A369DB" w:rsidRPr="0089675F" w:rsidRDefault="00A369DB" w:rsidP="00E26391">
      <w:pPr>
        <w:autoSpaceDE w:val="0"/>
        <w:autoSpaceDN w:val="0"/>
        <w:adjustRightInd w:val="0"/>
        <w:spacing w:after="0" w:line="360" w:lineRule="auto"/>
        <w:rPr>
          <w:rFonts w:eastAsia="Calibri" w:cs="Tahoma"/>
          <w:b/>
          <w:bCs/>
          <w:iCs/>
          <w:color w:val="000000"/>
          <w:lang w:val="es-ES" w:eastAsia="en-US"/>
        </w:rPr>
      </w:pPr>
    </w:p>
    <w:p w14:paraId="04FF41F1" w14:textId="71BE8861" w:rsidR="00E26391" w:rsidRPr="0089675F" w:rsidRDefault="00E26391" w:rsidP="00E26391">
      <w:pPr>
        <w:widowControl w:val="0"/>
        <w:spacing w:line="360" w:lineRule="auto"/>
        <w:contextualSpacing/>
        <w:rPr>
          <w:rFonts w:eastAsia="Calibri" w:cs="Tahoma"/>
          <w:bCs/>
          <w:iCs/>
        </w:rPr>
      </w:pPr>
      <w:r w:rsidRPr="0089675F">
        <w:rPr>
          <w:rFonts w:cs="Tahoma"/>
          <w:bCs/>
          <w:iCs/>
        </w:rPr>
        <w:t xml:space="preserve">Se le hace del conocimiento al Particular, que, en el presente caso, se le concede la razón, toda vez que, si bien el Sujeto Obligado proporcionó un enlace en el que se localizaba la información solicitada, lo cierto es que la proporcionó en formato cerrado y de manera incompleta, sumado a que no acreditó el cambio de modalidad, por lo que deberá proporcionar dicha información de manera completa.  </w:t>
      </w:r>
    </w:p>
    <w:p w14:paraId="7A97F7D4" w14:textId="77777777" w:rsidR="007A5326" w:rsidRPr="0089675F" w:rsidRDefault="007A5326" w:rsidP="00E26391">
      <w:pPr>
        <w:widowControl w:val="0"/>
        <w:spacing w:line="360" w:lineRule="auto"/>
        <w:contextualSpacing/>
        <w:rPr>
          <w:rFonts w:eastAsia="Calibri" w:cs="Tahoma"/>
          <w:bCs/>
          <w:iCs/>
        </w:rPr>
      </w:pPr>
    </w:p>
    <w:p w14:paraId="5917EF20" w14:textId="68772578" w:rsidR="007A5326" w:rsidRPr="0089675F" w:rsidRDefault="007A5326" w:rsidP="007A5326">
      <w:pPr>
        <w:spacing w:after="0" w:line="360" w:lineRule="auto"/>
        <w:rPr>
          <w:rFonts w:eastAsia="Times New Roman" w:cs="Times New Roman"/>
          <w:color w:val="auto"/>
          <w:lang w:eastAsia="es-ES"/>
        </w:rPr>
      </w:pPr>
      <w:r w:rsidRPr="0089675F">
        <w:rPr>
          <w:rFonts w:eastAsia="Calibri" w:cs="Tahoma"/>
          <w:bCs/>
          <w:iCs/>
          <w:color w:val="auto"/>
          <w:lang w:eastAsia="es-ES"/>
        </w:rPr>
        <w:t xml:space="preserve">Finalmente, se le informa que la labor de este </w:t>
      </w:r>
      <w:r w:rsidRPr="0089675F">
        <w:rPr>
          <w:rFonts w:eastAsia="Calibri" w:cs="Tahoma"/>
          <w:bCs/>
          <w:iCs/>
          <w:color w:val="auto"/>
          <w:lang w:val="es-ES_tradnl" w:eastAsia="en-US"/>
        </w:rPr>
        <w:t>Instituto de Transparencia, Acceso a la Información Pública y Protección de Datos Personales del Estado de México y Municipios, es apoyar a la población a acceder a la información pública y garantizar la protección de los datos personales.</w:t>
      </w:r>
    </w:p>
    <w:p w14:paraId="6EAD3539" w14:textId="77777777" w:rsidR="00A369DB" w:rsidRPr="0089675F" w:rsidRDefault="00A369DB" w:rsidP="00E26391">
      <w:pPr>
        <w:spacing w:after="0" w:line="360" w:lineRule="auto"/>
        <w:rPr>
          <w:rFonts w:eastAsia="Calibri" w:cs="Tahoma"/>
          <w:bCs/>
          <w:iCs/>
          <w:color w:val="000000"/>
          <w:lang w:eastAsia="es-ES_tradnl"/>
        </w:rPr>
      </w:pPr>
    </w:p>
    <w:p w14:paraId="05DFCA31" w14:textId="77777777" w:rsidR="00A369DB" w:rsidRPr="0089675F" w:rsidRDefault="00A369DB" w:rsidP="00E26391">
      <w:pPr>
        <w:spacing w:after="0" w:line="360" w:lineRule="auto"/>
        <w:rPr>
          <w:rFonts w:eastAsia="Calibri" w:cs="Tahoma"/>
          <w:bCs/>
          <w:color w:val="000000"/>
          <w:lang w:eastAsia="en-US"/>
        </w:rPr>
      </w:pPr>
      <w:r w:rsidRPr="0089675F">
        <w:rPr>
          <w:rFonts w:eastAsia="Calibri" w:cs="Tahoma"/>
          <w:bCs/>
          <w:color w:val="000000"/>
          <w:lang w:eastAsia="en-US"/>
        </w:rPr>
        <w:t>Por lo expuesto y fundado, este Pleno:</w:t>
      </w:r>
    </w:p>
    <w:p w14:paraId="755C5E4A" w14:textId="77777777" w:rsidR="00A369DB" w:rsidRPr="0089675F" w:rsidRDefault="00A369DB" w:rsidP="00E26391">
      <w:pPr>
        <w:spacing w:after="0" w:line="360" w:lineRule="auto"/>
        <w:jc w:val="center"/>
        <w:rPr>
          <w:rFonts w:eastAsia="Calibri" w:cs="Tahoma"/>
          <w:b/>
          <w:bCs/>
          <w:color w:val="000000"/>
          <w:lang w:eastAsia="en-US"/>
        </w:rPr>
      </w:pPr>
    </w:p>
    <w:p w14:paraId="739A2854" w14:textId="5F2E0CA6" w:rsidR="00A369DB" w:rsidRPr="0089675F" w:rsidRDefault="0089675F" w:rsidP="00E26391">
      <w:pPr>
        <w:spacing w:after="0" w:line="360" w:lineRule="auto"/>
        <w:jc w:val="center"/>
        <w:rPr>
          <w:rFonts w:eastAsia="Calibri" w:cs="Tahoma"/>
          <w:b/>
          <w:bCs/>
          <w:color w:val="000000"/>
          <w:lang w:eastAsia="en-US"/>
        </w:rPr>
      </w:pPr>
      <w:r w:rsidRPr="0089675F">
        <w:rPr>
          <w:rFonts w:eastAsia="Calibri" w:cs="Tahoma"/>
          <w:b/>
          <w:bCs/>
          <w:color w:val="000000"/>
          <w:lang w:eastAsia="en-US"/>
        </w:rPr>
        <w:t>R E S U E L V E</w:t>
      </w:r>
    </w:p>
    <w:p w14:paraId="7C0A0AA2" w14:textId="77777777" w:rsidR="00A369DB" w:rsidRPr="0089675F" w:rsidRDefault="00A369DB" w:rsidP="00E26391">
      <w:pPr>
        <w:spacing w:after="0" w:line="360" w:lineRule="auto"/>
        <w:jc w:val="left"/>
        <w:rPr>
          <w:rFonts w:eastAsia="Calibri" w:cs="Tahoma"/>
          <w:b/>
          <w:bCs/>
          <w:color w:val="000000"/>
          <w:lang w:eastAsia="en-US"/>
        </w:rPr>
      </w:pPr>
    </w:p>
    <w:p w14:paraId="2846ED40" w14:textId="14C141BF" w:rsidR="00A369DB" w:rsidRPr="0089675F" w:rsidRDefault="00A369DB" w:rsidP="00E26391">
      <w:pPr>
        <w:spacing w:after="0" w:line="360" w:lineRule="auto"/>
        <w:contextualSpacing/>
        <w:rPr>
          <w:rFonts w:eastAsia="Calibri" w:cs="Tahoma"/>
          <w:bCs/>
          <w:color w:val="000000"/>
          <w:lang w:eastAsia="en-US"/>
        </w:rPr>
      </w:pPr>
      <w:r w:rsidRPr="0089675F">
        <w:rPr>
          <w:rFonts w:eastAsia="Calibri" w:cs="Tahoma"/>
          <w:b/>
          <w:bCs/>
          <w:color w:val="000000"/>
          <w:lang w:eastAsia="en-US"/>
        </w:rPr>
        <w:t xml:space="preserve">PRIMERO. </w:t>
      </w:r>
      <w:r w:rsidRPr="0089675F">
        <w:rPr>
          <w:rFonts w:eastAsia="Calibri" w:cs="Tahoma"/>
          <w:bCs/>
          <w:color w:val="000000"/>
          <w:lang w:eastAsia="en-US"/>
        </w:rPr>
        <w:t xml:space="preserve">Se </w:t>
      </w:r>
      <w:r w:rsidRPr="0089675F">
        <w:rPr>
          <w:rFonts w:eastAsia="Calibri" w:cs="Tahoma"/>
          <w:b/>
          <w:bCs/>
          <w:color w:val="000000"/>
          <w:lang w:eastAsia="en-US"/>
        </w:rPr>
        <w:t>REVOCA</w:t>
      </w:r>
      <w:r w:rsidRPr="0089675F">
        <w:rPr>
          <w:rFonts w:eastAsia="Calibri" w:cs="Tahoma"/>
          <w:bCs/>
          <w:color w:val="000000"/>
          <w:lang w:eastAsia="en-US"/>
        </w:rPr>
        <w:t xml:space="preserve"> la respuesta entregada por el </w:t>
      </w:r>
      <w:r w:rsidRPr="0089675F">
        <w:rPr>
          <w:rFonts w:eastAsia="Calibri" w:cs="Tahoma"/>
          <w:color w:val="000000"/>
          <w:lang w:eastAsia="en-US"/>
        </w:rPr>
        <w:t xml:space="preserve">Ayuntamiento de </w:t>
      </w:r>
      <w:r w:rsidR="00A92CC4" w:rsidRPr="0089675F">
        <w:rPr>
          <w:rFonts w:eastAsia="Calibri" w:cs="Tahoma"/>
          <w:color w:val="000000"/>
          <w:lang w:eastAsia="en-US"/>
        </w:rPr>
        <w:t>Temamatla</w:t>
      </w:r>
      <w:r w:rsidRPr="0089675F">
        <w:rPr>
          <w:rFonts w:eastAsia="Calibri" w:cs="Tahoma"/>
          <w:color w:val="000000"/>
          <w:lang w:eastAsia="en-US"/>
        </w:rPr>
        <w:t xml:space="preserve"> </w:t>
      </w:r>
      <w:r w:rsidRPr="0089675F">
        <w:rPr>
          <w:rFonts w:eastAsia="Calibri" w:cs="Tahoma"/>
          <w:bCs/>
          <w:color w:val="000000"/>
          <w:lang w:eastAsia="en-US"/>
        </w:rPr>
        <w:t xml:space="preserve">a la solicitud de </w:t>
      </w:r>
      <w:r w:rsidRPr="0089675F">
        <w:rPr>
          <w:rFonts w:eastAsia="Calibri" w:cs="Tahoma"/>
          <w:color w:val="000000"/>
          <w:lang w:eastAsia="en-US"/>
        </w:rPr>
        <w:t xml:space="preserve">información </w:t>
      </w:r>
      <w:r w:rsidR="00A92CC4" w:rsidRPr="0089675F">
        <w:rPr>
          <w:rFonts w:eastAsia="Calibri" w:cs="Tahoma"/>
          <w:b/>
          <w:color w:val="000000"/>
          <w:lang w:eastAsia="en-US"/>
        </w:rPr>
        <w:t>00309/TEMAMATL/IP/2024</w:t>
      </w:r>
      <w:r w:rsidR="00A92CC4" w:rsidRPr="0089675F">
        <w:rPr>
          <w:rFonts w:eastAsia="Calibri" w:cs="Tahoma"/>
          <w:color w:val="000000"/>
          <w:lang w:eastAsia="en-US"/>
        </w:rPr>
        <w:t xml:space="preserve">, </w:t>
      </w:r>
      <w:r w:rsidRPr="0089675F">
        <w:rPr>
          <w:rFonts w:eastAsia="Calibri" w:cs="Times New Roman"/>
          <w:color w:val="000000"/>
          <w:lang w:eastAsia="en-US"/>
        </w:rPr>
        <w:t xml:space="preserve">por resultar </w:t>
      </w:r>
      <w:r w:rsidRPr="0089675F">
        <w:rPr>
          <w:rFonts w:eastAsia="Calibri" w:cs="Times New Roman"/>
          <w:b/>
          <w:color w:val="000000"/>
          <w:lang w:eastAsia="en-US"/>
        </w:rPr>
        <w:t>FUNDADAS</w:t>
      </w:r>
      <w:r w:rsidRPr="0089675F">
        <w:rPr>
          <w:rFonts w:eastAsia="Calibri" w:cs="Tahoma"/>
          <w:color w:val="000000"/>
          <w:lang w:eastAsia="en-US"/>
        </w:rPr>
        <w:t xml:space="preserve"> las razones o </w:t>
      </w:r>
      <w:r w:rsidRPr="0089675F">
        <w:rPr>
          <w:rFonts w:eastAsia="Calibri" w:cs="Tahoma"/>
          <w:color w:val="000000"/>
          <w:lang w:eastAsia="en-US"/>
        </w:rPr>
        <w:lastRenderedPageBreak/>
        <w:t>motivos de inconformidad hechos valer por el Particular, en</w:t>
      </w:r>
      <w:r w:rsidRPr="0089675F">
        <w:rPr>
          <w:rFonts w:eastAsia="Calibri" w:cs="Tahoma"/>
          <w:bCs/>
          <w:color w:val="000000"/>
          <w:lang w:eastAsia="en-US"/>
        </w:rPr>
        <w:t xml:space="preserve"> términos de los considerandos </w:t>
      </w:r>
      <w:r w:rsidRPr="0089675F">
        <w:rPr>
          <w:rFonts w:eastAsia="Calibri" w:cs="Tahoma"/>
          <w:color w:val="000000"/>
          <w:lang w:eastAsia="en-US"/>
        </w:rPr>
        <w:t>QUINTO y SEXTO</w:t>
      </w:r>
      <w:r w:rsidRPr="0089675F">
        <w:rPr>
          <w:rFonts w:eastAsia="Calibri" w:cs="Tahoma"/>
          <w:bCs/>
          <w:color w:val="000000"/>
          <w:lang w:eastAsia="en-US"/>
        </w:rPr>
        <w:t xml:space="preserve"> de la presente Resolución.</w:t>
      </w:r>
    </w:p>
    <w:p w14:paraId="44088897" w14:textId="77777777" w:rsidR="00A369DB" w:rsidRPr="0089675F" w:rsidRDefault="00A369DB" w:rsidP="00E26391">
      <w:pPr>
        <w:spacing w:after="0" w:line="360" w:lineRule="auto"/>
        <w:rPr>
          <w:rFonts w:eastAsia="Calibri" w:cs="Tahoma"/>
          <w:bCs/>
          <w:color w:val="000000"/>
          <w:lang w:eastAsia="en-US"/>
        </w:rPr>
      </w:pPr>
    </w:p>
    <w:p w14:paraId="379BEADD" w14:textId="27FA04AB" w:rsidR="00E26391" w:rsidRPr="0089675F" w:rsidRDefault="00E26391" w:rsidP="00E26391">
      <w:pPr>
        <w:spacing w:after="0" w:line="360" w:lineRule="auto"/>
        <w:rPr>
          <w:rFonts w:eastAsia="Calibri" w:cs="Tahoma"/>
          <w:bCs/>
        </w:rPr>
      </w:pPr>
      <w:r w:rsidRPr="0089675F">
        <w:rPr>
          <w:rFonts w:cs="Tahoma"/>
          <w:b/>
          <w:bCs/>
        </w:rPr>
        <w:t xml:space="preserve">SEGUNDO. </w:t>
      </w:r>
      <w:r w:rsidRPr="0089675F">
        <w:rPr>
          <w:rFonts w:cs="Tahoma"/>
        </w:rPr>
        <w:t xml:space="preserve">Se </w:t>
      </w:r>
      <w:r w:rsidRPr="0089675F">
        <w:rPr>
          <w:rFonts w:cs="Tahoma"/>
          <w:b/>
        </w:rPr>
        <w:t xml:space="preserve">ORDENA </w:t>
      </w:r>
      <w:r w:rsidRPr="0089675F">
        <w:rPr>
          <w:rFonts w:cs="Tahoma"/>
        </w:rPr>
        <w:t xml:space="preserve">al </w:t>
      </w:r>
      <w:r w:rsidRPr="0089675F">
        <w:rPr>
          <w:rFonts w:cs="Tahoma"/>
          <w:color w:val="0C0C0C"/>
        </w:rPr>
        <w:t>Sujeto Obligado</w:t>
      </w:r>
      <w:r w:rsidRPr="0089675F">
        <w:rPr>
          <w:rFonts w:cs="Tahoma"/>
        </w:rPr>
        <w:t xml:space="preserve">, a efecto de que previa búsqueda exhaustiva y razonable en todas las unidades administrativas competentes, entregue </w:t>
      </w:r>
      <w:r w:rsidRPr="0089675F">
        <w:rPr>
          <w:rFonts w:cs="Tahoma"/>
          <w:bCs/>
          <w:iCs/>
        </w:rPr>
        <w:t xml:space="preserve">a través del Sistema de Acceso a la Información Mexiquense (SAIMEX), en su caso, en versión pública, </w:t>
      </w:r>
      <w:r w:rsidRPr="0089675F">
        <w:rPr>
          <w:rFonts w:eastAsia="Calibri" w:cs="Tahoma"/>
          <w:bCs/>
        </w:rPr>
        <w:t>del primero de enero de dos mil veintidós al veinticinco de septiembre de dos mil veinticuatro, respecto al gasto por concepto de impresión de lonas y adquisición de material de imprenta, los documentos donde conste, lo siguiente:</w:t>
      </w:r>
    </w:p>
    <w:p w14:paraId="1629A92B" w14:textId="77777777" w:rsidR="00E26391" w:rsidRPr="0089675F" w:rsidRDefault="00E26391" w:rsidP="00E26391">
      <w:pPr>
        <w:spacing w:after="0" w:line="360" w:lineRule="auto"/>
        <w:contextualSpacing/>
        <w:rPr>
          <w:rFonts w:eastAsia="Calibri" w:cs="Tahoma"/>
          <w:bCs/>
        </w:rPr>
      </w:pPr>
    </w:p>
    <w:p w14:paraId="2557969D" w14:textId="77777777" w:rsidR="00E26391" w:rsidRPr="0089675F" w:rsidRDefault="00E26391" w:rsidP="00E26391">
      <w:pPr>
        <w:pStyle w:val="Prrafodelista"/>
        <w:numPr>
          <w:ilvl w:val="0"/>
          <w:numId w:val="35"/>
        </w:numPr>
        <w:spacing w:line="360" w:lineRule="auto"/>
        <w:rPr>
          <w:rFonts w:eastAsia="Calibri" w:cs="Tahoma"/>
          <w:bCs/>
          <w:szCs w:val="22"/>
        </w:rPr>
      </w:pPr>
      <w:r w:rsidRPr="0089675F">
        <w:rPr>
          <w:rFonts w:eastAsia="Calibri" w:cs="Tahoma"/>
          <w:bCs/>
          <w:szCs w:val="22"/>
        </w:rPr>
        <w:t>Nombre de los proveedores, y</w:t>
      </w:r>
    </w:p>
    <w:p w14:paraId="2C39D163" w14:textId="77777777" w:rsidR="00E26391" w:rsidRPr="0089675F" w:rsidRDefault="00E26391" w:rsidP="00E26391">
      <w:pPr>
        <w:pStyle w:val="Prrafodelista"/>
        <w:numPr>
          <w:ilvl w:val="0"/>
          <w:numId w:val="35"/>
        </w:numPr>
        <w:spacing w:line="360" w:lineRule="auto"/>
        <w:rPr>
          <w:rFonts w:eastAsia="Calibri" w:cs="Tahoma"/>
          <w:bCs/>
          <w:szCs w:val="22"/>
        </w:rPr>
      </w:pPr>
      <w:r w:rsidRPr="0089675F">
        <w:rPr>
          <w:rFonts w:eastAsia="Calibri" w:cs="Tahoma"/>
          <w:bCs/>
          <w:szCs w:val="22"/>
        </w:rPr>
        <w:t>Pólizas de egresos.</w:t>
      </w:r>
    </w:p>
    <w:p w14:paraId="23389A8E" w14:textId="77777777" w:rsidR="007A5326" w:rsidRPr="0089675F" w:rsidRDefault="007A5326" w:rsidP="00E26391">
      <w:pPr>
        <w:spacing w:after="0" w:line="360" w:lineRule="auto"/>
        <w:contextualSpacing/>
        <w:rPr>
          <w:rFonts w:eastAsia="Calibri" w:cs="Tahoma"/>
          <w:bCs/>
          <w:iCs/>
          <w:color w:val="000000"/>
          <w:lang w:eastAsia="es-ES"/>
        </w:rPr>
      </w:pPr>
    </w:p>
    <w:p w14:paraId="2951763F" w14:textId="3DE55D49" w:rsidR="00A369DB" w:rsidRPr="0089675F" w:rsidRDefault="00A369DB" w:rsidP="00E26391">
      <w:pPr>
        <w:spacing w:after="0" w:line="360" w:lineRule="auto"/>
        <w:contextualSpacing/>
        <w:rPr>
          <w:rFonts w:eastAsia="Calibri" w:cs="Tahoma"/>
          <w:bCs/>
          <w:iCs/>
          <w:color w:val="000000"/>
          <w:lang w:eastAsia="es-ES"/>
        </w:rPr>
      </w:pPr>
      <w:r w:rsidRPr="0089675F">
        <w:rPr>
          <w:rFonts w:eastAsia="Calibri" w:cs="Tahoma"/>
          <w:bCs/>
          <w:iCs/>
          <w:color w:val="000000"/>
          <w:lang w:eastAsia="es-ES"/>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2A262BB1" w14:textId="77777777" w:rsidR="007A5326" w:rsidRPr="0089675F" w:rsidRDefault="007A5326" w:rsidP="00E26391">
      <w:pPr>
        <w:spacing w:after="0" w:line="360" w:lineRule="auto"/>
        <w:contextualSpacing/>
        <w:rPr>
          <w:rFonts w:eastAsia="Calibri" w:cs="Tahoma"/>
          <w:bCs/>
          <w:iCs/>
          <w:color w:val="000000"/>
          <w:lang w:eastAsia="es-ES"/>
        </w:rPr>
      </w:pPr>
    </w:p>
    <w:p w14:paraId="71DA25A0" w14:textId="1821EF2E" w:rsidR="00E26391" w:rsidRPr="0089675F" w:rsidRDefault="00E26391" w:rsidP="00E26391">
      <w:pPr>
        <w:autoSpaceDE w:val="0"/>
        <w:autoSpaceDN w:val="0"/>
        <w:adjustRightInd w:val="0"/>
        <w:spacing w:line="360" w:lineRule="auto"/>
        <w:ind w:right="-28"/>
        <w:contextualSpacing/>
        <w:rPr>
          <w:rFonts w:cs="Tahoma"/>
          <w:bCs/>
          <w:iCs/>
        </w:rPr>
      </w:pPr>
      <w:r w:rsidRPr="0089675F">
        <w:rPr>
          <w:rFonts w:cs="Tahoma"/>
          <w:bCs/>
          <w:iCs/>
        </w:rPr>
        <w:t>Para el caso, de que en determinado periodo no haya gastado recursos para alguno de los conceptos referidos, deberá hacerlo del conocimiento de la parte Recurrente, de manera clara y precisa.</w:t>
      </w:r>
    </w:p>
    <w:p w14:paraId="3EF25600" w14:textId="77777777" w:rsidR="00E26391" w:rsidRPr="0089675F" w:rsidRDefault="00E26391" w:rsidP="00E26391">
      <w:pPr>
        <w:spacing w:after="0" w:line="360" w:lineRule="auto"/>
        <w:rPr>
          <w:b/>
        </w:rPr>
      </w:pPr>
    </w:p>
    <w:p w14:paraId="5CCD81B8" w14:textId="65E9AF82" w:rsidR="00A369DB" w:rsidRPr="0089675F" w:rsidRDefault="00A369DB" w:rsidP="00E26391">
      <w:pPr>
        <w:spacing w:after="0" w:line="360" w:lineRule="auto"/>
        <w:rPr>
          <w:bCs/>
        </w:rPr>
      </w:pPr>
      <w:r w:rsidRPr="0089675F">
        <w:rPr>
          <w:b/>
        </w:rPr>
        <w:t>TERCERO. NOTIFÍQUESE</w:t>
      </w:r>
      <w:r w:rsidRPr="0089675F">
        <w:rPr>
          <w:bCs/>
        </w:rPr>
        <w:t xml:space="preserve"> </w:t>
      </w:r>
      <w:r w:rsidR="00FB3321" w:rsidRPr="0089675F">
        <w:rPr>
          <w:b/>
        </w:rPr>
        <w:t>VÍA</w:t>
      </w:r>
      <w:r w:rsidRPr="0089675F">
        <w:rPr>
          <w:b/>
        </w:rPr>
        <w:t xml:space="preserve"> SAIMEX </w:t>
      </w:r>
      <w:r w:rsidRPr="0089675F">
        <w:rPr>
          <w:bC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w:t>
      </w:r>
      <w:r w:rsidRPr="0089675F">
        <w:rPr>
          <w:bCs/>
        </w:rPr>
        <w:lastRenderedPageBreak/>
        <w:t>a la presente, se le apercibe que en caso de negarse a cumplir la presente resolución o hacerlo de manera parcial, se le impondrá una medida de apremio de conformidad con lo previsto en los artículos 198, 200, fracción III, 214, 215 y 216 de la Ley referida.</w:t>
      </w:r>
    </w:p>
    <w:p w14:paraId="52F66122" w14:textId="77777777" w:rsidR="00A369DB" w:rsidRPr="0089675F" w:rsidRDefault="00A369DB" w:rsidP="00E26391">
      <w:pPr>
        <w:spacing w:after="0" w:line="360" w:lineRule="auto"/>
        <w:rPr>
          <w:bCs/>
        </w:rPr>
      </w:pPr>
    </w:p>
    <w:p w14:paraId="50F947C4" w14:textId="77777777" w:rsidR="00A369DB" w:rsidRPr="0089675F" w:rsidRDefault="00A369DB" w:rsidP="00E26391">
      <w:pPr>
        <w:spacing w:after="0" w:line="360" w:lineRule="auto"/>
        <w:rPr>
          <w:bCs/>
        </w:rPr>
      </w:pPr>
      <w:r w:rsidRPr="0089675F">
        <w:rPr>
          <w:bCs/>
        </w:rPr>
        <w:t>De conformidad con el artículo 198 de la Ley de la materia, de considerarlo procedente, el Sujeto Obligado de manera fundada y motivada, podrá solicitar una ampliación de plazo para el cumplimiento de la presente resolución.</w:t>
      </w:r>
    </w:p>
    <w:p w14:paraId="0643120F" w14:textId="77777777" w:rsidR="00A369DB" w:rsidRPr="0089675F" w:rsidRDefault="00A369DB" w:rsidP="00E26391">
      <w:pPr>
        <w:spacing w:after="0" w:line="360" w:lineRule="auto"/>
        <w:rPr>
          <w:bCs/>
        </w:rPr>
      </w:pPr>
    </w:p>
    <w:p w14:paraId="5618737C" w14:textId="34873CC9" w:rsidR="00A369DB" w:rsidRPr="0089675F" w:rsidRDefault="00A369DB" w:rsidP="00E26391">
      <w:pPr>
        <w:spacing w:after="0" w:line="360" w:lineRule="auto"/>
        <w:rPr>
          <w:bCs/>
        </w:rPr>
      </w:pPr>
      <w:r w:rsidRPr="0089675F">
        <w:rPr>
          <w:b/>
        </w:rPr>
        <w:t>CUARTO. NOTIFÍQUESE</w:t>
      </w:r>
      <w:r w:rsidR="00FB3321" w:rsidRPr="0089675F">
        <w:rPr>
          <w:b/>
        </w:rPr>
        <w:t xml:space="preserve"> VÍA</w:t>
      </w:r>
      <w:r w:rsidRPr="0089675F">
        <w:rPr>
          <w:b/>
        </w:rPr>
        <w:t xml:space="preserve"> SAIMEX</w:t>
      </w:r>
      <w:r w:rsidRPr="0089675F">
        <w:rPr>
          <w:bC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3133212" w14:textId="77777777" w:rsidR="00A369DB" w:rsidRPr="0089675F" w:rsidRDefault="00A369DB" w:rsidP="00E26391">
      <w:pPr>
        <w:spacing w:after="0" w:line="360" w:lineRule="auto"/>
        <w:rPr>
          <w:b/>
        </w:rPr>
      </w:pPr>
    </w:p>
    <w:p w14:paraId="12747DBC" w14:textId="6FB84E66" w:rsidR="00A369DB" w:rsidRPr="003B3079" w:rsidRDefault="00A369DB" w:rsidP="00E26391">
      <w:pPr>
        <w:spacing w:after="0" w:line="360" w:lineRule="auto"/>
      </w:pPr>
      <w:r w:rsidRPr="0089675F">
        <w:t xml:space="preserve">ASÍ LO RESUELVE, POR </w:t>
      </w:r>
      <w:r w:rsidRPr="0089675F">
        <w:rPr>
          <w:b/>
          <w:bCs/>
        </w:rPr>
        <w:t>UNANIMIDAD</w:t>
      </w:r>
      <w:r w:rsidRPr="0089675F">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3321" w:rsidRPr="0089675F">
        <w:t>CUADRAGÉSIMA PRIMERA</w:t>
      </w:r>
      <w:r w:rsidRPr="0089675F">
        <w:t xml:space="preserve"> SESIÓN ORDINARIA, CELEBRADA EL </w:t>
      </w:r>
      <w:r w:rsidR="00FB3321" w:rsidRPr="0089675F">
        <w:t>VEINTISIETE DE NOVI</w:t>
      </w:r>
      <w:r w:rsidR="00AF1C86" w:rsidRPr="0089675F">
        <w:t>EMBRE</w:t>
      </w:r>
      <w:r w:rsidRPr="0089675F">
        <w:t xml:space="preserve"> DE DOS MIL VEINTICUATRO, ANTE EL SECRETARIO TÉCNICO DEL PLENO, ALEXIS TAPIA RAMÍREZ.</w:t>
      </w:r>
    </w:p>
    <w:p w14:paraId="1A085AAF" w14:textId="77777777" w:rsidR="00A369DB" w:rsidRPr="003B3079" w:rsidRDefault="00A369DB" w:rsidP="00E26391">
      <w:pPr>
        <w:spacing w:after="0" w:line="360" w:lineRule="auto"/>
      </w:pPr>
      <w:r w:rsidRPr="003B3079">
        <w:br w:type="page"/>
      </w:r>
    </w:p>
    <w:p w14:paraId="547460E4" w14:textId="77777777" w:rsidR="00CE58A5" w:rsidRPr="003B3079" w:rsidRDefault="00CE58A5" w:rsidP="00E26391">
      <w:pPr>
        <w:widowControl w:val="0"/>
        <w:spacing w:after="0" w:line="360" w:lineRule="auto"/>
        <w:rPr>
          <w:color w:val="000000"/>
        </w:rPr>
      </w:pPr>
    </w:p>
    <w:sectPr w:rsidR="00CE58A5" w:rsidRPr="003B3079" w:rsidSect="00CE4466">
      <w:headerReference w:type="even" r:id="rId12"/>
      <w:headerReference w:type="default" r:id="rId13"/>
      <w:footerReference w:type="even" r:id="rId14"/>
      <w:footerReference w:type="default" r:id="rId15"/>
      <w:headerReference w:type="first" r:id="rId16"/>
      <w:footerReference w:type="first" r:id="rId17"/>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653D0" w14:textId="77777777" w:rsidR="008F7D95" w:rsidRDefault="008F7D95">
      <w:pPr>
        <w:spacing w:after="0" w:line="240" w:lineRule="auto"/>
      </w:pPr>
      <w:r>
        <w:separator/>
      </w:r>
    </w:p>
  </w:endnote>
  <w:endnote w:type="continuationSeparator" w:id="0">
    <w:p w14:paraId="37EA0F91" w14:textId="77777777" w:rsidR="008F7D95" w:rsidRDefault="008F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3B4CB6" w:rsidRDefault="003B4CB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55D53">
      <w:rPr>
        <w:b/>
        <w:noProof/>
        <w:color w:val="000000"/>
        <w:sz w:val="24"/>
        <w:szCs w:val="24"/>
      </w:rPr>
      <w:t>26</w:t>
    </w:r>
    <w:r>
      <w:rPr>
        <w:b/>
        <w:color w:val="000000"/>
        <w:sz w:val="24"/>
        <w:szCs w:val="24"/>
      </w:rPr>
      <w:fldChar w:fldCharType="end"/>
    </w:r>
  </w:p>
  <w:p w14:paraId="547C391C" w14:textId="77777777" w:rsidR="003B4CB6" w:rsidRDefault="003B4CB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3B4CB6" w:rsidRDefault="003B4CB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B646B">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B646B">
      <w:rPr>
        <w:b/>
        <w:noProof/>
        <w:color w:val="000000"/>
        <w:sz w:val="24"/>
        <w:szCs w:val="24"/>
      </w:rPr>
      <w:t>26</w:t>
    </w:r>
    <w:r>
      <w:rPr>
        <w:b/>
        <w:color w:val="000000"/>
        <w:sz w:val="24"/>
        <w:szCs w:val="24"/>
      </w:rPr>
      <w:fldChar w:fldCharType="end"/>
    </w:r>
  </w:p>
  <w:p w14:paraId="021EE9EB" w14:textId="77777777" w:rsidR="003B4CB6" w:rsidRDefault="003B4CB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3B4CB6" w:rsidRDefault="003B4CB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B646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B646B">
      <w:rPr>
        <w:b/>
        <w:noProof/>
        <w:color w:val="000000"/>
        <w:sz w:val="24"/>
        <w:szCs w:val="24"/>
      </w:rPr>
      <w:t>26</w:t>
    </w:r>
    <w:r>
      <w:rPr>
        <w:b/>
        <w:color w:val="000000"/>
        <w:sz w:val="24"/>
        <w:szCs w:val="24"/>
      </w:rPr>
      <w:fldChar w:fldCharType="end"/>
    </w:r>
  </w:p>
  <w:p w14:paraId="23D55011" w14:textId="77777777" w:rsidR="003B4CB6" w:rsidRDefault="003B4CB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82235" w14:textId="77777777" w:rsidR="008F7D95" w:rsidRDefault="008F7D95">
      <w:pPr>
        <w:spacing w:after="0" w:line="240" w:lineRule="auto"/>
      </w:pPr>
      <w:r>
        <w:separator/>
      </w:r>
    </w:p>
  </w:footnote>
  <w:footnote w:type="continuationSeparator" w:id="0">
    <w:p w14:paraId="1455709A" w14:textId="77777777" w:rsidR="008F7D95" w:rsidRDefault="008F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3B4CB6" w:rsidRDefault="003B4CB6">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3B4CB6" w14:paraId="4913F089" w14:textId="77777777">
      <w:trPr>
        <w:trHeight w:val="141"/>
      </w:trPr>
      <w:tc>
        <w:tcPr>
          <w:tcW w:w="2404" w:type="dxa"/>
        </w:tcPr>
        <w:p w14:paraId="1D800919" w14:textId="77777777" w:rsidR="003B4CB6" w:rsidRDefault="003B4CB6">
          <w:pPr>
            <w:tabs>
              <w:tab w:val="right" w:pos="8838"/>
            </w:tabs>
            <w:ind w:right="-105"/>
            <w:rPr>
              <w:b/>
            </w:rPr>
          </w:pPr>
          <w:r>
            <w:rPr>
              <w:b/>
            </w:rPr>
            <w:t>Recurso de Revisión:</w:t>
          </w:r>
        </w:p>
      </w:tc>
      <w:tc>
        <w:tcPr>
          <w:tcW w:w="3587" w:type="dxa"/>
        </w:tcPr>
        <w:p w14:paraId="53E9BD67" w14:textId="77777777" w:rsidR="003B4CB6" w:rsidRDefault="003B4CB6">
          <w:pPr>
            <w:tabs>
              <w:tab w:val="right" w:pos="8838"/>
            </w:tabs>
            <w:ind w:left="-28" w:right="683"/>
          </w:pPr>
          <w:r>
            <w:t>04196/INFOEM/IP/RR/2020</w:t>
          </w:r>
        </w:p>
      </w:tc>
    </w:tr>
    <w:tr w:rsidR="003B4CB6" w14:paraId="515F523A" w14:textId="77777777">
      <w:trPr>
        <w:trHeight w:val="276"/>
      </w:trPr>
      <w:tc>
        <w:tcPr>
          <w:tcW w:w="2404" w:type="dxa"/>
        </w:tcPr>
        <w:p w14:paraId="1CFF82A0" w14:textId="77777777" w:rsidR="003B4CB6" w:rsidRDefault="003B4CB6">
          <w:pPr>
            <w:tabs>
              <w:tab w:val="right" w:pos="8838"/>
            </w:tabs>
            <w:ind w:right="-105"/>
            <w:rPr>
              <w:b/>
            </w:rPr>
          </w:pPr>
          <w:r>
            <w:rPr>
              <w:b/>
            </w:rPr>
            <w:t>Sujeto Obligado:</w:t>
          </w:r>
        </w:p>
      </w:tc>
      <w:tc>
        <w:tcPr>
          <w:tcW w:w="3587" w:type="dxa"/>
        </w:tcPr>
        <w:p w14:paraId="1142F936" w14:textId="77777777" w:rsidR="003B4CB6" w:rsidRDefault="003B4CB6">
          <w:pPr>
            <w:tabs>
              <w:tab w:val="right" w:pos="8838"/>
            </w:tabs>
            <w:ind w:right="116"/>
          </w:pPr>
          <w:r>
            <w:t>Ayuntamiento de Chapultepec</w:t>
          </w:r>
        </w:p>
      </w:tc>
    </w:tr>
    <w:tr w:rsidR="003B4CB6" w14:paraId="69080D23" w14:textId="77777777">
      <w:trPr>
        <w:trHeight w:val="276"/>
      </w:trPr>
      <w:tc>
        <w:tcPr>
          <w:tcW w:w="2404" w:type="dxa"/>
        </w:tcPr>
        <w:p w14:paraId="50E24B18" w14:textId="77777777" w:rsidR="003B4CB6" w:rsidRDefault="003B4CB6">
          <w:pPr>
            <w:tabs>
              <w:tab w:val="right" w:pos="8838"/>
            </w:tabs>
            <w:ind w:right="-105"/>
            <w:rPr>
              <w:b/>
            </w:rPr>
          </w:pPr>
          <w:r>
            <w:rPr>
              <w:b/>
            </w:rPr>
            <w:t>Comisionado Ponente:</w:t>
          </w:r>
        </w:p>
      </w:tc>
      <w:tc>
        <w:tcPr>
          <w:tcW w:w="3587" w:type="dxa"/>
        </w:tcPr>
        <w:p w14:paraId="1467B143" w14:textId="77777777" w:rsidR="003B4CB6" w:rsidRDefault="003B4CB6">
          <w:pPr>
            <w:tabs>
              <w:tab w:val="right" w:pos="8838"/>
            </w:tabs>
            <w:ind w:right="-32"/>
          </w:pPr>
          <w:r>
            <w:t>Luis Gustavo Parra Noriega</w:t>
          </w:r>
        </w:p>
      </w:tc>
    </w:tr>
  </w:tbl>
  <w:p w14:paraId="74ECE196" w14:textId="77777777" w:rsidR="003B4CB6" w:rsidRDefault="008F7D95">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3B4CB6" w:rsidRDefault="003B4CB6">
    <w:pPr>
      <w:rPr>
        <w:sz w:val="16"/>
        <w:szCs w:val="16"/>
      </w:rPr>
    </w:pPr>
  </w:p>
  <w:tbl>
    <w:tblPr>
      <w:tblStyle w:val="a"/>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3B4CB6" w14:paraId="087E2B73" w14:textId="77777777">
      <w:trPr>
        <w:trHeight w:val="141"/>
      </w:trPr>
      <w:tc>
        <w:tcPr>
          <w:tcW w:w="2404" w:type="dxa"/>
        </w:tcPr>
        <w:p w14:paraId="44594EC4" w14:textId="77777777" w:rsidR="003B4CB6" w:rsidRDefault="003B4CB6">
          <w:pPr>
            <w:tabs>
              <w:tab w:val="right" w:pos="8838"/>
            </w:tabs>
            <w:ind w:left="-395" w:right="-105" w:firstLine="395"/>
            <w:rPr>
              <w:b/>
            </w:rPr>
          </w:pPr>
          <w:r>
            <w:rPr>
              <w:b/>
            </w:rPr>
            <w:t>Recurso de Revisión:</w:t>
          </w:r>
        </w:p>
      </w:tc>
      <w:tc>
        <w:tcPr>
          <w:tcW w:w="4684" w:type="dxa"/>
        </w:tcPr>
        <w:p w14:paraId="312F8E98" w14:textId="27A1040E" w:rsidR="003B4CB6" w:rsidRDefault="003B4CB6" w:rsidP="00672439">
          <w:pPr>
            <w:tabs>
              <w:tab w:val="right" w:pos="8838"/>
            </w:tabs>
            <w:ind w:left="-28" w:right="454"/>
          </w:pPr>
          <w:r>
            <w:t>06591/INFOEM/IP/RR/2024</w:t>
          </w:r>
        </w:p>
      </w:tc>
    </w:tr>
    <w:tr w:rsidR="003B4CB6" w14:paraId="31D07777" w14:textId="77777777">
      <w:trPr>
        <w:trHeight w:val="276"/>
      </w:trPr>
      <w:tc>
        <w:tcPr>
          <w:tcW w:w="2404" w:type="dxa"/>
        </w:tcPr>
        <w:p w14:paraId="6B55802A" w14:textId="77777777" w:rsidR="003B4CB6" w:rsidRDefault="003B4CB6">
          <w:pPr>
            <w:tabs>
              <w:tab w:val="right" w:pos="8838"/>
            </w:tabs>
            <w:ind w:right="-105"/>
            <w:rPr>
              <w:b/>
            </w:rPr>
          </w:pPr>
          <w:r>
            <w:rPr>
              <w:b/>
            </w:rPr>
            <w:t>Sujeto Obligado:</w:t>
          </w:r>
        </w:p>
      </w:tc>
      <w:tc>
        <w:tcPr>
          <w:tcW w:w="4684" w:type="dxa"/>
        </w:tcPr>
        <w:p w14:paraId="4A22BD99" w14:textId="544C643C" w:rsidR="003B4CB6" w:rsidRDefault="003B4CB6">
          <w:pPr>
            <w:tabs>
              <w:tab w:val="left" w:pos="3158"/>
              <w:tab w:val="left" w:pos="4292"/>
              <w:tab w:val="right" w:pos="8838"/>
            </w:tabs>
            <w:ind w:right="601"/>
          </w:pPr>
          <w:r w:rsidRPr="006B0679">
            <w:t>Ayuntamiento de Temamatla</w:t>
          </w:r>
        </w:p>
      </w:tc>
    </w:tr>
    <w:tr w:rsidR="003B4CB6" w14:paraId="161D40C6" w14:textId="77777777">
      <w:trPr>
        <w:trHeight w:val="276"/>
      </w:trPr>
      <w:tc>
        <w:tcPr>
          <w:tcW w:w="2404" w:type="dxa"/>
        </w:tcPr>
        <w:p w14:paraId="2583E4C0" w14:textId="77777777" w:rsidR="003B4CB6" w:rsidRDefault="003B4CB6">
          <w:pPr>
            <w:tabs>
              <w:tab w:val="right" w:pos="8838"/>
            </w:tabs>
            <w:ind w:right="-105"/>
            <w:rPr>
              <w:b/>
            </w:rPr>
          </w:pPr>
          <w:r>
            <w:rPr>
              <w:b/>
            </w:rPr>
            <w:t>Comisionado Ponente:</w:t>
          </w:r>
        </w:p>
      </w:tc>
      <w:tc>
        <w:tcPr>
          <w:tcW w:w="4684" w:type="dxa"/>
        </w:tcPr>
        <w:p w14:paraId="4FEB6F64" w14:textId="77777777" w:rsidR="003B4CB6" w:rsidRDefault="003B4CB6">
          <w:pPr>
            <w:tabs>
              <w:tab w:val="right" w:pos="8838"/>
            </w:tabs>
            <w:ind w:right="454"/>
          </w:pPr>
          <w:r>
            <w:t>Luis Gustavo Parra Noriega</w:t>
          </w:r>
        </w:p>
      </w:tc>
    </w:tr>
  </w:tbl>
  <w:p w14:paraId="7B4A9F8D" w14:textId="77777777" w:rsidR="003B4CB6" w:rsidRDefault="008F7D95">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77777777" w:rsidR="003B4CB6" w:rsidRDefault="003B4CB6">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3B4CB6" w14:paraId="11A312BD" w14:textId="77777777" w:rsidTr="00CE4466">
      <w:trPr>
        <w:trHeight w:val="1546"/>
      </w:trPr>
      <w:tc>
        <w:tcPr>
          <w:tcW w:w="2127" w:type="dxa"/>
          <w:shd w:val="clear" w:color="auto" w:fill="auto"/>
        </w:tcPr>
        <w:p w14:paraId="02785A7F" w14:textId="77777777" w:rsidR="003B4CB6" w:rsidRDefault="003B4CB6">
          <w:pPr>
            <w:tabs>
              <w:tab w:val="right" w:pos="4273"/>
            </w:tabs>
            <w:rPr>
              <w:rFonts w:ascii="Garamond" w:eastAsia="Garamond" w:hAnsi="Garamond" w:cs="Garamond"/>
              <w:sz w:val="16"/>
              <w:szCs w:val="16"/>
            </w:rPr>
          </w:pPr>
        </w:p>
      </w:tc>
      <w:tc>
        <w:tcPr>
          <w:tcW w:w="7087" w:type="dxa"/>
          <w:shd w:val="clear" w:color="auto" w:fill="auto"/>
        </w:tcPr>
        <w:p w14:paraId="5E345BDA" w14:textId="77777777" w:rsidR="003B4CB6" w:rsidRDefault="003B4CB6">
          <w:pPr>
            <w:rPr>
              <w:sz w:val="10"/>
              <w:szCs w:val="10"/>
            </w:rPr>
          </w:pPr>
        </w:p>
        <w:tbl>
          <w:tblPr>
            <w:tblStyle w:val="a2"/>
            <w:tblW w:w="6379" w:type="dxa"/>
            <w:tblInd w:w="1593"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3B4CB6" w14:paraId="4D093FE8" w14:textId="77777777" w:rsidTr="003B3079">
            <w:trPr>
              <w:trHeight w:val="141"/>
            </w:trPr>
            <w:tc>
              <w:tcPr>
                <w:tcW w:w="2404" w:type="dxa"/>
                <w:vAlign w:val="bottom"/>
              </w:tcPr>
              <w:p w14:paraId="19B4B05D" w14:textId="77777777" w:rsidR="003B4CB6" w:rsidRDefault="003B4CB6">
                <w:pPr>
                  <w:tabs>
                    <w:tab w:val="right" w:pos="8838"/>
                  </w:tabs>
                  <w:ind w:right="-105"/>
                  <w:rPr>
                    <w:b/>
                  </w:rPr>
                </w:pPr>
                <w:r>
                  <w:rPr>
                    <w:b/>
                  </w:rPr>
                  <w:t>Recurso de Revisión:</w:t>
                </w:r>
              </w:p>
            </w:tc>
            <w:tc>
              <w:tcPr>
                <w:tcW w:w="3975" w:type="dxa"/>
              </w:tcPr>
              <w:p w14:paraId="43DE950F" w14:textId="290F234E" w:rsidR="003B4CB6" w:rsidRDefault="003B4CB6">
                <w:pPr>
                  <w:tabs>
                    <w:tab w:val="right" w:pos="8838"/>
                  </w:tabs>
                  <w:ind w:left="-28" w:right="-107"/>
                </w:pPr>
                <w:r>
                  <w:t>06591/INFOEM/IP/RR/2024</w:t>
                </w:r>
              </w:p>
            </w:tc>
          </w:tr>
          <w:tr w:rsidR="003B4CB6" w14:paraId="073EAE42" w14:textId="77777777" w:rsidTr="003B3079">
            <w:trPr>
              <w:trHeight w:val="141"/>
            </w:trPr>
            <w:tc>
              <w:tcPr>
                <w:tcW w:w="2404" w:type="dxa"/>
              </w:tcPr>
              <w:p w14:paraId="76E590DA" w14:textId="77777777" w:rsidR="003B4CB6" w:rsidRDefault="003B4CB6">
                <w:pPr>
                  <w:tabs>
                    <w:tab w:val="right" w:pos="8838"/>
                  </w:tabs>
                  <w:ind w:right="-105"/>
                  <w:rPr>
                    <w:b/>
                  </w:rPr>
                </w:pPr>
                <w:r>
                  <w:rPr>
                    <w:b/>
                  </w:rPr>
                  <w:t>Recurrente:</w:t>
                </w:r>
              </w:p>
            </w:tc>
            <w:tc>
              <w:tcPr>
                <w:tcW w:w="3975" w:type="dxa"/>
              </w:tcPr>
              <w:p w14:paraId="5FF2F8C6" w14:textId="6FB0CA65" w:rsidR="003B4CB6" w:rsidRDefault="003B4CB6">
                <w:pPr>
                  <w:tabs>
                    <w:tab w:val="right" w:pos="8838"/>
                  </w:tabs>
                  <w:ind w:right="-107"/>
                </w:pPr>
              </w:p>
            </w:tc>
          </w:tr>
          <w:tr w:rsidR="003B4CB6" w14:paraId="009C2510" w14:textId="77777777" w:rsidTr="003B3079">
            <w:trPr>
              <w:trHeight w:val="276"/>
            </w:trPr>
            <w:tc>
              <w:tcPr>
                <w:tcW w:w="2404" w:type="dxa"/>
              </w:tcPr>
              <w:p w14:paraId="0AAFC3CA" w14:textId="77777777" w:rsidR="003B4CB6" w:rsidRDefault="003B4CB6">
                <w:pPr>
                  <w:tabs>
                    <w:tab w:val="right" w:pos="8838"/>
                  </w:tabs>
                  <w:ind w:right="-105"/>
                  <w:rPr>
                    <w:b/>
                  </w:rPr>
                </w:pPr>
                <w:r>
                  <w:rPr>
                    <w:b/>
                  </w:rPr>
                  <w:t>Sujeto Obligado:</w:t>
                </w:r>
              </w:p>
            </w:tc>
            <w:tc>
              <w:tcPr>
                <w:tcW w:w="3975" w:type="dxa"/>
              </w:tcPr>
              <w:p w14:paraId="13F6DD80" w14:textId="7FA7863E" w:rsidR="003B4CB6" w:rsidRDefault="003B4CB6">
                <w:pPr>
                  <w:tabs>
                    <w:tab w:val="right" w:pos="8838"/>
                  </w:tabs>
                  <w:ind w:right="33"/>
                </w:pPr>
                <w:r>
                  <w:t xml:space="preserve">Ayuntamiento de </w:t>
                </w:r>
                <w:proofErr w:type="spellStart"/>
                <w:r>
                  <w:t>Temamatla</w:t>
                </w:r>
                <w:proofErr w:type="spellEnd"/>
              </w:p>
            </w:tc>
          </w:tr>
          <w:tr w:rsidR="003B4CB6" w14:paraId="7A4EADF6" w14:textId="77777777" w:rsidTr="003B3079">
            <w:trPr>
              <w:trHeight w:val="276"/>
            </w:trPr>
            <w:tc>
              <w:tcPr>
                <w:tcW w:w="2404" w:type="dxa"/>
              </w:tcPr>
              <w:p w14:paraId="014674B7" w14:textId="77777777" w:rsidR="003B4CB6" w:rsidRDefault="003B4CB6">
                <w:pPr>
                  <w:tabs>
                    <w:tab w:val="right" w:pos="8838"/>
                  </w:tabs>
                  <w:ind w:right="-105"/>
                  <w:rPr>
                    <w:b/>
                  </w:rPr>
                </w:pPr>
                <w:r>
                  <w:rPr>
                    <w:b/>
                  </w:rPr>
                  <w:t>Comisionado Ponente:</w:t>
                </w:r>
              </w:p>
            </w:tc>
            <w:tc>
              <w:tcPr>
                <w:tcW w:w="3975" w:type="dxa"/>
              </w:tcPr>
              <w:p w14:paraId="06F82FCE" w14:textId="77777777" w:rsidR="003B4CB6" w:rsidRDefault="003B4CB6">
                <w:pPr>
                  <w:tabs>
                    <w:tab w:val="right" w:pos="8838"/>
                  </w:tabs>
                  <w:ind w:right="-107"/>
                </w:pPr>
                <w:r>
                  <w:t>Luis Gustavo Parra Noriega</w:t>
                </w:r>
              </w:p>
            </w:tc>
          </w:tr>
        </w:tbl>
        <w:p w14:paraId="3774A9CE" w14:textId="77777777" w:rsidR="003B4CB6" w:rsidRDefault="003B4CB6">
          <w:pPr>
            <w:tabs>
              <w:tab w:val="right" w:pos="8838"/>
            </w:tabs>
            <w:ind w:left="-28"/>
            <w:rPr>
              <w:rFonts w:ascii="Arial" w:eastAsia="Arial" w:hAnsi="Arial" w:cs="Arial"/>
              <w:b/>
            </w:rPr>
          </w:pPr>
        </w:p>
      </w:tc>
    </w:tr>
  </w:tbl>
  <w:p w14:paraId="38129A67" w14:textId="77777777" w:rsidR="003B4CB6" w:rsidRDefault="008F7D95">
    <w:pPr>
      <w:pBdr>
        <w:top w:val="nil"/>
        <w:left w:val="nil"/>
        <w:bottom w:val="nil"/>
        <w:right w:val="nil"/>
        <w:between w:val="nil"/>
      </w:pBdr>
      <w:tabs>
        <w:tab w:val="center" w:pos="4419"/>
        <w:tab w:val="right" w:pos="8838"/>
      </w:tabs>
      <w:spacing w:after="0" w:line="240" w:lineRule="auto"/>
      <w:rPr>
        <w:color w:val="000000"/>
      </w:rPr>
    </w:pPr>
    <w:r>
      <w:rPr>
        <w:color w:val="000000"/>
      </w:rPr>
      <w:pict w14:anchorId="4DC54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97.1pt;margin-top:-127.6pt;width:663.5pt;height:12in;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911BA6"/>
    <w:multiLevelType w:val="hybridMultilevel"/>
    <w:tmpl w:val="A5FC2EA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42F61CBF"/>
    <w:multiLevelType w:val="hybridMultilevel"/>
    <w:tmpl w:val="032E4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E392F61"/>
    <w:multiLevelType w:val="hybridMultilevel"/>
    <w:tmpl w:val="B058D136"/>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4F901CCC"/>
    <w:multiLevelType w:val="multilevel"/>
    <w:tmpl w:val="0D0CC79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49390D"/>
    <w:multiLevelType w:val="hybridMultilevel"/>
    <w:tmpl w:val="BF42C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AAE"/>
    <w:multiLevelType w:val="hybridMultilevel"/>
    <w:tmpl w:val="686A3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D590C1A"/>
    <w:multiLevelType w:val="hybridMultilevel"/>
    <w:tmpl w:val="999EAD2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C75FC3"/>
    <w:multiLevelType w:val="hybridMultilevel"/>
    <w:tmpl w:val="14D6A8C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7ED931C6"/>
    <w:multiLevelType w:val="hybridMultilevel"/>
    <w:tmpl w:val="526C7DA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
  </w:num>
  <w:num w:numId="5">
    <w:abstractNumId w:val="2"/>
  </w:num>
  <w:num w:numId="6">
    <w:abstractNumId w:val="31"/>
  </w:num>
  <w:num w:numId="7">
    <w:abstractNumId w:val="3"/>
  </w:num>
  <w:num w:numId="8">
    <w:abstractNumId w:val="14"/>
  </w:num>
  <w:num w:numId="9">
    <w:abstractNumId w:val="10"/>
  </w:num>
  <w:num w:numId="10">
    <w:abstractNumId w:val="15"/>
  </w:num>
  <w:num w:numId="11">
    <w:abstractNumId w:val="12"/>
  </w:num>
  <w:num w:numId="12">
    <w:abstractNumId w:val="4"/>
  </w:num>
  <w:num w:numId="13">
    <w:abstractNumId w:val="0"/>
  </w:num>
  <w:num w:numId="14">
    <w:abstractNumId w:val="7"/>
  </w:num>
  <w:num w:numId="15">
    <w:abstractNumId w:val="8"/>
  </w:num>
  <w:num w:numId="16">
    <w:abstractNumId w:val="24"/>
  </w:num>
  <w:num w:numId="17">
    <w:abstractNumId w:val="23"/>
  </w:num>
  <w:num w:numId="18">
    <w:abstractNumId w:val="6"/>
  </w:num>
  <w:num w:numId="19">
    <w:abstractNumId w:val="11"/>
  </w:num>
  <w:num w:numId="20">
    <w:abstractNumId w:val="22"/>
  </w:num>
  <w:num w:numId="21">
    <w:abstractNumId w:val="2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
  </w:num>
  <w:num w:numId="29">
    <w:abstractNumId w:val="20"/>
  </w:num>
  <w:num w:numId="30">
    <w:abstractNumId w:val="19"/>
  </w:num>
  <w:num w:numId="31">
    <w:abstractNumId w:val="34"/>
  </w:num>
  <w:num w:numId="32">
    <w:abstractNumId w:val="33"/>
  </w:num>
  <w:num w:numId="33">
    <w:abstractNumId w:val="16"/>
  </w:num>
  <w:num w:numId="34">
    <w:abstractNumId w:val="28"/>
  </w:num>
  <w:num w:numId="35">
    <w:abstractNumId w:val="13"/>
  </w:num>
  <w:num w:numId="36">
    <w:abstractNumId w:val="3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33F3"/>
    <w:rsid w:val="00055AF3"/>
    <w:rsid w:val="00061E62"/>
    <w:rsid w:val="000620C8"/>
    <w:rsid w:val="000678E8"/>
    <w:rsid w:val="0008574F"/>
    <w:rsid w:val="00086C5F"/>
    <w:rsid w:val="000A5247"/>
    <w:rsid w:val="000C03C1"/>
    <w:rsid w:val="000C455C"/>
    <w:rsid w:val="000E23BF"/>
    <w:rsid w:val="000E51A2"/>
    <w:rsid w:val="000F1C66"/>
    <w:rsid w:val="00100241"/>
    <w:rsid w:val="00116267"/>
    <w:rsid w:val="00123ED6"/>
    <w:rsid w:val="001807D0"/>
    <w:rsid w:val="001A043A"/>
    <w:rsid w:val="001A3FA2"/>
    <w:rsid w:val="001A4D72"/>
    <w:rsid w:val="001A518F"/>
    <w:rsid w:val="001A54EF"/>
    <w:rsid w:val="001B2B90"/>
    <w:rsid w:val="001C23E4"/>
    <w:rsid w:val="001C3D22"/>
    <w:rsid w:val="001E3BEF"/>
    <w:rsid w:val="001F1666"/>
    <w:rsid w:val="001F7131"/>
    <w:rsid w:val="00201106"/>
    <w:rsid w:val="00214684"/>
    <w:rsid w:val="0026142D"/>
    <w:rsid w:val="00267D04"/>
    <w:rsid w:val="00271EEF"/>
    <w:rsid w:val="0027405F"/>
    <w:rsid w:val="0027513C"/>
    <w:rsid w:val="00281A8C"/>
    <w:rsid w:val="002A1E5F"/>
    <w:rsid w:val="002A4B9F"/>
    <w:rsid w:val="002B3613"/>
    <w:rsid w:val="002B77FE"/>
    <w:rsid w:val="002D0172"/>
    <w:rsid w:val="002F109C"/>
    <w:rsid w:val="0030191A"/>
    <w:rsid w:val="00321F56"/>
    <w:rsid w:val="003313D5"/>
    <w:rsid w:val="00355945"/>
    <w:rsid w:val="0036629A"/>
    <w:rsid w:val="00372769"/>
    <w:rsid w:val="0038068D"/>
    <w:rsid w:val="003901E6"/>
    <w:rsid w:val="003A3004"/>
    <w:rsid w:val="003A656C"/>
    <w:rsid w:val="003B3079"/>
    <w:rsid w:val="003B4CB6"/>
    <w:rsid w:val="00400449"/>
    <w:rsid w:val="00416366"/>
    <w:rsid w:val="00425DC6"/>
    <w:rsid w:val="00431F7B"/>
    <w:rsid w:val="00432851"/>
    <w:rsid w:val="0044120C"/>
    <w:rsid w:val="0045203D"/>
    <w:rsid w:val="00455D53"/>
    <w:rsid w:val="00480823"/>
    <w:rsid w:val="004B2592"/>
    <w:rsid w:val="004B503B"/>
    <w:rsid w:val="004C4B87"/>
    <w:rsid w:val="004D37D8"/>
    <w:rsid w:val="00500D89"/>
    <w:rsid w:val="00565FE3"/>
    <w:rsid w:val="005B5E7C"/>
    <w:rsid w:val="005C4C29"/>
    <w:rsid w:val="005C4CEA"/>
    <w:rsid w:val="005D7AEB"/>
    <w:rsid w:val="00600C74"/>
    <w:rsid w:val="00603C0C"/>
    <w:rsid w:val="0060513D"/>
    <w:rsid w:val="006137E6"/>
    <w:rsid w:val="00623D33"/>
    <w:rsid w:val="006269DD"/>
    <w:rsid w:val="00647460"/>
    <w:rsid w:val="0064764C"/>
    <w:rsid w:val="006515E5"/>
    <w:rsid w:val="00670439"/>
    <w:rsid w:val="00672439"/>
    <w:rsid w:val="006819BC"/>
    <w:rsid w:val="0068258C"/>
    <w:rsid w:val="006B0679"/>
    <w:rsid w:val="006D4068"/>
    <w:rsid w:val="006E46EA"/>
    <w:rsid w:val="006E6C38"/>
    <w:rsid w:val="00722EFD"/>
    <w:rsid w:val="00760CA6"/>
    <w:rsid w:val="0076362A"/>
    <w:rsid w:val="0078202B"/>
    <w:rsid w:val="00791585"/>
    <w:rsid w:val="007A4FC5"/>
    <w:rsid w:val="007A5326"/>
    <w:rsid w:val="007A54F7"/>
    <w:rsid w:val="007D2BEC"/>
    <w:rsid w:val="007F4086"/>
    <w:rsid w:val="008022FE"/>
    <w:rsid w:val="00802E3A"/>
    <w:rsid w:val="008051E4"/>
    <w:rsid w:val="008061A1"/>
    <w:rsid w:val="008126BA"/>
    <w:rsid w:val="00825915"/>
    <w:rsid w:val="00827EA8"/>
    <w:rsid w:val="00836753"/>
    <w:rsid w:val="00850D54"/>
    <w:rsid w:val="00862C79"/>
    <w:rsid w:val="00876057"/>
    <w:rsid w:val="008854E3"/>
    <w:rsid w:val="00894FA0"/>
    <w:rsid w:val="0089675F"/>
    <w:rsid w:val="00897C88"/>
    <w:rsid w:val="008B1792"/>
    <w:rsid w:val="008C369E"/>
    <w:rsid w:val="008F7D95"/>
    <w:rsid w:val="00901916"/>
    <w:rsid w:val="0090345F"/>
    <w:rsid w:val="0090536E"/>
    <w:rsid w:val="00921B80"/>
    <w:rsid w:val="00922619"/>
    <w:rsid w:val="00931903"/>
    <w:rsid w:val="00933D31"/>
    <w:rsid w:val="009354C9"/>
    <w:rsid w:val="00935920"/>
    <w:rsid w:val="0093706C"/>
    <w:rsid w:val="00951E4D"/>
    <w:rsid w:val="0096291E"/>
    <w:rsid w:val="0098702F"/>
    <w:rsid w:val="009A0999"/>
    <w:rsid w:val="009B646B"/>
    <w:rsid w:val="009C3A65"/>
    <w:rsid w:val="009D5DFC"/>
    <w:rsid w:val="009E143C"/>
    <w:rsid w:val="009F177B"/>
    <w:rsid w:val="009F4781"/>
    <w:rsid w:val="00A148A4"/>
    <w:rsid w:val="00A169B3"/>
    <w:rsid w:val="00A31D29"/>
    <w:rsid w:val="00A340DF"/>
    <w:rsid w:val="00A3628B"/>
    <w:rsid w:val="00A36580"/>
    <w:rsid w:val="00A369DB"/>
    <w:rsid w:val="00A50615"/>
    <w:rsid w:val="00A51FC9"/>
    <w:rsid w:val="00A6353E"/>
    <w:rsid w:val="00A7495B"/>
    <w:rsid w:val="00A92CC4"/>
    <w:rsid w:val="00AA513D"/>
    <w:rsid w:val="00AA681D"/>
    <w:rsid w:val="00AB379E"/>
    <w:rsid w:val="00AC5976"/>
    <w:rsid w:val="00AE68DB"/>
    <w:rsid w:val="00AF1546"/>
    <w:rsid w:val="00AF1C86"/>
    <w:rsid w:val="00AF5ECE"/>
    <w:rsid w:val="00B12E36"/>
    <w:rsid w:val="00B176CD"/>
    <w:rsid w:val="00B220A6"/>
    <w:rsid w:val="00B2250B"/>
    <w:rsid w:val="00B27D55"/>
    <w:rsid w:val="00B46A70"/>
    <w:rsid w:val="00B574FD"/>
    <w:rsid w:val="00B60AE8"/>
    <w:rsid w:val="00B662E6"/>
    <w:rsid w:val="00B663EA"/>
    <w:rsid w:val="00BA1C09"/>
    <w:rsid w:val="00BA599A"/>
    <w:rsid w:val="00BC37F6"/>
    <w:rsid w:val="00BD5CCE"/>
    <w:rsid w:val="00BD76D4"/>
    <w:rsid w:val="00BE5B8C"/>
    <w:rsid w:val="00BF1C9F"/>
    <w:rsid w:val="00BF4381"/>
    <w:rsid w:val="00C13CA5"/>
    <w:rsid w:val="00C169EE"/>
    <w:rsid w:val="00C23341"/>
    <w:rsid w:val="00C4170A"/>
    <w:rsid w:val="00C54A79"/>
    <w:rsid w:val="00C6112D"/>
    <w:rsid w:val="00C776C5"/>
    <w:rsid w:val="00C91CC8"/>
    <w:rsid w:val="00CA016E"/>
    <w:rsid w:val="00CA79CD"/>
    <w:rsid w:val="00CC263D"/>
    <w:rsid w:val="00CE19BD"/>
    <w:rsid w:val="00CE3B03"/>
    <w:rsid w:val="00CE4466"/>
    <w:rsid w:val="00CE58A5"/>
    <w:rsid w:val="00CF0CB5"/>
    <w:rsid w:val="00CF3A29"/>
    <w:rsid w:val="00CF5A68"/>
    <w:rsid w:val="00CF6EC8"/>
    <w:rsid w:val="00D0110E"/>
    <w:rsid w:val="00D4464F"/>
    <w:rsid w:val="00D44EDE"/>
    <w:rsid w:val="00D454B0"/>
    <w:rsid w:val="00D4629B"/>
    <w:rsid w:val="00D51406"/>
    <w:rsid w:val="00D52F9F"/>
    <w:rsid w:val="00D7798F"/>
    <w:rsid w:val="00D87D2E"/>
    <w:rsid w:val="00D93ABD"/>
    <w:rsid w:val="00DA1D7C"/>
    <w:rsid w:val="00DA47EE"/>
    <w:rsid w:val="00DB2E59"/>
    <w:rsid w:val="00DD7C00"/>
    <w:rsid w:val="00DE3BBD"/>
    <w:rsid w:val="00DF132F"/>
    <w:rsid w:val="00DF6F15"/>
    <w:rsid w:val="00E03F94"/>
    <w:rsid w:val="00E14B9F"/>
    <w:rsid w:val="00E26391"/>
    <w:rsid w:val="00E27D46"/>
    <w:rsid w:val="00E37CB6"/>
    <w:rsid w:val="00E42514"/>
    <w:rsid w:val="00E51F39"/>
    <w:rsid w:val="00E57161"/>
    <w:rsid w:val="00E624D4"/>
    <w:rsid w:val="00E63455"/>
    <w:rsid w:val="00E72ADC"/>
    <w:rsid w:val="00E73EE5"/>
    <w:rsid w:val="00E763D9"/>
    <w:rsid w:val="00E84D5E"/>
    <w:rsid w:val="00EA18B6"/>
    <w:rsid w:val="00ED280F"/>
    <w:rsid w:val="00ED6CC6"/>
    <w:rsid w:val="00EE1C8D"/>
    <w:rsid w:val="00F03AF0"/>
    <w:rsid w:val="00F04222"/>
    <w:rsid w:val="00F12382"/>
    <w:rsid w:val="00F1744F"/>
    <w:rsid w:val="00F44355"/>
    <w:rsid w:val="00F84B60"/>
    <w:rsid w:val="00FB0CD8"/>
    <w:rsid w:val="00FB2C05"/>
    <w:rsid w:val="00FB3321"/>
    <w:rsid w:val="00FB6A6B"/>
    <w:rsid w:val="00FD0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076">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537818185">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5E9B21-5DD3-4846-A743-A8E9FE6F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6282</Words>
  <Characters>34552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2024-11-29T00:00:00Z</cp:lastPrinted>
  <dcterms:created xsi:type="dcterms:W3CDTF">2024-11-29T00:00:00Z</dcterms:created>
  <dcterms:modified xsi:type="dcterms:W3CDTF">2025-02-05T15:42:00Z</dcterms:modified>
</cp:coreProperties>
</file>