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91F9F" w14:textId="77777777" w:rsidR="00826DA6" w:rsidRPr="0024200F" w:rsidRDefault="00826DA6" w:rsidP="00826DA6">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4E0480">
        <w:rPr>
          <w:rFonts w:ascii="Palatino Linotype" w:hAnsi="Palatino Linotype"/>
        </w:rPr>
        <w:t>seis de noviembre</w:t>
      </w:r>
      <w:r>
        <w:rPr>
          <w:rFonts w:ascii="Palatino Linotype" w:hAnsi="Palatino Linotype"/>
        </w:rPr>
        <w:t xml:space="preserve"> de dos mil veinticuatro.</w:t>
      </w:r>
    </w:p>
    <w:p w14:paraId="487ED9F9" w14:textId="77777777" w:rsidR="00826DA6" w:rsidRPr="0024200F" w:rsidRDefault="00826DA6" w:rsidP="00826DA6">
      <w:pPr>
        <w:spacing w:line="360" w:lineRule="auto"/>
        <w:jc w:val="both"/>
        <w:rPr>
          <w:rFonts w:ascii="Palatino Linotype" w:hAnsi="Palatino Linotype"/>
        </w:rPr>
      </w:pPr>
    </w:p>
    <w:p w14:paraId="457CFCAC" w14:textId="63004987" w:rsidR="00826DA6" w:rsidRPr="002C3EC8" w:rsidRDefault="00826DA6" w:rsidP="00826DA6">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1E3A47">
        <w:rPr>
          <w:rFonts w:ascii="Palatino Linotype" w:hAnsi="Palatino Linotype" w:cs="Arial"/>
          <w:b/>
        </w:rPr>
        <w:t>0</w:t>
      </w:r>
      <w:r>
        <w:rPr>
          <w:rFonts w:ascii="Palatino Linotype" w:hAnsi="Palatino Linotype" w:cs="Arial"/>
          <w:b/>
          <w:bCs/>
          <w:lang w:eastAsia="es-MX"/>
        </w:rPr>
        <w:t>5755/INFOEM/IP/RR/2024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F45667">
        <w:rPr>
          <w:rFonts w:ascii="Palatino Linotype" w:hAnsi="Palatino Linotype"/>
          <w:b/>
        </w:rPr>
        <w:t>XXXXXXXXXXXXXXXXXXXXXX</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603574">
        <w:rPr>
          <w:rFonts w:ascii="Palatino Linotype" w:hAnsi="Palatino Linotype"/>
          <w:b/>
        </w:rPr>
        <w:t xml:space="preserve">Ayuntamiento de </w:t>
      </w:r>
      <w:r>
        <w:rPr>
          <w:rFonts w:ascii="Palatino Linotype" w:hAnsi="Palatino Linotype"/>
          <w:b/>
        </w:rPr>
        <w:t>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66F63CCE" w14:textId="77777777" w:rsidR="00826DA6" w:rsidRPr="002C3EC8" w:rsidRDefault="00826DA6" w:rsidP="00826DA6">
      <w:pPr>
        <w:tabs>
          <w:tab w:val="left" w:pos="1701"/>
        </w:tabs>
        <w:spacing w:before="240" w:line="360" w:lineRule="auto"/>
        <w:jc w:val="both"/>
        <w:rPr>
          <w:rFonts w:ascii="Palatino Linotype" w:hAnsi="Palatino Linotype" w:cs="Arial"/>
          <w:b/>
        </w:rPr>
      </w:pPr>
    </w:p>
    <w:p w14:paraId="0F87A160" w14:textId="77777777" w:rsidR="00826DA6" w:rsidRDefault="00826DA6" w:rsidP="00826DA6">
      <w:pPr>
        <w:pStyle w:val="infoemcitas"/>
        <w:jc w:val="center"/>
        <w:rPr>
          <w:b/>
          <w:bCs/>
          <w:i w:val="0"/>
          <w:iCs/>
          <w:sz w:val="28"/>
          <w:szCs w:val="28"/>
        </w:rPr>
      </w:pPr>
      <w:r w:rsidRPr="002C3EC8">
        <w:rPr>
          <w:b/>
          <w:bCs/>
          <w:i w:val="0"/>
          <w:iCs/>
          <w:sz w:val="28"/>
          <w:szCs w:val="28"/>
        </w:rPr>
        <w:t>A N T E C E D E N T E S   D E L   A S U N T O</w:t>
      </w:r>
    </w:p>
    <w:p w14:paraId="6146A0FC" w14:textId="77777777" w:rsidR="00826DA6" w:rsidRPr="002C3EC8" w:rsidRDefault="00826DA6" w:rsidP="00826DA6">
      <w:pPr>
        <w:pStyle w:val="infoemcitas"/>
        <w:jc w:val="center"/>
        <w:rPr>
          <w:b/>
          <w:bCs/>
          <w:i w:val="0"/>
          <w:iCs/>
          <w:sz w:val="28"/>
          <w:szCs w:val="28"/>
        </w:rPr>
      </w:pPr>
    </w:p>
    <w:p w14:paraId="6D9ADDD4" w14:textId="77777777" w:rsidR="00826DA6" w:rsidRPr="002C3EC8" w:rsidRDefault="00826DA6" w:rsidP="00826DA6">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693CF8A3" w14:textId="77777777" w:rsidR="00826DA6" w:rsidRPr="00D705FF" w:rsidRDefault="00826DA6" w:rsidP="00826DA6">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rPr>
        <w:t xml:space="preserve">diecinueve de agosto de dos mil veinticuatro,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01915/TOLUCA/IP/2024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631B7156" w14:textId="77777777" w:rsidR="00826DA6" w:rsidRPr="001C7F6F" w:rsidRDefault="00826DA6" w:rsidP="00826DA6">
      <w:pPr>
        <w:pStyle w:val="INFOEM"/>
        <w:rPr>
          <w:lang w:val="es-ES_tradnl" w:eastAsia="es-ES"/>
        </w:rPr>
      </w:pPr>
      <w:r w:rsidRPr="00D705FF">
        <w:rPr>
          <w:lang w:val="es-ES_tradnl" w:eastAsia="es-ES"/>
        </w:rPr>
        <w:t>“</w:t>
      </w:r>
      <w:r w:rsidRPr="00826DA6">
        <w:rPr>
          <w:lang w:val="es-ES" w:eastAsia="es-ES"/>
        </w:rPr>
        <w:t xml:space="preserve">¿Cuál es el número de asesores que tienen a su disposición y que se encuentran laborando en sus respectivos equipos de trabajo de cada uno de los regidores de la actual administración edilicia 2022 - 2024 del Ayuntamiento de Toluca? Así cómo el </w:t>
      </w:r>
      <w:r w:rsidRPr="00826DA6">
        <w:rPr>
          <w:lang w:val="es-ES" w:eastAsia="es-ES"/>
        </w:rPr>
        <w:lastRenderedPageBreak/>
        <w:t>monto desglosado de todas las ganancias brutas tanto quincenales como mensuales y anuales al corte de caja de está presente solicitud; y que se señale si están cobrando bajo la nómina del ayuntamiento o si se les está pagando directamente de la nómina que maneja cada regidor.</w:t>
      </w:r>
      <w:r w:rsidRPr="00D705FF">
        <w:rPr>
          <w:lang w:val="es-ES_tradnl" w:eastAsia="es-ES"/>
        </w:rPr>
        <w:t>” (Sic)</w:t>
      </w:r>
    </w:p>
    <w:p w14:paraId="2ED7CE34" w14:textId="77777777" w:rsidR="00826DA6" w:rsidRPr="002C3EC8" w:rsidRDefault="00826DA6" w:rsidP="00826DA6">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280E7231" w14:textId="77777777" w:rsidR="00826DA6" w:rsidRDefault="00826DA6" w:rsidP="00826DA6">
      <w:pPr>
        <w:spacing w:before="240" w:line="360" w:lineRule="auto"/>
        <w:jc w:val="both"/>
        <w:rPr>
          <w:rFonts w:ascii="Palatino Linotype" w:hAnsi="Palatino Linotype" w:cs="Arial"/>
          <w:b/>
          <w:sz w:val="28"/>
        </w:rPr>
      </w:pPr>
    </w:p>
    <w:p w14:paraId="4D3F7859" w14:textId="77777777" w:rsidR="00826DA6" w:rsidRDefault="00826DA6" w:rsidP="00826DA6">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16F8D12A" w14:textId="77777777" w:rsidR="00826DA6" w:rsidRPr="009062B2" w:rsidRDefault="00826DA6" w:rsidP="00826DA6">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nueve de septiembre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627D0223" w14:textId="77777777" w:rsidR="00826DA6" w:rsidRPr="00E818A5" w:rsidRDefault="00826DA6" w:rsidP="00826DA6">
      <w:pPr>
        <w:spacing w:line="360" w:lineRule="auto"/>
        <w:jc w:val="both"/>
        <w:rPr>
          <w:rFonts w:ascii="Palatino Linotype" w:hAnsi="Palatino Linotype" w:cs="Arial"/>
        </w:rPr>
      </w:pPr>
    </w:p>
    <w:p w14:paraId="70C7D64C" w14:textId="77777777" w:rsidR="00826DA6" w:rsidRDefault="00826DA6" w:rsidP="00826DA6">
      <w:pPr>
        <w:ind w:left="567" w:right="567"/>
        <w:jc w:val="both"/>
        <w:rPr>
          <w:rFonts w:ascii="Palatino Linotype" w:hAnsi="Palatino Linotype" w:cs="Arial"/>
          <w:i/>
        </w:rPr>
      </w:pPr>
      <w:r>
        <w:rPr>
          <w:rFonts w:ascii="Palatino Linotype" w:hAnsi="Palatino Linotype" w:cs="Arial"/>
          <w:i/>
        </w:rPr>
        <w:t>“E</w:t>
      </w:r>
      <w:r w:rsidRPr="00826DA6">
        <w:rPr>
          <w:rFonts w:ascii="Palatino Linotype" w:hAnsi="Palatino Linotype" w:cs="Arial"/>
          <w:i/>
        </w:rPr>
        <w:t xml:space="preserve">n atención a la solicitud con folio 01915/TOLUCA/IP/2024, me permito adjuntar al presente la respuesta correspondiente. Sin más por el momento, reciba un saludo. </w:t>
      </w:r>
      <w:r w:rsidRPr="00667998">
        <w:rPr>
          <w:rFonts w:ascii="Palatino Linotype" w:hAnsi="Palatino Linotype" w:cs="Arial"/>
          <w:i/>
        </w:rPr>
        <w:t>“(Sic).</w:t>
      </w:r>
    </w:p>
    <w:p w14:paraId="3D751CCB" w14:textId="77777777" w:rsidR="00826DA6" w:rsidRDefault="00826DA6" w:rsidP="00826DA6">
      <w:pPr>
        <w:spacing w:line="360" w:lineRule="auto"/>
        <w:ind w:right="567"/>
        <w:jc w:val="both"/>
        <w:rPr>
          <w:rFonts w:ascii="Palatino Linotype" w:hAnsi="Palatino Linotype" w:cs="Arial"/>
        </w:rPr>
      </w:pPr>
    </w:p>
    <w:p w14:paraId="50DE62E6" w14:textId="77777777" w:rsidR="00826DA6" w:rsidRDefault="00826DA6" w:rsidP="00826DA6">
      <w:pPr>
        <w:spacing w:line="360" w:lineRule="auto"/>
        <w:jc w:val="both"/>
        <w:rPr>
          <w:rFonts w:ascii="Palatino Linotype" w:hAnsi="Palatino Linotype" w:cs="Arial"/>
        </w:rPr>
      </w:pPr>
      <w:r>
        <w:rPr>
          <w:rFonts w:ascii="Palatino Linotype" w:hAnsi="Palatino Linotype" w:cs="Arial"/>
        </w:rPr>
        <w:t>Adicionalmente, el Sujeto Obligado adjuntó el archivo electrónico denominado “</w:t>
      </w:r>
      <w:r w:rsidRPr="00826DA6">
        <w:rPr>
          <w:rFonts w:ascii="Palatino Linotype" w:hAnsi="Palatino Linotype" w:cs="Arial"/>
          <w:b/>
          <w:i/>
        </w:rPr>
        <w:t>Respuesta 01915_24.pdf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7E84F282" w14:textId="77777777" w:rsidR="00826DA6" w:rsidRDefault="00826DA6" w:rsidP="00826DA6">
      <w:pPr>
        <w:spacing w:line="360" w:lineRule="auto"/>
        <w:jc w:val="both"/>
        <w:rPr>
          <w:rFonts w:ascii="Palatino Linotype" w:hAnsi="Palatino Linotype" w:cs="Arial"/>
        </w:rPr>
      </w:pPr>
    </w:p>
    <w:p w14:paraId="4D586714" w14:textId="77777777" w:rsidR="00826DA6" w:rsidRPr="002C3EC8" w:rsidRDefault="00826DA6" w:rsidP="00826DA6">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53773BDD" w14:textId="5887F978" w:rsidR="00826DA6" w:rsidRDefault="00826DA6" w:rsidP="00826DA6">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 xml:space="preserve">veintiuno de septiembre de dos mil </w:t>
      </w:r>
      <w:r>
        <w:rPr>
          <w:rFonts w:ascii="Palatino Linotype" w:hAnsi="Palatino Linotype" w:cs="Arial"/>
          <w:b/>
        </w:rPr>
        <w:lastRenderedPageBreak/>
        <w:t>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1E3A47">
        <w:rPr>
          <w:rFonts w:ascii="Palatino Linotype" w:hAnsi="Palatino Linotype" w:cs="Arial"/>
          <w:b/>
          <w:bCs/>
        </w:rPr>
        <w:t>0</w:t>
      </w:r>
      <w:r>
        <w:rPr>
          <w:rFonts w:ascii="Palatino Linotype" w:hAnsi="Palatino Linotype" w:cs="Arial"/>
          <w:b/>
        </w:rPr>
        <w:t>5755/INFOEM/IP/RR/2024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20405FB5" w14:textId="77777777" w:rsidR="00826DA6" w:rsidRDefault="00826DA6" w:rsidP="00826DA6">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60A47519" w14:textId="77777777" w:rsidR="00826DA6" w:rsidRPr="007E4713" w:rsidRDefault="00826DA6" w:rsidP="00826DA6">
      <w:pPr>
        <w:pStyle w:val="INFOEM"/>
      </w:pPr>
      <w:r w:rsidRPr="007E4713">
        <w:t>“</w:t>
      </w:r>
      <w:r w:rsidRPr="00826DA6">
        <w:t>Falta de Información requerida</w:t>
      </w:r>
      <w:r>
        <w:t>” (sic)</w:t>
      </w:r>
    </w:p>
    <w:p w14:paraId="202D31D3" w14:textId="77777777" w:rsidR="00826DA6" w:rsidRPr="0033050B" w:rsidRDefault="00826DA6" w:rsidP="00826DA6">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00DD3B28" w14:textId="77777777" w:rsidR="00826DA6" w:rsidRDefault="00826DA6" w:rsidP="00826DA6">
      <w:pPr>
        <w:pStyle w:val="INFOEM"/>
      </w:pPr>
      <w:r>
        <w:t>“</w:t>
      </w:r>
      <w:r w:rsidRPr="00826DA6">
        <w:t xml:space="preserve">La falta de información requerida </w:t>
      </w:r>
      <w:proofErr w:type="spellStart"/>
      <w:r w:rsidRPr="00826DA6">
        <w:t>esta</w:t>
      </w:r>
      <w:proofErr w:type="spellEnd"/>
      <w:r w:rsidRPr="00826DA6">
        <w:t xml:space="preserve"> incompleta, ya que en el Presupuesto de Egresos del Ayuntamiento de Toluca existe un supuesto marcado como (Plaza/Puesto) con el (</w:t>
      </w:r>
      <w:proofErr w:type="spellStart"/>
      <w:r w:rsidRPr="00826DA6">
        <w:t>Numero</w:t>
      </w:r>
      <w:proofErr w:type="spellEnd"/>
      <w:r w:rsidRPr="00826DA6">
        <w:t xml:space="preserve"> de Plazas) y con las (Remuneraciones Brutas) establecidas en ese tabulador: (ANEXO 1) Donde marca que en el rubro de "Asesor A" tiene el mismo número de los "Regidores" siendo 12 en total y el rubro de "Asesor B" marca 23 siendo el doble menos uno marcado en el número del supuesto de "Regidores" ya mencionado; no obstante, si los Regidores son acreedores a que se les tabule sus ingresos brutos: (ANEXO ejercicio 2024) A sus asesores siendo empleados del ayuntamiento también deberían tener este mismo supuesto.</w:t>
      </w:r>
      <w:r>
        <w:t>” (</w:t>
      </w:r>
      <w:proofErr w:type="gramStart"/>
      <w:r>
        <w:t>sic</w:t>
      </w:r>
      <w:proofErr w:type="gramEnd"/>
      <w:r>
        <w:t>)</w:t>
      </w:r>
    </w:p>
    <w:p w14:paraId="4233164B" w14:textId="77777777" w:rsidR="00C44015" w:rsidRPr="009068C9" w:rsidRDefault="00C44015" w:rsidP="00826DA6">
      <w:pPr>
        <w:pStyle w:val="INFOEM"/>
      </w:pPr>
    </w:p>
    <w:p w14:paraId="3CEB0DE5" w14:textId="77777777" w:rsidR="00826DA6" w:rsidRDefault="00826DA6" w:rsidP="00826DA6">
      <w:pPr>
        <w:spacing w:line="360" w:lineRule="auto"/>
        <w:jc w:val="both"/>
        <w:rPr>
          <w:rFonts w:ascii="Palatino Linotype" w:hAnsi="Palatino Linotype" w:cs="Arial"/>
        </w:rPr>
      </w:pPr>
      <w:r>
        <w:rPr>
          <w:rFonts w:ascii="Palatino Linotype" w:hAnsi="Palatino Linotype" w:cs="Arial"/>
        </w:rPr>
        <w:t>Adicionalmente, el Recurrente adjuntó los archivos electrónicos denominados “</w:t>
      </w:r>
      <w:r>
        <w:rPr>
          <w:rFonts w:ascii="Palatino Linotype" w:hAnsi="Palatino Linotype" w:cs="Arial"/>
          <w:b/>
          <w:i/>
        </w:rPr>
        <w:t xml:space="preserve">ANEXO </w:t>
      </w:r>
      <w:r w:rsidRPr="00826DA6">
        <w:rPr>
          <w:rFonts w:ascii="Palatino Linotype" w:hAnsi="Palatino Linotype" w:cs="Arial"/>
          <w:b/>
          <w:i/>
        </w:rPr>
        <w:t>1.0 Plazas.docx</w:t>
      </w:r>
      <w:r>
        <w:rPr>
          <w:rFonts w:ascii="Palatino Linotype" w:hAnsi="Palatino Linotype" w:cs="Arial"/>
          <w:b/>
          <w:i/>
        </w:rPr>
        <w:t>” y “</w:t>
      </w:r>
      <w:r w:rsidRPr="00826DA6">
        <w:rPr>
          <w:rFonts w:ascii="Palatino Linotype" w:hAnsi="Palatino Linotype" w:cs="Arial"/>
          <w:b/>
          <w:i/>
        </w:rPr>
        <w:t xml:space="preserve">01916 </w:t>
      </w:r>
      <w:proofErr w:type="spellStart"/>
      <w:r w:rsidRPr="00826DA6">
        <w:rPr>
          <w:rFonts w:ascii="Palatino Linotype" w:hAnsi="Palatino Linotype" w:cs="Arial"/>
          <w:b/>
          <w:i/>
        </w:rPr>
        <w:t>ejerccio</w:t>
      </w:r>
      <w:proofErr w:type="spellEnd"/>
      <w:r w:rsidRPr="00826DA6">
        <w:rPr>
          <w:rFonts w:ascii="Palatino Linotype" w:hAnsi="Palatino Linotype" w:cs="Arial"/>
          <w:b/>
          <w:i/>
        </w:rPr>
        <w:t xml:space="preserve"> 2024 (1).</w:t>
      </w:r>
      <w:proofErr w:type="spellStart"/>
      <w:r w:rsidRPr="00826DA6">
        <w:rPr>
          <w:rFonts w:ascii="Palatino Linotype" w:hAnsi="Palatino Linotype" w:cs="Arial"/>
          <w:b/>
          <w:i/>
        </w:rPr>
        <w:t>pdf</w:t>
      </w:r>
      <w:proofErr w:type="spellEnd"/>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14:paraId="2080D68C" w14:textId="77777777" w:rsidR="00826DA6" w:rsidRDefault="00826DA6" w:rsidP="00826DA6">
      <w:pPr>
        <w:spacing w:line="360" w:lineRule="auto"/>
        <w:jc w:val="both"/>
        <w:rPr>
          <w:rFonts w:ascii="Palatino Linotype" w:hAnsi="Palatino Linotype" w:cs="Arial"/>
        </w:rPr>
      </w:pPr>
    </w:p>
    <w:p w14:paraId="36F04D2A" w14:textId="77777777" w:rsidR="000C53DB" w:rsidRDefault="000C53DB" w:rsidP="00826DA6">
      <w:pPr>
        <w:spacing w:line="360" w:lineRule="auto"/>
        <w:jc w:val="both"/>
        <w:rPr>
          <w:rFonts w:ascii="Palatino Linotype" w:hAnsi="Palatino Linotype" w:cs="Arial"/>
        </w:rPr>
      </w:pPr>
    </w:p>
    <w:p w14:paraId="3BCD0F56" w14:textId="77777777" w:rsidR="000C53DB" w:rsidRDefault="000C53DB" w:rsidP="00826DA6">
      <w:pPr>
        <w:spacing w:line="360" w:lineRule="auto"/>
        <w:jc w:val="both"/>
        <w:rPr>
          <w:rFonts w:ascii="Palatino Linotype" w:hAnsi="Palatino Linotype" w:cs="Arial"/>
        </w:rPr>
      </w:pPr>
    </w:p>
    <w:p w14:paraId="09B36FDC" w14:textId="77777777" w:rsidR="00826DA6" w:rsidRPr="002C3EC8" w:rsidRDefault="00826DA6" w:rsidP="00826DA6">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43D70AD6" w14:textId="77777777" w:rsidR="00826DA6" w:rsidRDefault="00826DA6" w:rsidP="00826DA6">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Pr>
          <w:rFonts w:ascii="Palatino Linotype" w:hAnsi="Palatino Linotype"/>
          <w:b/>
        </w:rPr>
        <w:t>veinticuatro de septiembre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2BC78B43" w14:textId="77777777" w:rsidR="00826DA6" w:rsidRPr="004C20B7" w:rsidRDefault="00826DA6" w:rsidP="00826DA6">
      <w:pPr>
        <w:spacing w:before="240" w:line="360" w:lineRule="auto"/>
        <w:jc w:val="both"/>
        <w:rPr>
          <w:rFonts w:ascii="Palatino Linotype" w:hAnsi="Palatino Linotype" w:cs="Arial"/>
          <w:sz w:val="28"/>
        </w:rPr>
      </w:pPr>
    </w:p>
    <w:p w14:paraId="213642D0" w14:textId="77777777" w:rsidR="00826DA6" w:rsidRPr="00E52C83" w:rsidRDefault="00826DA6" w:rsidP="00826DA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39ADE541" w14:textId="77777777" w:rsidR="00826DA6" w:rsidRDefault="00826DA6" w:rsidP="00826DA6">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5F40B139" w14:textId="77777777" w:rsidR="00826DA6" w:rsidRDefault="00826DA6" w:rsidP="00826DA6">
      <w:pPr>
        <w:spacing w:line="360" w:lineRule="auto"/>
        <w:jc w:val="both"/>
        <w:rPr>
          <w:rFonts w:ascii="Palatino Linotype" w:hAnsi="Palatino Linotype" w:cs="Arial"/>
          <w:b/>
          <w:sz w:val="28"/>
          <w:szCs w:val="28"/>
        </w:rPr>
      </w:pPr>
    </w:p>
    <w:p w14:paraId="4FDBC3E7" w14:textId="77777777" w:rsidR="00826DA6" w:rsidRPr="002C3EC8" w:rsidRDefault="00826DA6" w:rsidP="00826DA6">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3CF759D9" w14:textId="77777777" w:rsidR="00826DA6" w:rsidRDefault="00826DA6" w:rsidP="00826DA6">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Pr>
          <w:rFonts w:ascii="Palatino Linotype" w:hAnsi="Palatino Linotype" w:cs="Arial"/>
          <w:b/>
        </w:rPr>
        <w:t>catorce de octubre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783EA701" w14:textId="77777777" w:rsidR="00826DA6" w:rsidRDefault="00826DA6" w:rsidP="00826DA6">
      <w:pPr>
        <w:spacing w:line="360" w:lineRule="auto"/>
        <w:jc w:val="both"/>
        <w:rPr>
          <w:rFonts w:ascii="Palatino Linotype" w:hAnsi="Palatino Linotype" w:cs="Arial"/>
          <w:b/>
          <w:sz w:val="28"/>
          <w:szCs w:val="28"/>
        </w:rPr>
      </w:pPr>
    </w:p>
    <w:p w14:paraId="1699D504" w14:textId="77777777" w:rsidR="00826DA6" w:rsidRPr="0024200F" w:rsidRDefault="00826DA6" w:rsidP="00826DA6">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68DB37A" w14:textId="77777777" w:rsidR="00826DA6" w:rsidRPr="00825F67" w:rsidRDefault="00826DA6" w:rsidP="00826DA6">
      <w:pPr>
        <w:spacing w:line="360" w:lineRule="auto"/>
        <w:ind w:right="49"/>
        <w:jc w:val="both"/>
        <w:rPr>
          <w:rFonts w:ascii="Palatino Linotype" w:hAnsi="Palatino Linotype"/>
          <w:szCs w:val="28"/>
        </w:rPr>
      </w:pPr>
    </w:p>
    <w:p w14:paraId="252B0B91" w14:textId="77777777" w:rsidR="00826DA6" w:rsidRPr="002C3EC8" w:rsidRDefault="00826DA6" w:rsidP="00826DA6">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7F676EA6" w14:textId="77777777" w:rsidR="00826DA6" w:rsidRPr="007C6AB6" w:rsidRDefault="00826DA6" w:rsidP="00826DA6">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E0CC041" w14:textId="77777777" w:rsidR="00826DA6" w:rsidRPr="002C3EC8" w:rsidRDefault="00826DA6" w:rsidP="00826DA6">
      <w:pPr>
        <w:spacing w:before="240" w:line="360" w:lineRule="auto"/>
        <w:jc w:val="both"/>
        <w:rPr>
          <w:rFonts w:ascii="Palatino Linotype" w:eastAsia="Calibri" w:hAnsi="Palatino Linotype"/>
          <w:b/>
          <w:color w:val="000000" w:themeColor="text1"/>
        </w:rPr>
      </w:pPr>
    </w:p>
    <w:p w14:paraId="0A385176" w14:textId="77777777" w:rsidR="00826DA6" w:rsidRPr="002C3EC8" w:rsidRDefault="00826DA6" w:rsidP="00826DA6">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2D99D929" w14:textId="77777777" w:rsidR="00826DA6" w:rsidRDefault="00826DA6" w:rsidP="00826DA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2C3EC8">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14:paraId="022CC3B4" w14:textId="77777777" w:rsidR="00826DA6" w:rsidRPr="00FF46DA" w:rsidRDefault="00826DA6" w:rsidP="00826DA6">
      <w:pPr>
        <w:pStyle w:val="Prrafodelista"/>
        <w:autoSpaceDE w:val="0"/>
        <w:autoSpaceDN w:val="0"/>
        <w:adjustRightInd w:val="0"/>
        <w:spacing w:before="240" w:after="160" w:line="360" w:lineRule="auto"/>
        <w:ind w:left="0"/>
        <w:jc w:val="both"/>
        <w:rPr>
          <w:rFonts w:ascii="Palatino Linotype" w:hAnsi="Palatino Linotype" w:cs="Arial"/>
        </w:rPr>
      </w:pPr>
    </w:p>
    <w:p w14:paraId="0A5C80A6" w14:textId="77777777" w:rsidR="00826DA6" w:rsidRPr="002C3EC8" w:rsidRDefault="00826DA6" w:rsidP="00826DA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19C012E3" w14:textId="77777777" w:rsidR="00826DA6" w:rsidRPr="002C3EC8" w:rsidRDefault="00826DA6" w:rsidP="00826DA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8A149DF" w14:textId="77777777" w:rsidR="00826DA6" w:rsidRPr="002C3EC8" w:rsidRDefault="00826DA6" w:rsidP="00826DA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5E9BE28A" w14:textId="77777777" w:rsidR="00826DA6" w:rsidRDefault="00826DA6" w:rsidP="00826DA6">
      <w:pPr>
        <w:tabs>
          <w:tab w:val="left" w:pos="709"/>
        </w:tabs>
        <w:spacing w:before="240" w:line="360" w:lineRule="auto"/>
        <w:ind w:right="51"/>
        <w:jc w:val="both"/>
        <w:rPr>
          <w:rFonts w:ascii="Palatino Linotype" w:hAnsi="Palatino Linotype"/>
          <w:b/>
          <w:sz w:val="28"/>
          <w:szCs w:val="28"/>
        </w:rPr>
      </w:pPr>
    </w:p>
    <w:p w14:paraId="1D4EA75E" w14:textId="77777777" w:rsidR="00826DA6" w:rsidRPr="002C3EC8" w:rsidRDefault="00826DA6" w:rsidP="00826DA6">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6D7795D1" w14:textId="77777777" w:rsidR="00826DA6" w:rsidRPr="007379EE" w:rsidRDefault="00826DA6" w:rsidP="00826DA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FBB5682" w14:textId="77777777" w:rsidR="00826DA6" w:rsidRDefault="00826DA6" w:rsidP="00826DA6">
      <w:pPr>
        <w:autoSpaceDE w:val="0"/>
        <w:autoSpaceDN w:val="0"/>
        <w:adjustRightInd w:val="0"/>
        <w:ind w:left="567" w:right="567"/>
        <w:jc w:val="right"/>
        <w:rPr>
          <w:rFonts w:ascii="Palatino Linotype" w:eastAsia="Calibri" w:hAnsi="Palatino Linotype" w:cs="Arial"/>
        </w:rPr>
      </w:pPr>
    </w:p>
    <w:p w14:paraId="70F27C23" w14:textId="77777777" w:rsidR="00826DA6" w:rsidRDefault="00826DA6" w:rsidP="00826DA6">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21912C6C" w14:textId="77777777" w:rsidR="00826DA6" w:rsidRDefault="00826DA6" w:rsidP="00826DA6">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lastRenderedPageBreak/>
        <w:t>N</w:t>
      </w:r>
      <w:r w:rsidRPr="00826DA6">
        <w:rPr>
          <w:rFonts w:ascii="Palatino Linotype" w:hAnsi="Palatino Linotype" w:cs="Tahoma"/>
          <w:bCs/>
        </w:rPr>
        <w:t xml:space="preserve">úmero de asesores que tienen a su disposición y que se encuentran laborando en </w:t>
      </w:r>
      <w:r w:rsidR="00F03E42">
        <w:rPr>
          <w:rFonts w:ascii="Palatino Linotype" w:hAnsi="Palatino Linotype" w:cs="Tahoma"/>
          <w:bCs/>
        </w:rPr>
        <w:t>los</w:t>
      </w:r>
      <w:r w:rsidRPr="00826DA6">
        <w:rPr>
          <w:rFonts w:ascii="Palatino Linotype" w:hAnsi="Palatino Linotype" w:cs="Tahoma"/>
          <w:bCs/>
        </w:rPr>
        <w:t xml:space="preserve"> equipos de trabajo de los regidores de la actual administración edilicia 2022 - </w:t>
      </w:r>
      <w:r>
        <w:rPr>
          <w:rFonts w:ascii="Palatino Linotype" w:hAnsi="Palatino Linotype" w:cs="Tahoma"/>
          <w:bCs/>
        </w:rPr>
        <w:t>2024 del Ayuntamiento de Toluca</w:t>
      </w:r>
    </w:p>
    <w:p w14:paraId="5961FFAD" w14:textId="77777777" w:rsidR="00826DA6" w:rsidRDefault="00826DA6" w:rsidP="00826DA6">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M</w:t>
      </w:r>
      <w:r w:rsidRPr="00826DA6">
        <w:rPr>
          <w:rFonts w:ascii="Palatino Linotype" w:hAnsi="Palatino Linotype" w:cs="Tahoma"/>
          <w:bCs/>
        </w:rPr>
        <w:t>onto desglosado de todas las ganancias brutas tanto quincenales como mensuales y anuales al corte de caja de está presente solicitud</w:t>
      </w:r>
      <w:r w:rsidR="00F03E42">
        <w:rPr>
          <w:rFonts w:ascii="Palatino Linotype" w:hAnsi="Palatino Linotype" w:cs="Tahoma"/>
          <w:bCs/>
        </w:rPr>
        <w:t>.</w:t>
      </w:r>
    </w:p>
    <w:p w14:paraId="1F9A84E3" w14:textId="77777777" w:rsidR="00826DA6" w:rsidRPr="00BE61FC" w:rsidRDefault="00826DA6" w:rsidP="00826DA6">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S</w:t>
      </w:r>
      <w:r w:rsidRPr="00826DA6">
        <w:rPr>
          <w:rFonts w:ascii="Palatino Linotype" w:hAnsi="Palatino Linotype" w:cs="Tahoma"/>
          <w:bCs/>
        </w:rPr>
        <w:t xml:space="preserve">eñale si </w:t>
      </w:r>
      <w:r w:rsidR="00E42438">
        <w:rPr>
          <w:rFonts w:ascii="Palatino Linotype" w:hAnsi="Palatino Linotype" w:cs="Tahoma"/>
          <w:bCs/>
        </w:rPr>
        <w:t xml:space="preserve">los asesores </w:t>
      </w:r>
      <w:r w:rsidRPr="00826DA6">
        <w:rPr>
          <w:rFonts w:ascii="Palatino Linotype" w:hAnsi="Palatino Linotype" w:cs="Tahoma"/>
          <w:bCs/>
        </w:rPr>
        <w:t>están cobrando bajo la nómina del ayuntamiento o si se les está pagando directamente de la nómina que maneja cada regidor.</w:t>
      </w:r>
    </w:p>
    <w:p w14:paraId="05E8C7AB" w14:textId="77777777" w:rsidR="00826DA6" w:rsidRPr="001106D5" w:rsidRDefault="00826DA6" w:rsidP="00826DA6">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01915/TOLUCA/IP/2024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4E409E5F" w14:textId="77777777" w:rsidR="00826DA6" w:rsidRPr="00A2631F" w:rsidRDefault="00E42438" w:rsidP="00E42438">
      <w:pPr>
        <w:pStyle w:val="Sinespaciado"/>
        <w:numPr>
          <w:ilvl w:val="0"/>
          <w:numId w:val="1"/>
        </w:numPr>
        <w:spacing w:before="240" w:line="360" w:lineRule="auto"/>
        <w:jc w:val="both"/>
        <w:rPr>
          <w:rFonts w:ascii="Palatino Linotype" w:hAnsi="Palatino Linotype" w:cs="Arial"/>
          <w:b/>
          <w:i/>
          <w:sz w:val="24"/>
        </w:rPr>
      </w:pPr>
      <w:r w:rsidRPr="00E42438">
        <w:rPr>
          <w:rFonts w:ascii="Palatino Linotype" w:hAnsi="Palatino Linotype" w:cs="Arial"/>
          <w:b/>
          <w:i/>
          <w:sz w:val="24"/>
        </w:rPr>
        <w:t>Respuesta 01915_24.pdf</w:t>
      </w:r>
      <w:r w:rsidR="00826DA6">
        <w:rPr>
          <w:rFonts w:ascii="Palatino Linotype" w:hAnsi="Palatino Linotype" w:cs="Arial"/>
          <w:b/>
          <w:i/>
          <w:sz w:val="24"/>
        </w:rPr>
        <w:t xml:space="preserve">: </w:t>
      </w:r>
      <w:r>
        <w:rPr>
          <w:rFonts w:ascii="Palatino Linotype" w:hAnsi="Palatino Linotype" w:cs="Arial"/>
          <w:sz w:val="24"/>
        </w:rPr>
        <w:t>constante de dos</w:t>
      </w:r>
      <w:r w:rsidR="00826DA6">
        <w:rPr>
          <w:rFonts w:ascii="Palatino Linotype" w:hAnsi="Palatino Linotype" w:cs="Arial"/>
          <w:sz w:val="24"/>
        </w:rPr>
        <w:t xml:space="preserve"> foja</w:t>
      </w:r>
      <w:r>
        <w:rPr>
          <w:rFonts w:ascii="Palatino Linotype" w:hAnsi="Palatino Linotype" w:cs="Arial"/>
          <w:sz w:val="24"/>
        </w:rPr>
        <w:t>s</w:t>
      </w:r>
      <w:r w:rsidR="00826DA6">
        <w:rPr>
          <w:rFonts w:ascii="Palatino Linotype" w:hAnsi="Palatino Linotype" w:cs="Arial"/>
          <w:sz w:val="24"/>
        </w:rPr>
        <w:t xml:space="preserve">, en formato </w:t>
      </w:r>
      <w:proofErr w:type="spellStart"/>
      <w:r w:rsidR="00826DA6">
        <w:rPr>
          <w:rFonts w:ascii="Palatino Linotype" w:hAnsi="Palatino Linotype" w:cs="Arial"/>
          <w:sz w:val="24"/>
        </w:rPr>
        <w:t>pdf</w:t>
      </w:r>
      <w:proofErr w:type="spellEnd"/>
      <w:r w:rsidR="00826DA6">
        <w:rPr>
          <w:rFonts w:ascii="Palatino Linotype" w:hAnsi="Palatino Linotype" w:cs="Arial"/>
          <w:sz w:val="24"/>
        </w:rPr>
        <w:t xml:space="preserve">, contiene </w:t>
      </w:r>
      <w:r>
        <w:rPr>
          <w:rFonts w:ascii="Palatino Linotype" w:hAnsi="Palatino Linotype" w:cs="Arial"/>
          <w:sz w:val="24"/>
        </w:rPr>
        <w:t>la respuesta a la solicitud de información, firmada por la Titular de la Unidad de Transparencia</w:t>
      </w:r>
      <w:r w:rsidR="00826DA6">
        <w:rPr>
          <w:rFonts w:ascii="Palatino Linotype" w:hAnsi="Palatino Linotype" w:cs="Arial"/>
          <w:sz w:val="24"/>
        </w:rPr>
        <w:t>, en el que refiere lo siguiente:</w:t>
      </w:r>
    </w:p>
    <w:p w14:paraId="200885A5" w14:textId="77777777" w:rsidR="00E42438" w:rsidRDefault="00E42438" w:rsidP="00E42438">
      <w:pPr>
        <w:pStyle w:val="INFOEM"/>
      </w:pPr>
      <w:r>
        <w:t>“… hago de su conocimiento que la Dirección General de Administració</w:t>
      </w:r>
      <w:r w:rsidR="0009585F">
        <w:t xml:space="preserve">n y Servidos Público Habilitado, informó a la que suscribe que la Dirección de Recursos Humanos después de una búsqueda exhaustiva y razonable en los archivos que guarda el Departamento de Nómina, </w:t>
      </w:r>
      <w:r w:rsidR="0009585F" w:rsidRPr="0009585F">
        <w:rPr>
          <w:b/>
        </w:rPr>
        <w:t xml:space="preserve">informa que </w:t>
      </w:r>
      <w:r w:rsidR="0009585F" w:rsidRPr="0009585F">
        <w:rPr>
          <w:b/>
          <w:u w:val="single"/>
        </w:rPr>
        <w:t>nominalmente los Regidores no cuentan con asesores dentro de sus equipos de trabajo</w:t>
      </w:r>
      <w:r w:rsidR="0009585F" w:rsidRPr="0009585F">
        <w:rPr>
          <w:b/>
        </w:rPr>
        <w:t xml:space="preserve">, por lo que, </w:t>
      </w:r>
      <w:r w:rsidR="0009585F" w:rsidRPr="0009585F">
        <w:rPr>
          <w:b/>
          <w:u w:val="single"/>
        </w:rPr>
        <w:t>no existe monto desglosado de ganancias brutas quincenales, mensuales y/o anuales de Asesores dentro de las Regidurías,</w:t>
      </w:r>
      <w:r w:rsidR="0009585F">
        <w:t xml:space="preserve"> por no haberlo generado, poseído o administrado. </w:t>
      </w:r>
      <w:r>
        <w:t xml:space="preserve"> </w:t>
      </w:r>
    </w:p>
    <w:p w14:paraId="01FBCA56" w14:textId="77777777" w:rsidR="00826DA6" w:rsidRPr="00A2631F" w:rsidRDefault="00826DA6" w:rsidP="00826DA6">
      <w:pPr>
        <w:pStyle w:val="INFOEM"/>
        <w:rPr>
          <w:rFonts w:cs="Arial"/>
          <w:b/>
          <w:sz w:val="24"/>
        </w:rPr>
      </w:pPr>
      <w:r>
        <w:t>(…)” (Sic)</w:t>
      </w:r>
    </w:p>
    <w:p w14:paraId="338DEBFB" w14:textId="77777777" w:rsidR="00826DA6" w:rsidRDefault="00826DA6" w:rsidP="00826DA6">
      <w:pPr>
        <w:spacing w:line="360" w:lineRule="auto"/>
        <w:jc w:val="both"/>
        <w:rPr>
          <w:rFonts w:ascii="Palatino Linotype" w:hAnsi="Palatino Linotype" w:cs="Arial"/>
          <w:bCs/>
        </w:rPr>
      </w:pPr>
    </w:p>
    <w:p w14:paraId="66A2D280" w14:textId="77777777" w:rsidR="00826DA6" w:rsidRDefault="00826DA6" w:rsidP="00826DA6">
      <w:pPr>
        <w:spacing w:line="360" w:lineRule="auto"/>
        <w:jc w:val="both"/>
        <w:rPr>
          <w:rFonts w:ascii="Palatino Linotype" w:hAnsi="Palatino Linotype"/>
          <w:i/>
        </w:rPr>
      </w:pPr>
      <w:r w:rsidRPr="00124BFD">
        <w:rPr>
          <w:rFonts w:ascii="Palatino Linotype" w:hAnsi="Palatino Linotype" w:cs="Arial"/>
          <w:bCs/>
        </w:rPr>
        <w:lastRenderedPageBreak/>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09585F" w:rsidRPr="0009585F">
        <w:rPr>
          <w:rFonts w:ascii="Palatino Linotype" w:hAnsi="Palatino Linotype"/>
          <w:i/>
        </w:rPr>
        <w:t xml:space="preserve">La falta de información requerida </w:t>
      </w:r>
      <w:proofErr w:type="spellStart"/>
      <w:r w:rsidR="0009585F" w:rsidRPr="0009585F">
        <w:rPr>
          <w:rFonts w:ascii="Palatino Linotype" w:hAnsi="Palatino Linotype"/>
          <w:i/>
        </w:rPr>
        <w:t>esta</w:t>
      </w:r>
      <w:proofErr w:type="spellEnd"/>
      <w:r w:rsidR="0009585F" w:rsidRPr="0009585F">
        <w:rPr>
          <w:rFonts w:ascii="Palatino Linotype" w:hAnsi="Palatino Linotype"/>
          <w:i/>
        </w:rPr>
        <w:t xml:space="preserve"> incompleta, ya que en el Presupuesto de Egresos del Ayuntamiento de Toluca existe un supuesto marcado como (Plaza/Puesto) con el (</w:t>
      </w:r>
      <w:proofErr w:type="spellStart"/>
      <w:r w:rsidR="0009585F" w:rsidRPr="0009585F">
        <w:rPr>
          <w:rFonts w:ascii="Palatino Linotype" w:hAnsi="Palatino Linotype"/>
          <w:i/>
        </w:rPr>
        <w:t>Numero</w:t>
      </w:r>
      <w:proofErr w:type="spellEnd"/>
      <w:r w:rsidR="0009585F" w:rsidRPr="0009585F">
        <w:rPr>
          <w:rFonts w:ascii="Palatino Linotype" w:hAnsi="Palatino Linotype"/>
          <w:i/>
        </w:rPr>
        <w:t xml:space="preserve"> de Plazas) y con las (Remuneraciones Brutas) establecidas en ese tabulador: (ANEXO 1) Donde marca que en el rubro de "Asesor A" tiene el mismo número de los "Regidores" siendo 12 en total y el rubro de "Asesor B" marca 23 siendo el doble menos uno marcado en el número del supuesto de "Regidores" ya mencionado; no obstante, si los Regidores son acreedores a que se les tabule sus ingresos brutos: (ANEXO ejercicio 2024) A sus asesores siendo empleados del ayuntamiento también deberían tener este mismo supuesto.</w:t>
      </w:r>
      <w:r>
        <w:rPr>
          <w:rFonts w:ascii="Palatino Linotype" w:hAnsi="Palatino Linotype"/>
          <w:i/>
        </w:rPr>
        <w:t>” (Sic).</w:t>
      </w:r>
    </w:p>
    <w:p w14:paraId="0F7272F0" w14:textId="77777777" w:rsidR="00826DA6" w:rsidRDefault="00826DA6" w:rsidP="00826DA6">
      <w:pPr>
        <w:spacing w:line="360" w:lineRule="auto"/>
        <w:jc w:val="both"/>
        <w:rPr>
          <w:rFonts w:ascii="Palatino Linotype" w:hAnsi="Palatino Linotype"/>
          <w:i/>
        </w:rPr>
      </w:pPr>
    </w:p>
    <w:p w14:paraId="34B00D06" w14:textId="77777777" w:rsidR="0009585F" w:rsidRDefault="0009585F" w:rsidP="00826DA6">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Pr>
          <w:rFonts w:ascii="Palatino Linotype" w:eastAsia="Calibri" w:hAnsi="Palatino Linotype" w:cs="Calibri"/>
          <w:lang w:val="es-ES_tradnl" w:eastAsia="es-MX"/>
        </w:rPr>
        <w:t>El recurrente adjunto los siguientes archivos electrónicos:</w:t>
      </w:r>
    </w:p>
    <w:p w14:paraId="60F05C9F" w14:textId="77777777" w:rsidR="0009585F" w:rsidRDefault="0009585F" w:rsidP="0009585F">
      <w:pPr>
        <w:pStyle w:val="Prrafodelista"/>
        <w:numPr>
          <w:ilvl w:val="0"/>
          <w:numId w:val="8"/>
        </w:numPr>
        <w:pBdr>
          <w:top w:val="nil"/>
          <w:left w:val="nil"/>
          <w:bottom w:val="nil"/>
          <w:right w:val="nil"/>
          <w:between w:val="nil"/>
        </w:pBdr>
        <w:spacing w:line="360" w:lineRule="auto"/>
        <w:contextualSpacing/>
        <w:jc w:val="both"/>
        <w:rPr>
          <w:rFonts w:ascii="Palatino Linotype" w:eastAsia="Calibri" w:hAnsi="Palatino Linotype" w:cs="Calibri"/>
          <w:b/>
          <w:i/>
          <w:lang w:val="es-ES_tradnl" w:eastAsia="es-MX"/>
        </w:rPr>
      </w:pPr>
      <w:r w:rsidRPr="0009585F">
        <w:rPr>
          <w:rFonts w:ascii="Palatino Linotype" w:eastAsia="Calibri" w:hAnsi="Palatino Linotype" w:cs="Calibri"/>
          <w:b/>
          <w:i/>
          <w:lang w:val="es-ES_tradnl" w:eastAsia="es-MX"/>
        </w:rPr>
        <w:t>ANEXO 1.0 Plazas.docx</w:t>
      </w:r>
      <w:r>
        <w:rPr>
          <w:rFonts w:ascii="Palatino Linotype" w:eastAsia="Calibri" w:hAnsi="Palatino Linotype" w:cs="Calibri"/>
          <w:b/>
          <w:i/>
          <w:lang w:val="es-ES_tradnl" w:eastAsia="es-MX"/>
        </w:rPr>
        <w:t>:</w:t>
      </w:r>
    </w:p>
    <w:p w14:paraId="001E1782" w14:textId="77777777" w:rsidR="001F7441" w:rsidRPr="0009585F" w:rsidRDefault="001F7441" w:rsidP="001F7441">
      <w:pPr>
        <w:pStyle w:val="Prrafodelista"/>
        <w:pBdr>
          <w:top w:val="nil"/>
          <w:left w:val="nil"/>
          <w:bottom w:val="nil"/>
          <w:right w:val="nil"/>
          <w:between w:val="nil"/>
        </w:pBdr>
        <w:spacing w:line="360" w:lineRule="auto"/>
        <w:ind w:left="720"/>
        <w:contextualSpacing/>
        <w:jc w:val="center"/>
        <w:rPr>
          <w:rFonts w:ascii="Palatino Linotype" w:eastAsia="Calibri" w:hAnsi="Palatino Linotype" w:cs="Calibri"/>
          <w:b/>
          <w:i/>
          <w:lang w:val="es-ES_tradnl" w:eastAsia="es-MX"/>
        </w:rPr>
      </w:pPr>
      <w:r>
        <w:rPr>
          <w:rFonts w:ascii="Palatino Linotype" w:eastAsia="Calibri" w:hAnsi="Palatino Linotype" w:cs="Calibri"/>
          <w:b/>
          <w:i/>
          <w:noProof/>
          <w:lang w:val="es-MX" w:eastAsia="es-MX"/>
        </w:rPr>
        <w:drawing>
          <wp:inline distT="0" distB="0" distL="0" distR="0" wp14:anchorId="332B3755" wp14:editId="1BF686B5">
            <wp:extent cx="3629025" cy="2703624"/>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143491.tmp"/>
                    <pic:cNvPicPr/>
                  </pic:nvPicPr>
                  <pic:blipFill>
                    <a:blip r:embed="rId7">
                      <a:extLst>
                        <a:ext uri="{28A0092B-C50C-407E-A947-70E740481C1C}">
                          <a14:useLocalDpi xmlns:a14="http://schemas.microsoft.com/office/drawing/2010/main" val="0"/>
                        </a:ext>
                      </a:extLst>
                    </a:blip>
                    <a:stretch>
                      <a:fillRect/>
                    </a:stretch>
                  </pic:blipFill>
                  <pic:spPr>
                    <a:xfrm>
                      <a:off x="0" y="0"/>
                      <a:ext cx="3640911" cy="2712479"/>
                    </a:xfrm>
                    <a:prstGeom prst="rect">
                      <a:avLst/>
                    </a:prstGeom>
                  </pic:spPr>
                </pic:pic>
              </a:graphicData>
            </a:graphic>
          </wp:inline>
        </w:drawing>
      </w:r>
    </w:p>
    <w:p w14:paraId="1D787E3E" w14:textId="77777777" w:rsidR="0009585F" w:rsidRDefault="0009585F" w:rsidP="0009585F">
      <w:pPr>
        <w:pStyle w:val="Prrafodelista"/>
        <w:numPr>
          <w:ilvl w:val="0"/>
          <w:numId w:val="8"/>
        </w:numPr>
        <w:pBdr>
          <w:top w:val="nil"/>
          <w:left w:val="nil"/>
          <w:bottom w:val="nil"/>
          <w:right w:val="nil"/>
          <w:between w:val="nil"/>
        </w:pBdr>
        <w:spacing w:line="360" w:lineRule="auto"/>
        <w:contextualSpacing/>
        <w:jc w:val="both"/>
        <w:rPr>
          <w:rFonts w:ascii="Palatino Linotype" w:eastAsia="Calibri" w:hAnsi="Palatino Linotype" w:cs="Calibri"/>
          <w:b/>
          <w:i/>
          <w:lang w:val="es-ES_tradnl" w:eastAsia="es-MX"/>
        </w:rPr>
      </w:pPr>
      <w:r w:rsidRPr="0009585F">
        <w:rPr>
          <w:rFonts w:ascii="Palatino Linotype" w:eastAsia="Calibri" w:hAnsi="Palatino Linotype" w:cs="Calibri"/>
          <w:b/>
          <w:i/>
          <w:lang w:val="es-ES_tradnl" w:eastAsia="es-MX"/>
        </w:rPr>
        <w:t xml:space="preserve">01916 </w:t>
      </w:r>
      <w:proofErr w:type="spellStart"/>
      <w:r w:rsidRPr="0009585F">
        <w:rPr>
          <w:rFonts w:ascii="Palatino Linotype" w:eastAsia="Calibri" w:hAnsi="Palatino Linotype" w:cs="Calibri"/>
          <w:b/>
          <w:i/>
          <w:lang w:val="es-ES_tradnl" w:eastAsia="es-MX"/>
        </w:rPr>
        <w:t>ejerccio</w:t>
      </w:r>
      <w:proofErr w:type="spellEnd"/>
      <w:r w:rsidRPr="0009585F">
        <w:rPr>
          <w:rFonts w:ascii="Palatino Linotype" w:eastAsia="Calibri" w:hAnsi="Palatino Linotype" w:cs="Calibri"/>
          <w:b/>
          <w:i/>
          <w:lang w:val="es-ES_tradnl" w:eastAsia="es-MX"/>
        </w:rPr>
        <w:t xml:space="preserve"> 2024 (1).</w:t>
      </w:r>
      <w:proofErr w:type="spellStart"/>
      <w:r w:rsidRPr="0009585F">
        <w:rPr>
          <w:rFonts w:ascii="Palatino Linotype" w:eastAsia="Calibri" w:hAnsi="Palatino Linotype" w:cs="Calibri"/>
          <w:b/>
          <w:i/>
          <w:lang w:val="es-ES_tradnl" w:eastAsia="es-MX"/>
        </w:rPr>
        <w:t>pdf</w:t>
      </w:r>
      <w:proofErr w:type="spellEnd"/>
      <w:r>
        <w:rPr>
          <w:rFonts w:ascii="Palatino Linotype" w:eastAsia="Calibri" w:hAnsi="Palatino Linotype" w:cs="Calibri"/>
          <w:b/>
          <w:i/>
          <w:lang w:val="es-ES_tradnl" w:eastAsia="es-MX"/>
        </w:rPr>
        <w:t>:</w:t>
      </w:r>
    </w:p>
    <w:p w14:paraId="328FC3DA" w14:textId="77777777" w:rsidR="0009585F" w:rsidRDefault="0009585F" w:rsidP="0009585F">
      <w:pPr>
        <w:pStyle w:val="Prrafodelista"/>
        <w:pBdr>
          <w:top w:val="nil"/>
          <w:left w:val="nil"/>
          <w:bottom w:val="nil"/>
          <w:right w:val="nil"/>
          <w:between w:val="nil"/>
        </w:pBdr>
        <w:spacing w:line="360" w:lineRule="auto"/>
        <w:ind w:left="720"/>
        <w:contextualSpacing/>
        <w:jc w:val="both"/>
        <w:rPr>
          <w:rFonts w:ascii="Palatino Linotype" w:eastAsia="Calibri" w:hAnsi="Palatino Linotype" w:cs="Calibri"/>
          <w:b/>
          <w:i/>
          <w:lang w:val="es-ES_tradnl" w:eastAsia="es-MX"/>
        </w:rPr>
      </w:pPr>
      <w:r>
        <w:rPr>
          <w:rFonts w:ascii="Palatino Linotype" w:eastAsia="Calibri" w:hAnsi="Palatino Linotype" w:cs="Calibri"/>
          <w:b/>
          <w:i/>
          <w:noProof/>
          <w:lang w:val="es-MX" w:eastAsia="es-MX"/>
        </w:rPr>
        <w:lastRenderedPageBreak/>
        <mc:AlternateContent>
          <mc:Choice Requires="wps">
            <w:drawing>
              <wp:anchor distT="0" distB="0" distL="114300" distR="114300" simplePos="0" relativeHeight="251659264" behindDoc="0" locked="0" layoutInCell="1" allowOverlap="1" wp14:anchorId="5B9A8486" wp14:editId="51DB006A">
                <wp:simplePos x="0" y="0"/>
                <wp:positionH relativeFrom="column">
                  <wp:posOffset>510540</wp:posOffset>
                </wp:positionH>
                <wp:positionV relativeFrom="paragraph">
                  <wp:posOffset>303530</wp:posOffset>
                </wp:positionV>
                <wp:extent cx="1219200" cy="638175"/>
                <wp:effectExtent l="19050" t="19050" r="19050" b="28575"/>
                <wp:wrapNone/>
                <wp:docPr id="9" name="Rectángulo 9"/>
                <wp:cNvGraphicFramePr/>
                <a:graphic xmlns:a="http://schemas.openxmlformats.org/drawingml/2006/main">
                  <a:graphicData uri="http://schemas.microsoft.com/office/word/2010/wordprocessingShape">
                    <wps:wsp>
                      <wps:cNvSpPr/>
                      <wps:spPr>
                        <a:xfrm>
                          <a:off x="0" y="0"/>
                          <a:ext cx="1219200" cy="6381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B1E4748" id="Rectángulo 9" o:spid="_x0000_s1026" style="position:absolute;margin-left:40.2pt;margin-top:23.9pt;width:9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" filled="f" strokecolor="red" strokeweight="3pt"/>
            </w:pict>
          </mc:Fallback>
        </mc:AlternateContent>
      </w:r>
      <w:r>
        <w:rPr>
          <w:rFonts w:ascii="Palatino Linotype" w:eastAsia="Calibri" w:hAnsi="Palatino Linotype" w:cs="Calibri"/>
          <w:b/>
          <w:i/>
          <w:noProof/>
          <w:lang w:val="es-MX" w:eastAsia="es-MX"/>
        </w:rPr>
        <w:drawing>
          <wp:inline distT="0" distB="0" distL="0" distR="0" wp14:anchorId="59ABC663" wp14:editId="2DE6A2AD">
            <wp:extent cx="4969891" cy="9906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47EE9.tmp"/>
                    <pic:cNvPicPr/>
                  </pic:nvPicPr>
                  <pic:blipFill>
                    <a:blip r:embed="rId8">
                      <a:extLst>
                        <a:ext uri="{28A0092B-C50C-407E-A947-70E740481C1C}">
                          <a14:useLocalDpi xmlns:a14="http://schemas.microsoft.com/office/drawing/2010/main" val="0"/>
                        </a:ext>
                      </a:extLst>
                    </a:blip>
                    <a:stretch>
                      <a:fillRect/>
                    </a:stretch>
                  </pic:blipFill>
                  <pic:spPr>
                    <a:xfrm>
                      <a:off x="0" y="0"/>
                      <a:ext cx="5019451" cy="1000478"/>
                    </a:xfrm>
                    <a:prstGeom prst="rect">
                      <a:avLst/>
                    </a:prstGeom>
                  </pic:spPr>
                </pic:pic>
              </a:graphicData>
            </a:graphic>
          </wp:inline>
        </w:drawing>
      </w:r>
    </w:p>
    <w:p w14:paraId="50595451" w14:textId="77777777" w:rsidR="0009585F" w:rsidRPr="0009585F" w:rsidRDefault="0009585F" w:rsidP="00DE27AA">
      <w:pPr>
        <w:pStyle w:val="Prrafodelista"/>
        <w:pBdr>
          <w:top w:val="nil"/>
          <w:left w:val="nil"/>
          <w:bottom w:val="nil"/>
          <w:right w:val="nil"/>
          <w:between w:val="nil"/>
        </w:pBdr>
        <w:spacing w:line="360" w:lineRule="auto"/>
        <w:ind w:left="720"/>
        <w:contextualSpacing/>
        <w:jc w:val="center"/>
        <w:rPr>
          <w:rFonts w:ascii="Palatino Linotype" w:eastAsia="Calibri" w:hAnsi="Palatino Linotype" w:cs="Calibri"/>
          <w:b/>
          <w:i/>
          <w:lang w:val="es-ES_tradnl" w:eastAsia="es-MX"/>
        </w:rPr>
      </w:pPr>
      <w:r>
        <w:rPr>
          <w:rFonts w:ascii="Palatino Linotype" w:eastAsia="Calibri" w:hAnsi="Palatino Linotype" w:cs="Calibri"/>
          <w:b/>
          <w:i/>
          <w:noProof/>
          <w:lang w:val="es-MX" w:eastAsia="es-MX"/>
        </w:rPr>
        <w:drawing>
          <wp:inline distT="0" distB="0" distL="0" distR="0" wp14:anchorId="03FB911B" wp14:editId="64FA6C82">
            <wp:extent cx="4019550" cy="2356820"/>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14C3E2.tmp"/>
                    <pic:cNvPicPr/>
                  </pic:nvPicPr>
                  <pic:blipFill>
                    <a:blip r:embed="rId9">
                      <a:extLst>
                        <a:ext uri="{28A0092B-C50C-407E-A947-70E740481C1C}">
                          <a14:useLocalDpi xmlns:a14="http://schemas.microsoft.com/office/drawing/2010/main" val="0"/>
                        </a:ext>
                      </a:extLst>
                    </a:blip>
                    <a:stretch>
                      <a:fillRect/>
                    </a:stretch>
                  </pic:blipFill>
                  <pic:spPr>
                    <a:xfrm>
                      <a:off x="0" y="0"/>
                      <a:ext cx="4046045" cy="2372355"/>
                    </a:xfrm>
                    <a:prstGeom prst="rect">
                      <a:avLst/>
                    </a:prstGeom>
                  </pic:spPr>
                </pic:pic>
              </a:graphicData>
            </a:graphic>
          </wp:inline>
        </w:drawing>
      </w:r>
    </w:p>
    <w:p w14:paraId="0E048444" w14:textId="77777777" w:rsidR="0009585F" w:rsidRDefault="0009585F" w:rsidP="00826DA6">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5E52DA33" w14:textId="77777777" w:rsidR="00826DA6" w:rsidRPr="00177253" w:rsidRDefault="00826DA6" w:rsidP="00826DA6">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B89CAE4" w14:textId="77777777" w:rsidR="00826DA6" w:rsidRDefault="00826DA6" w:rsidP="00826DA6">
      <w:pPr>
        <w:rPr>
          <w:rFonts w:ascii="Palatino Linotype" w:eastAsia="Calibri" w:hAnsi="Palatino Linotype" w:cs="Calibri"/>
          <w:lang w:val="es-ES_tradnl" w:eastAsia="es-MX"/>
        </w:rPr>
      </w:pPr>
    </w:p>
    <w:p w14:paraId="60396A0A" w14:textId="77777777" w:rsidR="00826DA6" w:rsidRDefault="00344C7B" w:rsidP="00826DA6">
      <w:pPr>
        <w:spacing w:line="360" w:lineRule="auto"/>
        <w:jc w:val="both"/>
        <w:rPr>
          <w:rFonts w:ascii="Palatino Linotype" w:hAnsi="Palatino Linotype"/>
        </w:rPr>
      </w:pPr>
      <w:r>
        <w:rPr>
          <w:rFonts w:ascii="Palatino Linotype" w:hAnsi="Palatino Linotype"/>
        </w:rPr>
        <w:t>Por otro lado, en el apartado de requerimientos</w:t>
      </w:r>
      <w:r w:rsidR="00DE27AA">
        <w:rPr>
          <w:rFonts w:ascii="Palatino Linotype" w:hAnsi="Palatino Linotype"/>
        </w:rPr>
        <w:t xml:space="preserve"> de las constancias que obran en SAIMEX,</w:t>
      </w:r>
      <w:r>
        <w:rPr>
          <w:rFonts w:ascii="Palatino Linotype" w:hAnsi="Palatino Linotype"/>
        </w:rPr>
        <w:t xml:space="preserve"> el servidor público habilitado refirió lo siguiente:</w:t>
      </w:r>
    </w:p>
    <w:p w14:paraId="15A5D9FA" w14:textId="77777777" w:rsidR="00DE27AA" w:rsidRDefault="00DE27AA" w:rsidP="00826DA6">
      <w:pPr>
        <w:spacing w:line="360" w:lineRule="auto"/>
        <w:jc w:val="both"/>
        <w:rPr>
          <w:rFonts w:ascii="Palatino Linotype" w:hAnsi="Palatino Linotype"/>
        </w:rPr>
      </w:pPr>
      <w:r>
        <w:rPr>
          <w:rFonts w:ascii="Palatino Linotype" w:hAnsi="Palatino Linotype"/>
          <w:noProof/>
          <w:lang w:val="es-MX" w:eastAsia="es-MX"/>
        </w:rPr>
        <w:lastRenderedPageBreak/>
        <mc:AlternateContent>
          <mc:Choice Requires="wps">
            <w:drawing>
              <wp:anchor distT="0" distB="0" distL="114300" distR="114300" simplePos="0" relativeHeight="251662336" behindDoc="0" locked="0" layoutInCell="1" allowOverlap="1" wp14:anchorId="76219DCD" wp14:editId="02AFB4DE">
                <wp:simplePos x="0" y="0"/>
                <wp:positionH relativeFrom="column">
                  <wp:posOffset>-3810</wp:posOffset>
                </wp:positionH>
                <wp:positionV relativeFrom="paragraph">
                  <wp:posOffset>437514</wp:posOffset>
                </wp:positionV>
                <wp:extent cx="5744210" cy="0"/>
                <wp:effectExtent l="0" t="19050" r="27940" b="19050"/>
                <wp:wrapNone/>
                <wp:docPr id="14" name="Conector recto 14"/>
                <wp:cNvGraphicFramePr/>
                <a:graphic xmlns:a="http://schemas.openxmlformats.org/drawingml/2006/main">
                  <a:graphicData uri="http://schemas.microsoft.com/office/word/2010/wordprocessingShape">
                    <wps:wsp>
                      <wps:cNvCnPr/>
                      <wps:spPr>
                        <a:xfrm flipV="1">
                          <a:off x="0" y="0"/>
                          <a:ext cx="574421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2E2929" id="Conector recto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4.45pt" to="45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" strokecolor="red" strokeweight="2.25pt">
                <v:stroke joinstyle="miter"/>
              </v:line>
            </w:pict>
          </mc:Fallback>
        </mc:AlternateContent>
      </w:r>
      <w:r>
        <w:rPr>
          <w:rFonts w:ascii="Palatino Linotype" w:hAnsi="Palatino Linotype"/>
          <w:noProof/>
          <w:lang w:val="es-MX" w:eastAsia="es-MX"/>
        </w:rPr>
        <mc:AlternateContent>
          <mc:Choice Requires="wps">
            <w:drawing>
              <wp:anchor distT="0" distB="0" distL="114300" distR="114300" simplePos="0" relativeHeight="251660288" behindDoc="0" locked="0" layoutInCell="1" allowOverlap="1" wp14:anchorId="29BA51A3" wp14:editId="6BDA9B67">
                <wp:simplePos x="0" y="0"/>
                <wp:positionH relativeFrom="column">
                  <wp:posOffset>1920239</wp:posOffset>
                </wp:positionH>
                <wp:positionV relativeFrom="paragraph">
                  <wp:posOffset>332740</wp:posOffset>
                </wp:positionV>
                <wp:extent cx="3781425" cy="9525"/>
                <wp:effectExtent l="19050" t="19050" r="28575" b="28575"/>
                <wp:wrapNone/>
                <wp:docPr id="13" name="Conector recto 13"/>
                <wp:cNvGraphicFramePr/>
                <a:graphic xmlns:a="http://schemas.openxmlformats.org/drawingml/2006/main">
                  <a:graphicData uri="http://schemas.microsoft.com/office/word/2010/wordprocessingShape">
                    <wps:wsp>
                      <wps:cNvCnPr/>
                      <wps:spPr>
                        <a:xfrm flipV="1">
                          <a:off x="0" y="0"/>
                          <a:ext cx="3781425"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B95C09" id="Conector recto 1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1.2pt,26.2pt" to="448.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" strokecolor="red" strokeweight="2.25pt">
                <v:stroke joinstyle="miter"/>
              </v:line>
            </w:pict>
          </mc:Fallback>
        </mc:AlternateContent>
      </w:r>
      <w:r w:rsidRPr="00DE27AA">
        <w:rPr>
          <w:rFonts w:ascii="Palatino Linotype" w:hAnsi="Palatino Linotype"/>
          <w:noProof/>
          <w:lang w:val="es-MX" w:eastAsia="es-MX"/>
        </w:rPr>
        <w:drawing>
          <wp:inline distT="0" distB="0" distL="0" distR="0" wp14:anchorId="3C88B04F" wp14:editId="62E0A422">
            <wp:extent cx="5791835" cy="1133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7703" cy="1134623"/>
                    </a:xfrm>
                    <a:prstGeom prst="rect">
                      <a:avLst/>
                    </a:prstGeom>
                  </pic:spPr>
                </pic:pic>
              </a:graphicData>
            </a:graphic>
          </wp:inline>
        </w:drawing>
      </w:r>
    </w:p>
    <w:p w14:paraId="16A80538" w14:textId="77777777" w:rsidR="00DE27AA" w:rsidRDefault="00DE27AA" w:rsidP="00826DA6">
      <w:pPr>
        <w:spacing w:line="360" w:lineRule="auto"/>
        <w:jc w:val="both"/>
        <w:rPr>
          <w:rFonts w:ascii="Palatino Linotype" w:hAnsi="Palatino Linotype"/>
        </w:rPr>
      </w:pPr>
    </w:p>
    <w:p w14:paraId="46DCEE10" w14:textId="77777777" w:rsidR="00345CD7" w:rsidRDefault="00345CD7" w:rsidP="00826DA6">
      <w:pPr>
        <w:spacing w:line="360" w:lineRule="auto"/>
        <w:jc w:val="both"/>
        <w:rPr>
          <w:rFonts w:ascii="Palatino Linotype" w:hAnsi="Palatino Linotype"/>
        </w:rPr>
      </w:pPr>
    </w:p>
    <w:p w14:paraId="24A5C8E9" w14:textId="77777777" w:rsidR="00345CD7" w:rsidRDefault="00345CD7" w:rsidP="00345CD7">
      <w:pPr>
        <w:spacing w:line="360" w:lineRule="auto"/>
        <w:ind w:right="214"/>
        <w:jc w:val="both"/>
        <w:rPr>
          <w:rFonts w:ascii="Palatino Linotype" w:hAnsi="Palatino Linotype"/>
        </w:rPr>
      </w:pPr>
      <w:r>
        <w:rPr>
          <w:rFonts w:ascii="Palatino Linotype" w:hAnsi="Palatino Linotype"/>
        </w:rPr>
        <w:t xml:space="preserve">Ahora bien, el </w:t>
      </w:r>
      <w:r w:rsidRPr="000C6DD0">
        <w:rPr>
          <w:rFonts w:ascii="Palatino Linotype" w:hAnsi="Palatino Linotype"/>
        </w:rPr>
        <w:t>Código Reglamentario Municipal de Toluca</w:t>
      </w:r>
      <w:r w:rsidRPr="00112C93">
        <w:rPr>
          <w:rFonts w:ascii="Palatino Linotype" w:hAnsi="Palatino Linotype"/>
        </w:rPr>
        <w:t xml:space="preserve">, </w:t>
      </w:r>
      <w:r>
        <w:rPr>
          <w:rFonts w:ascii="Palatino Linotype" w:hAnsi="Palatino Linotype"/>
        </w:rPr>
        <w:t>establece las facultades de las dependencias que conforman la administración pública municipal, las cuales son</w:t>
      </w:r>
      <w:r w:rsidRPr="00112C93">
        <w:rPr>
          <w:rFonts w:ascii="Palatino Linotype" w:hAnsi="Palatino Linotype"/>
        </w:rPr>
        <w:t>:</w:t>
      </w:r>
    </w:p>
    <w:p w14:paraId="0719581B" w14:textId="77777777" w:rsidR="00CD30FB" w:rsidRDefault="00CD30FB" w:rsidP="00CD30FB">
      <w:pPr>
        <w:pStyle w:val="INFOEM"/>
        <w:spacing w:before="0" w:after="0" w:line="240" w:lineRule="auto"/>
      </w:pPr>
      <w:r w:rsidRPr="00CD30FB">
        <w:t xml:space="preserve">Artículo 3.8. Corresponde a las o los titulares de las dependencias, el ejercicio de las siguientes atribuciones genéricas: </w:t>
      </w:r>
    </w:p>
    <w:p w14:paraId="7255C5E5" w14:textId="77777777" w:rsidR="00CD30FB" w:rsidRDefault="00CD30FB" w:rsidP="00CD30FB">
      <w:pPr>
        <w:pStyle w:val="INFOEM"/>
        <w:numPr>
          <w:ilvl w:val="0"/>
          <w:numId w:val="10"/>
        </w:numPr>
        <w:spacing w:before="0" w:after="0" w:line="240" w:lineRule="auto"/>
      </w:pPr>
      <w:r w:rsidRPr="00CD30FB">
        <w:t xml:space="preserve">Planear, organizar, dirigir y evaluar las actividades que tengan encomendadas en el área a su cargo, con base en las políticas y prioridades establecidas para el logro de los objetivos y metas del gobierno municipal; </w:t>
      </w:r>
    </w:p>
    <w:p w14:paraId="5F95C3F9" w14:textId="77777777" w:rsidR="00CD30FB" w:rsidRDefault="00CD30FB" w:rsidP="00CD30FB">
      <w:pPr>
        <w:pStyle w:val="INFOEM"/>
        <w:numPr>
          <w:ilvl w:val="0"/>
          <w:numId w:val="10"/>
        </w:numPr>
        <w:spacing w:before="0" w:after="0" w:line="240" w:lineRule="auto"/>
      </w:pPr>
      <w:r w:rsidRPr="00CD30FB">
        <w:t xml:space="preserve">Formular y proponer al presidente municipal los anteproyectos de programas anuales de actividades; </w:t>
      </w:r>
    </w:p>
    <w:p w14:paraId="0F8C02F3" w14:textId="77777777" w:rsidR="00CD30FB" w:rsidRDefault="00CD30FB" w:rsidP="00CD30FB">
      <w:pPr>
        <w:pStyle w:val="INFOEM"/>
        <w:numPr>
          <w:ilvl w:val="0"/>
          <w:numId w:val="10"/>
        </w:numPr>
        <w:spacing w:before="0" w:after="0" w:line="240" w:lineRule="auto"/>
      </w:pPr>
      <w:r w:rsidRPr="00CD30FB">
        <w:t xml:space="preserve">Elaborar y aplicar en el área a su cargo los Manuales de Organización y Procedimientos; </w:t>
      </w:r>
    </w:p>
    <w:p w14:paraId="0959CF71" w14:textId="77777777" w:rsidR="00CD30FB" w:rsidRDefault="00CD30FB" w:rsidP="00CD30FB">
      <w:pPr>
        <w:pStyle w:val="INFOEM"/>
        <w:numPr>
          <w:ilvl w:val="0"/>
          <w:numId w:val="10"/>
        </w:numPr>
        <w:spacing w:before="0" w:after="0" w:line="240" w:lineRule="auto"/>
      </w:pPr>
      <w:r w:rsidRPr="00CD30FB">
        <w:t xml:space="preserve">Acordar con el presidente municipal o con quien éste designe, los asuntos cuya resolución o trámite lo requieran; </w:t>
      </w:r>
    </w:p>
    <w:p w14:paraId="5577C724" w14:textId="77777777" w:rsidR="00CD30FB" w:rsidRDefault="00CD30FB" w:rsidP="00CD30FB">
      <w:pPr>
        <w:pStyle w:val="INFOEM"/>
        <w:numPr>
          <w:ilvl w:val="0"/>
          <w:numId w:val="10"/>
        </w:numPr>
        <w:spacing w:before="0" w:after="0" w:line="240" w:lineRule="auto"/>
      </w:pPr>
      <w:r w:rsidRPr="00CD30FB">
        <w:t xml:space="preserve">Formular y entregar oportunamente los dictámenes, opiniones e informes que les sean solicitados por el presidente municipal, por los miembros del cuerpo edilicio y/o cualquier otra autoridad administrativa o jurisdiccional; </w:t>
      </w:r>
    </w:p>
    <w:p w14:paraId="6F1F868B" w14:textId="77777777" w:rsidR="00CD30FB" w:rsidRDefault="00CD30FB" w:rsidP="00CD30FB">
      <w:pPr>
        <w:pStyle w:val="INFOEM"/>
        <w:numPr>
          <w:ilvl w:val="0"/>
          <w:numId w:val="10"/>
        </w:numPr>
        <w:spacing w:before="0" w:after="0" w:line="240" w:lineRule="auto"/>
      </w:pPr>
      <w:r w:rsidRPr="00CD30FB">
        <w:t xml:space="preserve">Elaborar, en forma detallada, los anteproyectos de presupuesto que les corresponda; </w:t>
      </w:r>
    </w:p>
    <w:p w14:paraId="277973DD" w14:textId="77777777" w:rsidR="00CD30FB" w:rsidRDefault="00CD30FB" w:rsidP="00CD30FB">
      <w:pPr>
        <w:pStyle w:val="INFOEM"/>
        <w:numPr>
          <w:ilvl w:val="0"/>
          <w:numId w:val="10"/>
        </w:numPr>
        <w:spacing w:before="0" w:after="0" w:line="240" w:lineRule="auto"/>
      </w:pPr>
      <w:r w:rsidRPr="00CD30FB">
        <w:t>Integrar, controlar y custodiar la información contenida en los archivos administrativos a su cargo conforme a la Ley de Archivos y Administración de Documentos del Estado de México y Municipios;</w:t>
      </w:r>
    </w:p>
    <w:p w14:paraId="795EB861" w14:textId="77777777" w:rsidR="00CD30FB" w:rsidRDefault="00CD30FB" w:rsidP="00CD30FB">
      <w:pPr>
        <w:pStyle w:val="INFOEM"/>
        <w:numPr>
          <w:ilvl w:val="0"/>
          <w:numId w:val="10"/>
        </w:numPr>
        <w:spacing w:before="0" w:after="0" w:line="240" w:lineRule="auto"/>
      </w:pPr>
      <w:r w:rsidRPr="00CD30FB">
        <w:t xml:space="preserve">Acordar con sus directores de área, coordinadores, jefes de departamento y demás servidores públicos adscritos al área de la cual son titulares, los asuntos que sean de su competencia; concederán audiencias al público sobre asuntos de los cuales los particulares sean parte y se encuentren tramitando en el área a su cargo; </w:t>
      </w:r>
    </w:p>
    <w:p w14:paraId="41D44BF0" w14:textId="77777777" w:rsidR="00CD30FB" w:rsidRDefault="00CD30FB" w:rsidP="00CD30FB">
      <w:pPr>
        <w:pStyle w:val="INFOEM"/>
        <w:numPr>
          <w:ilvl w:val="0"/>
          <w:numId w:val="10"/>
        </w:numPr>
        <w:spacing w:before="0" w:after="0" w:line="240" w:lineRule="auto"/>
      </w:pPr>
      <w:r w:rsidRPr="00CD30FB">
        <w:t xml:space="preserve">Vigilar que se cumpla con las disposiciones legales aplicables a los asuntos de la dependencia a su cargo; </w:t>
      </w:r>
    </w:p>
    <w:p w14:paraId="087202D8" w14:textId="77777777" w:rsidR="00CD30FB" w:rsidRDefault="00CD30FB" w:rsidP="00CD30FB">
      <w:pPr>
        <w:pStyle w:val="INFOEM"/>
        <w:numPr>
          <w:ilvl w:val="0"/>
          <w:numId w:val="10"/>
        </w:numPr>
        <w:spacing w:before="0" w:after="0" w:line="240" w:lineRule="auto"/>
      </w:pPr>
      <w:r w:rsidRPr="00CD30FB">
        <w:lastRenderedPageBreak/>
        <w:t>Cumplir y hacer cumplir en las áreas a su cargo, las políticas y lineamientos establecidos para la administración de los recursos humanos, materiales y financieros que el ejecutivo municipal haya acordado;</w:t>
      </w:r>
    </w:p>
    <w:p w14:paraId="18E3C4FB" w14:textId="77777777" w:rsidR="00CD30FB" w:rsidRDefault="00CD30FB" w:rsidP="00CD30FB">
      <w:pPr>
        <w:pStyle w:val="INFOEM"/>
        <w:numPr>
          <w:ilvl w:val="0"/>
          <w:numId w:val="10"/>
        </w:numPr>
        <w:spacing w:before="0" w:after="0" w:line="240" w:lineRule="auto"/>
      </w:pPr>
      <w:r w:rsidRPr="00CD30FB">
        <w:t xml:space="preserve">Brindar un trato cordial, imparcial y eficiente a la ciudadanía y vigilar que las relaciones humanas y laborales entre el personal adscrito a su área cumpla con las mismas cualidades; </w:t>
      </w:r>
    </w:p>
    <w:p w14:paraId="7508809C" w14:textId="77777777" w:rsidR="00CD30FB" w:rsidRDefault="00CD30FB" w:rsidP="00CD30FB">
      <w:pPr>
        <w:pStyle w:val="INFOEM"/>
        <w:numPr>
          <w:ilvl w:val="0"/>
          <w:numId w:val="10"/>
        </w:numPr>
        <w:spacing w:before="0" w:after="0" w:line="240" w:lineRule="auto"/>
      </w:pPr>
      <w:r w:rsidRPr="00CD30FB">
        <w:t xml:space="preserve">Abstenerse de desempeñar algún otro empleo, cargo o comisión oficial o particular que las normas jurídicas prohíban, o que generen detrimento en la obligada atención que deben cumplir en el ejercicio de sus funciones; con excepción de la docencia que podrá prestarse siempre que sea compatible con las funciones y actividades de los servidores públicos; </w:t>
      </w:r>
    </w:p>
    <w:p w14:paraId="623AE00C" w14:textId="77777777" w:rsidR="00CD30FB" w:rsidRDefault="00CD30FB" w:rsidP="00CD30FB">
      <w:pPr>
        <w:pStyle w:val="INFOEM"/>
        <w:numPr>
          <w:ilvl w:val="0"/>
          <w:numId w:val="10"/>
        </w:numPr>
        <w:spacing w:before="0" w:after="0" w:line="240" w:lineRule="auto"/>
      </w:pPr>
      <w:r w:rsidRPr="00CD30FB">
        <w:t xml:space="preserve">Simplificar los procedimientos administrativos, a efecto de que los mismos se realicen de manera pronta, expedita y eficaz, eliminando documentación, trámites y tiempos innecesarios relacionados con la ciudadanía y, con las demás direcciones, dependencias y entidades administrativas del municipio; </w:t>
      </w:r>
    </w:p>
    <w:p w14:paraId="07B22479" w14:textId="77777777" w:rsidR="00CD30FB" w:rsidRDefault="00CD30FB" w:rsidP="00CD30FB">
      <w:pPr>
        <w:pStyle w:val="INFOEM"/>
        <w:numPr>
          <w:ilvl w:val="0"/>
          <w:numId w:val="10"/>
        </w:numPr>
        <w:spacing w:before="0" w:after="0" w:line="240" w:lineRule="auto"/>
      </w:pPr>
      <w:r w:rsidRPr="00CD30FB">
        <w:t xml:space="preserve">Establecer un módulo de orientación al público con personal debidamente capacitado, a fin de que proporcione de manera pronta, expedita y eficaz la información requerida; </w:t>
      </w:r>
    </w:p>
    <w:p w14:paraId="582DEFF3" w14:textId="77777777" w:rsidR="00CD30FB" w:rsidRDefault="00CD30FB" w:rsidP="00CD30FB">
      <w:pPr>
        <w:pStyle w:val="INFOEM"/>
        <w:numPr>
          <w:ilvl w:val="0"/>
          <w:numId w:val="10"/>
        </w:numPr>
        <w:spacing w:before="0" w:after="0" w:line="240" w:lineRule="auto"/>
      </w:pPr>
      <w:r w:rsidRPr="00CD30FB">
        <w:t>Orientar a los particulares en las gestiones que promuevan ante la dependencia a su cargo, dando la solución más favorable al asunto de que se trate, siempre conforme a derecho, garantizando los derechos humanos y de forma objetiva e imparcial, incluyendo en su caso, facilidades y convenios en tiempo y forma que procedan; así mismo, deberán evitar incurrir por omisión en la afirmativa o negativa ficta;</w:t>
      </w:r>
    </w:p>
    <w:p w14:paraId="755B2DBE" w14:textId="77777777" w:rsidR="00CD30FB" w:rsidRDefault="00CD30FB" w:rsidP="00CD30FB">
      <w:pPr>
        <w:pStyle w:val="INFOEM"/>
        <w:numPr>
          <w:ilvl w:val="0"/>
          <w:numId w:val="10"/>
        </w:numPr>
        <w:spacing w:before="0" w:after="0" w:line="240" w:lineRule="auto"/>
      </w:pPr>
      <w:r w:rsidRPr="00CD30FB">
        <w:t xml:space="preserve">Salvaguardar la legalidad, honradez, lealtad, imparcialidad y eficiencia que deben ser observadas en el ejercicio de sus funciones, de conformidad con lo dispuesto por la Ley de Responsabilidades Administrativas del Estado de México y Municipios; </w:t>
      </w:r>
    </w:p>
    <w:p w14:paraId="45F6C484" w14:textId="77777777" w:rsidR="00CD30FB" w:rsidRDefault="00CD30FB" w:rsidP="00CD30FB">
      <w:pPr>
        <w:pStyle w:val="INFOEM"/>
        <w:numPr>
          <w:ilvl w:val="0"/>
          <w:numId w:val="10"/>
        </w:numPr>
        <w:spacing w:before="0" w:after="0" w:line="240" w:lineRule="auto"/>
      </w:pPr>
      <w:r w:rsidRPr="00CD30FB">
        <w:t xml:space="preserve">Suscribir los documentos que expidan, relacionados con el ejercicio de sus atribuciones; </w:t>
      </w:r>
    </w:p>
    <w:p w14:paraId="26DDC469" w14:textId="77777777" w:rsidR="00CD30FB" w:rsidRDefault="00CD30FB" w:rsidP="00CD30FB">
      <w:pPr>
        <w:pStyle w:val="INFOEM"/>
        <w:numPr>
          <w:ilvl w:val="0"/>
          <w:numId w:val="10"/>
        </w:numPr>
        <w:spacing w:before="0" w:after="0" w:line="240" w:lineRule="auto"/>
      </w:pPr>
      <w:r w:rsidRPr="00CD30FB">
        <w:t xml:space="preserve">Iniciar y/o coadyuvar para tramitar, resolver y ejecutar procedimientos administrativos del ámbito de su competencia, cuando sea procedente, al interior de la dirección, dependencia o entidad correspondiente, en contra de los particulares que contravengan las disposiciones legales aplicables en la materia; </w:t>
      </w:r>
    </w:p>
    <w:p w14:paraId="24C4BC6C" w14:textId="77777777" w:rsidR="00CD30FB" w:rsidRDefault="00CD30FB" w:rsidP="00CD30FB">
      <w:pPr>
        <w:pStyle w:val="INFOEM"/>
        <w:numPr>
          <w:ilvl w:val="0"/>
          <w:numId w:val="10"/>
        </w:numPr>
        <w:spacing w:before="0" w:after="0" w:line="240" w:lineRule="auto"/>
      </w:pPr>
      <w:r w:rsidRPr="00CD30FB">
        <w:t xml:space="preserve">Aplicar en su caso, dentro del ámbito de su competencia y previo desahogo de la garantía de audiencia, las sanciones correspondientes a los infractores, medidas preventivas, correctivas y sanciones de acuerdo con las disposiciones legales aplicables en la materia y, de resultar procedente, notificar a las instancias competentes para que procedan conforme a derecho; </w:t>
      </w:r>
    </w:p>
    <w:p w14:paraId="2A7D51A1" w14:textId="77777777" w:rsidR="00CD30FB" w:rsidRDefault="00CD30FB" w:rsidP="00CD30FB">
      <w:pPr>
        <w:pStyle w:val="INFOEM"/>
        <w:numPr>
          <w:ilvl w:val="0"/>
          <w:numId w:val="10"/>
        </w:numPr>
        <w:spacing w:before="0" w:after="0" w:line="240" w:lineRule="auto"/>
      </w:pPr>
      <w:r w:rsidRPr="00CD30FB">
        <w:lastRenderedPageBreak/>
        <w:t xml:space="preserve">Proponer al presidente municipal la celebración de convenios y contratos con los demás ámbitos de gobierno, así como con organizaciones de la sociedad civil y la iniciativa privada en los temas que sean materia de su competencia; y </w:t>
      </w:r>
    </w:p>
    <w:p w14:paraId="24B15186" w14:textId="77777777" w:rsidR="00CD30FB" w:rsidRDefault="00CD30FB" w:rsidP="00CD30FB">
      <w:pPr>
        <w:pStyle w:val="INFOEM"/>
        <w:numPr>
          <w:ilvl w:val="0"/>
          <w:numId w:val="10"/>
        </w:numPr>
        <w:spacing w:before="0" w:after="0" w:line="240" w:lineRule="auto"/>
      </w:pPr>
      <w:r w:rsidRPr="00CD30FB">
        <w:t xml:space="preserve">Cumplir con las obligaciones en materia de Transparencia y Acceso a la Información Pública; </w:t>
      </w:r>
    </w:p>
    <w:p w14:paraId="419158D2" w14:textId="77777777" w:rsidR="00CD30FB" w:rsidRDefault="00CD30FB" w:rsidP="00CD30FB">
      <w:pPr>
        <w:pStyle w:val="INFOEM"/>
        <w:numPr>
          <w:ilvl w:val="0"/>
          <w:numId w:val="10"/>
        </w:numPr>
        <w:spacing w:before="0" w:after="0" w:line="240" w:lineRule="auto"/>
      </w:pPr>
      <w:r w:rsidRPr="00CD30FB">
        <w:t xml:space="preserve">Solicitar apoyo a las autoridades auxiliares municipales para la realización de visitas domiciliarias; y </w:t>
      </w:r>
    </w:p>
    <w:p w14:paraId="000953A6" w14:textId="77777777" w:rsidR="00CD30FB" w:rsidRPr="00CD30FB" w:rsidRDefault="00CD30FB" w:rsidP="00CD30FB">
      <w:pPr>
        <w:pStyle w:val="INFOEM"/>
        <w:numPr>
          <w:ilvl w:val="0"/>
          <w:numId w:val="10"/>
        </w:numPr>
        <w:spacing w:before="0" w:after="0" w:line="240" w:lineRule="auto"/>
      </w:pPr>
      <w:r w:rsidRPr="00CD30FB">
        <w:t>Las demás que le señalen expresamente el Ayuntamiento, el presidente municipal, las leyes, reglamentos y disposiciones jurídicas aplicables.</w:t>
      </w:r>
    </w:p>
    <w:p w14:paraId="00DAB53D" w14:textId="77777777" w:rsidR="00907BF1" w:rsidRPr="00907BF1" w:rsidRDefault="00907BF1" w:rsidP="00CD30FB">
      <w:pPr>
        <w:pStyle w:val="INFOEM"/>
        <w:spacing w:after="0" w:line="240" w:lineRule="auto"/>
        <w:jc w:val="center"/>
        <w:rPr>
          <w:b/>
        </w:rPr>
      </w:pPr>
      <w:r w:rsidRPr="00907BF1">
        <w:rPr>
          <w:b/>
        </w:rPr>
        <w:t>SUBSECCIÓN SEGUNDA</w:t>
      </w:r>
    </w:p>
    <w:p w14:paraId="6167A5E6" w14:textId="77777777" w:rsidR="00907BF1" w:rsidRPr="00907BF1" w:rsidRDefault="00907BF1" w:rsidP="00CD30FB">
      <w:pPr>
        <w:pStyle w:val="INFOEM"/>
        <w:spacing w:after="0" w:line="240" w:lineRule="auto"/>
        <w:jc w:val="center"/>
        <w:rPr>
          <w:b/>
        </w:rPr>
      </w:pPr>
      <w:r w:rsidRPr="00907BF1">
        <w:rPr>
          <w:b/>
        </w:rPr>
        <w:t>DIRECCIÓN DE EGRESOS</w:t>
      </w:r>
    </w:p>
    <w:p w14:paraId="60544DA6" w14:textId="77777777" w:rsidR="00907BF1" w:rsidRPr="00907BF1" w:rsidRDefault="00907BF1" w:rsidP="00CD30FB">
      <w:pPr>
        <w:pStyle w:val="INFOEM"/>
        <w:spacing w:line="240" w:lineRule="auto"/>
      </w:pPr>
      <w:r w:rsidRPr="00907BF1">
        <w:t>Artículo 3.19. La o el titular de la Tesorería Municipal tendrá las siguientes atribuciones:</w:t>
      </w:r>
    </w:p>
    <w:p w14:paraId="1D33C774" w14:textId="77777777" w:rsidR="00907BF1" w:rsidRDefault="00907BF1" w:rsidP="00CD30FB">
      <w:pPr>
        <w:pStyle w:val="INFOEM"/>
        <w:spacing w:line="240" w:lineRule="auto"/>
      </w:pPr>
      <w:r w:rsidRPr="00907BF1">
        <w:rPr>
          <w:b/>
        </w:rPr>
        <w:t>XXVI. Pagar la nómina</w:t>
      </w:r>
      <w:r w:rsidRPr="00907BF1">
        <w:t xml:space="preserve"> mediante depósito bancario o bajo la modalidad convenida por el Sindicato que mayor seguridad brinde a las y los servidores públicos en días y horas hábiles, en el lugar más cercano al centro de trabajo del servidor público los días quince y último de cada mes o el día hábil inmediato anterior, si no fueran laborables esas fechas; </w:t>
      </w:r>
    </w:p>
    <w:p w14:paraId="66776110" w14:textId="77777777" w:rsidR="00907BF1" w:rsidRDefault="00907BF1" w:rsidP="00CD30FB">
      <w:pPr>
        <w:pStyle w:val="INFOEM"/>
        <w:spacing w:line="240" w:lineRule="auto"/>
      </w:pPr>
      <w:r w:rsidRPr="00345CD7">
        <w:rPr>
          <w:u w:val="single"/>
        </w:rPr>
        <w:t>XXVII. Los Delegados Administrativos de cada dependencia o unidad administrativa son los responsables de acudir a la Dirección de Recursos Humanos a recoger la nómina para que la den a firma a los servidores públicos</w:t>
      </w:r>
      <w:r w:rsidRPr="00907BF1">
        <w:t xml:space="preserve">, asimismo, regresarla dentro de los tres días hábiles siguientes a la Dirección de Recursos Humanos debidamente firmada por quienes debieron hacerlo; </w:t>
      </w:r>
    </w:p>
    <w:p w14:paraId="0CD39E4C" w14:textId="77777777" w:rsidR="00907BF1" w:rsidRDefault="00907BF1" w:rsidP="00CD30FB">
      <w:pPr>
        <w:pStyle w:val="INFOEM"/>
        <w:spacing w:line="240" w:lineRule="auto"/>
        <w:rPr>
          <w:b/>
        </w:rPr>
      </w:pPr>
      <w:r w:rsidRPr="00345CD7">
        <w:rPr>
          <w:b/>
        </w:rPr>
        <w:t>XXVIII. Gestionar y preparar el pago de nómina y/o listas de raya que deban pagarse en efectivo a petición de la Dirección de Recursos Humanos;</w:t>
      </w:r>
    </w:p>
    <w:p w14:paraId="2D6C8A46" w14:textId="77777777" w:rsidR="00345CD7" w:rsidRDefault="00345CD7" w:rsidP="00CD30FB">
      <w:pPr>
        <w:pStyle w:val="INFOEM"/>
        <w:spacing w:line="240" w:lineRule="auto"/>
        <w:rPr>
          <w:b/>
        </w:rPr>
      </w:pPr>
      <w:r>
        <w:rPr>
          <w:b/>
        </w:rPr>
        <w:t>…</w:t>
      </w:r>
    </w:p>
    <w:p w14:paraId="38016FE7" w14:textId="77777777" w:rsidR="00345CD7" w:rsidRDefault="00345CD7" w:rsidP="00CD30FB">
      <w:pPr>
        <w:pStyle w:val="INFOEM"/>
        <w:spacing w:line="240" w:lineRule="auto"/>
        <w:rPr>
          <w:b/>
          <w:lang w:val="es-ES"/>
        </w:rPr>
      </w:pPr>
      <w:r w:rsidRPr="00345CD7">
        <w:rPr>
          <w:b/>
          <w:lang w:val="es-ES"/>
        </w:rPr>
        <w:t>XXX. Informar a la Dirección de Recursos Humanos sobre la nómina pagada y los pagos cancelados para su reprogramación y timbrado de nómina;</w:t>
      </w:r>
    </w:p>
    <w:p w14:paraId="2A2ECDE8" w14:textId="77777777" w:rsidR="00CD30FB" w:rsidRPr="00345CD7" w:rsidRDefault="00CD30FB" w:rsidP="00CD30FB">
      <w:pPr>
        <w:pStyle w:val="INFOEM"/>
        <w:spacing w:line="240" w:lineRule="auto"/>
        <w:ind w:left="0"/>
        <w:rPr>
          <w:b/>
        </w:rPr>
      </w:pPr>
    </w:p>
    <w:p w14:paraId="609E00B7" w14:textId="77777777" w:rsidR="00345CD7" w:rsidRDefault="00345CD7" w:rsidP="00CD30FB">
      <w:pPr>
        <w:pStyle w:val="INFOEM"/>
        <w:spacing w:line="240" w:lineRule="auto"/>
        <w:jc w:val="center"/>
      </w:pPr>
      <w:r w:rsidRPr="00345CD7">
        <w:t>SECCIÓN OCTAVA</w:t>
      </w:r>
    </w:p>
    <w:p w14:paraId="288E589B" w14:textId="77777777" w:rsidR="00345CD7" w:rsidRPr="00345CD7" w:rsidRDefault="00345CD7" w:rsidP="00CD30FB">
      <w:pPr>
        <w:pStyle w:val="INFOEM"/>
        <w:spacing w:line="240" w:lineRule="auto"/>
        <w:jc w:val="center"/>
        <w:rPr>
          <w:b/>
        </w:rPr>
      </w:pPr>
      <w:r w:rsidRPr="00345CD7">
        <w:rPr>
          <w:b/>
        </w:rPr>
        <w:t>DE LA DIRECCIÓN GENERAL DE ADMINISTRACIÓN</w:t>
      </w:r>
    </w:p>
    <w:p w14:paraId="77E9E9E7" w14:textId="77777777" w:rsidR="00907BF1" w:rsidRDefault="00345CD7" w:rsidP="00CD30FB">
      <w:pPr>
        <w:pStyle w:val="INFOEM"/>
        <w:spacing w:line="240" w:lineRule="auto"/>
      </w:pPr>
      <w:r w:rsidRPr="00345CD7">
        <w:lastRenderedPageBreak/>
        <w:t>Artículo 3.40. La o el titular de la Dirección General de Administración, tiene las siguientes atribuciones:</w:t>
      </w:r>
    </w:p>
    <w:p w14:paraId="63BF3A94" w14:textId="77777777" w:rsidR="00345CD7" w:rsidRDefault="00345CD7" w:rsidP="00CD30FB">
      <w:pPr>
        <w:pStyle w:val="INFOEM"/>
        <w:spacing w:line="240" w:lineRule="auto"/>
      </w:pPr>
      <w:r>
        <w:t>…</w:t>
      </w:r>
    </w:p>
    <w:p w14:paraId="3A371CC1" w14:textId="77777777" w:rsidR="00345CD7" w:rsidRPr="00345CD7" w:rsidRDefault="00345CD7" w:rsidP="00CD30FB">
      <w:pPr>
        <w:pStyle w:val="INFOEM"/>
        <w:spacing w:line="240" w:lineRule="auto"/>
        <w:rPr>
          <w:lang w:val="es-ES"/>
        </w:rPr>
      </w:pPr>
      <w:r w:rsidRPr="00345CD7">
        <w:rPr>
          <w:lang w:val="es-ES"/>
        </w:rPr>
        <w:t>IV. Autorizar la elaboración y distribución oportuna de la nómina al personal que labora en el Ayuntamiento, apegándose a la normatividad en la materia y al presupuesto autorizado;</w:t>
      </w:r>
    </w:p>
    <w:p w14:paraId="6F56DB8C" w14:textId="77777777" w:rsidR="00345CD7" w:rsidRDefault="00345CD7" w:rsidP="00CD30FB">
      <w:pPr>
        <w:pStyle w:val="INFOEM"/>
        <w:spacing w:line="240" w:lineRule="auto"/>
        <w:jc w:val="center"/>
      </w:pPr>
      <w:r w:rsidRPr="00345CD7">
        <w:rPr>
          <w:lang w:val="es-ES"/>
        </w:rPr>
        <w:t>SUBSECCIÓN PRIMERA</w:t>
      </w:r>
    </w:p>
    <w:p w14:paraId="723175FA" w14:textId="77777777" w:rsidR="00345CD7" w:rsidRPr="00345CD7" w:rsidRDefault="00345CD7" w:rsidP="00CD30FB">
      <w:pPr>
        <w:pStyle w:val="INFOEM"/>
        <w:spacing w:line="240" w:lineRule="auto"/>
        <w:jc w:val="center"/>
        <w:rPr>
          <w:b/>
        </w:rPr>
      </w:pPr>
      <w:r w:rsidRPr="00345CD7">
        <w:rPr>
          <w:b/>
        </w:rPr>
        <w:t>DE LA DIRECCIÓN DE RECURSOS HUMANOS</w:t>
      </w:r>
    </w:p>
    <w:p w14:paraId="6E87FC37" w14:textId="77777777" w:rsidR="00907BF1" w:rsidRDefault="00345CD7" w:rsidP="00CD30FB">
      <w:pPr>
        <w:pStyle w:val="INFOEM"/>
        <w:spacing w:line="240" w:lineRule="auto"/>
      </w:pPr>
      <w:r w:rsidRPr="00345CD7">
        <w:t>Artículo 3.42. La o el titular de la Dirección de Recursos Humanos cuenta con las siguientes atribuciones:</w:t>
      </w:r>
    </w:p>
    <w:p w14:paraId="71E3C8AE" w14:textId="77777777" w:rsidR="00345CD7" w:rsidRDefault="00345CD7" w:rsidP="00CD30FB">
      <w:pPr>
        <w:pStyle w:val="INFOEM"/>
        <w:numPr>
          <w:ilvl w:val="0"/>
          <w:numId w:val="9"/>
        </w:numPr>
        <w:spacing w:line="240" w:lineRule="auto"/>
      </w:pPr>
      <w:r w:rsidRPr="00345CD7">
        <w:rPr>
          <w:lang w:val="es-ES"/>
        </w:rPr>
        <w:t>Elaborar, operar y mejorar los procedimientos administrativos de control para la</w:t>
      </w:r>
      <w:r>
        <w:rPr>
          <w:lang w:val="es-ES"/>
        </w:rPr>
        <w:t xml:space="preserve"> </w:t>
      </w:r>
      <w:r w:rsidRPr="00345CD7">
        <w:t>selección, reclutamiento, contratación, escalafón, capacitación, retiro, sanción, comisión y desarrollo del personal al servicio del Municipio;</w:t>
      </w:r>
    </w:p>
    <w:p w14:paraId="4A96C168" w14:textId="77777777" w:rsidR="00345CD7" w:rsidRDefault="00345CD7" w:rsidP="00CD30FB">
      <w:pPr>
        <w:pStyle w:val="INFOEM"/>
        <w:spacing w:line="240" w:lineRule="auto"/>
      </w:pPr>
      <w:r>
        <w:t>…</w:t>
      </w:r>
    </w:p>
    <w:p w14:paraId="148698E9" w14:textId="77777777" w:rsidR="00345CD7" w:rsidRPr="00345CD7" w:rsidRDefault="00345CD7" w:rsidP="00CD30FB">
      <w:pPr>
        <w:pStyle w:val="INFOEM"/>
        <w:spacing w:line="240" w:lineRule="auto"/>
      </w:pPr>
    </w:p>
    <w:p w14:paraId="0AA4EC3A" w14:textId="77777777" w:rsidR="00345CD7" w:rsidRDefault="00345CD7" w:rsidP="00CD30FB">
      <w:pPr>
        <w:pStyle w:val="INFOEM"/>
        <w:spacing w:line="240" w:lineRule="auto"/>
      </w:pPr>
      <w:r w:rsidRPr="00345CD7">
        <w:t xml:space="preserve">V. Registrar las altas, reingresos, bajas, cambios de categoría y adscripción, permisos y licencias por incapacidad, entre otras, del personal, y su correcta aplicación; </w:t>
      </w:r>
    </w:p>
    <w:p w14:paraId="74072EC8" w14:textId="77777777" w:rsidR="00344C7B" w:rsidRPr="00345CD7" w:rsidRDefault="00345CD7" w:rsidP="00CD30FB">
      <w:pPr>
        <w:pStyle w:val="INFOEM"/>
        <w:spacing w:line="240" w:lineRule="auto"/>
      </w:pPr>
      <w:r w:rsidRPr="00345CD7">
        <w:t>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w:t>
      </w:r>
    </w:p>
    <w:p w14:paraId="529A93F5" w14:textId="77777777" w:rsidR="00826DA6" w:rsidRDefault="00826DA6" w:rsidP="00826DA6">
      <w:pPr>
        <w:spacing w:line="360" w:lineRule="auto"/>
        <w:jc w:val="both"/>
        <w:rPr>
          <w:rFonts w:ascii="Palatino Linotype" w:eastAsiaTheme="minorHAnsi" w:hAnsi="Palatino Linotype" w:cs="Arial"/>
          <w:lang w:val="es-MX" w:eastAsia="en-US"/>
        </w:rPr>
      </w:pPr>
    </w:p>
    <w:p w14:paraId="0F2B0E06" w14:textId="77777777" w:rsidR="00CD30FB" w:rsidRDefault="00CD30FB" w:rsidP="00826DA6">
      <w:pPr>
        <w:spacing w:line="360" w:lineRule="auto"/>
        <w:jc w:val="both"/>
        <w:rPr>
          <w:rFonts w:ascii="Palatino Linotype" w:hAnsi="Palatino Linotype" w:cs="Arial"/>
        </w:rPr>
      </w:pPr>
      <w:r>
        <w:rPr>
          <w:rFonts w:ascii="Palatino Linotype" w:hAnsi="Palatino Linotype" w:cs="Arial"/>
        </w:rPr>
        <w:t xml:space="preserve">De lo anterior se tiene que la Dirección General de Administración es el área de pagar la nómina, aunado a ello, los titulares de cada área no tienen facultades para tener “su propia nómina”, como refiere el particular, únicamente son responsables de acudir a la Dirección de Recursos Humanos a recoger la nómina para que sus subordinados la firmen. </w:t>
      </w:r>
    </w:p>
    <w:p w14:paraId="01C5C4DD" w14:textId="77777777" w:rsidR="00DE27AA" w:rsidRDefault="00DE27AA" w:rsidP="00826DA6">
      <w:pPr>
        <w:spacing w:line="360" w:lineRule="auto"/>
        <w:jc w:val="both"/>
        <w:rPr>
          <w:rFonts w:ascii="Palatino Linotype" w:hAnsi="Palatino Linotype" w:cs="Arial"/>
        </w:rPr>
      </w:pPr>
    </w:p>
    <w:p w14:paraId="1B1E0D1B" w14:textId="77777777" w:rsidR="00CD30FB" w:rsidRDefault="00CD30FB" w:rsidP="00826DA6">
      <w:pPr>
        <w:spacing w:line="360" w:lineRule="auto"/>
        <w:jc w:val="both"/>
        <w:rPr>
          <w:rFonts w:ascii="Palatino Linotype" w:hAnsi="Palatino Linotype" w:cs="Arial"/>
        </w:rPr>
      </w:pPr>
      <w:r>
        <w:rPr>
          <w:rFonts w:ascii="Palatino Linotype" w:hAnsi="Palatino Linotype" w:cs="Arial"/>
        </w:rPr>
        <w:t>Por otro lado, del sistema IPOMEX del Sujeto Obligado se observa que si bien, no cuenta con “Asesores” sí cuenta con “Auxiliares”, por lo que si bien, el Recurrente no es experto en la materia para conocer la denominación que cada Sujeto Obligado otorga a sus puestos, lo cierto es que, el Sujeto Obligado debió entregar la información relativa al personal que tienen los regidores, tal como se desprende</w:t>
      </w:r>
      <w:r w:rsidR="007655BF">
        <w:rPr>
          <w:rFonts w:ascii="Palatino Linotype" w:hAnsi="Palatino Linotype" w:cs="Arial"/>
        </w:rPr>
        <w:t xml:space="preserve"> y manera de ejemplo</w:t>
      </w:r>
      <w:r>
        <w:rPr>
          <w:rFonts w:ascii="Palatino Linotype" w:hAnsi="Palatino Linotype" w:cs="Arial"/>
        </w:rPr>
        <w:t>:</w:t>
      </w:r>
    </w:p>
    <w:p w14:paraId="6AE98ED6" w14:textId="77777777" w:rsidR="00CD30FB" w:rsidRDefault="007655BF" w:rsidP="00826DA6">
      <w:pPr>
        <w:spacing w:line="360" w:lineRule="auto"/>
        <w:jc w:val="both"/>
        <w:rPr>
          <w:rFonts w:ascii="Palatino Linotype" w:hAnsi="Palatino Linotype" w:cs="Arial"/>
        </w:rPr>
      </w:pPr>
      <w:r>
        <w:rPr>
          <w:rFonts w:ascii="Palatino Linotype" w:hAnsi="Palatino Linotype" w:cs="Arial"/>
          <w:noProof/>
          <w:lang w:val="es-MX" w:eastAsia="es-MX"/>
        </w:rPr>
        <w:drawing>
          <wp:inline distT="0" distB="0" distL="0" distR="0" wp14:anchorId="5F059998" wp14:editId="184F9693">
            <wp:extent cx="5791835" cy="20802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45E61.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7500" cy="2089478"/>
                    </a:xfrm>
                    <a:prstGeom prst="rect">
                      <a:avLst/>
                    </a:prstGeom>
                  </pic:spPr>
                </pic:pic>
              </a:graphicData>
            </a:graphic>
          </wp:inline>
        </w:drawing>
      </w:r>
    </w:p>
    <w:p w14:paraId="1D19AA45" w14:textId="77777777" w:rsidR="00072E42" w:rsidRDefault="00072E42" w:rsidP="00826DA6">
      <w:pPr>
        <w:spacing w:before="240" w:after="240" w:line="360" w:lineRule="auto"/>
        <w:jc w:val="both"/>
        <w:rPr>
          <w:rFonts w:ascii="Palatino Linotype" w:hAnsi="Palatino Linotype"/>
        </w:rPr>
      </w:pPr>
    </w:p>
    <w:p w14:paraId="7CA5DCB9" w14:textId="77777777" w:rsidR="00826DA6" w:rsidRDefault="00826DA6" w:rsidP="00826DA6">
      <w:pPr>
        <w:spacing w:before="240" w:after="240" w:line="360" w:lineRule="auto"/>
        <w:jc w:val="both"/>
        <w:rPr>
          <w:rFonts w:ascii="Palatino Linotype" w:hAnsi="Palatino Linotype"/>
        </w:rPr>
      </w:pPr>
      <w:r w:rsidRPr="003E0BC5">
        <w:rPr>
          <w:rFonts w:ascii="Palatino Linotype" w:hAnsi="Palatino Linotype"/>
        </w:rPr>
        <w:t xml:space="preserve">Aunado a lo anterior, </w:t>
      </w:r>
      <w:r w:rsidRPr="003E0BC5">
        <w:rPr>
          <w:rFonts w:ascii="Palatino Linotype" w:hAnsi="Palatino Linotype" w:cs="Arial"/>
          <w:color w:val="000000"/>
        </w:rPr>
        <w:t>l</w:t>
      </w:r>
      <w:r w:rsidRPr="003E0BC5">
        <w:rPr>
          <w:rFonts w:ascii="Palatino Linotype" w:hAnsi="Palatino Linotype"/>
          <w:color w:val="000000"/>
        </w:rPr>
        <w:t xml:space="preserve">os Lineamientos para la </w:t>
      </w:r>
      <w:r>
        <w:rPr>
          <w:rFonts w:ascii="Palatino Linotype" w:hAnsi="Palatino Linotype"/>
          <w:color w:val="000000"/>
        </w:rPr>
        <w:t>Presentación del Informe Trimestral Municipal Ejercicio Fiscal 2024</w:t>
      </w:r>
      <w:r w:rsidRPr="003E0BC5">
        <w:rPr>
          <w:rFonts w:ascii="Palatino Linotype" w:hAnsi="Palatino Linotype"/>
          <w:color w:val="000000"/>
        </w:rPr>
        <w:t>, visibles en la página oficial del Órgano Superior de Fiscalizaci</w:t>
      </w:r>
      <w:r>
        <w:rPr>
          <w:rFonts w:ascii="Palatino Linotype" w:hAnsi="Palatino Linotype"/>
          <w:color w:val="000000"/>
        </w:rPr>
        <w:t xml:space="preserve">ón del Estado de México (OSFEM), </w:t>
      </w:r>
      <w:r>
        <w:rPr>
          <w:rFonts w:ascii="Palatino Linotype" w:hAnsi="Palatino Linotype"/>
        </w:rPr>
        <w:t xml:space="preserve">donde se destaca que dentro de los informes trimestrales que </w:t>
      </w:r>
      <w:r>
        <w:rPr>
          <w:rFonts w:ascii="Palatino Linotype" w:hAnsi="Palatino Linotype"/>
          <w:b/>
        </w:rPr>
        <w:t xml:space="preserve">El Sujeto Obligado </w:t>
      </w:r>
      <w:r>
        <w:rPr>
          <w:rFonts w:ascii="Palatino Linotype" w:hAnsi="Palatino Linotype"/>
        </w:rPr>
        <w:t xml:space="preserve">tiene la obligación de rendir, se contempla precisamente la presentación de la información referente a la Conciliación de Nómina, </w:t>
      </w:r>
      <w:r w:rsidR="00072E42" w:rsidRPr="00072E42">
        <w:rPr>
          <w:rFonts w:ascii="Palatino Linotype" w:hAnsi="Palatino Linotype"/>
          <w:b/>
        </w:rPr>
        <w:t>por lo que de manera enunciativa más no limitativa, es el documento que puede dar cuenta de lo solicitado</w:t>
      </w:r>
      <w:r w:rsidR="00072E42">
        <w:rPr>
          <w:rFonts w:ascii="Palatino Linotype" w:hAnsi="Palatino Linotype"/>
        </w:rPr>
        <w:t xml:space="preserve">, </w:t>
      </w:r>
      <w:r>
        <w:rPr>
          <w:rFonts w:ascii="Palatino Linotype" w:hAnsi="Palatino Linotype"/>
        </w:rPr>
        <w:t>los cuales define como:</w:t>
      </w:r>
    </w:p>
    <w:p w14:paraId="0211A63D" w14:textId="643C848F" w:rsidR="00826DA6" w:rsidRDefault="00826DA6" w:rsidP="00826DA6">
      <w:pPr>
        <w:pStyle w:val="Prrafodelista"/>
        <w:numPr>
          <w:ilvl w:val="0"/>
          <w:numId w:val="6"/>
        </w:numPr>
        <w:spacing w:before="240" w:after="240" w:line="360" w:lineRule="auto"/>
        <w:jc w:val="both"/>
        <w:rPr>
          <w:rFonts w:ascii="Palatino Linotype" w:hAnsi="Palatino Linotype"/>
        </w:rPr>
      </w:pPr>
      <w:r w:rsidRPr="0038100F">
        <w:rPr>
          <w:rFonts w:ascii="Palatino Linotype" w:hAnsi="Palatino Linotype"/>
          <w:b/>
        </w:rPr>
        <w:t>Conciliación de Nómina:</w:t>
      </w:r>
      <w:r>
        <w:rPr>
          <w:rFonts w:ascii="Palatino Linotype" w:hAnsi="Palatino Linotype"/>
        </w:rPr>
        <w:t xml:space="preserve"> es el concentrado mensual de las cifras derivadas de todas las erogaciones realizadas por concepto de remuneraciones al trabajo, </w:t>
      </w:r>
      <w:r>
        <w:rPr>
          <w:rFonts w:ascii="Palatino Linotype" w:hAnsi="Palatino Linotype"/>
        </w:rPr>
        <w:lastRenderedPageBreak/>
        <w:t xml:space="preserve">registradas en la nómina; las cuales deben coincidir con las contenidas en los </w:t>
      </w:r>
      <w:r w:rsidR="000C53DB">
        <w:rPr>
          <w:rFonts w:ascii="Palatino Linotype" w:hAnsi="Palatino Linotype"/>
          <w:noProof/>
          <w:lang w:val="es-MX" w:eastAsia="es-MX"/>
        </w:rPr>
        <w:drawing>
          <wp:anchor distT="0" distB="0" distL="114300" distR="114300" simplePos="0" relativeHeight="251664384" behindDoc="0" locked="0" layoutInCell="1" allowOverlap="1" wp14:anchorId="182E7846" wp14:editId="5339C628">
            <wp:simplePos x="0" y="0"/>
            <wp:positionH relativeFrom="margin">
              <wp:align>left</wp:align>
            </wp:positionH>
            <wp:positionV relativeFrom="margin">
              <wp:posOffset>3561247</wp:posOffset>
            </wp:positionV>
            <wp:extent cx="3205480" cy="12858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4CAED.tmp"/>
                    <pic:cNvPicPr/>
                  </pic:nvPicPr>
                  <pic:blipFill>
                    <a:blip r:embed="rId12">
                      <a:extLst>
                        <a:ext uri="{28A0092B-C50C-407E-A947-70E740481C1C}">
                          <a14:useLocalDpi xmlns:a14="http://schemas.microsoft.com/office/drawing/2010/main" val="0"/>
                        </a:ext>
                      </a:extLst>
                    </a:blip>
                    <a:stretch>
                      <a:fillRect/>
                    </a:stretch>
                  </pic:blipFill>
                  <pic:spPr>
                    <a:xfrm>
                      <a:off x="0" y="0"/>
                      <a:ext cx="3205480" cy="1285875"/>
                    </a:xfrm>
                    <a:prstGeom prst="rect">
                      <a:avLst/>
                    </a:prstGeom>
                  </pic:spPr>
                </pic:pic>
              </a:graphicData>
            </a:graphic>
            <wp14:sizeRelH relativeFrom="margin">
              <wp14:pctWidth>0</wp14:pctWidth>
            </wp14:sizeRelH>
            <wp14:sizeRelV relativeFrom="margin">
              <wp14:pctHeight>0</wp14:pctHeight>
            </wp14:sizeRelV>
          </wp:anchor>
        </w:drawing>
      </w:r>
      <w:r w:rsidR="000C53DB">
        <w:rPr>
          <w:rFonts w:ascii="Palatino Linotype" w:hAnsi="Palatino Linotype"/>
          <w:noProof/>
          <w:lang w:val="es-MX" w:eastAsia="es-MX"/>
        </w:rPr>
        <w:drawing>
          <wp:anchor distT="0" distB="0" distL="114300" distR="114300" simplePos="0" relativeHeight="251665408" behindDoc="0" locked="0" layoutInCell="1" allowOverlap="1" wp14:anchorId="39D85B09" wp14:editId="4385F6EA">
            <wp:simplePos x="0" y="0"/>
            <wp:positionH relativeFrom="margin">
              <wp:posOffset>3336026</wp:posOffset>
            </wp:positionH>
            <wp:positionV relativeFrom="margin">
              <wp:posOffset>920067</wp:posOffset>
            </wp:positionV>
            <wp:extent cx="2590165" cy="3362325"/>
            <wp:effectExtent l="0" t="0" r="63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149013.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0165" cy="3362325"/>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rPr>
        <w:t>registros contables, por concepto de remuneraciones o trabajo personal.</w:t>
      </w:r>
    </w:p>
    <w:p w14:paraId="7A231D8A" w14:textId="3FD4DD59" w:rsidR="00826DA6" w:rsidRDefault="000C53DB" w:rsidP="00E13A74">
      <w:pPr>
        <w:pStyle w:val="Prrafodelista"/>
        <w:spacing w:before="240" w:after="240" w:line="360" w:lineRule="auto"/>
        <w:ind w:left="720"/>
        <w:rPr>
          <w:rFonts w:ascii="Palatino Linotype" w:hAnsi="Palatino Linotype"/>
        </w:rPr>
      </w:pPr>
      <w:r>
        <w:rPr>
          <w:rFonts w:ascii="Palatino Linotype" w:hAnsi="Palatino Linotype"/>
          <w:noProof/>
          <w:lang w:val="es-MX" w:eastAsia="es-MX"/>
        </w:rPr>
        <w:drawing>
          <wp:anchor distT="0" distB="0" distL="114300" distR="114300" simplePos="0" relativeHeight="251663360" behindDoc="0" locked="0" layoutInCell="1" allowOverlap="1" wp14:anchorId="2A093808" wp14:editId="3419CB02">
            <wp:simplePos x="0" y="0"/>
            <wp:positionH relativeFrom="margin">
              <wp:align>left</wp:align>
            </wp:positionH>
            <wp:positionV relativeFrom="margin">
              <wp:posOffset>771274</wp:posOffset>
            </wp:positionV>
            <wp:extent cx="3314700" cy="26955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45C63.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14700" cy="2695575"/>
                    </a:xfrm>
                    <a:prstGeom prst="rect">
                      <a:avLst/>
                    </a:prstGeom>
                  </pic:spPr>
                </pic:pic>
              </a:graphicData>
            </a:graphic>
            <wp14:sizeRelH relativeFrom="margin">
              <wp14:pctWidth>0</wp14:pctWidth>
            </wp14:sizeRelH>
            <wp14:sizeRelV relativeFrom="margin">
              <wp14:pctHeight>0</wp14:pctHeight>
            </wp14:sizeRelV>
          </wp:anchor>
        </w:drawing>
      </w:r>
    </w:p>
    <w:p w14:paraId="30313DDC" w14:textId="50A66054" w:rsidR="00826DA6" w:rsidRDefault="000C53DB" w:rsidP="00E13A74">
      <w:pPr>
        <w:pStyle w:val="Prrafodelista"/>
        <w:spacing w:before="240" w:after="240" w:line="360" w:lineRule="auto"/>
        <w:ind w:left="720"/>
        <w:jc w:val="center"/>
        <w:rPr>
          <w:rFonts w:ascii="Palatino Linotype" w:hAnsi="Palatino Linotype"/>
        </w:rPr>
      </w:pPr>
      <w:r>
        <w:rPr>
          <w:rFonts w:ascii="Palatino Linotype" w:hAnsi="Palatino Linotype"/>
          <w:noProof/>
          <w:lang w:val="es-MX" w:eastAsia="es-MX"/>
        </w:rPr>
        <w:drawing>
          <wp:anchor distT="0" distB="0" distL="114300" distR="114300" simplePos="0" relativeHeight="251666432" behindDoc="0" locked="0" layoutInCell="1" allowOverlap="1" wp14:anchorId="15C2FEE2" wp14:editId="643F208F">
            <wp:simplePos x="0" y="0"/>
            <wp:positionH relativeFrom="margin">
              <wp:align>left</wp:align>
            </wp:positionH>
            <wp:positionV relativeFrom="margin">
              <wp:posOffset>4921358</wp:posOffset>
            </wp:positionV>
            <wp:extent cx="3500120" cy="1114425"/>
            <wp:effectExtent l="0" t="0" r="508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14F575.tmp"/>
                    <pic:cNvPicPr/>
                  </pic:nvPicPr>
                  <pic:blipFill>
                    <a:blip r:embed="rId15">
                      <a:extLst>
                        <a:ext uri="{28A0092B-C50C-407E-A947-70E740481C1C}">
                          <a14:useLocalDpi xmlns:a14="http://schemas.microsoft.com/office/drawing/2010/main" val="0"/>
                        </a:ext>
                      </a:extLst>
                    </a:blip>
                    <a:stretch>
                      <a:fillRect/>
                    </a:stretch>
                  </pic:blipFill>
                  <pic:spPr>
                    <a:xfrm>
                      <a:off x="0" y="0"/>
                      <a:ext cx="3500120" cy="1114425"/>
                    </a:xfrm>
                    <a:prstGeom prst="rect">
                      <a:avLst/>
                    </a:prstGeom>
                  </pic:spPr>
                </pic:pic>
              </a:graphicData>
            </a:graphic>
            <wp14:sizeRelH relativeFrom="margin">
              <wp14:pctWidth>0</wp14:pctWidth>
            </wp14:sizeRelH>
            <wp14:sizeRelV relativeFrom="margin">
              <wp14:pctHeight>0</wp14:pctHeight>
            </wp14:sizeRelV>
          </wp:anchor>
        </w:drawing>
      </w:r>
    </w:p>
    <w:p w14:paraId="6C1EDBBD" w14:textId="3E2C9D96" w:rsidR="00E13A74" w:rsidRDefault="00E13A74" w:rsidP="00E13A74">
      <w:pPr>
        <w:pStyle w:val="Prrafodelista"/>
        <w:spacing w:before="240" w:after="240" w:line="360" w:lineRule="auto"/>
        <w:ind w:left="720"/>
        <w:jc w:val="center"/>
        <w:rPr>
          <w:rFonts w:ascii="Palatino Linotype" w:hAnsi="Palatino Linotype"/>
        </w:rPr>
      </w:pPr>
    </w:p>
    <w:p w14:paraId="64D0FE31" w14:textId="77777777" w:rsidR="000C53DB" w:rsidRDefault="000C53DB" w:rsidP="00826DA6">
      <w:pPr>
        <w:autoSpaceDE w:val="0"/>
        <w:autoSpaceDN w:val="0"/>
        <w:adjustRightInd w:val="0"/>
        <w:spacing w:line="360" w:lineRule="auto"/>
        <w:ind w:right="49"/>
        <w:contextualSpacing/>
        <w:jc w:val="both"/>
        <w:rPr>
          <w:rFonts w:ascii="Palatino Linotype" w:hAnsi="Palatino Linotype"/>
        </w:rPr>
      </w:pPr>
    </w:p>
    <w:p w14:paraId="083F5BF2" w14:textId="77777777" w:rsidR="000C53DB" w:rsidRDefault="000C53DB" w:rsidP="00826DA6">
      <w:pPr>
        <w:autoSpaceDE w:val="0"/>
        <w:autoSpaceDN w:val="0"/>
        <w:adjustRightInd w:val="0"/>
        <w:spacing w:line="360" w:lineRule="auto"/>
        <w:ind w:right="49"/>
        <w:contextualSpacing/>
        <w:jc w:val="both"/>
        <w:rPr>
          <w:rFonts w:ascii="Palatino Linotype" w:eastAsiaTheme="minorHAnsi" w:hAnsi="Palatino Linotype" w:cs="Arial"/>
          <w:lang w:val="es-MX" w:eastAsia="en-US"/>
        </w:rPr>
      </w:pPr>
    </w:p>
    <w:p w14:paraId="264A1201" w14:textId="77777777" w:rsidR="00826DA6" w:rsidRDefault="00826DA6" w:rsidP="00826DA6">
      <w:pPr>
        <w:autoSpaceDE w:val="0"/>
        <w:autoSpaceDN w:val="0"/>
        <w:adjustRightInd w:val="0"/>
        <w:spacing w:line="360" w:lineRule="auto"/>
        <w:ind w:right="49"/>
        <w:contextualSpacing/>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lo anteriormente expuesto, este Instituto advierte que tanto en la nómina general o recibos de pagos de salarios es donde se registran las remuneraciones otorgadas a los servidores públicos, las cuales de acuerdo con los artículos 127 de la </w:t>
      </w:r>
      <w:r w:rsidRPr="002C5A45">
        <w:rPr>
          <w:rFonts w:ascii="Palatino Linotype" w:eastAsiaTheme="minorHAnsi" w:hAnsi="Palatino Linotype" w:cs="Arial"/>
          <w:b/>
          <w:lang w:val="es-MX" w:eastAsia="en-US"/>
        </w:rPr>
        <w:t>Constitución Política de los Estados Unidos Mexicanos</w:t>
      </w:r>
      <w:r w:rsidRPr="002C5A45">
        <w:rPr>
          <w:rFonts w:ascii="Palatino Linotype" w:eastAsiaTheme="minorHAnsi" w:hAnsi="Palatino Linotype" w:cs="Arial"/>
          <w:lang w:val="es-MX" w:eastAsia="en-US"/>
        </w:rPr>
        <w:t xml:space="preserve"> y 3, fracción XXXII del </w:t>
      </w:r>
      <w:r w:rsidRPr="002C5A45">
        <w:rPr>
          <w:rFonts w:ascii="Palatino Linotype" w:eastAsiaTheme="minorHAnsi" w:hAnsi="Palatino Linotype" w:cs="Arial"/>
          <w:b/>
          <w:lang w:val="es-MX" w:eastAsia="en-US"/>
        </w:rPr>
        <w:t xml:space="preserve">Código Financiero </w:t>
      </w:r>
      <w:r w:rsidRPr="002C5A45">
        <w:rPr>
          <w:rFonts w:ascii="Palatino Linotype" w:eastAsiaTheme="minorHAnsi" w:hAnsi="Palatino Linotype" w:cs="Arial"/>
          <w:b/>
          <w:lang w:val="es-MX" w:eastAsia="en-US"/>
        </w:rPr>
        <w:lastRenderedPageBreak/>
        <w:t>del Estado de México y Municipios</w:t>
      </w:r>
      <w:r w:rsidRPr="002C5A45">
        <w:rPr>
          <w:rFonts w:ascii="Palatino Linotype" w:eastAsiaTheme="minorHAnsi" w:hAnsi="Palatino Linotype" w:cs="Arial"/>
          <w:lang w:val="es-MX" w:eastAsia="en-US"/>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14:paraId="09A4858D" w14:textId="18B97705" w:rsidR="00826DA6" w:rsidRDefault="00826DA6" w:rsidP="000C53DB">
      <w:pPr>
        <w:spacing w:before="240" w:after="240" w:line="360" w:lineRule="auto"/>
        <w:jc w:val="both"/>
        <w:rPr>
          <w:rFonts w:ascii="Palatino Linotype" w:hAnsi="Palatino Linotype" w:cs="Arial"/>
        </w:rPr>
      </w:pPr>
      <w:r w:rsidRPr="00B272A6">
        <w:rPr>
          <w:rFonts w:ascii="Palatino Linotype" w:hAnsi="Palatino Linotype" w:cs="Arial"/>
        </w:rPr>
        <w:t xml:space="preserve">En este sentido, </w:t>
      </w:r>
      <w:r w:rsidRPr="00B272A6">
        <w:rPr>
          <w:rFonts w:ascii="Palatino Linotype" w:hAnsi="Palatino Linotype" w:cs="Arial"/>
          <w:b/>
        </w:rPr>
        <w:t>E</w:t>
      </w:r>
      <w:r>
        <w:rPr>
          <w:rFonts w:ascii="Palatino Linotype" w:hAnsi="Palatino Linotype" w:cs="Arial"/>
          <w:b/>
        </w:rPr>
        <w:t>l</w:t>
      </w:r>
      <w:r w:rsidRPr="00B272A6">
        <w:rPr>
          <w:rFonts w:ascii="Palatino Linotype" w:hAnsi="Palatino Linotype" w:cs="Arial"/>
          <w:b/>
        </w:rPr>
        <w:t xml:space="preserve"> </w:t>
      </w:r>
      <w:r>
        <w:rPr>
          <w:rFonts w:ascii="Palatino Linotype" w:hAnsi="Palatino Linotype" w:cs="Arial"/>
          <w:b/>
        </w:rPr>
        <w:t>Sujeto</w:t>
      </w:r>
      <w:r w:rsidRPr="00B272A6">
        <w:rPr>
          <w:rFonts w:ascii="Palatino Linotype" w:hAnsi="Palatino Linotype" w:cs="Arial"/>
          <w:b/>
        </w:rPr>
        <w:t xml:space="preserve"> </w:t>
      </w:r>
      <w:r>
        <w:rPr>
          <w:rFonts w:ascii="Palatino Linotype" w:hAnsi="Palatino Linotype" w:cs="Arial"/>
          <w:b/>
        </w:rPr>
        <w:t>Obligado</w:t>
      </w:r>
      <w:r w:rsidRPr="00B272A6">
        <w:rPr>
          <w:rFonts w:ascii="Palatino Linotype" w:hAnsi="Palatino Linotype" w:cs="Arial"/>
        </w:rPr>
        <w:t xml:space="preserve"> se encuentra constreñido a entregar la información solicitada por</w:t>
      </w:r>
      <w:r>
        <w:rPr>
          <w:rFonts w:ascii="Palatino Linotype" w:hAnsi="Palatino Linotype" w:cs="Arial"/>
        </w:rPr>
        <w:t xml:space="preserve"> </w:t>
      </w:r>
      <w:r>
        <w:rPr>
          <w:rFonts w:ascii="Palatino Linotype" w:hAnsi="Palatino Linotype" w:cs="Arial"/>
          <w:b/>
        </w:rPr>
        <w:t>El</w:t>
      </w:r>
      <w:r w:rsidRPr="00B272A6">
        <w:rPr>
          <w:rFonts w:ascii="Palatino Linotype" w:hAnsi="Palatino Linotype" w:cs="Arial"/>
          <w:b/>
          <w:color w:val="000000"/>
          <w:lang w:eastAsia="es-MX"/>
        </w:rPr>
        <w:t xml:space="preserve"> R</w:t>
      </w:r>
      <w:r>
        <w:rPr>
          <w:rFonts w:ascii="Palatino Linotype" w:hAnsi="Palatino Linotype" w:cs="Arial"/>
          <w:b/>
          <w:color w:val="000000"/>
          <w:lang w:eastAsia="es-MX"/>
        </w:rPr>
        <w:t>ecurrente</w:t>
      </w:r>
      <w:r w:rsidRPr="00B272A6">
        <w:rPr>
          <w:rFonts w:ascii="Palatino Linotype" w:hAnsi="Palatino Linotype" w:cs="Arial"/>
        </w:rPr>
        <w:t xml:space="preserve">, de acuerdo a lo dispuesto por los artículos 3, fracción XI y 12 </w:t>
      </w:r>
      <w:r w:rsidRPr="00B272A6">
        <w:rPr>
          <w:rFonts w:ascii="Palatino Linotype" w:hAnsi="Palatino Linotype" w:cs="Arial"/>
          <w:bCs/>
        </w:rPr>
        <w:t>de la Ley de Transparencia y Acceso a la Información Pública del Estado de México y Municipios</w:t>
      </w:r>
      <w:r w:rsidRPr="00B272A6">
        <w:rPr>
          <w:rFonts w:ascii="Palatino Linotype" w:hAnsi="Palatino Linotype" w:cs="Arial"/>
        </w:rPr>
        <w:t>, de los cuales se desprende que es información pública la contenida en los documentos que los Sujetos Obligados generen, administren o se encuentre en su posesión en ejercicio de sus atribuciones.</w:t>
      </w:r>
    </w:p>
    <w:p w14:paraId="1E17BCC2" w14:textId="77777777" w:rsidR="000C53DB" w:rsidRPr="000C53DB" w:rsidRDefault="000C53DB" w:rsidP="000C53DB">
      <w:pPr>
        <w:spacing w:before="240" w:after="240" w:line="360" w:lineRule="auto"/>
        <w:jc w:val="both"/>
        <w:rPr>
          <w:rFonts w:ascii="Palatino Linotype" w:hAnsi="Palatino Linotype" w:cs="Arial"/>
        </w:rPr>
      </w:pPr>
    </w:p>
    <w:p w14:paraId="07A41D9D" w14:textId="77777777" w:rsidR="00826DA6" w:rsidRPr="002C5A45" w:rsidRDefault="00826DA6" w:rsidP="00826DA6">
      <w:pPr>
        <w:autoSpaceDE w:val="0"/>
        <w:autoSpaceDN w:val="0"/>
        <w:adjustRightInd w:val="0"/>
        <w:spacing w:before="240" w:after="160" w:line="360" w:lineRule="auto"/>
        <w:jc w:val="both"/>
        <w:rPr>
          <w:rFonts w:ascii="Palatino Linotype" w:eastAsiaTheme="minorHAnsi" w:hAnsi="Palatino Linotype" w:cs="Arial"/>
          <w:lang w:val="es-MX" w:eastAsia="en-US"/>
        </w:rPr>
      </w:pPr>
      <w:r w:rsidRPr="002C5A45">
        <w:rPr>
          <w:rFonts w:ascii="Palatino Linotype" w:eastAsiaTheme="minorHAnsi" w:hAnsi="Palatino Linotype" w:cs="Arial"/>
          <w:lang w:val="es-MX" w:eastAsia="en-US"/>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3E10BAA9"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24. </w:t>
      </w:r>
      <w:r w:rsidRPr="002C5A45">
        <w:rPr>
          <w:rFonts w:ascii="Palatino Linotype" w:eastAsiaTheme="minorHAns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14:paraId="22D5BD8A"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Arial"/>
          <w:b/>
          <w:bCs/>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XII. </w:t>
      </w:r>
      <w:r w:rsidRPr="002C5A45">
        <w:rPr>
          <w:rFonts w:ascii="Palatino Linotype" w:eastAsiaTheme="minorHAnsi" w:hAnsi="Palatino Linotype" w:cs="Arial"/>
          <w:b/>
          <w:i/>
          <w:color w:val="000000"/>
          <w:sz w:val="22"/>
          <w:szCs w:val="22"/>
          <w:u w:val="single"/>
          <w:lang w:val="es-MX" w:eastAsia="en-US"/>
        </w:rPr>
        <w:t>Publicar y mantener actualizada la información relativa a las obligaciones generales de transparencia</w:t>
      </w:r>
      <w:r w:rsidRPr="002C5A45">
        <w:rPr>
          <w:rFonts w:ascii="Palatino Linotype" w:eastAsiaTheme="minorHAnsi" w:hAnsi="Palatino Linotype" w:cs="Arial"/>
          <w:i/>
          <w:color w:val="000000"/>
          <w:sz w:val="22"/>
          <w:szCs w:val="22"/>
          <w:lang w:val="es-MX" w:eastAsia="en-US"/>
        </w:rPr>
        <w:t xml:space="preserve"> previstas en la presente Ley o determinadas así por el Instituto, y en general aquella que sea de interés público;</w:t>
      </w:r>
    </w:p>
    <w:p w14:paraId="7CD52967"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 xml:space="preserve">Artículo 92. </w:t>
      </w:r>
      <w:r w:rsidRPr="002C5A45">
        <w:rPr>
          <w:rFonts w:ascii="Palatino Linotype" w:eastAsiaTheme="minorHAnsi" w:hAnsi="Palatino Linotype" w:cs="Arial"/>
          <w:i/>
          <w:color w:val="000000"/>
          <w:sz w:val="22"/>
          <w:szCs w:val="22"/>
          <w:lang w:val="es-MX" w:eastAsia="en-US"/>
        </w:rPr>
        <w:t>Los sujetos obligados deberán poner a disposic</w:t>
      </w:r>
      <w:bookmarkStart w:id="0" w:name="_GoBack"/>
      <w:bookmarkEnd w:id="0"/>
      <w:r w:rsidRPr="002C5A45">
        <w:rPr>
          <w:rFonts w:ascii="Palatino Linotype" w:eastAsiaTheme="minorHAnsi" w:hAnsi="Palatino Linotype" w:cs="Arial"/>
          <w:i/>
          <w:color w:val="000000"/>
          <w:sz w:val="22"/>
          <w:szCs w:val="22"/>
          <w:lang w:val="es-MX" w:eastAsia="en-US"/>
        </w:rPr>
        <w:t xml:space="preserve">ión del público de manera permanente y actualizada de forma sencilla, precisa y entendible, en los respectivos </w:t>
      </w:r>
      <w:r w:rsidRPr="002C5A45">
        <w:rPr>
          <w:rFonts w:ascii="Palatino Linotype" w:eastAsiaTheme="minorHAnsi" w:hAnsi="Palatino Linotype" w:cs="Arial"/>
          <w:i/>
          <w:color w:val="000000"/>
          <w:sz w:val="22"/>
          <w:szCs w:val="22"/>
          <w:lang w:val="es-MX" w:eastAsia="en-US"/>
        </w:rPr>
        <w:lastRenderedPageBreak/>
        <w:t xml:space="preserve">medios electrónicos, de acuerdo con sus facultades, atribuciones, funciones u objeto social, según corresponda, la información, por lo menos, de los temas, documentos y políticas que a continuación se señalan: </w:t>
      </w:r>
    </w:p>
    <w:p w14:paraId="18A23F32"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Arial"/>
          <w:i/>
          <w:color w:val="000000"/>
          <w:sz w:val="22"/>
          <w:szCs w:val="22"/>
          <w:lang w:val="es-MX" w:eastAsia="en-US"/>
        </w:rPr>
      </w:pPr>
      <w:r w:rsidRPr="002C5A45">
        <w:rPr>
          <w:rFonts w:ascii="Palatino Linotype" w:eastAsiaTheme="minorHAnsi" w:hAnsi="Palatino Linotype" w:cs="Arial"/>
          <w:b/>
          <w:bCs/>
          <w:i/>
          <w:color w:val="000000"/>
          <w:sz w:val="22"/>
          <w:szCs w:val="22"/>
          <w:lang w:val="es-MX" w:eastAsia="en-US"/>
        </w:rPr>
        <w:t>(…</w:t>
      </w:r>
      <w:r w:rsidRPr="002C5A45">
        <w:rPr>
          <w:rFonts w:ascii="Palatino Linotype" w:eastAsiaTheme="minorHAnsi" w:hAnsi="Palatino Linotype" w:cs="Arial"/>
          <w:i/>
          <w:color w:val="000000"/>
          <w:sz w:val="22"/>
          <w:szCs w:val="22"/>
          <w:lang w:val="es-MX" w:eastAsia="en-US"/>
        </w:rPr>
        <w:t>)</w:t>
      </w:r>
    </w:p>
    <w:p w14:paraId="235F0E7F"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bCs/>
          <w:i/>
          <w:sz w:val="22"/>
          <w:szCs w:val="22"/>
          <w:u w:val="single"/>
          <w:lang w:val="es-MX" w:eastAsia="en-US"/>
        </w:rPr>
        <w:t xml:space="preserve">VIII. </w:t>
      </w:r>
      <w:r w:rsidRPr="002C5A45">
        <w:rPr>
          <w:rFonts w:ascii="Palatino Linotype" w:eastAsiaTheme="minorHAnsi" w:hAnsi="Palatino Linotype" w:cstheme="minorBidi"/>
          <w:b/>
          <w:i/>
          <w:sz w:val="22"/>
          <w:szCs w:val="22"/>
          <w:u w:val="single"/>
          <w:lang w:val="es-MX"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0BBF3DC" w14:textId="77777777" w:rsidR="00826DA6" w:rsidRPr="002C5A45" w:rsidRDefault="00826DA6" w:rsidP="00826DA6">
      <w:pPr>
        <w:autoSpaceDE w:val="0"/>
        <w:autoSpaceDN w:val="0"/>
        <w:adjustRightInd w:val="0"/>
        <w:spacing w:before="240" w:after="160" w:line="360" w:lineRule="auto"/>
        <w:ind w:left="851" w:right="851"/>
        <w:jc w:val="both"/>
        <w:rPr>
          <w:rFonts w:ascii="Palatino Linotype" w:eastAsiaTheme="minorHAnsi" w:hAnsi="Palatino Linotype" w:cstheme="minorBidi"/>
          <w:b/>
          <w:i/>
          <w:sz w:val="22"/>
          <w:szCs w:val="22"/>
          <w:u w:val="single"/>
          <w:lang w:val="es-MX" w:eastAsia="en-US"/>
        </w:rPr>
      </w:pPr>
      <w:r w:rsidRPr="002C5A45">
        <w:rPr>
          <w:rFonts w:ascii="Palatino Linotype" w:eastAsiaTheme="minorHAnsi" w:hAnsi="Palatino Linotype" w:cstheme="minorBidi"/>
          <w:b/>
          <w:i/>
          <w:sz w:val="22"/>
          <w:szCs w:val="22"/>
          <w:u w:val="single"/>
          <w:lang w:val="es-MX" w:eastAsia="en-US"/>
        </w:rPr>
        <w:t>(…)”</w:t>
      </w:r>
      <w:r w:rsidRPr="002C5A45">
        <w:rPr>
          <w:rFonts w:ascii="Palatino Linotype" w:eastAsiaTheme="minorHAnsi" w:hAnsi="Palatino Linotype" w:cstheme="minorBidi"/>
          <w:i/>
          <w:sz w:val="22"/>
          <w:szCs w:val="22"/>
          <w:u w:val="single"/>
          <w:lang w:val="es-MX" w:eastAsia="en-US"/>
        </w:rPr>
        <w:t xml:space="preserve"> </w:t>
      </w:r>
      <w:r w:rsidRPr="002C5A45">
        <w:rPr>
          <w:rFonts w:ascii="Palatino Linotype" w:eastAsiaTheme="minorHAnsi" w:hAnsi="Palatino Linotype" w:cstheme="minorBidi"/>
          <w:b/>
          <w:i/>
          <w:sz w:val="22"/>
          <w:szCs w:val="22"/>
          <w:u w:val="single"/>
          <w:lang w:val="es-MX" w:eastAsia="en-US"/>
        </w:rPr>
        <w:t>[Sic]</w:t>
      </w:r>
    </w:p>
    <w:p w14:paraId="1586EA9C" w14:textId="77777777" w:rsidR="00826DA6" w:rsidRDefault="00826DA6" w:rsidP="00826DA6">
      <w:pPr>
        <w:spacing w:line="360" w:lineRule="auto"/>
        <w:contextualSpacing/>
        <w:jc w:val="both"/>
        <w:rPr>
          <w:rFonts w:ascii="Palatino Linotype" w:eastAsia="Palatino Linotype" w:hAnsi="Palatino Linotype" w:cs="Palatino Linotype"/>
        </w:rPr>
      </w:pPr>
    </w:p>
    <w:p w14:paraId="73E3122C" w14:textId="77777777" w:rsidR="00F30663" w:rsidRDefault="00F16009" w:rsidP="00F16009">
      <w:pPr>
        <w:pStyle w:val="Sinespaciado"/>
        <w:spacing w:line="360" w:lineRule="auto"/>
        <w:jc w:val="both"/>
        <w:rPr>
          <w:rFonts w:ascii="Palatino Linotype" w:eastAsia="Palatino Linotype" w:hAnsi="Palatino Linotype" w:cs="Palatino Linotype"/>
          <w:sz w:val="24"/>
        </w:rPr>
      </w:pPr>
      <w:r w:rsidRPr="00E27DC5">
        <w:rPr>
          <w:rFonts w:ascii="Palatino Linotype" w:hAnsi="Palatino Linotype"/>
          <w:sz w:val="24"/>
        </w:rPr>
        <w:t xml:space="preserve">En razón de lo anterior, se arriba a la conclusión de que la información requerida no solo obra en los archivos del </w:t>
      </w:r>
      <w:r w:rsidRPr="00E27DC5">
        <w:rPr>
          <w:rFonts w:ascii="Palatino Linotype" w:hAnsi="Palatino Linotype"/>
          <w:b/>
          <w:bCs/>
          <w:sz w:val="24"/>
        </w:rPr>
        <w:t xml:space="preserve">Sujeto Obligado, </w:t>
      </w:r>
      <w:r w:rsidRPr="00E27DC5">
        <w:rPr>
          <w:rFonts w:ascii="Palatino Linotype" w:hAnsi="Palatino Linotype"/>
          <w:sz w:val="24"/>
        </w:rPr>
        <w:t>sino que obra en las fronteras conceptuales de las oblig</w:t>
      </w:r>
      <w:r>
        <w:rPr>
          <w:rFonts w:ascii="Palatino Linotype" w:hAnsi="Palatino Linotype"/>
          <w:sz w:val="24"/>
        </w:rPr>
        <w:t xml:space="preserve">aciones de transparencia común, </w:t>
      </w:r>
      <w:r w:rsidR="00F30663" w:rsidRPr="00F16009">
        <w:rPr>
          <w:rFonts w:ascii="Palatino Linotype" w:eastAsia="Palatino Linotype" w:hAnsi="Palatino Linotype" w:cs="Palatino Linotype"/>
          <w:sz w:val="24"/>
        </w:rPr>
        <w:t>este Órgano Garante estima que las razones o motivos de inconformidad planteados en el recurso de revisión devienen fundados.</w:t>
      </w:r>
    </w:p>
    <w:p w14:paraId="693D2854" w14:textId="77777777" w:rsidR="00DE27AA" w:rsidRDefault="00DE27AA" w:rsidP="00DE27AA">
      <w:pPr>
        <w:spacing w:line="360" w:lineRule="auto"/>
        <w:ind w:right="142"/>
        <w:jc w:val="both"/>
        <w:rPr>
          <w:rFonts w:ascii="Palatino Linotype" w:hAnsi="Palatino Linotype"/>
        </w:rPr>
      </w:pPr>
    </w:p>
    <w:p w14:paraId="6A411294" w14:textId="77777777" w:rsidR="00DE27AA" w:rsidRPr="009E63DA" w:rsidRDefault="00DE27AA" w:rsidP="00DE27AA">
      <w:pPr>
        <w:spacing w:line="360" w:lineRule="auto"/>
        <w:jc w:val="both"/>
        <w:rPr>
          <w:rFonts w:ascii="Palatino Linotype" w:hAnsi="Palatino Linotype" w:cs="Arial"/>
        </w:rPr>
      </w:pPr>
      <w:r w:rsidRPr="009E63DA">
        <w:rPr>
          <w:rFonts w:ascii="Palatino Linotype" w:hAnsi="Palatino Linotype" w:cs="Arial"/>
        </w:rPr>
        <w:t xml:space="preserve">Ahora bien,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5D729F77" w14:textId="77777777" w:rsidR="00DE27AA" w:rsidRPr="009E63DA" w:rsidRDefault="00DE27AA" w:rsidP="00DE27AA">
      <w:pPr>
        <w:ind w:left="567" w:right="567"/>
        <w:jc w:val="both"/>
        <w:rPr>
          <w:rFonts w:ascii="Palatino Linotype" w:hAnsi="Palatino Linotype"/>
        </w:rPr>
      </w:pPr>
    </w:p>
    <w:p w14:paraId="115C810F" w14:textId="77777777" w:rsidR="00DE27AA" w:rsidRPr="009E63DA" w:rsidRDefault="00DE27AA" w:rsidP="00DE27AA">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24CFD459" w14:textId="77777777" w:rsidR="00DE27AA" w:rsidRPr="009E63DA" w:rsidRDefault="00DE27AA" w:rsidP="00DE27AA">
      <w:pPr>
        <w:ind w:left="851" w:right="851"/>
        <w:jc w:val="both"/>
        <w:rPr>
          <w:rFonts w:ascii="Palatino Linotype" w:hAnsi="Palatino Linotype"/>
          <w:i/>
        </w:rPr>
      </w:pPr>
      <w:r w:rsidRPr="009E63DA">
        <w:rPr>
          <w:rFonts w:ascii="Palatino Linotype" w:hAnsi="Palatino Linotype"/>
          <w:i/>
        </w:rPr>
        <w:t>…</w:t>
      </w:r>
    </w:p>
    <w:p w14:paraId="54122123" w14:textId="77777777" w:rsidR="00DE27AA" w:rsidRPr="009E63DA" w:rsidRDefault="00DE27AA" w:rsidP="00DE27AA">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lastRenderedPageBreak/>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568E2E81" w14:textId="77777777" w:rsidR="00DE27AA" w:rsidRPr="009E63DA" w:rsidRDefault="00DE27AA" w:rsidP="00DE27AA">
      <w:pPr>
        <w:ind w:left="851" w:right="851"/>
        <w:jc w:val="both"/>
        <w:rPr>
          <w:rFonts w:ascii="Palatino Linotype" w:hAnsi="Palatino Linotype"/>
          <w:i/>
        </w:rPr>
      </w:pPr>
    </w:p>
    <w:p w14:paraId="279AEF32" w14:textId="77777777" w:rsidR="00DE27AA" w:rsidRPr="009E63DA" w:rsidRDefault="00DE27AA" w:rsidP="00DE27AA">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DD70CF4" w14:textId="77777777" w:rsidR="00DE27AA" w:rsidRPr="009E63DA" w:rsidRDefault="00DE27AA" w:rsidP="00DE27AA">
      <w:pPr>
        <w:ind w:left="851" w:right="851"/>
        <w:jc w:val="both"/>
        <w:rPr>
          <w:rFonts w:ascii="Palatino Linotype" w:hAnsi="Palatino Linotype"/>
          <w:bCs/>
          <w:i/>
        </w:rPr>
      </w:pPr>
    </w:p>
    <w:p w14:paraId="3E18EAE5" w14:textId="77777777" w:rsidR="00DE27AA" w:rsidRPr="009E63DA" w:rsidRDefault="00DE27AA" w:rsidP="00DE27AA">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CF82F94" w14:textId="77777777" w:rsidR="00DE27AA" w:rsidRPr="009E63DA" w:rsidRDefault="00DE27AA" w:rsidP="00DE27AA">
      <w:pPr>
        <w:ind w:left="851" w:right="851"/>
        <w:jc w:val="both"/>
        <w:rPr>
          <w:rFonts w:ascii="Palatino Linotype" w:hAnsi="Palatino Linotype"/>
          <w:bCs/>
          <w:i/>
        </w:rPr>
      </w:pPr>
    </w:p>
    <w:p w14:paraId="3846192F" w14:textId="77777777" w:rsidR="00DE27AA" w:rsidRPr="009E63DA" w:rsidRDefault="00DE27AA" w:rsidP="00DE27AA">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7440E06F" w14:textId="77777777" w:rsidR="00DE27AA" w:rsidRPr="009E63DA" w:rsidRDefault="00DE27AA" w:rsidP="00DE27AA">
      <w:pPr>
        <w:ind w:left="851" w:right="851"/>
        <w:jc w:val="both"/>
        <w:rPr>
          <w:rFonts w:ascii="Palatino Linotype" w:hAnsi="Palatino Linotype"/>
          <w:i/>
        </w:rPr>
      </w:pPr>
    </w:p>
    <w:p w14:paraId="77EF03A6" w14:textId="77777777" w:rsidR="00DE27AA" w:rsidRPr="009E63DA" w:rsidRDefault="00DE27AA" w:rsidP="00DE27AA">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276BE4ED" w14:textId="77777777" w:rsidR="00DE27AA" w:rsidRPr="009E63DA" w:rsidRDefault="00DE27AA" w:rsidP="00DE27AA">
      <w:pPr>
        <w:ind w:left="851" w:right="851"/>
        <w:jc w:val="both"/>
        <w:rPr>
          <w:rFonts w:ascii="Palatino Linotype" w:hAnsi="Palatino Linotype"/>
          <w:i/>
        </w:rPr>
      </w:pPr>
    </w:p>
    <w:p w14:paraId="713A280B" w14:textId="77777777" w:rsidR="00DE27AA" w:rsidRPr="009E63DA" w:rsidRDefault="00DE27AA" w:rsidP="00DE27AA">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5F1F26EE" w14:textId="77777777" w:rsidR="00DE27AA" w:rsidRPr="009E63DA" w:rsidRDefault="00DE27AA" w:rsidP="00DE27AA">
      <w:pPr>
        <w:spacing w:line="360" w:lineRule="auto"/>
        <w:jc w:val="both"/>
        <w:rPr>
          <w:rFonts w:ascii="Palatino Linotype" w:hAnsi="Palatino Linotype"/>
        </w:rPr>
      </w:pPr>
    </w:p>
    <w:p w14:paraId="492558E5" w14:textId="77777777" w:rsidR="00DE27AA" w:rsidRDefault="00DE27AA" w:rsidP="00DE27AA">
      <w:pPr>
        <w:spacing w:line="360" w:lineRule="auto"/>
        <w:jc w:val="both"/>
        <w:rPr>
          <w:rFonts w:ascii="Palatino Linotype" w:eastAsia="Calibri" w:hAnsi="Palatino Linotype" w:cs="Arial"/>
          <w:color w:val="000000"/>
          <w:lang w:val="es-ES_tradnl" w:eastAsia="es-MX"/>
        </w:rPr>
      </w:pPr>
    </w:p>
    <w:p w14:paraId="38D01A44" w14:textId="77777777" w:rsidR="00DE27AA" w:rsidRPr="00DE27AA" w:rsidRDefault="00DE27AA" w:rsidP="00DE27AA">
      <w:pPr>
        <w:spacing w:line="360" w:lineRule="auto"/>
        <w:jc w:val="both"/>
        <w:rPr>
          <w:rFonts w:ascii="Palatino Linotype" w:eastAsia="Calibri" w:hAnsi="Palatino Linotype" w:cs="Arial"/>
          <w:b/>
          <w:color w:val="000000"/>
          <w:u w:val="single"/>
          <w:lang w:val="es-ES_tradnl" w:eastAsia="es-MX"/>
        </w:rPr>
      </w:pPr>
      <w:r w:rsidRPr="009E63DA">
        <w:rPr>
          <w:rFonts w:ascii="Palatino Linotype" w:eastAsia="Calibri" w:hAnsi="Palatino Linotype" w:cs="Arial"/>
          <w:color w:val="000000"/>
          <w:lang w:val="es-ES_tradnl" w:eastAsia="es-MX"/>
        </w:rPr>
        <w:lastRenderedPageBreak/>
        <w:t xml:space="preserve">En síntesis, el derecho de acceso a la información pública se satisface en aquellos casos en que se entregue el soporte documental en que conste la información pública, toda vez que, </w:t>
      </w:r>
      <w:r w:rsidRPr="00DE27AA">
        <w:rPr>
          <w:rFonts w:ascii="Palatino Linotype" w:eastAsia="Calibri" w:hAnsi="Palatino Linotype" w:cs="Arial"/>
          <w:b/>
          <w:color w:val="000000"/>
          <w:lang w:val="es-ES_tradnl" w:eastAsia="es-MX"/>
        </w:rPr>
        <w:t>los Sujetos Obligados no tienen el deber de generar, poseer o administrar la información pública con el grado de detalle solicitado</w:t>
      </w:r>
      <w:r w:rsidRPr="009E63DA">
        <w:rPr>
          <w:rFonts w:ascii="Palatino Linotype" w:eastAsia="Calibri" w:hAnsi="Palatino Linotype" w:cs="Arial"/>
          <w:color w:val="000000"/>
          <w:lang w:val="es-ES_tradnl" w:eastAsia="es-MX"/>
        </w:rPr>
        <w:t xml:space="preserve">; esto es, que </w:t>
      </w:r>
      <w:r w:rsidRPr="00DE27AA">
        <w:rPr>
          <w:rFonts w:ascii="Palatino Linotype" w:eastAsia="Calibri" w:hAnsi="Palatino Linotype" w:cs="Arial"/>
          <w:b/>
          <w:color w:val="000000"/>
          <w:u w:val="single"/>
          <w:lang w:val="es-ES_tradnl" w:eastAsia="es-MX"/>
        </w:rPr>
        <w:t xml:space="preserve">no tienen el deber de generar un documento </w:t>
      </w:r>
      <w:r w:rsidRPr="00DE27AA">
        <w:rPr>
          <w:rFonts w:ascii="Palatino Linotype" w:eastAsia="Calibri" w:hAnsi="Palatino Linotype" w:cs="Arial"/>
          <w:b/>
          <w:i/>
          <w:color w:val="000000"/>
          <w:u w:val="single"/>
          <w:lang w:val="es-ES_tradnl" w:eastAsia="es-MX"/>
        </w:rPr>
        <w:t>ad hoc</w:t>
      </w:r>
      <w:r w:rsidRPr="00DE27AA">
        <w:rPr>
          <w:rFonts w:ascii="Palatino Linotype" w:eastAsia="Calibri" w:hAnsi="Palatino Linotype" w:cs="Arial"/>
          <w:b/>
          <w:color w:val="000000"/>
          <w:u w:val="single"/>
          <w:lang w:val="es-ES_tradnl" w:eastAsia="es-MX"/>
        </w:rPr>
        <w:t>, para satisfacer el derecho de acceso a la información pública.</w:t>
      </w:r>
    </w:p>
    <w:p w14:paraId="228C6AB6" w14:textId="77777777" w:rsidR="00DE27AA" w:rsidRPr="00F16009" w:rsidRDefault="00DE27AA" w:rsidP="00F16009">
      <w:pPr>
        <w:pStyle w:val="Sinespaciado"/>
        <w:spacing w:line="360" w:lineRule="auto"/>
        <w:jc w:val="both"/>
        <w:rPr>
          <w:rFonts w:ascii="Palatino Linotype" w:hAnsi="Palatino Linotype"/>
          <w:sz w:val="24"/>
        </w:rPr>
      </w:pPr>
    </w:p>
    <w:p w14:paraId="7FE690F2" w14:textId="77777777" w:rsidR="00826DA6" w:rsidRDefault="00826DA6" w:rsidP="00826DA6">
      <w:pPr>
        <w:tabs>
          <w:tab w:val="left" w:pos="2130"/>
        </w:tabs>
        <w:spacing w:line="360" w:lineRule="auto"/>
        <w:jc w:val="both"/>
        <w:rPr>
          <w:rFonts w:ascii="Palatino Linotype" w:eastAsia="Calibri" w:hAnsi="Palatino Linotype" w:cs="Tahoma"/>
          <w:bCs/>
        </w:rPr>
      </w:pPr>
    </w:p>
    <w:p w14:paraId="4B538308" w14:textId="77777777" w:rsidR="00826DA6" w:rsidRDefault="00826DA6" w:rsidP="00826DA6">
      <w:pPr>
        <w:autoSpaceDE w:val="0"/>
        <w:autoSpaceDN w:val="0"/>
        <w:adjustRightInd w:val="0"/>
        <w:spacing w:line="360" w:lineRule="auto"/>
        <w:contextualSpacing/>
        <w:jc w:val="both"/>
        <w:rPr>
          <w:rFonts w:ascii="Palatino Linotype" w:hAnsi="Palatino Linotype" w:cs="Arial"/>
          <w:b/>
          <w:i/>
          <w:sz w:val="28"/>
        </w:rPr>
      </w:pPr>
      <w:r w:rsidRPr="002444BB">
        <w:rPr>
          <w:rFonts w:ascii="Palatino Linotype" w:hAnsi="Palatino Linotype" w:cs="Arial"/>
          <w:b/>
          <w:i/>
          <w:sz w:val="28"/>
        </w:rPr>
        <w:t>De la versión pública</w:t>
      </w:r>
    </w:p>
    <w:p w14:paraId="5DD6B221" w14:textId="77777777" w:rsidR="00826DA6" w:rsidRPr="0039499D" w:rsidRDefault="00826DA6" w:rsidP="00826DA6">
      <w:pPr>
        <w:spacing w:line="360" w:lineRule="auto"/>
        <w:jc w:val="both"/>
        <w:rPr>
          <w:rFonts w:ascii="Palatino Linotype" w:hAnsi="Palatino Linotype" w:cs="Arial"/>
        </w:rPr>
      </w:pPr>
      <w:r>
        <w:rPr>
          <w:rFonts w:ascii="Palatino Linotype" w:hAnsi="Palatino Linotype" w:cs="Arial"/>
        </w:rPr>
        <w:t>E</w:t>
      </w:r>
      <w:r w:rsidRPr="0039499D">
        <w:rPr>
          <w:rFonts w:ascii="Palatino Linotype" w:hAnsi="Palatino Linotype" w:cs="Arial"/>
        </w:rPr>
        <w:t xml:space="preserve">ste Órgano Garante determina ordenar que la entrega de la información al </w:t>
      </w:r>
      <w:r w:rsidRPr="0039499D">
        <w:rPr>
          <w:rFonts w:ascii="Palatino Linotype" w:hAnsi="Palatino Linotype" w:cs="Arial"/>
          <w:b/>
        </w:rPr>
        <w:t>Recurrente</w:t>
      </w:r>
      <w:r w:rsidRPr="0039499D">
        <w:rPr>
          <w:rFonts w:ascii="Palatino Linotype" w:hAnsi="Palatino Linotype" w:cs="Arial"/>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07C8F3B" w14:textId="77777777" w:rsidR="00826DA6" w:rsidRPr="0039499D" w:rsidRDefault="00826DA6" w:rsidP="00826DA6">
      <w:pPr>
        <w:spacing w:line="360" w:lineRule="auto"/>
        <w:jc w:val="both"/>
        <w:rPr>
          <w:rFonts w:ascii="Palatino Linotype" w:hAnsi="Palatino Linotype" w:cs="Arial"/>
        </w:rPr>
      </w:pPr>
    </w:p>
    <w:p w14:paraId="158F8BD9"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 este respecto, los artículos 3, fracciones IX, XX, XXI y XLV; 51 y 52, de la Ley de Transparencia y Acceso a la Información Pública del Estado de México y Municipios establecen:</w:t>
      </w:r>
    </w:p>
    <w:p w14:paraId="3EF4CD43" w14:textId="77777777" w:rsidR="00826DA6" w:rsidRPr="0039499D" w:rsidRDefault="00826DA6" w:rsidP="00826DA6">
      <w:pPr>
        <w:spacing w:line="360" w:lineRule="auto"/>
        <w:jc w:val="both"/>
        <w:rPr>
          <w:rFonts w:ascii="Palatino Linotype" w:hAnsi="Palatino Linotype" w:cs="Arial"/>
        </w:rPr>
      </w:pPr>
    </w:p>
    <w:p w14:paraId="50735D7A"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3.</w:t>
      </w:r>
      <w:r w:rsidRPr="0039499D">
        <w:rPr>
          <w:rFonts w:ascii="Palatino Linotype" w:hAnsi="Palatino Linotype" w:cs="Arial"/>
          <w:i/>
        </w:rPr>
        <w:t xml:space="preserve"> Para los efectos de la presente Ley se entenderá por: </w:t>
      </w:r>
    </w:p>
    <w:p w14:paraId="74D5FEDD"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p>
    <w:p w14:paraId="509F538E"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IX</w:t>
      </w:r>
      <w:r w:rsidRPr="0039499D">
        <w:rPr>
          <w:rFonts w:ascii="Palatino Linotype" w:hAnsi="Palatino Linotype" w:cs="Arial"/>
          <w:i/>
        </w:rPr>
        <w:t xml:space="preserve">. </w:t>
      </w:r>
      <w:r w:rsidRPr="0039499D">
        <w:rPr>
          <w:rFonts w:ascii="Palatino Linotype" w:hAnsi="Palatino Linotype" w:cs="Arial"/>
          <w:b/>
          <w:i/>
        </w:rPr>
        <w:t>Datos personales:</w:t>
      </w:r>
      <w:r w:rsidRPr="0039499D">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0B553E63" w14:textId="77777777" w:rsidR="00826DA6" w:rsidRPr="0039499D" w:rsidRDefault="00826DA6" w:rsidP="00826DA6">
      <w:pPr>
        <w:spacing w:line="276" w:lineRule="auto"/>
        <w:ind w:left="567" w:right="567"/>
        <w:jc w:val="both"/>
        <w:rPr>
          <w:rFonts w:ascii="Palatino Linotype" w:hAnsi="Palatino Linotype" w:cs="Arial"/>
          <w:i/>
        </w:rPr>
      </w:pPr>
    </w:p>
    <w:p w14:paraId="60472099"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XX. Información clasificada:</w:t>
      </w:r>
      <w:r w:rsidRPr="0039499D">
        <w:rPr>
          <w:rFonts w:ascii="Palatino Linotype" w:hAnsi="Palatino Linotype" w:cs="Arial"/>
          <w:i/>
        </w:rPr>
        <w:t xml:space="preserve"> Aquella considerada por la presente Ley como reservada o confidencial; </w:t>
      </w:r>
    </w:p>
    <w:p w14:paraId="23BA761C" w14:textId="77777777" w:rsidR="00826DA6" w:rsidRPr="0039499D" w:rsidRDefault="00826DA6" w:rsidP="00826DA6">
      <w:pPr>
        <w:spacing w:line="276" w:lineRule="auto"/>
        <w:ind w:left="567" w:right="567"/>
        <w:jc w:val="both"/>
        <w:rPr>
          <w:rFonts w:ascii="Palatino Linotype" w:hAnsi="Palatino Linotype" w:cs="Arial"/>
          <w:i/>
        </w:rPr>
      </w:pPr>
    </w:p>
    <w:p w14:paraId="4351D28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XXI. Información confidencial:</w:t>
      </w:r>
      <w:r w:rsidRPr="0039499D">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5078F3E"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XLV. Versión pública:</w:t>
      </w:r>
      <w:r w:rsidRPr="0039499D">
        <w:rPr>
          <w:rFonts w:ascii="Palatino Linotype" w:hAnsi="Palatino Linotype" w:cs="Arial"/>
          <w:i/>
        </w:rPr>
        <w:t xml:space="preserve"> Documento en el que se elimine, suprime o borra la información clasificada como reservada o confidencial para permitir su acceso. </w:t>
      </w:r>
    </w:p>
    <w:p w14:paraId="7E0F0873" w14:textId="77777777" w:rsidR="00826DA6" w:rsidRPr="0039499D" w:rsidRDefault="00826DA6" w:rsidP="00826DA6">
      <w:pPr>
        <w:spacing w:line="276" w:lineRule="auto"/>
        <w:ind w:left="567" w:right="567"/>
        <w:jc w:val="both"/>
        <w:rPr>
          <w:rFonts w:ascii="Palatino Linotype" w:hAnsi="Palatino Linotype" w:cs="Arial"/>
          <w:i/>
        </w:rPr>
      </w:pPr>
    </w:p>
    <w:p w14:paraId="21C41632"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 xml:space="preserve">Artículo 51. </w:t>
      </w:r>
      <w:r w:rsidRPr="0039499D">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39499D">
        <w:rPr>
          <w:rFonts w:ascii="Palatino Linotype" w:hAnsi="Palatino Linotype" w:cs="Arial"/>
          <w:b/>
          <w:i/>
        </w:rPr>
        <w:t>y tendrá la responsabilidad de verificar en cada caso que la misma no sea confidencial o reservada</w:t>
      </w:r>
      <w:r w:rsidRPr="0039499D">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7A943DB9" w14:textId="77777777" w:rsidR="00826DA6" w:rsidRPr="0039499D" w:rsidRDefault="00826DA6" w:rsidP="00826DA6">
      <w:pPr>
        <w:spacing w:line="276" w:lineRule="auto"/>
        <w:ind w:left="567" w:right="567"/>
        <w:jc w:val="both"/>
        <w:rPr>
          <w:rFonts w:ascii="Palatino Linotype" w:hAnsi="Palatino Linotype" w:cs="Arial"/>
          <w:i/>
        </w:rPr>
      </w:pPr>
    </w:p>
    <w:p w14:paraId="2410DFF0"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Artículo 52.</w:t>
      </w:r>
      <w:r w:rsidRPr="0039499D">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366BCC3C" w14:textId="77777777" w:rsidR="00826DA6" w:rsidRPr="0039499D" w:rsidRDefault="00826DA6" w:rsidP="00826DA6">
      <w:pPr>
        <w:spacing w:line="360" w:lineRule="auto"/>
        <w:jc w:val="both"/>
        <w:rPr>
          <w:rFonts w:ascii="Palatino Linotype" w:hAnsi="Palatino Linotype" w:cs="Arial"/>
        </w:rPr>
      </w:pPr>
    </w:p>
    <w:p w14:paraId="6086EFAA"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39499D">
        <w:rPr>
          <w:rFonts w:ascii="Palatino Linotype" w:hAnsi="Palatino Linotype" w:cs="Arial"/>
        </w:rPr>
        <w:lastRenderedPageBreak/>
        <w:t xml:space="preserve">anterior, en términos de lo dispuesto por el artículo 22, con relación con el 38, de la Ley de Protección de Datos Personales en Posesión de Sujetos Obligados del Estado de México y Municipios, los cuales se transcriben para mayor referencia: </w:t>
      </w:r>
    </w:p>
    <w:p w14:paraId="33A52CBE" w14:textId="77777777" w:rsidR="00826DA6" w:rsidRPr="0039499D" w:rsidRDefault="00826DA6" w:rsidP="00826DA6">
      <w:pPr>
        <w:spacing w:line="360" w:lineRule="auto"/>
        <w:jc w:val="both"/>
        <w:rPr>
          <w:rFonts w:ascii="Palatino Linotype" w:hAnsi="Palatino Linotype" w:cs="Arial"/>
        </w:rPr>
      </w:pPr>
    </w:p>
    <w:p w14:paraId="62B242A6"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22.</w:t>
      </w:r>
      <w:r w:rsidRPr="0039499D">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6BB3BB09" w14:textId="77777777" w:rsidR="00826DA6" w:rsidRPr="0039499D" w:rsidRDefault="00826DA6" w:rsidP="00826DA6">
      <w:pPr>
        <w:spacing w:line="276" w:lineRule="auto"/>
        <w:ind w:left="567" w:right="567"/>
        <w:jc w:val="both"/>
        <w:rPr>
          <w:rFonts w:ascii="Palatino Linotype" w:hAnsi="Palatino Linotype" w:cs="Arial"/>
          <w:i/>
        </w:rPr>
      </w:pPr>
    </w:p>
    <w:p w14:paraId="691B3537"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El responsable podrá tratar datos personales para finalidades distintas a aquéllas establecidas en el aviso de privacidad, en los casos siguientes:</w:t>
      </w:r>
    </w:p>
    <w:p w14:paraId="53D55D04" w14:textId="77777777" w:rsidR="00826DA6" w:rsidRPr="0039499D" w:rsidRDefault="00826DA6" w:rsidP="00826DA6">
      <w:pPr>
        <w:spacing w:line="276" w:lineRule="auto"/>
        <w:ind w:left="567" w:right="567"/>
        <w:jc w:val="both"/>
        <w:rPr>
          <w:rFonts w:ascii="Palatino Linotype" w:hAnsi="Palatino Linotype" w:cs="Arial"/>
          <w:i/>
        </w:rPr>
      </w:pPr>
    </w:p>
    <w:p w14:paraId="3B5E3AB8"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I. Cuente con atribuciones conferidas en ley y medie el consentimiento del titular.</w:t>
      </w:r>
    </w:p>
    <w:p w14:paraId="28FF7DA3"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II. Se trate de una persona reportada como desaparecida, en los términos previstos en la presente Ley y demás disposiciones legales aplicables...</w:t>
      </w:r>
    </w:p>
    <w:p w14:paraId="6C83930E" w14:textId="77777777" w:rsidR="00826DA6" w:rsidRPr="0039499D" w:rsidRDefault="00826DA6" w:rsidP="00826DA6">
      <w:pPr>
        <w:spacing w:line="276" w:lineRule="auto"/>
        <w:ind w:left="567" w:right="567"/>
        <w:jc w:val="both"/>
        <w:rPr>
          <w:rFonts w:ascii="Palatino Linotype" w:hAnsi="Palatino Linotype" w:cs="Arial"/>
          <w:i/>
        </w:rPr>
      </w:pPr>
    </w:p>
    <w:p w14:paraId="0EAD6CC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Artículo 38.</w:t>
      </w:r>
      <w:r w:rsidRPr="0039499D">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E340A41" w14:textId="77777777" w:rsidR="00826DA6" w:rsidRPr="0039499D" w:rsidRDefault="00826DA6" w:rsidP="00826DA6">
      <w:pPr>
        <w:spacing w:line="360" w:lineRule="auto"/>
        <w:jc w:val="both"/>
        <w:rPr>
          <w:rFonts w:ascii="Palatino Linotype" w:hAnsi="Palatino Linotype" w:cs="Arial"/>
        </w:rPr>
      </w:pPr>
    </w:p>
    <w:p w14:paraId="1D7A3D47"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39499D">
        <w:rPr>
          <w:rFonts w:ascii="Palatino Linotype" w:hAnsi="Palatino Linotype" w:cs="Arial"/>
        </w:rPr>
        <w:lastRenderedPageBreak/>
        <w:t xml:space="preserve">datos personales, entendiéndose por tales, aquéllos que hacen identificable a una persona. </w:t>
      </w:r>
    </w:p>
    <w:p w14:paraId="758D8237" w14:textId="77777777" w:rsidR="00826DA6" w:rsidRPr="0039499D" w:rsidRDefault="00826DA6" w:rsidP="00826DA6">
      <w:pPr>
        <w:spacing w:line="360" w:lineRule="auto"/>
        <w:jc w:val="both"/>
        <w:rPr>
          <w:rFonts w:ascii="Palatino Linotype" w:hAnsi="Palatino Linotype" w:cs="Arial"/>
        </w:rPr>
      </w:pPr>
    </w:p>
    <w:p w14:paraId="50C96560"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5942F535" w14:textId="77777777" w:rsidR="00826DA6" w:rsidRPr="0039499D" w:rsidRDefault="00826DA6" w:rsidP="00826DA6">
      <w:pPr>
        <w:spacing w:line="360" w:lineRule="auto"/>
        <w:jc w:val="both"/>
        <w:rPr>
          <w:rFonts w:ascii="Palatino Linotype" w:hAnsi="Palatino Linotype" w:cs="Arial"/>
        </w:rPr>
      </w:pPr>
    </w:p>
    <w:p w14:paraId="78C5CA37"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Asimismo, de la versión pública deberá dejarse a la vista del </w:t>
      </w:r>
      <w:r w:rsidRPr="0039499D">
        <w:rPr>
          <w:rFonts w:ascii="Palatino Linotype" w:hAnsi="Palatino Linotype" w:cs="Arial"/>
          <w:b/>
        </w:rPr>
        <w:t>Recurrente</w:t>
      </w:r>
      <w:r w:rsidRPr="0039499D">
        <w:rPr>
          <w:rFonts w:ascii="Palatino Linotype" w:hAnsi="Palatino Linotype" w:cs="Arial"/>
        </w:rPr>
        <w:t xml:space="preserve"> los siguientes elementos de información pública: monto total del sueldo neto y bruto, compensaciones, prestaciones, aguinaldos, bonos, pagos por concepto de gasolina, de servicio de telefonía celular, el </w:t>
      </w:r>
      <w:r w:rsidRPr="0039499D">
        <w:rPr>
          <w:rFonts w:ascii="Palatino Linotype" w:hAnsi="Palatino Linotype" w:cs="Arial"/>
          <w:b/>
        </w:rPr>
        <w:t>nombre del servidor público</w:t>
      </w:r>
      <w:r w:rsidRPr="0039499D">
        <w:rPr>
          <w:rFonts w:ascii="Palatino Linotype" w:hAnsi="Palatino Linotype" w:cs="Arial"/>
        </w:rPr>
        <w:t xml:space="preserve">, el cargo que desempeña, área de adscripción, número de empleado (sólo en caso de no arrojar datos personales) y el período de la nómina respectiva, básicamente.  </w:t>
      </w:r>
    </w:p>
    <w:p w14:paraId="56EBA99F" w14:textId="77777777" w:rsidR="00826DA6" w:rsidRPr="0039499D" w:rsidRDefault="00826DA6" w:rsidP="00826DA6">
      <w:pPr>
        <w:spacing w:line="360" w:lineRule="auto"/>
        <w:jc w:val="both"/>
        <w:rPr>
          <w:rFonts w:ascii="Palatino Linotype" w:hAnsi="Palatino Linotype" w:cs="Arial"/>
        </w:rPr>
      </w:pPr>
    </w:p>
    <w:p w14:paraId="29D72C87"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ED402DF" w14:textId="77777777" w:rsidR="00826DA6" w:rsidRPr="0039499D" w:rsidRDefault="00826DA6" w:rsidP="00826DA6">
      <w:pPr>
        <w:spacing w:line="360" w:lineRule="auto"/>
        <w:jc w:val="both"/>
        <w:rPr>
          <w:rFonts w:ascii="Palatino Linotype" w:hAnsi="Palatino Linotype" w:cs="Arial"/>
        </w:rPr>
      </w:pPr>
    </w:p>
    <w:p w14:paraId="667EF7F5" w14:textId="77777777" w:rsidR="00826DA6" w:rsidRPr="00E5613E" w:rsidRDefault="00826DA6" w:rsidP="00826DA6">
      <w:pPr>
        <w:spacing w:line="360" w:lineRule="auto"/>
        <w:ind w:left="567" w:right="567"/>
        <w:jc w:val="both"/>
        <w:rPr>
          <w:rFonts w:ascii="Palatino Linotype" w:hAnsi="Palatino Linotype" w:cs="Arial"/>
          <w:i/>
        </w:rPr>
      </w:pPr>
      <w:r w:rsidRPr="00E5613E">
        <w:rPr>
          <w:rFonts w:ascii="Palatino Linotype" w:hAnsi="Palatino Linotype" w:cs="Arial"/>
          <w:i/>
        </w:rPr>
        <w:t>"</w:t>
      </w:r>
      <w:r w:rsidRPr="00E5613E">
        <w:rPr>
          <w:rFonts w:ascii="Palatino Linotype" w:hAnsi="Palatino Linotype" w:cs="Arial"/>
          <w:b/>
          <w:i/>
        </w:rPr>
        <w:t xml:space="preserve">TRANSPARENCIA Y ACCESO A LA INFORMACIÓN PÚBLICA GUBERNAMENTAL. LOS ARTÍCULOS 3o., FRACCIÓN II, Y 18, FRACCIÓN II, DE LA LEY FEDERAL RELATIVA, NO VIOLAN LA </w:t>
      </w:r>
      <w:r w:rsidRPr="00E5613E">
        <w:rPr>
          <w:rFonts w:ascii="Palatino Linotype" w:hAnsi="Palatino Linotype" w:cs="Arial"/>
          <w:b/>
          <w:i/>
        </w:rPr>
        <w:lastRenderedPageBreak/>
        <w:t>GARANTÍA DE IGUALDAD, AL TUTELAR EL DERECHO A LA PROTECCIÓN DE DATOS PERSONALES SÓLO DE LAS PERSONAS FÍSICAS.</w:t>
      </w:r>
      <w:r w:rsidRPr="00E5613E">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FFB4EC4" w14:textId="77777777" w:rsidR="00826DA6" w:rsidRPr="0039499D" w:rsidRDefault="00826DA6" w:rsidP="00826DA6">
      <w:pPr>
        <w:spacing w:line="360" w:lineRule="auto"/>
        <w:jc w:val="both"/>
        <w:rPr>
          <w:rFonts w:ascii="Palatino Linotype" w:hAnsi="Palatino Linotype" w:cs="Arial"/>
        </w:rPr>
      </w:pPr>
    </w:p>
    <w:p w14:paraId="57098A19"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w:t>
      </w:r>
      <w:r w:rsidRPr="0039499D">
        <w:rPr>
          <w:rFonts w:ascii="Palatino Linotype" w:hAnsi="Palatino Linotype" w:cs="Arial"/>
        </w:rPr>
        <w:lastRenderedPageBreak/>
        <w:t xml:space="preserve">formalidades previstas en el artículo 137, de la Ley de Transparencia y Acceso a la Información Pública del Estado de México y Municipios, así como con los numerales aplicables de los </w:t>
      </w:r>
      <w:r w:rsidRPr="0039499D">
        <w:rPr>
          <w:rFonts w:ascii="Palatino Linotype" w:hAnsi="Palatino Linotype" w:cs="Arial"/>
          <w:b/>
        </w:rPr>
        <w:t>Lineamientos Generales en Materia de Clasificación y Desclasificación de la Información, así como para la Elaboración de Versiones Públicas</w:t>
      </w:r>
      <w:r w:rsidRPr="0039499D">
        <w:rPr>
          <w:rFonts w:ascii="Palatino Linotype" w:hAnsi="Palatino Linotype"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2403B335" w14:textId="77777777" w:rsidR="00826DA6" w:rsidRPr="0039499D" w:rsidRDefault="00826DA6" w:rsidP="00826DA6">
      <w:pPr>
        <w:spacing w:line="360" w:lineRule="auto"/>
        <w:jc w:val="both"/>
        <w:rPr>
          <w:rFonts w:ascii="Palatino Linotype" w:hAnsi="Palatino Linotype" w:cs="Arial"/>
        </w:rPr>
      </w:pPr>
    </w:p>
    <w:p w14:paraId="3CFEAEBA"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1181F170" w14:textId="77777777" w:rsidR="00826DA6" w:rsidRPr="0039499D" w:rsidRDefault="00826DA6" w:rsidP="00826DA6">
      <w:pPr>
        <w:spacing w:line="360" w:lineRule="auto"/>
        <w:jc w:val="both"/>
        <w:rPr>
          <w:rFonts w:ascii="Palatino Linotype" w:hAnsi="Palatino Linotype" w:cs="Arial"/>
        </w:rPr>
      </w:pPr>
    </w:p>
    <w:p w14:paraId="4117FD53" w14:textId="77777777" w:rsidR="00826DA6" w:rsidRPr="0039499D" w:rsidRDefault="00826DA6" w:rsidP="00826DA6">
      <w:pPr>
        <w:spacing w:line="360" w:lineRule="auto"/>
        <w:jc w:val="both"/>
        <w:rPr>
          <w:rFonts w:ascii="Palatino Linotype" w:hAnsi="Palatino Linotype" w:cs="Arial"/>
        </w:rPr>
      </w:pPr>
    </w:p>
    <w:p w14:paraId="505E365D" w14:textId="77777777" w:rsidR="00826DA6" w:rsidRPr="0039499D" w:rsidRDefault="00826DA6" w:rsidP="00826DA6">
      <w:pPr>
        <w:spacing w:line="360" w:lineRule="auto"/>
        <w:jc w:val="both"/>
        <w:rPr>
          <w:rFonts w:ascii="Palatino Linotype" w:hAnsi="Palatino Linotype" w:cs="Arial"/>
          <w:b/>
        </w:rPr>
      </w:pPr>
      <w:r w:rsidRPr="0039499D">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39499D">
        <w:rPr>
          <w:rFonts w:ascii="Palatino Linotype" w:hAnsi="Palatino Linotype" w:cs="Arial"/>
          <w:b/>
        </w:rPr>
        <w:t>Registro Federal de Contribuyentes (RFC)</w:t>
      </w:r>
      <w:r w:rsidRPr="0039499D">
        <w:rPr>
          <w:rFonts w:ascii="Palatino Linotype" w:hAnsi="Palatino Linotype" w:cs="Arial"/>
        </w:rPr>
        <w:t xml:space="preserve">, la </w:t>
      </w:r>
      <w:r w:rsidRPr="0039499D">
        <w:rPr>
          <w:rFonts w:ascii="Palatino Linotype" w:hAnsi="Palatino Linotype" w:cs="Arial"/>
          <w:b/>
        </w:rPr>
        <w:t>Clave Única de Registro de Población (CURP)</w:t>
      </w:r>
      <w:r w:rsidRPr="0039499D">
        <w:rPr>
          <w:rFonts w:ascii="Palatino Linotype" w:hAnsi="Palatino Linotype" w:cs="Arial"/>
        </w:rPr>
        <w:t xml:space="preserve">, la </w:t>
      </w:r>
      <w:r w:rsidRPr="0039499D">
        <w:rPr>
          <w:rFonts w:ascii="Palatino Linotype" w:hAnsi="Palatino Linotype" w:cs="Arial"/>
          <w:b/>
        </w:rPr>
        <w:t>Clave de cualquier tipo de seguridad social</w:t>
      </w:r>
      <w:r w:rsidRPr="0039499D">
        <w:rPr>
          <w:rFonts w:ascii="Palatino Linotype" w:hAnsi="Palatino Linotype" w:cs="Arial"/>
        </w:rPr>
        <w:t xml:space="preserve"> (</w:t>
      </w:r>
      <w:r w:rsidRPr="0039499D">
        <w:rPr>
          <w:rFonts w:ascii="Palatino Linotype" w:hAnsi="Palatino Linotype" w:cs="Arial"/>
          <w:b/>
        </w:rPr>
        <w:t>ISSEMYM</w:t>
      </w:r>
      <w:r w:rsidRPr="0039499D">
        <w:rPr>
          <w:rFonts w:ascii="Palatino Linotype" w:hAnsi="Palatino Linotype" w:cs="Arial"/>
        </w:rPr>
        <w:t xml:space="preserve">, u otros), así como, los préstamos o descuentos que se le hagan al servidor público, que no se encuentren relacionados con los impuestos o la </w:t>
      </w:r>
      <w:r w:rsidRPr="0039499D">
        <w:rPr>
          <w:rFonts w:ascii="Palatino Linotype" w:hAnsi="Palatino Linotype" w:cs="Arial"/>
          <w:b/>
        </w:rPr>
        <w:t>cuotas</w:t>
      </w:r>
      <w:r w:rsidRPr="0039499D">
        <w:rPr>
          <w:rFonts w:ascii="Palatino Linotype" w:hAnsi="Palatino Linotype" w:cs="Arial"/>
        </w:rPr>
        <w:t xml:space="preserve"> por </w:t>
      </w:r>
      <w:r w:rsidRPr="0039499D">
        <w:rPr>
          <w:rFonts w:ascii="Palatino Linotype" w:hAnsi="Palatino Linotype" w:cs="Arial"/>
          <w:b/>
        </w:rPr>
        <w:t>seguridad social, Cadenas Originales y Sellos Digitales</w:t>
      </w:r>
    </w:p>
    <w:p w14:paraId="49586620"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b/>
        </w:rPr>
        <w:t>Códigos Bidimensionales</w:t>
      </w:r>
      <w:r w:rsidRPr="0039499D">
        <w:rPr>
          <w:rFonts w:ascii="Palatino Linotype" w:hAnsi="Palatino Linotype" w:cs="Arial"/>
        </w:rPr>
        <w:t xml:space="preserve"> y los denominados </w:t>
      </w:r>
      <w:r w:rsidRPr="0039499D">
        <w:rPr>
          <w:rFonts w:ascii="Palatino Linotype" w:hAnsi="Palatino Linotype" w:cs="Arial"/>
          <w:b/>
        </w:rPr>
        <w:t>Códigos QR</w:t>
      </w:r>
      <w:r w:rsidRPr="0039499D">
        <w:rPr>
          <w:rFonts w:ascii="Palatino Linotype" w:hAnsi="Palatino Linotype" w:cs="Arial"/>
        </w:rPr>
        <w:t>.</w:t>
      </w:r>
    </w:p>
    <w:p w14:paraId="5F52B962" w14:textId="77777777" w:rsidR="00826DA6" w:rsidRPr="0039499D" w:rsidRDefault="00826DA6" w:rsidP="00826DA6">
      <w:pPr>
        <w:spacing w:line="360" w:lineRule="auto"/>
        <w:jc w:val="both"/>
        <w:rPr>
          <w:rFonts w:ascii="Palatino Linotype" w:hAnsi="Palatino Linotype" w:cs="Arial"/>
        </w:rPr>
      </w:pPr>
    </w:p>
    <w:p w14:paraId="039EC3B1"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cuanto hace al </w:t>
      </w:r>
      <w:r w:rsidRPr="0039499D">
        <w:rPr>
          <w:rFonts w:ascii="Palatino Linotype" w:hAnsi="Palatino Linotype" w:cs="Arial"/>
          <w:b/>
        </w:rPr>
        <w:t>Registro Federal de Contribuyentes de las personas físicas</w:t>
      </w:r>
      <w:r w:rsidRPr="0039499D">
        <w:rPr>
          <w:rFonts w:ascii="Palatino Linotype" w:hAnsi="Palatino Linotype" w:cs="Arial"/>
        </w:rPr>
        <w:t xml:space="preserve"> constituye un dato personal, ya que se genera con caracteres alfanuméricos obtenidos a partir del nombre en mayúsculas sin acentos ni diéresis y la fecha de nacimiento de </w:t>
      </w:r>
      <w:r w:rsidRPr="0039499D">
        <w:rPr>
          <w:rFonts w:ascii="Palatino Linotype" w:hAnsi="Palatino Linotype" w:cs="Arial"/>
        </w:rPr>
        <w:lastRenderedPageBreak/>
        <w:t xml:space="preserve">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9499D">
        <w:rPr>
          <w:rFonts w:ascii="Palatino Linotype" w:hAnsi="Palatino Linotype" w:cs="Arial"/>
        </w:rPr>
        <w:t>homoclave</w:t>
      </w:r>
      <w:proofErr w:type="spellEnd"/>
      <w:r w:rsidRPr="0039499D">
        <w:rPr>
          <w:rFonts w:ascii="Palatino Linotype" w:hAnsi="Palatino Linotype" w:cs="Arial"/>
        </w:rPr>
        <w:t>; la cual para su obtención es necesario acreditar personalidad, fecha de nacimiento entre otros con documentos oficiales.</w:t>
      </w:r>
    </w:p>
    <w:p w14:paraId="7CC5FDAB" w14:textId="77777777" w:rsidR="00826DA6" w:rsidRPr="0039499D" w:rsidRDefault="00826DA6" w:rsidP="00826DA6">
      <w:pPr>
        <w:spacing w:line="360" w:lineRule="auto"/>
        <w:jc w:val="both"/>
        <w:rPr>
          <w:rFonts w:ascii="Palatino Linotype" w:hAnsi="Palatino Linotype" w:cs="Arial"/>
        </w:rPr>
      </w:pPr>
    </w:p>
    <w:p w14:paraId="52A174F1"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Al respecto, el Instituto Nacional Transparencia, Acceso a la Información y Protección de Datos Personales (INAI) a través del Criterio 19/17, señala literalmente lo siguiente:</w:t>
      </w:r>
    </w:p>
    <w:p w14:paraId="17102A14" w14:textId="77777777" w:rsidR="00826DA6" w:rsidRPr="0039499D" w:rsidRDefault="00826DA6" w:rsidP="00826DA6">
      <w:pPr>
        <w:spacing w:line="360" w:lineRule="auto"/>
        <w:jc w:val="both"/>
        <w:rPr>
          <w:rFonts w:ascii="Palatino Linotype" w:hAnsi="Palatino Linotype" w:cs="Arial"/>
        </w:rPr>
      </w:pPr>
    </w:p>
    <w:p w14:paraId="622B03A6"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Registro Federal de Contribuyentes (RFC) de personas físicas</w:t>
      </w:r>
      <w:r w:rsidRPr="0039499D">
        <w:rPr>
          <w:rFonts w:ascii="Palatino Linotype" w:hAnsi="Palatino Linotype" w:cs="Arial"/>
          <w:i/>
        </w:rPr>
        <w:t xml:space="preserve">. El RFC es una clave de carácter fiscal, </w:t>
      </w:r>
      <w:proofErr w:type="gramStart"/>
      <w:r w:rsidRPr="0039499D">
        <w:rPr>
          <w:rFonts w:ascii="Palatino Linotype" w:hAnsi="Palatino Linotype" w:cs="Arial"/>
          <w:i/>
        </w:rPr>
        <w:t>única</w:t>
      </w:r>
      <w:proofErr w:type="gramEnd"/>
      <w:r w:rsidRPr="0039499D">
        <w:rPr>
          <w:rFonts w:ascii="Palatino Linotype" w:hAnsi="Palatino Linotype" w:cs="Arial"/>
          <w:i/>
        </w:rPr>
        <w:t xml:space="preserve"> e irrepetible, que permite identificar al titular, su edad y fecha de nacimiento, por lo que es un dato personal de carácter confidencial.</w:t>
      </w:r>
    </w:p>
    <w:p w14:paraId="2737F4F6" w14:textId="77777777" w:rsidR="00826DA6" w:rsidRPr="0039499D" w:rsidRDefault="00826DA6" w:rsidP="00826DA6">
      <w:pPr>
        <w:spacing w:line="360" w:lineRule="auto"/>
        <w:jc w:val="both"/>
        <w:rPr>
          <w:rFonts w:ascii="Palatino Linotype" w:hAnsi="Palatino Linotype" w:cs="Arial"/>
        </w:rPr>
      </w:pPr>
    </w:p>
    <w:p w14:paraId="28BD4C4C"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De lo anterior, se desprende que el Registro Federal de Contribuyentes se vincula al nombre de su titular, permitiendo identificar la edad de la persona, fecha de nacimiento, así como su </w:t>
      </w:r>
      <w:proofErr w:type="spellStart"/>
      <w:r w:rsidRPr="0039499D">
        <w:rPr>
          <w:rFonts w:ascii="Palatino Linotype" w:hAnsi="Palatino Linotype" w:cs="Arial"/>
        </w:rPr>
        <w:t>homoclave</w:t>
      </w:r>
      <w:proofErr w:type="spellEnd"/>
      <w:r w:rsidRPr="0039499D">
        <w:rPr>
          <w:rFonts w:ascii="Palatino Linotype" w:hAnsi="Palatino Linotype" w:cs="Aria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0124CBAA" w14:textId="77777777" w:rsidR="00826DA6" w:rsidRPr="0039499D" w:rsidRDefault="00826DA6" w:rsidP="00826DA6">
      <w:pPr>
        <w:spacing w:line="360" w:lineRule="auto"/>
        <w:jc w:val="both"/>
        <w:rPr>
          <w:rFonts w:ascii="Palatino Linotype" w:hAnsi="Palatino Linotype" w:cs="Arial"/>
        </w:rPr>
      </w:pPr>
    </w:p>
    <w:p w14:paraId="7BA5FA3E"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Única de Registro de Población</w:t>
      </w:r>
      <w:r w:rsidRPr="0039499D">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97E134A" w14:textId="77777777" w:rsidR="00826DA6" w:rsidRPr="0039499D" w:rsidRDefault="00826DA6" w:rsidP="00826DA6">
      <w:pPr>
        <w:spacing w:line="360" w:lineRule="auto"/>
        <w:jc w:val="both"/>
        <w:rPr>
          <w:rFonts w:ascii="Palatino Linotype" w:hAnsi="Palatino Linotype" w:cs="Arial"/>
        </w:rPr>
      </w:pPr>
    </w:p>
    <w:p w14:paraId="64B6B926"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Lo anterior, tiene sustento en los artículos 86 y 91, de la Ley General de Población, la cual señala lo siguiente:</w:t>
      </w:r>
    </w:p>
    <w:p w14:paraId="50E9DAA5" w14:textId="77777777" w:rsidR="00826DA6" w:rsidRPr="0039499D" w:rsidRDefault="00826DA6" w:rsidP="00826DA6">
      <w:pPr>
        <w:spacing w:line="276" w:lineRule="auto"/>
        <w:jc w:val="both"/>
        <w:rPr>
          <w:rFonts w:ascii="Palatino Linotype" w:hAnsi="Palatino Linotype" w:cs="Arial"/>
        </w:rPr>
      </w:pPr>
    </w:p>
    <w:p w14:paraId="3675BEBD"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86.</w:t>
      </w:r>
      <w:r w:rsidRPr="0039499D">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14:paraId="5E23277C" w14:textId="77777777" w:rsidR="00826DA6" w:rsidRPr="0039499D" w:rsidRDefault="00826DA6" w:rsidP="00826DA6">
      <w:pPr>
        <w:spacing w:line="276" w:lineRule="auto"/>
        <w:ind w:left="567" w:right="567"/>
        <w:jc w:val="both"/>
        <w:rPr>
          <w:rFonts w:ascii="Palatino Linotype" w:hAnsi="Palatino Linotype" w:cs="Arial"/>
          <w:i/>
        </w:rPr>
      </w:pPr>
    </w:p>
    <w:p w14:paraId="05AE9D30"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Artículo 91.</w:t>
      </w:r>
      <w:r w:rsidRPr="0039499D">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14:paraId="16D0E573" w14:textId="77777777" w:rsidR="00826DA6" w:rsidRPr="0039499D" w:rsidRDefault="00826DA6" w:rsidP="00826DA6">
      <w:pPr>
        <w:spacing w:line="360" w:lineRule="auto"/>
        <w:jc w:val="both"/>
        <w:rPr>
          <w:rFonts w:ascii="Palatino Linotype" w:hAnsi="Palatino Linotype" w:cs="Arial"/>
        </w:rPr>
      </w:pPr>
    </w:p>
    <w:p w14:paraId="66FF2A4B"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6065DF4" w14:textId="77777777" w:rsidR="00826DA6" w:rsidRPr="0039499D" w:rsidRDefault="00826DA6" w:rsidP="00826DA6">
      <w:pPr>
        <w:spacing w:line="360" w:lineRule="auto"/>
        <w:jc w:val="both"/>
        <w:rPr>
          <w:rFonts w:ascii="Palatino Linotype" w:hAnsi="Palatino Linotype" w:cs="Arial"/>
        </w:rPr>
      </w:pPr>
    </w:p>
    <w:p w14:paraId="1D4F4A43"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Al respecto, el Instituto Nacional de Transparencia, Acceso a la Información y Protección de Datos Personales (INAI) a través del Criterio 18/17, señala literalmente lo siguiente:</w:t>
      </w:r>
    </w:p>
    <w:p w14:paraId="05E0A00B" w14:textId="77777777" w:rsidR="00826DA6" w:rsidRPr="0039499D" w:rsidRDefault="00826DA6" w:rsidP="00826DA6">
      <w:pPr>
        <w:spacing w:line="360" w:lineRule="auto"/>
        <w:jc w:val="both"/>
        <w:rPr>
          <w:rFonts w:ascii="Palatino Linotype" w:hAnsi="Palatino Linotype" w:cs="Arial"/>
        </w:rPr>
      </w:pPr>
    </w:p>
    <w:p w14:paraId="15688636"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Clave Única de Registro de Población (CURP).</w:t>
      </w:r>
      <w:r w:rsidRPr="0039499D">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5F192A4" w14:textId="77777777" w:rsidR="00826DA6" w:rsidRPr="0039499D" w:rsidRDefault="00826DA6" w:rsidP="00826DA6">
      <w:pPr>
        <w:spacing w:line="276" w:lineRule="auto"/>
        <w:jc w:val="both"/>
        <w:rPr>
          <w:rFonts w:ascii="Palatino Linotype" w:hAnsi="Palatino Linotype" w:cs="Arial"/>
        </w:rPr>
      </w:pPr>
    </w:p>
    <w:p w14:paraId="7F939349"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B86656F" w14:textId="77777777" w:rsidR="00826DA6" w:rsidRPr="0039499D" w:rsidRDefault="00826DA6" w:rsidP="00826DA6">
      <w:pPr>
        <w:spacing w:line="360" w:lineRule="auto"/>
        <w:jc w:val="both"/>
        <w:rPr>
          <w:rFonts w:ascii="Palatino Linotype" w:hAnsi="Palatino Linotype" w:cs="Arial"/>
        </w:rPr>
      </w:pPr>
    </w:p>
    <w:p w14:paraId="4DEE2E5D"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de cualquier tipo de seguridad social</w:t>
      </w:r>
      <w:r w:rsidRPr="0039499D">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57573DC" w14:textId="77777777" w:rsidR="00826DA6" w:rsidRPr="0039499D" w:rsidRDefault="00826DA6" w:rsidP="00826DA6">
      <w:pPr>
        <w:spacing w:line="360" w:lineRule="auto"/>
        <w:jc w:val="both"/>
        <w:rPr>
          <w:rFonts w:ascii="Palatino Linotype" w:hAnsi="Palatino Linotype" w:cs="Arial"/>
        </w:rPr>
      </w:pPr>
    </w:p>
    <w:p w14:paraId="45EAA31A"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Respecto de los </w:t>
      </w:r>
      <w:r w:rsidRPr="0039499D">
        <w:rPr>
          <w:rFonts w:ascii="Palatino Linotype" w:hAnsi="Palatino Linotype" w:cs="Arial"/>
          <w:b/>
        </w:rPr>
        <w:t>préstamos o descuentos de carácter personal</w:t>
      </w:r>
      <w:r w:rsidRPr="0039499D">
        <w:rPr>
          <w:rFonts w:ascii="Palatino Linotype" w:hAnsi="Palatino Linotype"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57FF0AA" w14:textId="77777777" w:rsidR="00826DA6" w:rsidRPr="0039499D" w:rsidRDefault="00826DA6" w:rsidP="00826DA6">
      <w:pPr>
        <w:spacing w:line="360" w:lineRule="auto"/>
        <w:jc w:val="both"/>
        <w:rPr>
          <w:rFonts w:ascii="Palatino Linotype" w:hAnsi="Palatino Linotype" w:cs="Arial"/>
        </w:rPr>
      </w:pPr>
    </w:p>
    <w:p w14:paraId="284089E5"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Por su parte, el artículo 84 de la Ley del Trabajo de los Servidores Públicos del Estado y Municipios, señala:</w:t>
      </w:r>
    </w:p>
    <w:p w14:paraId="4EF6CB64"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ARTICULO 84.</w:t>
      </w:r>
      <w:r w:rsidRPr="00E5613E">
        <w:rPr>
          <w:rFonts w:ascii="Palatino Linotype" w:hAnsi="Palatino Linotype" w:cs="Arial"/>
          <w:i/>
        </w:rPr>
        <w:t xml:space="preserve"> Sólo podrán hacerse retenciones, descuentos o deducciones al sueldo de los servidores públicos por concepto de:</w:t>
      </w:r>
    </w:p>
    <w:p w14:paraId="6CE593D1"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I.</w:t>
      </w:r>
      <w:r w:rsidRPr="00E5613E">
        <w:rPr>
          <w:rFonts w:ascii="Palatino Linotype" w:hAnsi="Palatino Linotype" w:cs="Arial"/>
          <w:i/>
        </w:rPr>
        <w:t xml:space="preserve"> Gravámenes fiscales relacionados con el sueldo;</w:t>
      </w:r>
    </w:p>
    <w:p w14:paraId="3E64A69F"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II.</w:t>
      </w:r>
      <w:r w:rsidRPr="00E5613E">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14:paraId="3658F89B"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III.</w:t>
      </w:r>
      <w:r w:rsidRPr="00E5613E">
        <w:rPr>
          <w:rFonts w:ascii="Palatino Linotype" w:hAnsi="Palatino Linotype" w:cs="Arial"/>
          <w:i/>
        </w:rPr>
        <w:t xml:space="preserve"> Cuotas sindicales;</w:t>
      </w:r>
    </w:p>
    <w:p w14:paraId="0E4619CB"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IV.</w:t>
      </w:r>
      <w:r w:rsidRPr="00E5613E">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14:paraId="32583F2A"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V.</w:t>
      </w:r>
      <w:r w:rsidRPr="00E5613E">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14:paraId="7E7BED7E"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VI.</w:t>
      </w:r>
      <w:r w:rsidRPr="00E5613E">
        <w:rPr>
          <w:rFonts w:ascii="Palatino Linotype" w:hAnsi="Palatino Linotype" w:cs="Arial"/>
          <w:i/>
        </w:rPr>
        <w:t xml:space="preserve"> Obligaciones a cargo del servidor público con las que haya consentido, derivadas de la adquisición o del uso de habitaciones consideradas como de interés social;</w:t>
      </w:r>
    </w:p>
    <w:p w14:paraId="735306A9"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VII.</w:t>
      </w:r>
      <w:r w:rsidRPr="00E5613E">
        <w:rPr>
          <w:rFonts w:ascii="Palatino Linotype" w:hAnsi="Palatino Linotype" w:cs="Arial"/>
          <w:i/>
        </w:rPr>
        <w:t xml:space="preserve"> Faltas de puntualidad o de asistencia injustificadas;</w:t>
      </w:r>
    </w:p>
    <w:p w14:paraId="53338664"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VIII.</w:t>
      </w:r>
      <w:r w:rsidRPr="00E5613E">
        <w:rPr>
          <w:rFonts w:ascii="Palatino Linotype" w:hAnsi="Palatino Linotype" w:cs="Arial"/>
          <w:i/>
        </w:rPr>
        <w:t xml:space="preserve"> Pensiones alimenticias ordenadas por la autoridad judicial; o</w:t>
      </w:r>
    </w:p>
    <w:p w14:paraId="7AB7940C"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b/>
          <w:i/>
        </w:rPr>
        <w:t>IX.</w:t>
      </w:r>
      <w:r w:rsidRPr="00E5613E">
        <w:rPr>
          <w:rFonts w:ascii="Palatino Linotype" w:hAnsi="Palatino Linotype" w:cs="Arial"/>
          <w:i/>
        </w:rPr>
        <w:t xml:space="preserve"> Cualquier otro convenido con instituciones de servicios y aceptado por el servidor público.</w:t>
      </w:r>
    </w:p>
    <w:p w14:paraId="6FB79BE0" w14:textId="77777777" w:rsidR="00826DA6" w:rsidRPr="00E5613E" w:rsidRDefault="00826DA6" w:rsidP="00826DA6">
      <w:pPr>
        <w:spacing w:line="276" w:lineRule="auto"/>
        <w:ind w:left="567" w:right="567"/>
        <w:jc w:val="both"/>
        <w:rPr>
          <w:rFonts w:ascii="Palatino Linotype" w:hAnsi="Palatino Linotype" w:cs="Arial"/>
          <w:i/>
        </w:rPr>
      </w:pPr>
    </w:p>
    <w:p w14:paraId="71E3C29A" w14:textId="77777777" w:rsidR="00826DA6" w:rsidRPr="00E5613E" w:rsidRDefault="00826DA6" w:rsidP="00826DA6">
      <w:pPr>
        <w:spacing w:line="276" w:lineRule="auto"/>
        <w:ind w:left="567" w:right="567"/>
        <w:jc w:val="both"/>
        <w:rPr>
          <w:rFonts w:ascii="Palatino Linotype" w:hAnsi="Palatino Linotype" w:cs="Arial"/>
          <w:i/>
        </w:rPr>
      </w:pPr>
      <w:r w:rsidRPr="00E5613E">
        <w:rPr>
          <w:rFonts w:ascii="Palatino Linotype" w:hAnsi="Palatino Linotype" w:cs="Arial"/>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9AD933E" w14:textId="77777777" w:rsidR="00826DA6" w:rsidRPr="0039499D" w:rsidRDefault="00826DA6" w:rsidP="00826DA6">
      <w:pPr>
        <w:spacing w:line="360" w:lineRule="auto"/>
        <w:jc w:val="both"/>
        <w:rPr>
          <w:rFonts w:ascii="Palatino Linotype" w:hAnsi="Palatino Linotype" w:cs="Arial"/>
        </w:rPr>
      </w:pPr>
    </w:p>
    <w:p w14:paraId="22F690C2"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681C3725" w14:textId="77777777" w:rsidR="00826DA6" w:rsidRPr="008D66C3" w:rsidRDefault="00826DA6" w:rsidP="00826DA6">
      <w:pPr>
        <w:spacing w:line="360" w:lineRule="auto"/>
        <w:jc w:val="both"/>
        <w:rPr>
          <w:rFonts w:ascii="Palatino Linotype" w:hAnsi="Palatino Linotype" w:cs="Arial"/>
        </w:rPr>
      </w:pPr>
    </w:p>
    <w:p w14:paraId="1D7C6A06" w14:textId="77777777" w:rsidR="00826DA6" w:rsidRPr="00D76604" w:rsidRDefault="00826DA6" w:rsidP="00826DA6">
      <w:pPr>
        <w:spacing w:line="360" w:lineRule="auto"/>
        <w:ind w:right="51"/>
        <w:jc w:val="both"/>
        <w:rPr>
          <w:rFonts w:ascii="Palatino Linotype" w:hAnsi="Palatino Linotype"/>
          <w:szCs w:val="14"/>
        </w:rPr>
      </w:pPr>
      <w:r w:rsidRPr="00D76604">
        <w:rPr>
          <w:rFonts w:ascii="Palatino Linotype" w:eastAsia="Palatino Linotype" w:hAnsi="Palatino Linotype" w:cs="Palatino Linotype"/>
        </w:rPr>
        <w:t xml:space="preserve">Igualmente, resulta importante destacar que el </w:t>
      </w:r>
      <w:r w:rsidRPr="00D76604">
        <w:rPr>
          <w:rFonts w:ascii="Palatino Linotype" w:eastAsia="Palatino Linotype" w:hAnsi="Palatino Linotype" w:cs="Palatino Linotype"/>
          <w:b/>
          <w:i/>
        </w:rPr>
        <w:t>número de cuenta bancaria</w:t>
      </w:r>
      <w:r w:rsidRPr="00D76604">
        <w:rPr>
          <w:rFonts w:ascii="Palatino Linotype" w:eastAsia="Palatino Linotype" w:hAnsi="Palatino Linotype" w:cs="Palatino Linotype"/>
          <w:b/>
        </w:rPr>
        <w:t xml:space="preserve"> de las personas físicas </w:t>
      </w:r>
      <w:r w:rsidRPr="00D76604">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48FC2B04" w14:textId="77777777" w:rsidR="00826DA6" w:rsidRDefault="00826DA6" w:rsidP="00826DA6">
      <w:pPr>
        <w:spacing w:line="360" w:lineRule="auto"/>
        <w:ind w:right="50"/>
        <w:jc w:val="both"/>
        <w:rPr>
          <w:rFonts w:ascii="Palatino Linotype" w:eastAsia="Palatino Linotype" w:hAnsi="Palatino Linotype" w:cs="Palatino Linotype"/>
        </w:rPr>
      </w:pPr>
    </w:p>
    <w:p w14:paraId="0D0B1332"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7CEC175D" w14:textId="77777777" w:rsidR="00826DA6" w:rsidRPr="00D76604" w:rsidRDefault="00826DA6" w:rsidP="00826DA6">
      <w:pPr>
        <w:spacing w:line="360" w:lineRule="auto"/>
        <w:ind w:right="50"/>
        <w:jc w:val="both"/>
        <w:rPr>
          <w:rFonts w:ascii="Palatino Linotype" w:eastAsia="Palatino Linotype" w:hAnsi="Palatino Linotype" w:cs="Palatino Linotype"/>
        </w:rPr>
      </w:pPr>
    </w:p>
    <w:p w14:paraId="08493F74"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D13F192" w14:textId="77777777" w:rsidR="00826DA6" w:rsidRPr="00D76604" w:rsidRDefault="00826DA6" w:rsidP="00826DA6">
      <w:pPr>
        <w:spacing w:line="360" w:lineRule="auto"/>
        <w:ind w:right="50"/>
        <w:jc w:val="both"/>
        <w:rPr>
          <w:rFonts w:ascii="Palatino Linotype" w:eastAsia="Palatino Linotype" w:hAnsi="Palatino Linotype" w:cs="Palatino Linotype"/>
        </w:rPr>
      </w:pPr>
    </w:p>
    <w:p w14:paraId="0127633B"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5F168534" w14:textId="77777777" w:rsidR="00826DA6" w:rsidRPr="00D76604" w:rsidRDefault="00826DA6" w:rsidP="00826DA6">
      <w:pPr>
        <w:spacing w:line="360" w:lineRule="auto"/>
        <w:ind w:right="50"/>
        <w:jc w:val="both"/>
        <w:rPr>
          <w:rFonts w:ascii="Palatino Linotype" w:eastAsia="Palatino Linotype" w:hAnsi="Palatino Linotype" w:cs="Palatino Linotype"/>
        </w:rPr>
      </w:pPr>
    </w:p>
    <w:p w14:paraId="7E0113A0"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Es por esta razón que se debe omitir el o los números de cuentas bancarias de particulares en las versiones públicas, para ser entregadas.</w:t>
      </w:r>
    </w:p>
    <w:p w14:paraId="0A5AD079" w14:textId="77777777" w:rsidR="00826DA6" w:rsidRPr="00D76604" w:rsidRDefault="00826DA6" w:rsidP="00826DA6">
      <w:pPr>
        <w:spacing w:line="360" w:lineRule="auto"/>
        <w:ind w:right="50"/>
        <w:jc w:val="both"/>
        <w:rPr>
          <w:rFonts w:ascii="Palatino Linotype" w:eastAsia="Palatino Linotype" w:hAnsi="Palatino Linotype" w:cs="Palatino Linotype"/>
        </w:rPr>
      </w:pPr>
    </w:p>
    <w:p w14:paraId="58FC626F"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65592A2B" w14:textId="77777777" w:rsidR="00826DA6" w:rsidRPr="00D76604" w:rsidRDefault="00826DA6" w:rsidP="00826DA6">
      <w:pPr>
        <w:spacing w:line="360" w:lineRule="auto"/>
        <w:ind w:right="50"/>
        <w:jc w:val="both"/>
        <w:rPr>
          <w:rFonts w:ascii="Palatino Linotype" w:eastAsia="Palatino Linotype" w:hAnsi="Palatino Linotype" w:cs="Palatino Linotype"/>
        </w:rPr>
      </w:pPr>
    </w:p>
    <w:p w14:paraId="28B39867" w14:textId="77777777" w:rsidR="00826DA6" w:rsidRPr="00D76604" w:rsidRDefault="00826DA6" w:rsidP="00826DA6">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0CEA66A9" w14:textId="77777777" w:rsidR="00826DA6" w:rsidRDefault="00826DA6" w:rsidP="00826DA6">
      <w:pPr>
        <w:spacing w:line="360" w:lineRule="auto"/>
        <w:ind w:right="50"/>
        <w:jc w:val="both"/>
        <w:rPr>
          <w:rFonts w:ascii="Palatino Linotype" w:eastAsia="Palatino Linotype" w:hAnsi="Palatino Linotype" w:cs="Palatino Linotype"/>
        </w:rPr>
      </w:pPr>
    </w:p>
    <w:p w14:paraId="17712090" w14:textId="77777777" w:rsidR="00826DA6" w:rsidRDefault="00826DA6" w:rsidP="00826DA6">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“Cuentas bancarias y/o CLABE interbancaria de personas físicas y morales privadas.</w:t>
      </w:r>
      <w:r>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9FAEC82" w14:textId="77777777" w:rsidR="00826DA6" w:rsidRDefault="00826DA6" w:rsidP="00826DA6">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A5019E8" w14:textId="77777777" w:rsidR="00826DA6" w:rsidRDefault="00826DA6" w:rsidP="00826DA6">
      <w:pPr>
        <w:spacing w:line="360" w:lineRule="auto"/>
        <w:ind w:left="851" w:right="900"/>
        <w:jc w:val="both"/>
        <w:rPr>
          <w:rFonts w:ascii="Palatino Linotype" w:eastAsia="Palatino Linotype" w:hAnsi="Palatino Linotype" w:cs="Palatino Linotype"/>
          <w:i/>
        </w:rPr>
      </w:pPr>
    </w:p>
    <w:p w14:paraId="4DFEBB96" w14:textId="77777777" w:rsidR="00826DA6" w:rsidRDefault="00826DA6" w:rsidP="00826DA6">
      <w:pPr>
        <w:spacing w:line="360" w:lineRule="auto"/>
        <w:jc w:val="both"/>
        <w:rPr>
          <w:rFonts w:ascii="Palatino Linotype" w:hAnsi="Palatino Linotype" w:cs="Arial"/>
        </w:rPr>
      </w:pPr>
    </w:p>
    <w:p w14:paraId="406F4F52"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w:t>
      </w:r>
      <w:r w:rsidRPr="0039499D">
        <w:rPr>
          <w:rFonts w:ascii="Palatino Linotype" w:hAnsi="Palatino Linotype" w:cs="Arial"/>
        </w:rPr>
        <w:lastRenderedPageBreak/>
        <w:t>y finalmente sea éste último quien apruebe, modifique o revoque la clasificación de la información solicitada.</w:t>
      </w:r>
    </w:p>
    <w:p w14:paraId="0942D0DD" w14:textId="77777777" w:rsidR="00826DA6" w:rsidRPr="0039499D" w:rsidRDefault="00826DA6" w:rsidP="00826DA6">
      <w:pPr>
        <w:spacing w:line="360" w:lineRule="auto"/>
        <w:jc w:val="both"/>
        <w:rPr>
          <w:rFonts w:ascii="Palatino Linotype" w:hAnsi="Palatino Linotype" w:cs="Arial"/>
        </w:rPr>
      </w:pPr>
    </w:p>
    <w:p w14:paraId="63535A1E"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FB514B5" w14:textId="77777777" w:rsidR="00826DA6" w:rsidRPr="0039499D" w:rsidRDefault="00826DA6" w:rsidP="00826DA6">
      <w:pPr>
        <w:spacing w:line="360" w:lineRule="auto"/>
        <w:jc w:val="both"/>
        <w:rPr>
          <w:rFonts w:ascii="Palatino Linotype" w:hAnsi="Palatino Linotype" w:cs="Arial"/>
        </w:rPr>
      </w:pPr>
    </w:p>
    <w:p w14:paraId="30E81522"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27F87BA" w14:textId="77777777" w:rsidR="00826DA6" w:rsidRPr="0039499D" w:rsidRDefault="00826DA6" w:rsidP="00826DA6">
      <w:pPr>
        <w:spacing w:line="360" w:lineRule="auto"/>
        <w:jc w:val="both"/>
        <w:rPr>
          <w:rFonts w:ascii="Palatino Linotype" w:hAnsi="Palatino Linotype" w:cs="Arial"/>
        </w:rPr>
      </w:pPr>
    </w:p>
    <w:p w14:paraId="0186C443"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49.</w:t>
      </w:r>
      <w:r w:rsidRPr="0039499D">
        <w:rPr>
          <w:rFonts w:ascii="Palatino Linotype" w:hAnsi="Palatino Linotype" w:cs="Arial"/>
          <w:i/>
        </w:rPr>
        <w:t xml:space="preserve"> Los Comités de Transparencia tendrán las siguientes atribuciones:</w:t>
      </w:r>
    </w:p>
    <w:p w14:paraId="2A240214"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p>
    <w:p w14:paraId="42707489"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VIII</w:t>
      </w:r>
      <w:r w:rsidRPr="0039499D">
        <w:rPr>
          <w:rFonts w:ascii="Palatino Linotype" w:hAnsi="Palatino Linotype" w:cs="Arial"/>
          <w:i/>
        </w:rPr>
        <w:t>. Aprobar, modificar o revocar la clasificación de la información;</w:t>
      </w:r>
    </w:p>
    <w:p w14:paraId="6F3384B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Artículo 132.</w:t>
      </w:r>
      <w:r w:rsidRPr="0039499D">
        <w:rPr>
          <w:rFonts w:ascii="Palatino Linotype" w:hAnsi="Palatino Linotype" w:cs="Arial"/>
          <w:i/>
        </w:rPr>
        <w:t xml:space="preserve"> La clasificación de la información se llevará a cabo en el momento en que:</w:t>
      </w:r>
    </w:p>
    <w:p w14:paraId="267874CC"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I. Se reciba una solicitud de acceso a la información;</w:t>
      </w:r>
    </w:p>
    <w:p w14:paraId="76256EAD"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II. Se determine mediante resolución de autoridad competente; o</w:t>
      </w:r>
    </w:p>
    <w:p w14:paraId="1513E85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III. Se generen versiones públicas para dar cumplimiento a las obligaciones de transparencia previstas en esta Ley.”</w:t>
      </w:r>
    </w:p>
    <w:p w14:paraId="37C6525D"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Segundo</w:t>
      </w:r>
      <w:r w:rsidRPr="0039499D">
        <w:rPr>
          <w:rFonts w:ascii="Palatino Linotype" w:hAnsi="Palatino Linotype" w:cs="Arial"/>
          <w:i/>
        </w:rPr>
        <w:t>.- Para efectos de los presentes Lineamientos Generales, se entenderá por:</w:t>
      </w:r>
    </w:p>
    <w:p w14:paraId="4E52890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w:t>
      </w:r>
    </w:p>
    <w:p w14:paraId="4F60E508"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XVIII</w:t>
      </w:r>
      <w:r w:rsidRPr="0039499D">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33F42EA"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Cuarto</w:t>
      </w:r>
      <w:r w:rsidRPr="0039499D">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F6F123"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Los Sujetos Obligados deberán aplicar, de manera estricta, las excepciones al derecho de acceso a la información y sólo podrán invocarlas cuando acrediten su procedencia.</w:t>
      </w:r>
    </w:p>
    <w:p w14:paraId="688D954B" w14:textId="77777777" w:rsidR="00826DA6" w:rsidRPr="0039499D" w:rsidRDefault="00826DA6" w:rsidP="00826DA6">
      <w:pPr>
        <w:spacing w:line="276" w:lineRule="auto"/>
        <w:ind w:left="567" w:right="567"/>
        <w:jc w:val="both"/>
        <w:rPr>
          <w:rFonts w:ascii="Palatino Linotype" w:hAnsi="Palatino Linotype" w:cs="Arial"/>
          <w:i/>
        </w:rPr>
      </w:pPr>
    </w:p>
    <w:p w14:paraId="1AA54653"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Quinto</w:t>
      </w:r>
      <w:r w:rsidRPr="0039499D">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1879D17" w14:textId="77777777" w:rsidR="00826DA6" w:rsidRPr="0039499D" w:rsidRDefault="00826DA6" w:rsidP="00826DA6">
      <w:pPr>
        <w:spacing w:line="276" w:lineRule="auto"/>
        <w:ind w:left="567" w:right="567"/>
        <w:jc w:val="both"/>
        <w:rPr>
          <w:rFonts w:ascii="Palatino Linotype" w:hAnsi="Palatino Linotype" w:cs="Arial"/>
          <w:i/>
        </w:rPr>
      </w:pPr>
    </w:p>
    <w:p w14:paraId="5AA26B5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Sexto</w:t>
      </w:r>
      <w:r w:rsidRPr="0039499D">
        <w:rPr>
          <w:rFonts w:ascii="Palatino Linotype" w:hAnsi="Palatino Linotype" w:cs="Arial"/>
          <w:i/>
        </w:rPr>
        <w:t xml:space="preserve">. Los Sujetos Obligados no podrán emitir acuerdos de carácter general ni particular que clasifiquen documentos o expedientes como reservados, ni clasificar </w:t>
      </w:r>
      <w:r w:rsidRPr="0039499D">
        <w:rPr>
          <w:rFonts w:ascii="Palatino Linotype" w:hAnsi="Palatino Linotype" w:cs="Arial"/>
          <w:i/>
        </w:rPr>
        <w:lastRenderedPageBreak/>
        <w:t>documentos antes de que se genere la información o cuando éstos no obren en sus archivos.</w:t>
      </w:r>
    </w:p>
    <w:p w14:paraId="23FE0A8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La clasificación de información se realizará conforme a un análisis caso por caso, mediante la aplicación de la prueba de daño y de interés público.</w:t>
      </w:r>
    </w:p>
    <w:p w14:paraId="63E7CAC4" w14:textId="77777777" w:rsidR="00826DA6" w:rsidRPr="0039499D" w:rsidRDefault="00826DA6" w:rsidP="00826DA6">
      <w:pPr>
        <w:spacing w:line="276" w:lineRule="auto"/>
        <w:ind w:left="567" w:right="567"/>
        <w:jc w:val="both"/>
        <w:rPr>
          <w:rFonts w:ascii="Palatino Linotype" w:hAnsi="Palatino Linotype" w:cs="Arial"/>
          <w:i/>
        </w:rPr>
      </w:pPr>
    </w:p>
    <w:p w14:paraId="4E5AB198"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Séptimo</w:t>
      </w:r>
      <w:r w:rsidRPr="0039499D">
        <w:rPr>
          <w:rFonts w:ascii="Palatino Linotype" w:hAnsi="Palatino Linotype" w:cs="Arial"/>
          <w:i/>
        </w:rPr>
        <w:t>. La clasificación de la información se llevará a cabo en el momento en que:</w:t>
      </w:r>
    </w:p>
    <w:p w14:paraId="085BFFB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I.</w:t>
      </w:r>
      <w:r w:rsidRPr="0039499D">
        <w:rPr>
          <w:rFonts w:ascii="Palatino Linotype" w:hAnsi="Palatino Linotype" w:cs="Arial"/>
          <w:i/>
        </w:rPr>
        <w:t xml:space="preserve"> Se reciba una solicitud de acceso a la información;</w:t>
      </w:r>
    </w:p>
    <w:p w14:paraId="4C6EE89A"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II</w:t>
      </w:r>
      <w:r w:rsidRPr="0039499D">
        <w:rPr>
          <w:rFonts w:ascii="Palatino Linotype" w:hAnsi="Palatino Linotype" w:cs="Arial"/>
          <w:i/>
        </w:rPr>
        <w:t>. Se determine mediante resolución de autoridad competente, o</w:t>
      </w:r>
    </w:p>
    <w:p w14:paraId="55DE27D9"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III</w:t>
      </w:r>
      <w:r w:rsidRPr="0039499D">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46AB89B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3DD03D07"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Octavo</w:t>
      </w:r>
      <w:r w:rsidRPr="0039499D">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78C20ACF"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47259C2A"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08E4BF91"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A95DC04"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Los documentos contenidos en los archivos históricos y los identificados como históricos confidenciales no serán susceptibles de clasificación como reservados.</w:t>
      </w:r>
    </w:p>
    <w:p w14:paraId="72266416" w14:textId="77777777" w:rsidR="00826DA6" w:rsidRPr="0039499D" w:rsidRDefault="00826DA6" w:rsidP="00826DA6">
      <w:pPr>
        <w:spacing w:line="276" w:lineRule="auto"/>
        <w:ind w:left="567" w:right="567"/>
        <w:jc w:val="both"/>
        <w:rPr>
          <w:rFonts w:ascii="Palatino Linotype" w:hAnsi="Palatino Linotype" w:cs="Arial"/>
          <w:i/>
        </w:rPr>
      </w:pPr>
    </w:p>
    <w:p w14:paraId="45DA89A4"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Noveno</w:t>
      </w:r>
      <w:r w:rsidRPr="0039499D">
        <w:rPr>
          <w:rFonts w:ascii="Palatino Linotype" w:hAnsi="Palatino Linotype"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39499D">
        <w:rPr>
          <w:rFonts w:ascii="Palatino Linotype" w:hAnsi="Palatino Linotype" w:cs="Arial"/>
          <w:i/>
        </w:rPr>
        <w:lastRenderedPageBreak/>
        <w:t>siguiendo los procedimientos establecidos en el Capítulo IX de los presentes lineamientos.</w:t>
      </w:r>
    </w:p>
    <w:p w14:paraId="6BDF36E9" w14:textId="77777777" w:rsidR="00826DA6" w:rsidRPr="0039499D" w:rsidRDefault="00826DA6" w:rsidP="00826DA6">
      <w:pPr>
        <w:spacing w:line="276" w:lineRule="auto"/>
        <w:ind w:left="567" w:right="567"/>
        <w:jc w:val="both"/>
        <w:rPr>
          <w:rFonts w:ascii="Palatino Linotype" w:hAnsi="Palatino Linotype" w:cs="Arial"/>
          <w:i/>
        </w:rPr>
      </w:pPr>
    </w:p>
    <w:p w14:paraId="6D4A7CC8"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Décimo</w:t>
      </w:r>
      <w:r w:rsidRPr="0039499D">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DA1F379" w14:textId="77777777" w:rsidR="00826DA6" w:rsidRPr="0039499D" w:rsidRDefault="00826DA6" w:rsidP="00826DA6">
      <w:pPr>
        <w:spacing w:line="276" w:lineRule="auto"/>
        <w:ind w:left="567" w:right="567"/>
        <w:jc w:val="both"/>
        <w:rPr>
          <w:rFonts w:ascii="Palatino Linotype" w:hAnsi="Palatino Linotype" w:cs="Arial"/>
          <w:i/>
        </w:rPr>
      </w:pPr>
    </w:p>
    <w:p w14:paraId="29065BAD"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73F7B2D8" w14:textId="77777777" w:rsidR="00826DA6" w:rsidRPr="0039499D" w:rsidRDefault="00826DA6" w:rsidP="00826DA6">
      <w:pPr>
        <w:spacing w:line="276" w:lineRule="auto"/>
        <w:ind w:left="567" w:right="567"/>
        <w:jc w:val="both"/>
        <w:rPr>
          <w:rFonts w:ascii="Palatino Linotype" w:hAnsi="Palatino Linotype" w:cs="Arial"/>
          <w:i/>
        </w:rPr>
      </w:pPr>
    </w:p>
    <w:p w14:paraId="0094EEC0"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Décimo primero.</w:t>
      </w:r>
      <w:r w:rsidRPr="0039499D">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C97ECFA" w14:textId="77777777" w:rsidR="00826DA6" w:rsidRPr="0039499D" w:rsidRDefault="00826DA6" w:rsidP="00826DA6">
      <w:pPr>
        <w:spacing w:line="360" w:lineRule="auto"/>
        <w:jc w:val="both"/>
        <w:rPr>
          <w:rFonts w:ascii="Palatino Linotype" w:hAnsi="Palatino Linotype" w:cs="Arial"/>
        </w:rPr>
      </w:pPr>
    </w:p>
    <w:p w14:paraId="1B6B19A0"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w:t>
      </w:r>
      <w:r w:rsidRPr="0039499D">
        <w:rPr>
          <w:rFonts w:ascii="Palatino Linotype" w:hAnsi="Palatino Linotype" w:cs="Arial"/>
        </w:rPr>
        <w:lastRenderedPageBreak/>
        <w:t>supuestos jurídicos se debe fundar y motivar correctamente la categorización de la información.</w:t>
      </w:r>
    </w:p>
    <w:p w14:paraId="76C2D63B" w14:textId="77777777" w:rsidR="00826DA6" w:rsidRPr="0039499D" w:rsidRDefault="00826DA6" w:rsidP="00826DA6">
      <w:pPr>
        <w:spacing w:line="360" w:lineRule="auto"/>
        <w:jc w:val="both"/>
        <w:rPr>
          <w:rFonts w:ascii="Palatino Linotype" w:hAnsi="Palatino Linotype" w:cs="Arial"/>
        </w:rPr>
      </w:pPr>
    </w:p>
    <w:p w14:paraId="2BA17DBC"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6D616924" w14:textId="77777777" w:rsidR="00826DA6" w:rsidRPr="0039499D" w:rsidRDefault="00826DA6" w:rsidP="00826DA6">
      <w:pPr>
        <w:spacing w:line="360" w:lineRule="auto"/>
        <w:jc w:val="both"/>
        <w:rPr>
          <w:rFonts w:ascii="Palatino Linotype" w:hAnsi="Palatino Linotype" w:cs="Arial"/>
        </w:rPr>
      </w:pPr>
    </w:p>
    <w:p w14:paraId="4D0B6DBB"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Al respecto, el máximo tribunal del país ha establecido jurisprudencia respecto a qué debe entenderse por fundamentación y motivación, en los siguientes términos:</w:t>
      </w:r>
    </w:p>
    <w:p w14:paraId="4A7D8F40" w14:textId="77777777" w:rsidR="00826DA6" w:rsidRPr="0039499D" w:rsidRDefault="00826DA6" w:rsidP="00826DA6">
      <w:pPr>
        <w:spacing w:line="360" w:lineRule="auto"/>
        <w:jc w:val="both"/>
        <w:rPr>
          <w:rFonts w:ascii="Palatino Linotype" w:hAnsi="Palatino Linotype" w:cs="Arial"/>
        </w:rPr>
      </w:pPr>
    </w:p>
    <w:p w14:paraId="4DED6ECE"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t>FUNDAMENTACIÓN Y MOTIVACIÓN</w:t>
      </w:r>
      <w:r w:rsidRPr="0039499D">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8C0A589" w14:textId="77777777" w:rsidR="00826DA6" w:rsidRPr="0039499D" w:rsidRDefault="00826DA6" w:rsidP="00826DA6">
      <w:pPr>
        <w:spacing w:line="360" w:lineRule="auto"/>
        <w:jc w:val="both"/>
        <w:rPr>
          <w:rFonts w:ascii="Palatino Linotype" w:hAnsi="Palatino Linotype" w:cs="Arial"/>
        </w:rPr>
      </w:pPr>
    </w:p>
    <w:p w14:paraId="019B444D"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C97F50C" w14:textId="77777777" w:rsidR="00826DA6" w:rsidRPr="0039499D" w:rsidRDefault="00826DA6" w:rsidP="00826DA6">
      <w:pPr>
        <w:spacing w:line="360" w:lineRule="auto"/>
        <w:jc w:val="both"/>
        <w:rPr>
          <w:rFonts w:ascii="Palatino Linotype" w:hAnsi="Palatino Linotype" w:cs="Arial"/>
        </w:rPr>
      </w:pPr>
    </w:p>
    <w:p w14:paraId="2CA0943F"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763ED62" w14:textId="77777777" w:rsidR="00826DA6" w:rsidRPr="0039499D" w:rsidRDefault="00826DA6" w:rsidP="00826DA6">
      <w:pPr>
        <w:spacing w:line="276" w:lineRule="auto"/>
        <w:jc w:val="both"/>
        <w:rPr>
          <w:rFonts w:ascii="Palatino Linotype" w:hAnsi="Palatino Linotype" w:cs="Arial"/>
        </w:rPr>
      </w:pPr>
    </w:p>
    <w:p w14:paraId="3F96A0CB" w14:textId="77777777" w:rsidR="00826DA6" w:rsidRPr="0039499D" w:rsidRDefault="00826DA6" w:rsidP="00826DA6">
      <w:pPr>
        <w:spacing w:line="276" w:lineRule="auto"/>
        <w:ind w:left="567" w:right="567"/>
        <w:jc w:val="both"/>
        <w:rPr>
          <w:rFonts w:ascii="Palatino Linotype" w:hAnsi="Palatino Linotype" w:cs="Arial"/>
          <w:i/>
        </w:rPr>
      </w:pPr>
      <w:r w:rsidRPr="0039499D">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39499D">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0A35D92" w14:textId="77777777" w:rsidR="00826DA6" w:rsidRPr="0039499D" w:rsidRDefault="00826DA6" w:rsidP="00826DA6">
      <w:pPr>
        <w:spacing w:line="276" w:lineRule="auto"/>
        <w:jc w:val="both"/>
        <w:rPr>
          <w:rFonts w:ascii="Palatino Linotype" w:hAnsi="Palatino Linotype" w:cs="Arial"/>
        </w:rPr>
      </w:pPr>
    </w:p>
    <w:p w14:paraId="66496B00"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99ACB59" w14:textId="77777777" w:rsidR="00826DA6" w:rsidRPr="0039499D" w:rsidRDefault="00826DA6" w:rsidP="00826DA6">
      <w:pPr>
        <w:spacing w:line="360" w:lineRule="auto"/>
        <w:jc w:val="both"/>
        <w:rPr>
          <w:rFonts w:ascii="Palatino Linotype" w:hAnsi="Palatino Linotype" w:cs="Arial"/>
        </w:rPr>
      </w:pPr>
    </w:p>
    <w:p w14:paraId="3277E1D6" w14:textId="77777777" w:rsidR="00826DA6" w:rsidRPr="0039499D" w:rsidRDefault="00826DA6" w:rsidP="00826DA6">
      <w:pPr>
        <w:spacing w:line="360" w:lineRule="auto"/>
        <w:jc w:val="both"/>
        <w:rPr>
          <w:rFonts w:ascii="Palatino Linotype" w:hAnsi="Palatino Linotype" w:cs="Arial"/>
        </w:rPr>
      </w:pPr>
      <w:r w:rsidRPr="0039499D">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w:t>
      </w:r>
      <w:r w:rsidRPr="0039499D">
        <w:rPr>
          <w:rFonts w:ascii="Palatino Linotype" w:hAnsi="Palatino Linotype" w:cs="Arial"/>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C1F93AD" w14:textId="77777777" w:rsidR="00826DA6" w:rsidRDefault="00826DA6" w:rsidP="00826DA6">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227131E3" w14:textId="77777777" w:rsidR="00826DA6" w:rsidRPr="00CD0D60" w:rsidRDefault="00826DA6" w:rsidP="00826DA6">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CD0D60">
        <w:rPr>
          <w:rFonts w:ascii="Palatino Linotype" w:eastAsia="Palatino Linotype" w:hAnsi="Palatino Linotype" w:cs="Palatino Linotype"/>
          <w:color w:val="000000"/>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lang w:val="es-ES_tradnl" w:eastAsia="es-MX"/>
        </w:rPr>
        <w:t xml:space="preserve">con fundamento en la </w:t>
      </w:r>
      <w:r w:rsidR="00431E6D">
        <w:rPr>
          <w:rFonts w:ascii="Palatino Linotype" w:eastAsia="Palatino Linotype" w:hAnsi="Palatino Linotype" w:cs="Palatino Linotype"/>
          <w:b/>
          <w:color w:val="000000"/>
          <w:lang w:val="es-ES_tradnl" w:eastAsia="es-MX"/>
        </w:rPr>
        <w:t>segunda</w:t>
      </w:r>
      <w:r w:rsidRPr="00CD0D60">
        <w:rPr>
          <w:rFonts w:ascii="Palatino Linotype" w:eastAsia="Palatino Linotype" w:hAnsi="Palatino Linotype" w:cs="Palatino Linotype"/>
          <w:b/>
          <w:color w:val="000000"/>
          <w:lang w:val="es-ES_tradnl" w:eastAsia="es-MX"/>
        </w:rPr>
        <w:t xml:space="preserve"> hipótesis de la fracción III del artículo 186 </w:t>
      </w:r>
      <w:r w:rsidRPr="00CD0D60">
        <w:rPr>
          <w:rFonts w:ascii="Palatino Linotype" w:eastAsia="Palatino Linotype" w:hAnsi="Palatino Linotype" w:cs="Palatino Linotype"/>
          <w:color w:val="000000"/>
          <w:lang w:val="es-ES_tradnl" w:eastAsia="es-MX"/>
        </w:rPr>
        <w:t xml:space="preserve">de la Ley de Transparencia y Acceso a la Información Pública del Estado de México y Municipios, se </w:t>
      </w:r>
      <w:r w:rsidR="00431E6D">
        <w:rPr>
          <w:rFonts w:ascii="Palatino Linotype" w:eastAsia="Palatino Linotype" w:hAnsi="Palatino Linotype" w:cs="Palatino Linotype"/>
          <w:b/>
          <w:color w:val="000000"/>
          <w:lang w:val="es-ES_tradnl" w:eastAsia="es-MX"/>
        </w:rPr>
        <w:t>MODIFI</w:t>
      </w:r>
      <w:r w:rsidRPr="00CD0D60">
        <w:rPr>
          <w:rFonts w:ascii="Palatino Linotype" w:eastAsia="Palatino Linotype" w:hAnsi="Palatino Linotype" w:cs="Palatino Linotype"/>
          <w:b/>
          <w:color w:val="000000"/>
          <w:lang w:val="es-ES_tradnl" w:eastAsia="es-MX"/>
        </w:rPr>
        <w:t xml:space="preserve">CA </w:t>
      </w:r>
      <w:r w:rsidRPr="00CD0D60">
        <w:rPr>
          <w:rFonts w:ascii="Palatino Linotype" w:eastAsia="Palatino Linotype" w:hAnsi="Palatino Linotype" w:cs="Palatino Linotype"/>
          <w:color w:val="000000"/>
          <w:lang w:val="es-ES_tradnl" w:eastAsia="es-MX"/>
        </w:rPr>
        <w:t>la respuesta a la solicitud de información número</w:t>
      </w:r>
      <w:r w:rsidRPr="00CD0D60">
        <w:rPr>
          <w:rFonts w:ascii="Palatino Linotype" w:eastAsia="Palatino Linotype" w:hAnsi="Palatino Linotype" w:cs="Palatino Linotype"/>
          <w:b/>
          <w:color w:val="000000"/>
          <w:lang w:val="es-ES_tradnl" w:eastAsia="es-MX"/>
        </w:rPr>
        <w:t xml:space="preserve"> </w:t>
      </w:r>
      <w:r>
        <w:rPr>
          <w:rFonts w:ascii="Palatino Linotype" w:hAnsi="Palatino Linotype"/>
          <w:b/>
          <w:bCs/>
        </w:rPr>
        <w:t>01915/TOLUCA/IP/2024</w:t>
      </w:r>
      <w:r w:rsidRPr="00CD0D60">
        <w:rPr>
          <w:rFonts w:ascii="Palatino Linotype" w:eastAsia="Palatino Linotype" w:hAnsi="Palatino Linotype" w:cs="Palatino Linotype"/>
          <w:color w:val="000000"/>
          <w:lang w:val="es-ES_tradnl" w:eastAsia="es-MX"/>
        </w:rPr>
        <w:t>, que ha sido materia del presente estudio.</w:t>
      </w:r>
    </w:p>
    <w:p w14:paraId="6B93835D" w14:textId="316A7CE4" w:rsidR="00826DA6" w:rsidRDefault="000C53DB" w:rsidP="00826DA6">
      <w:pPr>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theme="minorBidi"/>
          <w:noProof/>
          <w:lang w:val="es-MX" w:eastAsia="es-MX"/>
        </w:rPr>
        <mc:AlternateContent>
          <mc:Choice Requires="wps">
            <w:drawing>
              <wp:anchor distT="0" distB="0" distL="114300" distR="114300" simplePos="0" relativeHeight="251667456" behindDoc="0" locked="0" layoutInCell="1" allowOverlap="1" wp14:anchorId="5D460A72" wp14:editId="71894613">
                <wp:simplePos x="0" y="0"/>
                <wp:positionH relativeFrom="column">
                  <wp:posOffset>15419</wp:posOffset>
                </wp:positionH>
                <wp:positionV relativeFrom="paragraph">
                  <wp:posOffset>31486</wp:posOffset>
                </wp:positionV>
                <wp:extent cx="5762445" cy="2613804"/>
                <wp:effectExtent l="0" t="0" r="29210" b="34290"/>
                <wp:wrapNone/>
                <wp:docPr id="15" name="Conector recto 15"/>
                <wp:cNvGraphicFramePr/>
                <a:graphic xmlns:a="http://schemas.openxmlformats.org/drawingml/2006/main">
                  <a:graphicData uri="http://schemas.microsoft.com/office/word/2010/wordprocessingShape">
                    <wps:wsp>
                      <wps:cNvCnPr/>
                      <wps:spPr>
                        <a:xfrm>
                          <a:off x="0" y="0"/>
                          <a:ext cx="5762445" cy="26138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FBF8F" id="Conector recto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pt,2.5pt" to="454.9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" strokecolor="black [3200]" strokeweight=".5pt">
                <v:stroke joinstyle="miter"/>
              </v:line>
            </w:pict>
          </mc:Fallback>
        </mc:AlternateContent>
      </w:r>
    </w:p>
    <w:p w14:paraId="3217E084" w14:textId="77777777" w:rsidR="000C53DB" w:rsidRDefault="000C53DB" w:rsidP="00826DA6">
      <w:pPr>
        <w:spacing w:line="360" w:lineRule="auto"/>
        <w:jc w:val="both"/>
        <w:rPr>
          <w:rFonts w:ascii="Palatino Linotype" w:eastAsiaTheme="minorHAnsi" w:hAnsi="Palatino Linotype" w:cstheme="minorBidi"/>
          <w:lang w:val="es-MX" w:eastAsia="en-US"/>
        </w:rPr>
      </w:pPr>
    </w:p>
    <w:p w14:paraId="590CE59E" w14:textId="77777777" w:rsidR="000C53DB" w:rsidRDefault="000C53DB" w:rsidP="00826DA6">
      <w:pPr>
        <w:spacing w:line="360" w:lineRule="auto"/>
        <w:jc w:val="both"/>
        <w:rPr>
          <w:rFonts w:ascii="Palatino Linotype" w:eastAsiaTheme="minorHAnsi" w:hAnsi="Palatino Linotype" w:cstheme="minorBidi"/>
          <w:lang w:val="es-MX" w:eastAsia="en-US"/>
        </w:rPr>
      </w:pPr>
    </w:p>
    <w:p w14:paraId="5ED1CB0B" w14:textId="77777777" w:rsidR="000C53DB" w:rsidRDefault="000C53DB" w:rsidP="00826DA6">
      <w:pPr>
        <w:spacing w:line="360" w:lineRule="auto"/>
        <w:jc w:val="both"/>
        <w:rPr>
          <w:rFonts w:ascii="Palatino Linotype" w:eastAsiaTheme="minorHAnsi" w:hAnsi="Palatino Linotype" w:cstheme="minorBidi"/>
          <w:lang w:val="es-MX" w:eastAsia="en-US"/>
        </w:rPr>
      </w:pPr>
    </w:p>
    <w:p w14:paraId="31674D5F" w14:textId="77777777" w:rsidR="000C53DB" w:rsidRDefault="000C53DB" w:rsidP="00826DA6">
      <w:pPr>
        <w:spacing w:line="360" w:lineRule="auto"/>
        <w:jc w:val="both"/>
        <w:rPr>
          <w:rFonts w:ascii="Palatino Linotype" w:eastAsiaTheme="minorHAnsi" w:hAnsi="Palatino Linotype" w:cstheme="minorBidi"/>
          <w:lang w:val="es-MX" w:eastAsia="en-US"/>
        </w:rPr>
      </w:pPr>
    </w:p>
    <w:p w14:paraId="63101053" w14:textId="77777777" w:rsidR="000C53DB" w:rsidRDefault="000C53DB" w:rsidP="00826DA6">
      <w:pPr>
        <w:spacing w:line="360" w:lineRule="auto"/>
        <w:jc w:val="both"/>
        <w:rPr>
          <w:rFonts w:ascii="Palatino Linotype" w:eastAsiaTheme="minorHAnsi" w:hAnsi="Palatino Linotype" w:cstheme="minorBidi"/>
          <w:lang w:val="es-MX" w:eastAsia="en-US"/>
        </w:rPr>
      </w:pPr>
    </w:p>
    <w:p w14:paraId="7A4F1FAF" w14:textId="77777777" w:rsidR="000C53DB" w:rsidRDefault="000C53DB" w:rsidP="00826DA6">
      <w:pPr>
        <w:spacing w:line="360" w:lineRule="auto"/>
        <w:jc w:val="both"/>
        <w:rPr>
          <w:rFonts w:ascii="Palatino Linotype" w:eastAsiaTheme="minorHAnsi" w:hAnsi="Palatino Linotype" w:cstheme="minorBidi"/>
          <w:lang w:val="es-MX" w:eastAsia="en-US"/>
        </w:rPr>
      </w:pPr>
    </w:p>
    <w:p w14:paraId="487F6D1E" w14:textId="77777777" w:rsidR="000C53DB" w:rsidRDefault="000C53DB" w:rsidP="00826DA6">
      <w:pPr>
        <w:spacing w:line="360" w:lineRule="auto"/>
        <w:jc w:val="both"/>
        <w:rPr>
          <w:rFonts w:ascii="Palatino Linotype" w:eastAsiaTheme="minorHAnsi" w:hAnsi="Palatino Linotype" w:cstheme="minorBidi"/>
          <w:lang w:val="es-MX" w:eastAsia="en-US"/>
        </w:rPr>
      </w:pPr>
    </w:p>
    <w:p w14:paraId="5B89EB24" w14:textId="77777777" w:rsidR="000C53DB" w:rsidRPr="009A71E1" w:rsidRDefault="000C53DB" w:rsidP="00826DA6">
      <w:pPr>
        <w:spacing w:line="360" w:lineRule="auto"/>
        <w:jc w:val="both"/>
        <w:rPr>
          <w:rFonts w:ascii="Palatino Linotype" w:eastAsiaTheme="minorHAnsi" w:hAnsi="Palatino Linotype" w:cstheme="minorBidi"/>
          <w:lang w:val="es-MX" w:eastAsia="en-US"/>
        </w:rPr>
      </w:pPr>
    </w:p>
    <w:p w14:paraId="152385F1" w14:textId="77777777" w:rsidR="00826DA6" w:rsidRDefault="00826DA6" w:rsidP="00826DA6">
      <w:pPr>
        <w:spacing w:line="360" w:lineRule="auto"/>
        <w:jc w:val="both"/>
        <w:rPr>
          <w:rFonts w:ascii="Palatino Linotype" w:hAnsi="Palatino Linotype"/>
          <w:lang w:val="es-MX"/>
        </w:rPr>
      </w:pPr>
      <w:r w:rsidRPr="009A71E1">
        <w:rPr>
          <w:rFonts w:ascii="Palatino Linotype" w:hAnsi="Palatino Linotype"/>
          <w:lang w:val="es-MX"/>
        </w:rPr>
        <w:lastRenderedPageBreak/>
        <w:t>Por lo antes expuesto y fundado es de resolverse y,</w:t>
      </w:r>
    </w:p>
    <w:p w14:paraId="5A9F7351" w14:textId="77777777" w:rsidR="000C53DB" w:rsidRDefault="000C53DB" w:rsidP="000C53DB">
      <w:pPr>
        <w:spacing w:line="360" w:lineRule="auto"/>
        <w:rPr>
          <w:rFonts w:ascii="Palatino Linotype" w:hAnsi="Palatino Linotype"/>
          <w:b/>
          <w:bCs/>
          <w:spacing w:val="60"/>
          <w:sz w:val="28"/>
          <w:lang w:val="es-ES_tradnl"/>
        </w:rPr>
      </w:pPr>
    </w:p>
    <w:p w14:paraId="5FF58D98" w14:textId="77777777" w:rsidR="00826DA6" w:rsidRPr="009A71E1" w:rsidRDefault="00826DA6" w:rsidP="00826DA6">
      <w:pPr>
        <w:spacing w:line="360" w:lineRule="auto"/>
        <w:jc w:val="center"/>
        <w:rPr>
          <w:rFonts w:ascii="Palatino Linotype" w:hAnsi="Palatino Linotype"/>
          <w:bCs/>
          <w:spacing w:val="60"/>
          <w:lang w:val="es-ES_tradnl"/>
        </w:rPr>
      </w:pPr>
      <w:r w:rsidRPr="009A71E1">
        <w:rPr>
          <w:rFonts w:ascii="Palatino Linotype" w:hAnsi="Palatino Linotype"/>
          <w:b/>
          <w:bCs/>
          <w:spacing w:val="60"/>
          <w:sz w:val="28"/>
          <w:lang w:val="es-ES_tradnl"/>
        </w:rPr>
        <w:t>SE    RESUELVE</w:t>
      </w:r>
    </w:p>
    <w:p w14:paraId="6A45D748" w14:textId="77777777" w:rsidR="00826DA6" w:rsidRDefault="00826DA6" w:rsidP="00826DA6">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14:paraId="1460E7E9" w14:textId="77777777" w:rsidR="00826DA6" w:rsidRPr="00165D42" w:rsidRDefault="00826DA6" w:rsidP="00826DA6">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w:t>
      </w:r>
      <w:r w:rsidRPr="00165D42">
        <w:rPr>
          <w:rFonts w:ascii="Palatino Linotype" w:hAnsi="Palatino Linotype" w:cs="Arial"/>
        </w:rPr>
        <w:t>Se</w:t>
      </w:r>
      <w:r w:rsidRPr="00165D42">
        <w:rPr>
          <w:rFonts w:ascii="Palatino Linotype" w:hAnsi="Palatino Linotype" w:cs="Arial"/>
          <w:b/>
        </w:rPr>
        <w:t xml:space="preserve"> </w:t>
      </w:r>
      <w:r w:rsidR="00431E6D">
        <w:rPr>
          <w:rFonts w:ascii="Palatino Linotype" w:hAnsi="Palatino Linotype" w:cs="Arial"/>
          <w:b/>
        </w:rPr>
        <w:t>MODIFI</w:t>
      </w:r>
      <w:r w:rsidRPr="00165D42">
        <w:rPr>
          <w:rFonts w:ascii="Palatino Linotype" w:hAnsi="Palatino Linotype" w:cs="Arial"/>
          <w:b/>
        </w:rPr>
        <w:t xml:space="preserve">CA </w:t>
      </w:r>
      <w:r w:rsidRPr="00165D42">
        <w:rPr>
          <w:rFonts w:ascii="Palatino Linotype" w:hAnsi="Palatino Linotype" w:cs="Arial"/>
        </w:rPr>
        <w:t xml:space="preserve">la respuesta del </w:t>
      </w:r>
      <w:r w:rsidRPr="00165D42">
        <w:rPr>
          <w:rFonts w:ascii="Palatino Linotype" w:hAnsi="Palatino Linotype" w:cs="Arial"/>
          <w:b/>
        </w:rPr>
        <w:t>Sujeto Obligado</w:t>
      </w:r>
      <w:r w:rsidRPr="00165D42">
        <w:rPr>
          <w:rFonts w:ascii="Palatino Linotype" w:hAnsi="Palatino Linotype" w:cs="Arial"/>
        </w:rPr>
        <w:t xml:space="preserve"> a la solicitud de acceso a la información pública</w:t>
      </w:r>
      <w:r>
        <w:rPr>
          <w:rFonts w:ascii="Palatino Linotype" w:hAnsi="Palatino Linotype" w:cs="Arial"/>
          <w:b/>
        </w:rPr>
        <w:t xml:space="preserve"> </w:t>
      </w:r>
      <w:r>
        <w:rPr>
          <w:rFonts w:ascii="Palatino Linotype" w:hAnsi="Palatino Linotype"/>
          <w:b/>
          <w:bCs/>
        </w:rPr>
        <w:t>01915/TOLUCA/IP/2024</w:t>
      </w:r>
      <w:r w:rsidRPr="00165D42">
        <w:rPr>
          <w:rFonts w:ascii="Palatino Linotype" w:hAnsi="Palatino Linotype" w:cs="Arial"/>
        </w:rPr>
        <w:t>,</w:t>
      </w:r>
      <w:r w:rsidRPr="00165D42">
        <w:rPr>
          <w:rFonts w:ascii="Palatino Linotype" w:hAnsi="Palatino Linotype" w:cs="Tahoma"/>
          <w:b/>
        </w:rPr>
        <w:t xml:space="preserve"> </w:t>
      </w:r>
      <w:r w:rsidRPr="00165D42">
        <w:rPr>
          <w:rFonts w:ascii="Palatino Linotype" w:hAnsi="Palatino Linotype" w:cs="Arial"/>
        </w:rPr>
        <w:t>por resultar</w:t>
      </w:r>
      <w:r>
        <w:rPr>
          <w:rFonts w:ascii="Palatino Linotype" w:hAnsi="Palatino Linotype" w:cs="Arial"/>
        </w:rPr>
        <w:t xml:space="preserve"> fundados</w:t>
      </w:r>
      <w:r w:rsidRPr="00165D42">
        <w:rPr>
          <w:rFonts w:ascii="Palatino Linotype" w:hAnsi="Palatino Linotype" w:cs="Arial"/>
          <w:b/>
        </w:rPr>
        <w:t xml:space="preserve"> </w:t>
      </w:r>
      <w:r w:rsidRPr="00165D42">
        <w:rPr>
          <w:rFonts w:ascii="Palatino Linotype" w:hAnsi="Palatino Linotype" w:cs="Arial"/>
        </w:rPr>
        <w:t>los motivos de inconformidad vertidos por la</w:t>
      </w:r>
      <w:r>
        <w:rPr>
          <w:rFonts w:ascii="Palatino Linotype" w:hAnsi="Palatino Linotype" w:cs="Arial"/>
        </w:rPr>
        <w:t xml:space="preserve"> parte</w:t>
      </w:r>
      <w:r w:rsidRPr="00165D42">
        <w:rPr>
          <w:rFonts w:ascii="Palatino Linotype" w:hAnsi="Palatino Linotype" w:cs="Arial"/>
        </w:rPr>
        <w:t xml:space="preserve"> </w:t>
      </w:r>
      <w:r w:rsidRPr="00165D42">
        <w:rPr>
          <w:rFonts w:ascii="Palatino Linotype" w:hAnsi="Palatino Linotype" w:cs="Arial"/>
          <w:b/>
        </w:rPr>
        <w:t>Recurrente</w:t>
      </w:r>
      <w:r>
        <w:rPr>
          <w:rFonts w:ascii="Palatino Linotype" w:hAnsi="Palatino Linotype" w:cs="Arial"/>
        </w:rPr>
        <w:t>, en términos del considerando</w:t>
      </w:r>
      <w:r w:rsidRPr="00165D42">
        <w:rPr>
          <w:rFonts w:ascii="Palatino Linotype" w:hAnsi="Palatino Linotype" w:cs="Arial"/>
          <w:b/>
        </w:rPr>
        <w:t xml:space="preserve"> CUARTO </w:t>
      </w:r>
      <w:r w:rsidRPr="00165D42">
        <w:rPr>
          <w:rFonts w:ascii="Palatino Linotype" w:hAnsi="Palatino Linotype" w:cs="Arial"/>
        </w:rPr>
        <w:t>de la presente Resolución.</w:t>
      </w:r>
    </w:p>
    <w:p w14:paraId="64AD87B2" w14:textId="77777777" w:rsidR="00826DA6" w:rsidRPr="00165D42" w:rsidRDefault="00826DA6" w:rsidP="00826DA6">
      <w:pPr>
        <w:spacing w:line="360" w:lineRule="auto"/>
        <w:jc w:val="both"/>
        <w:rPr>
          <w:rFonts w:ascii="Palatino Linotype" w:hAnsi="Palatino Linotype" w:cs="Arial"/>
        </w:rPr>
      </w:pPr>
    </w:p>
    <w:p w14:paraId="703B9E63" w14:textId="77777777" w:rsidR="00826DA6" w:rsidRDefault="00826DA6" w:rsidP="00826DA6">
      <w:pPr>
        <w:spacing w:line="360" w:lineRule="auto"/>
        <w:jc w:val="both"/>
        <w:rPr>
          <w:rFonts w:ascii="Palatino Linotype" w:hAnsi="Palatino Linotype" w:cs="Tahoma"/>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Se </w:t>
      </w:r>
      <w:r w:rsidRPr="00165D42">
        <w:rPr>
          <w:rFonts w:ascii="Palatino Linotype" w:hAnsi="Palatino Linotype" w:cs="Tahoma"/>
          <w:b/>
        </w:rPr>
        <w:t>ORDENA</w:t>
      </w:r>
      <w:r w:rsidRPr="00165D42">
        <w:rPr>
          <w:rFonts w:ascii="Palatino Linotype" w:hAnsi="Palatino Linotype" w:cs="Tahoma"/>
        </w:rPr>
        <w:t xml:space="preserve"> al </w:t>
      </w:r>
      <w:r w:rsidRPr="00165D42">
        <w:rPr>
          <w:rFonts w:ascii="Palatino Linotype" w:hAnsi="Palatino Linotype" w:cs="Tahoma"/>
          <w:b/>
        </w:rPr>
        <w:t>Sujeto Obligado,</w:t>
      </w:r>
      <w:r w:rsidRPr="00165D42">
        <w:rPr>
          <w:rFonts w:ascii="Palatino Linotype" w:hAnsi="Palatino Linotype" w:cs="Tahoma"/>
        </w:rPr>
        <w:t xml:space="preserve"> </w:t>
      </w:r>
      <w:r>
        <w:rPr>
          <w:rFonts w:ascii="Palatino Linotype" w:hAnsi="Palatino Linotype" w:cs="Tahoma"/>
        </w:rPr>
        <w:t>haga entrega a la parte</w:t>
      </w:r>
      <w:r w:rsidRPr="00165D42">
        <w:rPr>
          <w:rFonts w:ascii="Palatino Linotype" w:hAnsi="Palatino Linotype" w:cs="Tahoma"/>
        </w:rPr>
        <w:t xml:space="preserve"> </w:t>
      </w:r>
      <w:r w:rsidRPr="00165D42">
        <w:rPr>
          <w:rFonts w:ascii="Palatino Linotype" w:hAnsi="Palatino Linotype" w:cs="Tahoma"/>
          <w:b/>
        </w:rPr>
        <w:t>Recurrente</w:t>
      </w:r>
      <w:r w:rsidRPr="00165D42">
        <w:rPr>
          <w:rFonts w:ascii="Palatino Linotype" w:hAnsi="Palatino Linotype" w:cs="Tahoma"/>
        </w:rPr>
        <w:t xml:space="preserve">, </w:t>
      </w:r>
      <w:r>
        <w:rPr>
          <w:rFonts w:ascii="Palatino Linotype" w:hAnsi="Palatino Linotype" w:cs="Tahoma"/>
        </w:rPr>
        <w:t xml:space="preserve">previa búsqueda exhaustiva y razonable, </w:t>
      </w:r>
      <w:r w:rsidRPr="00165D42">
        <w:rPr>
          <w:rFonts w:ascii="Palatino Linotype" w:hAnsi="Palatino Linotype" w:cs="Tahoma"/>
        </w:rPr>
        <w:t>a través del Sistema de Acceso a la Información Mexiquense (</w:t>
      </w:r>
      <w:r w:rsidRPr="00165D42">
        <w:rPr>
          <w:rFonts w:ascii="Palatino Linotype" w:hAnsi="Palatino Linotype" w:cs="Tahoma"/>
          <w:b/>
        </w:rPr>
        <w:t>SAIMEX</w:t>
      </w:r>
      <w:r w:rsidRPr="00165D42">
        <w:rPr>
          <w:rFonts w:ascii="Palatino Linotype" w:hAnsi="Palatino Linotype" w:cs="Tahoma"/>
        </w:rPr>
        <w:t xml:space="preserve">), </w:t>
      </w:r>
      <w:r>
        <w:rPr>
          <w:rFonts w:ascii="Palatino Linotype" w:hAnsi="Palatino Linotype" w:cs="Tahoma"/>
        </w:rPr>
        <w:t>en versión pública</w:t>
      </w:r>
      <w:r w:rsidR="00072E42">
        <w:rPr>
          <w:rFonts w:ascii="Palatino Linotype" w:hAnsi="Palatino Linotype" w:cs="Tahoma"/>
        </w:rPr>
        <w:t xml:space="preserve"> de ser procedente</w:t>
      </w:r>
      <w:r>
        <w:rPr>
          <w:rFonts w:ascii="Palatino Linotype" w:hAnsi="Palatino Linotype" w:cs="Tahoma"/>
        </w:rPr>
        <w:t xml:space="preserve">, de </w:t>
      </w:r>
      <w:r w:rsidRPr="00165D42">
        <w:rPr>
          <w:rFonts w:ascii="Palatino Linotype" w:hAnsi="Palatino Linotype" w:cs="Tahoma"/>
        </w:rPr>
        <w:t>lo siguiente:</w:t>
      </w:r>
    </w:p>
    <w:p w14:paraId="3A383D4B" w14:textId="77777777" w:rsidR="00826DA6" w:rsidRDefault="00826DA6" w:rsidP="00826DA6">
      <w:pPr>
        <w:spacing w:line="360" w:lineRule="auto"/>
        <w:jc w:val="both"/>
        <w:rPr>
          <w:rFonts w:ascii="Palatino Linotype" w:hAnsi="Palatino Linotype" w:cs="Tahoma"/>
        </w:rPr>
      </w:pPr>
    </w:p>
    <w:p w14:paraId="1A942D81" w14:textId="77777777" w:rsidR="00826DA6" w:rsidRDefault="00F16009" w:rsidP="00826DA6">
      <w:pPr>
        <w:pStyle w:val="Prrafodelista"/>
        <w:numPr>
          <w:ilvl w:val="0"/>
          <w:numId w:val="5"/>
        </w:numPr>
        <w:tabs>
          <w:tab w:val="left" w:pos="1828"/>
        </w:tabs>
        <w:spacing w:line="360" w:lineRule="auto"/>
        <w:jc w:val="both"/>
        <w:rPr>
          <w:rFonts w:ascii="Palatino Linotype" w:hAnsi="Palatino Linotype" w:cs="Tahoma"/>
          <w:bCs/>
        </w:rPr>
      </w:pPr>
      <w:r>
        <w:rPr>
          <w:rFonts w:ascii="Palatino Linotype" w:hAnsi="Palatino Linotype" w:cs="Tahoma"/>
          <w:bCs/>
        </w:rPr>
        <w:t>Documento o documentos donde conste</w:t>
      </w:r>
      <w:r w:rsidR="00072E42">
        <w:rPr>
          <w:rFonts w:ascii="Palatino Linotype" w:hAnsi="Palatino Linotype" w:cs="Tahoma"/>
          <w:bCs/>
        </w:rPr>
        <w:t xml:space="preserve">n el número de </w:t>
      </w:r>
      <w:r w:rsidR="00C94E91" w:rsidRPr="000C53DB">
        <w:rPr>
          <w:rFonts w:ascii="Palatino Linotype" w:hAnsi="Palatino Linotype" w:cs="Tahoma"/>
          <w:bCs/>
        </w:rPr>
        <w:t>auxiliares que realicen funciones de asesoría c</w:t>
      </w:r>
      <w:r w:rsidRPr="000C53DB">
        <w:rPr>
          <w:rFonts w:ascii="Palatino Linotype" w:hAnsi="Palatino Linotype" w:cs="Tahoma"/>
          <w:bCs/>
        </w:rPr>
        <w:t xml:space="preserve">on </w:t>
      </w:r>
      <w:r w:rsidR="00C94E91" w:rsidRPr="000C53DB">
        <w:rPr>
          <w:rFonts w:ascii="Palatino Linotype" w:hAnsi="Palatino Linotype" w:cs="Tahoma"/>
          <w:bCs/>
        </w:rPr>
        <w:t>los que cuenta</w:t>
      </w:r>
      <w:r w:rsidRPr="000C53DB">
        <w:rPr>
          <w:rFonts w:ascii="Palatino Linotype" w:hAnsi="Palatino Linotype" w:cs="Tahoma"/>
          <w:bCs/>
        </w:rPr>
        <w:t xml:space="preserve"> cada regidor, </w:t>
      </w:r>
      <w:r w:rsidR="00072E42" w:rsidRPr="000C53DB">
        <w:rPr>
          <w:rFonts w:ascii="Palatino Linotype" w:hAnsi="Palatino Linotype" w:cs="Tahoma"/>
          <w:bCs/>
        </w:rPr>
        <w:t xml:space="preserve">así como sus remuneraciones brutas y netas, </w:t>
      </w:r>
      <w:r w:rsidRPr="000C53DB">
        <w:rPr>
          <w:rFonts w:ascii="Palatino Linotype" w:hAnsi="Palatino Linotype" w:cs="Tahoma"/>
          <w:bCs/>
        </w:rPr>
        <w:t>del primero de enero de dos mil veintidós al diecinueve de agosto de dos mil veinticuatro.</w:t>
      </w:r>
      <w:r>
        <w:rPr>
          <w:rFonts w:ascii="Palatino Linotype" w:hAnsi="Palatino Linotype" w:cs="Tahoma"/>
          <w:bCs/>
        </w:rPr>
        <w:t xml:space="preserve"> </w:t>
      </w:r>
    </w:p>
    <w:p w14:paraId="41A27DBD" w14:textId="77777777" w:rsidR="00826DA6" w:rsidRDefault="00826DA6" w:rsidP="00826DA6">
      <w:pPr>
        <w:pStyle w:val="INFOEM"/>
        <w:spacing w:before="0" w:after="0"/>
        <w:ind w:left="720" w:right="567"/>
        <w:rPr>
          <w:sz w:val="24"/>
          <w:szCs w:val="24"/>
        </w:rPr>
      </w:pPr>
    </w:p>
    <w:p w14:paraId="11BE8744" w14:textId="77777777" w:rsidR="00826DA6" w:rsidRDefault="00826DA6" w:rsidP="00826DA6">
      <w:pPr>
        <w:pStyle w:val="Citas"/>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557F9BE" w14:textId="77777777" w:rsidR="00826DA6" w:rsidRPr="00DC5E29" w:rsidRDefault="00826DA6" w:rsidP="00826DA6">
      <w:pPr>
        <w:spacing w:line="360" w:lineRule="auto"/>
        <w:jc w:val="both"/>
        <w:rPr>
          <w:rFonts w:ascii="Palatino Linotype" w:hAnsi="Palatino Linotype" w:cs="Arial"/>
        </w:rPr>
      </w:pPr>
    </w:p>
    <w:p w14:paraId="2B14D726" w14:textId="77777777" w:rsidR="00826DA6" w:rsidRPr="00DC5E29" w:rsidRDefault="00826DA6" w:rsidP="00826DA6">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8EA093" w14:textId="77777777" w:rsidR="00826DA6" w:rsidRPr="00DC5E29" w:rsidRDefault="00826DA6" w:rsidP="00826DA6">
      <w:pPr>
        <w:spacing w:line="360" w:lineRule="auto"/>
        <w:ind w:right="-595"/>
        <w:jc w:val="both"/>
        <w:rPr>
          <w:rFonts w:ascii="Palatino Linotype" w:hAnsi="Palatino Linotype" w:cs="Tahoma"/>
          <w:bCs/>
        </w:rPr>
      </w:pPr>
    </w:p>
    <w:p w14:paraId="4FB30417" w14:textId="77777777" w:rsidR="00826DA6" w:rsidRDefault="00826DA6" w:rsidP="00826DA6">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21B0B448" w14:textId="77777777" w:rsidR="00826DA6" w:rsidRPr="00DC5E29" w:rsidRDefault="00826DA6" w:rsidP="00826DA6">
      <w:pPr>
        <w:autoSpaceDE w:val="0"/>
        <w:autoSpaceDN w:val="0"/>
        <w:adjustRightInd w:val="0"/>
        <w:spacing w:line="360" w:lineRule="auto"/>
        <w:jc w:val="both"/>
        <w:rPr>
          <w:rFonts w:ascii="Palatino Linotype" w:hAnsi="Palatino Linotype" w:cs="Arial"/>
        </w:rPr>
      </w:pPr>
    </w:p>
    <w:p w14:paraId="13010467" w14:textId="77777777" w:rsidR="00826DA6" w:rsidRDefault="00826DA6" w:rsidP="00826DA6">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9129985" w14:textId="77777777" w:rsidR="00826DA6" w:rsidRPr="007C3942" w:rsidRDefault="00826DA6" w:rsidP="00826DA6">
      <w:pPr>
        <w:spacing w:line="360" w:lineRule="auto"/>
        <w:jc w:val="both"/>
        <w:rPr>
          <w:rFonts w:ascii="Palatino Linotype" w:hAnsi="Palatino Linotype"/>
          <w:lang w:eastAsia="es-ES_tradnl"/>
        </w:rPr>
      </w:pPr>
    </w:p>
    <w:p w14:paraId="49983C56" w14:textId="1DA2CC71" w:rsidR="00826DA6" w:rsidRPr="007C3942" w:rsidRDefault="00826DA6" w:rsidP="00826DA6">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sidR="00C700E7">
        <w:rPr>
          <w:rFonts w:ascii="Palatino Linotype" w:hAnsi="Palatino Linotype" w:cs="Arial"/>
        </w:rPr>
        <w:t xml:space="preserve"> </w:t>
      </w:r>
      <w:r w:rsidRPr="007C3942">
        <w:rPr>
          <w:rFonts w:ascii="Palatino Linotype" w:hAnsi="Palatino Linotype" w:cs="Arial"/>
        </w:rPr>
        <w:t xml:space="preserve">Y GUADALUPE RAMÍREZ PEÑA, EN LA </w:t>
      </w:r>
      <w:r>
        <w:rPr>
          <w:rFonts w:ascii="Palatino Linotype" w:hAnsi="Palatino Linotype" w:cs="Arial"/>
        </w:rPr>
        <w:t xml:space="preserve">TRIGÉSIMA </w:t>
      </w:r>
      <w:r w:rsidR="004E0480">
        <w:rPr>
          <w:rFonts w:ascii="Palatino Linotype" w:hAnsi="Palatino Linotype" w:cs="Arial"/>
        </w:rPr>
        <w:t>OCTAVA</w:t>
      </w:r>
      <w:r>
        <w:rPr>
          <w:rFonts w:ascii="Palatino Linotype" w:hAnsi="Palatino Linotype" w:cs="Arial"/>
        </w:rPr>
        <w:t xml:space="preserve"> </w:t>
      </w:r>
      <w:r w:rsidRPr="007C3942">
        <w:rPr>
          <w:rFonts w:ascii="Palatino Linotype" w:hAnsi="Palatino Linotype" w:cs="Arial"/>
        </w:rPr>
        <w:t>SESIÓN ORDINARIA CELEBRADA EL</w:t>
      </w:r>
      <w:r w:rsidR="00C700E7">
        <w:rPr>
          <w:rFonts w:ascii="Palatino Linotype" w:hAnsi="Palatino Linotype" w:cs="Arial"/>
        </w:rPr>
        <w:t xml:space="preserve"> </w:t>
      </w:r>
      <w:r w:rsidR="004E0480">
        <w:rPr>
          <w:rFonts w:ascii="Palatino Linotype" w:hAnsi="Palatino Linotype" w:cs="Arial"/>
        </w:rPr>
        <w:t>SEIS DE NOVIEMBRE</w:t>
      </w:r>
      <w:r>
        <w:rPr>
          <w:rFonts w:ascii="Palatino Linotype" w:hAnsi="Palatino Linotype" w:cs="Arial"/>
        </w:rPr>
        <w:t xml:space="preserv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1E3A47">
        <w:rPr>
          <w:rFonts w:ascii="Palatino Linotype" w:hAnsi="Palatino Linotype" w:cs="Arial"/>
        </w:rPr>
        <w:t>---------------------------------</w:t>
      </w:r>
    </w:p>
    <w:p w14:paraId="704F91D8" w14:textId="77E00E39" w:rsidR="00826DA6" w:rsidRPr="00A151D0" w:rsidRDefault="00826DA6" w:rsidP="00826DA6">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sidR="001E3A47" w:rsidRPr="00692461">
        <w:rPr>
          <w:rFonts w:ascii="Palatino Linotype" w:hAnsi="Palatino Linotype" w:cs="Arial"/>
        </w:rPr>
        <w:t>---------------------------------------------------------------------------------------</w:t>
      </w:r>
      <w:r w:rsidR="001E3A47">
        <w:rPr>
          <w:rFonts w:ascii="Palatino Linotype" w:hAnsi="Palatino Linotype" w:cs="Arial"/>
        </w:rPr>
        <w:t>---------------------------</w:t>
      </w:r>
      <w:r w:rsidR="001E3A47" w:rsidRPr="00692461">
        <w:rPr>
          <w:rFonts w:ascii="Palatino Linotype" w:hAnsi="Palatino Linotype" w:cs="Arial"/>
        </w:rPr>
        <w:t>---------------------------------------------------------------------------------------</w:t>
      </w:r>
      <w:r w:rsidR="001E3A47">
        <w:rPr>
          <w:rFonts w:ascii="Palatino Linotype" w:hAnsi="Palatino Linotype" w:cs="Arial"/>
        </w:rPr>
        <w:t>---------------------------</w:t>
      </w:r>
    </w:p>
    <w:p w14:paraId="379B0D2C" w14:textId="77777777" w:rsidR="00826DA6" w:rsidRPr="00E23C8F" w:rsidRDefault="00837CA2" w:rsidP="00826DA6">
      <w:pPr>
        <w:spacing w:line="360" w:lineRule="auto"/>
        <w:jc w:val="both"/>
        <w:rPr>
          <w:rFonts w:ascii="Palatino Linotype" w:hAnsi="Palatino Linotype" w:cs="Arial"/>
          <w:sz w:val="16"/>
        </w:rPr>
      </w:pPr>
      <w:r>
        <w:rPr>
          <w:rFonts w:ascii="Palatino Linotype" w:hAnsi="Palatino Linotype" w:cs="Arial"/>
          <w:sz w:val="16"/>
        </w:rPr>
        <w:t>JMV/CCR/</w:t>
      </w:r>
      <w:r w:rsidR="004E0480">
        <w:rPr>
          <w:rFonts w:ascii="Palatino Linotype" w:hAnsi="Palatino Linotype" w:cs="Arial"/>
          <w:sz w:val="16"/>
        </w:rPr>
        <w:t>LMST</w:t>
      </w:r>
    </w:p>
    <w:p w14:paraId="525514A5" w14:textId="77777777" w:rsidR="00826DA6" w:rsidRDefault="00826DA6" w:rsidP="00826DA6"/>
    <w:p w14:paraId="73EC7920" w14:textId="77777777" w:rsidR="00826DA6" w:rsidRDefault="00826DA6" w:rsidP="00826DA6"/>
    <w:p w14:paraId="51EFBD15" w14:textId="77777777" w:rsidR="00826DA6" w:rsidRDefault="00826DA6" w:rsidP="00826DA6"/>
    <w:p w14:paraId="75359D3A" w14:textId="77777777" w:rsidR="00826DA6" w:rsidRDefault="00826DA6" w:rsidP="00826DA6"/>
    <w:p w14:paraId="24DDA8AB" w14:textId="77777777" w:rsidR="00826DA6" w:rsidRDefault="00826DA6" w:rsidP="00826DA6"/>
    <w:p w14:paraId="669C5F7E" w14:textId="77777777" w:rsidR="00826DA6" w:rsidRDefault="00826DA6" w:rsidP="00826DA6"/>
    <w:p w14:paraId="18084788" w14:textId="77777777" w:rsidR="00826DA6" w:rsidRDefault="00826DA6" w:rsidP="00826DA6"/>
    <w:p w14:paraId="10ACEF52" w14:textId="77777777" w:rsidR="00826DA6" w:rsidRDefault="00826DA6" w:rsidP="00826DA6"/>
    <w:p w14:paraId="5565D822" w14:textId="77777777" w:rsidR="00826DA6" w:rsidRDefault="00826DA6" w:rsidP="00826DA6"/>
    <w:p w14:paraId="3F2164CC" w14:textId="77777777" w:rsidR="00826DA6" w:rsidRDefault="00826DA6" w:rsidP="00826DA6"/>
    <w:p w14:paraId="7F24B4C8" w14:textId="77777777" w:rsidR="00826DA6" w:rsidRDefault="00826DA6" w:rsidP="00826DA6"/>
    <w:p w14:paraId="3E385238" w14:textId="77777777" w:rsidR="00826DA6" w:rsidRDefault="00826DA6" w:rsidP="00826DA6"/>
    <w:p w14:paraId="11B70809" w14:textId="77777777" w:rsidR="00826DA6" w:rsidRDefault="00826DA6" w:rsidP="00826DA6"/>
    <w:p w14:paraId="35BC0501" w14:textId="77777777" w:rsidR="00826DA6" w:rsidRDefault="00826DA6" w:rsidP="00826DA6"/>
    <w:p w14:paraId="0918D900" w14:textId="77777777" w:rsidR="00826DA6" w:rsidRDefault="00826DA6" w:rsidP="00826DA6"/>
    <w:p w14:paraId="19497C1E" w14:textId="77777777" w:rsidR="007214BE" w:rsidRDefault="007214BE"/>
    <w:sectPr w:rsidR="007214BE" w:rsidSect="00E42438">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22AE" w14:textId="77777777" w:rsidR="00A57C20" w:rsidRDefault="00A57C20" w:rsidP="00826DA6">
      <w:r>
        <w:separator/>
      </w:r>
    </w:p>
  </w:endnote>
  <w:endnote w:type="continuationSeparator" w:id="0">
    <w:p w14:paraId="0365BDF5" w14:textId="77777777" w:rsidR="00A57C20" w:rsidRDefault="00A57C20" w:rsidP="0082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AF50" w14:textId="77777777" w:rsidR="00CD30FB" w:rsidRPr="00A2780F" w:rsidRDefault="00CD30FB" w:rsidP="00E4243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45667">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45667">
      <w:rPr>
        <w:rFonts w:ascii="Arial" w:hAnsi="Arial" w:cs="Arial"/>
        <w:b/>
        <w:bCs/>
        <w:noProof/>
        <w:sz w:val="20"/>
        <w:szCs w:val="20"/>
      </w:rPr>
      <w:t>43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5C544" w14:textId="77777777" w:rsidR="00CD30FB" w:rsidRPr="00070856" w:rsidRDefault="00CD30FB" w:rsidP="00E4243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45667">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45667">
      <w:rPr>
        <w:rFonts w:ascii="Arial" w:hAnsi="Arial" w:cs="Arial"/>
        <w:b/>
        <w:bCs/>
        <w:noProof/>
        <w:sz w:val="20"/>
        <w:szCs w:val="20"/>
      </w:rPr>
      <w:t>43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15BCB" w14:textId="77777777" w:rsidR="00A57C20" w:rsidRDefault="00A57C20" w:rsidP="00826DA6">
      <w:r>
        <w:separator/>
      </w:r>
    </w:p>
  </w:footnote>
  <w:footnote w:type="continuationSeparator" w:id="0">
    <w:p w14:paraId="32D26EB0" w14:textId="77777777" w:rsidR="00A57C20" w:rsidRDefault="00A57C20" w:rsidP="00826DA6">
      <w:r>
        <w:continuationSeparator/>
      </w:r>
    </w:p>
  </w:footnote>
  <w:footnote w:id="1">
    <w:p w14:paraId="4A0148AE" w14:textId="77777777" w:rsidR="00CD30FB" w:rsidRPr="005552A8" w:rsidRDefault="00CD30FB" w:rsidP="00826DA6">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E4E0C5C" w14:textId="77777777" w:rsidR="00CD30FB" w:rsidRPr="005552A8" w:rsidRDefault="00CD30FB" w:rsidP="00826DA6">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D30FB" w:rsidRPr="008F2CCC" w14:paraId="40BD7C05" w14:textId="77777777" w:rsidTr="00E42438">
      <w:tc>
        <w:tcPr>
          <w:tcW w:w="3620" w:type="dxa"/>
          <w:shd w:val="clear" w:color="auto" w:fill="auto"/>
        </w:tcPr>
        <w:p w14:paraId="565FC0FC" w14:textId="77777777" w:rsidR="00CD30FB" w:rsidRPr="007E5FC4" w:rsidRDefault="00CD30FB" w:rsidP="00E4243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327B56CB" w14:textId="4CDA2891" w:rsidR="00CD30FB" w:rsidRPr="00664658" w:rsidRDefault="001E3A47" w:rsidP="00E4243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D30FB">
            <w:rPr>
              <w:rFonts w:ascii="Palatino Linotype" w:hAnsi="Palatino Linotype"/>
              <w:b/>
              <w:sz w:val="22"/>
              <w:szCs w:val="22"/>
              <w:lang w:val="es-ES_tradnl"/>
            </w:rPr>
            <w:t>5755/INFOEM/IP/RR/2024</w:t>
          </w:r>
        </w:p>
      </w:tc>
    </w:tr>
    <w:tr w:rsidR="00CD30FB" w:rsidRPr="008F2CCC" w14:paraId="5834590D" w14:textId="77777777" w:rsidTr="00E42438">
      <w:tc>
        <w:tcPr>
          <w:tcW w:w="3620" w:type="dxa"/>
          <w:shd w:val="clear" w:color="auto" w:fill="auto"/>
        </w:tcPr>
        <w:p w14:paraId="404B903A" w14:textId="77777777" w:rsidR="00CD30FB" w:rsidRPr="007E5FC4" w:rsidRDefault="00CD30FB" w:rsidP="00E4243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DE8D4B1" w14:textId="77777777" w:rsidR="00CD30FB" w:rsidRPr="00664658" w:rsidRDefault="00CD30FB" w:rsidP="00E42438">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Toluca</w:t>
          </w:r>
        </w:p>
      </w:tc>
    </w:tr>
    <w:tr w:rsidR="00CD30FB" w:rsidRPr="008F2CCC" w14:paraId="4EFCF25E" w14:textId="77777777" w:rsidTr="00E42438">
      <w:trPr>
        <w:trHeight w:val="228"/>
      </w:trPr>
      <w:tc>
        <w:tcPr>
          <w:tcW w:w="3620" w:type="dxa"/>
          <w:shd w:val="clear" w:color="auto" w:fill="auto"/>
        </w:tcPr>
        <w:p w14:paraId="6B491DE3" w14:textId="77777777" w:rsidR="00CD30FB" w:rsidRPr="007E5FC4" w:rsidRDefault="00CD30FB" w:rsidP="00E4243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6F0C8952" w14:textId="77777777" w:rsidR="00CD30FB" w:rsidRPr="00664658" w:rsidRDefault="00CD30FB" w:rsidP="00E4243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8EAE96C" w14:textId="77777777" w:rsidR="00CD30FB" w:rsidRDefault="00CD30FB" w:rsidP="00E42438">
    <w:pPr>
      <w:pStyle w:val="Encabezado"/>
      <w:tabs>
        <w:tab w:val="clear" w:pos="4252"/>
        <w:tab w:val="clear" w:pos="8504"/>
        <w:tab w:val="left" w:pos="2326"/>
      </w:tabs>
      <w:rPr>
        <w:rFonts w:ascii="Palatino Linotype" w:hAnsi="Palatino Linotype"/>
        <w:sz w:val="20"/>
      </w:rPr>
    </w:pPr>
  </w:p>
  <w:p w14:paraId="4709B5F1" w14:textId="77777777" w:rsidR="00CD30FB" w:rsidRPr="001779E0" w:rsidRDefault="00CD30FB" w:rsidP="00E4243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4FBC63D" wp14:editId="09F0E7CF">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D30FB" w:rsidRPr="008F2CCC" w14:paraId="089653C9" w14:textId="77777777" w:rsidTr="00E42438">
      <w:tc>
        <w:tcPr>
          <w:tcW w:w="2977" w:type="dxa"/>
          <w:shd w:val="clear" w:color="auto" w:fill="auto"/>
        </w:tcPr>
        <w:p w14:paraId="501D66F4" w14:textId="77777777" w:rsidR="00CD30FB" w:rsidRPr="007E5FC4" w:rsidRDefault="00CD30FB" w:rsidP="00E4243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130381C6" w14:textId="482EF783" w:rsidR="00CD30FB" w:rsidRPr="008F2CCC" w:rsidRDefault="001E3A47" w:rsidP="00E4243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CD30FB">
            <w:rPr>
              <w:rFonts w:ascii="Palatino Linotype" w:hAnsi="Palatino Linotype"/>
              <w:b/>
              <w:sz w:val="22"/>
              <w:szCs w:val="22"/>
              <w:lang w:val="es-ES_tradnl"/>
            </w:rPr>
            <w:t>5755/INFOEM/IP/RR/2024</w:t>
          </w:r>
        </w:p>
      </w:tc>
    </w:tr>
    <w:tr w:rsidR="00CD30FB" w:rsidRPr="008F2CCC" w14:paraId="0F0768E6" w14:textId="77777777" w:rsidTr="00E42438">
      <w:tc>
        <w:tcPr>
          <w:tcW w:w="2977" w:type="dxa"/>
          <w:shd w:val="clear" w:color="auto" w:fill="auto"/>
          <w:vAlign w:val="center"/>
        </w:tcPr>
        <w:p w14:paraId="0A190B1B" w14:textId="77777777" w:rsidR="00CD30FB" w:rsidRPr="007E5FC4" w:rsidRDefault="00CD30FB" w:rsidP="00E4243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7DCBD06A" w14:textId="50CB7974" w:rsidR="00CD30FB" w:rsidRPr="008F2CCC" w:rsidRDefault="00F45667" w:rsidP="00E4243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w:t>
          </w:r>
        </w:p>
      </w:tc>
    </w:tr>
    <w:tr w:rsidR="00CD30FB" w:rsidRPr="008F2CCC" w14:paraId="56E59E97" w14:textId="77777777" w:rsidTr="00E42438">
      <w:trPr>
        <w:trHeight w:val="228"/>
      </w:trPr>
      <w:tc>
        <w:tcPr>
          <w:tcW w:w="2977" w:type="dxa"/>
          <w:shd w:val="clear" w:color="auto" w:fill="auto"/>
        </w:tcPr>
        <w:p w14:paraId="2A4FF2BB" w14:textId="77777777" w:rsidR="00CD30FB" w:rsidRPr="007E5FC4" w:rsidRDefault="00CD30FB" w:rsidP="00E4243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581FCC18" w14:textId="77777777" w:rsidR="00CD30FB" w:rsidRPr="00DC41C8" w:rsidRDefault="00CD30FB" w:rsidP="00826DA6">
          <w:pPr>
            <w:spacing w:line="360" w:lineRule="auto"/>
            <w:jc w:val="right"/>
            <w:rPr>
              <w:rFonts w:ascii="Palatino Linotype" w:hAnsi="Palatino Linotype"/>
              <w:b/>
              <w:sz w:val="22"/>
              <w:szCs w:val="22"/>
            </w:rPr>
          </w:pPr>
          <w:r w:rsidRPr="00603574">
            <w:rPr>
              <w:rFonts w:ascii="Palatino Linotype" w:hAnsi="Palatino Linotype"/>
              <w:b/>
              <w:sz w:val="22"/>
              <w:szCs w:val="22"/>
            </w:rPr>
            <w:t xml:space="preserve">Ayuntamiento de </w:t>
          </w:r>
          <w:r>
            <w:rPr>
              <w:rFonts w:ascii="Palatino Linotype" w:hAnsi="Palatino Linotype"/>
              <w:b/>
              <w:sz w:val="22"/>
              <w:szCs w:val="22"/>
            </w:rPr>
            <w:t>Toluca</w:t>
          </w:r>
        </w:p>
      </w:tc>
    </w:tr>
    <w:tr w:rsidR="00CD30FB" w:rsidRPr="008F2CCC" w14:paraId="55B0C7C9" w14:textId="77777777" w:rsidTr="00E42438">
      <w:tc>
        <w:tcPr>
          <w:tcW w:w="2977" w:type="dxa"/>
          <w:shd w:val="clear" w:color="auto" w:fill="auto"/>
        </w:tcPr>
        <w:p w14:paraId="4201F9F2" w14:textId="77777777" w:rsidR="00CD30FB" w:rsidRPr="007E5FC4" w:rsidRDefault="00CD30FB" w:rsidP="00E4243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60DE92C0" w14:textId="77777777" w:rsidR="00CD30FB" w:rsidRPr="008F2CCC" w:rsidRDefault="00CD30FB" w:rsidP="00E4243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9ED4368" w14:textId="77777777" w:rsidR="00CD30FB" w:rsidRPr="009F1AB6" w:rsidRDefault="00CD30FB">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9F9ABEA" wp14:editId="7A45274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A41FA8"/>
    <w:multiLevelType w:val="hybridMultilevel"/>
    <w:tmpl w:val="6242DB24"/>
    <w:lvl w:ilvl="0" w:tplc="4F12C35E">
      <w:numFmt w:val="bullet"/>
      <w:lvlText w:val="-"/>
      <w:lvlJc w:val="left"/>
      <w:pPr>
        <w:ind w:left="1211" w:hanging="360"/>
      </w:pPr>
      <w:rPr>
        <w:rFonts w:ascii="Palatino Linotype" w:eastAsiaTheme="minorHAnsi" w:hAnsi="Palatino Linotype"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7DB1117"/>
    <w:multiLevelType w:val="hybridMultilevel"/>
    <w:tmpl w:val="B2E8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9E3F3F"/>
    <w:multiLevelType w:val="hybridMultilevel"/>
    <w:tmpl w:val="BA249AAE"/>
    <w:lvl w:ilvl="0" w:tplc="1DC2EFB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565898"/>
    <w:multiLevelType w:val="hybridMultilevel"/>
    <w:tmpl w:val="E2B82C30"/>
    <w:lvl w:ilvl="0" w:tplc="ABAA226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3B76BB"/>
    <w:multiLevelType w:val="hybridMultilevel"/>
    <w:tmpl w:val="837A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4"/>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A6"/>
    <w:rsid w:val="00072E42"/>
    <w:rsid w:val="0009585F"/>
    <w:rsid w:val="000B11E5"/>
    <w:rsid w:val="000C53DB"/>
    <w:rsid w:val="000C6DD0"/>
    <w:rsid w:val="001E3A47"/>
    <w:rsid w:val="001F7441"/>
    <w:rsid w:val="00327303"/>
    <w:rsid w:val="00344C7B"/>
    <w:rsid w:val="00345CD7"/>
    <w:rsid w:val="00431E6D"/>
    <w:rsid w:val="004E0480"/>
    <w:rsid w:val="007214BE"/>
    <w:rsid w:val="007655BF"/>
    <w:rsid w:val="007C28FC"/>
    <w:rsid w:val="00826DA6"/>
    <w:rsid w:val="00837CA2"/>
    <w:rsid w:val="00907BF1"/>
    <w:rsid w:val="00913B9F"/>
    <w:rsid w:val="00A57C20"/>
    <w:rsid w:val="00C44015"/>
    <w:rsid w:val="00C700E7"/>
    <w:rsid w:val="00C94E91"/>
    <w:rsid w:val="00CD30FB"/>
    <w:rsid w:val="00DE27AA"/>
    <w:rsid w:val="00DF597A"/>
    <w:rsid w:val="00E13A74"/>
    <w:rsid w:val="00E42438"/>
    <w:rsid w:val="00F03E42"/>
    <w:rsid w:val="00F16009"/>
    <w:rsid w:val="00F30663"/>
    <w:rsid w:val="00F456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7556"/>
  <w15:chartTrackingRefBased/>
  <w15:docId w15:val="{718102F2-E32C-47D1-8036-A3EF5839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DA6"/>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26DA6"/>
    <w:rPr>
      <w:rFonts w:eastAsiaTheme="minorEastAsia"/>
      <w:sz w:val="24"/>
      <w:szCs w:val="24"/>
      <w:lang w:val="es-ES_tradnl" w:eastAsia="es-ES"/>
    </w:rPr>
  </w:style>
  <w:style w:type="paragraph" w:styleId="Piedepgina">
    <w:name w:val="footer"/>
    <w:basedOn w:val="Normal"/>
    <w:link w:val="PiedepginaCar"/>
    <w:uiPriority w:val="99"/>
    <w:unhideWhenUsed/>
    <w:rsid w:val="00826DA6"/>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26DA6"/>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26DA6"/>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26DA6"/>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826DA6"/>
    <w:pPr>
      <w:spacing w:after="0" w:line="240" w:lineRule="auto"/>
    </w:pPr>
  </w:style>
  <w:style w:type="character" w:customStyle="1" w:styleId="SinespaciadoCar">
    <w:name w:val="Sin espaciado Car"/>
    <w:aliases w:val="Francesa Car,INAI Car"/>
    <w:link w:val="Sinespaciado"/>
    <w:uiPriority w:val="1"/>
    <w:locked/>
    <w:rsid w:val="00826DA6"/>
  </w:style>
  <w:style w:type="character" w:styleId="Hipervnculo">
    <w:name w:val="Hyperlink"/>
    <w:aliases w:val="Hipervínculo1,Hipervínculo11,Hipervínculo12,Hipervínculo13,Hipervínculo14,Hipervínculo15"/>
    <w:basedOn w:val="Fuentedeprrafopredeter"/>
    <w:uiPriority w:val="99"/>
    <w:unhideWhenUsed/>
    <w:rsid w:val="00826DA6"/>
    <w:rPr>
      <w:color w:val="0563C1" w:themeColor="hyperlink"/>
      <w:u w:val="single"/>
    </w:rPr>
  </w:style>
  <w:style w:type="paragraph" w:customStyle="1" w:styleId="INFOEM">
    <w:name w:val="INFOEM"/>
    <w:basedOn w:val="Normal"/>
    <w:qFormat/>
    <w:rsid w:val="00826DA6"/>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826DA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26DA6"/>
    <w:rPr>
      <w:vertAlign w:val="superscript"/>
    </w:rPr>
  </w:style>
  <w:style w:type="paragraph" w:customStyle="1" w:styleId="infoemcitas">
    <w:name w:val="infoem citas"/>
    <w:basedOn w:val="Normal"/>
    <w:qFormat/>
    <w:rsid w:val="00826DA6"/>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customStyle="1" w:styleId="Tablaconcuadrcula1">
    <w:name w:val="Tabla con cuadrícula1"/>
    <w:basedOn w:val="Tablanormal"/>
    <w:next w:val="Tablaconcuadrcula"/>
    <w:uiPriority w:val="39"/>
    <w:rsid w:val="0082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826DA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82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43</Pages>
  <Words>10201</Words>
  <Characters>56107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15</cp:revision>
  <dcterms:created xsi:type="dcterms:W3CDTF">2024-10-14T21:56:00Z</dcterms:created>
  <dcterms:modified xsi:type="dcterms:W3CDTF">2024-11-22T18:34:00Z</dcterms:modified>
</cp:coreProperties>
</file>