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CB" w:rsidRDefault="008B70CB">
      <w:pPr>
        <w:widowControl w:val="0"/>
        <w:pBdr>
          <w:top w:val="nil"/>
          <w:left w:val="nil"/>
          <w:bottom w:val="nil"/>
          <w:right w:val="nil"/>
          <w:between w:val="nil"/>
        </w:pBdr>
        <w:spacing w:line="276" w:lineRule="auto"/>
      </w:pPr>
    </w:p>
    <w:p w:rsidR="008B70CB" w:rsidRDefault="008B70CB">
      <w:pPr>
        <w:widowControl w:val="0"/>
        <w:pBdr>
          <w:top w:val="nil"/>
          <w:left w:val="nil"/>
          <w:bottom w:val="nil"/>
          <w:right w:val="nil"/>
          <w:between w:val="nil"/>
        </w:pBdr>
        <w:spacing w:line="276" w:lineRule="auto"/>
      </w:pPr>
    </w:p>
    <w:p w:rsidR="008B70CB" w:rsidRDefault="00CC56CD">
      <w:pPr>
        <w:keepNext/>
        <w:keepLines/>
        <w:pBdr>
          <w:top w:val="nil"/>
          <w:left w:val="nil"/>
          <w:bottom w:val="nil"/>
          <w:right w:val="nil"/>
          <w:between w:val="nil"/>
        </w:pBdr>
        <w:spacing w:before="240" w:line="259" w:lineRule="auto"/>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2081951584"/>
        <w:docPartObj>
          <w:docPartGallery w:val="Table of Contents"/>
          <w:docPartUnique/>
        </w:docPartObj>
      </w:sdtPr>
      <w:sdtEndPr/>
      <w:sdtContent>
        <w:p w:rsidR="008B70CB" w:rsidRDefault="00CC56CD">
          <w:pPr>
            <w:pBdr>
              <w:top w:val="nil"/>
              <w:left w:val="nil"/>
              <w:bottom w:val="nil"/>
              <w:right w:val="nil"/>
              <w:between w:val="nil"/>
            </w:pBdr>
            <w:tabs>
              <w:tab w:val="right" w:pos="9034"/>
            </w:tabs>
            <w:spacing w:after="100"/>
            <w:rPr>
              <w:color w:val="000000"/>
            </w:rPr>
          </w:pPr>
          <w:r>
            <w:fldChar w:fldCharType="begin"/>
          </w:r>
          <w:r>
            <w:instrText xml:space="preserve"> TOC \h \u \z \t "Heading 1,1,Heading 2,2,Heading 3,3,"</w:instrText>
          </w:r>
          <w:r>
            <w:fldChar w:fldCharType="separate"/>
          </w:r>
          <w:hyperlink w:anchor="_heading=h.tyjcwt">
            <w:r>
              <w:rPr>
                <w:rFonts w:ascii="Palatino Linotype" w:eastAsia="Palatino Linotype" w:hAnsi="Palatino Linotype" w:cs="Palatino Linotype"/>
                <w:b/>
                <w:color w:val="000000"/>
              </w:rPr>
              <w:t>A N T E C E D E N T E S</w:t>
            </w:r>
          </w:hyperlink>
          <w:hyperlink w:anchor="_heading=h.tyjcwt">
            <w:r>
              <w:rPr>
                <w:color w:val="000000"/>
              </w:rPr>
              <w:tab/>
              <w:t>2</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3dy6vkm">
            <w:r w:rsidR="00CC56CD">
              <w:rPr>
                <w:rFonts w:ascii="Palatino Linotype" w:eastAsia="Palatino Linotype" w:hAnsi="Palatino Linotype" w:cs="Palatino Linotype"/>
                <w:color w:val="000000"/>
              </w:rPr>
              <w:t>I. Presentación de las solicitudes de información</w:t>
            </w:r>
          </w:hyperlink>
          <w:hyperlink w:anchor="_heading=h.3dy6vkm">
            <w:r w:rsidR="00CC56CD">
              <w:rPr>
                <w:color w:val="000000"/>
              </w:rPr>
              <w:tab/>
              <w:t>2</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1t3h5sf">
            <w:r w:rsidR="00CC56CD">
              <w:rPr>
                <w:rFonts w:ascii="Palatino Linotype" w:eastAsia="Palatino Linotype" w:hAnsi="Palatino Linotype" w:cs="Palatino Linotype"/>
                <w:color w:val="000000"/>
              </w:rPr>
              <w:t>II. Prórroga para atender su solicitud de información</w:t>
            </w:r>
          </w:hyperlink>
          <w:hyperlink w:anchor="_heading=h.1t3h5sf">
            <w:r w:rsidR="00CC56CD">
              <w:rPr>
                <w:color w:val="000000"/>
              </w:rPr>
              <w:tab/>
              <w:t>7</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4d34og8">
            <w:r w:rsidR="00CC56CD">
              <w:rPr>
                <w:rFonts w:ascii="Palatino Linotype" w:eastAsia="Palatino Linotype" w:hAnsi="Palatino Linotype" w:cs="Palatino Linotype"/>
                <w:color w:val="000000"/>
              </w:rPr>
              <w:t>III. Respuestas del Sujeto Obligado</w:t>
            </w:r>
          </w:hyperlink>
          <w:hyperlink w:anchor="_heading=h.4d34og8">
            <w:r w:rsidR="00CC56CD">
              <w:rPr>
                <w:color w:val="000000"/>
              </w:rPr>
              <w:tab/>
              <w:t>8</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2s8eyo1">
            <w:r w:rsidR="00CC56CD">
              <w:rPr>
                <w:rFonts w:ascii="Palatino Linotype" w:eastAsia="Palatino Linotype" w:hAnsi="Palatino Linotype" w:cs="Palatino Linotype"/>
                <w:color w:val="000000"/>
              </w:rPr>
              <w:t>IV. Interposición del Recurso de Revisión</w:t>
            </w:r>
          </w:hyperlink>
          <w:hyperlink w:anchor="_heading=h.2s8eyo1">
            <w:r w:rsidR="00CC56CD">
              <w:rPr>
                <w:color w:val="000000"/>
              </w:rPr>
              <w:tab/>
              <w:t>12</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17dp8vu">
            <w:r w:rsidR="00CC56CD">
              <w:rPr>
                <w:rFonts w:ascii="Palatino Linotype" w:eastAsia="Palatino Linotype" w:hAnsi="Palatino Linotype" w:cs="Palatino Linotype"/>
                <w:color w:val="000000"/>
              </w:rPr>
              <w:t>V. Trámite del Recurso de Revisión ante el Instituto</w:t>
            </w:r>
          </w:hyperlink>
          <w:hyperlink w:anchor="_heading=h.17dp8vu">
            <w:r w:rsidR="00CC56CD">
              <w:rPr>
                <w:color w:val="000000"/>
              </w:rPr>
              <w:tab/>
              <w:t>16</w:t>
            </w:r>
          </w:hyperlink>
        </w:p>
        <w:p w:rsidR="008B70CB" w:rsidRDefault="00422744">
          <w:pPr>
            <w:pBdr>
              <w:top w:val="nil"/>
              <w:left w:val="nil"/>
              <w:bottom w:val="nil"/>
              <w:right w:val="nil"/>
              <w:between w:val="nil"/>
            </w:pBdr>
            <w:tabs>
              <w:tab w:val="right" w:pos="9034"/>
            </w:tabs>
            <w:spacing w:after="100"/>
            <w:rPr>
              <w:color w:val="000000"/>
            </w:rPr>
          </w:pPr>
          <w:hyperlink w:anchor="_heading=h.3rdcrjn">
            <w:r w:rsidR="00CC56CD">
              <w:rPr>
                <w:rFonts w:ascii="Palatino Linotype" w:eastAsia="Palatino Linotype" w:hAnsi="Palatino Linotype" w:cs="Palatino Linotype"/>
                <w:b/>
                <w:color w:val="000000"/>
              </w:rPr>
              <w:t>C O N S I D E R A N D O S</w:t>
            </w:r>
          </w:hyperlink>
          <w:hyperlink w:anchor="_heading=h.3rdcrjn">
            <w:r w:rsidR="00CC56CD">
              <w:rPr>
                <w:color w:val="000000"/>
              </w:rPr>
              <w:tab/>
              <w:t>23</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26in1rg">
            <w:r w:rsidR="00CC56CD">
              <w:rPr>
                <w:rFonts w:ascii="Palatino Linotype" w:eastAsia="Palatino Linotype" w:hAnsi="Palatino Linotype" w:cs="Palatino Linotype"/>
                <w:color w:val="000000"/>
              </w:rPr>
              <w:t>PRIMERO. Competencia</w:t>
            </w:r>
          </w:hyperlink>
          <w:hyperlink w:anchor="_heading=h.26in1rg">
            <w:r w:rsidR="00CC56CD">
              <w:rPr>
                <w:color w:val="000000"/>
              </w:rPr>
              <w:tab/>
              <w:t>23</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lnxbz9">
            <w:r w:rsidR="00CC56CD">
              <w:rPr>
                <w:rFonts w:ascii="Palatino Linotype" w:eastAsia="Palatino Linotype" w:hAnsi="Palatino Linotype" w:cs="Palatino Linotype"/>
                <w:color w:val="000000"/>
              </w:rPr>
              <w:t>SEGUNDO. Causales de improcedencia y sobreseimiento</w:t>
            </w:r>
          </w:hyperlink>
          <w:hyperlink w:anchor="_heading=h.lnxbz9">
            <w:r w:rsidR="00CC56CD">
              <w:rPr>
                <w:color w:val="000000"/>
              </w:rPr>
              <w:tab/>
              <w:t>23</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35nkun2">
            <w:r w:rsidR="00CC56CD">
              <w:rPr>
                <w:rFonts w:ascii="Palatino Linotype" w:eastAsia="Palatino Linotype" w:hAnsi="Palatino Linotype" w:cs="Palatino Linotype"/>
                <w:color w:val="000000"/>
              </w:rPr>
              <w:t>TERCERO. Determinación de la Controversia</w:t>
            </w:r>
          </w:hyperlink>
          <w:hyperlink w:anchor="_heading=h.35nkun2">
            <w:r w:rsidR="00CC56CD">
              <w:rPr>
                <w:color w:val="000000"/>
              </w:rPr>
              <w:tab/>
              <w:t>25</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1ksv4uv">
            <w:r w:rsidR="00CC56CD">
              <w:rPr>
                <w:rFonts w:ascii="Palatino Linotype" w:eastAsia="Palatino Linotype" w:hAnsi="Palatino Linotype" w:cs="Palatino Linotype"/>
                <w:color w:val="000000"/>
              </w:rPr>
              <w:t>CUARTO. Marco normativo aplicable en materia de transparencia y acceso a la información pública</w:t>
            </w:r>
          </w:hyperlink>
          <w:hyperlink w:anchor="_heading=h.1ksv4uv">
            <w:r w:rsidR="00CC56CD">
              <w:rPr>
                <w:color w:val="000000"/>
              </w:rPr>
              <w:tab/>
              <w:t>26</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44sinio">
            <w:r w:rsidR="00CC56CD">
              <w:rPr>
                <w:rFonts w:ascii="Palatino Linotype" w:eastAsia="Palatino Linotype" w:hAnsi="Palatino Linotype" w:cs="Palatino Linotype"/>
                <w:color w:val="000000"/>
              </w:rPr>
              <w:t>QUINTO. Estudio de Fondo</w:t>
            </w:r>
          </w:hyperlink>
          <w:hyperlink w:anchor="_heading=h.44sinio">
            <w:r w:rsidR="00CC56CD">
              <w:rPr>
                <w:color w:val="000000"/>
              </w:rPr>
              <w:tab/>
              <w:t>27</w:t>
            </w:r>
          </w:hyperlink>
        </w:p>
        <w:p w:rsidR="008B70CB" w:rsidRDefault="00422744">
          <w:pPr>
            <w:pBdr>
              <w:top w:val="nil"/>
              <w:left w:val="nil"/>
              <w:bottom w:val="nil"/>
              <w:right w:val="nil"/>
              <w:between w:val="nil"/>
            </w:pBdr>
            <w:tabs>
              <w:tab w:val="right" w:pos="9034"/>
            </w:tabs>
            <w:spacing w:after="100"/>
            <w:ind w:left="200"/>
            <w:rPr>
              <w:color w:val="000000"/>
            </w:rPr>
          </w:pPr>
          <w:hyperlink w:anchor="_heading=h.2jxsxqh">
            <w:r w:rsidR="00CC56CD">
              <w:rPr>
                <w:rFonts w:ascii="Palatino Linotype" w:eastAsia="Palatino Linotype" w:hAnsi="Palatino Linotype" w:cs="Palatino Linotype"/>
                <w:color w:val="000000"/>
              </w:rPr>
              <w:t>SEXTO. Decisión</w:t>
            </w:r>
          </w:hyperlink>
          <w:hyperlink w:anchor="_heading=h.2jxsxqh">
            <w:r w:rsidR="00CC56CD">
              <w:rPr>
                <w:color w:val="000000"/>
              </w:rPr>
              <w:tab/>
              <w:t>48</w:t>
            </w:r>
          </w:hyperlink>
        </w:p>
        <w:p w:rsidR="008B70CB" w:rsidRDefault="00422744">
          <w:pPr>
            <w:pBdr>
              <w:top w:val="nil"/>
              <w:left w:val="nil"/>
              <w:bottom w:val="nil"/>
              <w:right w:val="nil"/>
              <w:between w:val="nil"/>
            </w:pBdr>
            <w:tabs>
              <w:tab w:val="right" w:pos="9034"/>
            </w:tabs>
            <w:spacing w:after="100"/>
            <w:rPr>
              <w:color w:val="000000"/>
            </w:rPr>
          </w:pPr>
          <w:hyperlink w:anchor="_heading=h.z337ya">
            <w:r w:rsidR="00CC56CD">
              <w:rPr>
                <w:rFonts w:ascii="Palatino Linotype" w:eastAsia="Palatino Linotype" w:hAnsi="Palatino Linotype" w:cs="Palatino Linotype"/>
                <w:b/>
                <w:color w:val="000000"/>
              </w:rPr>
              <w:t>R E S U E L V E</w:t>
            </w:r>
          </w:hyperlink>
          <w:hyperlink w:anchor="_heading=h.z337ya">
            <w:r w:rsidR="00CC56CD">
              <w:rPr>
                <w:color w:val="000000"/>
              </w:rPr>
              <w:tab/>
              <w:t>50</w:t>
            </w:r>
          </w:hyperlink>
        </w:p>
        <w:p w:rsidR="008B70CB" w:rsidRDefault="00CC56CD">
          <w:r>
            <w:fldChar w:fldCharType="end"/>
          </w:r>
        </w:p>
      </w:sdtContent>
    </w:sdt>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br w:type="page"/>
      </w:r>
      <w:r>
        <w:rPr>
          <w:rFonts w:ascii="Palatino Linotype" w:eastAsia="Palatino Linotype" w:hAnsi="Palatino Linotype" w:cs="Palatino Linotype"/>
          <w:color w:val="000000"/>
          <w:sz w:val="22"/>
          <w:szCs w:val="22"/>
        </w:rPr>
        <w:lastRenderedPageBreak/>
        <w:t>Resolución del Pleno del Instituto de Transparencia, Acceso a la Información Pública y Protección de Datos Personales del Estado de México y Municipios, con domicilio en Metepec, Estado de México, de fecha cuatro de diciembre de dos mil veinticuatro.</w:t>
      </w:r>
      <w:r>
        <w:rPr>
          <w:rFonts w:ascii="Palatino Linotype" w:eastAsia="Palatino Linotype" w:hAnsi="Palatino Linotype" w:cs="Palatino Linotype"/>
          <w:sz w:val="22"/>
          <w:szCs w:val="22"/>
        </w:rPr>
        <w:t xml:space="preserve"> </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 los Recursos de Revisión  </w:t>
      </w:r>
      <w:r>
        <w:rPr>
          <w:rFonts w:ascii="Palatino Linotype" w:eastAsia="Palatino Linotype" w:hAnsi="Palatino Linotype" w:cs="Palatino Linotype"/>
          <w:b/>
          <w:sz w:val="22"/>
          <w:szCs w:val="22"/>
        </w:rPr>
        <w:t xml:space="preserve">05546/INFOEM/IP/RR/2024 y 05547/INFOEM/IP/RR/2024 </w:t>
      </w:r>
      <w:r>
        <w:rPr>
          <w:rFonts w:ascii="Palatino Linotype" w:eastAsia="Palatino Linotype" w:hAnsi="Palatino Linotype" w:cs="Palatino Linotype"/>
          <w:color w:val="000000"/>
          <w:sz w:val="22"/>
          <w:szCs w:val="22"/>
        </w:rPr>
        <w:t xml:space="preserve">interpuestos por </w:t>
      </w:r>
      <w:r>
        <w:rPr>
          <w:rFonts w:ascii="Palatino Linotype" w:eastAsia="Palatino Linotype" w:hAnsi="Palatino Linotype" w:cs="Palatino Linotype"/>
          <w:b/>
          <w:color w:val="000000"/>
          <w:sz w:val="22"/>
          <w:szCs w:val="22"/>
        </w:rPr>
        <w:t>un Particular,</w:t>
      </w:r>
      <w:r>
        <w:rPr>
          <w:rFonts w:ascii="Palatino Linotype" w:eastAsia="Palatino Linotype" w:hAnsi="Palatino Linotype" w:cs="Palatino Linotype"/>
          <w:color w:val="000000"/>
          <w:sz w:val="22"/>
          <w:szCs w:val="22"/>
        </w:rPr>
        <w:t xml:space="preserve"> en lo subsecuente, la persona </w:t>
      </w:r>
      <w:r>
        <w:rPr>
          <w:rFonts w:ascii="Palatino Linotype" w:eastAsia="Palatino Linotype" w:hAnsi="Palatino Linotype" w:cs="Palatino Linotype"/>
          <w:color w:val="0D0D0D"/>
          <w:sz w:val="22"/>
          <w:szCs w:val="22"/>
        </w:rPr>
        <w:t>Recurrente o Particular</w:t>
      </w:r>
      <w:r>
        <w:rPr>
          <w:rFonts w:ascii="Palatino Linotype" w:eastAsia="Palatino Linotype" w:hAnsi="Palatino Linotype" w:cs="Palatino Linotype"/>
          <w:color w:val="000000"/>
          <w:sz w:val="22"/>
          <w:szCs w:val="22"/>
        </w:rPr>
        <w:t xml:space="preserve">, en contra de las respuestas del Sujeto Obligado, </w:t>
      </w:r>
      <w:r>
        <w:rPr>
          <w:rFonts w:ascii="Palatino Linotype" w:eastAsia="Palatino Linotype" w:hAnsi="Palatino Linotype" w:cs="Palatino Linotype"/>
          <w:sz w:val="22"/>
          <w:szCs w:val="22"/>
        </w:rPr>
        <w:t>Sistema de Agua Potable Alcantarillado y Saneamiento de Ecatepec de Morelos</w:t>
      </w:r>
      <w:r>
        <w:rPr>
          <w:rFonts w:ascii="Palatino Linotype" w:eastAsia="Palatino Linotype" w:hAnsi="Palatino Linotype" w:cs="Palatino Linotype"/>
          <w:color w:val="000000"/>
          <w:sz w:val="22"/>
          <w:szCs w:val="22"/>
        </w:rPr>
        <w:t xml:space="preserve">, a las solicitudes de acceso a la información pública </w:t>
      </w:r>
      <w:r>
        <w:rPr>
          <w:rFonts w:ascii="Palatino Linotype" w:eastAsia="Palatino Linotype" w:hAnsi="Palatino Linotype" w:cs="Palatino Linotype"/>
          <w:b/>
          <w:color w:val="000000"/>
          <w:sz w:val="22"/>
          <w:szCs w:val="22"/>
        </w:rPr>
        <w:t>00094/OASECATEPE/IP/2024 y 00088/OASECATEPE/IP/2024</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se emite la presente resolución, con base en los antecedentes y considerandos que a continuación se exponen:</w:t>
      </w:r>
    </w:p>
    <w:p w:rsidR="008B70CB" w:rsidRDefault="008B70CB">
      <w:pPr>
        <w:tabs>
          <w:tab w:val="left" w:pos="2835"/>
        </w:tabs>
        <w:spacing w:line="360" w:lineRule="auto"/>
        <w:jc w:val="both"/>
        <w:rPr>
          <w:rFonts w:ascii="Palatino Linotype" w:eastAsia="Palatino Linotype" w:hAnsi="Palatino Linotype" w:cs="Palatino Linotype"/>
          <w:sz w:val="22"/>
          <w:szCs w:val="22"/>
        </w:rPr>
      </w:pPr>
    </w:p>
    <w:p w:rsidR="008B70CB" w:rsidRDefault="00CC56CD">
      <w:pPr>
        <w:pStyle w:val="Ttulo1"/>
        <w:jc w:val="center"/>
        <w:rPr>
          <w:rFonts w:ascii="Palatino Linotype" w:eastAsia="Palatino Linotype" w:hAnsi="Palatino Linotype" w:cs="Palatino Linotype"/>
          <w:b/>
          <w:color w:val="000000"/>
          <w:sz w:val="22"/>
          <w:szCs w:val="22"/>
        </w:rPr>
      </w:pPr>
      <w:bookmarkStart w:id="0" w:name="_heading=h.tyjcwt" w:colFirst="0" w:colLast="0"/>
      <w:bookmarkEnd w:id="0"/>
      <w:r>
        <w:rPr>
          <w:rFonts w:ascii="Palatino Linotype" w:eastAsia="Palatino Linotype" w:hAnsi="Palatino Linotype" w:cs="Palatino Linotype"/>
          <w:b/>
          <w:color w:val="000000"/>
          <w:sz w:val="22"/>
          <w:szCs w:val="22"/>
        </w:rPr>
        <w:t>A N T E C E D E N T E 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pStyle w:val="Ttulo2"/>
        <w:rPr>
          <w:rFonts w:ascii="Palatino Linotype" w:eastAsia="Palatino Linotype" w:hAnsi="Palatino Linotype" w:cs="Palatino Linotype"/>
          <w:b w:val="0"/>
          <w:sz w:val="22"/>
          <w:szCs w:val="22"/>
        </w:rPr>
      </w:pPr>
      <w:bookmarkStart w:id="1" w:name="_heading=h.3dy6vkm" w:colFirst="0" w:colLast="0"/>
      <w:bookmarkEnd w:id="1"/>
      <w:r>
        <w:rPr>
          <w:rFonts w:ascii="Palatino Linotype" w:eastAsia="Palatino Linotype" w:hAnsi="Palatino Linotype" w:cs="Palatino Linotype"/>
          <w:sz w:val="22"/>
          <w:szCs w:val="22"/>
        </w:rPr>
        <w:t>I. Presentación de las solicitudes de información</w:t>
      </w:r>
    </w:p>
    <w:p w:rsidR="008B70CB" w:rsidRDefault="008B70CB">
      <w:pPr>
        <w:tabs>
          <w:tab w:val="left" w:pos="567"/>
        </w:tabs>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fechas cinco y seis de agosto de dos mil veinticuatro, la persona Particular presentó dos solicitudes de acceso a la información pública, a través de la Plataforma Nacional de Transparencia (PNT), las cuales se radicaron en el Sistema de Acceso a la Información Mexiquense, en lo sucesivo el SAIMEX, ante el Sistema de Agua Potable Alcantarillado y Saneamiento de Ecatepec de Morelos, mediante las que requirió lo siguiente:</w:t>
      </w: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00094/OASECATEPE/IP/2024</w:t>
      </w:r>
    </w:p>
    <w:p w:rsidR="008B70CB" w:rsidRDefault="00CC56CD">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 base en el artículo 6 de la Constitución Política de los Estados Unidos Mexicanos; artículo 4, 129 y demás que resulten aplicables de la Ley General de Transparencia y Acceso a la Información Pública, solicito lo siguiente: </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1.- Que el sujeto obligado informe vía electrónica </w:t>
      </w:r>
      <w:r>
        <w:rPr>
          <w:rFonts w:ascii="Palatino Linotype" w:eastAsia="Palatino Linotype" w:hAnsi="Palatino Linotype" w:cs="Palatino Linotype"/>
          <w:b/>
          <w:i/>
          <w:color w:val="000000"/>
        </w:rPr>
        <w:t>cuál es el mecanismo a través del cual tiene control sobre los equipos de bombeo del municipio</w:t>
      </w:r>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 es</w:t>
      </w:r>
      <w:proofErr w:type="gramEnd"/>
      <w:r>
        <w:rPr>
          <w:rFonts w:ascii="Palatino Linotype" w:eastAsia="Palatino Linotype" w:hAnsi="Palatino Linotype" w:cs="Palatino Linotype"/>
          <w:i/>
          <w:color w:val="000000"/>
        </w:rPr>
        <w:t xml:space="preserve"> decir como denomina o identifica a cada equipo de bombeo por ejemplo: número de bomba, número de serie, modelo del equipo, número de control etc.”</w:t>
      </w:r>
      <w:r w:rsidR="00B36458">
        <w:rPr>
          <w:rFonts w:ascii="Palatino Linotype" w:eastAsia="Palatino Linotype" w:hAnsi="Palatino Linotype" w:cs="Palatino Linotype"/>
          <w:i/>
          <w:color w:val="000000"/>
        </w:rPr>
        <w:t>(</w:t>
      </w:r>
      <w:r w:rsidR="00B36458" w:rsidRPr="00B36458">
        <w:rPr>
          <w:rFonts w:ascii="Palatino Linotype" w:eastAsia="Palatino Linotype" w:hAnsi="Palatino Linotype" w:cs="Palatino Linotype"/>
          <w:b/>
          <w:i/>
          <w:color w:val="000000"/>
        </w:rPr>
        <w:t>Específicamente</w:t>
      </w:r>
      <w:r>
        <w:rPr>
          <w:rFonts w:ascii="Palatino Linotype" w:eastAsia="Palatino Linotype" w:hAnsi="Palatino Linotype" w:cs="Palatino Linotype"/>
          <w:b/>
          <w:i/>
          <w:color w:val="000000"/>
        </w:rPr>
        <w:t xml:space="preserve"> del equipo de bombeo del pozo denominado por ese sujeto “héroes ll</w:t>
      </w:r>
      <w:r>
        <w:rPr>
          <w:rFonts w:ascii="Palatino Linotype" w:eastAsia="Palatino Linotype" w:hAnsi="Palatino Linotype" w:cs="Palatino Linotype"/>
          <w:i/>
          <w:color w:val="000000"/>
        </w:rPr>
        <w:t xml:space="preserve">”, el cual se ubica en la colonia los héroes tercera sección en el municipio de Ecatepec de Morelos); </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2.- Informe vía electrónica</w:t>
      </w:r>
      <w:r>
        <w:rPr>
          <w:rFonts w:ascii="Palatino Linotype" w:eastAsia="Palatino Linotype" w:hAnsi="Palatino Linotype" w:cs="Palatino Linotype"/>
          <w:b/>
          <w:i/>
          <w:color w:val="000000"/>
        </w:rPr>
        <w:t xml:space="preserve"> el número de equipos de bombeo y las veces que ha instalado o desinstalado estos, del pozo denominado por ese sujeto: “héroes ll”, </w:t>
      </w:r>
      <w:r>
        <w:rPr>
          <w:rFonts w:ascii="Palatino Linotype" w:eastAsia="Palatino Linotype" w:hAnsi="Palatino Linotype" w:cs="Palatino Linotype"/>
          <w:i/>
          <w:color w:val="000000"/>
        </w:rPr>
        <w:t xml:space="preserve">el cual se ubica en la colonia los héroes tercera sección en el municipio de Ecatepec de Morelos durante los ejercicios 2017, 2018, 2019, 2020, 2021, 2022, 2023 y 2024; </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3.- Envíe vía electrónica </w:t>
      </w:r>
      <w:r>
        <w:rPr>
          <w:rFonts w:ascii="Palatino Linotype" w:eastAsia="Palatino Linotype" w:hAnsi="Palatino Linotype" w:cs="Palatino Linotype"/>
          <w:b/>
          <w:i/>
          <w:color w:val="000000"/>
        </w:rPr>
        <w:t xml:space="preserve">los oficios o dictámenes por los cuales determina que el o los equipos de bombeo del pozo </w:t>
      </w:r>
      <w:r>
        <w:rPr>
          <w:rFonts w:ascii="Palatino Linotype" w:eastAsia="Palatino Linotype" w:hAnsi="Palatino Linotype" w:cs="Palatino Linotype"/>
          <w:i/>
          <w:color w:val="000000"/>
        </w:rPr>
        <w:t xml:space="preserve">denominado por ese sujeto: “héroes ll”, el cual se ubica en la colonia los héroes tercera sección en el municipio de Ecatepec de Morelos </w:t>
      </w:r>
      <w:r>
        <w:rPr>
          <w:rFonts w:ascii="Palatino Linotype" w:eastAsia="Palatino Linotype" w:hAnsi="Palatino Linotype" w:cs="Palatino Linotype"/>
          <w:b/>
          <w:i/>
          <w:color w:val="000000"/>
        </w:rPr>
        <w:t>se han averiado durante las veces que ha salido de operación dicha bomba</w:t>
      </w:r>
      <w:r>
        <w:rPr>
          <w:rFonts w:ascii="Palatino Linotype" w:eastAsia="Palatino Linotype" w:hAnsi="Palatino Linotype" w:cs="Palatino Linotype"/>
          <w:i/>
          <w:color w:val="000000"/>
        </w:rPr>
        <w:t xml:space="preserve"> durante los ejercicios 2017, 2018, 2019, 2020, 2021, 2022, 2023 y 2024; </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4.- Solicito se me informe vía electrónica </w:t>
      </w:r>
      <w:r>
        <w:rPr>
          <w:rFonts w:ascii="Palatino Linotype" w:eastAsia="Palatino Linotype" w:hAnsi="Palatino Linotype" w:cs="Palatino Linotype"/>
          <w:b/>
          <w:i/>
          <w:color w:val="000000"/>
        </w:rPr>
        <w:t xml:space="preserve">el método o estudio por el cual el o los encargados de operar, dar mantenimiento o supervisar el pozo y sus superiores jerárquicos aseveran que el pozo en comento no cuenta con niveles de agua óptimos para suministrar </w:t>
      </w:r>
      <w:r>
        <w:rPr>
          <w:rFonts w:ascii="Palatino Linotype" w:eastAsia="Palatino Linotype" w:hAnsi="Palatino Linotype" w:cs="Palatino Linotype"/>
          <w:i/>
          <w:color w:val="000000"/>
        </w:rPr>
        <w:t xml:space="preserve">agua a las colonias héroes 3ª y 4ª de Ecatepec de Morelos; </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5.- Solicito se me informe por este medio </w:t>
      </w:r>
      <w:r>
        <w:rPr>
          <w:rFonts w:ascii="Palatino Linotype" w:eastAsia="Palatino Linotype" w:hAnsi="Palatino Linotype" w:cs="Palatino Linotype"/>
          <w:b/>
          <w:i/>
          <w:color w:val="000000"/>
        </w:rPr>
        <w:t>los nombres de las personas o servidores públicos adscritos a SAPASE que determinaron cambiar el equipo de bombeo del pozo</w:t>
      </w:r>
      <w:r>
        <w:rPr>
          <w:rFonts w:ascii="Palatino Linotype" w:eastAsia="Palatino Linotype" w:hAnsi="Palatino Linotype" w:cs="Palatino Linotype"/>
          <w:i/>
          <w:color w:val="000000"/>
        </w:rPr>
        <w:t xml:space="preserve"> héroes ll y quien </w:t>
      </w:r>
      <w:r>
        <w:rPr>
          <w:rFonts w:ascii="Palatino Linotype" w:eastAsia="Palatino Linotype" w:hAnsi="Palatino Linotype" w:cs="Palatino Linotype"/>
          <w:b/>
          <w:i/>
          <w:color w:val="000000"/>
        </w:rPr>
        <w:t>dio la autorización por parte de la representación de las colonias</w:t>
      </w:r>
      <w:r>
        <w:rPr>
          <w:rFonts w:ascii="Palatino Linotype" w:eastAsia="Palatino Linotype" w:hAnsi="Palatino Linotype" w:cs="Palatino Linotype"/>
          <w:i/>
          <w:color w:val="000000"/>
        </w:rPr>
        <w:t xml:space="preserve"> que reciben el suministro de agua del pozo héroes ll para que se instalara un equipo de bombeo de menor capacidad al que operaba con antelación al 19 de julio de 2024; </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6.- Solicito se me informe vía electrónica </w:t>
      </w:r>
      <w:r>
        <w:rPr>
          <w:rFonts w:ascii="Palatino Linotype" w:eastAsia="Palatino Linotype" w:hAnsi="Palatino Linotype" w:cs="Palatino Linotype"/>
          <w:b/>
          <w:i/>
          <w:color w:val="000000"/>
        </w:rPr>
        <w:t>la fecha compromiso que se acordó para volver a instalar el equipo de bombeo que operaba antes del 19 de julio de 2024,</w:t>
      </w:r>
      <w:r>
        <w:rPr>
          <w:rFonts w:ascii="Palatino Linotype" w:eastAsia="Palatino Linotype" w:hAnsi="Palatino Linotype" w:cs="Palatino Linotype"/>
          <w:i/>
          <w:color w:val="000000"/>
        </w:rPr>
        <w:t xml:space="preserve"> así también se me informe </w:t>
      </w:r>
      <w:r>
        <w:rPr>
          <w:rFonts w:ascii="Palatino Linotype" w:eastAsia="Palatino Linotype" w:hAnsi="Palatino Linotype" w:cs="Palatino Linotype"/>
          <w:b/>
          <w:i/>
          <w:color w:val="000000"/>
        </w:rPr>
        <w:t>donde se encuentra ubicado este equipo de bombeo</w:t>
      </w:r>
      <w:r>
        <w:rPr>
          <w:rFonts w:ascii="Palatino Linotype" w:eastAsia="Palatino Linotype" w:hAnsi="Palatino Linotype" w:cs="Palatino Linotype"/>
          <w:i/>
          <w:color w:val="000000"/>
        </w:rPr>
        <w:t xml:space="preserve">, si está en reparación informe el </w:t>
      </w:r>
      <w:r>
        <w:rPr>
          <w:rFonts w:ascii="Palatino Linotype" w:eastAsia="Palatino Linotype" w:hAnsi="Palatino Linotype" w:cs="Palatino Linotype"/>
          <w:b/>
          <w:i/>
          <w:color w:val="000000"/>
        </w:rPr>
        <w:t>nombre de la empresa que le da mantenimiento, sus datos generales, el oficio o documento de remisión del equipo a esta empresa y me envíen el presupuesto de la reparación</w:t>
      </w:r>
      <w:r>
        <w:rPr>
          <w:rFonts w:ascii="Palatino Linotype" w:eastAsia="Palatino Linotype" w:hAnsi="Palatino Linotype" w:cs="Palatino Linotype"/>
          <w:i/>
          <w:color w:val="000000"/>
        </w:rPr>
        <w:t xml:space="preserve"> de la bomba y su respectiva factura. </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Cabe señalar que esta información se solicita con el propósito de reunir los elementos en una investigación necesarios para hacer responsables a servidores públicos que actúan de manera negligente o dolosa para obtener beneficios al impedir el derecho al agua consagrado en el artículo 4 de nuestra constitución." </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Medio para recibir información o notificaciones </w:t>
      </w: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“Entrega por el sistema de solicitudes de acceso a la información de la PNT”</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Indique cómo desea recibir la información</w:t>
      </w: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“Electrónico a través del sistema de solicitudes de acceso la”</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00088/OASECATEPE/IP/2024</w:t>
      </w:r>
    </w:p>
    <w:p w:rsidR="008B70CB" w:rsidRDefault="00CC56CD">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“Con base en el artículo 6 de la Constitución Política de los Estados Unidos Mexicanos; artículo 4, 129 y demás que resulten aplicables de la Ley General de Transparencia y Acceso a la Información Pública, solicito lo siguiente:</w:t>
      </w: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1.- Informen vía electrónica las </w:t>
      </w:r>
      <w:r>
        <w:rPr>
          <w:rFonts w:ascii="Palatino Linotype" w:eastAsia="Palatino Linotype" w:hAnsi="Palatino Linotype" w:cs="Palatino Linotype"/>
          <w:b/>
          <w:i/>
          <w:color w:val="000000"/>
        </w:rPr>
        <w:t xml:space="preserve">acciones implementadas por el sujeto obligado para prevenir averías en el pozo de agua </w:t>
      </w:r>
      <w:r>
        <w:rPr>
          <w:rFonts w:ascii="Palatino Linotype" w:eastAsia="Palatino Linotype" w:hAnsi="Palatino Linotype" w:cs="Palatino Linotype"/>
          <w:i/>
          <w:color w:val="000000"/>
        </w:rPr>
        <w:t>denominado Héroes ll, el cual se ubica en la colonia los Héroes tercera sección en el municipio de Ecatepec de Morelos;</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2.- Informe vía electrónica los n</w:t>
      </w:r>
      <w:r>
        <w:rPr>
          <w:rFonts w:ascii="Palatino Linotype" w:eastAsia="Palatino Linotype" w:hAnsi="Palatino Linotype" w:cs="Palatino Linotype"/>
          <w:b/>
          <w:i/>
          <w:color w:val="000000"/>
        </w:rPr>
        <w:t xml:space="preserve">ombres de todas y cada una de las personas responsables y sus superiores jerárquicos que se encargan de operar el pozo de agua </w:t>
      </w:r>
      <w:r>
        <w:rPr>
          <w:rFonts w:ascii="Palatino Linotype" w:eastAsia="Palatino Linotype" w:hAnsi="Palatino Linotype" w:cs="Palatino Linotype"/>
          <w:i/>
          <w:color w:val="000000"/>
        </w:rPr>
        <w:t xml:space="preserve">denominado Héroes ll, el cual se ubica en la colonia los Héroes tercera sección en el municipio de Ecatepec de Morelos, la </w:t>
      </w:r>
      <w:r>
        <w:rPr>
          <w:rFonts w:ascii="Palatino Linotype" w:eastAsia="Palatino Linotype" w:hAnsi="Palatino Linotype" w:cs="Palatino Linotype"/>
          <w:b/>
          <w:i/>
          <w:color w:val="000000"/>
        </w:rPr>
        <w:t xml:space="preserve">forma en la que se encuentran contratadas y </w:t>
      </w:r>
      <w:r w:rsidR="00B36458">
        <w:rPr>
          <w:rFonts w:ascii="Palatino Linotype" w:eastAsia="Palatino Linotype" w:hAnsi="Palatino Linotype" w:cs="Palatino Linotype"/>
          <w:b/>
          <w:i/>
          <w:color w:val="000000"/>
        </w:rPr>
        <w:t>cuáles</w:t>
      </w:r>
      <w:r>
        <w:rPr>
          <w:rFonts w:ascii="Palatino Linotype" w:eastAsia="Palatino Linotype" w:hAnsi="Palatino Linotype" w:cs="Palatino Linotype"/>
          <w:b/>
          <w:i/>
          <w:color w:val="000000"/>
        </w:rPr>
        <w:t xml:space="preserve"> son los procesos administrativos, sancionatorios y/o penales que se han promovido en contra de dichas personas</w:t>
      </w:r>
      <w:r>
        <w:rPr>
          <w:rFonts w:ascii="Palatino Linotype" w:eastAsia="Palatino Linotype" w:hAnsi="Palatino Linotype" w:cs="Palatino Linotype"/>
          <w:i/>
          <w:color w:val="000000"/>
        </w:rPr>
        <w:t xml:space="preserve"> (sean particulares o servidores públicos), por </w:t>
      </w:r>
      <w:r>
        <w:rPr>
          <w:rFonts w:ascii="Palatino Linotype" w:eastAsia="Palatino Linotype" w:hAnsi="Palatino Linotype" w:cs="Palatino Linotype"/>
          <w:b/>
          <w:i/>
          <w:color w:val="000000"/>
        </w:rPr>
        <w:t>sus omisiones o irresponsabilidades en la operación del pozo de agua denominado Héroes ll</w:t>
      </w:r>
      <w:r>
        <w:rPr>
          <w:rFonts w:ascii="Palatino Linotype" w:eastAsia="Palatino Linotype" w:hAnsi="Palatino Linotype" w:cs="Palatino Linotype"/>
          <w:i/>
          <w:color w:val="000000"/>
        </w:rPr>
        <w:t>, no es óbice señalar que dichas conductas han generado que el pozo salga de operación durante varios días en distintos periodos de los años 2022, 2023 y 2024, lo cual ha dejado a muchas familias sin el servicio de agua potable configurando una violación al artículo 4 de la Constitución Política de los Estados Unidos Mexicanos y demás ordenamientos que garantizan el derecho al agua;</w:t>
      </w: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3.- Entregue vía electrónica </w:t>
      </w:r>
      <w:r>
        <w:rPr>
          <w:rFonts w:ascii="Palatino Linotype" w:eastAsia="Palatino Linotype" w:hAnsi="Palatino Linotype" w:cs="Palatino Linotype"/>
          <w:b/>
          <w:i/>
          <w:color w:val="000000"/>
        </w:rPr>
        <w:t>los dictámenes correspondientes a los ejercicios 2022, 2023 y 2024 en los que se aprecien de manera detallada las causas por las cuales declara que dicho pozo y/o su equipo de bombeo han salido de operación y las acciones implementadas para su reparación o rehabilitación</w:t>
      </w:r>
      <w:r>
        <w:rPr>
          <w:rFonts w:ascii="Palatino Linotype" w:eastAsia="Palatino Linotype" w:hAnsi="Palatino Linotype" w:cs="Palatino Linotype"/>
          <w:i/>
          <w:color w:val="000000"/>
        </w:rPr>
        <w:t>;</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4.- Entregue vía electrónica </w:t>
      </w:r>
      <w:r>
        <w:rPr>
          <w:rFonts w:ascii="Palatino Linotype" w:eastAsia="Palatino Linotype" w:hAnsi="Palatino Linotype" w:cs="Palatino Linotype"/>
          <w:b/>
          <w:i/>
          <w:color w:val="000000"/>
        </w:rPr>
        <w:t>un padrón que contenga los datos de la o las empresas que dan mantenimiento o reparan el equipo de bombeo del pozo</w:t>
      </w:r>
      <w:r>
        <w:rPr>
          <w:rFonts w:ascii="Palatino Linotype" w:eastAsia="Palatino Linotype" w:hAnsi="Palatino Linotype" w:cs="Palatino Linotype"/>
          <w:i/>
          <w:color w:val="000000"/>
        </w:rPr>
        <w:t xml:space="preserve"> de agua denominado Héroes ll, el cual se ubica en la colonia los Héroes tercera sección en el municipio de Ecatepec de Morelos, solicito que dicho padrón </w:t>
      </w:r>
      <w:r>
        <w:rPr>
          <w:rFonts w:ascii="Palatino Linotype" w:eastAsia="Palatino Linotype" w:hAnsi="Palatino Linotype" w:cs="Palatino Linotype"/>
          <w:b/>
          <w:i/>
          <w:color w:val="000000"/>
        </w:rPr>
        <w:t>contenga el número de veces que se han requerido los servicios de esta o estas empresas</w:t>
      </w:r>
      <w:r>
        <w:rPr>
          <w:rFonts w:ascii="Palatino Linotype" w:eastAsia="Palatino Linotype" w:hAnsi="Palatino Linotype" w:cs="Palatino Linotype"/>
          <w:i/>
          <w:color w:val="000000"/>
        </w:rPr>
        <w:t>, así como la manera en las que se les ha contratado o asignado la tarea a realizar durante los ejercicios 2022, 2023 y 2024;</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5.- Entregue vía electrónica </w:t>
      </w:r>
      <w:r>
        <w:rPr>
          <w:rFonts w:ascii="Palatino Linotype" w:eastAsia="Palatino Linotype" w:hAnsi="Palatino Linotype" w:cs="Palatino Linotype"/>
          <w:b/>
          <w:i/>
          <w:color w:val="000000"/>
        </w:rPr>
        <w:t>las facturas pagadas con recursos públicos correspondientes a los ejercicios 2022, 2023 y 2024 a la o las empresas encargadas de dar mantenimiento o reparar el equipo</w:t>
      </w:r>
      <w:r>
        <w:rPr>
          <w:rFonts w:ascii="Palatino Linotype" w:eastAsia="Palatino Linotype" w:hAnsi="Palatino Linotype" w:cs="Palatino Linotype"/>
          <w:i/>
          <w:color w:val="000000"/>
        </w:rPr>
        <w:t xml:space="preserve"> de bombeo del pozo de agua denominado Héroes ll, el cual se ubica en la colonia los Héroes tercera sección en el municipio de Ecatepec de Morelos.” (Sic.)</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Medio para recibir información o notificaciones </w:t>
      </w: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“Entrega por el sistema de solicitudes de acceso a la información de la PNT”</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Indique cómo desea recibir la información</w:t>
      </w: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“Electrónico a través del sistema de solicitudes de acceso la”</w:t>
      </w:r>
    </w:p>
    <w:p w:rsidR="008B70CB" w:rsidRDefault="008B70C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color w:val="000000"/>
        </w:rPr>
      </w:pPr>
    </w:p>
    <w:p w:rsidR="008B70CB" w:rsidRDefault="00CC56CD">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rPr>
        <w:t>El Particular adjunto a su solicitud de información una imagen, en la que se observa una impresión de pantalla de la ubicación del pozo.</w:t>
      </w:r>
    </w:p>
    <w:p w:rsidR="008B70CB" w:rsidRDefault="00CC56CD">
      <w:pPr>
        <w:pStyle w:val="Ttulo2"/>
        <w:rPr>
          <w:rFonts w:ascii="Palatino Linotype" w:eastAsia="Palatino Linotype" w:hAnsi="Palatino Linotype" w:cs="Palatino Linotype"/>
          <w:b w:val="0"/>
          <w:sz w:val="22"/>
          <w:szCs w:val="22"/>
        </w:rPr>
      </w:pPr>
      <w:bookmarkStart w:id="2" w:name="_heading=h.1t3h5sf" w:colFirst="0" w:colLast="0"/>
      <w:bookmarkEnd w:id="2"/>
      <w:r>
        <w:rPr>
          <w:rFonts w:ascii="Palatino Linotype" w:eastAsia="Palatino Linotype" w:hAnsi="Palatino Linotype" w:cs="Palatino Linotype"/>
          <w:sz w:val="22"/>
          <w:szCs w:val="22"/>
        </w:rPr>
        <w:lastRenderedPageBreak/>
        <w:t>II. Prórroga para atender su solicitud de información</w:t>
      </w:r>
    </w:p>
    <w:p w:rsidR="008B70CB" w:rsidRDefault="008B70CB">
      <w:pPr>
        <w:tabs>
          <w:tab w:val="left" w:pos="4667"/>
        </w:tabs>
        <w:spacing w:line="360" w:lineRule="auto"/>
        <w:jc w:val="both"/>
        <w:rPr>
          <w:rFonts w:ascii="Palatino Linotype" w:eastAsia="Palatino Linotype" w:hAnsi="Palatino Linotype" w:cs="Palatino Linotype"/>
          <w:b/>
          <w:sz w:val="22"/>
          <w:szCs w:val="22"/>
        </w:rPr>
      </w:pPr>
    </w:p>
    <w:p w:rsidR="008B70CB" w:rsidRDefault="00CC56CD">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fecha veintiséis de agosto de dos mil veinticuatro, el Sujeto Obligado, a través de SAIMEX informó que se prorrogó el plazo de respuesta, únicamente respecto a la solicitud de información de folio </w:t>
      </w:r>
      <w:r>
        <w:rPr>
          <w:rFonts w:ascii="Palatino Linotype" w:eastAsia="Palatino Linotype" w:hAnsi="Palatino Linotype" w:cs="Palatino Linotype"/>
          <w:b/>
          <w:sz w:val="22"/>
          <w:szCs w:val="22"/>
        </w:rPr>
        <w:t>00094/OASECATEPE/IP/2024,</w:t>
      </w:r>
      <w:r>
        <w:rPr>
          <w:rFonts w:ascii="Palatino Linotype" w:eastAsia="Palatino Linotype" w:hAnsi="Palatino Linotype" w:cs="Palatino Linotype"/>
          <w:sz w:val="22"/>
          <w:szCs w:val="22"/>
        </w:rPr>
        <w:t xml:space="preserve"> sin embargo, no adjuntó el acuerdo emitido por el Comité de Transparencia que robustezcan dicha situación, por tanto, </w:t>
      </w:r>
      <w:r>
        <w:rPr>
          <w:rFonts w:ascii="Palatino Linotype" w:eastAsia="Palatino Linotype" w:hAnsi="Palatino Linotype" w:cs="Palatino Linotype"/>
          <w:b/>
          <w:sz w:val="22"/>
          <w:szCs w:val="22"/>
          <w:u w:val="single"/>
        </w:rPr>
        <w:t>se insta al Sujeto Obligado para que en futuras ocasiones remite los acuerdos por los que se aprueban las prórrogas</w:t>
      </w:r>
      <w:r>
        <w:rPr>
          <w:rFonts w:ascii="Palatino Linotype" w:eastAsia="Palatino Linotype" w:hAnsi="Palatino Linotype" w:cs="Palatino Linotype"/>
          <w:sz w:val="22"/>
          <w:szCs w:val="22"/>
        </w:rPr>
        <w:t xml:space="preserve">. </w:t>
      </w:r>
    </w:p>
    <w:p w:rsidR="008B70CB" w:rsidRDefault="008B70CB">
      <w:pPr>
        <w:tabs>
          <w:tab w:val="left" w:pos="4667"/>
        </w:tabs>
        <w:spacing w:line="360" w:lineRule="auto"/>
        <w:jc w:val="both"/>
        <w:rPr>
          <w:rFonts w:ascii="Palatino Linotype" w:eastAsia="Palatino Linotype" w:hAnsi="Palatino Linotype" w:cs="Palatino Linotype"/>
          <w:sz w:val="22"/>
          <w:szCs w:val="22"/>
        </w:rPr>
      </w:pPr>
    </w:p>
    <w:p w:rsidR="008B70CB" w:rsidRDefault="00CC56CD">
      <w:pPr>
        <w:pStyle w:val="Ttulo2"/>
        <w:rPr>
          <w:rFonts w:ascii="Palatino Linotype" w:eastAsia="Palatino Linotype" w:hAnsi="Palatino Linotype" w:cs="Palatino Linotype"/>
          <w:b w:val="0"/>
          <w:color w:val="000000"/>
          <w:sz w:val="22"/>
          <w:szCs w:val="22"/>
        </w:rPr>
      </w:pPr>
      <w:bookmarkStart w:id="3" w:name="_heading=h.4d34og8" w:colFirst="0" w:colLast="0"/>
      <w:bookmarkEnd w:id="3"/>
      <w:r>
        <w:rPr>
          <w:rFonts w:ascii="Palatino Linotype" w:eastAsia="Palatino Linotype" w:hAnsi="Palatino Linotype" w:cs="Palatino Linotype"/>
          <w:color w:val="000000"/>
          <w:sz w:val="22"/>
          <w:szCs w:val="22"/>
        </w:rPr>
        <w:t>III. Respuestas del Sujeto Obligado</w:t>
      </w:r>
    </w:p>
    <w:p w:rsidR="008B70CB" w:rsidRDefault="008B70CB">
      <w:pPr>
        <w:tabs>
          <w:tab w:val="left" w:pos="567"/>
        </w:tabs>
        <w:spacing w:line="360" w:lineRule="auto"/>
        <w:jc w:val="both"/>
        <w:rPr>
          <w:rFonts w:ascii="Palatino Linotype" w:eastAsia="Palatino Linotype" w:hAnsi="Palatino Linotype" w:cs="Palatino Linotype"/>
          <w:sz w:val="22"/>
          <w:szCs w:val="22"/>
        </w:rPr>
      </w:pPr>
    </w:p>
    <w:p w:rsidR="008B70CB" w:rsidRDefault="00CC56CD">
      <w:pP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fechas veintiuno de agosto y cinco de septiembre de dos mil veinticuatro, el Sujeto Obligado notificó las respuestas a las solicitudes de acceso a la información, a través del SAIMEX, en los siguientes términos: </w:t>
      </w:r>
    </w:p>
    <w:p w:rsidR="008B70CB" w:rsidRDefault="008B70CB">
      <w:pPr>
        <w:tabs>
          <w:tab w:val="left" w:pos="567"/>
        </w:tabs>
        <w:spacing w:line="360" w:lineRule="auto"/>
        <w:jc w:val="both"/>
        <w:rPr>
          <w:rFonts w:ascii="Palatino Linotype" w:eastAsia="Palatino Linotype" w:hAnsi="Palatino Linotype" w:cs="Palatino Linotype"/>
        </w:rPr>
      </w:pPr>
    </w:p>
    <w:p w:rsidR="008B70CB" w:rsidRDefault="00CC56CD">
      <w:pPr>
        <w:numPr>
          <w:ilvl w:val="0"/>
          <w:numId w:val="6"/>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00094/OASECATEPE/IP/2024</w:t>
      </w:r>
    </w:p>
    <w:p w:rsidR="008B70CB" w:rsidRDefault="008B70CB">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p>
    <w:p w:rsidR="008B70CB" w:rsidRDefault="00CC56C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suscrito por el Director Técnico de Construcción, operación y mantenimiento, en el que informó, lo siguiente:</w:t>
      </w:r>
    </w:p>
    <w:p w:rsidR="008B70CB" w:rsidRDefault="008B70CB">
      <w:pPr>
        <w:spacing w:line="360" w:lineRule="auto"/>
        <w:jc w:val="both"/>
        <w:rPr>
          <w:rFonts w:ascii="Palatino Linotype" w:eastAsia="Palatino Linotype" w:hAnsi="Palatino Linotype" w:cs="Palatino Linotype"/>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“1.- Dictamen del Pozo Héroes II, la vida útil de los pozos es de 25 años aproximadamente, se </w:t>
      </w:r>
      <w:r w:rsidR="00B36458">
        <w:rPr>
          <w:rFonts w:ascii="Palatino Linotype" w:eastAsia="Palatino Linotype" w:hAnsi="Palatino Linotype" w:cs="Palatino Linotype"/>
          <w:i/>
          <w:color w:val="000000"/>
        </w:rPr>
        <w:t>realizó</w:t>
      </w:r>
      <w:r>
        <w:rPr>
          <w:rFonts w:ascii="Palatino Linotype" w:eastAsia="Palatino Linotype" w:hAnsi="Palatino Linotype" w:cs="Palatino Linotype"/>
          <w:i/>
          <w:color w:val="000000"/>
        </w:rPr>
        <w:t xml:space="preserve"> en los últimos 2 años mantenimiento y limpieza, se ingresan las bombas con número de serie y características al Departamento de Control Patrimonial.</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2.- El cambio de la bomba anterior dañada fue por cortocircuito ya que en la zona el servicio de energía de la CFE es muy variable.</w:t>
      </w:r>
    </w:p>
    <w:p w:rsidR="008B70CB" w:rsidRDefault="00CC56CD">
      <w:pPr>
        <w:spacing w:line="360" w:lineRule="auto"/>
        <w:ind w:left="567" w:right="539"/>
        <w:jc w:val="center"/>
        <w:rPr>
          <w:rFonts w:ascii="Palatino Linotype" w:eastAsia="Palatino Linotype" w:hAnsi="Palatino Linotype" w:cs="Palatino Linotype"/>
          <w:i/>
          <w:color w:val="000000"/>
        </w:rPr>
      </w:pPr>
      <w:r>
        <w:rPr>
          <w:rFonts w:ascii="Palatino Linotype" w:eastAsia="Palatino Linotype" w:hAnsi="Palatino Linotype" w:cs="Palatino Linotype"/>
          <w:i/>
          <w:noProof/>
          <w:color w:val="000000"/>
          <w:lang w:eastAsia="es-MX"/>
        </w:rPr>
        <w:drawing>
          <wp:inline distT="0" distB="0" distL="0" distR="0">
            <wp:extent cx="4979924" cy="183782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979924" cy="1837828"/>
                    </a:xfrm>
                    <a:prstGeom prst="rect">
                      <a:avLst/>
                    </a:prstGeom>
                    <a:ln/>
                  </pic:spPr>
                </pic:pic>
              </a:graphicData>
            </a:graphic>
          </wp:inline>
        </w:drawing>
      </w:r>
    </w:p>
    <w:p w:rsidR="008B70CB" w:rsidRDefault="00CC56CD">
      <w:pPr>
        <w:spacing w:line="360" w:lineRule="auto"/>
        <w:ind w:left="567" w:right="539"/>
        <w:jc w:val="center"/>
        <w:rPr>
          <w:rFonts w:ascii="Palatino Linotype" w:eastAsia="Palatino Linotype" w:hAnsi="Palatino Linotype" w:cs="Palatino Linotype"/>
          <w:i/>
          <w:color w:val="000000"/>
        </w:rPr>
      </w:pPr>
      <w:r>
        <w:rPr>
          <w:rFonts w:ascii="Palatino Linotype" w:eastAsia="Palatino Linotype" w:hAnsi="Palatino Linotype" w:cs="Palatino Linotype"/>
          <w:i/>
          <w:noProof/>
          <w:color w:val="000000"/>
          <w:lang w:eastAsia="es-MX"/>
        </w:rPr>
        <w:drawing>
          <wp:inline distT="0" distB="0" distL="0" distR="0">
            <wp:extent cx="4866469" cy="92874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866469" cy="928740"/>
                    </a:xfrm>
                    <a:prstGeom prst="rect">
                      <a:avLst/>
                    </a:prstGeom>
                    <a:ln/>
                  </pic:spPr>
                </pic:pic>
              </a:graphicData>
            </a:graphic>
          </wp:inline>
        </w:drawing>
      </w: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3.- El diagnostico se realiza en campo por el área de electromecánico y mantenimiento y se programan las maniobras, de conformidad con el punto no. 2 de la presente.</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4.- El pozo ya no tiene una recuperación de la infiltración de agua, ha bajado considerablemente sus niveles el manto acuífero.</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 caudal original ha bajado en los últimos años de acuerdo al punto anterior bomba actual mantendrá un caudal estable, se realizan medición de los niveles dinámico y estático.</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El pozo es monitoreado permanentemente para conocer su producción y si se mantiene, seguirá trabajando normal de lo contrario se cambiarán las características de la bomba que de un gasto estable.</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5.- Departamento de Operación, Departamento Electromecánico de Pozos, Tanques y Cárcamos, Dirección Técnica de Construcción, Operación y Mantenimiento y Dirección General.</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6.- El pozo Héroes II queda fuera de operación por bomba dañada el 17 de julio del año en curso y quedo operando el 25 de julio del mismo año.” (</w:t>
      </w:r>
      <w:r w:rsidR="00B36458">
        <w:rPr>
          <w:rFonts w:ascii="Palatino Linotype" w:eastAsia="Palatino Linotype" w:hAnsi="Palatino Linotype" w:cs="Palatino Linotype"/>
          <w:i/>
          <w:color w:val="000000"/>
        </w:rPr>
        <w:t>Sic</w:t>
      </w:r>
      <w:r>
        <w:rPr>
          <w:rFonts w:ascii="Palatino Linotype" w:eastAsia="Palatino Linotype" w:hAnsi="Palatino Linotype" w:cs="Palatino Linotype"/>
          <w:i/>
          <w:color w:val="000000"/>
        </w:rPr>
        <w:t>.)</w:t>
      </w:r>
    </w:p>
    <w:p w:rsidR="008B70CB" w:rsidRDefault="008B70CB">
      <w:pPr>
        <w:spacing w:line="360" w:lineRule="auto"/>
        <w:jc w:val="both"/>
        <w:rPr>
          <w:rFonts w:ascii="Palatino Linotype" w:eastAsia="Palatino Linotype" w:hAnsi="Palatino Linotype" w:cs="Palatino Linotype"/>
          <w:color w:val="000000"/>
        </w:rPr>
      </w:pPr>
    </w:p>
    <w:p w:rsidR="008B70CB" w:rsidRDefault="00CC56CD">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00088/OASECATEPE/IP/2024</w:t>
      </w:r>
    </w:p>
    <w:p w:rsidR="008B70CB" w:rsidRDefault="00CC56C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Oficio suscrito por el Director Técnico de construcción, operación y mantenimiento que se entregó de forma duplicada, en el que informó tanto al encargado de la Unidad de Transparencia y a la Jefa del Departamento de la Unidad de Transparencia, que respecto a lo solicitado en los puntos 1, 2 y 3, lo siguiente:</w:t>
      </w:r>
    </w:p>
    <w:p w:rsidR="008B70CB" w:rsidRDefault="008B70CB">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“1.- Dictamen del Pozo Héroes II, la vida útil de los pozos es de 25 años aproximadamente.</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2.- Responsables C. José Luís Quezada Tovar, Jefe del Departamento de Operación.</w:t>
      </w: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 José Guadalupe García </w:t>
      </w:r>
      <w:proofErr w:type="spellStart"/>
      <w:r>
        <w:rPr>
          <w:rFonts w:ascii="Palatino Linotype" w:eastAsia="Palatino Linotype" w:hAnsi="Palatino Linotype" w:cs="Palatino Linotype"/>
          <w:i/>
          <w:color w:val="000000"/>
        </w:rPr>
        <w:t>García</w:t>
      </w:r>
      <w:proofErr w:type="spellEnd"/>
      <w:r>
        <w:rPr>
          <w:rFonts w:ascii="Palatino Linotype" w:eastAsia="Palatino Linotype" w:hAnsi="Palatino Linotype" w:cs="Palatino Linotype"/>
          <w:i/>
          <w:color w:val="000000"/>
        </w:rPr>
        <w:t>, Jefe del Departamento Electromecánico y Mantenimiento de Pozos, Tanques y Cárcamos.</w:t>
      </w: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 Abelardo Octavio Castillo Pinedo, Director Técnico de Construcción, Operación y Mantenimiento</w:t>
      </w: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 Eli </w:t>
      </w:r>
      <w:proofErr w:type="spellStart"/>
      <w:r>
        <w:rPr>
          <w:rFonts w:ascii="Palatino Linotype" w:eastAsia="Palatino Linotype" w:hAnsi="Palatino Linotype" w:cs="Palatino Linotype"/>
          <w:i/>
          <w:color w:val="000000"/>
        </w:rPr>
        <w:t>Benjamin</w:t>
      </w:r>
      <w:proofErr w:type="spellEnd"/>
      <w:r>
        <w:rPr>
          <w:rFonts w:ascii="Palatino Linotype" w:eastAsia="Palatino Linotype" w:hAnsi="Palatino Linotype" w:cs="Palatino Linotype"/>
          <w:i/>
          <w:color w:val="000000"/>
        </w:rPr>
        <w:t xml:space="preserve"> Hernández </w:t>
      </w:r>
      <w:proofErr w:type="spellStart"/>
      <w:r>
        <w:rPr>
          <w:rFonts w:ascii="Palatino Linotype" w:eastAsia="Palatino Linotype" w:hAnsi="Palatino Linotype" w:cs="Palatino Linotype"/>
          <w:i/>
          <w:color w:val="000000"/>
        </w:rPr>
        <w:t>Rodriguez</w:t>
      </w:r>
      <w:proofErr w:type="spellEnd"/>
      <w:r>
        <w:rPr>
          <w:rFonts w:ascii="Palatino Linotype" w:eastAsia="Palatino Linotype" w:hAnsi="Palatino Linotype" w:cs="Palatino Linotype"/>
          <w:i/>
          <w:color w:val="000000"/>
        </w:rPr>
        <w:t>, Director General del O.P.D. S.A.P.A.S.E.</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3.- El cambio de la bomba anterior dañada fue por cortocircuito ya que en la zona el servicio de energía de la CFE es muy variable.</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 pozo ya no tiene una recuperación de la infiltración de agua, ha bajado considerablemente sus niveles el manto acuífero.</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bomba actual mantendrá un caudal estable mientras el acuífero no presente otra variación.</w:t>
      </w:r>
    </w:p>
    <w:p w:rsidR="008B70CB" w:rsidRDefault="00CC56CD">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 pozo será monitoreado permanentemente para conocer su producción y si se mantiene seguirá trabajando normal de lo contrario se cambiarán las características de la bomba que de un gasto estable.”</w:t>
      </w:r>
    </w:p>
    <w:p w:rsidR="008B70CB" w:rsidRDefault="008B70CB">
      <w:pPr>
        <w:spacing w:line="360" w:lineRule="auto"/>
        <w:ind w:left="567" w:right="539"/>
        <w:jc w:val="both"/>
        <w:rPr>
          <w:rFonts w:ascii="Palatino Linotype" w:eastAsia="Palatino Linotype" w:hAnsi="Palatino Linotype" w:cs="Palatino Linotype"/>
          <w:i/>
          <w:color w:val="000000"/>
        </w:rPr>
      </w:pPr>
    </w:p>
    <w:p w:rsidR="008B70CB" w:rsidRDefault="00CC56CD">
      <w:pPr>
        <w:numPr>
          <w:ilvl w:val="0"/>
          <w:numId w:val="2"/>
        </w:numPr>
        <w:pBdr>
          <w:top w:val="nil"/>
          <w:left w:val="nil"/>
          <w:bottom w:val="nil"/>
          <w:right w:val="nil"/>
          <w:between w:val="nil"/>
        </w:pBdr>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Oficio suscrito por la Directora de Finanzas y Administración del OPD SAPASE,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el que informó que realizó una búsqueda exhaustiva y razonable en los archivos de su área y que no obra información solicitada en el punto 4, ya que el organismo no cuenta con un padrón de empresas. </w:t>
      </w:r>
    </w:p>
    <w:p w:rsidR="008B70CB" w:rsidRDefault="008B70CB">
      <w:pPr>
        <w:pBdr>
          <w:top w:val="nil"/>
          <w:left w:val="nil"/>
          <w:bottom w:val="nil"/>
          <w:right w:val="nil"/>
          <w:between w:val="nil"/>
        </w:pBdr>
        <w:spacing w:line="360" w:lineRule="auto"/>
        <w:ind w:left="720" w:right="539"/>
        <w:jc w:val="both"/>
        <w:rPr>
          <w:rFonts w:ascii="Palatino Linotype" w:eastAsia="Palatino Linotype" w:hAnsi="Palatino Linotype" w:cs="Palatino Linotype"/>
          <w:b/>
          <w:color w:val="000000"/>
        </w:rPr>
      </w:pPr>
    </w:p>
    <w:p w:rsidR="008B70CB" w:rsidRDefault="00CC56C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el Contralor Interno, en el que informó que realizó una búsqueda exhaustiva en los archivos que integran dicho Órgano Interno de Control y que no localizó la información solicitada en el punto 2. </w:t>
      </w:r>
    </w:p>
    <w:p w:rsidR="008B70CB" w:rsidRDefault="00CC56CD">
      <w:pPr>
        <w:pStyle w:val="Ttulo2"/>
        <w:rPr>
          <w:rFonts w:ascii="Palatino Linotype" w:eastAsia="Palatino Linotype" w:hAnsi="Palatino Linotype" w:cs="Palatino Linotype"/>
          <w:b w:val="0"/>
          <w:color w:val="000000"/>
          <w:sz w:val="22"/>
          <w:szCs w:val="22"/>
        </w:rPr>
      </w:pPr>
      <w:bookmarkStart w:id="4" w:name="_heading=h.2s8eyo1" w:colFirst="0" w:colLast="0"/>
      <w:bookmarkEnd w:id="4"/>
      <w:r>
        <w:rPr>
          <w:rFonts w:ascii="Palatino Linotype" w:eastAsia="Palatino Linotype" w:hAnsi="Palatino Linotype" w:cs="Palatino Linotype"/>
          <w:color w:val="000000"/>
          <w:sz w:val="22"/>
          <w:szCs w:val="22"/>
        </w:rPr>
        <w:t>IV. Interposición del Recurso de Revisión</w:t>
      </w:r>
    </w:p>
    <w:p w:rsidR="008B70CB" w:rsidRDefault="008B70CB">
      <w:pPr>
        <w:spacing w:line="360" w:lineRule="auto"/>
        <w:jc w:val="both"/>
        <w:rPr>
          <w:rFonts w:ascii="Palatino Linotype" w:eastAsia="Palatino Linotype" w:hAnsi="Palatino Linotype" w:cs="Palatino Linotype"/>
          <w:b/>
          <w:color w:val="000000"/>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fecha siete de septiembre de dos mil veinticuatro, se recibieron en este Instituto, a través del SAIMEX, los Recursos de Revisión interpuestos por la persona Particular, ante el Sujeto Obligado, </w:t>
      </w:r>
      <w:r>
        <w:rPr>
          <w:rFonts w:ascii="Palatino Linotype" w:eastAsia="Palatino Linotype" w:hAnsi="Palatino Linotype" w:cs="Palatino Linotype"/>
          <w:color w:val="000000"/>
          <w:sz w:val="22"/>
          <w:szCs w:val="22"/>
        </w:rPr>
        <w:t xml:space="preserve">los cuales fueron radicados nueve de septiembre de dos mil veinticuatro, por </w:t>
      </w:r>
      <w:r>
        <w:rPr>
          <w:rFonts w:ascii="Palatino Linotype" w:eastAsia="Palatino Linotype" w:hAnsi="Palatino Linotype" w:cs="Palatino Linotype"/>
          <w:color w:val="000000"/>
          <w:sz w:val="22"/>
          <w:szCs w:val="22"/>
        </w:rPr>
        <w:lastRenderedPageBreak/>
        <w:t>tratarse del siguiente día hábil de conformidad con el calendario oficial de este Organismo Garante</w:t>
      </w:r>
      <w:r>
        <w:rPr>
          <w:rFonts w:ascii="Palatino Linotype" w:eastAsia="Palatino Linotype" w:hAnsi="Palatino Linotype" w:cs="Palatino Linotype"/>
          <w:sz w:val="22"/>
          <w:szCs w:val="22"/>
        </w:rPr>
        <w:t xml:space="preserve"> en los siguientes términos: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00094/OASECATEPE/IP/2024</w:t>
      </w:r>
    </w:p>
    <w:p w:rsidR="008B70CB" w:rsidRDefault="00CC56CD">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Recurso de Revisión: 05546/INFOEM/IP/RR/2024</w:t>
      </w:r>
    </w:p>
    <w:p w:rsidR="008B70CB" w:rsidRDefault="008B70CB">
      <w:pPr>
        <w:spacing w:line="360" w:lineRule="auto"/>
        <w:ind w:left="567" w:right="539"/>
        <w:jc w:val="both"/>
        <w:rPr>
          <w:rFonts w:ascii="Palatino Linotype" w:eastAsia="Palatino Linotype" w:hAnsi="Palatino Linotype" w:cs="Palatino Linotype"/>
          <w:b/>
        </w:rPr>
      </w:pPr>
    </w:p>
    <w:p w:rsidR="008B70CB" w:rsidRDefault="00CC56CD">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ACTO IMPUGNADO</w:t>
      </w:r>
      <w:r>
        <w:rPr>
          <w:rFonts w:ascii="Palatino Linotype" w:eastAsia="Palatino Linotype" w:hAnsi="Palatino Linotype" w:cs="Palatino Linotype"/>
          <w:b/>
        </w:rPr>
        <w:tab/>
      </w:r>
    </w:p>
    <w:p w:rsidR="008B70CB" w:rsidRDefault="00CC56C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“No cumple de manera total con lo solicitado en todos los puntos solo acomoda la información de acuerdo a su conveniencia vulnerando el principio de máxima publicidad ya que la respuesta no tiene respaldo con documentos oficiales, ni cuenta con la suficiente fundamentación y motivación. Se adjunta escrito libre en el cual se exponen las carencias de la respuesta punto por punto.”</w:t>
      </w:r>
    </w:p>
    <w:p w:rsidR="008B70CB" w:rsidRDefault="008B70CB">
      <w:pPr>
        <w:spacing w:line="360" w:lineRule="auto"/>
        <w:ind w:left="567" w:right="539"/>
        <w:jc w:val="both"/>
        <w:rPr>
          <w:rFonts w:ascii="Palatino Linotype" w:eastAsia="Palatino Linotype" w:hAnsi="Palatino Linotype" w:cs="Palatino Linotype"/>
          <w:b/>
        </w:rPr>
      </w:pPr>
    </w:p>
    <w:p w:rsidR="008B70CB" w:rsidRDefault="00CC56CD">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r>
        <w:rPr>
          <w:rFonts w:ascii="Palatino Linotype" w:eastAsia="Palatino Linotype" w:hAnsi="Palatino Linotype" w:cs="Palatino Linotype"/>
          <w:b/>
        </w:rPr>
        <w:tab/>
      </w:r>
    </w:p>
    <w:p w:rsidR="008B70CB" w:rsidRDefault="00CC56CD">
      <w:pPr>
        <w:tabs>
          <w:tab w:val="left" w:pos="4667"/>
        </w:tabs>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No señaló ningún argumento.</w:t>
      </w:r>
    </w:p>
    <w:p w:rsidR="008B70CB" w:rsidRDefault="008B70CB">
      <w:pPr>
        <w:tabs>
          <w:tab w:val="left" w:pos="4667"/>
        </w:tabs>
        <w:spacing w:line="360" w:lineRule="auto"/>
        <w:ind w:left="567" w:right="539"/>
        <w:jc w:val="both"/>
        <w:rPr>
          <w:rFonts w:ascii="Palatino Linotype" w:eastAsia="Palatino Linotype" w:hAnsi="Palatino Linotype" w:cs="Palatino Linotype"/>
        </w:rPr>
      </w:pPr>
    </w:p>
    <w:p w:rsidR="008B70CB" w:rsidRDefault="00CC56CD">
      <w:pPr>
        <w:tabs>
          <w:tab w:val="left" w:pos="4667"/>
        </w:tabs>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La Persona Recurrente adjuntó un documento en el que argumentó lo siguiente:</w:t>
      </w:r>
    </w:p>
    <w:p w:rsidR="008B70CB" w:rsidRDefault="008B70CB">
      <w:pPr>
        <w:tabs>
          <w:tab w:val="left" w:pos="4667"/>
        </w:tabs>
        <w:spacing w:line="360" w:lineRule="auto"/>
        <w:ind w:left="567" w:right="539"/>
        <w:jc w:val="both"/>
        <w:rPr>
          <w:rFonts w:ascii="Palatino Linotype" w:eastAsia="Palatino Linotype" w:hAnsi="Palatino Linotype" w:cs="Palatino Linotype"/>
        </w:rPr>
      </w:pPr>
    </w:p>
    <w:p w:rsidR="008B70CB" w:rsidRDefault="00CC56CD">
      <w:pPr>
        <w:tabs>
          <w:tab w:val="left" w:pos="4667"/>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“Respecto el </w:t>
      </w:r>
      <w:r>
        <w:rPr>
          <w:rFonts w:ascii="Palatino Linotype" w:eastAsia="Palatino Linotype" w:hAnsi="Palatino Linotype" w:cs="Palatino Linotype"/>
          <w:b/>
          <w:i/>
        </w:rPr>
        <w:t>punto número 1</w:t>
      </w:r>
      <w:r>
        <w:rPr>
          <w:rFonts w:ascii="Palatino Linotype" w:eastAsia="Palatino Linotype" w:hAnsi="Palatino Linotype" w:cs="Palatino Linotype"/>
          <w:i/>
        </w:rPr>
        <w:t xml:space="preserve"> de la contestación proporcionada por el sujeto obligado se aprecia que </w:t>
      </w:r>
      <w:r>
        <w:rPr>
          <w:rFonts w:ascii="Palatino Linotype" w:eastAsia="Palatino Linotype" w:hAnsi="Palatino Linotype" w:cs="Palatino Linotype"/>
          <w:b/>
          <w:i/>
        </w:rPr>
        <w:t>no es un dictamen oficial</w:t>
      </w:r>
      <w:r>
        <w:rPr>
          <w:rFonts w:ascii="Palatino Linotype" w:eastAsia="Palatino Linotype" w:hAnsi="Palatino Linotype" w:cs="Palatino Linotype"/>
          <w:i/>
        </w:rPr>
        <w:t xml:space="preserve"> sino un simple dicho lo cual no acredita que realmente hayan realizado los estudios correspondientes para verificar los niveles de agua en el pozo del que se solicita la información, a su vez no indica o informa los números de control o identificación específicamente del pozo héroes II que se solicitaron y no demuestra si cuenta o no con ellos. </w:t>
      </w:r>
    </w:p>
    <w:p w:rsidR="008B70CB" w:rsidRDefault="008B70CB">
      <w:pPr>
        <w:tabs>
          <w:tab w:val="left" w:pos="4667"/>
        </w:tabs>
        <w:spacing w:line="360" w:lineRule="auto"/>
        <w:ind w:left="567" w:right="539"/>
        <w:jc w:val="both"/>
        <w:rPr>
          <w:rFonts w:ascii="Palatino Linotype" w:eastAsia="Palatino Linotype" w:hAnsi="Palatino Linotype" w:cs="Palatino Linotype"/>
          <w:i/>
        </w:rPr>
      </w:pPr>
    </w:p>
    <w:p w:rsidR="008B70CB" w:rsidRDefault="00CC56CD">
      <w:pPr>
        <w:tabs>
          <w:tab w:val="left" w:pos="4667"/>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 xml:space="preserve">De los puntos 2 y 3 </w:t>
      </w:r>
      <w:r>
        <w:rPr>
          <w:rFonts w:ascii="Palatino Linotype" w:eastAsia="Palatino Linotype" w:hAnsi="Palatino Linotype" w:cs="Palatino Linotype"/>
          <w:i/>
        </w:rPr>
        <w:t xml:space="preserve">de su contestación se aprecia </w:t>
      </w:r>
      <w:r>
        <w:rPr>
          <w:rFonts w:ascii="Palatino Linotype" w:eastAsia="Palatino Linotype" w:hAnsi="Palatino Linotype" w:cs="Palatino Linotype"/>
          <w:b/>
          <w:i/>
        </w:rPr>
        <w:t xml:space="preserve">un </w:t>
      </w:r>
      <w:r>
        <w:rPr>
          <w:rFonts w:ascii="Palatino Linotype" w:eastAsia="Palatino Linotype" w:hAnsi="Palatino Linotype" w:cs="Palatino Linotype"/>
          <w:i/>
        </w:rPr>
        <w:t xml:space="preserve">cuadro bastante escueto el cual </w:t>
      </w:r>
      <w:r>
        <w:rPr>
          <w:rFonts w:ascii="Palatino Linotype" w:eastAsia="Palatino Linotype" w:hAnsi="Palatino Linotype" w:cs="Palatino Linotype"/>
          <w:b/>
          <w:i/>
        </w:rPr>
        <w:t>cumple de manera parcial la entrega</w:t>
      </w:r>
      <w:r>
        <w:rPr>
          <w:rFonts w:ascii="Palatino Linotype" w:eastAsia="Palatino Linotype" w:hAnsi="Palatino Linotype" w:cs="Palatino Linotype"/>
          <w:i/>
        </w:rPr>
        <w:t xml:space="preserve"> de la información solicitada </w:t>
      </w:r>
      <w:r>
        <w:rPr>
          <w:rFonts w:ascii="Palatino Linotype" w:eastAsia="Palatino Linotype" w:hAnsi="Palatino Linotype" w:cs="Palatino Linotype"/>
          <w:b/>
          <w:i/>
        </w:rPr>
        <w:t xml:space="preserve">ya que omite señalar los ejercicios </w:t>
      </w:r>
      <w:r>
        <w:rPr>
          <w:rFonts w:ascii="Palatino Linotype" w:eastAsia="Palatino Linotype" w:hAnsi="Palatino Linotype" w:cs="Palatino Linotype"/>
          <w:b/>
          <w:i/>
        </w:rPr>
        <w:lastRenderedPageBreak/>
        <w:t>2017,2018 y 2019</w:t>
      </w:r>
      <w:r>
        <w:rPr>
          <w:rFonts w:ascii="Palatino Linotype" w:eastAsia="Palatino Linotype" w:hAnsi="Palatino Linotype" w:cs="Palatino Linotype"/>
          <w:i/>
        </w:rPr>
        <w:t xml:space="preserve"> además de soslayar adjuntar la información de </w:t>
      </w:r>
      <w:r>
        <w:rPr>
          <w:rFonts w:ascii="Palatino Linotype" w:eastAsia="Palatino Linotype" w:hAnsi="Palatino Linotype" w:cs="Palatino Linotype"/>
          <w:b/>
          <w:i/>
        </w:rPr>
        <w:t>los dictámenes u oficios por los cuales determina que dicho equipo de bombeo debe salir de operación y ser reparado o sustituido</w:t>
      </w:r>
      <w:r>
        <w:rPr>
          <w:rFonts w:ascii="Palatino Linotype" w:eastAsia="Palatino Linotype" w:hAnsi="Palatino Linotype" w:cs="Palatino Linotype"/>
          <w:i/>
        </w:rPr>
        <w:t xml:space="preserve">, lo cual presume una posible simulación de las maniobras para afectar el suministro de agua a las colonias que abastece dicho pozo; o como mínimo adjuntar o señalar las acciones que ha realizado en contra de la CFE por suministrar de manera variable la energía eléctrica y que esta Paraestatal se haga responsable o subsane los prejuicios provocados por la supuesta variación de voltaje; </w:t>
      </w:r>
    </w:p>
    <w:p w:rsidR="008B70CB" w:rsidRDefault="008B70CB">
      <w:pPr>
        <w:tabs>
          <w:tab w:val="left" w:pos="4667"/>
        </w:tabs>
        <w:spacing w:line="360" w:lineRule="auto"/>
        <w:ind w:left="567" w:right="539"/>
        <w:jc w:val="both"/>
        <w:rPr>
          <w:rFonts w:ascii="Palatino Linotype" w:eastAsia="Palatino Linotype" w:hAnsi="Palatino Linotype" w:cs="Palatino Linotype"/>
          <w:i/>
        </w:rPr>
      </w:pPr>
    </w:p>
    <w:p w:rsidR="008B70CB" w:rsidRDefault="00CC56CD">
      <w:pPr>
        <w:tabs>
          <w:tab w:val="left" w:pos="4667"/>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Considero </w:t>
      </w:r>
      <w:r>
        <w:rPr>
          <w:rFonts w:ascii="Palatino Linotype" w:eastAsia="Palatino Linotype" w:hAnsi="Palatino Linotype" w:cs="Palatino Linotype"/>
          <w:b/>
          <w:i/>
        </w:rPr>
        <w:t>respecto el punto 4</w:t>
      </w:r>
      <w:r>
        <w:rPr>
          <w:rFonts w:ascii="Palatino Linotype" w:eastAsia="Palatino Linotype" w:hAnsi="Palatino Linotype" w:cs="Palatino Linotype"/>
          <w:i/>
        </w:rPr>
        <w:t xml:space="preserve"> de su contestación, el sujeto obligado </w:t>
      </w:r>
      <w:r>
        <w:rPr>
          <w:rFonts w:ascii="Palatino Linotype" w:eastAsia="Palatino Linotype" w:hAnsi="Palatino Linotype" w:cs="Palatino Linotype"/>
          <w:b/>
          <w:i/>
        </w:rPr>
        <w:t>no respalda o refuerza su información y únicament</w:t>
      </w:r>
      <w:r>
        <w:rPr>
          <w:rFonts w:ascii="Palatino Linotype" w:eastAsia="Palatino Linotype" w:hAnsi="Palatino Linotype" w:cs="Palatino Linotype"/>
          <w:i/>
        </w:rPr>
        <w:t xml:space="preserve">e contesta acomodando la información y entregando el mínimo de esta </w:t>
      </w:r>
      <w:r>
        <w:rPr>
          <w:rFonts w:ascii="Palatino Linotype" w:eastAsia="Palatino Linotype" w:hAnsi="Palatino Linotype" w:cs="Palatino Linotype"/>
          <w:b/>
          <w:i/>
        </w:rPr>
        <w:t>sin adjuntar siquiera 1 dictamen</w:t>
      </w:r>
      <w:r>
        <w:rPr>
          <w:rFonts w:ascii="Palatino Linotype" w:eastAsia="Palatino Linotype" w:hAnsi="Palatino Linotype" w:cs="Palatino Linotype"/>
          <w:i/>
        </w:rPr>
        <w:t xml:space="preserve"> de todos los ejercicios o el </w:t>
      </w:r>
      <w:r w:rsidR="00B36458">
        <w:rPr>
          <w:rFonts w:ascii="Palatino Linotype" w:eastAsia="Palatino Linotype" w:hAnsi="Palatino Linotype" w:cs="Palatino Linotype"/>
          <w:i/>
        </w:rPr>
        <w:t>más</w:t>
      </w:r>
      <w:r>
        <w:rPr>
          <w:rFonts w:ascii="Palatino Linotype" w:eastAsia="Palatino Linotype" w:hAnsi="Palatino Linotype" w:cs="Palatino Linotype"/>
          <w:i/>
        </w:rPr>
        <w:t xml:space="preserve"> reciente con el cual satisfaga de la mejor manera la acreditación de lo expresado en su punto. </w:t>
      </w:r>
    </w:p>
    <w:p w:rsidR="008B70CB" w:rsidRDefault="008B70CB">
      <w:pPr>
        <w:tabs>
          <w:tab w:val="left" w:pos="4667"/>
        </w:tabs>
        <w:spacing w:line="360" w:lineRule="auto"/>
        <w:ind w:left="567" w:right="539"/>
        <w:jc w:val="both"/>
        <w:rPr>
          <w:rFonts w:ascii="Palatino Linotype" w:eastAsia="Palatino Linotype" w:hAnsi="Palatino Linotype" w:cs="Palatino Linotype"/>
          <w:i/>
        </w:rPr>
      </w:pPr>
    </w:p>
    <w:p w:rsidR="008B70CB" w:rsidRDefault="00CC56CD">
      <w:pPr>
        <w:tabs>
          <w:tab w:val="left" w:pos="4667"/>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En </w:t>
      </w:r>
      <w:r>
        <w:rPr>
          <w:rFonts w:ascii="Palatino Linotype" w:eastAsia="Palatino Linotype" w:hAnsi="Palatino Linotype" w:cs="Palatino Linotype"/>
          <w:b/>
          <w:i/>
        </w:rPr>
        <w:t>el punto 5</w:t>
      </w:r>
      <w:r>
        <w:rPr>
          <w:rFonts w:ascii="Palatino Linotype" w:eastAsia="Palatino Linotype" w:hAnsi="Palatino Linotype" w:cs="Palatino Linotype"/>
          <w:i/>
        </w:rPr>
        <w:t xml:space="preserve"> de la contestación </w:t>
      </w:r>
      <w:r>
        <w:rPr>
          <w:rFonts w:ascii="Palatino Linotype" w:eastAsia="Palatino Linotype" w:hAnsi="Palatino Linotype" w:cs="Palatino Linotype"/>
          <w:b/>
          <w:i/>
        </w:rPr>
        <w:t>no informa los nombres de las personas o servidores públicos adscritos al sujeto obligado que determinaron cambiar el equipo de bombeo</w:t>
      </w:r>
      <w:r>
        <w:rPr>
          <w:rFonts w:ascii="Palatino Linotype" w:eastAsia="Palatino Linotype" w:hAnsi="Palatino Linotype" w:cs="Palatino Linotype"/>
          <w:i/>
        </w:rPr>
        <w:t xml:space="preserve"> del pozo héroes ll, tampoco informa </w:t>
      </w:r>
      <w:r>
        <w:rPr>
          <w:rFonts w:ascii="Palatino Linotype" w:eastAsia="Palatino Linotype" w:hAnsi="Palatino Linotype" w:cs="Palatino Linotype"/>
          <w:b/>
          <w:i/>
        </w:rPr>
        <w:t>los nombres de las personas representantes de la colonia que autorizaron el cambio de dicha bomba</w:t>
      </w:r>
      <w:r>
        <w:rPr>
          <w:rFonts w:ascii="Palatino Linotype" w:eastAsia="Palatino Linotype" w:hAnsi="Palatino Linotype" w:cs="Palatino Linotype"/>
          <w:i/>
        </w:rPr>
        <w:t xml:space="preserve">, solo se limita a mencionar 5 áreas que presuntamente realizan o determinan el cambio de los equipos lo cual no cumple con lo solicitado. </w:t>
      </w:r>
    </w:p>
    <w:p w:rsidR="008B70CB" w:rsidRDefault="008B70CB">
      <w:pPr>
        <w:tabs>
          <w:tab w:val="left" w:pos="4667"/>
        </w:tabs>
        <w:spacing w:line="360" w:lineRule="auto"/>
        <w:ind w:left="567" w:right="539"/>
        <w:jc w:val="both"/>
        <w:rPr>
          <w:rFonts w:ascii="Palatino Linotype" w:eastAsia="Palatino Linotype" w:hAnsi="Palatino Linotype" w:cs="Palatino Linotype"/>
          <w:i/>
        </w:rPr>
      </w:pPr>
    </w:p>
    <w:p w:rsidR="008B70CB" w:rsidRDefault="00CC56CD">
      <w:pPr>
        <w:tabs>
          <w:tab w:val="left" w:pos="4667"/>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Tocante </w:t>
      </w:r>
      <w:r>
        <w:rPr>
          <w:rFonts w:ascii="Palatino Linotype" w:eastAsia="Palatino Linotype" w:hAnsi="Palatino Linotype" w:cs="Palatino Linotype"/>
          <w:b/>
          <w:i/>
        </w:rPr>
        <w:t xml:space="preserve">al punto 6 </w:t>
      </w:r>
      <w:r>
        <w:rPr>
          <w:rFonts w:ascii="Palatino Linotype" w:eastAsia="Palatino Linotype" w:hAnsi="Palatino Linotype" w:cs="Palatino Linotype"/>
          <w:i/>
        </w:rPr>
        <w:t xml:space="preserve">de su contestación </w:t>
      </w:r>
      <w:r>
        <w:rPr>
          <w:rFonts w:ascii="Palatino Linotype" w:eastAsia="Palatino Linotype" w:hAnsi="Palatino Linotype" w:cs="Palatino Linotype"/>
          <w:b/>
          <w:i/>
        </w:rPr>
        <w:t>solo informa las fechas de salida y entrada</w:t>
      </w:r>
      <w:r>
        <w:rPr>
          <w:rFonts w:ascii="Palatino Linotype" w:eastAsia="Palatino Linotype" w:hAnsi="Palatino Linotype" w:cs="Palatino Linotype"/>
          <w:i/>
        </w:rPr>
        <w:t xml:space="preserve"> en operación del pozo </w:t>
      </w:r>
      <w:r>
        <w:rPr>
          <w:rFonts w:ascii="Palatino Linotype" w:eastAsia="Palatino Linotype" w:hAnsi="Palatino Linotype" w:cs="Palatino Linotype"/>
          <w:b/>
          <w:i/>
        </w:rPr>
        <w:t>omitiendo fecha compromiso para reinstalar el equipo</w:t>
      </w:r>
      <w:r>
        <w:rPr>
          <w:rFonts w:ascii="Palatino Linotype" w:eastAsia="Palatino Linotype" w:hAnsi="Palatino Linotype" w:cs="Palatino Linotype"/>
          <w:i/>
        </w:rPr>
        <w:t xml:space="preserve"> que funcionaba antes de la última puesta en operación, </w:t>
      </w:r>
      <w:r>
        <w:rPr>
          <w:rFonts w:ascii="Palatino Linotype" w:eastAsia="Palatino Linotype" w:hAnsi="Palatino Linotype" w:cs="Palatino Linotype"/>
          <w:b/>
          <w:i/>
        </w:rPr>
        <w:t>tampoco informa la ubicación del equipo que suministraba agua antes del 19 de julio de 2024, el status de este</w:t>
      </w:r>
      <w:r>
        <w:rPr>
          <w:rFonts w:ascii="Palatino Linotype" w:eastAsia="Palatino Linotype" w:hAnsi="Palatino Linotype" w:cs="Palatino Linotype"/>
          <w:i/>
        </w:rPr>
        <w:t xml:space="preserve">, es decir, como lo solicite indicara si está en reparación se me informe </w:t>
      </w:r>
      <w:r>
        <w:rPr>
          <w:rFonts w:ascii="Palatino Linotype" w:eastAsia="Palatino Linotype" w:hAnsi="Palatino Linotype" w:cs="Palatino Linotype"/>
          <w:b/>
          <w:i/>
        </w:rPr>
        <w:t>el nombre de la empresa que se encarga</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de repararlo </w:t>
      </w:r>
      <w:r>
        <w:rPr>
          <w:rFonts w:ascii="Palatino Linotype" w:eastAsia="Palatino Linotype" w:hAnsi="Palatino Linotype" w:cs="Palatino Linotype"/>
          <w:i/>
        </w:rPr>
        <w:t xml:space="preserve">como indican en </w:t>
      </w:r>
      <w:r>
        <w:rPr>
          <w:rFonts w:ascii="Palatino Linotype" w:eastAsia="Palatino Linotype" w:hAnsi="Palatino Linotype" w:cs="Palatino Linotype"/>
          <w:i/>
        </w:rPr>
        <w:lastRenderedPageBreak/>
        <w:t xml:space="preserve">sus redes sociales, me adjunten los oficios o documentos de remisión del equipo a dicha empresa y la factura de la reparación. </w:t>
      </w:r>
    </w:p>
    <w:p w:rsidR="008B70CB" w:rsidRDefault="008B70CB">
      <w:pPr>
        <w:tabs>
          <w:tab w:val="left" w:pos="4667"/>
        </w:tabs>
        <w:spacing w:line="360" w:lineRule="auto"/>
        <w:ind w:left="567" w:right="539"/>
        <w:jc w:val="both"/>
        <w:rPr>
          <w:rFonts w:ascii="Palatino Linotype" w:eastAsia="Palatino Linotype" w:hAnsi="Palatino Linotype" w:cs="Palatino Linotype"/>
          <w:i/>
        </w:rPr>
      </w:pPr>
    </w:p>
    <w:p w:rsidR="008B70CB" w:rsidRDefault="00CC56CD">
      <w:pPr>
        <w:tabs>
          <w:tab w:val="left" w:pos="4667"/>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Por lo anterior considero que se vulnera mi derecho al acceso a la información al no cumplir con el principio de máxima publicidad ya que solo acomoda la información para simular que cumple con su obligación pero no respalda su dicho con documentos oficiales que obren en sus archivos y que demuestren y refuercen su contestación, los cuales fueron principalmente el motivo de esta solicitud y que aportarían plenamente información para garantizar mi derecho de acceso a la información de manera total.”</w:t>
      </w:r>
    </w:p>
    <w:p w:rsidR="008B70CB" w:rsidRDefault="008B70CB">
      <w:pPr>
        <w:tabs>
          <w:tab w:val="left" w:pos="4667"/>
        </w:tabs>
        <w:spacing w:line="360" w:lineRule="auto"/>
        <w:ind w:right="539"/>
        <w:jc w:val="both"/>
        <w:rPr>
          <w:rFonts w:ascii="Palatino Linotype" w:eastAsia="Palatino Linotype" w:hAnsi="Palatino Linotype" w:cs="Palatino Linotype"/>
          <w:i/>
        </w:rPr>
      </w:pPr>
    </w:p>
    <w:p w:rsidR="008B70CB" w:rsidRDefault="00CC56CD">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00088/OASECATEPE/IP/2024</w:t>
      </w:r>
    </w:p>
    <w:p w:rsidR="008B70CB" w:rsidRDefault="00CC56CD">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Recurso de Revisión: 05547/INFOEM/IP/RR/2024</w:t>
      </w:r>
    </w:p>
    <w:p w:rsidR="008B70CB" w:rsidRDefault="008B70CB">
      <w:pPr>
        <w:spacing w:line="360" w:lineRule="auto"/>
        <w:ind w:left="567" w:right="539"/>
        <w:jc w:val="both"/>
        <w:rPr>
          <w:rFonts w:ascii="Palatino Linotype" w:eastAsia="Palatino Linotype" w:hAnsi="Palatino Linotype" w:cs="Palatino Linotype"/>
          <w:b/>
        </w:rPr>
      </w:pPr>
    </w:p>
    <w:p w:rsidR="008B70CB" w:rsidRDefault="00CC56CD">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ACTO IMPUGNADO</w:t>
      </w:r>
      <w:r>
        <w:rPr>
          <w:rFonts w:ascii="Palatino Linotype" w:eastAsia="Palatino Linotype" w:hAnsi="Palatino Linotype" w:cs="Palatino Linotype"/>
          <w:b/>
        </w:rPr>
        <w:tab/>
      </w:r>
    </w:p>
    <w:p w:rsidR="008B70CB" w:rsidRDefault="00CC56CD">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i/>
        </w:rPr>
        <w:t xml:space="preserve">“VULNERA EL PRINCIPIO DE MÁXIMA PUBLICIDAD Con base en la solicitud que origina la presente queja, específicamente el punto 4 el cual fue solventado mediante el oficio DFYA/0709/2024 suscrito por la C. Juanita Jezabel Reyes Pacheco, Directora de Finanzas y Administración del OPD SAPASE el 20 de agosto de 2024, en el cual fundamenta y motiva el negar el acceso a la información con los artículos 12 y 59 de La Ley de Transparencia y Acceso a la Información Pública del Estado de México y Municipios, solicito se admita mi queja ya que si bien es cierto que como dicho ordenamiento lo señala: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la servidora pública que signa el oficio </w:t>
      </w:r>
      <w:r>
        <w:rPr>
          <w:rFonts w:ascii="Palatino Linotype" w:eastAsia="Palatino Linotype" w:hAnsi="Palatino Linotype" w:cs="Palatino Linotype"/>
          <w:b/>
          <w:i/>
        </w:rPr>
        <w:t xml:space="preserve">asegura no </w:t>
      </w:r>
      <w:r>
        <w:rPr>
          <w:rFonts w:ascii="Palatino Linotype" w:eastAsia="Palatino Linotype" w:hAnsi="Palatino Linotype" w:cs="Palatino Linotype"/>
          <w:b/>
          <w:i/>
        </w:rPr>
        <w:lastRenderedPageBreak/>
        <w:t>contar con ninguna padrón de empresas mas no así con información en el estado en que se encuentre sobre lo que se solicitó</w:t>
      </w:r>
      <w:r>
        <w:rPr>
          <w:rFonts w:ascii="Palatino Linotype" w:eastAsia="Palatino Linotype" w:hAnsi="Palatino Linotype" w:cs="Palatino Linotype"/>
          <w:i/>
        </w:rPr>
        <w:t>, incumpliendo con el principio de máxima publicidad consagrado en el artículo 9, párrafo VII de la Ley de Transparencia y Acceso a la Información Pública del Estado de México y Municipios, ya que no acredita las excepciones por las que no cumple con la solicitud o la inexistencia de la información.”</w:t>
      </w:r>
      <w:r>
        <w:rPr>
          <w:rFonts w:ascii="Palatino Linotype" w:eastAsia="Palatino Linotype" w:hAnsi="Palatino Linotype" w:cs="Palatino Linotype"/>
        </w:rPr>
        <w:t xml:space="preserve"> </w:t>
      </w:r>
    </w:p>
    <w:p w:rsidR="008B70CB" w:rsidRDefault="008B70CB">
      <w:pPr>
        <w:spacing w:line="360" w:lineRule="auto"/>
        <w:ind w:left="567" w:right="539"/>
        <w:jc w:val="both"/>
        <w:rPr>
          <w:rFonts w:ascii="Palatino Linotype" w:eastAsia="Palatino Linotype" w:hAnsi="Palatino Linotype" w:cs="Palatino Linotype"/>
        </w:rPr>
      </w:pPr>
    </w:p>
    <w:p w:rsidR="008B70CB" w:rsidRDefault="00CC56CD">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r>
        <w:rPr>
          <w:rFonts w:ascii="Palatino Linotype" w:eastAsia="Palatino Linotype" w:hAnsi="Palatino Linotype" w:cs="Palatino Linotype"/>
          <w:b/>
        </w:rPr>
        <w:tab/>
      </w:r>
    </w:p>
    <w:p w:rsidR="008B70CB" w:rsidRDefault="00CC56CD">
      <w:pPr>
        <w:tabs>
          <w:tab w:val="left" w:pos="4667"/>
        </w:tabs>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No señaló ningún argumento.</w:t>
      </w:r>
    </w:p>
    <w:p w:rsidR="008B70CB" w:rsidRDefault="008B70CB">
      <w:pPr>
        <w:tabs>
          <w:tab w:val="left" w:pos="4667"/>
        </w:tabs>
        <w:spacing w:line="360" w:lineRule="auto"/>
        <w:ind w:left="567" w:right="539"/>
        <w:jc w:val="both"/>
        <w:rPr>
          <w:rFonts w:ascii="Palatino Linotype" w:eastAsia="Palatino Linotype" w:hAnsi="Palatino Linotype" w:cs="Palatino Linotype"/>
        </w:rPr>
      </w:pPr>
    </w:p>
    <w:p w:rsidR="008B70CB" w:rsidRDefault="00CC56CD">
      <w:pPr>
        <w:tabs>
          <w:tab w:val="left" w:pos="4667"/>
        </w:tabs>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La Persona Recurrente adjuntó al Recurso de Revisión el oficio suscrito por la Directora de Finanzas y Administración del OPD SAPASE, que fue entregado en respuesta.</w:t>
      </w:r>
    </w:p>
    <w:p w:rsidR="008B70CB" w:rsidRDefault="00CC56CD">
      <w:pPr>
        <w:pStyle w:val="Ttulo2"/>
        <w:rPr>
          <w:rFonts w:ascii="Palatino Linotype" w:eastAsia="Palatino Linotype" w:hAnsi="Palatino Linotype" w:cs="Palatino Linotype"/>
          <w:b w:val="0"/>
          <w:color w:val="000000"/>
          <w:sz w:val="22"/>
          <w:szCs w:val="22"/>
        </w:rPr>
      </w:pPr>
      <w:bookmarkStart w:id="5" w:name="_heading=h.17dp8vu" w:colFirst="0" w:colLast="0"/>
      <w:bookmarkEnd w:id="5"/>
      <w:r>
        <w:rPr>
          <w:rFonts w:ascii="Palatino Linotype" w:eastAsia="Palatino Linotype" w:hAnsi="Palatino Linotype" w:cs="Palatino Linotype"/>
          <w:color w:val="000000"/>
          <w:sz w:val="22"/>
          <w:szCs w:val="22"/>
        </w:rPr>
        <w:t>V. Trámite del Recurso de Revisión ante el Instituto</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 los Medios de Impugnación. </w:t>
      </w:r>
      <w:r>
        <w:rPr>
          <w:rFonts w:ascii="Palatino Linotype" w:eastAsia="Palatino Linotype" w:hAnsi="Palatino Linotype" w:cs="Palatino Linotype"/>
          <w:color w:val="000000"/>
          <w:sz w:val="22"/>
          <w:szCs w:val="22"/>
        </w:rPr>
        <w:t xml:space="preserve">El siete de septiembre de dos mil veinticuatro, el SAIMEX, asignó los número de expedientes </w:t>
      </w:r>
      <w:r>
        <w:rPr>
          <w:rFonts w:ascii="Palatino Linotype" w:eastAsia="Palatino Linotype" w:hAnsi="Palatino Linotype" w:cs="Palatino Linotype"/>
          <w:b/>
          <w:color w:val="000000"/>
          <w:sz w:val="22"/>
          <w:szCs w:val="22"/>
        </w:rPr>
        <w:t xml:space="preserve">05546/INFOEM/IP/RR/2024, 05547/INFOEM/IP/RR/2024, </w:t>
      </w:r>
      <w:r>
        <w:rPr>
          <w:rFonts w:ascii="Palatino Linotype" w:eastAsia="Palatino Linotype" w:hAnsi="Palatino Linotype" w:cs="Palatino Linotype"/>
          <w:color w:val="000000"/>
          <w:sz w:val="22"/>
          <w:szCs w:val="22"/>
        </w:rPr>
        <w:t xml:space="preserve">a los medios de impugnación que nos ocupan, con base en el sistema aprobado por el Pleno de este Órgano Garante y los turnó a la Comisionada </w:t>
      </w:r>
      <w:r>
        <w:rPr>
          <w:rFonts w:ascii="Palatino Linotype" w:eastAsia="Palatino Linotype" w:hAnsi="Palatino Linotype" w:cs="Palatino Linotype"/>
          <w:sz w:val="22"/>
          <w:szCs w:val="22"/>
        </w:rPr>
        <w:t>Sharon Cristina Morales Martínez</w:t>
      </w:r>
      <w:r>
        <w:rPr>
          <w:rFonts w:ascii="Palatino Linotype" w:eastAsia="Palatino Linotype" w:hAnsi="Palatino Linotype" w:cs="Palatino Linotype"/>
          <w:color w:val="000000"/>
          <w:sz w:val="22"/>
          <w:szCs w:val="22"/>
        </w:rPr>
        <w:t xml:space="preserve"> y al Comisionado Ponente Luis Gustavo Parra Noriega, para los efectos del artículo 185, fracción I, de la Ley de Transparencia y Acceso a la Información Pública del Estado de México y Municipios.</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 los Recursos de Revisión. </w:t>
      </w:r>
      <w:r>
        <w:rPr>
          <w:rFonts w:ascii="Palatino Linotype" w:eastAsia="Palatino Linotype" w:hAnsi="Palatino Linotype" w:cs="Palatino Linotype"/>
          <w:color w:val="000000"/>
          <w:sz w:val="22"/>
          <w:szCs w:val="22"/>
        </w:rPr>
        <w:t xml:space="preserve">El nueve y once de septiembre de dos mil veinticuatro, se acordó la admisión de los Recursos de Revisión interpuestos por la persona </w:t>
      </w:r>
      <w:r>
        <w:rPr>
          <w:rFonts w:ascii="Palatino Linotype" w:eastAsia="Palatino Linotype" w:hAnsi="Palatino Linotype" w:cs="Palatino Linotype"/>
          <w:color w:val="000000"/>
          <w:sz w:val="22"/>
          <w:szCs w:val="22"/>
        </w:rPr>
        <w:lastRenderedPageBreak/>
        <w:t>Recurrente en contra del Sujeto Obligado, en términos del artículo 185, fracciones I y II de la Ley de Transparencia y Acceso a la Información Pública del Estado de México y Municipios, las cuales fueron notificadas a las partes el nueve y doce de septiembre de dos mil veinticuatro, a través del SAIMEX, en el que se les otorgó un plazo de siete días hábiles posteriores a la misma, para que manifestaran lo que a su derecho conviniera y formularan alegatos.</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bookmarkStart w:id="6" w:name="_heading=h.gjdgxs" w:colFirst="0" w:colLast="0"/>
      <w:bookmarkEnd w:id="6"/>
      <w:r>
        <w:rPr>
          <w:rFonts w:ascii="Palatino Linotype" w:eastAsia="Palatino Linotype" w:hAnsi="Palatino Linotype" w:cs="Palatino Linotype"/>
          <w:b/>
          <w:sz w:val="22"/>
          <w:szCs w:val="22"/>
        </w:rPr>
        <w:t>c) Acumulación de los asuntos.</w:t>
      </w:r>
      <w:r>
        <w:rPr>
          <w:rFonts w:ascii="Palatino Linotype" w:eastAsia="Palatino Linotype" w:hAnsi="Palatino Linotype" w:cs="Palatino Linotype"/>
          <w:sz w:val="22"/>
          <w:szCs w:val="22"/>
        </w:rPr>
        <w:t xml:space="preserve"> El diecinueve de septiembre de dos mil veinticuatro, el Pleno del Instituto de Transparencia, Acceso a la Información Pública y Protección de Datos Personales del Estado de México y Municipios, durante su Trigésima Tercera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w:t>
      </w:r>
      <w:r>
        <w:rPr>
          <w:rFonts w:ascii="Palatino Linotype" w:eastAsia="Palatino Linotype" w:hAnsi="Palatino Linotype" w:cs="Palatino Linotype"/>
          <w:b/>
          <w:color w:val="000000"/>
          <w:sz w:val="22"/>
          <w:szCs w:val="22"/>
        </w:rPr>
        <w:t xml:space="preserve"> 05547/INFOEM/IP/RR/2024 </w:t>
      </w:r>
      <w:r>
        <w:rPr>
          <w:rFonts w:ascii="Palatino Linotype" w:eastAsia="Palatino Linotype" w:hAnsi="Palatino Linotype" w:cs="Palatino Linotype"/>
          <w:color w:val="000000"/>
          <w:sz w:val="22"/>
          <w:szCs w:val="22"/>
        </w:rPr>
        <w:t>al diverso</w:t>
      </w:r>
      <w:r>
        <w:rPr>
          <w:rFonts w:ascii="Palatino Linotype" w:eastAsia="Palatino Linotype" w:hAnsi="Palatino Linotype" w:cs="Palatino Linotype"/>
          <w:b/>
          <w:color w:val="000000"/>
          <w:sz w:val="22"/>
          <w:szCs w:val="22"/>
        </w:rPr>
        <w:t xml:space="preserve"> 05546/INFOEM/IP/RR/2024, </w:t>
      </w:r>
      <w:r>
        <w:rPr>
          <w:rFonts w:ascii="Palatino Linotype" w:eastAsia="Palatino Linotype" w:hAnsi="Palatino Linotype" w:cs="Palatino Linotype"/>
          <w:color w:val="000000"/>
          <w:sz w:val="22"/>
          <w:szCs w:val="22"/>
        </w:rPr>
        <w:t>por ser este último el más antiguo, sustanciado bajo el índice de esta Ponencia, al advertir conexidad entre estos, ya que fueron promovidos por la misma persona, en los que señaló como Sujeto Obligado al Sistema de Agua Potable Alcantarillado y Saneamiento de Ecatepec de Morelos.</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d) </w:t>
      </w:r>
      <w:r>
        <w:rPr>
          <w:rFonts w:ascii="Palatino Linotype" w:eastAsia="Palatino Linotype" w:hAnsi="Palatino Linotype" w:cs="Palatino Linotype"/>
          <w:b/>
          <w:color w:val="000000"/>
          <w:sz w:val="22"/>
          <w:szCs w:val="22"/>
        </w:rPr>
        <w:t xml:space="preserve">Informe Justificado. </w:t>
      </w:r>
      <w:r>
        <w:rPr>
          <w:rFonts w:ascii="Palatino Linotype" w:eastAsia="Palatino Linotype" w:hAnsi="Palatino Linotype" w:cs="Palatino Linotype"/>
          <w:color w:val="000000"/>
          <w:sz w:val="22"/>
          <w:szCs w:val="22"/>
        </w:rPr>
        <w:t>En fecha diecisiete de septiembre de dos mil veinticuatro, el Sujeto Obligado rindió informes justificados, a través de SAIMEX, en los que señaló lo siguiente:</w:t>
      </w:r>
    </w:p>
    <w:p w:rsidR="008B70CB" w:rsidRDefault="008B70CB">
      <w:pPr>
        <w:spacing w:line="360" w:lineRule="auto"/>
        <w:jc w:val="both"/>
        <w:rPr>
          <w:rFonts w:ascii="Palatino Linotype" w:eastAsia="Palatino Linotype" w:hAnsi="Palatino Linotype" w:cs="Palatino Linotype"/>
          <w:color w:val="000000"/>
        </w:rPr>
      </w:pPr>
    </w:p>
    <w:p w:rsidR="008B70CB" w:rsidRDefault="00CC56CD">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00094/OASECATEPE/IP/2024</w:t>
      </w:r>
    </w:p>
    <w:p w:rsidR="008B70CB" w:rsidRDefault="00CC56CD">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Folio de Recurso de Revisión: 05546/INFOEM/IP/RR/2024</w:t>
      </w:r>
    </w:p>
    <w:p w:rsidR="008B70CB" w:rsidRDefault="008B70CB">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p>
    <w:p w:rsidR="008B70CB" w:rsidRDefault="00CC56C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suscrito por la Jefa del Departamento de la Unidad de Transparencia, en la que medularmente ratificó la respuesta inicial y señaló que la información entregada corresponde a la que obra en los archivos del Sujeto Obligado, pues “</w:t>
      </w:r>
      <w:r>
        <w:rPr>
          <w:rFonts w:ascii="Palatino Linotype" w:eastAsia="Palatino Linotype" w:hAnsi="Palatino Linotype" w:cs="Palatino Linotype"/>
          <w:i/>
          <w:color w:val="000000"/>
        </w:rPr>
        <w:t xml:space="preserve">las cuales se encuentran íntegro de las actuaciones que obran en el expediente electrónico” </w:t>
      </w:r>
      <w:r>
        <w:rPr>
          <w:rFonts w:ascii="Palatino Linotype" w:eastAsia="Palatino Linotype" w:hAnsi="Palatino Linotype" w:cs="Palatino Linotype"/>
          <w:color w:val="000000"/>
        </w:rPr>
        <w:t xml:space="preserve">además, dijo: </w:t>
      </w:r>
      <w:r>
        <w:rPr>
          <w:rFonts w:ascii="Palatino Linotype" w:eastAsia="Palatino Linotype" w:hAnsi="Palatino Linotype" w:cs="Palatino Linotype"/>
          <w:i/>
          <w:color w:val="000000"/>
        </w:rPr>
        <w:t xml:space="preserve">“que se realizó una búsqueda jurídica y razonable dentro de los archivos no obra la información solicitada, </w:t>
      </w:r>
      <w:r>
        <w:rPr>
          <w:rFonts w:ascii="Palatino Linotype" w:eastAsia="Palatino Linotype" w:hAnsi="Palatino Linotype" w:cs="Palatino Linotype"/>
          <w:color w:val="000000"/>
        </w:rPr>
        <w:t xml:space="preserve">al considerar que los Sujetos Obligados no tienen la obligación de generar documentos </w:t>
      </w:r>
      <w:r>
        <w:rPr>
          <w:rFonts w:ascii="Palatino Linotype" w:eastAsia="Palatino Linotype" w:hAnsi="Palatino Linotype" w:cs="Palatino Linotype"/>
          <w:i/>
          <w:color w:val="000000"/>
        </w:rPr>
        <w:t>ad hoc.</w:t>
      </w:r>
      <w:r>
        <w:rPr>
          <w:rFonts w:ascii="Palatino Linotype" w:eastAsia="Palatino Linotype" w:hAnsi="Palatino Linotype" w:cs="Palatino Linotype"/>
          <w:color w:val="000000"/>
        </w:rPr>
        <w:t xml:space="preserve"> </w:t>
      </w:r>
    </w:p>
    <w:p w:rsidR="008B70CB" w:rsidRDefault="008B70CB">
      <w:p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p>
    <w:p w:rsidR="008B70CB" w:rsidRDefault="00CC56CD">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00088/OASECATEPE/IP/2024</w:t>
      </w:r>
    </w:p>
    <w:p w:rsidR="008B70CB" w:rsidRDefault="00CC56CD">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Recurso de Revisión: 05547/INFOEM/IP/RR/2024</w:t>
      </w:r>
    </w:p>
    <w:p w:rsidR="008B70CB" w:rsidRDefault="008B70CB">
      <w:pPr>
        <w:spacing w:line="360" w:lineRule="auto"/>
        <w:jc w:val="both"/>
        <w:rPr>
          <w:rFonts w:ascii="Palatino Linotype" w:eastAsia="Palatino Linotype" w:hAnsi="Palatino Linotype" w:cs="Palatino Linotype"/>
          <w:b/>
          <w:color w:val="000000"/>
        </w:rPr>
      </w:pPr>
    </w:p>
    <w:p w:rsidR="008B70CB" w:rsidRDefault="00CC56C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la Jefa de la Unidad de Transparencia del Sujeto Obligado, en el que medularmente ratificó la respuesta inicial y señaló que la información remitida en respuesta </w:t>
      </w:r>
      <w:r>
        <w:rPr>
          <w:rFonts w:ascii="Palatino Linotype" w:eastAsia="Palatino Linotype" w:hAnsi="Palatino Linotype" w:cs="Palatino Linotype"/>
          <w:i/>
          <w:color w:val="000000"/>
        </w:rPr>
        <w:t xml:space="preserve">“es correcta y corresponde a la información que obra en los archivos de este Organismo, las cuales se encuentran íntegro de las actuaciones que obran en el expediente electrónico” </w:t>
      </w:r>
      <w:r>
        <w:rPr>
          <w:rFonts w:ascii="Palatino Linotype" w:eastAsia="Palatino Linotype" w:hAnsi="Palatino Linotype" w:cs="Palatino Linotype"/>
          <w:color w:val="000000"/>
        </w:rPr>
        <w:t xml:space="preserve"> y añadió: </w:t>
      </w:r>
      <w:r>
        <w:rPr>
          <w:rFonts w:ascii="Palatino Linotype" w:eastAsia="Palatino Linotype" w:hAnsi="Palatino Linotype" w:cs="Palatino Linotype"/>
          <w:i/>
          <w:color w:val="000000"/>
        </w:rPr>
        <w:t xml:space="preserve">“se le informa al ahora recurrente que se realizó una búsqueda jurídica y razonable dentro de los archivos no obra la información solicitada,” </w:t>
      </w:r>
      <w:r>
        <w:rPr>
          <w:rFonts w:ascii="Palatino Linotype" w:eastAsia="Palatino Linotype" w:hAnsi="Palatino Linotype" w:cs="Palatino Linotype"/>
          <w:color w:val="000000"/>
        </w:rPr>
        <w:t xml:space="preserve">y agregó que los Sujetos Obligados no se encuentran obligados a generar documentos </w:t>
      </w:r>
      <w:r>
        <w:rPr>
          <w:rFonts w:ascii="Palatino Linotype" w:eastAsia="Palatino Linotype" w:hAnsi="Palatino Linotype" w:cs="Palatino Linotype"/>
          <w:i/>
          <w:color w:val="000000"/>
        </w:rPr>
        <w:t>ad hoc.</w:t>
      </w:r>
    </w:p>
    <w:p w:rsidR="008B70CB" w:rsidRDefault="008B70C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e) Vista del informe justificado. </w:t>
      </w:r>
      <w:r>
        <w:rPr>
          <w:rFonts w:ascii="Palatino Linotype" w:eastAsia="Palatino Linotype" w:hAnsi="Palatino Linotype" w:cs="Palatino Linotype"/>
          <w:sz w:val="22"/>
          <w:szCs w:val="22"/>
        </w:rPr>
        <w:t>El treinta de octubre de dos mil veinticuatro, se dictó acuerdo mediante el cual se puso a la vista de la persona Particular los informes justificados emitido por el Sujeto Obligado; el cual fue notificado a las partes el mismo día, a través del SAIMEX.</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lastRenderedPageBreak/>
        <w:t>f) Manifestaciones de la persona Recurrente.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 xml:space="preserve">De las constancias que integran el SAIMEX se aprecia que la persona Particular </w:t>
      </w:r>
      <w:r>
        <w:rPr>
          <w:rFonts w:ascii="Palatino Linotype" w:eastAsia="Palatino Linotype" w:hAnsi="Palatino Linotype" w:cs="Palatino Linotype"/>
          <w:b/>
          <w:color w:val="000000"/>
          <w:sz w:val="22"/>
          <w:szCs w:val="22"/>
        </w:rPr>
        <w:t>fue omisa</w:t>
      </w:r>
      <w:r>
        <w:rPr>
          <w:rFonts w:ascii="Palatino Linotype" w:eastAsia="Palatino Linotype" w:hAnsi="Palatino Linotype" w:cs="Palatino Linotype"/>
          <w:color w:val="000000"/>
          <w:sz w:val="22"/>
          <w:szCs w:val="22"/>
        </w:rPr>
        <w:t xml:space="preserve"> en añadir manifestaciones en ambos Recursos de Revisión.</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g) Ampliación de plazo </w:t>
      </w:r>
      <w:r>
        <w:rPr>
          <w:rFonts w:ascii="Palatino Linotype" w:eastAsia="Palatino Linotype" w:hAnsi="Palatino Linotype" w:cs="Palatino Linotype"/>
          <w:b/>
          <w:color w:val="000000"/>
          <w:sz w:val="22"/>
          <w:szCs w:val="22"/>
        </w:rPr>
        <w:t xml:space="preserve">para resolver. </w:t>
      </w:r>
      <w:r>
        <w:rPr>
          <w:rFonts w:ascii="Palatino Linotype" w:eastAsia="Palatino Linotype" w:hAnsi="Palatino Linotype" w:cs="Palatino Linotype"/>
          <w:color w:val="000000"/>
          <w:sz w:val="22"/>
          <w:szCs w:val="22"/>
        </w:rPr>
        <w:t>El veintinueve de octubre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el mismo día mediante el SAIMEX.</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Argumento que encuentra sustento en la jurisprudencia P</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J. 32/92 emitida por el Pleno de la Suprema Corte de Justicia de la Nación de rubro “</w:t>
      </w:r>
      <w:r>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consultable en el Seminario Judicial de la Federación y su gaceta, con el registro digital 2002351.</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8B70CB" w:rsidRDefault="008B70CB">
      <w:pPr>
        <w:spacing w:line="360" w:lineRule="auto"/>
        <w:jc w:val="both"/>
        <w:rPr>
          <w:rFonts w:ascii="Palatino Linotype" w:eastAsia="Palatino Linotype" w:hAnsi="Palatino Linotype" w:cs="Palatino Linotype"/>
          <w:b/>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h) Cierre de instrucción. </w:t>
      </w:r>
      <w:r>
        <w:rPr>
          <w:rFonts w:ascii="Palatino Linotype" w:eastAsia="Palatino Linotype" w:hAnsi="Palatino Linotype" w:cs="Palatino Linotype"/>
          <w:sz w:val="22"/>
          <w:szCs w:val="22"/>
        </w:rPr>
        <w:t xml:space="preserve">El veinticinco de noviembre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w:t>
      </w:r>
      <w:r>
        <w:rPr>
          <w:rFonts w:ascii="Palatino Linotype" w:eastAsia="Palatino Linotype" w:hAnsi="Palatino Linotype" w:cs="Palatino Linotype"/>
          <w:sz w:val="22"/>
          <w:szCs w:val="22"/>
        </w:rPr>
        <w:lastRenderedPageBreak/>
        <w:t xml:space="preserve">Pública del Estado de México y Municipios; acto que fue notificado a las partes el mismo día, a través del SAIMEX. </w:t>
      </w:r>
    </w:p>
    <w:p w:rsidR="008B70CB" w:rsidRDefault="008B70CB">
      <w:pPr>
        <w:spacing w:line="360" w:lineRule="auto"/>
        <w:jc w:val="both"/>
        <w:rPr>
          <w:rFonts w:ascii="Palatino Linotype" w:eastAsia="Palatino Linotype" w:hAnsi="Palatino Linotype" w:cs="Palatino Linotype"/>
          <w:b/>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rsidR="008B70CB" w:rsidRDefault="00CC56CD">
      <w:pPr>
        <w:pStyle w:val="Ttulo1"/>
        <w:jc w:val="center"/>
        <w:rPr>
          <w:rFonts w:ascii="Palatino Linotype" w:eastAsia="Palatino Linotype" w:hAnsi="Palatino Linotype" w:cs="Palatino Linotype"/>
          <w:b/>
          <w:color w:val="000000"/>
          <w:sz w:val="22"/>
          <w:szCs w:val="22"/>
        </w:rPr>
      </w:pPr>
      <w:bookmarkStart w:id="7" w:name="_heading=h.3rdcrjn" w:colFirst="0" w:colLast="0"/>
      <w:bookmarkEnd w:id="7"/>
      <w:r>
        <w:rPr>
          <w:rFonts w:ascii="Palatino Linotype" w:eastAsia="Palatino Linotype" w:hAnsi="Palatino Linotype" w:cs="Palatino Linotype"/>
          <w:b/>
          <w:color w:val="000000"/>
          <w:sz w:val="22"/>
          <w:szCs w:val="22"/>
        </w:rPr>
        <w:t>C O N S I D E R A N D O S</w:t>
      </w:r>
    </w:p>
    <w:p w:rsidR="008B70CB" w:rsidRDefault="008B70CB">
      <w:pPr>
        <w:spacing w:line="360" w:lineRule="auto"/>
        <w:rPr>
          <w:rFonts w:ascii="Palatino Linotype" w:eastAsia="Palatino Linotype" w:hAnsi="Palatino Linotype" w:cs="Palatino Linotype"/>
          <w:b/>
          <w:sz w:val="22"/>
          <w:szCs w:val="22"/>
        </w:rPr>
      </w:pPr>
    </w:p>
    <w:p w:rsidR="008B70CB" w:rsidRDefault="00CC56CD">
      <w:pPr>
        <w:pStyle w:val="Ttulo2"/>
        <w:rPr>
          <w:rFonts w:ascii="Palatino Linotype" w:eastAsia="Palatino Linotype" w:hAnsi="Palatino Linotype" w:cs="Palatino Linotype"/>
          <w:b w:val="0"/>
          <w:sz w:val="22"/>
          <w:szCs w:val="22"/>
        </w:rPr>
      </w:pPr>
      <w:bookmarkStart w:id="8" w:name="_heading=h.26in1rg" w:colFirst="0" w:colLast="0"/>
      <w:bookmarkEnd w:id="8"/>
      <w:r>
        <w:rPr>
          <w:rFonts w:ascii="Palatino Linotype" w:eastAsia="Palatino Linotype" w:hAnsi="Palatino Linotype" w:cs="Palatino Linotype"/>
          <w:color w:val="000000"/>
          <w:sz w:val="22"/>
          <w:szCs w:val="22"/>
        </w:rPr>
        <w:t xml:space="preserve">PRIMERO. </w:t>
      </w:r>
      <w:r>
        <w:rPr>
          <w:rFonts w:ascii="Palatino Linotype" w:eastAsia="Palatino Linotype" w:hAnsi="Palatino Linotype" w:cs="Palatino Linotype"/>
          <w:sz w:val="22"/>
          <w:szCs w:val="22"/>
        </w:rPr>
        <w:t>Competencia</w:t>
      </w:r>
    </w:p>
    <w:p w:rsidR="008B70CB" w:rsidRDefault="008B70CB">
      <w:pPr>
        <w:spacing w:line="360" w:lineRule="auto"/>
        <w:jc w:val="both"/>
        <w:rPr>
          <w:rFonts w:ascii="Palatino Linotype" w:eastAsia="Palatino Linotype" w:hAnsi="Palatino Linotype" w:cs="Palatino Linotype"/>
          <w:b/>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8B70CB" w:rsidRDefault="008B70CB">
      <w:pPr>
        <w:pStyle w:val="Ttulo2"/>
        <w:rPr>
          <w:rFonts w:ascii="Palatino Linotype" w:eastAsia="Palatino Linotype" w:hAnsi="Palatino Linotype" w:cs="Palatino Linotype"/>
          <w:color w:val="000000"/>
          <w:sz w:val="22"/>
          <w:szCs w:val="22"/>
        </w:rPr>
      </w:pPr>
    </w:p>
    <w:p w:rsidR="008B70CB" w:rsidRDefault="00CC56CD">
      <w:pPr>
        <w:pStyle w:val="Ttulo2"/>
        <w:rPr>
          <w:rFonts w:ascii="Palatino Linotype" w:eastAsia="Palatino Linotype" w:hAnsi="Palatino Linotype" w:cs="Palatino Linotype"/>
          <w:color w:val="000000"/>
          <w:sz w:val="22"/>
          <w:szCs w:val="22"/>
        </w:rPr>
      </w:pPr>
      <w:bookmarkStart w:id="9" w:name="_heading=h.lnxbz9" w:colFirst="0" w:colLast="0"/>
      <w:bookmarkEnd w:id="9"/>
      <w:r>
        <w:rPr>
          <w:rFonts w:ascii="Palatino Linotype" w:eastAsia="Palatino Linotype" w:hAnsi="Palatino Linotype" w:cs="Palatino Linotype"/>
          <w:color w:val="000000"/>
          <w:sz w:val="22"/>
          <w:szCs w:val="22"/>
        </w:rPr>
        <w:t>SEGUNDO. Causales de improcedencia y sobreseimiento</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8B70CB" w:rsidRDefault="008B70CB">
      <w:pPr>
        <w:spacing w:line="360" w:lineRule="auto"/>
        <w:jc w:val="both"/>
        <w:rPr>
          <w:rFonts w:ascii="Palatino Linotype" w:eastAsia="Palatino Linotype" w:hAnsi="Palatino Linotype" w:cs="Palatino Linotype"/>
          <w:b/>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lo que hace a las causales de sobreseimiento, del análisis realizado por este Instituto, se advierte que</w:t>
      </w:r>
      <w:r>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Pr>
          <w:rFonts w:ascii="Palatino Linotype" w:eastAsia="Palatino Linotype" w:hAnsi="Palatino Linotype" w:cs="Palatino Linotype"/>
          <w:sz w:val="22"/>
          <w:szCs w:val="22"/>
        </w:rPr>
        <w:t xml:space="preserve">lo anterior, en virtud de que no existe constancia en el expediente en que se actúa, de que la persona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pStyle w:val="Ttulo2"/>
        <w:rPr>
          <w:rFonts w:ascii="Palatino Linotype" w:eastAsia="Palatino Linotype" w:hAnsi="Palatino Linotype" w:cs="Palatino Linotype"/>
          <w:b w:val="0"/>
          <w:sz w:val="22"/>
          <w:szCs w:val="22"/>
        </w:rPr>
      </w:pPr>
      <w:bookmarkStart w:id="10" w:name="_heading=h.35nkun2" w:colFirst="0" w:colLast="0"/>
      <w:bookmarkEnd w:id="10"/>
      <w:r>
        <w:rPr>
          <w:rFonts w:ascii="Palatino Linotype" w:eastAsia="Palatino Linotype" w:hAnsi="Palatino Linotype" w:cs="Palatino Linotype"/>
          <w:sz w:val="22"/>
          <w:szCs w:val="22"/>
        </w:rPr>
        <w:t>TERCERO. Determinación de la Controversia</w:t>
      </w:r>
    </w:p>
    <w:p w:rsidR="008B70CB" w:rsidRDefault="008B70CB">
      <w:pPr>
        <w:tabs>
          <w:tab w:val="left" w:pos="4962"/>
        </w:tabs>
        <w:spacing w:line="360" w:lineRule="auto"/>
        <w:jc w:val="both"/>
        <w:rPr>
          <w:rFonts w:ascii="Palatino Linotype" w:eastAsia="Palatino Linotype" w:hAnsi="Palatino Linotype" w:cs="Palatino Linotype"/>
          <w:sz w:val="22"/>
          <w:szCs w:val="22"/>
        </w:rPr>
      </w:pPr>
    </w:p>
    <w:p w:rsidR="008B70CB" w:rsidRDefault="00CC56C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persona Solicitante requirió a través de dos solicitudes de información, diversa información relacionada con un pozo ubicado en el municipio de Ecatepec, en respuesta el Sujeto Obligado entregó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en el que pretendió dar contestación a cada requerimiento que le fue formulado, derivado de lo anterior, la parte Recurrente se inconformó bajo los argumentos de la entrega de información incompleta, porque no entregaron la documentación solicitada y por la falta de fundamentación y motivación Durante la sustanciación del Recurso de Revisión el Sujeto Obligado rindió informes justificados en el que medularmente ratificó la respuesta inicial y la parte Recurrente omitió añadir manifestaciones adicionales. </w:t>
      </w:r>
    </w:p>
    <w:p w:rsidR="008B70CB" w:rsidRDefault="008B70CB">
      <w:pPr>
        <w:tabs>
          <w:tab w:val="left" w:pos="4962"/>
        </w:tabs>
        <w:spacing w:line="360" w:lineRule="auto"/>
        <w:jc w:val="both"/>
        <w:rPr>
          <w:rFonts w:ascii="Palatino Linotype" w:eastAsia="Palatino Linotype" w:hAnsi="Palatino Linotype" w:cs="Palatino Linotype"/>
          <w:sz w:val="22"/>
          <w:szCs w:val="22"/>
        </w:rPr>
      </w:pPr>
    </w:p>
    <w:p w:rsidR="008B70CB" w:rsidRDefault="00CC56C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Así pues, de las constancias que integran el expediente, se advierte que </w:t>
      </w:r>
      <w:r>
        <w:rPr>
          <w:rFonts w:ascii="Palatino Linotype" w:eastAsia="Palatino Linotype" w:hAnsi="Palatino Linotype" w:cs="Palatino Linotype"/>
          <w:color w:val="000000"/>
          <w:sz w:val="22"/>
          <w:szCs w:val="22"/>
        </w:rPr>
        <w:t xml:space="preserve">en el asunto que nos ocupa se actualiza la causal de procedencia señalada en el </w:t>
      </w:r>
      <w:r>
        <w:rPr>
          <w:rFonts w:ascii="Palatino Linotype" w:eastAsia="Palatino Linotype" w:hAnsi="Palatino Linotype" w:cs="Palatino Linotype"/>
          <w:sz w:val="22"/>
          <w:szCs w:val="22"/>
        </w:rPr>
        <w:t xml:space="preserve">artículo 179, fracción V, de la Ley de la materia; es decir por la entrega de la información incompleta. </w:t>
      </w:r>
    </w:p>
    <w:p w:rsidR="008B70CB" w:rsidRDefault="008B70CB">
      <w:pPr>
        <w:tabs>
          <w:tab w:val="left" w:pos="4962"/>
        </w:tabs>
        <w:spacing w:line="360" w:lineRule="auto"/>
        <w:jc w:val="both"/>
        <w:rPr>
          <w:rFonts w:ascii="Palatino Linotype" w:eastAsia="Palatino Linotype" w:hAnsi="Palatino Linotype" w:cs="Palatino Linotype"/>
          <w:b/>
          <w:sz w:val="22"/>
          <w:szCs w:val="22"/>
        </w:rPr>
      </w:pPr>
    </w:p>
    <w:p w:rsidR="008B70CB" w:rsidRDefault="00CC56C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8B70CB" w:rsidRDefault="008B70CB">
      <w:pPr>
        <w:tabs>
          <w:tab w:val="left" w:pos="4962"/>
        </w:tabs>
        <w:spacing w:line="360" w:lineRule="auto"/>
        <w:jc w:val="both"/>
        <w:rPr>
          <w:rFonts w:ascii="Palatino Linotype" w:eastAsia="Palatino Linotype" w:hAnsi="Palatino Linotype" w:cs="Palatino Linotype"/>
          <w:sz w:val="22"/>
          <w:szCs w:val="22"/>
        </w:rPr>
      </w:pPr>
    </w:p>
    <w:p w:rsidR="008B70CB" w:rsidRDefault="00CC56CD">
      <w:pPr>
        <w:pStyle w:val="Ttulo2"/>
        <w:rPr>
          <w:rFonts w:ascii="Palatino Linotype" w:eastAsia="Palatino Linotype" w:hAnsi="Palatino Linotype" w:cs="Palatino Linotype"/>
          <w:b w:val="0"/>
          <w:sz w:val="22"/>
          <w:szCs w:val="22"/>
        </w:rPr>
      </w:pPr>
      <w:bookmarkStart w:id="11" w:name="_heading=h.1ksv4uv" w:colFirst="0" w:colLast="0"/>
      <w:bookmarkEnd w:id="11"/>
      <w:r>
        <w:rPr>
          <w:rFonts w:ascii="Palatino Linotype" w:eastAsia="Palatino Linotype" w:hAnsi="Palatino Linotype" w:cs="Palatino Linotype"/>
          <w:sz w:val="22"/>
          <w:szCs w:val="22"/>
        </w:rPr>
        <w:t>CUARTO. Marco normativo aplicable en materia de transparencia y acceso a la información pública</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w:t>
      </w:r>
      <w:r>
        <w:rPr>
          <w:rFonts w:ascii="Palatino Linotype" w:eastAsia="Palatino Linotype" w:hAnsi="Palatino Linotype" w:cs="Palatino Linotype"/>
          <w:sz w:val="22"/>
          <w:szCs w:val="22"/>
        </w:rPr>
        <w:lastRenderedPageBreak/>
        <w:t>Pública, que deben de difundir los sujetos obligados en los portales de Internet y en la Plataforma Nacional de Transparencia, establecen los formatos para dar cumplimiento a las Obligaciones de Transparencia, así como los plazos de actualización.</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19, que, se presume que la información debe existir si se refiere a las facultades, competencias y funciones que los ordenamientos jurídicos aplicables otorgan a los sujetos </w:t>
      </w:r>
      <w:r>
        <w:rPr>
          <w:rFonts w:ascii="Palatino Linotype" w:eastAsia="Palatino Linotype" w:hAnsi="Palatino Linotype" w:cs="Palatino Linotype"/>
          <w:sz w:val="22"/>
          <w:szCs w:val="22"/>
        </w:rPr>
        <w:lastRenderedPageBreak/>
        <w:t>obligados y en caso de que dichas facultades no se hayan ejercido, se deberá motivar la respuesta en función de las causas que motivaron tal circunstancia.</w:t>
      </w:r>
    </w:p>
    <w:p w:rsidR="008B70CB" w:rsidRDefault="008B70CB">
      <w:pPr>
        <w:spacing w:line="360" w:lineRule="auto"/>
        <w:jc w:val="both"/>
        <w:rPr>
          <w:rFonts w:ascii="Palatino Linotype" w:eastAsia="Palatino Linotype" w:hAnsi="Palatino Linotype" w:cs="Palatino Linotype"/>
          <w:b/>
          <w:sz w:val="22"/>
          <w:szCs w:val="22"/>
        </w:rPr>
      </w:pPr>
    </w:p>
    <w:p w:rsidR="008B70CB" w:rsidRDefault="00CC56CD">
      <w:pPr>
        <w:pStyle w:val="Ttulo2"/>
        <w:rPr>
          <w:rFonts w:ascii="Palatino Linotype" w:eastAsia="Palatino Linotype" w:hAnsi="Palatino Linotype" w:cs="Palatino Linotype"/>
          <w:b w:val="0"/>
          <w:sz w:val="22"/>
          <w:szCs w:val="22"/>
        </w:rPr>
      </w:pPr>
      <w:bookmarkStart w:id="12" w:name="_heading=h.44sinio" w:colFirst="0" w:colLast="0"/>
      <w:bookmarkEnd w:id="12"/>
      <w:r>
        <w:rPr>
          <w:rFonts w:ascii="Palatino Linotype" w:eastAsia="Palatino Linotype" w:hAnsi="Palatino Linotype" w:cs="Palatino Linotype"/>
          <w:sz w:val="22"/>
          <w:szCs w:val="22"/>
        </w:rPr>
        <w:t>QUINTO. Estudio de Fondo</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vez expuesto lo anterior, es preciso analizar los motivos de agravio que fueron expuestos por la parte Recurrente, de lo que se advierte que para el caso del Recurso de Revisión </w:t>
      </w:r>
      <w:r>
        <w:rPr>
          <w:rFonts w:ascii="Palatino Linotype" w:eastAsia="Palatino Linotype" w:hAnsi="Palatino Linotype" w:cs="Palatino Linotype"/>
          <w:b/>
          <w:sz w:val="22"/>
          <w:szCs w:val="22"/>
        </w:rPr>
        <w:t>05546/INFOEM/IP/RR/2024</w:t>
      </w:r>
      <w:r>
        <w:rPr>
          <w:rFonts w:ascii="Palatino Linotype" w:eastAsia="Palatino Linotype" w:hAnsi="Palatino Linotype" w:cs="Palatino Linotype"/>
          <w:sz w:val="22"/>
          <w:szCs w:val="22"/>
        </w:rPr>
        <w:t>, la persona Recurrente, añadió un archivo en el que expresó sus motivos de agravio, de los cuales resaltan los siguientes: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8B70CB" w:rsidRDefault="00CC56C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De los puntos 2 y 3 … o como mínimo adjuntar o señalar las acciones que ha realizado en contra de la CFE por suministrar de manera variable la energía eléctrica y que esta Paraestatal se haga responsable o subsane los prejuicios provocados por la supuesta variación de voltaje;</w:t>
      </w:r>
    </w:p>
    <w:p w:rsidR="008B70CB" w:rsidRDefault="00CC56C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8B70CB" w:rsidRDefault="00CC56C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Tocante al punto 6 de su contestación… tampoco informa… el status de este…”</w:t>
      </w:r>
    </w:p>
    <w:p w:rsidR="008B70CB" w:rsidRDefault="008B70CB">
      <w:pPr>
        <w:spacing w:line="360" w:lineRule="auto"/>
        <w:jc w:val="both"/>
        <w:rPr>
          <w:rFonts w:ascii="Palatino Linotype" w:eastAsia="Palatino Linotype" w:hAnsi="Palatino Linotype" w:cs="Palatino Linotype"/>
          <w:i/>
          <w:sz w:val="22"/>
          <w:szCs w:val="22"/>
        </w:rPr>
      </w:pPr>
    </w:p>
    <w:p w:rsidR="008B70CB" w:rsidRDefault="00CC56CD">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virtud de que los anteriores no fueron requeridos en la solicitud inicial por lo que se configura lo que se conoce como </w:t>
      </w:r>
      <w:r>
        <w:rPr>
          <w:rFonts w:ascii="Palatino Linotype" w:eastAsia="Palatino Linotype" w:hAnsi="Palatino Linotype" w:cs="Palatino Linotype"/>
          <w:b/>
          <w:i/>
          <w:sz w:val="22"/>
          <w:szCs w:val="22"/>
        </w:rPr>
        <w:t xml:space="preserve">plus </w:t>
      </w:r>
      <w:proofErr w:type="spellStart"/>
      <w:r>
        <w:rPr>
          <w:rFonts w:ascii="Palatino Linotype" w:eastAsia="Palatino Linotype" w:hAnsi="Palatino Linotype" w:cs="Palatino Linotype"/>
          <w:b/>
          <w:i/>
          <w:sz w:val="22"/>
          <w:szCs w:val="22"/>
        </w:rPr>
        <w:t>petitio</w:t>
      </w:r>
      <w:proofErr w:type="spellEnd"/>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que consiste en una ampliación a su requerimiento informativo, argumentos que no son susceptibles de ser valorados en términos de la fracción VII del Artículo 191 de la </w:t>
      </w:r>
      <w:r>
        <w:rPr>
          <w:rFonts w:ascii="Palatino Linotype" w:eastAsia="Palatino Linotype" w:hAnsi="Palatino Linotype" w:cs="Palatino Linotype"/>
          <w:color w:val="000000"/>
          <w:sz w:val="22"/>
          <w:szCs w:val="22"/>
        </w:rPr>
        <w:t xml:space="preserve">Ley de Transparencia y Acceso a la Información Pública del Estado de México y Municipios, el cual señala la improcedencia cuando la persona Recurrente amplíe su solicitud en el recurso de revisión, </w:t>
      </w:r>
      <w:r>
        <w:rPr>
          <w:rFonts w:ascii="Palatino Linotype" w:eastAsia="Palatino Linotype" w:hAnsi="Palatino Linotype" w:cs="Palatino Linotype"/>
          <w:b/>
          <w:color w:val="000000"/>
          <w:sz w:val="22"/>
          <w:szCs w:val="22"/>
          <w:u w:val="single"/>
        </w:rPr>
        <w:t xml:space="preserve">únicamente respecto de los nuevos </w:t>
      </w:r>
      <w:r>
        <w:rPr>
          <w:rFonts w:ascii="Palatino Linotype" w:eastAsia="Palatino Linotype" w:hAnsi="Palatino Linotype" w:cs="Palatino Linotype"/>
          <w:b/>
          <w:color w:val="000000"/>
          <w:sz w:val="22"/>
          <w:szCs w:val="22"/>
          <w:u w:val="single"/>
        </w:rPr>
        <w:lastRenderedPageBreak/>
        <w:t>contenidos</w:t>
      </w:r>
      <w:r>
        <w:rPr>
          <w:rFonts w:ascii="Palatino Linotype" w:eastAsia="Palatino Linotype" w:hAnsi="Palatino Linotype" w:cs="Palatino Linotype"/>
          <w:color w:val="000000"/>
          <w:sz w:val="22"/>
          <w:szCs w:val="22"/>
        </w:rPr>
        <w:t>. Por lo cual el requerimiento realizado a través del medio de impugnación configura un nuevo contenido que pretende ampliar la solicitud, situación que no será sujeta de análisis por resultar improcedente.</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mismo Recurso de Revisión, la parte Recurrente señaló su inconformidad con el punto 2 de lo solicitado, únicamente respecto a que el Sujeto Obligado no se pronunció de la información generada en los años 2017, 2018 y 2019, </w:t>
      </w:r>
      <w:r>
        <w:rPr>
          <w:rFonts w:ascii="Palatino Linotype" w:eastAsia="Palatino Linotype" w:hAnsi="Palatino Linotype" w:cs="Palatino Linotype"/>
          <w:b/>
          <w:sz w:val="22"/>
          <w:szCs w:val="22"/>
        </w:rPr>
        <w:t xml:space="preserve">por lo que se dio por atendido del resto de la temporalidad, </w:t>
      </w:r>
      <w:r>
        <w:rPr>
          <w:rFonts w:ascii="Palatino Linotype" w:eastAsia="Palatino Linotype" w:hAnsi="Palatino Linotype" w:cs="Palatino Linotype"/>
          <w:sz w:val="22"/>
          <w:szCs w:val="22"/>
        </w:rPr>
        <w:t xml:space="preserve">por lo que no será motivo de este análisis; y en el Recurso de Revisión </w:t>
      </w:r>
      <w:r>
        <w:rPr>
          <w:rFonts w:ascii="Palatino Linotype" w:eastAsia="Palatino Linotype" w:hAnsi="Palatino Linotype" w:cs="Palatino Linotype"/>
          <w:b/>
          <w:sz w:val="22"/>
          <w:szCs w:val="22"/>
        </w:rPr>
        <w:t xml:space="preserve">05547/INFOEM/IP/RR/2024, </w:t>
      </w:r>
      <w:r>
        <w:rPr>
          <w:rFonts w:ascii="Palatino Linotype" w:eastAsia="Palatino Linotype" w:hAnsi="Palatino Linotype" w:cs="Palatino Linotype"/>
          <w:sz w:val="22"/>
          <w:szCs w:val="22"/>
        </w:rPr>
        <w:t xml:space="preserve">la parte Recurrente centró su motivo de agravió únicamente por cuanto hace a la respuesta proporcionada </w:t>
      </w:r>
      <w:r>
        <w:rPr>
          <w:rFonts w:ascii="Palatino Linotype" w:eastAsia="Palatino Linotype" w:hAnsi="Palatino Linotype" w:cs="Palatino Linotype"/>
          <w:b/>
          <w:sz w:val="22"/>
          <w:szCs w:val="22"/>
        </w:rPr>
        <w:t>en el punto 4</w:t>
      </w:r>
      <w:r>
        <w:rPr>
          <w:rFonts w:ascii="Palatino Linotype" w:eastAsia="Palatino Linotype" w:hAnsi="Palatino Linotype" w:cs="Palatino Linotype"/>
          <w:sz w:val="22"/>
          <w:szCs w:val="22"/>
        </w:rPr>
        <w:t xml:space="preserve">, por lo que </w:t>
      </w:r>
      <w:r>
        <w:rPr>
          <w:rFonts w:ascii="Palatino Linotype" w:eastAsia="Palatino Linotype" w:hAnsi="Palatino Linotype" w:cs="Palatino Linotype"/>
          <w:b/>
          <w:sz w:val="22"/>
          <w:szCs w:val="22"/>
        </w:rPr>
        <w:t>no manifestó su inconformidad con el resto de puntos listados en su solicitud de información</w:t>
      </w:r>
      <w:r>
        <w:rPr>
          <w:rFonts w:ascii="Palatino Linotype" w:eastAsia="Palatino Linotype" w:hAnsi="Palatino Linotype" w:cs="Palatino Linotype"/>
          <w:sz w:val="22"/>
          <w:szCs w:val="22"/>
        </w:rPr>
        <w:t xml:space="preserve"> y por tanto, se dio por satisfecho situación por la cual no se hará pronunciamiento alguno respecto a los puntos 1, 2 ,3 y 5; 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rsidR="008B70CB" w:rsidRDefault="008B70CB">
      <w:pPr>
        <w:spacing w:line="360" w:lineRule="auto"/>
        <w:ind w:right="-93"/>
        <w:jc w:val="both"/>
        <w:rPr>
          <w:rFonts w:ascii="Palatino Linotype" w:eastAsia="Palatino Linotype" w:hAnsi="Palatino Linotype" w:cs="Palatino Linotype"/>
          <w:sz w:val="22"/>
          <w:szCs w:val="22"/>
        </w:rPr>
      </w:pPr>
    </w:p>
    <w:p w:rsidR="008B70CB" w:rsidRDefault="00CC56CD">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misma manera resulta aplicable el criterio sostenido por el Poder Judicial de la Federación de rubro </w:t>
      </w:r>
      <w:r>
        <w:rPr>
          <w:rFonts w:ascii="Palatino Linotype" w:eastAsia="Palatino Linotype" w:hAnsi="Palatino Linotype" w:cs="Palatino Linotype"/>
          <w:b/>
          <w:sz w:val="22"/>
          <w:szCs w:val="22"/>
        </w:rPr>
        <w:t>ACTOS CONSENTIDOS TÁCITAMENTE, Tesis VI.2o. J/21</w:t>
      </w:r>
      <w:r>
        <w:rPr>
          <w:rFonts w:ascii="Palatino Linotype" w:eastAsia="Palatino Linotype" w:hAnsi="Palatino Linotype" w:cs="Palatino Linotype"/>
          <w:sz w:val="22"/>
          <w:szCs w:val="22"/>
        </w:rPr>
        <w:t xml:space="preserve">, emitida en la novena época, por el Segundo Tribunal Colegiado del Sexto Circuito, publicada en la Gaceta del Semanario Judicial de la Federación en agosto de 1995, página 291 y número de registro 204707, </w:t>
      </w:r>
      <w:r>
        <w:rPr>
          <w:rFonts w:ascii="Palatino Linotype" w:eastAsia="Palatino Linotype" w:hAnsi="Palatino Linotype" w:cs="Palatino Linotype"/>
          <w:sz w:val="22"/>
          <w:szCs w:val="22"/>
        </w:rPr>
        <w:lastRenderedPageBreak/>
        <w:t>del que se desprende que cuando no se reclaman los actos de autoridad en la vía y plazos establecidos en la Ley, se presume que el particular está conforme con los mismos.</w:t>
      </w:r>
    </w:p>
    <w:p w:rsidR="008B70CB" w:rsidRDefault="008B70CB">
      <w:pPr>
        <w:spacing w:line="360" w:lineRule="auto"/>
        <w:ind w:right="-93"/>
        <w:jc w:val="both"/>
        <w:rPr>
          <w:rFonts w:ascii="Palatino Linotype" w:eastAsia="Palatino Linotype" w:hAnsi="Palatino Linotype" w:cs="Palatino Linotype"/>
          <w:sz w:val="22"/>
          <w:szCs w:val="22"/>
        </w:rPr>
      </w:pPr>
    </w:p>
    <w:p w:rsidR="008B70CB" w:rsidRDefault="00CC56CD">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w:t>
      </w:r>
    </w:p>
    <w:p w:rsidR="008B70CB" w:rsidRDefault="008B70CB">
      <w:pPr>
        <w:spacing w:line="360" w:lineRule="auto"/>
        <w:ind w:right="-93"/>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Expuesto lo anterior, es preciso señalar que los requerimientos de información se relacionan con el mantenimiento y determinación sobre el equipamiento que da funcionamiento a un pozo del Ayuntamiento de Ecatepec de Morelos, por tanto es procedente atraer al estudio la Ley del Agua para el Estado de México y Municipios, que en sus artículos 1°, 3°, 4°, 33 y 34 establecen que es de orden público e interés social, de aplicación y observancia general en el Estado de México y tiene por objeto normar la explotación, uso, aprovechamiento, administración, control y suministro de las aguas de jurisdicción estatal y municipal y sus bienes inherentes, para la prestación de los servicios de agua potable, drenaje y alcantarillado, saneamiento, y tratamiento de aguas residuales, su reúso y la disposición final de sus productos resultantes.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37 de la Ley del Agua para el Estado de México, precisa que los Organismos Operadores Municipales, tendrán personalidad jurídica y patrimonios propios, así como autonomía técnica y administrativa en el manejo de sus recursos; además, que serán </w:t>
      </w:r>
      <w:r>
        <w:rPr>
          <w:rFonts w:ascii="Palatino Linotype" w:eastAsia="Palatino Linotype" w:hAnsi="Palatino Linotype" w:cs="Palatino Linotype"/>
          <w:sz w:val="22"/>
          <w:szCs w:val="22"/>
        </w:rPr>
        <w:lastRenderedPageBreak/>
        <w:t>autoridad fiscal, por lo que adoptarán las medidas necesarias para alcanzar su autonomía y autosuficiencia financiera en la prestación de los servicios a su cargo; además, que serán los encargados de administrar, operar, conservar, dar mantenimiento, rehabilitar y ampliar los sistemas de suministro de agua.</w:t>
      </w:r>
    </w:p>
    <w:p w:rsidR="008B70CB" w:rsidRDefault="008B70CB">
      <w:pPr>
        <w:tabs>
          <w:tab w:val="left" w:pos="4962"/>
        </w:tabs>
        <w:spacing w:line="360" w:lineRule="auto"/>
        <w:ind w:right="-28"/>
        <w:jc w:val="both"/>
        <w:rPr>
          <w:rFonts w:ascii="Palatino Linotype" w:eastAsia="Palatino Linotype" w:hAnsi="Palatino Linotype" w:cs="Palatino Linotype"/>
          <w:sz w:val="22"/>
          <w:szCs w:val="22"/>
        </w:rPr>
      </w:pPr>
    </w:p>
    <w:p w:rsidR="008B70CB" w:rsidRDefault="00CC56CD">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 artículo 50 de la Ley del Agua para el Estado de México, precisa que la infraestructura hidráulica para el servicio de agua potable comprende las fuentes de abastecimiento de agua, las plantas de bombeo, las plantas potabilizadoras de agua, las líneas de conducción de agua en bloque y líneas de alimentación, los tanques de regulación y almacenamiento de agua, así como las redes de distribución, que son de estricta jurisdicción municipal.</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Ahora bien, el Bando Municipal del Ayuntamiento de Ecatepec, en sus artículos 44, fracción VIII, inciso b, 99 y 100 fracción IV y V, establecen que para el ejercicio de las atribuciones del Ayuntamiento y del Presidente Municipal se auxiliará de diversas dependencias, entre ellas, los organismos públicos descentralizados, de los cuales se desprende el Sujeto Obligado; que tiene autonomía en el manejo de sus recursos, además tiene facultades para construir, operar y mantener la infraestructura hídrica, así como las fuentes de abastecimiento de agua potable, su saneamiento y llevar su control y vigilancia; </w:t>
      </w:r>
      <w:r>
        <w:rPr>
          <w:rFonts w:ascii="Palatino Linotype" w:eastAsia="Palatino Linotype" w:hAnsi="Palatino Linotype" w:cs="Palatino Linotype"/>
          <w:b/>
          <w:sz w:val="22"/>
          <w:szCs w:val="22"/>
        </w:rPr>
        <w:t>por tanto, se aprecia que el Sujeto Obligado conoce de la información relacionada con los pozos de agua y con su mantenimiento, vigilancia y seguimiento.</w:t>
      </w:r>
    </w:p>
    <w:p w:rsidR="008B70CB" w:rsidRDefault="008B70CB">
      <w:pPr>
        <w:spacing w:line="360" w:lineRule="auto"/>
        <w:jc w:val="both"/>
        <w:rPr>
          <w:rFonts w:ascii="Palatino Linotype" w:eastAsia="Palatino Linotype" w:hAnsi="Palatino Linotype" w:cs="Palatino Linotype"/>
          <w:b/>
          <w:sz w:val="22"/>
          <w:szCs w:val="22"/>
        </w:rPr>
      </w:pPr>
    </w:p>
    <w:p w:rsidR="008B70CB" w:rsidRDefault="00CC56CD">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Una vez expuesto lo anterior, es preciso insertar una tabla de relación de columnas que permita analizar los puntos de las solicitudes que subsisten, en contraposición con las respuestas y determinar su procedencia:</w:t>
      </w:r>
    </w:p>
    <w:p w:rsidR="008B70CB" w:rsidRDefault="008B70CB">
      <w:pPr>
        <w:spacing w:line="360" w:lineRule="auto"/>
        <w:jc w:val="both"/>
        <w:rPr>
          <w:rFonts w:ascii="Palatino Linotype" w:eastAsia="Palatino Linotype" w:hAnsi="Palatino Linotype" w:cs="Palatino Linotype"/>
          <w:sz w:val="22"/>
          <w:szCs w:val="22"/>
        </w:rPr>
      </w:pPr>
    </w:p>
    <w:tbl>
      <w:tblPr>
        <w:tblStyle w:val="ad"/>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835"/>
        <w:gridCol w:w="3119"/>
      </w:tblGrid>
      <w:tr w:rsidR="008B70CB">
        <w:trPr>
          <w:jc w:val="center"/>
        </w:trPr>
        <w:tc>
          <w:tcPr>
            <w:tcW w:w="2972" w:type="dxa"/>
            <w:shd w:val="clear" w:color="auto" w:fill="D0CECE"/>
          </w:tcPr>
          <w:p w:rsidR="008B70CB" w:rsidRDefault="00CC56CD">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SOLICITUD</w:t>
            </w:r>
          </w:p>
        </w:tc>
        <w:tc>
          <w:tcPr>
            <w:tcW w:w="2835" w:type="dxa"/>
            <w:shd w:val="clear" w:color="auto" w:fill="D0CECE"/>
          </w:tcPr>
          <w:p w:rsidR="008B70CB" w:rsidRDefault="00CC56CD">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RESPUESTA</w:t>
            </w:r>
          </w:p>
        </w:tc>
        <w:tc>
          <w:tcPr>
            <w:tcW w:w="3119" w:type="dxa"/>
            <w:shd w:val="clear" w:color="auto" w:fill="D0CECE"/>
          </w:tcPr>
          <w:p w:rsidR="008B70CB" w:rsidRDefault="00CC56CD">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OBSERVACIONES</w:t>
            </w:r>
          </w:p>
        </w:tc>
      </w:tr>
      <w:tr w:rsidR="008B70CB">
        <w:trPr>
          <w:jc w:val="center"/>
        </w:trPr>
        <w:tc>
          <w:tcPr>
            <w:tcW w:w="8926" w:type="dxa"/>
            <w:gridSpan w:val="3"/>
          </w:tcPr>
          <w:p w:rsidR="008B70CB" w:rsidRDefault="00CC56C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Solicitud: </w:t>
            </w:r>
            <w:r>
              <w:rPr>
                <w:rFonts w:ascii="Palatino Linotype" w:eastAsia="Palatino Linotype" w:hAnsi="Palatino Linotype" w:cs="Palatino Linotype"/>
                <w:b/>
                <w:color w:val="000000"/>
              </w:rPr>
              <w:t>00094/OASECATEPE/IP/2024 - Recurso: 05546/INFOEM/IP/RR/2024</w:t>
            </w:r>
          </w:p>
        </w:tc>
      </w:tr>
      <w:tr w:rsidR="008B70CB">
        <w:trPr>
          <w:jc w:val="center"/>
        </w:trPr>
        <w:tc>
          <w:tcPr>
            <w:tcW w:w="2972" w:type="dxa"/>
          </w:tcPr>
          <w:p w:rsidR="008B70CB" w:rsidRDefault="00CC56C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1. Mecanismo o denominación por el que tiene control sobre los equipos de bombeo del municipio, </w:t>
            </w:r>
            <w:r>
              <w:rPr>
                <w:rFonts w:ascii="Palatino Linotype" w:eastAsia="Palatino Linotype" w:hAnsi="Palatino Linotype" w:cs="Palatino Linotype"/>
                <w:b/>
                <w:color w:val="000000"/>
              </w:rPr>
              <w:t>específicamente del equipo de bombeo del pozo “héroes II”</w:t>
            </w:r>
          </w:p>
        </w:tc>
        <w:tc>
          <w:tcPr>
            <w:tcW w:w="2835" w:type="dxa"/>
          </w:tcPr>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Director Técnico de Construcción</w:t>
            </w:r>
            <w:r>
              <w:rPr>
                <w:rFonts w:ascii="Palatino Linotype" w:eastAsia="Palatino Linotype" w:hAnsi="Palatino Linotype" w:cs="Palatino Linotype"/>
                <w:i/>
              </w:rPr>
              <w:t xml:space="preserve"> </w:t>
            </w:r>
            <w:r>
              <w:rPr>
                <w:rFonts w:ascii="Palatino Linotype" w:eastAsia="Palatino Linotype" w:hAnsi="Palatino Linotype" w:cs="Palatino Linotype"/>
              </w:rPr>
              <w:t>informó que:</w:t>
            </w:r>
          </w:p>
          <w:p w:rsidR="008B70CB" w:rsidRDefault="00CC56CD">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“…se ingresan las bombas con número de serie y características al Departamento de Control Patrimonial.”</w:t>
            </w:r>
          </w:p>
        </w:tc>
        <w:tc>
          <w:tcPr>
            <w:tcW w:w="3119" w:type="dxa"/>
          </w:tcPr>
          <w:p w:rsidR="008B70CB" w:rsidRDefault="00CC56CD">
            <w:pPr>
              <w:spacing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No colma</w:t>
            </w:r>
          </w:p>
          <w:p w:rsidR="008B70CB" w:rsidRDefault="00CC56C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No entregaron los datos de identificación del equipo de bombeo conforme a su control interno y no se pronunciaron las áreas competentes. </w:t>
            </w:r>
          </w:p>
        </w:tc>
      </w:tr>
      <w:tr w:rsidR="008B70CB">
        <w:trPr>
          <w:jc w:val="center"/>
        </w:trPr>
        <w:tc>
          <w:tcPr>
            <w:tcW w:w="2972" w:type="dxa"/>
            <w:shd w:val="clear" w:color="auto" w:fill="auto"/>
          </w:tcPr>
          <w:p w:rsidR="008B70CB" w:rsidRDefault="00CC56C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2. Número de equipos de bombeo y cantidad de ocasiones en las que se han instalado o desinstalado en el pozo “héroes II” durante los ejercicios del 2017 a 2024.</w:t>
            </w:r>
          </w:p>
        </w:tc>
        <w:tc>
          <w:tcPr>
            <w:tcW w:w="2835" w:type="dxa"/>
            <w:shd w:val="clear" w:color="auto" w:fill="auto"/>
          </w:tcPr>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Director Técnico de Construcción</w:t>
            </w:r>
            <w:r>
              <w:rPr>
                <w:rFonts w:ascii="Palatino Linotype" w:eastAsia="Palatino Linotype" w:hAnsi="Palatino Linotype" w:cs="Palatino Linotype"/>
                <w:i/>
              </w:rPr>
              <w:t xml:space="preserve"> </w:t>
            </w:r>
            <w:r>
              <w:rPr>
                <w:rFonts w:ascii="Palatino Linotype" w:eastAsia="Palatino Linotype" w:hAnsi="Palatino Linotype" w:cs="Palatino Linotype"/>
              </w:rPr>
              <w:t>informó que:</w:t>
            </w:r>
          </w:p>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Fechas de instalación y desinstalación de bombas quemadas, de 2020, 2021, 2023 y 2024</w:t>
            </w:r>
          </w:p>
        </w:tc>
        <w:tc>
          <w:tcPr>
            <w:tcW w:w="3119" w:type="dxa"/>
            <w:shd w:val="clear" w:color="auto" w:fill="auto"/>
          </w:tcPr>
          <w:p w:rsidR="008B70CB" w:rsidRDefault="00CC56CD">
            <w:pPr>
              <w:spacing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 xml:space="preserve">Colma parcialmente </w:t>
            </w:r>
          </w:p>
          <w:p w:rsidR="008B70CB" w:rsidRDefault="00CC56C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No se pronunció respecto a la temporalidad de 2017 a 2019,  y son actos consentidos el resto de la temporalidad.</w:t>
            </w:r>
          </w:p>
          <w:p w:rsidR="008B70CB" w:rsidRDefault="008B70CB">
            <w:pPr>
              <w:spacing w:line="360" w:lineRule="auto"/>
              <w:jc w:val="both"/>
              <w:rPr>
                <w:rFonts w:ascii="Palatino Linotype" w:eastAsia="Palatino Linotype" w:hAnsi="Palatino Linotype" w:cs="Palatino Linotype"/>
                <w:b/>
              </w:rPr>
            </w:pPr>
          </w:p>
          <w:p w:rsidR="008B70CB" w:rsidRDefault="008B70CB">
            <w:pPr>
              <w:spacing w:line="360" w:lineRule="auto"/>
              <w:jc w:val="both"/>
              <w:rPr>
                <w:rFonts w:ascii="Palatino Linotype" w:eastAsia="Palatino Linotype" w:hAnsi="Palatino Linotype" w:cs="Palatino Linotype"/>
              </w:rPr>
            </w:pPr>
          </w:p>
        </w:tc>
      </w:tr>
      <w:tr w:rsidR="008B70CB">
        <w:trPr>
          <w:jc w:val="center"/>
        </w:trPr>
        <w:tc>
          <w:tcPr>
            <w:tcW w:w="2972" w:type="dxa"/>
          </w:tcPr>
          <w:p w:rsidR="008B70CB" w:rsidRDefault="00CC56C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3. Oficios o dictámenes en los que se determinó que los equipos de bombeo del pozo “héroes II” se averiaron y por ello salió de operación dicha </w:t>
            </w:r>
            <w:r>
              <w:rPr>
                <w:rFonts w:ascii="Palatino Linotype" w:eastAsia="Palatino Linotype" w:hAnsi="Palatino Linotype" w:cs="Palatino Linotype"/>
                <w:color w:val="000000"/>
              </w:rPr>
              <w:lastRenderedPageBreak/>
              <w:t>bomba, durante los ejercicios del 2017 a 2024</w:t>
            </w:r>
          </w:p>
        </w:tc>
        <w:tc>
          <w:tcPr>
            <w:tcW w:w="2835" w:type="dxa"/>
          </w:tcPr>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Director Técnico de Construcción</w:t>
            </w:r>
            <w:r>
              <w:rPr>
                <w:rFonts w:ascii="Palatino Linotype" w:eastAsia="Palatino Linotype" w:hAnsi="Palatino Linotype" w:cs="Palatino Linotype"/>
                <w:i/>
              </w:rPr>
              <w:t xml:space="preserve"> </w:t>
            </w:r>
            <w:r>
              <w:rPr>
                <w:rFonts w:ascii="Palatino Linotype" w:eastAsia="Palatino Linotype" w:hAnsi="Palatino Linotype" w:cs="Palatino Linotype"/>
              </w:rPr>
              <w:t>informó que:</w:t>
            </w:r>
          </w:p>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color w:val="000000"/>
              </w:rPr>
              <w:t xml:space="preserve">“El diagnostico se realiza en campo por el área de electromecánico y </w:t>
            </w:r>
            <w:r>
              <w:rPr>
                <w:rFonts w:ascii="Palatino Linotype" w:eastAsia="Palatino Linotype" w:hAnsi="Palatino Linotype" w:cs="Palatino Linotype"/>
                <w:i/>
                <w:color w:val="000000"/>
              </w:rPr>
              <w:lastRenderedPageBreak/>
              <w:t>mantenimiento y se programan las maniobras…”</w:t>
            </w:r>
          </w:p>
        </w:tc>
        <w:tc>
          <w:tcPr>
            <w:tcW w:w="3119" w:type="dxa"/>
          </w:tcPr>
          <w:p w:rsidR="008B70CB" w:rsidRDefault="00CC56CD">
            <w:pPr>
              <w:spacing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lastRenderedPageBreak/>
              <w:t>No colma</w:t>
            </w:r>
          </w:p>
          <w:p w:rsidR="008B70CB" w:rsidRDefault="00CC56C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No entregó el documento por el cual se determinó que el equipo de bombeo del pozo se averió y </w:t>
            </w:r>
            <w:r>
              <w:rPr>
                <w:rFonts w:ascii="Palatino Linotype" w:eastAsia="Palatino Linotype" w:hAnsi="Palatino Linotype" w:cs="Palatino Linotype"/>
                <w:b/>
              </w:rPr>
              <w:lastRenderedPageBreak/>
              <w:t>salió de operación, conforme a lo informado en el punto 2.</w:t>
            </w:r>
          </w:p>
          <w:p w:rsidR="008B70CB" w:rsidRDefault="008B70CB">
            <w:pPr>
              <w:spacing w:line="360" w:lineRule="auto"/>
              <w:jc w:val="both"/>
              <w:rPr>
                <w:rFonts w:ascii="Palatino Linotype" w:eastAsia="Palatino Linotype" w:hAnsi="Palatino Linotype" w:cs="Palatino Linotype"/>
                <w:b/>
              </w:rPr>
            </w:pPr>
          </w:p>
          <w:p w:rsidR="008B70CB" w:rsidRDefault="008B70CB">
            <w:pPr>
              <w:spacing w:line="360" w:lineRule="auto"/>
              <w:jc w:val="both"/>
              <w:rPr>
                <w:rFonts w:ascii="Palatino Linotype" w:eastAsia="Palatino Linotype" w:hAnsi="Palatino Linotype" w:cs="Palatino Linotype"/>
                <w:b/>
              </w:rPr>
            </w:pPr>
          </w:p>
        </w:tc>
      </w:tr>
      <w:tr w:rsidR="008B70CB">
        <w:trPr>
          <w:jc w:val="center"/>
        </w:trPr>
        <w:tc>
          <w:tcPr>
            <w:tcW w:w="2972" w:type="dxa"/>
          </w:tcPr>
          <w:p w:rsidR="008B70CB" w:rsidRDefault="00CC56C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4. Método o estudio por el cual, los encargados de operar, dar mantenimiento o supervisar el pozo y sus superiores determinaron que el pozo no cuenta con niveles de agua óptimos para suministrar agua a las colonias héroes 3° y 4°.</w:t>
            </w:r>
          </w:p>
        </w:tc>
        <w:tc>
          <w:tcPr>
            <w:tcW w:w="2835" w:type="dxa"/>
          </w:tcPr>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Director Técnico de Construcción</w:t>
            </w:r>
            <w:r>
              <w:rPr>
                <w:rFonts w:ascii="Palatino Linotype" w:eastAsia="Palatino Linotype" w:hAnsi="Palatino Linotype" w:cs="Palatino Linotype"/>
                <w:i/>
              </w:rPr>
              <w:t xml:space="preserve"> </w:t>
            </w:r>
            <w:r>
              <w:rPr>
                <w:rFonts w:ascii="Palatino Linotype" w:eastAsia="Palatino Linotype" w:hAnsi="Palatino Linotype" w:cs="Palatino Linotype"/>
              </w:rPr>
              <w:t>informó que:</w:t>
            </w:r>
          </w:p>
          <w:p w:rsidR="008B70CB" w:rsidRDefault="00CC56CD">
            <w:pP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 pozo ya no tiene una recuperación de la infiltración de agua, ha bajado considerablemente sus niveles el manto acuífero.</w:t>
            </w:r>
          </w:p>
          <w:p w:rsidR="008B70CB" w:rsidRDefault="008B70CB">
            <w:pPr>
              <w:spacing w:line="360" w:lineRule="auto"/>
              <w:jc w:val="both"/>
              <w:rPr>
                <w:rFonts w:ascii="Palatino Linotype" w:eastAsia="Palatino Linotype" w:hAnsi="Palatino Linotype" w:cs="Palatino Linotype"/>
                <w:i/>
                <w:color w:val="000000"/>
              </w:rPr>
            </w:pPr>
          </w:p>
          <w:p w:rsidR="008B70CB" w:rsidRDefault="00CC56CD">
            <w:pP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 caudal original ha bajado en los últimos años de acuerdo al punto anterior bomba actual mantendrá un caudal estable, se realizan medición de los niveles dinámico y estático.</w:t>
            </w:r>
          </w:p>
          <w:p w:rsidR="008B70CB" w:rsidRDefault="008B70CB">
            <w:pPr>
              <w:spacing w:line="360" w:lineRule="auto"/>
              <w:jc w:val="both"/>
              <w:rPr>
                <w:rFonts w:ascii="Palatino Linotype" w:eastAsia="Palatino Linotype" w:hAnsi="Palatino Linotype" w:cs="Palatino Linotype"/>
                <w:i/>
                <w:color w:val="000000"/>
              </w:rPr>
            </w:pPr>
          </w:p>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color w:val="000000"/>
              </w:rPr>
              <w:t xml:space="preserve">El pozo es monitoreado permanentemente para conocer su producción y si se mantiene, seguirá trabajando normal de lo contrario se cambiarán las </w:t>
            </w:r>
            <w:r>
              <w:rPr>
                <w:rFonts w:ascii="Palatino Linotype" w:eastAsia="Palatino Linotype" w:hAnsi="Palatino Linotype" w:cs="Palatino Linotype"/>
                <w:i/>
                <w:color w:val="000000"/>
              </w:rPr>
              <w:lastRenderedPageBreak/>
              <w:t>características de la bomba que de un gasto estable.”</w:t>
            </w:r>
          </w:p>
        </w:tc>
        <w:tc>
          <w:tcPr>
            <w:tcW w:w="3119" w:type="dxa"/>
          </w:tcPr>
          <w:p w:rsidR="008B70CB" w:rsidRDefault="00CC56CD">
            <w:pPr>
              <w:spacing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lastRenderedPageBreak/>
              <w:t xml:space="preserve">No colma </w:t>
            </w:r>
          </w:p>
          <w:p w:rsidR="008B70CB" w:rsidRDefault="00CC56C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No entregó el documento fuente.</w:t>
            </w:r>
          </w:p>
          <w:p w:rsidR="008B70CB" w:rsidRDefault="008B70CB">
            <w:pPr>
              <w:spacing w:line="360" w:lineRule="auto"/>
              <w:jc w:val="both"/>
              <w:rPr>
                <w:rFonts w:ascii="Palatino Linotype" w:eastAsia="Palatino Linotype" w:hAnsi="Palatino Linotype" w:cs="Palatino Linotype"/>
                <w:b/>
              </w:rPr>
            </w:pPr>
          </w:p>
          <w:p w:rsidR="008B70CB" w:rsidRDefault="008B70CB">
            <w:pPr>
              <w:spacing w:line="360" w:lineRule="auto"/>
              <w:jc w:val="both"/>
              <w:rPr>
                <w:rFonts w:ascii="Palatino Linotype" w:eastAsia="Palatino Linotype" w:hAnsi="Palatino Linotype" w:cs="Palatino Linotype"/>
                <w:b/>
              </w:rPr>
            </w:pPr>
          </w:p>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(no entregó un dictamen que respalde la información)</w:t>
            </w:r>
          </w:p>
        </w:tc>
      </w:tr>
      <w:tr w:rsidR="008B70CB">
        <w:trPr>
          <w:jc w:val="center"/>
        </w:trPr>
        <w:tc>
          <w:tcPr>
            <w:tcW w:w="2972" w:type="dxa"/>
          </w:tcPr>
          <w:p w:rsidR="008B70CB" w:rsidRDefault="00CC56C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5. Nombre de las personas servidoras públicas del Sujeto Obligado que determinaron cambiar el equipo de bombeo del pozo “héroes II”  y de quienes dieron la autorización por parte de la representación de las colonias que reciben el suministro de agua de dicho pozo </w:t>
            </w:r>
          </w:p>
        </w:tc>
        <w:tc>
          <w:tcPr>
            <w:tcW w:w="2835" w:type="dxa"/>
          </w:tcPr>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color w:val="000000"/>
              </w:rPr>
              <w:t>Departamento de Operación, Departamento Electromecánico de Pozos, Tanques y Cárcamos, Dirección Técnica de Construcción, Operación y Mantenimiento y Dirección General.</w:t>
            </w:r>
          </w:p>
        </w:tc>
        <w:tc>
          <w:tcPr>
            <w:tcW w:w="3119" w:type="dxa"/>
          </w:tcPr>
          <w:p w:rsidR="008B70CB" w:rsidRDefault="00CC56CD">
            <w:pPr>
              <w:spacing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 xml:space="preserve">No colma </w:t>
            </w:r>
          </w:p>
          <w:p w:rsidR="008B70CB" w:rsidRDefault="00CC56C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No dio el nombre de las personas servidoras públicas que conocieron de la información. </w:t>
            </w:r>
          </w:p>
          <w:p w:rsidR="008B70CB" w:rsidRDefault="008B70CB">
            <w:pPr>
              <w:spacing w:line="360" w:lineRule="auto"/>
              <w:jc w:val="both"/>
              <w:rPr>
                <w:rFonts w:ascii="Palatino Linotype" w:eastAsia="Palatino Linotype" w:hAnsi="Palatino Linotype" w:cs="Palatino Linotype"/>
                <w:b/>
              </w:rPr>
            </w:pPr>
          </w:p>
          <w:p w:rsidR="008B70CB" w:rsidRDefault="008B70CB">
            <w:pPr>
              <w:spacing w:line="360" w:lineRule="auto"/>
              <w:jc w:val="both"/>
              <w:rPr>
                <w:rFonts w:ascii="Palatino Linotype" w:eastAsia="Palatino Linotype" w:hAnsi="Palatino Linotype" w:cs="Palatino Linotype"/>
              </w:rPr>
            </w:pPr>
          </w:p>
        </w:tc>
      </w:tr>
      <w:tr w:rsidR="008B70CB">
        <w:trPr>
          <w:jc w:val="center"/>
        </w:trPr>
        <w:tc>
          <w:tcPr>
            <w:tcW w:w="2972" w:type="dxa"/>
          </w:tcPr>
          <w:p w:rsidR="008B70CB" w:rsidRDefault="00CC56C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6. Fecha que fue acordada para volver a instalar el equipo de bombeo que operaba antes del 19 de julio de 2024.</w:t>
            </w:r>
          </w:p>
          <w:p w:rsidR="008B70CB" w:rsidRDefault="008B70CB">
            <w:pPr>
              <w:spacing w:line="360" w:lineRule="auto"/>
              <w:jc w:val="both"/>
              <w:rPr>
                <w:rFonts w:ascii="Palatino Linotype" w:eastAsia="Palatino Linotype" w:hAnsi="Palatino Linotype" w:cs="Palatino Linotype"/>
                <w:color w:val="000000"/>
              </w:rPr>
            </w:pPr>
          </w:p>
          <w:p w:rsidR="008B70CB" w:rsidRDefault="00CC56C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6.1 Lugar en el que se encuentra ubicado el equipo de bombeo</w:t>
            </w:r>
          </w:p>
          <w:p w:rsidR="008B70CB" w:rsidRDefault="008B70CB">
            <w:pPr>
              <w:spacing w:line="360" w:lineRule="auto"/>
              <w:jc w:val="both"/>
              <w:rPr>
                <w:rFonts w:ascii="Palatino Linotype" w:eastAsia="Palatino Linotype" w:hAnsi="Palatino Linotype" w:cs="Palatino Linotype"/>
                <w:color w:val="000000"/>
              </w:rPr>
            </w:pPr>
          </w:p>
          <w:p w:rsidR="008B70CB" w:rsidRDefault="00CC56C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6.2 Nombre de la empresa que da mantenimiento al equipo de bombeo. </w:t>
            </w:r>
          </w:p>
          <w:p w:rsidR="008B70CB" w:rsidRDefault="008B70CB">
            <w:pPr>
              <w:spacing w:line="360" w:lineRule="auto"/>
              <w:jc w:val="both"/>
              <w:rPr>
                <w:rFonts w:ascii="Palatino Linotype" w:eastAsia="Palatino Linotype" w:hAnsi="Palatino Linotype" w:cs="Palatino Linotype"/>
                <w:color w:val="000000"/>
              </w:rPr>
            </w:pPr>
          </w:p>
          <w:p w:rsidR="008B70CB" w:rsidRDefault="00CC56C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6.3 Documento por el cual se remitió el equipo de bombeo a la empresa de mantenimiento</w:t>
            </w:r>
          </w:p>
          <w:p w:rsidR="008B70CB" w:rsidRDefault="008B70CB">
            <w:pPr>
              <w:spacing w:line="360" w:lineRule="auto"/>
              <w:jc w:val="both"/>
              <w:rPr>
                <w:rFonts w:ascii="Palatino Linotype" w:eastAsia="Palatino Linotype" w:hAnsi="Palatino Linotype" w:cs="Palatino Linotype"/>
                <w:color w:val="000000"/>
              </w:rPr>
            </w:pPr>
          </w:p>
          <w:p w:rsidR="008B70CB" w:rsidRDefault="00CC56C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6.4 Presupuesto de reparación de la bomba y factura. </w:t>
            </w:r>
          </w:p>
          <w:p w:rsidR="008B70CB" w:rsidRDefault="008B70CB">
            <w:pPr>
              <w:spacing w:line="360" w:lineRule="auto"/>
              <w:jc w:val="both"/>
              <w:rPr>
                <w:rFonts w:ascii="Palatino Linotype" w:eastAsia="Palatino Linotype" w:hAnsi="Palatino Linotype" w:cs="Palatino Linotype"/>
                <w:color w:val="000000"/>
              </w:rPr>
            </w:pPr>
          </w:p>
        </w:tc>
        <w:tc>
          <w:tcPr>
            <w:tcW w:w="2835" w:type="dxa"/>
          </w:tcPr>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Director Técnico de Construcción</w:t>
            </w:r>
            <w:r>
              <w:rPr>
                <w:rFonts w:ascii="Palatino Linotype" w:eastAsia="Palatino Linotype" w:hAnsi="Palatino Linotype" w:cs="Palatino Linotype"/>
                <w:i/>
              </w:rPr>
              <w:t xml:space="preserve"> </w:t>
            </w:r>
            <w:r>
              <w:rPr>
                <w:rFonts w:ascii="Palatino Linotype" w:eastAsia="Palatino Linotype" w:hAnsi="Palatino Linotype" w:cs="Palatino Linotype"/>
              </w:rPr>
              <w:t>informó que:</w:t>
            </w:r>
          </w:p>
          <w:p w:rsidR="008B70CB" w:rsidRDefault="008B70CB">
            <w:pPr>
              <w:spacing w:line="360" w:lineRule="auto"/>
              <w:jc w:val="both"/>
              <w:rPr>
                <w:rFonts w:ascii="Palatino Linotype" w:eastAsia="Palatino Linotype" w:hAnsi="Palatino Linotype" w:cs="Palatino Linotype"/>
                <w:i/>
                <w:color w:val="000000"/>
              </w:rPr>
            </w:pPr>
          </w:p>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color w:val="000000"/>
              </w:rPr>
              <w:t>“El pozo Héroes II queda fuera de operación por bomba dañada el 17 de julio del año en curso y quedo operando el 25 de julio del mismo año”</w:t>
            </w:r>
          </w:p>
        </w:tc>
        <w:tc>
          <w:tcPr>
            <w:tcW w:w="3119" w:type="dxa"/>
          </w:tcPr>
          <w:p w:rsidR="008B70CB" w:rsidRDefault="00CC56CD">
            <w:pPr>
              <w:spacing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 xml:space="preserve">No colma </w:t>
            </w:r>
          </w:p>
          <w:p w:rsidR="008B70CB" w:rsidRDefault="00CC56C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No señaló sí se tiene la promesa de instalar nuevamente la bomba anterior y no se pronunció por lo solicitado en el 6.1, 6.2, 6.3 y 6.4.</w:t>
            </w:r>
          </w:p>
          <w:p w:rsidR="008B70CB" w:rsidRDefault="008B70CB">
            <w:pPr>
              <w:spacing w:line="360" w:lineRule="auto"/>
              <w:jc w:val="both"/>
              <w:rPr>
                <w:rFonts w:ascii="Palatino Linotype" w:eastAsia="Palatino Linotype" w:hAnsi="Palatino Linotype" w:cs="Palatino Linotype"/>
              </w:rPr>
            </w:pPr>
          </w:p>
          <w:p w:rsidR="008B70CB" w:rsidRDefault="008B70CB">
            <w:pPr>
              <w:spacing w:line="360" w:lineRule="auto"/>
              <w:jc w:val="both"/>
              <w:rPr>
                <w:rFonts w:ascii="Palatino Linotype" w:eastAsia="Palatino Linotype" w:hAnsi="Palatino Linotype" w:cs="Palatino Linotype"/>
                <w:b/>
              </w:rPr>
            </w:pPr>
          </w:p>
        </w:tc>
      </w:tr>
      <w:tr w:rsidR="008B70CB">
        <w:trPr>
          <w:jc w:val="center"/>
        </w:trPr>
        <w:tc>
          <w:tcPr>
            <w:tcW w:w="8926" w:type="dxa"/>
            <w:gridSpan w:val="3"/>
          </w:tcPr>
          <w:p w:rsidR="008B70CB" w:rsidRDefault="00CC56C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Solicitud: </w:t>
            </w:r>
            <w:r>
              <w:rPr>
                <w:rFonts w:ascii="Palatino Linotype" w:eastAsia="Palatino Linotype" w:hAnsi="Palatino Linotype" w:cs="Palatino Linotype"/>
                <w:b/>
                <w:color w:val="000000"/>
              </w:rPr>
              <w:t>00088/OASECATEPE/IP/2024 - Recurso: 05547/INFOEM/IP/RR/2024</w:t>
            </w:r>
          </w:p>
        </w:tc>
      </w:tr>
      <w:tr w:rsidR="008B70CB">
        <w:trPr>
          <w:jc w:val="center"/>
        </w:trPr>
        <w:tc>
          <w:tcPr>
            <w:tcW w:w="2972" w:type="dxa"/>
            <w:shd w:val="clear" w:color="auto" w:fill="FFFFFF"/>
          </w:tcPr>
          <w:p w:rsidR="008B70CB" w:rsidRDefault="00CC56CD">
            <w:pPr>
              <w:tabs>
                <w:tab w:val="left" w:pos="51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4. Padrón con los datos de las empresas que dan mantenimiento o reparan el equipo de bombeo del pozo de agua en mención en el que se advierta el número de veces que se han requerido los servicios de las empresas durante el periodo de 2022 a 2024</w:t>
            </w:r>
          </w:p>
        </w:tc>
        <w:tc>
          <w:tcPr>
            <w:tcW w:w="2835" w:type="dxa"/>
            <w:shd w:val="clear" w:color="auto" w:fill="FFFFFF"/>
          </w:tcPr>
          <w:p w:rsidR="008B70CB" w:rsidRDefault="00CC56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La Directora de Finanzas y Administración E dijo que no cuentan con un padrón de empresas </w:t>
            </w:r>
          </w:p>
        </w:tc>
        <w:tc>
          <w:tcPr>
            <w:tcW w:w="3119" w:type="dxa"/>
            <w:shd w:val="clear" w:color="auto" w:fill="FFFFFF"/>
          </w:tcPr>
          <w:p w:rsidR="008B70CB" w:rsidRDefault="00CC56CD">
            <w:pPr>
              <w:spacing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No colma</w:t>
            </w:r>
          </w:p>
          <w:p w:rsidR="008B70CB" w:rsidRDefault="00CC56C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No señaló si no cuenta con el padrón porque no lo generó en ese grado de desagregación o porque no ha contratado empresas para realizar el mantenimiento. </w:t>
            </w:r>
          </w:p>
        </w:tc>
      </w:tr>
    </w:tbl>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Expuesto lo anterior, se analizarán a detalle los puntos anteriores.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 la solicitud: 00094/OASECATEPE/IP/2024 -Recurso: 05546/INFOEM/IP/RR/2024</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 xml:space="preserve">punto 1, </w:t>
      </w:r>
      <w:r>
        <w:rPr>
          <w:rFonts w:ascii="Palatino Linotype" w:eastAsia="Palatino Linotype" w:hAnsi="Palatino Linotype" w:cs="Palatino Linotype"/>
          <w:sz w:val="22"/>
          <w:szCs w:val="22"/>
        </w:rPr>
        <w:t xml:space="preserve">se advierte que el Sujeto Obligado en respuesta explicó el mecanismo por el que lleva el control de los equipos de bombeo, lo cual se tiene por colmado puesto que incluso, no </w:t>
      </w:r>
      <w:r>
        <w:rPr>
          <w:rFonts w:ascii="Palatino Linotype" w:eastAsia="Palatino Linotype" w:hAnsi="Palatino Linotype" w:cs="Palatino Linotype"/>
          <w:sz w:val="22"/>
          <w:szCs w:val="22"/>
        </w:rPr>
        <w:lastRenderedPageBreak/>
        <w:t xml:space="preserve">formó parte de los motivos de agravio, sin embargo, omitió señalar los datos de identificación del equipo de bombeo del pozo identificado en la solicitud, al respecto se debe tener en consideración que de conformidad con lo dispuesto en el Manual de Organización del Sujeto Obligado, se establece que la Dirección General tiene la atribución de ordenar y vigilar la elaboración y actualización del inventario de la infraestructura hidráulica; además establece que el Departamento de control patrimonial, es el encargado de los inventarios físicos de los bienes muebles e inmuebles del Sujeto Obligado; </w:t>
      </w:r>
      <w:r>
        <w:rPr>
          <w:rFonts w:ascii="Palatino Linotype" w:eastAsia="Palatino Linotype" w:hAnsi="Palatino Linotype" w:cs="Palatino Linotype"/>
          <w:b/>
          <w:sz w:val="22"/>
          <w:szCs w:val="22"/>
        </w:rPr>
        <w:t xml:space="preserve">por lo que dichas áreas pueden conocer de la información solicitada, </w:t>
      </w:r>
      <w:r>
        <w:rPr>
          <w:rFonts w:ascii="Palatino Linotype" w:eastAsia="Palatino Linotype" w:hAnsi="Palatino Linotype" w:cs="Palatino Linotype"/>
          <w:sz w:val="22"/>
          <w:szCs w:val="22"/>
        </w:rPr>
        <w:t xml:space="preserve">sin embargo de las constancias que obran en el SAIMEX se advierte que </w:t>
      </w:r>
      <w:r>
        <w:rPr>
          <w:rFonts w:ascii="Palatino Linotype" w:eastAsia="Palatino Linotype" w:hAnsi="Palatino Linotype" w:cs="Palatino Linotype"/>
          <w:b/>
          <w:sz w:val="22"/>
          <w:szCs w:val="22"/>
        </w:rPr>
        <w:t>dichas áreas no dieron respuesta</w:t>
      </w:r>
      <w:r>
        <w:rPr>
          <w:rFonts w:ascii="Palatino Linotype" w:eastAsia="Palatino Linotype" w:hAnsi="Palatino Linotype" w:cs="Palatino Linotype"/>
          <w:sz w:val="22"/>
          <w:szCs w:val="22"/>
        </w:rPr>
        <w:t xml:space="preserve"> a lo solicitado. </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igual forma, se debe considerar que de conformidad con lo dispuesto en el artículo 92 fracción XXXVIII, los inventarios de bienes muebles e inmuebles en posesión y propiedad de los Sujetos Obligados, forma parte de las obligaciones de transparencia y, por tanto, tienen la naturaleza de información pública, por lo que, </w:t>
      </w:r>
      <w:r>
        <w:rPr>
          <w:rFonts w:ascii="Palatino Linotype" w:eastAsia="Palatino Linotype" w:hAnsi="Palatino Linotype" w:cs="Palatino Linotype"/>
          <w:b/>
          <w:sz w:val="22"/>
          <w:szCs w:val="22"/>
        </w:rPr>
        <w:t xml:space="preserve">la información solicitada se relaciona con bienes muebles que a decir del Sujeto Obligado se registran en el inventario, por tanto, es información de carácter de público. </w:t>
      </w:r>
      <w:r>
        <w:rPr>
          <w:rFonts w:ascii="Palatino Linotype" w:eastAsia="Palatino Linotype" w:hAnsi="Palatino Linotype" w:cs="Palatino Linotype"/>
          <w:sz w:val="22"/>
          <w:szCs w:val="22"/>
        </w:rPr>
        <w:t>En consecuencia, de lo anterior,</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el Sujeto Obligado deberá realizar una búsqueda exhaustiva y razonable de la información y entregar la información solicitada. </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Respecto al </w:t>
      </w:r>
      <w:r>
        <w:rPr>
          <w:rFonts w:ascii="Palatino Linotype" w:eastAsia="Palatino Linotype" w:hAnsi="Palatino Linotype" w:cs="Palatino Linotype"/>
          <w:b/>
          <w:sz w:val="22"/>
          <w:szCs w:val="22"/>
        </w:rPr>
        <w:t xml:space="preserve">punto 2, </w:t>
      </w:r>
      <w:r>
        <w:rPr>
          <w:rFonts w:ascii="Palatino Linotype" w:eastAsia="Palatino Linotype" w:hAnsi="Palatino Linotype" w:cs="Palatino Linotype"/>
          <w:sz w:val="22"/>
          <w:szCs w:val="22"/>
        </w:rPr>
        <w:t xml:space="preserve">del número de equipos de bombeo y cantidad de ocasiones que se han instalado o desinstalado en el pozo identificado en la solicitud, se advierte que en respuesta, el Sujeto Obligado entregó parte de la información, de la cual, la parte Recurrente solo manifestó inconformidad por la falta de respuesta respecto a los años 2017 a 2019; dado que </w:t>
      </w:r>
      <w:r>
        <w:rPr>
          <w:rFonts w:ascii="Palatino Linotype" w:eastAsia="Palatino Linotype" w:hAnsi="Palatino Linotype" w:cs="Palatino Linotype"/>
          <w:sz w:val="22"/>
          <w:szCs w:val="22"/>
        </w:rPr>
        <w:lastRenderedPageBreak/>
        <w:t>efectivamente el Sujeto Obligado no señaló respuesta por la temporalidad señalada, por lo que la respuesta no atendió un principio de exhaustividad y congruencia, puesto que no se pronunció por la totalidad de la temporalidad solicitada.</w:t>
      </w: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consecuencia, el Sujeto Obligado </w:t>
      </w:r>
      <w:r>
        <w:rPr>
          <w:rFonts w:ascii="Palatino Linotype" w:eastAsia="Palatino Linotype" w:hAnsi="Palatino Linotype" w:cs="Palatino Linotype"/>
          <w:b/>
          <w:sz w:val="22"/>
          <w:szCs w:val="22"/>
        </w:rPr>
        <w:t>deberá pronunciarse sobre la temporalidad faltante</w:t>
      </w:r>
      <w:r>
        <w:rPr>
          <w:rFonts w:ascii="Palatino Linotype" w:eastAsia="Palatino Linotype" w:hAnsi="Palatino Linotype" w:cs="Palatino Linotype"/>
          <w:sz w:val="22"/>
          <w:szCs w:val="22"/>
        </w:rPr>
        <w:t xml:space="preserve">; en este sentido se deberá tener que los Sujetos Obligado no están constreñidos a procesar la información, sino que deberá entregarla conforme obre en sus archivos, lo anterior de conformidad con lo dispuesto en los artículos 12 y 160 de la Ley de Transparencia y Acceso a la Información Pública del Estado de México y Municipios y el Criterio 03/17 emitido Instituto Nacional de Transparencia, Acceso a la Información y Protección de Datos Personales que se denomina: </w:t>
      </w:r>
      <w:r>
        <w:rPr>
          <w:rFonts w:ascii="Palatino Linotype" w:eastAsia="Palatino Linotype" w:hAnsi="Palatino Linotype" w:cs="Palatino Linotype"/>
          <w:i/>
          <w:sz w:val="22"/>
          <w:szCs w:val="22"/>
        </w:rPr>
        <w:t>“No existe obligación de elaborar documentos ad hoc para atender las solicitudes de acceso a la información”</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Del punto 3,</w:t>
      </w:r>
      <w:r>
        <w:rPr>
          <w:rFonts w:ascii="Palatino Linotype" w:eastAsia="Palatino Linotype" w:hAnsi="Palatino Linotype" w:cs="Palatino Linotype"/>
          <w:sz w:val="22"/>
          <w:szCs w:val="22"/>
        </w:rPr>
        <w:t xml:space="preserve"> respecto a los oficios y dictámenes en los que se determinó que el equipo de bombeo se averió y salió de operación durante la temporalidad de 2017 a 2024, el Sujeto Obligado informó que el diagnostico se realiza en campo por el área de electromecánico mantenimiento; sin embargo, tal y como lo señaló la parte Recurrente, omitió la entrega de los documentos que acrediten que el equipo se averió conforme a las ocasiones que fueron informadas en el punto 2; al respecto, cabe señalar que de conformidad con el Manual de Organización del Sujeto Obligado, se desprende que el Departamento de Operación tiene entre otras atribuciones la de solicitar la presencia del </w:t>
      </w:r>
      <w:r>
        <w:rPr>
          <w:rFonts w:ascii="Palatino Linotype" w:eastAsia="Palatino Linotype" w:hAnsi="Palatino Linotype" w:cs="Palatino Linotype"/>
          <w:i/>
          <w:sz w:val="22"/>
          <w:szCs w:val="22"/>
        </w:rPr>
        <w:t xml:space="preserve">departamento de electromecánico, mantenimiento de pozos, tanques y cárcamos, al departamento de control patrimonial y al órgano de control interno, para efectos de que </w:t>
      </w:r>
      <w:r>
        <w:rPr>
          <w:rFonts w:ascii="Palatino Linotype" w:eastAsia="Palatino Linotype" w:hAnsi="Palatino Linotype" w:cs="Palatino Linotype"/>
          <w:b/>
          <w:i/>
          <w:sz w:val="22"/>
          <w:szCs w:val="22"/>
        </w:rPr>
        <w:t xml:space="preserve">se valide y/o realice el acta circunstanciada sobre el retiro de todos aquellos equipos electromecánicos que necesiten su probable reparación y/o </w:t>
      </w:r>
      <w:r>
        <w:rPr>
          <w:rFonts w:ascii="Palatino Linotype" w:eastAsia="Palatino Linotype" w:hAnsi="Palatino Linotype" w:cs="Palatino Linotype"/>
          <w:b/>
          <w:i/>
          <w:sz w:val="22"/>
          <w:szCs w:val="22"/>
        </w:rPr>
        <w:lastRenderedPageBreak/>
        <w:t xml:space="preserve">sustitución, </w:t>
      </w:r>
      <w:r>
        <w:rPr>
          <w:rFonts w:ascii="Palatino Linotype" w:eastAsia="Palatino Linotype" w:hAnsi="Palatino Linotype" w:cs="Palatino Linotype"/>
          <w:sz w:val="22"/>
          <w:szCs w:val="22"/>
        </w:rPr>
        <w:t xml:space="preserve">en atención a la citada normatividad se advierte que </w:t>
      </w:r>
      <w:r>
        <w:rPr>
          <w:rFonts w:ascii="Palatino Linotype" w:eastAsia="Palatino Linotype" w:hAnsi="Palatino Linotype" w:cs="Palatino Linotype"/>
          <w:b/>
          <w:sz w:val="22"/>
          <w:szCs w:val="22"/>
        </w:rPr>
        <w:t>el Sujeto Obligado valida o realiza acta circunstanciada del retiro de los equipos que requieren una reparación o sustitución por tanto, pude conocer de los documentos que determinaron el averió y salida de operación de la bomba.</w:t>
      </w:r>
    </w:p>
    <w:p w:rsidR="008B70CB" w:rsidRDefault="008B70CB">
      <w:pPr>
        <w:spacing w:line="360" w:lineRule="auto"/>
        <w:jc w:val="both"/>
        <w:rPr>
          <w:rFonts w:ascii="Palatino Linotype" w:eastAsia="Palatino Linotype" w:hAnsi="Palatino Linotype" w:cs="Palatino Linotype"/>
          <w:b/>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Sumado a lo anterior dicho Manual de Organización establece que el departamento de Electromecánico y Mantenimiento de Pozos, Tanques y Cárcamos, deberá integrar un expediente con los informes periódicos sobre la operación mantenimiento de fallas, daños y deterioros que reporte el departamento de operación de los equipos de pozos, por tanto, </w:t>
      </w:r>
      <w:r>
        <w:rPr>
          <w:rFonts w:ascii="Palatino Linotype" w:eastAsia="Palatino Linotype" w:hAnsi="Palatino Linotype" w:cs="Palatino Linotype"/>
          <w:b/>
          <w:sz w:val="22"/>
          <w:szCs w:val="22"/>
        </w:rPr>
        <w:t xml:space="preserve">el Sujeto Obligado debe contar con la documentación que dé cuenta de lo solicitado. </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se debe tener en consideración que los Sujetos Obligados deberán documentar el ejercicio de sus competencias o atribuciones, lo anterior de conformidad con lo dispuesto en el artículo 18 de la Ley de Transparencia del Estado y, por tanto, </w:t>
      </w:r>
      <w:r>
        <w:rPr>
          <w:rFonts w:ascii="Palatino Linotype" w:eastAsia="Palatino Linotype" w:hAnsi="Palatino Linotype" w:cs="Palatino Linotype"/>
          <w:b/>
          <w:sz w:val="22"/>
          <w:szCs w:val="22"/>
        </w:rPr>
        <w:t>es procedente ordenar la entrega de los documentos en los que se determinó el estado de la bomba y se determinó que estaba averiada y salió de operación.</w:t>
      </w:r>
      <w:r>
        <w:rPr>
          <w:rFonts w:ascii="Palatino Linotype" w:eastAsia="Palatino Linotype" w:hAnsi="Palatino Linotype" w:cs="Palatino Linotype"/>
          <w:sz w:val="22"/>
          <w:szCs w:val="22"/>
        </w:rPr>
        <w:t xml:space="preserve">  </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 xml:space="preserve">punto 4, </w:t>
      </w:r>
      <w:r>
        <w:rPr>
          <w:rFonts w:ascii="Palatino Linotype" w:eastAsia="Palatino Linotype" w:hAnsi="Palatino Linotype" w:cs="Palatino Linotype"/>
          <w:sz w:val="22"/>
          <w:szCs w:val="22"/>
        </w:rPr>
        <w:t xml:space="preserve">respecto al estudio por el que determinaron que el pozo no cuenta con los niveles de agua óptimos para suministrar agua conforme a lo solicitado, en respuesta el Director Técnico de Construcción informó que el pozo ya no tiene una recuperación de infiltración de agua y señaló algunas consideraciones sobre el estado de dicho pozo, sin embargo, no remitió el documento fuente en el que se sustenta lo manifestado, además como se precisó en líneas anteriores, conforme al Manual de Operación el Sujeto Obligado a través del departamento de </w:t>
      </w:r>
      <w:r>
        <w:rPr>
          <w:rFonts w:ascii="Palatino Linotype" w:eastAsia="Palatino Linotype" w:hAnsi="Palatino Linotype" w:cs="Palatino Linotype"/>
          <w:sz w:val="22"/>
          <w:szCs w:val="22"/>
        </w:rPr>
        <w:lastRenderedPageBreak/>
        <w:t xml:space="preserve">Electromecánico y Mantenimiento de Pozos, Tanques y Cárcamos, debe generar un expediente que respalde la operación y mantenimiento de los pozos, </w:t>
      </w:r>
      <w:r>
        <w:rPr>
          <w:rFonts w:ascii="Palatino Linotype" w:eastAsia="Palatino Linotype" w:hAnsi="Palatino Linotype" w:cs="Palatino Linotype"/>
          <w:b/>
          <w:sz w:val="22"/>
          <w:szCs w:val="22"/>
        </w:rPr>
        <w:t xml:space="preserve">por tanto debe obrar en sus archivos algún documento que dé cuenta de la determinación sobre el pozo y que corresponda al documento fuente de lo manifestado por el Sujeto Obligado en respuesta, </w:t>
      </w:r>
      <w:r>
        <w:rPr>
          <w:rFonts w:ascii="Palatino Linotype" w:eastAsia="Palatino Linotype" w:hAnsi="Palatino Linotype" w:cs="Palatino Linotype"/>
          <w:sz w:val="22"/>
          <w:szCs w:val="22"/>
        </w:rPr>
        <w:t>en consecuencia, deberá entregar la documentación correspondiente.</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Respecto a los </w:t>
      </w:r>
      <w:r>
        <w:rPr>
          <w:rFonts w:ascii="Palatino Linotype" w:eastAsia="Palatino Linotype" w:hAnsi="Palatino Linotype" w:cs="Palatino Linotype"/>
          <w:b/>
          <w:sz w:val="22"/>
          <w:szCs w:val="22"/>
        </w:rPr>
        <w:t xml:space="preserve">puntos 5 y 6 del nombre de las personas </w:t>
      </w:r>
      <w:r>
        <w:rPr>
          <w:rFonts w:ascii="Palatino Linotype" w:eastAsia="Palatino Linotype" w:hAnsi="Palatino Linotype" w:cs="Palatino Linotype"/>
          <w:sz w:val="22"/>
          <w:szCs w:val="22"/>
        </w:rPr>
        <w:t xml:space="preserve">que determinaron cambiar el equipo de bombeo y que dieron autorización por parte de la representación de las colonias, en respuesta, el Sujeto Obligado únicamente mencionó las áreas que conocen, pero no el nombre de las personas servidoras públicas, por lo que no se pronunció sobre la totalidad de lo solicitado. Cabe precisar que no se localizó fuente obligacional que constriña a que el Sujeto Obligado cuente con la aprobación de las colonias para determinar la condición de los equipos de bombeos y su cambio en atención a su deterioro, por tanto, no se considera pertinente ordenar su entrega.  </w:t>
      </w:r>
      <w:r>
        <w:rPr>
          <w:rFonts w:ascii="Palatino Linotype" w:eastAsia="Palatino Linotype" w:hAnsi="Palatino Linotype" w:cs="Palatino Linotype"/>
          <w:b/>
          <w:sz w:val="22"/>
          <w:szCs w:val="22"/>
        </w:rPr>
        <w:t xml:space="preserve"> </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Sumado a lo anterior, </w:t>
      </w:r>
      <w:r>
        <w:rPr>
          <w:rFonts w:ascii="Palatino Linotype" w:eastAsia="Palatino Linotype" w:hAnsi="Palatino Linotype" w:cs="Palatino Linotype"/>
          <w:b/>
          <w:sz w:val="22"/>
          <w:szCs w:val="22"/>
        </w:rPr>
        <w:t xml:space="preserve">respecto a fecha acordada para instalar el equipo de bombeo que operaba antes del 19 de julio de 2024, lugar donde se encuentra ubicado el equipo, nombre de la empresa que le da mantenimiento, documento por el que se le remitió el equipo y el presupuesto de reparación y factura, </w:t>
      </w:r>
      <w:r>
        <w:rPr>
          <w:rFonts w:ascii="Palatino Linotype" w:eastAsia="Palatino Linotype" w:hAnsi="Palatino Linotype" w:cs="Palatino Linotype"/>
          <w:sz w:val="22"/>
          <w:szCs w:val="22"/>
        </w:rPr>
        <w:t xml:space="preserve">se debe señalar que el Sujeto Obligado no se pronunció al respecto únicamente señaló que el equipo se dañó en julio del mismo año, pero deberá pronunciarse al respecto tomando en consideración que de conformidad con el Manual de Organización del Sujeto Obligado se establece que el Departamento de Electromecánico y Mantenimiento de Pozos, Tanques y Cárcamos, debe atender el retiro y entrega de todo </w:t>
      </w:r>
      <w:r>
        <w:rPr>
          <w:rFonts w:ascii="Palatino Linotype" w:eastAsia="Palatino Linotype" w:hAnsi="Palatino Linotype" w:cs="Palatino Linotype"/>
          <w:sz w:val="22"/>
          <w:szCs w:val="22"/>
        </w:rPr>
        <w:lastRenderedPageBreak/>
        <w:t>equipo que se haya retirado para su reparación o sustitución que debe ser recibido por parte del Departamento de recursos Materiales y Servicios General y Archivo de concentración, por tanto, debe conocer de la documentación correspondiente a su mantenimiento o destino.</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En atención a lo expuesto, se advierte que la respuesta del Sujeto Obligado a ambos puntos, no cumplió no cumplió con el principio de exhaustividad, al no informar sobre todo lo solicitado, además deberá tomar en consideración que la entrega de la información no obliga al procesamiento de la misma, conforme a lo analizado en líneas anteriores. </w:t>
      </w:r>
      <w:r>
        <w:rPr>
          <w:rFonts w:ascii="Palatino Linotype" w:eastAsia="Palatino Linotype" w:hAnsi="Palatino Linotype" w:cs="Palatino Linotype"/>
          <w:b/>
          <w:sz w:val="22"/>
          <w:szCs w:val="22"/>
        </w:rPr>
        <w:t>Por lo que deberá entregar la documentación que dé cuenta de lo solicitado.</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 la Solicitud: 00088/OASECATEPE/IP/2024 - Recurso: 05547/INFOEM/IP/RR/2024</w:t>
      </w:r>
    </w:p>
    <w:p w:rsidR="008B70CB" w:rsidRDefault="008B70CB">
      <w:pPr>
        <w:spacing w:line="360" w:lineRule="auto"/>
        <w:jc w:val="both"/>
        <w:rPr>
          <w:rFonts w:ascii="Palatino Linotype" w:eastAsia="Palatino Linotype" w:hAnsi="Palatino Linotype" w:cs="Palatino Linotype"/>
          <w:b/>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Respecto al </w:t>
      </w:r>
      <w:r>
        <w:rPr>
          <w:rFonts w:ascii="Palatino Linotype" w:eastAsia="Palatino Linotype" w:hAnsi="Palatino Linotype" w:cs="Palatino Linotype"/>
          <w:b/>
          <w:sz w:val="22"/>
          <w:szCs w:val="22"/>
        </w:rPr>
        <w:t xml:space="preserve">punto 4, </w:t>
      </w:r>
      <w:r>
        <w:rPr>
          <w:rFonts w:ascii="Palatino Linotype" w:eastAsia="Palatino Linotype" w:hAnsi="Palatino Linotype" w:cs="Palatino Linotype"/>
          <w:sz w:val="22"/>
          <w:szCs w:val="22"/>
        </w:rPr>
        <w:t xml:space="preserve">de </w:t>
      </w:r>
      <w:proofErr w:type="spellStart"/>
      <w:r>
        <w:rPr>
          <w:rFonts w:ascii="Palatino Linotype" w:eastAsia="Palatino Linotype" w:hAnsi="Palatino Linotype" w:cs="Palatino Linotype"/>
          <w:sz w:val="22"/>
          <w:szCs w:val="22"/>
        </w:rPr>
        <w:t>lo</w:t>
      </w:r>
      <w:proofErr w:type="spellEnd"/>
      <w:r>
        <w:rPr>
          <w:rFonts w:ascii="Palatino Linotype" w:eastAsia="Palatino Linotype" w:hAnsi="Palatino Linotype" w:cs="Palatino Linotype"/>
          <w:sz w:val="22"/>
          <w:szCs w:val="22"/>
        </w:rPr>
        <w:t xml:space="preserve"> datos de las empresas que dan mantenimiento o reparan el equipo de bombeo del pozo y el número de veces que se han requerido los servicios de las empresas durante el periodo 2022 a 2024; en respuesta a la Directora de Finanzas y Administración dijo que no cuenta con un padrón de empresas, sin embargo, no señaló de forma precisa y clara si la información no la tiene porque no se generó con ese grado de desagregación o bien, porque </w:t>
      </w:r>
      <w:r>
        <w:rPr>
          <w:rFonts w:ascii="Palatino Linotype" w:eastAsia="Palatino Linotype" w:hAnsi="Palatino Linotype" w:cs="Palatino Linotype"/>
          <w:sz w:val="22"/>
          <w:szCs w:val="22"/>
        </w:rPr>
        <w:lastRenderedPageBreak/>
        <w:t>no se realizó la contratación de alguna empresa, por tanto, la respuesta proporcionada por el Sujeto Obligado no colma la solicitud de información respecto al punto 4.</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el Manual de Organización del Sujeto Obligado prevé que el Departamento de Electromecánico y Mantenimiento de Pozos, Tanques y Cárcamos debe supervisar y llevar una bitácora de obra sobre los trabajos contratados y subcontratados de las empresas designadas para la reparación e equipos de pozos, por tanto, se advierte que dicha área también puede conocer de lo solicitado, sin embargo, la misma no se pronunció respecto al punto en cuestión, por tanto, el Sujeto Obligado deberá realizar la búsqueda de la información y entregar la documentación que da cuenta. </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Además, se debe tener en consideración que de conformidad con el artículo 92 fracción XXXVI de la Ley de la materia, el padrón de proveedores y contratistas forma parte de las obligaciones comunes en materia de transparencia y por tanto, la información relacionada con las empresas contratadas para prestar algún servicio, como puede ser el mantenimiento de un equipo de bombeo es información pública, </w:t>
      </w:r>
      <w:r>
        <w:rPr>
          <w:rFonts w:ascii="Palatino Linotype" w:eastAsia="Palatino Linotype" w:hAnsi="Palatino Linotype" w:cs="Palatino Linotype"/>
          <w:b/>
          <w:sz w:val="22"/>
          <w:szCs w:val="22"/>
        </w:rPr>
        <w:t>por tanto, es procedente que el Sujeto Obligado realice una búsqueda exhaustiva y razonable y entregue la documentación solicitada.</w:t>
      </w:r>
    </w:p>
    <w:p w:rsidR="008B70CB" w:rsidRDefault="008B70CB">
      <w:pPr>
        <w:spacing w:line="360" w:lineRule="auto"/>
        <w:jc w:val="both"/>
        <w:rPr>
          <w:rFonts w:ascii="Palatino Linotype" w:eastAsia="Palatino Linotype" w:hAnsi="Palatino Linotype" w:cs="Palatino Linotype"/>
          <w:b/>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atención a las consideraciones anteriores es dable concluir, que el Sujeto Obligado a través de respuestas colmó parcialmente las solicitudes de información que le fueron formuladas, dado que, faltó la entrega de los elementos antes analizados, por tanto, se tienen por fundados los motivos de inconformidad planteados por la persona Recurrente, y es procedente </w:t>
      </w:r>
      <w:r>
        <w:rPr>
          <w:rFonts w:ascii="Palatino Linotype" w:eastAsia="Palatino Linotype" w:hAnsi="Palatino Linotype" w:cs="Palatino Linotype"/>
          <w:b/>
          <w:sz w:val="22"/>
          <w:szCs w:val="22"/>
        </w:rPr>
        <w:t>MODIFICAR</w:t>
      </w:r>
      <w:r>
        <w:rPr>
          <w:rFonts w:ascii="Palatino Linotype" w:eastAsia="Palatino Linotype" w:hAnsi="Palatino Linotype" w:cs="Palatino Linotype"/>
          <w:sz w:val="22"/>
          <w:szCs w:val="22"/>
        </w:rPr>
        <w:t xml:space="preserve"> las respuestas iniciales y ordenar la entrega de la información faltante en los términos antes señalados, para el caso de que cuenten con datos personales confidenciales, y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Versión Pública</w:t>
      </w:r>
    </w:p>
    <w:p w:rsidR="008B70CB" w:rsidRDefault="008B70CB">
      <w:pPr>
        <w:spacing w:line="360" w:lineRule="auto"/>
        <w:jc w:val="both"/>
        <w:rPr>
          <w:rFonts w:ascii="Palatino Linotype" w:eastAsia="Palatino Linotype" w:hAnsi="Palatino Linotype" w:cs="Palatino Linotype"/>
          <w:b/>
          <w:smallCaps/>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y tal como se refirió en párrafos precedentes, de la naturaleza jurídica de los documentos requeridos por la persona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concordancia con lo previó, el artículo 143, fracción I, de la Ley previamente citada, establece que la información privada y los datos personales, concernientes a una persona física o jurídica colectiva identificada o identificable son confidenciales.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rFonts w:ascii="Palatino Linotype" w:eastAsia="Palatino Linotype" w:hAnsi="Palatino Linotype" w:cs="Palatino Linotype"/>
          <w:smallCaps/>
          <w:sz w:val="22"/>
          <w:szCs w:val="22"/>
        </w:rPr>
        <w:t>I</w:t>
      </w:r>
      <w:r>
        <w:rPr>
          <w:rFonts w:ascii="Palatino Linotype" w:eastAsia="Palatino Linotype" w:hAnsi="Palatino Linotype" w:cs="Palatino Linotype"/>
          <w:sz w:val="22"/>
          <w:szCs w:val="22"/>
        </w:rPr>
        <w:t xml:space="preserve">) la información se encuentre en registros públicos o fuentes de acceso público, </w:t>
      </w:r>
      <w:r>
        <w:rPr>
          <w:rFonts w:ascii="Palatino Linotype" w:eastAsia="Palatino Linotype" w:hAnsi="Palatino Linotype" w:cs="Palatino Linotype"/>
          <w:smallCaps/>
          <w:sz w:val="22"/>
          <w:szCs w:val="22"/>
        </w:rPr>
        <w:t>II</w:t>
      </w:r>
      <w:r>
        <w:rPr>
          <w:rFonts w:ascii="Palatino Linotype" w:eastAsia="Palatino Linotype" w:hAnsi="Palatino Linotype" w:cs="Palatino Linotype"/>
          <w:sz w:val="22"/>
          <w:szCs w:val="22"/>
        </w:rPr>
        <w:t xml:space="preserve">) por ley tenga el carácter de pública, </w:t>
      </w:r>
      <w:r>
        <w:rPr>
          <w:rFonts w:ascii="Palatino Linotype" w:eastAsia="Palatino Linotype" w:hAnsi="Palatino Linotype" w:cs="Palatino Linotype"/>
          <w:smallCaps/>
          <w:sz w:val="22"/>
          <w:szCs w:val="22"/>
        </w:rPr>
        <w:t>III</w:t>
      </w:r>
      <w:r>
        <w:rPr>
          <w:rFonts w:ascii="Palatino Linotype" w:eastAsia="Palatino Linotype" w:hAnsi="Palatino Linotype" w:cs="Palatino Linotype"/>
          <w:sz w:val="22"/>
          <w:szCs w:val="22"/>
        </w:rPr>
        <w:t xml:space="preserve">) exista una orden judicial, </w:t>
      </w:r>
      <w:r>
        <w:rPr>
          <w:rFonts w:ascii="Palatino Linotype" w:eastAsia="Palatino Linotype" w:hAnsi="Palatino Linotype" w:cs="Palatino Linotype"/>
          <w:smallCaps/>
          <w:sz w:val="22"/>
          <w:szCs w:val="22"/>
        </w:rPr>
        <w:t>IV</w:t>
      </w:r>
      <w:r>
        <w:rPr>
          <w:rFonts w:ascii="Palatino Linotype" w:eastAsia="Palatino Linotype" w:hAnsi="Palatino Linotype" w:cs="Palatino Linotype"/>
          <w:sz w:val="22"/>
          <w:szCs w:val="22"/>
        </w:rPr>
        <w:t xml:space="preserve">) por razones de seguridad nacional y salubridad general o </w:t>
      </w:r>
      <w:r>
        <w:rPr>
          <w:rFonts w:ascii="Palatino Linotype" w:eastAsia="Palatino Linotype" w:hAnsi="Palatino Linotype" w:cs="Palatino Linotype"/>
          <w:smallCaps/>
          <w:sz w:val="22"/>
          <w:szCs w:val="22"/>
        </w:rPr>
        <w:t>V</w:t>
      </w:r>
      <w:r>
        <w:rPr>
          <w:rFonts w:ascii="Palatino Linotype" w:eastAsia="Palatino Linotype" w:hAnsi="Palatino Linotype" w:cs="Palatino Linotype"/>
          <w:sz w:val="22"/>
          <w:szCs w:val="22"/>
        </w:rPr>
        <w:t>) para proteger los derechos de terceros o cuando se transmitan entre sujetos obligados en términos de los tratados y los acuerdos interinstitucionales.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numPr>
          <w:ilvl w:val="0"/>
          <w:numId w:val="7"/>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trate de datos personales o información privada; esto es, información concerniente a una persona física o jurídica colectiva y que esta sea identificada o identificable. </w:t>
      </w:r>
    </w:p>
    <w:p w:rsidR="008B70CB" w:rsidRDefault="00CC56CD">
      <w:pPr>
        <w:numPr>
          <w:ilvl w:val="0"/>
          <w:numId w:val="7"/>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difusión de los datos, se requiere el consentimiento del titular. </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w:t>
      </w:r>
      <w:r>
        <w:rPr>
          <w:rFonts w:ascii="Palatino Linotype" w:eastAsia="Palatino Linotype" w:hAnsi="Palatino Linotype" w:cs="Palatino Linotype"/>
          <w:sz w:val="22"/>
          <w:szCs w:val="22"/>
        </w:rPr>
        <w:lastRenderedPageBreak/>
        <w:t xml:space="preserve">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confidencialidad de los datos personales tiene por objetivo establecer el límite del derecho de acceso a la información a partir del derecho a la intimidad y la vida privada de los individuos. Sobre la persona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w:t>
      </w:r>
      <w:r>
        <w:rPr>
          <w:rFonts w:ascii="Palatino Linotype" w:eastAsia="Palatino Linotype" w:hAnsi="Palatino Linotype" w:cs="Palatino Linotype"/>
          <w:sz w:val="22"/>
          <w:szCs w:val="22"/>
        </w:rPr>
        <w:lastRenderedPageBreak/>
        <w:t xml:space="preserve">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B36458">
        <w:rPr>
          <w:rFonts w:ascii="Palatino Linotype" w:eastAsia="Palatino Linotype" w:hAnsi="Palatino Linotype" w:cs="Palatino Linotype"/>
          <w:sz w:val="22"/>
          <w:szCs w:val="22"/>
        </w:rPr>
        <w:t>aun</w:t>
      </w:r>
      <w:r>
        <w:rPr>
          <w:rFonts w:ascii="Palatino Linotype" w:eastAsia="Palatino Linotype" w:hAnsi="Palatino Linotype" w:cs="Palatino Linotype"/>
          <w:sz w:val="22"/>
          <w:szCs w:val="22"/>
        </w:rPr>
        <w:t xml:space="preserve"> tratándose de información personal.</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ese contexto, se analizarán de manera enunciativa más no limitativa algunos datos personales que pueden encontrarse dentro de los documentos que pueden dar cuenta de lo requerido por la persona Particular y que actualiza el supuesto de información confidencial por corresponder a la vida privada de las personas </w:t>
      </w:r>
      <w:r>
        <w:rPr>
          <w:rFonts w:ascii="Palatino Linotype" w:eastAsia="Palatino Linotype" w:hAnsi="Palatino Linotype" w:cs="Palatino Linotype"/>
          <w:sz w:val="22"/>
          <w:szCs w:val="22"/>
          <w:u w:val="single"/>
        </w:rPr>
        <w:t>son domicilio particular, número telefónico particular,</w:t>
      </w:r>
      <w:r>
        <w:rPr>
          <w:rFonts w:ascii="Palatino Linotype" w:eastAsia="Palatino Linotype" w:hAnsi="Palatino Linotype" w:cs="Palatino Linotype"/>
          <w:sz w:val="22"/>
          <w:szCs w:val="22"/>
        </w:rPr>
        <w:t xml:space="preserve"> los cuales  actualizan la causal de clasificación establecida en el artículo 143, </w:t>
      </w:r>
      <w:r>
        <w:rPr>
          <w:rFonts w:ascii="Palatino Linotype" w:eastAsia="Palatino Linotype" w:hAnsi="Palatino Linotype" w:cs="Palatino Linotype"/>
          <w:sz w:val="22"/>
          <w:szCs w:val="22"/>
        </w:rPr>
        <w:lastRenderedPageBreak/>
        <w:t>fracción I, de la Ley de Transparencia y Acceso a la Información Pública del Estado de México y Municipios.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pStyle w:val="Ttulo2"/>
        <w:rPr>
          <w:rFonts w:ascii="Palatino Linotype" w:eastAsia="Palatino Linotype" w:hAnsi="Palatino Linotype" w:cs="Palatino Linotype"/>
          <w:b w:val="0"/>
          <w:sz w:val="22"/>
          <w:szCs w:val="22"/>
        </w:rPr>
      </w:pPr>
      <w:bookmarkStart w:id="13" w:name="_heading=h.2jxsxqh" w:colFirst="0" w:colLast="0"/>
      <w:bookmarkEnd w:id="13"/>
      <w:r>
        <w:rPr>
          <w:rFonts w:ascii="Palatino Linotype" w:eastAsia="Palatino Linotype" w:hAnsi="Palatino Linotype" w:cs="Palatino Linotype"/>
          <w:sz w:val="22"/>
          <w:szCs w:val="22"/>
        </w:rPr>
        <w:t>SEXTO. Decisión</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fundamento en el artículo 186, fracción III, de la Ley de Transparencia y Acceso a la Información Pública del Estado de México y Municipios, este Instituto considera procedente</w:t>
      </w:r>
      <w:r>
        <w:rPr>
          <w:rFonts w:ascii="Palatino Linotype" w:eastAsia="Palatino Linotype" w:hAnsi="Palatino Linotype" w:cs="Palatino Linotype"/>
          <w:b/>
          <w:sz w:val="22"/>
          <w:szCs w:val="22"/>
        </w:rPr>
        <w:t xml:space="preserve"> MODIFICAR </w:t>
      </w:r>
      <w:r>
        <w:rPr>
          <w:rFonts w:ascii="Palatino Linotype" w:eastAsia="Palatino Linotype" w:hAnsi="Palatino Linotype" w:cs="Palatino Linotype"/>
          <w:sz w:val="22"/>
          <w:szCs w:val="22"/>
        </w:rPr>
        <w:t>las respuesta otorgada por 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las solicitudes de información </w:t>
      </w:r>
      <w:r>
        <w:rPr>
          <w:rFonts w:ascii="Palatino Linotype" w:eastAsia="Palatino Linotype" w:hAnsi="Palatino Linotype" w:cs="Palatino Linotype"/>
          <w:b/>
          <w:color w:val="000000"/>
          <w:sz w:val="22"/>
          <w:szCs w:val="22"/>
        </w:rPr>
        <w:t>00094/OASECATEPE/IP/2024 y 00088/OASECATEPE/IP/2024</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por resultar parcialmente fundadas las razones o motivos de inconformidad hechos valer por la persona Recurrente, en los Recursos de Revisión</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b/>
          <w:sz w:val="22"/>
          <w:szCs w:val="22"/>
        </w:rPr>
        <w:t>05546/INFOEM/IP/RR/2024 y 05547/INFOEM/IP/RR/2024</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sz w:val="22"/>
          <w:szCs w:val="22"/>
        </w:rPr>
        <w:t xml:space="preserve">en consecuencia procede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la entrega de la información faltante en los términos antes expuestos.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la persona Recurrente</w:t>
      </w:r>
    </w:p>
    <w:p w:rsidR="008B70CB" w:rsidRDefault="00CC56CD">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lastRenderedPageBreak/>
        <w:t xml:space="preserve">Se hace del conocimiento de la persona Particular que este Organismo Garante determinó darle la razón, puesto que el Sujeto Obligado entregó la información incompleta, por lo que se ordena la entrega de la información faltante. </w:t>
      </w:r>
    </w:p>
    <w:p w:rsidR="008B70CB" w:rsidRDefault="008B70CB">
      <w:pPr>
        <w:spacing w:line="360" w:lineRule="auto"/>
        <w:jc w:val="both"/>
        <w:rPr>
          <w:rFonts w:ascii="Palatino Linotype" w:eastAsia="Palatino Linotype" w:hAnsi="Palatino Linotype" w:cs="Palatino Linotype"/>
          <w:sz w:val="22"/>
          <w:szCs w:val="22"/>
          <w:u w:val="single"/>
        </w:rPr>
      </w:pPr>
    </w:p>
    <w:p w:rsidR="008B70CB" w:rsidRDefault="00CC56CD">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testen los datos personales y se entregue acompañada de un acuerdo en el que se expresen las razones por las que se protegen dichos datos.</w:t>
      </w:r>
    </w:p>
    <w:p w:rsidR="008B70CB" w:rsidRDefault="008B70CB">
      <w:pPr>
        <w:spacing w:line="360" w:lineRule="auto"/>
        <w:jc w:val="both"/>
        <w:rPr>
          <w:rFonts w:ascii="Palatino Linotype" w:eastAsia="Palatino Linotype" w:hAnsi="Palatino Linotype" w:cs="Palatino Linotype"/>
          <w:sz w:val="22"/>
          <w:szCs w:val="22"/>
          <w:u w:val="single"/>
        </w:rPr>
      </w:pPr>
    </w:p>
    <w:p w:rsidR="008B70CB" w:rsidRDefault="00CC56CD">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rsidR="008B70CB" w:rsidRDefault="008B70CB">
      <w:pPr>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8B70CB" w:rsidRDefault="008B70CB">
      <w:pPr>
        <w:pStyle w:val="Ttulo1"/>
        <w:jc w:val="center"/>
        <w:rPr>
          <w:rFonts w:ascii="Palatino Linotype" w:eastAsia="Palatino Linotype" w:hAnsi="Palatino Linotype" w:cs="Palatino Linotype"/>
          <w:color w:val="000000"/>
          <w:sz w:val="22"/>
          <w:szCs w:val="22"/>
        </w:rPr>
      </w:pPr>
    </w:p>
    <w:p w:rsidR="008B70CB" w:rsidRDefault="00CC56CD">
      <w:pPr>
        <w:pStyle w:val="Ttulo1"/>
        <w:jc w:val="center"/>
        <w:rPr>
          <w:rFonts w:ascii="Palatino Linotype" w:eastAsia="Palatino Linotype" w:hAnsi="Palatino Linotype" w:cs="Palatino Linotype"/>
          <w:b/>
          <w:color w:val="000000"/>
          <w:sz w:val="22"/>
          <w:szCs w:val="22"/>
        </w:rPr>
      </w:pPr>
      <w:bookmarkStart w:id="14" w:name="_heading=h.z337ya" w:colFirst="0" w:colLast="0"/>
      <w:bookmarkEnd w:id="14"/>
      <w:r>
        <w:rPr>
          <w:rFonts w:ascii="Palatino Linotype" w:eastAsia="Palatino Linotype" w:hAnsi="Palatino Linotype" w:cs="Palatino Linotype"/>
          <w:b/>
          <w:color w:val="000000"/>
          <w:sz w:val="22"/>
          <w:szCs w:val="22"/>
        </w:rPr>
        <w:t>R E S U E L V E</w:t>
      </w:r>
    </w:p>
    <w:p w:rsidR="008B70CB" w:rsidRDefault="008B70CB">
      <w:pPr>
        <w:spacing w:line="360" w:lineRule="auto"/>
        <w:jc w:val="center"/>
        <w:rPr>
          <w:rFonts w:ascii="Palatino Linotype" w:eastAsia="Palatino Linotype" w:hAnsi="Palatino Linotype" w:cs="Palatino Linotype"/>
          <w:b/>
          <w:sz w:val="22"/>
          <w:szCs w:val="22"/>
        </w:rPr>
      </w:pPr>
    </w:p>
    <w:p w:rsidR="008B70CB" w:rsidRDefault="00CC56C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 xml:space="preserve">MODIFICAN </w:t>
      </w:r>
      <w:r>
        <w:rPr>
          <w:rFonts w:ascii="Palatino Linotype" w:eastAsia="Palatino Linotype" w:hAnsi="Palatino Linotype" w:cs="Palatino Linotype"/>
          <w:sz w:val="22"/>
          <w:szCs w:val="22"/>
        </w:rPr>
        <w:t>las respuestas entregadas por el Sujeto Obligado a las solicitudes de acceso a la información con número de folio</w:t>
      </w:r>
      <w:r>
        <w:rPr>
          <w:rFonts w:ascii="Palatino Linotype" w:eastAsia="Palatino Linotype" w:hAnsi="Palatino Linotype" w:cs="Palatino Linotype"/>
          <w:b/>
          <w:sz w:val="22"/>
          <w:szCs w:val="22"/>
        </w:rPr>
        <w:t> </w:t>
      </w:r>
      <w:r>
        <w:rPr>
          <w:rFonts w:ascii="Palatino Linotype" w:eastAsia="Palatino Linotype" w:hAnsi="Palatino Linotype" w:cs="Palatino Linotype"/>
          <w:b/>
          <w:color w:val="000000"/>
          <w:sz w:val="22"/>
          <w:szCs w:val="22"/>
        </w:rPr>
        <w:t>00094/OASECATEPE/IP/2024 y 00088/OASECATEPE/IP/2024</w:t>
      </w:r>
      <w:r>
        <w:rPr>
          <w:rFonts w:ascii="Palatino Linotype" w:eastAsia="Palatino Linotype" w:hAnsi="Palatino Linotype" w:cs="Palatino Linotype"/>
          <w:sz w:val="22"/>
          <w:szCs w:val="22"/>
        </w:rPr>
        <w:t xml:space="preserve">, por resultar parcialmente FUNDADAS las razones o motivos de inconformidad hechas valer por la persona Recurrente, en los Recursos de Revisión </w:t>
      </w:r>
      <w:r>
        <w:rPr>
          <w:rFonts w:ascii="Palatino Linotype" w:eastAsia="Palatino Linotype" w:hAnsi="Palatino Linotype" w:cs="Palatino Linotype"/>
          <w:b/>
          <w:sz w:val="22"/>
          <w:szCs w:val="22"/>
        </w:rPr>
        <w:t xml:space="preserve">05546/INFOEM/IP/RR/2024 y 05547/INFOEM/IP/RR/2024 </w:t>
      </w:r>
      <w:r>
        <w:rPr>
          <w:rFonts w:ascii="Palatino Linotype" w:eastAsia="Palatino Linotype" w:hAnsi="Palatino Linotype" w:cs="Palatino Linotype"/>
          <w:sz w:val="22"/>
          <w:szCs w:val="22"/>
        </w:rPr>
        <w:t>en términos de los Considerandos QUINTO y SEXTO de esta Resolución.</w:t>
      </w:r>
    </w:p>
    <w:p w:rsidR="008B70CB" w:rsidRDefault="008B70CB">
      <w:pPr>
        <w:tabs>
          <w:tab w:val="left" w:pos="4962"/>
        </w:tabs>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lastRenderedPageBreak/>
        <w:t>SEGUNDO.</w:t>
      </w:r>
      <w:r>
        <w:rPr>
          <w:rFonts w:ascii="Palatino Linotype" w:eastAsia="Palatino Linotype" w:hAnsi="Palatino Linotype" w:cs="Palatino Linotype"/>
          <w:color w:val="000000"/>
          <w:sz w:val="22"/>
          <w:szCs w:val="22"/>
        </w:rPr>
        <w:t xml:space="preserve"> 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que entregue, </w:t>
      </w:r>
      <w:r>
        <w:rPr>
          <w:rFonts w:ascii="Palatino Linotype" w:eastAsia="Palatino Linotype" w:hAnsi="Palatino Linotype" w:cs="Palatino Linotype"/>
          <w:color w:val="0D0D0D"/>
          <w:sz w:val="22"/>
          <w:szCs w:val="22"/>
        </w:rPr>
        <w:t xml:space="preserve">previa </w:t>
      </w:r>
      <w:r>
        <w:rPr>
          <w:rFonts w:ascii="Palatino Linotype" w:eastAsia="Palatino Linotype" w:hAnsi="Palatino Linotype" w:cs="Palatino Linotype"/>
          <w:color w:val="000000"/>
          <w:sz w:val="22"/>
          <w:szCs w:val="22"/>
        </w:rPr>
        <w:t xml:space="preserve">búsqueda exhaustiva y razonable en las unidades administrativas competentes, a través del SAIMEX, en su caso en versión pública, los documentos que den cuenta de </w:t>
      </w:r>
      <w:r>
        <w:rPr>
          <w:rFonts w:ascii="Palatino Linotype" w:eastAsia="Palatino Linotype" w:hAnsi="Palatino Linotype" w:cs="Palatino Linotype"/>
          <w:sz w:val="22"/>
          <w:szCs w:val="22"/>
        </w:rPr>
        <w:t xml:space="preserve">lo siguiente: </w:t>
      </w:r>
    </w:p>
    <w:p w:rsidR="008B70CB" w:rsidRDefault="008B70CB">
      <w:pPr>
        <w:tabs>
          <w:tab w:val="left" w:pos="4962"/>
        </w:tabs>
        <w:spacing w:line="360" w:lineRule="auto"/>
        <w:jc w:val="both"/>
        <w:rPr>
          <w:rFonts w:ascii="Palatino Linotype" w:eastAsia="Palatino Linotype" w:hAnsi="Palatino Linotype" w:cs="Palatino Linotype"/>
          <w:sz w:val="22"/>
          <w:szCs w:val="22"/>
        </w:rPr>
      </w:pPr>
    </w:p>
    <w:p w:rsidR="008B70CB" w:rsidRDefault="00CC56CD">
      <w:pPr>
        <w:numPr>
          <w:ilvl w:val="3"/>
          <w:numId w:val="7"/>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Denominación del equipo de bombeo del pozo “héroes II”, que se tiene para su control interno.</w:t>
      </w:r>
    </w:p>
    <w:p w:rsidR="008B70CB" w:rsidRDefault="008B70CB">
      <w:pPr>
        <w:tabs>
          <w:tab w:val="left" w:pos="4962"/>
        </w:tabs>
        <w:spacing w:line="360" w:lineRule="auto"/>
        <w:ind w:left="567"/>
        <w:jc w:val="both"/>
        <w:rPr>
          <w:rFonts w:ascii="Palatino Linotype" w:eastAsia="Palatino Linotype" w:hAnsi="Palatino Linotype" w:cs="Palatino Linotype"/>
          <w:sz w:val="22"/>
          <w:szCs w:val="22"/>
        </w:rPr>
      </w:pPr>
    </w:p>
    <w:p w:rsidR="008B70CB" w:rsidRDefault="00CC56CD">
      <w:pPr>
        <w:numPr>
          <w:ilvl w:val="3"/>
          <w:numId w:val="7"/>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de equipos de bombeo y cantidad de ocasiones que se han instalado o desinstalado en el pozo “héroes II” durante el periodo de 1°de enero de 2017 al 31 de diciembre de 2019.</w:t>
      </w:r>
    </w:p>
    <w:p w:rsidR="008B70CB" w:rsidRDefault="008B70CB">
      <w:pPr>
        <w:tabs>
          <w:tab w:val="left" w:pos="4962"/>
        </w:tabs>
        <w:spacing w:line="360" w:lineRule="auto"/>
        <w:ind w:left="567"/>
        <w:jc w:val="both"/>
        <w:rPr>
          <w:rFonts w:ascii="Palatino Linotype" w:eastAsia="Palatino Linotype" w:hAnsi="Palatino Linotype" w:cs="Palatino Linotype"/>
          <w:sz w:val="22"/>
          <w:szCs w:val="22"/>
        </w:rPr>
      </w:pPr>
    </w:p>
    <w:p w:rsidR="008B70CB" w:rsidRDefault="00CC56CD">
      <w:pPr>
        <w:numPr>
          <w:ilvl w:val="3"/>
          <w:numId w:val="7"/>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Oficios o dictámenes en los que se determinó que los equipos de bombeo del pozo “héroes II” se averiaron y por ello salieron de operación, durante el periodo que va del 1° de enero de 2017 al 6 de agosto de 2024.</w:t>
      </w:r>
    </w:p>
    <w:p w:rsidR="008B70CB" w:rsidRDefault="008B70CB">
      <w:pPr>
        <w:tabs>
          <w:tab w:val="left" w:pos="4962"/>
        </w:tabs>
        <w:spacing w:line="360" w:lineRule="auto"/>
        <w:ind w:left="567"/>
        <w:jc w:val="both"/>
        <w:rPr>
          <w:rFonts w:ascii="Palatino Linotype" w:eastAsia="Palatino Linotype" w:hAnsi="Palatino Linotype" w:cs="Palatino Linotype"/>
          <w:sz w:val="22"/>
          <w:szCs w:val="22"/>
        </w:rPr>
      </w:pPr>
    </w:p>
    <w:p w:rsidR="008B70CB" w:rsidRDefault="00CC56CD">
      <w:pPr>
        <w:numPr>
          <w:ilvl w:val="3"/>
          <w:numId w:val="7"/>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Documentos que obren en los archivos del Sujeto Obligado a la fecha de la solicitud y que den cuenta, respecto al pozo identificado en la solicitud, de lo siguiente:</w:t>
      </w:r>
    </w:p>
    <w:p w:rsidR="008B70CB" w:rsidRDefault="008B70CB">
      <w:pPr>
        <w:tabs>
          <w:tab w:val="left" w:pos="4962"/>
        </w:tabs>
        <w:spacing w:line="360" w:lineRule="auto"/>
        <w:ind w:left="567"/>
        <w:jc w:val="both"/>
        <w:rPr>
          <w:rFonts w:ascii="Palatino Linotype" w:eastAsia="Palatino Linotype" w:hAnsi="Palatino Linotype" w:cs="Palatino Linotype"/>
          <w:sz w:val="22"/>
          <w:szCs w:val="22"/>
        </w:rPr>
      </w:pPr>
    </w:p>
    <w:p w:rsidR="008B70CB" w:rsidRDefault="00CC56CD">
      <w:pPr>
        <w:numPr>
          <w:ilvl w:val="1"/>
          <w:numId w:val="7"/>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los que se determinó que el pozo no cuenta con niveles de agua óptimos para suministrar agua a las colonias héroes 3° y 4°, emitidos por los encargados de operar, dar mantenimiento o supervisar el pozo y sus superiores </w:t>
      </w:r>
    </w:p>
    <w:p w:rsidR="008B70CB" w:rsidRDefault="00CC56CD">
      <w:pPr>
        <w:numPr>
          <w:ilvl w:val="1"/>
          <w:numId w:val="7"/>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Nombre de las personas servidoras públicas que determinaron cambiar el equipo de bombeo </w:t>
      </w:r>
    </w:p>
    <w:p w:rsidR="008B70CB" w:rsidRDefault="00CC56CD">
      <w:pPr>
        <w:numPr>
          <w:ilvl w:val="1"/>
          <w:numId w:val="7"/>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Fecha que fue acordada para volver a instalar el equipo de bombeo que operaba antes del 19 de julio de 2024.</w:t>
      </w:r>
    </w:p>
    <w:p w:rsidR="008B70CB" w:rsidRDefault="00CC56CD">
      <w:pPr>
        <w:numPr>
          <w:ilvl w:val="1"/>
          <w:numId w:val="7"/>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Lugar en el que se encuentra ubicado el equipo de bombeo que operaba antes del 19 de julio de 2024.</w:t>
      </w:r>
    </w:p>
    <w:p w:rsidR="008B70CB" w:rsidRDefault="00CC56CD">
      <w:pPr>
        <w:numPr>
          <w:ilvl w:val="1"/>
          <w:numId w:val="7"/>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Nombre de la empresa que da mantenimiento al equipo de bombeo. </w:t>
      </w:r>
    </w:p>
    <w:p w:rsidR="008B70CB" w:rsidRDefault="00CC56CD">
      <w:pPr>
        <w:numPr>
          <w:ilvl w:val="1"/>
          <w:numId w:val="7"/>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la remisión del equipo de bombeo a mantenimiento. </w:t>
      </w:r>
    </w:p>
    <w:p w:rsidR="008B70CB" w:rsidRDefault="00CC56CD">
      <w:pPr>
        <w:numPr>
          <w:ilvl w:val="1"/>
          <w:numId w:val="7"/>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Presupuesto de reparación de la bomba y factura. </w:t>
      </w:r>
    </w:p>
    <w:p w:rsidR="008B70CB" w:rsidRDefault="008B70CB">
      <w:pPr>
        <w:tabs>
          <w:tab w:val="left" w:pos="4962"/>
        </w:tabs>
        <w:spacing w:line="360" w:lineRule="auto"/>
        <w:jc w:val="both"/>
        <w:rPr>
          <w:rFonts w:ascii="Palatino Linotype" w:eastAsia="Palatino Linotype" w:hAnsi="Palatino Linotype" w:cs="Palatino Linotype"/>
          <w:sz w:val="22"/>
          <w:szCs w:val="22"/>
        </w:rPr>
      </w:pPr>
    </w:p>
    <w:p w:rsidR="008B70CB" w:rsidRDefault="00CC56CD">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Padrón con los datos de las empresas que dan mantenimiento o reparan el equipo de bombeo del pozo de agua en mención en el que se advierta el número de veces que se han requerido los servicios de las empresas durante el periodo del 1° de enero de 2022 al 5 de agosto de 2024</w:t>
      </w:r>
    </w:p>
    <w:p w:rsidR="008B70CB" w:rsidRDefault="008B70CB">
      <w:pPr>
        <w:tabs>
          <w:tab w:val="left" w:pos="4962"/>
        </w:tabs>
        <w:spacing w:line="360" w:lineRule="auto"/>
        <w:jc w:val="both"/>
        <w:rPr>
          <w:rFonts w:ascii="Palatino Linotype" w:eastAsia="Palatino Linotype" w:hAnsi="Palatino Linotype" w:cs="Palatino Linotype"/>
          <w:sz w:val="22"/>
          <w:szCs w:val="22"/>
        </w:rPr>
      </w:pPr>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8B70CB" w:rsidRDefault="008B70CB">
      <w:pPr>
        <w:tabs>
          <w:tab w:val="left" w:pos="4962"/>
        </w:tabs>
        <w:spacing w:line="360" w:lineRule="auto"/>
        <w:jc w:val="both"/>
        <w:rPr>
          <w:rFonts w:ascii="Palatino Linotype" w:eastAsia="Palatino Linotype" w:hAnsi="Palatino Linotype" w:cs="Palatino Linotype"/>
          <w:sz w:val="22"/>
          <w:szCs w:val="22"/>
        </w:rPr>
      </w:pPr>
    </w:p>
    <w:p w:rsidR="008B70CB" w:rsidRDefault="00CC56C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el caso de que no se haya generado la información solicitada en los puntos 2, porque no se instalaron o desinstalaron equipos de bombeo durante la temporalidad ordenada; 4, incisos d), f), g), h), porque no se acordó ninguna fecha para volver a instalar el equipo, o porque no se contrató a ninguna empresa para su mantenimiento o bien no se ejecutó presupuesto </w:t>
      </w:r>
      <w:r>
        <w:rPr>
          <w:rFonts w:ascii="Palatino Linotype" w:eastAsia="Palatino Linotype" w:hAnsi="Palatino Linotype" w:cs="Palatino Linotype"/>
          <w:sz w:val="22"/>
          <w:szCs w:val="22"/>
        </w:rPr>
        <w:lastRenderedPageBreak/>
        <w:t>alguno; y 5 porque no haya generado un padrón en el grado de desagregación solicitado o no haya contratado servicios de mantenimiento, deberá hacerlo del conocimiento del Particular, de manera precisa y clara.</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mallCaps/>
          <w:color w:val="000000"/>
          <w:sz w:val="22"/>
          <w:szCs w:val="22"/>
        </w:rPr>
        <w:t>TERCERO</w:t>
      </w:r>
      <w:r>
        <w:rPr>
          <w:rFonts w:ascii="Palatino Linotype" w:eastAsia="Palatino Linotype" w:hAnsi="Palatino Linotype" w:cs="Palatino Linotype"/>
          <w:b/>
          <w:color w:val="000000"/>
          <w:sz w:val="22"/>
          <w:szCs w:val="22"/>
        </w:rPr>
        <w:t xml:space="preserve">. NOTIFÍQUESE POR SAIMEX </w:t>
      </w:r>
      <w:r>
        <w:rPr>
          <w:rFonts w:ascii="Palatino Linotype" w:eastAsia="Palatino Linotype" w:hAnsi="Palatino Linotype" w:cs="Palatino Linotype"/>
          <w:color w:val="000000"/>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Default="00CC56C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8B70CB" w:rsidRDefault="008B70CB">
      <w:pPr>
        <w:spacing w:line="360" w:lineRule="auto"/>
        <w:jc w:val="both"/>
        <w:rPr>
          <w:rFonts w:ascii="Palatino Linotype" w:eastAsia="Palatino Linotype" w:hAnsi="Palatino Linotype" w:cs="Palatino Linotype"/>
          <w:color w:val="000000"/>
          <w:sz w:val="22"/>
          <w:szCs w:val="22"/>
        </w:rPr>
      </w:pPr>
    </w:p>
    <w:p w:rsidR="008B70CB" w:rsidRPr="00B36458"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 xml:space="preserve">CUARTO. </w:t>
      </w:r>
      <w:r>
        <w:rPr>
          <w:rFonts w:ascii="Palatino Linotype" w:eastAsia="Palatino Linotype" w:hAnsi="Palatino Linotype" w:cs="Palatino Linotype"/>
          <w:b/>
          <w:sz w:val="22"/>
          <w:szCs w:val="22"/>
        </w:rPr>
        <w:t xml:space="preserve">NOTIFÍQUESE POR SAIMEX </w:t>
      </w:r>
      <w:r>
        <w:rPr>
          <w:rFonts w:ascii="Palatino Linotype" w:eastAsia="Palatino Linotype" w:hAnsi="Palatino Linotype" w:cs="Palatino Linotype"/>
          <w:sz w:val="22"/>
          <w:szCs w:val="22"/>
        </w:rPr>
        <w:t xml:space="preserve">a </w:t>
      </w:r>
      <w:r>
        <w:rPr>
          <w:rFonts w:ascii="Palatino Linotype" w:eastAsia="Palatino Linotype" w:hAnsi="Palatino Linotype" w:cs="Palatino Linotype"/>
          <w:color w:val="000000"/>
          <w:sz w:val="22"/>
          <w:szCs w:val="22"/>
        </w:rPr>
        <w:t xml:space="preserve">la persona </w:t>
      </w:r>
      <w:r>
        <w:rPr>
          <w:rFonts w:ascii="Palatino Linotype" w:eastAsia="Palatino Linotype" w:hAnsi="Palatino Linotype" w:cs="Palatino Linotype"/>
          <w:sz w:val="22"/>
          <w:szCs w:val="22"/>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bookmarkStart w:id="15" w:name="_GoBack"/>
      <w:bookmarkEnd w:id="15"/>
    </w:p>
    <w:p w:rsidR="008B70CB" w:rsidRDefault="00CC56C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w:t>
      </w:r>
      <w:r w:rsidR="00405758">
        <w:rPr>
          <w:rFonts w:ascii="Palatino Linotype" w:eastAsia="Palatino Linotype" w:hAnsi="Palatino Linotype" w:cs="Palatino Linotype"/>
          <w:sz w:val="22"/>
          <w:szCs w:val="22"/>
        </w:rPr>
        <w:t xml:space="preserve"> SESIÓN</w:t>
      </w:r>
      <w:r>
        <w:rPr>
          <w:rFonts w:ascii="Palatino Linotype" w:eastAsia="Palatino Linotype" w:hAnsi="Palatino Linotype" w:cs="Palatino Linotype"/>
          <w:sz w:val="22"/>
          <w:szCs w:val="22"/>
        </w:rPr>
        <w:t xml:space="preserve"> ORDINARIA, CELEBRADA EL CUATRO DE DICIEMBRE DE DOS MIL VEINTICUATRO, ANTE EL SECRETARIO TÉCNICO DEL PLENO, ALEXIS TAPIA RAMÍREZ.</w:t>
      </w: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sz w:val="22"/>
          <w:szCs w:val="22"/>
        </w:rPr>
      </w:pPr>
    </w:p>
    <w:p w:rsidR="008B70CB" w:rsidRDefault="008B70CB">
      <w:pPr>
        <w:tabs>
          <w:tab w:val="left" w:pos="4962"/>
        </w:tabs>
        <w:spacing w:line="360" w:lineRule="auto"/>
        <w:jc w:val="both"/>
        <w:rPr>
          <w:rFonts w:ascii="Palatino Linotype" w:eastAsia="Palatino Linotype" w:hAnsi="Palatino Linotype" w:cs="Palatino Linotype"/>
          <w:sz w:val="22"/>
          <w:szCs w:val="22"/>
        </w:rPr>
      </w:pPr>
    </w:p>
    <w:p w:rsidR="008B70CB" w:rsidRDefault="008B70CB">
      <w:pPr>
        <w:spacing w:line="360" w:lineRule="auto"/>
        <w:jc w:val="both"/>
        <w:rPr>
          <w:rFonts w:ascii="Palatino Linotype" w:eastAsia="Palatino Linotype" w:hAnsi="Palatino Linotype" w:cs="Palatino Linotype"/>
          <w:b/>
          <w:sz w:val="22"/>
          <w:szCs w:val="22"/>
        </w:rPr>
      </w:pPr>
    </w:p>
    <w:sectPr w:rsidR="008B70CB">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44" w:rsidRDefault="00422744">
      <w:r>
        <w:separator/>
      </w:r>
    </w:p>
  </w:endnote>
  <w:endnote w:type="continuationSeparator" w:id="0">
    <w:p w:rsidR="00422744" w:rsidRDefault="0042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0CB" w:rsidRDefault="008B70CB">
    <w:pPr>
      <w:pBdr>
        <w:top w:val="nil"/>
        <w:left w:val="nil"/>
        <w:bottom w:val="nil"/>
        <w:right w:val="nil"/>
        <w:between w:val="nil"/>
      </w:pBdr>
      <w:tabs>
        <w:tab w:val="center" w:pos="4419"/>
        <w:tab w:val="right" w:pos="8838"/>
      </w:tabs>
      <w:jc w:val="right"/>
      <w:rPr>
        <w:color w:val="000000"/>
        <w:sz w:val="26"/>
        <w:szCs w:val="26"/>
      </w:rPr>
    </w:pPr>
  </w:p>
  <w:p w:rsidR="008B70CB" w:rsidRDefault="00CC56C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36458">
      <w:rPr>
        <w:b/>
        <w:noProof/>
        <w:color w:val="000000"/>
        <w:sz w:val="24"/>
        <w:szCs w:val="24"/>
      </w:rPr>
      <w:t>49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36458">
      <w:rPr>
        <w:b/>
        <w:noProof/>
        <w:color w:val="000000"/>
        <w:sz w:val="24"/>
        <w:szCs w:val="24"/>
      </w:rPr>
      <w:t>51</w:t>
    </w:r>
    <w:r>
      <w:rPr>
        <w:b/>
        <w:color w:val="000000"/>
        <w:sz w:val="24"/>
        <w:szCs w:val="24"/>
      </w:rPr>
      <w:fldChar w:fldCharType="end"/>
    </w:r>
  </w:p>
  <w:p w:rsidR="008B70CB" w:rsidRDefault="008B70C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0CB" w:rsidRDefault="008B70CB">
    <w:pPr>
      <w:pBdr>
        <w:top w:val="nil"/>
        <w:left w:val="nil"/>
        <w:bottom w:val="nil"/>
        <w:right w:val="nil"/>
        <w:between w:val="nil"/>
      </w:pBdr>
      <w:tabs>
        <w:tab w:val="center" w:pos="4419"/>
        <w:tab w:val="right" w:pos="8838"/>
      </w:tabs>
      <w:jc w:val="right"/>
      <w:rPr>
        <w:color w:val="000000"/>
      </w:rPr>
    </w:pPr>
  </w:p>
  <w:p w:rsidR="008B70CB" w:rsidRDefault="00CC56C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3645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36458">
      <w:rPr>
        <w:b/>
        <w:noProof/>
        <w:color w:val="000000"/>
        <w:sz w:val="24"/>
        <w:szCs w:val="24"/>
      </w:rPr>
      <w:t>52</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44" w:rsidRDefault="00422744">
      <w:r>
        <w:separator/>
      </w:r>
    </w:p>
  </w:footnote>
  <w:footnote w:type="continuationSeparator" w:id="0">
    <w:p w:rsidR="00422744" w:rsidRDefault="00422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0CB" w:rsidRDefault="0042274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7.55pt;margin-top:-157.9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tbl>
    <w:tblPr>
      <w:tblStyle w:val="ae"/>
      <w:tblW w:w="9782" w:type="dxa"/>
      <w:tblInd w:w="0" w:type="dxa"/>
      <w:tblLayout w:type="fixed"/>
      <w:tblLook w:val="0400" w:firstRow="0" w:lastRow="0" w:firstColumn="0" w:lastColumn="0" w:noHBand="0" w:noVBand="1"/>
    </w:tblPr>
    <w:tblGrid>
      <w:gridCol w:w="2127"/>
      <w:gridCol w:w="7655"/>
    </w:tblGrid>
    <w:tr w:rsidR="008B70CB">
      <w:trPr>
        <w:trHeight w:val="1412"/>
      </w:trPr>
      <w:tc>
        <w:tcPr>
          <w:tcW w:w="2127" w:type="dxa"/>
          <w:shd w:val="clear" w:color="auto" w:fill="auto"/>
        </w:tcPr>
        <w:p w:rsidR="008B70CB" w:rsidRDefault="008B70CB">
          <w:pPr>
            <w:tabs>
              <w:tab w:val="right" w:pos="4273"/>
            </w:tabs>
            <w:rPr>
              <w:rFonts w:ascii="Garamond" w:eastAsia="Garamond" w:hAnsi="Garamond" w:cs="Garamond"/>
              <w:sz w:val="16"/>
              <w:szCs w:val="16"/>
            </w:rPr>
          </w:pPr>
        </w:p>
      </w:tc>
      <w:tc>
        <w:tcPr>
          <w:tcW w:w="7655" w:type="dxa"/>
          <w:shd w:val="clear" w:color="auto" w:fill="auto"/>
        </w:tcPr>
        <w:p w:rsidR="008B70CB" w:rsidRDefault="008B70CB">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f"/>
            <w:tblW w:w="6211" w:type="dxa"/>
            <w:tblInd w:w="447" w:type="dxa"/>
            <w:tblLayout w:type="fixed"/>
            <w:tblLook w:val="0400" w:firstRow="0" w:lastRow="0" w:firstColumn="0" w:lastColumn="0" w:noHBand="0" w:noVBand="1"/>
          </w:tblPr>
          <w:tblGrid>
            <w:gridCol w:w="2555"/>
            <w:gridCol w:w="3656"/>
          </w:tblGrid>
          <w:tr w:rsidR="008B70CB">
            <w:trPr>
              <w:trHeight w:val="152"/>
            </w:trPr>
            <w:tc>
              <w:tcPr>
                <w:tcW w:w="2555" w:type="dxa"/>
              </w:tcPr>
              <w:p w:rsidR="008B70CB" w:rsidRDefault="00CC56CD">
                <w:pPr>
                  <w:tabs>
                    <w:tab w:val="right" w:pos="8838"/>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56" w:type="dxa"/>
              </w:tcPr>
              <w:p w:rsidR="008B70CB" w:rsidRDefault="00CC56CD">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05546/INFOEM/IP/RR/2024 y acumulado</w:t>
                </w:r>
              </w:p>
            </w:tc>
          </w:tr>
          <w:tr w:rsidR="008B70CB">
            <w:trPr>
              <w:trHeight w:val="152"/>
            </w:trPr>
            <w:tc>
              <w:tcPr>
                <w:tcW w:w="2555" w:type="dxa"/>
              </w:tcPr>
              <w:p w:rsidR="008B70CB" w:rsidRDefault="00CC56CD">
                <w:pPr>
                  <w:tabs>
                    <w:tab w:val="right" w:pos="8838"/>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56" w:type="dxa"/>
              </w:tcPr>
              <w:p w:rsidR="008B70CB" w:rsidRDefault="00CC56CD">
                <w:pPr>
                  <w:tabs>
                    <w:tab w:val="right" w:pos="8838"/>
                  </w:tabs>
                  <w:ind w:left="-108" w:right="14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de Agua Potable Alcantarillado y Saneamiento de Ecatepec de Morelos</w:t>
                </w:r>
              </w:p>
            </w:tc>
          </w:tr>
          <w:tr w:rsidR="008B70CB">
            <w:trPr>
              <w:trHeight w:val="145"/>
            </w:trPr>
            <w:tc>
              <w:tcPr>
                <w:tcW w:w="2555" w:type="dxa"/>
              </w:tcPr>
              <w:p w:rsidR="008B70CB" w:rsidRDefault="00CC56CD">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56" w:type="dxa"/>
              </w:tcPr>
              <w:p w:rsidR="008B70CB" w:rsidRDefault="00CC56CD">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8B70CB" w:rsidRDefault="008B70CB">
                <w:pPr>
                  <w:tabs>
                    <w:tab w:val="right" w:pos="8838"/>
                  </w:tabs>
                  <w:ind w:left="-108"/>
                  <w:jc w:val="both"/>
                  <w:rPr>
                    <w:rFonts w:ascii="Palatino Linotype" w:eastAsia="Palatino Linotype" w:hAnsi="Palatino Linotype" w:cs="Palatino Linotype"/>
                    <w:sz w:val="22"/>
                    <w:szCs w:val="22"/>
                  </w:rPr>
                </w:pPr>
              </w:p>
              <w:p w:rsidR="008B70CB" w:rsidRDefault="008B70CB">
                <w:pPr>
                  <w:tabs>
                    <w:tab w:val="right" w:pos="8838"/>
                  </w:tabs>
                  <w:ind w:left="-108"/>
                  <w:jc w:val="both"/>
                  <w:rPr>
                    <w:rFonts w:ascii="Palatino Linotype" w:eastAsia="Palatino Linotype" w:hAnsi="Palatino Linotype" w:cs="Palatino Linotype"/>
                    <w:b/>
                    <w:sz w:val="22"/>
                    <w:szCs w:val="22"/>
                  </w:rPr>
                </w:pPr>
              </w:p>
            </w:tc>
          </w:tr>
        </w:tbl>
        <w:p w:rsidR="008B70CB" w:rsidRDefault="008B70CB">
          <w:pPr>
            <w:tabs>
              <w:tab w:val="right" w:pos="8838"/>
            </w:tabs>
            <w:ind w:left="-28"/>
            <w:jc w:val="both"/>
            <w:rPr>
              <w:rFonts w:ascii="Arial" w:eastAsia="Arial" w:hAnsi="Arial" w:cs="Arial"/>
              <w:b/>
              <w:sz w:val="22"/>
              <w:szCs w:val="22"/>
            </w:rPr>
          </w:pPr>
        </w:p>
      </w:tc>
    </w:tr>
  </w:tbl>
  <w:p w:rsidR="008B70CB" w:rsidRDefault="008B70CB">
    <w:pPr>
      <w:pBdr>
        <w:top w:val="nil"/>
        <w:left w:val="nil"/>
        <w:bottom w:val="nil"/>
        <w:right w:val="nil"/>
        <w:between w:val="nil"/>
      </w:pBdr>
      <w:tabs>
        <w:tab w:val="center" w:pos="4419"/>
        <w:tab w:val="right" w:pos="8838"/>
      </w:tabs>
      <w:rPr>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0CB" w:rsidRDefault="00422744">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5.35pt;margin-top:-178.8pt;width:663.5pt;height:12in;z-index:-251659264;mso-position-horizontal:absolute;mso-position-horizontal-relative:margin;mso-position-vertical:absolute;mso-position-vertical-relative:margin">
          <v:imagedata r:id="rId1" o:title="image2"/>
          <w10:wrap anchorx="margin" anchory="margin"/>
        </v:shape>
      </w:pict>
    </w:r>
  </w:p>
  <w:tbl>
    <w:tblPr>
      <w:tblStyle w:val="af0"/>
      <w:tblpPr w:leftFromText="141" w:rightFromText="141" w:vertAnchor="page" w:horzAnchor="margin" w:tblpY="556"/>
      <w:tblW w:w="9256" w:type="dxa"/>
      <w:tblInd w:w="0" w:type="dxa"/>
      <w:tblLayout w:type="fixed"/>
      <w:tblLook w:val="0400" w:firstRow="0" w:lastRow="0" w:firstColumn="0" w:lastColumn="0" w:noHBand="0" w:noVBand="1"/>
    </w:tblPr>
    <w:tblGrid>
      <w:gridCol w:w="2830"/>
      <w:gridCol w:w="2415"/>
      <w:gridCol w:w="4011"/>
    </w:tblGrid>
    <w:tr w:rsidR="008B70CB">
      <w:trPr>
        <w:trHeight w:val="466"/>
      </w:trPr>
      <w:tc>
        <w:tcPr>
          <w:tcW w:w="2830" w:type="dxa"/>
        </w:tcPr>
        <w:p w:rsidR="008B70CB" w:rsidRDefault="008B70CB">
          <w:pPr>
            <w:tabs>
              <w:tab w:val="right" w:pos="8838"/>
            </w:tabs>
            <w:ind w:right="-105"/>
            <w:rPr>
              <w:rFonts w:ascii="Palatino Linotype" w:eastAsia="Palatino Linotype" w:hAnsi="Palatino Linotype" w:cs="Palatino Linotype"/>
              <w:b/>
              <w:sz w:val="22"/>
              <w:szCs w:val="22"/>
            </w:rPr>
          </w:pPr>
        </w:p>
      </w:tc>
      <w:tc>
        <w:tcPr>
          <w:tcW w:w="2415" w:type="dxa"/>
        </w:tcPr>
        <w:p w:rsidR="008B70CB" w:rsidRDefault="008B70CB">
          <w:pPr>
            <w:tabs>
              <w:tab w:val="left" w:pos="1735"/>
              <w:tab w:val="right" w:pos="8838"/>
            </w:tabs>
            <w:rPr>
              <w:rFonts w:ascii="Palatino Linotype" w:eastAsia="Palatino Linotype" w:hAnsi="Palatino Linotype" w:cs="Palatino Linotype"/>
              <w:b/>
              <w:sz w:val="22"/>
              <w:szCs w:val="22"/>
            </w:rPr>
          </w:pPr>
        </w:p>
        <w:p w:rsidR="008B70CB" w:rsidRDefault="00CC56CD">
          <w:pPr>
            <w:tabs>
              <w:tab w:val="left" w:pos="1735"/>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11" w:type="dxa"/>
        </w:tcPr>
        <w:p w:rsidR="008B70CB" w:rsidRDefault="008B70CB">
          <w:pPr>
            <w:tabs>
              <w:tab w:val="left" w:pos="3435"/>
              <w:tab w:val="right" w:pos="8838"/>
            </w:tabs>
            <w:ind w:right="359"/>
            <w:jc w:val="both"/>
            <w:rPr>
              <w:rFonts w:ascii="Palatino Linotype" w:eastAsia="Palatino Linotype" w:hAnsi="Palatino Linotype" w:cs="Palatino Linotype"/>
              <w:b/>
              <w:sz w:val="22"/>
              <w:szCs w:val="22"/>
            </w:rPr>
          </w:pPr>
        </w:p>
        <w:p w:rsidR="008B70CB" w:rsidRDefault="00CC56CD">
          <w:pPr>
            <w:tabs>
              <w:tab w:val="left" w:pos="3435"/>
              <w:tab w:val="right" w:pos="8838"/>
            </w:tabs>
            <w:ind w:right="35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05546/INFOEM/IP/RR/2024 y acumulado</w:t>
          </w:r>
        </w:p>
      </w:tc>
    </w:tr>
    <w:tr w:rsidR="008B70CB">
      <w:trPr>
        <w:trHeight w:val="119"/>
      </w:trPr>
      <w:tc>
        <w:tcPr>
          <w:tcW w:w="2830" w:type="dxa"/>
        </w:tcPr>
        <w:p w:rsidR="008B70CB" w:rsidRDefault="008B70CB">
          <w:pPr>
            <w:tabs>
              <w:tab w:val="right" w:pos="8838"/>
            </w:tabs>
            <w:ind w:right="-105"/>
            <w:rPr>
              <w:rFonts w:ascii="Palatino Linotype" w:eastAsia="Palatino Linotype" w:hAnsi="Palatino Linotype" w:cs="Palatino Linotype"/>
              <w:b/>
              <w:sz w:val="22"/>
              <w:szCs w:val="22"/>
            </w:rPr>
          </w:pPr>
        </w:p>
      </w:tc>
      <w:tc>
        <w:tcPr>
          <w:tcW w:w="2415" w:type="dxa"/>
        </w:tcPr>
        <w:p w:rsidR="008B70CB" w:rsidRDefault="00CC56CD">
          <w:pPr>
            <w:tabs>
              <w:tab w:val="right" w:pos="8838"/>
            </w:tabs>
            <w:ind w:right="171"/>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011" w:type="dxa"/>
        </w:tcPr>
        <w:p w:rsidR="008B70CB" w:rsidRDefault="008B70CB">
          <w:pPr>
            <w:tabs>
              <w:tab w:val="right" w:pos="8838"/>
            </w:tabs>
            <w:ind w:right="359"/>
            <w:jc w:val="both"/>
            <w:rPr>
              <w:rFonts w:ascii="Palatino Linotype" w:eastAsia="Palatino Linotype" w:hAnsi="Palatino Linotype" w:cs="Palatino Linotype"/>
              <w:sz w:val="22"/>
              <w:szCs w:val="22"/>
            </w:rPr>
          </w:pPr>
        </w:p>
      </w:tc>
    </w:tr>
    <w:tr w:rsidR="008B70CB">
      <w:trPr>
        <w:trHeight w:val="234"/>
      </w:trPr>
      <w:tc>
        <w:tcPr>
          <w:tcW w:w="2830" w:type="dxa"/>
        </w:tcPr>
        <w:p w:rsidR="008B70CB" w:rsidRDefault="008B70CB">
          <w:pPr>
            <w:tabs>
              <w:tab w:val="right" w:pos="8838"/>
            </w:tabs>
            <w:ind w:right="26"/>
            <w:rPr>
              <w:rFonts w:ascii="Palatino Linotype" w:eastAsia="Palatino Linotype" w:hAnsi="Palatino Linotype" w:cs="Palatino Linotype"/>
              <w:b/>
              <w:sz w:val="22"/>
              <w:szCs w:val="22"/>
            </w:rPr>
          </w:pPr>
        </w:p>
      </w:tc>
      <w:tc>
        <w:tcPr>
          <w:tcW w:w="2415" w:type="dxa"/>
        </w:tcPr>
        <w:p w:rsidR="008B70CB" w:rsidRDefault="00CC56CD">
          <w:pPr>
            <w:tabs>
              <w:tab w:val="right" w:pos="8838"/>
            </w:tabs>
            <w:ind w:right="17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11" w:type="dxa"/>
        </w:tcPr>
        <w:p w:rsidR="008B70CB" w:rsidRDefault="00CC56CD">
          <w:pPr>
            <w:tabs>
              <w:tab w:val="right" w:pos="8838"/>
            </w:tabs>
            <w:ind w:right="35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de Agua Potable Alcantarillado y Saneamiento de Ecatepec de Morelos</w:t>
          </w:r>
        </w:p>
      </w:tc>
    </w:tr>
    <w:tr w:rsidR="008B70CB">
      <w:trPr>
        <w:trHeight w:val="234"/>
      </w:trPr>
      <w:tc>
        <w:tcPr>
          <w:tcW w:w="2830" w:type="dxa"/>
        </w:tcPr>
        <w:p w:rsidR="008B70CB" w:rsidRDefault="008B70CB">
          <w:pPr>
            <w:tabs>
              <w:tab w:val="right" w:pos="8838"/>
            </w:tabs>
            <w:ind w:right="-105"/>
            <w:rPr>
              <w:rFonts w:ascii="Palatino Linotype" w:eastAsia="Palatino Linotype" w:hAnsi="Palatino Linotype" w:cs="Palatino Linotype"/>
              <w:b/>
              <w:sz w:val="22"/>
              <w:szCs w:val="22"/>
            </w:rPr>
          </w:pPr>
        </w:p>
      </w:tc>
      <w:tc>
        <w:tcPr>
          <w:tcW w:w="2415" w:type="dxa"/>
        </w:tcPr>
        <w:p w:rsidR="008B70CB" w:rsidRDefault="00CC56CD">
          <w:pPr>
            <w:tabs>
              <w:tab w:val="right" w:pos="8838"/>
            </w:tabs>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011" w:type="dxa"/>
        </w:tcPr>
        <w:p w:rsidR="008B70CB" w:rsidRDefault="00CC56CD">
          <w:pPr>
            <w:tabs>
              <w:tab w:val="right" w:pos="8838"/>
            </w:tabs>
            <w:ind w:right="35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8B70CB" w:rsidRDefault="008B70CB">
          <w:pPr>
            <w:tabs>
              <w:tab w:val="right" w:pos="8838"/>
            </w:tabs>
            <w:ind w:right="359"/>
            <w:rPr>
              <w:rFonts w:ascii="Palatino Linotype" w:eastAsia="Palatino Linotype" w:hAnsi="Palatino Linotype" w:cs="Palatino Linotype"/>
              <w:sz w:val="22"/>
              <w:szCs w:val="22"/>
            </w:rPr>
          </w:pPr>
        </w:p>
      </w:tc>
    </w:tr>
  </w:tbl>
  <w:p w:rsidR="008B70CB" w:rsidRDefault="008B70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686E"/>
    <w:multiLevelType w:val="multilevel"/>
    <w:tmpl w:val="38A8D50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A53EEF"/>
    <w:multiLevelType w:val="multilevel"/>
    <w:tmpl w:val="42D4466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3D523CBE"/>
    <w:multiLevelType w:val="multilevel"/>
    <w:tmpl w:val="E640E9A6"/>
    <w:lvl w:ilvl="0">
      <w:start w:val="1"/>
      <w:numFmt w:val="upperLetter"/>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432499"/>
    <w:multiLevelType w:val="multilevel"/>
    <w:tmpl w:val="87AC6DC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545B7202"/>
    <w:multiLevelType w:val="multilevel"/>
    <w:tmpl w:val="1068AFCC"/>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882910"/>
    <w:multiLevelType w:val="multilevel"/>
    <w:tmpl w:val="E64EEA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5B7D85"/>
    <w:multiLevelType w:val="multilevel"/>
    <w:tmpl w:val="757A6268"/>
    <w:lvl w:ilvl="0">
      <w:numFmt w:val="bullet"/>
      <w:lvlText w:val="●"/>
      <w:lvlJc w:val="left"/>
      <w:pPr>
        <w:ind w:left="720" w:hanging="360"/>
      </w:pPr>
      <w:rPr>
        <w:rFonts w:ascii="Noto Sans Symbols" w:eastAsia="Noto Sans Symbols" w:hAnsi="Noto Sans Symbols" w:cs="Noto Sans Symbols"/>
        <w:b/>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CB"/>
    <w:rsid w:val="00305B6E"/>
    <w:rsid w:val="00405758"/>
    <w:rsid w:val="00422744"/>
    <w:rsid w:val="006A4521"/>
    <w:rsid w:val="007939C3"/>
    <w:rsid w:val="008B70CB"/>
    <w:rsid w:val="00B36458"/>
    <w:rsid w:val="00CC56CD"/>
    <w:rsid w:val="00FC5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C603035-7079-464C-A4B5-0EF8F763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3B"/>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33364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2"/>
    <w:rPr>
      <w:rFonts w:ascii="Calibri" w:eastAsia="Calibri" w:hAnsi="Calibri" w:cs="Calibri"/>
    </w:r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490B81"/>
    <w:pPr>
      <w:spacing w:line="259" w:lineRule="auto"/>
      <w:outlineLvl w:val="9"/>
    </w:pPr>
    <w:rPr>
      <w:lang w:eastAsia="es-MX"/>
    </w:rPr>
  </w:style>
  <w:style w:type="paragraph" w:styleId="TDC1">
    <w:name w:val="toc 1"/>
    <w:basedOn w:val="Normal"/>
    <w:next w:val="Normal"/>
    <w:autoRedefine/>
    <w:uiPriority w:val="39"/>
    <w:unhideWhenUsed/>
    <w:rsid w:val="008622A3"/>
    <w:pPr>
      <w:spacing w:after="100"/>
    </w:pPr>
  </w:style>
  <w:style w:type="paragraph" w:styleId="TDC2">
    <w:name w:val="toc 2"/>
    <w:basedOn w:val="Normal"/>
    <w:next w:val="Normal"/>
    <w:autoRedefine/>
    <w:uiPriority w:val="39"/>
    <w:unhideWhenUsed/>
    <w:rsid w:val="008622A3"/>
    <w:pPr>
      <w:spacing w:after="100"/>
      <w:ind w:left="200"/>
    </w:pPr>
  </w:style>
  <w:style w:type="table" w:customStyle="1" w:styleId="a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0">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y1pJ1TuOr3n2QYxSNTP4YdrnQ==">CgMxLjAyCGgudHlqY3d0MgloLjNkeTZ2a20yCWguMXQzaDVzZjIJaC40ZDM0b2c4MgloLjJzOGV5bzEyCWguMTdkcDh2dTIIaC5namRneHMyCWguM3JkY3JqbjIJaC4yNmluMXJnMghoLmxueGJ6OTIJaC4zNW5rdW4yMgloLjFrc3Y0dXYyCWguNDRzaW5pbzIJaC4yanhzeHFoMghoLnozMzd5YTgAciExZWg5MHg1dFFlMzFEaW9ieDFqVW5MUEVKZkl2eU1WRFU=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11568</Words>
  <Characters>63626</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cp:lastModifiedBy>
  <cp:revision>4</cp:revision>
  <cp:lastPrinted>2024-12-05T18:23:00Z</cp:lastPrinted>
  <dcterms:created xsi:type="dcterms:W3CDTF">2024-12-05T18:23:00Z</dcterms:created>
  <dcterms:modified xsi:type="dcterms:W3CDTF">2025-02-04T20:07:00Z</dcterms:modified>
</cp:coreProperties>
</file>