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6C72"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veinticinco de septiembre de dos mil veinticuatro. </w:t>
      </w:r>
    </w:p>
    <w:p w14:paraId="31C307D0" w14:textId="77777777" w:rsidR="004F3713" w:rsidRPr="00CE4B17" w:rsidRDefault="004F3713">
      <w:pPr>
        <w:spacing w:after="0" w:line="360" w:lineRule="auto"/>
        <w:ind w:right="49"/>
        <w:jc w:val="both"/>
        <w:rPr>
          <w:rFonts w:ascii="Palatino Linotype" w:eastAsia="Palatino Linotype" w:hAnsi="Palatino Linotype" w:cs="Palatino Linotype"/>
        </w:rPr>
      </w:pPr>
    </w:p>
    <w:p w14:paraId="220F8B75" w14:textId="77777777" w:rsidR="004F3713" w:rsidRPr="00CE4B17" w:rsidRDefault="00640082">
      <w:pPr>
        <w:spacing w:after="0" w:line="360" w:lineRule="auto"/>
        <w:ind w:right="27"/>
        <w:jc w:val="both"/>
        <w:rPr>
          <w:rFonts w:ascii="Palatino Linotype" w:eastAsia="Palatino Linotype" w:hAnsi="Palatino Linotype" w:cs="Palatino Linotype"/>
          <w:b/>
        </w:rPr>
      </w:pPr>
      <w:r w:rsidRPr="00CE4B17">
        <w:rPr>
          <w:rFonts w:ascii="Palatino Linotype" w:eastAsia="Palatino Linotype" w:hAnsi="Palatino Linotype" w:cs="Palatino Linotype"/>
        </w:rPr>
        <w:t xml:space="preserve">Visto el expediente relativo al recurso de revisión </w:t>
      </w:r>
      <w:r w:rsidRPr="00CE4B17">
        <w:rPr>
          <w:rFonts w:ascii="Palatino Linotype" w:eastAsia="Palatino Linotype" w:hAnsi="Palatino Linotype" w:cs="Palatino Linotype"/>
          <w:b/>
        </w:rPr>
        <w:t>04594/INFOEM/IP/RR/2024</w:t>
      </w:r>
      <w:r w:rsidRPr="00CE4B17">
        <w:rPr>
          <w:rFonts w:ascii="Palatino Linotype" w:eastAsia="Palatino Linotype" w:hAnsi="Palatino Linotype" w:cs="Palatino Linotype"/>
        </w:rPr>
        <w:t>, interpuesto por</w:t>
      </w:r>
      <w:r w:rsidRPr="00CE4B17">
        <w:rPr>
          <w:rFonts w:ascii="Palatino Linotype" w:eastAsia="Palatino Linotype" w:hAnsi="Palatino Linotype" w:cs="Palatino Linotype"/>
          <w:b/>
        </w:rPr>
        <w:t xml:space="preserve"> un usuario del Sistema de Acceso a la Información Mexiquense</w:t>
      </w:r>
      <w:r w:rsidRPr="00CE4B17">
        <w:rPr>
          <w:rFonts w:ascii="Palatino Linotype" w:eastAsia="Palatino Linotype" w:hAnsi="Palatino Linotype" w:cs="Palatino Linotype"/>
        </w:rPr>
        <w:t xml:space="preserve">, al cual en lo sucesivo se le denominará la parte </w:t>
      </w:r>
      <w:r w:rsidRPr="00CE4B17">
        <w:rPr>
          <w:rFonts w:ascii="Palatino Linotype" w:eastAsia="Palatino Linotype" w:hAnsi="Palatino Linotype" w:cs="Palatino Linotype"/>
          <w:b/>
        </w:rPr>
        <w:t>Recurrente</w:t>
      </w:r>
      <w:r w:rsidRPr="00CE4B17">
        <w:rPr>
          <w:rFonts w:ascii="Palatino Linotype" w:eastAsia="Palatino Linotype" w:hAnsi="Palatino Linotype" w:cs="Palatino Linotype"/>
        </w:rPr>
        <w:t xml:space="preserve">, en contra de la respuesta a su solicitud de información identificada con número de folio </w:t>
      </w:r>
      <w:r w:rsidRPr="00CE4B17">
        <w:rPr>
          <w:rFonts w:ascii="Palatino Linotype" w:eastAsia="Palatino Linotype" w:hAnsi="Palatino Linotype" w:cs="Palatino Linotype"/>
          <w:b/>
        </w:rPr>
        <w:t xml:space="preserve">00157/TEMAMATL/IP/2024 </w:t>
      </w:r>
      <w:r w:rsidRPr="00CE4B17">
        <w:rPr>
          <w:rFonts w:ascii="Palatino Linotype" w:eastAsia="Palatino Linotype" w:hAnsi="Palatino Linotype" w:cs="Palatino Linotype"/>
        </w:rPr>
        <w:t xml:space="preserve">proporcionada por parte del </w:t>
      </w:r>
      <w:r w:rsidRPr="00CE4B17">
        <w:rPr>
          <w:rFonts w:ascii="Palatino Linotype" w:eastAsia="Palatino Linotype" w:hAnsi="Palatino Linotype" w:cs="Palatino Linotype"/>
          <w:b/>
        </w:rPr>
        <w:t xml:space="preserve">Ayuntamiento de Temamatla, </w:t>
      </w:r>
      <w:r w:rsidRPr="00CE4B17">
        <w:rPr>
          <w:rFonts w:ascii="Palatino Linotype" w:eastAsia="Palatino Linotype" w:hAnsi="Palatino Linotype" w:cs="Palatino Linotype"/>
        </w:rPr>
        <w:t xml:space="preserve">en lo sucesivo 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se procede a dictar la presente resolución, con base en los siguientes:</w:t>
      </w:r>
      <w:r w:rsidRPr="00CE4B17">
        <w:rPr>
          <w:rFonts w:ascii="Palatino Linotype" w:eastAsia="Palatino Linotype" w:hAnsi="Palatino Linotype" w:cs="Palatino Linotype"/>
          <w:b/>
        </w:rPr>
        <w:t xml:space="preserve"> </w:t>
      </w:r>
    </w:p>
    <w:p w14:paraId="4965D9A0" w14:textId="77777777" w:rsidR="004F3713" w:rsidRPr="00CE4B17" w:rsidRDefault="004F3713">
      <w:pPr>
        <w:spacing w:after="0" w:line="360" w:lineRule="auto"/>
        <w:ind w:right="27"/>
        <w:jc w:val="both"/>
        <w:rPr>
          <w:rFonts w:ascii="Palatino Linotype" w:eastAsia="Palatino Linotype" w:hAnsi="Palatino Linotype" w:cs="Palatino Linotype"/>
          <w:b/>
        </w:rPr>
      </w:pPr>
    </w:p>
    <w:p w14:paraId="635AABF6" w14:textId="77777777" w:rsidR="004F3713" w:rsidRPr="00CE4B17" w:rsidRDefault="00640082">
      <w:pPr>
        <w:numPr>
          <w:ilvl w:val="0"/>
          <w:numId w:val="1"/>
        </w:numPr>
        <w:pBdr>
          <w:top w:val="nil"/>
          <w:left w:val="nil"/>
          <w:bottom w:val="nil"/>
          <w:right w:val="nil"/>
          <w:between w:val="nil"/>
        </w:pBdr>
        <w:spacing w:after="0" w:line="360" w:lineRule="auto"/>
        <w:ind w:right="49"/>
        <w:jc w:val="center"/>
        <w:rPr>
          <w:rFonts w:ascii="Palatino Linotype" w:eastAsia="Palatino Linotype" w:hAnsi="Palatino Linotype" w:cs="Palatino Linotype"/>
          <w:b/>
        </w:rPr>
      </w:pPr>
      <w:r w:rsidRPr="00CE4B17">
        <w:rPr>
          <w:rFonts w:ascii="Palatino Linotype" w:eastAsia="Palatino Linotype" w:hAnsi="Palatino Linotype" w:cs="Palatino Linotype"/>
          <w:b/>
        </w:rPr>
        <w:t>A N T E C E D E N T E S</w:t>
      </w:r>
    </w:p>
    <w:p w14:paraId="2883D83B" w14:textId="77777777" w:rsidR="004F3713" w:rsidRPr="00CE4B17" w:rsidRDefault="004F3713">
      <w:pPr>
        <w:pBdr>
          <w:top w:val="nil"/>
          <w:left w:val="nil"/>
          <w:bottom w:val="nil"/>
          <w:right w:val="nil"/>
          <w:between w:val="nil"/>
        </w:pBdr>
        <w:spacing w:after="0" w:line="360" w:lineRule="auto"/>
        <w:ind w:left="1080" w:right="49"/>
        <w:rPr>
          <w:rFonts w:ascii="Palatino Linotype" w:eastAsia="Palatino Linotype" w:hAnsi="Palatino Linotype" w:cs="Palatino Linotype"/>
          <w:b/>
        </w:rPr>
      </w:pPr>
    </w:p>
    <w:p w14:paraId="650B1D6F"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E4B17">
        <w:rPr>
          <w:rFonts w:ascii="Palatino Linotype" w:eastAsia="Palatino Linotype" w:hAnsi="Palatino Linotype" w:cs="Palatino Linotype"/>
          <w:b/>
        </w:rPr>
        <w:t>Solicitud de acceso a la información.</w:t>
      </w:r>
      <w:r w:rsidRPr="00CE4B17">
        <w:rPr>
          <w:rFonts w:ascii="Palatino Linotype" w:eastAsia="Palatino Linotype" w:hAnsi="Palatino Linotype" w:cs="Palatino Linotype"/>
        </w:rPr>
        <w:t xml:space="preserve"> Con fecha</w:t>
      </w:r>
      <w:r w:rsidRPr="00CE4B17">
        <w:rPr>
          <w:rFonts w:ascii="Palatino Linotype" w:eastAsia="Palatino Linotype" w:hAnsi="Palatino Linotype" w:cs="Palatino Linotype"/>
          <w:b/>
        </w:rPr>
        <w:t xml:space="preserve"> ocho de  julio de dos mil veinticuatro </w:t>
      </w:r>
      <w:r w:rsidRPr="00CE4B17">
        <w:rPr>
          <w:rFonts w:ascii="Palatino Linotype" w:eastAsia="Palatino Linotype" w:hAnsi="Palatino Linotype" w:cs="Palatino Linotype"/>
        </w:rPr>
        <w:t xml:space="preserve">la parte </w:t>
      </w:r>
      <w:r w:rsidRPr="00CE4B17">
        <w:rPr>
          <w:rFonts w:ascii="Palatino Linotype" w:eastAsia="Palatino Linotype" w:hAnsi="Palatino Linotype" w:cs="Palatino Linotype"/>
          <w:b/>
        </w:rPr>
        <w:t>Recurrente</w:t>
      </w:r>
      <w:r w:rsidRPr="00CE4B17">
        <w:rPr>
          <w:rFonts w:ascii="Palatino Linotype" w:eastAsia="Palatino Linotype" w:hAnsi="Palatino Linotype" w:cs="Palatino Linotype"/>
        </w:rPr>
        <w:t xml:space="preserve"> formuló solicitud de acceso a información pública al</w:t>
      </w:r>
      <w:r w:rsidRPr="00CE4B17">
        <w:rPr>
          <w:rFonts w:ascii="Palatino Linotype" w:eastAsia="Palatino Linotype" w:hAnsi="Palatino Linotype" w:cs="Palatino Linotype"/>
          <w:b/>
        </w:rPr>
        <w:t xml:space="preserve"> Sujeto Obligado</w:t>
      </w:r>
      <w:r w:rsidRPr="00CE4B17">
        <w:rPr>
          <w:rFonts w:ascii="Palatino Linotype" w:eastAsia="Palatino Linotype" w:hAnsi="Palatino Linotype" w:cs="Palatino Linotype"/>
        </w:rPr>
        <w:t xml:space="preserve"> a través del Sistema de Acceso a la Información Mexiquense, en adelante SAIMEX, en la que requirió lo siguiente: </w:t>
      </w:r>
    </w:p>
    <w:p w14:paraId="76750888"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2D5481D" w14:textId="77777777" w:rsidR="004F3713" w:rsidRPr="00CE4B17" w:rsidRDefault="00640082">
      <w:pPr>
        <w:spacing w:after="0" w:line="276" w:lineRule="auto"/>
        <w:ind w:left="567" w:right="616"/>
        <w:jc w:val="both"/>
        <w:rPr>
          <w:rFonts w:ascii="Palatino Linotype" w:eastAsia="Palatino Linotype" w:hAnsi="Palatino Linotype" w:cs="Palatino Linotype"/>
          <w:b/>
          <w:i/>
          <w:u w:val="single"/>
        </w:rPr>
      </w:pPr>
      <w:bookmarkStart w:id="0" w:name="_heading=h.gjdgxs" w:colFirst="0" w:colLast="0"/>
      <w:bookmarkEnd w:id="0"/>
      <w:r w:rsidRPr="00CE4B17">
        <w:rPr>
          <w:rFonts w:ascii="Palatino Linotype" w:eastAsia="Palatino Linotype" w:hAnsi="Palatino Linotype" w:cs="Palatino Linotype"/>
          <w:i/>
        </w:rPr>
        <w:t xml:space="preserve">“Solicito información </w:t>
      </w:r>
      <w:r w:rsidRPr="00CE4B17">
        <w:rPr>
          <w:rFonts w:ascii="Palatino Linotype" w:eastAsia="Palatino Linotype" w:hAnsi="Palatino Linotype" w:cs="Palatino Linotype"/>
          <w:b/>
          <w:i/>
          <w:u w:val="single"/>
        </w:rPr>
        <w:t xml:space="preserve">acerca de los mantenimientos realizados en planteles escolares, nombre, acción, si fue realizado con recurso propio, por adjudicación directa, o por concurso de licitación, en que plantel se realizo, en que fecha y que costo tuvo, así cómo el nombre de la empresa que llevo a cabo los trabajos todo esto de los años 2022, 2023 y 2024”. </w:t>
      </w:r>
    </w:p>
    <w:p w14:paraId="4B3C3A01" w14:textId="77777777" w:rsidR="004F3713" w:rsidRPr="00CE4B17" w:rsidRDefault="004F3713">
      <w:pPr>
        <w:spacing w:after="0" w:line="276" w:lineRule="auto"/>
        <w:ind w:left="567" w:right="616"/>
        <w:jc w:val="both"/>
        <w:rPr>
          <w:rFonts w:ascii="Palatino Linotype" w:eastAsia="Palatino Linotype" w:hAnsi="Palatino Linotype" w:cs="Palatino Linotype"/>
          <w:i/>
        </w:rPr>
      </w:pPr>
    </w:p>
    <w:p w14:paraId="608A1E6B" w14:textId="77777777" w:rsidR="004F3713" w:rsidRPr="00CE4B17" w:rsidRDefault="00640082">
      <w:pPr>
        <w:spacing w:after="0"/>
        <w:ind w:right="1183"/>
        <w:jc w:val="both"/>
        <w:rPr>
          <w:rFonts w:ascii="Palatino Linotype" w:eastAsia="Palatino Linotype" w:hAnsi="Palatino Linotype" w:cs="Palatino Linotype"/>
        </w:rPr>
      </w:pPr>
      <w:r w:rsidRPr="00CE4B17">
        <w:rPr>
          <w:rFonts w:ascii="Palatino Linotype" w:eastAsia="Palatino Linotype" w:hAnsi="Palatino Linotype" w:cs="Palatino Linotype"/>
          <w:b/>
        </w:rPr>
        <w:t>Modalidad elegida para la entrega de la información:</w:t>
      </w:r>
      <w:r w:rsidRPr="00CE4B17">
        <w:rPr>
          <w:rFonts w:ascii="Palatino Linotype" w:eastAsia="Palatino Linotype" w:hAnsi="Palatino Linotype" w:cs="Palatino Linotype"/>
        </w:rPr>
        <w:t xml:space="preserve"> a través de SAIMEX.</w:t>
      </w:r>
    </w:p>
    <w:p w14:paraId="2DBDC87D" w14:textId="77777777" w:rsidR="004F3713" w:rsidRPr="00CE4B17" w:rsidRDefault="004F3713">
      <w:pPr>
        <w:spacing w:after="0"/>
        <w:ind w:right="1183"/>
        <w:jc w:val="both"/>
        <w:rPr>
          <w:rFonts w:ascii="Palatino Linotype" w:eastAsia="Palatino Linotype" w:hAnsi="Palatino Linotype" w:cs="Palatino Linotype"/>
        </w:rPr>
      </w:pPr>
    </w:p>
    <w:p w14:paraId="64C1202D"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sidRPr="00CE4B17">
        <w:rPr>
          <w:rFonts w:ascii="Palatino Linotype" w:eastAsia="Palatino Linotype" w:hAnsi="Palatino Linotype" w:cs="Palatino Linotype"/>
          <w:b/>
        </w:rPr>
        <w:t>Respuesta.</w:t>
      </w:r>
      <w:r w:rsidRPr="00CE4B17">
        <w:rPr>
          <w:rFonts w:ascii="Palatino Linotype" w:eastAsia="Palatino Linotype" w:hAnsi="Palatino Linotype" w:cs="Palatino Linotype"/>
        </w:rPr>
        <w:t xml:space="preserve"> El </w:t>
      </w:r>
      <w:r w:rsidRPr="00CE4B17">
        <w:rPr>
          <w:rFonts w:ascii="Palatino Linotype" w:eastAsia="Palatino Linotype" w:hAnsi="Palatino Linotype" w:cs="Palatino Linotype"/>
          <w:b/>
        </w:rPr>
        <w:t>dieciocho de julio de dos mil veinticuatro</w:t>
      </w:r>
      <w:r w:rsidRPr="00CE4B17">
        <w:rPr>
          <w:rFonts w:ascii="Palatino Linotype" w:eastAsia="Palatino Linotype" w:hAnsi="Palatino Linotype" w:cs="Palatino Linotype"/>
        </w:rPr>
        <w:t xml:space="preserve">, el </w:t>
      </w:r>
      <w:r w:rsidRPr="00CE4B17">
        <w:rPr>
          <w:rFonts w:ascii="Palatino Linotype" w:eastAsia="Palatino Linotype" w:hAnsi="Palatino Linotype" w:cs="Palatino Linotype"/>
          <w:b/>
        </w:rPr>
        <w:t xml:space="preserve">SUJETO OBLIGADO </w:t>
      </w:r>
      <w:r w:rsidRPr="00CE4B17">
        <w:rPr>
          <w:rFonts w:ascii="Palatino Linotype" w:eastAsia="Palatino Linotype" w:hAnsi="Palatino Linotype" w:cs="Palatino Linotype"/>
        </w:rPr>
        <w:t xml:space="preserve">emitió respuesta al tenor de lo siguiente: </w:t>
      </w:r>
    </w:p>
    <w:p w14:paraId="5FFC4419"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BCD668B"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w:t>
      </w:r>
      <w:r w:rsidRPr="00CE4B17">
        <w:rPr>
          <w:rFonts w:ascii="Palatino Linotype" w:eastAsia="Palatino Linotype" w:hAnsi="Palatino Linotype" w:cs="Palatino Linotype"/>
          <w:b/>
          <w:i/>
          <w:u w:val="single"/>
        </w:rPr>
        <w:t>RESPUESTA FUNDADA Y MOTIVADA EN EL CONTENIDO DEL OFICIO QUE SE ADJUNTA</w:t>
      </w:r>
      <w:r w:rsidRPr="00CE4B17">
        <w:rPr>
          <w:rFonts w:ascii="Palatino Linotype" w:eastAsia="Palatino Linotype" w:hAnsi="Palatino Linotype" w:cs="Palatino Linotype"/>
          <w:i/>
        </w:rPr>
        <w:t>,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41E3DF2D"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DF5A4C7"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sidRPr="00CE4B17">
        <w:rPr>
          <w:rFonts w:ascii="Palatino Linotype" w:eastAsia="Palatino Linotype" w:hAnsi="Palatino Linotype" w:cs="Palatino Linotype"/>
          <w:b/>
        </w:rPr>
        <w:t xml:space="preserve">Recurso de Revisión.  </w:t>
      </w:r>
      <w:r w:rsidRPr="00CE4B17">
        <w:rPr>
          <w:rFonts w:ascii="Palatino Linotype" w:eastAsia="Palatino Linotype" w:hAnsi="Palatino Linotype" w:cs="Palatino Linotype"/>
        </w:rPr>
        <w:t xml:space="preserve">Inconforme la parte solicitante con la respuesta del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interpuso recurso de revisión a través del SAIMEX el </w:t>
      </w:r>
      <w:r w:rsidRPr="00CE4B17">
        <w:rPr>
          <w:rFonts w:ascii="Palatino Linotype" w:eastAsia="Palatino Linotype" w:hAnsi="Palatino Linotype" w:cs="Palatino Linotype"/>
          <w:b/>
        </w:rPr>
        <w:t>dieciocho de julio de dos mil veinticuatro,</w:t>
      </w:r>
      <w:r w:rsidRPr="00CE4B17">
        <w:rPr>
          <w:rFonts w:ascii="Palatino Linotype" w:eastAsia="Palatino Linotype" w:hAnsi="Palatino Linotype" w:cs="Palatino Linotype"/>
        </w:rPr>
        <w:t xml:space="preserve"> expresando lo siguiente:</w:t>
      </w:r>
    </w:p>
    <w:p w14:paraId="33BF418F" w14:textId="77777777" w:rsidR="004F3713" w:rsidRPr="00CE4B17" w:rsidRDefault="004F3713">
      <w:pPr>
        <w:pBdr>
          <w:top w:val="nil"/>
          <w:left w:val="nil"/>
          <w:bottom w:val="nil"/>
          <w:right w:val="nil"/>
          <w:between w:val="nil"/>
        </w:pBdr>
        <w:spacing w:after="0" w:line="360" w:lineRule="auto"/>
        <w:ind w:left="567" w:right="49"/>
        <w:jc w:val="both"/>
        <w:rPr>
          <w:rFonts w:ascii="Palatino Linotype" w:eastAsia="Palatino Linotype" w:hAnsi="Palatino Linotype" w:cs="Palatino Linotype"/>
          <w:i/>
        </w:rPr>
      </w:pPr>
    </w:p>
    <w:p w14:paraId="4B42C791" w14:textId="77777777" w:rsidR="004F3713" w:rsidRPr="00CE4B17" w:rsidRDefault="00640082">
      <w:pPr>
        <w:spacing w:after="0" w:line="360" w:lineRule="auto"/>
        <w:ind w:left="567"/>
        <w:rPr>
          <w:rFonts w:ascii="Palatino Linotype" w:eastAsia="Palatino Linotype" w:hAnsi="Palatino Linotype" w:cs="Palatino Linotype"/>
          <w:i/>
        </w:rPr>
      </w:pPr>
      <w:r w:rsidRPr="00CE4B17">
        <w:rPr>
          <w:rFonts w:ascii="Palatino Linotype" w:eastAsia="Palatino Linotype" w:hAnsi="Palatino Linotype" w:cs="Palatino Linotype"/>
          <w:b/>
        </w:rPr>
        <w:t>Acto impugnado.</w:t>
      </w:r>
      <w:r w:rsidRPr="00CE4B17">
        <w:t xml:space="preserve"> “</w:t>
      </w:r>
      <w:r w:rsidRPr="00CE4B17">
        <w:rPr>
          <w:rFonts w:ascii="Palatino Linotype" w:eastAsia="Palatino Linotype" w:hAnsi="Palatino Linotype" w:cs="Palatino Linotype"/>
          <w:i/>
        </w:rPr>
        <w:t>Contestación a solicitud”</w:t>
      </w:r>
    </w:p>
    <w:p w14:paraId="5BEEDD7E" w14:textId="77777777" w:rsidR="004F3713" w:rsidRPr="00CE4B17" w:rsidRDefault="00640082">
      <w:pPr>
        <w:spacing w:after="0" w:line="360" w:lineRule="auto"/>
        <w:ind w:left="567"/>
        <w:rPr>
          <w:rFonts w:ascii="Palatino Linotype" w:eastAsia="Palatino Linotype" w:hAnsi="Palatino Linotype" w:cs="Palatino Linotype"/>
          <w:i/>
        </w:rPr>
      </w:pPr>
      <w:r w:rsidRPr="00CE4B17">
        <w:rPr>
          <w:rFonts w:ascii="Palatino Linotype" w:eastAsia="Palatino Linotype" w:hAnsi="Palatino Linotype" w:cs="Palatino Linotype"/>
          <w:b/>
        </w:rPr>
        <w:t>Motivos de inconformidad.</w:t>
      </w:r>
      <w:r w:rsidRPr="00CE4B17">
        <w:rPr>
          <w:rFonts w:ascii="Palatino Linotype" w:eastAsia="Palatino Linotype" w:hAnsi="Palatino Linotype" w:cs="Palatino Linotype"/>
          <w:b/>
          <w:i/>
        </w:rPr>
        <w:t xml:space="preserve"> </w:t>
      </w:r>
      <w:r w:rsidRPr="00CE4B17">
        <w:rPr>
          <w:rFonts w:ascii="Palatino Linotype" w:eastAsia="Palatino Linotype" w:hAnsi="Palatino Linotype" w:cs="Palatino Linotype"/>
          <w:i/>
        </w:rPr>
        <w:t xml:space="preserve">“En la respuesta no se adjunta documento alguno de la información solicitada” </w:t>
      </w:r>
    </w:p>
    <w:p w14:paraId="75B4001D"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E4B17">
        <w:rPr>
          <w:rFonts w:ascii="Palatino Linotype" w:eastAsia="Palatino Linotype" w:hAnsi="Palatino Linotype" w:cs="Palatino Linotype"/>
          <w:b/>
        </w:rPr>
        <w:lastRenderedPageBreak/>
        <w:t>Turno.</w:t>
      </w:r>
      <w:r w:rsidRPr="00CE4B17">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CE4B17">
        <w:rPr>
          <w:rFonts w:ascii="Palatino Linotype" w:eastAsia="Palatino Linotype" w:hAnsi="Palatino Linotype" w:cs="Palatino Linotype"/>
          <w:b/>
        </w:rPr>
        <w:t>04594/INFOEM/IP/RR/2024</w:t>
      </w:r>
      <w:r w:rsidRPr="00CE4B17">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5755478"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13643B4"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E4B17">
        <w:rPr>
          <w:rFonts w:ascii="Palatino Linotype" w:eastAsia="Palatino Linotype" w:hAnsi="Palatino Linotype" w:cs="Palatino Linotype"/>
          <w:b/>
        </w:rPr>
        <w:t>Admisión del recurso de revisión</w:t>
      </w:r>
      <w:r w:rsidRPr="00CE4B17">
        <w:rPr>
          <w:rFonts w:ascii="Palatino Linotype" w:eastAsia="Palatino Linotype" w:hAnsi="Palatino Linotype" w:cs="Palatino Linotype"/>
        </w:rPr>
        <w:t>: En fecha</w:t>
      </w:r>
      <w:r w:rsidRPr="00CE4B17">
        <w:rPr>
          <w:rFonts w:ascii="Palatino Linotype" w:eastAsia="Palatino Linotype" w:hAnsi="Palatino Linotype" w:cs="Palatino Linotype"/>
          <w:b/>
        </w:rPr>
        <w:t xml:space="preserve"> seis de agosto de dos mil veinticuatro</w:t>
      </w:r>
      <w:r w:rsidRPr="00CE4B17">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9D02E81"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94C3BC" w14:textId="77777777" w:rsidR="004F3713" w:rsidRPr="00CE4B17" w:rsidRDefault="00640082">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E4B17">
        <w:rPr>
          <w:rFonts w:ascii="Palatino Linotype" w:eastAsia="Palatino Linotype" w:hAnsi="Palatino Linotype" w:cs="Palatino Linotype"/>
          <w:b/>
        </w:rPr>
        <w:t xml:space="preserve">Manifestaciones. </w:t>
      </w:r>
      <w:r w:rsidRPr="00CE4B17">
        <w:rPr>
          <w:rFonts w:ascii="Palatino Linotype" w:eastAsia="Palatino Linotype" w:hAnsi="Palatino Linotype" w:cs="Palatino Linotype"/>
        </w:rPr>
        <w:t xml:space="preserve">En fecha </w:t>
      </w:r>
      <w:r w:rsidRPr="00CE4B17">
        <w:rPr>
          <w:rFonts w:ascii="Palatino Linotype" w:eastAsia="Palatino Linotype" w:hAnsi="Palatino Linotype" w:cs="Palatino Linotype"/>
          <w:b/>
        </w:rPr>
        <w:t>trece de agosto de dos mil veinticuatro</w:t>
      </w:r>
      <w:r w:rsidRPr="00CE4B17">
        <w:rPr>
          <w:rFonts w:ascii="Palatino Linotype" w:eastAsia="Palatino Linotype" w:hAnsi="Palatino Linotype" w:cs="Palatino Linotype"/>
        </w:rPr>
        <w:t xml:space="preserve">, 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rindió su informe justificado al tenor de lo siguiente:</w:t>
      </w:r>
    </w:p>
    <w:p w14:paraId="1025D7F8"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DB0250" w14:textId="77777777" w:rsidR="004F3713" w:rsidRPr="00CE4B17" w:rsidRDefault="00640082">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Oficio de fecha diecisiete de junio de dos mil veinticuatro, mediante el cual refiere que la información antes mencionada puede ser consultada en la página oficial drl Ipomex conforme la siguiente liga electrónica:  </w:t>
      </w:r>
    </w:p>
    <w:p w14:paraId="6AF479E5" w14:textId="77777777" w:rsidR="004F3713" w:rsidRPr="00CE4B17" w:rsidRDefault="00640082">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CE4B17">
        <w:rPr>
          <w:rFonts w:ascii="Palatino Linotype" w:eastAsia="Palatino Linotype" w:hAnsi="Palatino Linotype" w:cs="Palatino Linotype"/>
          <w:noProof/>
        </w:rPr>
        <w:drawing>
          <wp:inline distT="0" distB="0" distL="0" distR="0" wp14:anchorId="61AD8812" wp14:editId="5949FB0C">
            <wp:extent cx="3904610" cy="1604540"/>
            <wp:effectExtent l="0" t="0" r="0" b="0"/>
            <wp:docPr id="136098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04610" cy="1604540"/>
                    </a:xfrm>
                    <a:prstGeom prst="rect">
                      <a:avLst/>
                    </a:prstGeom>
                    <a:ln/>
                  </pic:spPr>
                </pic:pic>
              </a:graphicData>
            </a:graphic>
          </wp:inline>
        </w:drawing>
      </w:r>
    </w:p>
    <w:p w14:paraId="3FF5474B" w14:textId="77777777" w:rsidR="004F3713" w:rsidRPr="00CE4B17" w:rsidRDefault="00640082">
      <w:pPr>
        <w:pBdr>
          <w:top w:val="nil"/>
          <w:left w:val="nil"/>
          <w:bottom w:val="nil"/>
          <w:right w:val="nil"/>
          <w:between w:val="nil"/>
        </w:pBdr>
        <w:spacing w:after="0" w:line="360" w:lineRule="auto"/>
        <w:ind w:right="49"/>
        <w:rPr>
          <w:rFonts w:ascii="Palatino Linotype" w:eastAsia="Palatino Linotype" w:hAnsi="Palatino Linotype" w:cs="Palatino Linotype"/>
          <w:b/>
        </w:rPr>
      </w:pPr>
      <w:r w:rsidRPr="00CE4B17">
        <w:rPr>
          <w:rFonts w:ascii="Palatino Linotype" w:eastAsia="Palatino Linotype" w:hAnsi="Palatino Linotype" w:cs="Palatino Linotype"/>
        </w:rPr>
        <w:lastRenderedPageBreak/>
        <w:t xml:space="preserve">Documento que se hizo del conocimiento de la parte Recurrente el </w:t>
      </w:r>
      <w:r w:rsidRPr="00CE4B17">
        <w:rPr>
          <w:rFonts w:ascii="Palatino Linotype" w:eastAsia="Palatino Linotype" w:hAnsi="Palatino Linotype" w:cs="Palatino Linotype"/>
          <w:b/>
        </w:rPr>
        <w:t>diez de septiembre de dos mil veinticuatro.</w:t>
      </w:r>
    </w:p>
    <w:p w14:paraId="3FBCE0E3" w14:textId="77777777" w:rsidR="004F3713" w:rsidRPr="00CE4B17" w:rsidRDefault="004F3713">
      <w:pPr>
        <w:pBdr>
          <w:top w:val="nil"/>
          <w:left w:val="nil"/>
          <w:bottom w:val="nil"/>
          <w:right w:val="nil"/>
          <w:between w:val="nil"/>
        </w:pBdr>
        <w:spacing w:after="0" w:line="360" w:lineRule="auto"/>
        <w:ind w:right="49"/>
        <w:rPr>
          <w:rFonts w:ascii="Palatino Linotype" w:eastAsia="Palatino Linotype" w:hAnsi="Palatino Linotype" w:cs="Palatino Linotype"/>
          <w:b/>
        </w:rPr>
      </w:pPr>
    </w:p>
    <w:p w14:paraId="4C0C39BC" w14:textId="77777777" w:rsidR="004F3713" w:rsidRPr="00CE4B17" w:rsidRDefault="00640082">
      <w:pPr>
        <w:pBdr>
          <w:top w:val="nil"/>
          <w:left w:val="nil"/>
          <w:bottom w:val="nil"/>
          <w:right w:val="nil"/>
          <w:between w:val="nil"/>
        </w:pBdr>
        <w:spacing w:after="0" w:line="360" w:lineRule="auto"/>
        <w:ind w:right="49"/>
        <w:rPr>
          <w:rFonts w:ascii="Palatino Linotype" w:eastAsia="Palatino Linotype" w:hAnsi="Palatino Linotype" w:cs="Palatino Linotype"/>
        </w:rPr>
      </w:pPr>
      <w:r w:rsidRPr="00CE4B17">
        <w:rPr>
          <w:rFonts w:ascii="Palatino Linotype" w:eastAsia="Palatino Linotype" w:hAnsi="Palatino Linotype" w:cs="Palatino Linotype"/>
        </w:rPr>
        <w:t>La parte Recurrente no realizó manifestaciones.</w:t>
      </w:r>
    </w:p>
    <w:p w14:paraId="0C0FAFE6" w14:textId="77777777" w:rsidR="004F3713" w:rsidRPr="00CE4B17" w:rsidRDefault="004F3713">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50DBD2C9"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7. Ampliación del término para resolver</w:t>
      </w:r>
      <w:r w:rsidRPr="00CE4B17">
        <w:rPr>
          <w:rFonts w:ascii="Palatino Linotype" w:eastAsia="Palatino Linotype" w:hAnsi="Palatino Linotype" w:cs="Palatino Linotype"/>
        </w:rPr>
        <w:t xml:space="preserve">. En fecha </w:t>
      </w:r>
      <w:r w:rsidRPr="00CE4B17">
        <w:rPr>
          <w:rFonts w:ascii="Palatino Linotype" w:eastAsia="Palatino Linotype" w:hAnsi="Palatino Linotype" w:cs="Palatino Linotype"/>
          <w:b/>
        </w:rPr>
        <w:t xml:space="preserve">once de septiembre de dos mil veinticuatro, </w:t>
      </w:r>
      <w:r w:rsidRPr="00CE4B17">
        <w:rPr>
          <w:rFonts w:ascii="Palatino Linotype" w:eastAsia="Palatino Linotype" w:hAnsi="Palatino Linotype" w:cs="Palatino Linotype"/>
        </w:rPr>
        <w:t>se amplió el término para resolver el recurso de revisión en términos del artículo 181 párrafo tercero de la Ley de Transparencia y Acceso a la Información Pública del Estado de México y Municipios.</w:t>
      </w:r>
    </w:p>
    <w:p w14:paraId="1C3246C2" w14:textId="77777777" w:rsidR="004F3713" w:rsidRPr="00CE4B17" w:rsidRDefault="004F3713">
      <w:pPr>
        <w:spacing w:after="0" w:line="360" w:lineRule="auto"/>
        <w:jc w:val="both"/>
        <w:rPr>
          <w:rFonts w:ascii="Palatino Linotype" w:eastAsia="Palatino Linotype" w:hAnsi="Palatino Linotype" w:cs="Palatino Linotype"/>
          <w:b/>
        </w:rPr>
      </w:pPr>
    </w:p>
    <w:p w14:paraId="4FD13CD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8F9ED"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E38B471" w14:textId="77777777" w:rsidR="004F3713" w:rsidRPr="00CE4B17" w:rsidRDefault="004F3713">
      <w:pPr>
        <w:spacing w:after="0" w:line="360" w:lineRule="auto"/>
        <w:jc w:val="both"/>
        <w:rPr>
          <w:rFonts w:ascii="Palatino Linotype" w:eastAsia="Palatino Linotype" w:hAnsi="Palatino Linotype" w:cs="Palatino Linotype"/>
        </w:rPr>
      </w:pPr>
    </w:p>
    <w:p w14:paraId="206F277F"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34B01CF" w14:textId="77777777" w:rsidR="004F3713" w:rsidRPr="00CE4B17" w:rsidRDefault="004F3713">
      <w:pPr>
        <w:spacing w:after="0" w:line="360" w:lineRule="auto"/>
        <w:jc w:val="both"/>
        <w:rPr>
          <w:rFonts w:ascii="Palatino Linotype" w:eastAsia="Palatino Linotype" w:hAnsi="Palatino Linotype" w:cs="Palatino Linotype"/>
        </w:rPr>
      </w:pPr>
    </w:p>
    <w:p w14:paraId="4F9157C3"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5E0AD75" w14:textId="77777777" w:rsidR="004F3713" w:rsidRPr="00CE4B17" w:rsidRDefault="004F3713">
      <w:pPr>
        <w:spacing w:after="0" w:line="360" w:lineRule="auto"/>
        <w:jc w:val="both"/>
        <w:rPr>
          <w:rFonts w:ascii="Palatino Linotype" w:eastAsia="Palatino Linotype" w:hAnsi="Palatino Linotype" w:cs="Palatino Linotype"/>
        </w:rPr>
      </w:pPr>
    </w:p>
    <w:p w14:paraId="676B1E45"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37522D2" w14:textId="77777777" w:rsidR="004F3713" w:rsidRPr="00CE4B17" w:rsidRDefault="004F3713">
      <w:pPr>
        <w:spacing w:after="0" w:line="360" w:lineRule="auto"/>
        <w:jc w:val="both"/>
        <w:rPr>
          <w:rFonts w:ascii="Palatino Linotype" w:eastAsia="Palatino Linotype" w:hAnsi="Palatino Linotype" w:cs="Palatino Linotype"/>
          <w:strike/>
        </w:rPr>
      </w:pPr>
    </w:p>
    <w:p w14:paraId="0FC59F65" w14:textId="77777777" w:rsidR="004F3713" w:rsidRPr="00CE4B17" w:rsidRDefault="00640082">
      <w:pPr>
        <w:numPr>
          <w:ilvl w:val="0"/>
          <w:numId w:val="3"/>
        </w:num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B8095A6" w14:textId="77777777" w:rsidR="004F3713" w:rsidRPr="00CE4B17" w:rsidRDefault="00640082">
      <w:pPr>
        <w:numPr>
          <w:ilvl w:val="0"/>
          <w:numId w:val="3"/>
        </w:num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Actividad Procesal del interesado. Acciones u omisiones del interesado.</w:t>
      </w:r>
    </w:p>
    <w:p w14:paraId="7EF9BE5E" w14:textId="77777777" w:rsidR="004F3713" w:rsidRPr="00CE4B17" w:rsidRDefault="00640082">
      <w:pPr>
        <w:numPr>
          <w:ilvl w:val="0"/>
          <w:numId w:val="3"/>
        </w:num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Conducta de la Autoridad: Las Acciones u omisiones realizadas en el procedimiento. Así como si la autoridad actuó con la debida diligencia.</w:t>
      </w:r>
    </w:p>
    <w:p w14:paraId="4E091DC6" w14:textId="77777777" w:rsidR="004F3713" w:rsidRPr="00CE4B17" w:rsidRDefault="00640082">
      <w:pPr>
        <w:spacing w:after="0" w:line="360" w:lineRule="auto"/>
        <w:ind w:left="567"/>
        <w:jc w:val="both"/>
        <w:rPr>
          <w:rFonts w:ascii="Palatino Linotype" w:eastAsia="Palatino Linotype" w:hAnsi="Palatino Linotype" w:cs="Palatino Linotype"/>
        </w:rPr>
      </w:pPr>
      <w:r w:rsidRPr="00CE4B17">
        <w:rPr>
          <w:rFonts w:ascii="Palatino Linotype" w:eastAsia="Palatino Linotype" w:hAnsi="Palatino Linotype" w:cs="Palatino Linotype"/>
        </w:rPr>
        <w:t>d) La afectación generada en la situación jurídica de la persona involucrada en el proceso: Violación a sus derechos humanos.</w:t>
      </w:r>
    </w:p>
    <w:p w14:paraId="4EC817E9" w14:textId="77777777" w:rsidR="004F3713" w:rsidRPr="00CE4B17" w:rsidRDefault="004F3713">
      <w:pPr>
        <w:spacing w:after="0" w:line="360" w:lineRule="auto"/>
        <w:ind w:left="567"/>
        <w:jc w:val="both"/>
        <w:rPr>
          <w:rFonts w:ascii="Palatino Linotype" w:eastAsia="Palatino Linotype" w:hAnsi="Palatino Linotype" w:cs="Palatino Linotype"/>
        </w:rPr>
      </w:pPr>
    </w:p>
    <w:p w14:paraId="6D4A1D75"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590D36" w14:textId="77777777" w:rsidR="004F3713" w:rsidRPr="00CE4B17" w:rsidRDefault="004F3713">
      <w:pPr>
        <w:spacing w:after="0" w:line="360" w:lineRule="auto"/>
        <w:jc w:val="both"/>
        <w:rPr>
          <w:rFonts w:ascii="Palatino Linotype" w:eastAsia="Palatino Linotype" w:hAnsi="Palatino Linotype" w:cs="Palatino Linotype"/>
        </w:rPr>
      </w:pPr>
    </w:p>
    <w:p w14:paraId="265CA643"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E4B17">
        <w:rPr>
          <w:rFonts w:ascii="Palatino Linotype" w:eastAsia="Palatino Linotype" w:hAnsi="Palatino Linotype" w:cs="Palatino Linotype"/>
          <w:i/>
        </w:rPr>
        <w:t xml:space="preserve">“TÉRMINOS PROCESALES. PARA </w:t>
      </w:r>
      <w:r w:rsidRPr="00CE4B17">
        <w:rPr>
          <w:rFonts w:ascii="Palatino Linotype" w:eastAsia="Palatino Linotype" w:hAnsi="Palatino Linotype" w:cs="Palatino Linotype"/>
          <w:i/>
        </w:rPr>
        <w:lastRenderedPageBreak/>
        <w:t>DETERMINAR SI UN FUNCIONARIO JUDICIAL ACTUÓ INDEBIDAMENTE POR NO RESPETARLOS SE DEBE ATENDER AL PRESUPUESTO QUE CONSIDERÓ EL LEGISLADOR AL FIJARLOS Y LAS CARACTERÍSTICAS DEL CASO.”</w:t>
      </w:r>
      <w:r w:rsidRPr="00CE4B17">
        <w:rPr>
          <w:rFonts w:ascii="Palatino Linotype" w:eastAsia="Palatino Linotype" w:hAnsi="Palatino Linotype" w:cs="Palatino Linotype"/>
        </w:rPr>
        <w:t>, visible en la Gaceta del Seminario Judicial de la Federación con el registro digital 205635.</w:t>
      </w:r>
    </w:p>
    <w:p w14:paraId="4B63236B" w14:textId="77777777" w:rsidR="004F3713" w:rsidRPr="00CE4B17" w:rsidRDefault="004F3713">
      <w:pPr>
        <w:spacing w:after="0" w:line="360" w:lineRule="auto"/>
        <w:jc w:val="both"/>
        <w:rPr>
          <w:rFonts w:ascii="Palatino Linotype" w:eastAsia="Palatino Linotype" w:hAnsi="Palatino Linotype" w:cs="Palatino Linotype"/>
          <w:b/>
        </w:rPr>
      </w:pPr>
    </w:p>
    <w:p w14:paraId="355299DC"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E56C88" w14:textId="77777777" w:rsidR="004F3713" w:rsidRPr="00CE4B17" w:rsidRDefault="004F3713">
      <w:pPr>
        <w:spacing w:after="0" w:line="360" w:lineRule="auto"/>
        <w:jc w:val="both"/>
        <w:rPr>
          <w:rFonts w:ascii="Palatino Linotype" w:eastAsia="Palatino Linotype" w:hAnsi="Palatino Linotype" w:cs="Palatino Linotype"/>
        </w:rPr>
      </w:pPr>
    </w:p>
    <w:p w14:paraId="48816E8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87B0C90" w14:textId="77777777" w:rsidR="004F3713" w:rsidRPr="00CE4B17" w:rsidRDefault="004F3713">
      <w:pPr>
        <w:spacing w:after="0" w:line="360" w:lineRule="auto"/>
        <w:jc w:val="both"/>
        <w:rPr>
          <w:rFonts w:ascii="Palatino Linotype" w:eastAsia="Palatino Linotype" w:hAnsi="Palatino Linotype" w:cs="Palatino Linotype"/>
        </w:rPr>
      </w:pPr>
    </w:p>
    <w:p w14:paraId="139DB506" w14:textId="77777777" w:rsidR="004F3713" w:rsidRPr="00CE4B17" w:rsidRDefault="00640082">
      <w:pPr>
        <w:spacing w:after="0" w:line="360" w:lineRule="auto"/>
        <w:ind w:left="567" w:right="902"/>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 </w:t>
      </w:r>
      <w:r w:rsidRPr="00CE4B17">
        <w:rPr>
          <w:rFonts w:ascii="Palatino Linotype" w:eastAsia="Palatino Linotype" w:hAnsi="Palatino Linotype" w:cs="Palatino Linotype"/>
          <w:i/>
        </w:rPr>
        <w:t>“</w:t>
      </w:r>
      <w:r w:rsidRPr="00CE4B17">
        <w:rPr>
          <w:rFonts w:ascii="Palatino Linotype" w:eastAsia="Palatino Linotype" w:hAnsi="Palatino Linotype" w:cs="Palatino Linotype"/>
          <w:b/>
          <w:i/>
        </w:rPr>
        <w:t>PLAZO RAZONABLE PARA RESOLVER. DIMENSIÓN Y EFECTOS DE ESTE CONCEPTO CUANDO SE ADUCE EXCESIVA CARGA DE TRABAJO</w:t>
      </w:r>
      <w:r w:rsidRPr="00CE4B17">
        <w:rPr>
          <w:rFonts w:ascii="Palatino Linotype" w:eastAsia="Palatino Linotype" w:hAnsi="Palatino Linotype" w:cs="Palatino Linotype"/>
          <w:i/>
        </w:rPr>
        <w:t>.”</w:t>
      </w:r>
      <w:r w:rsidRPr="00CE4B17">
        <w:rPr>
          <w:rFonts w:ascii="Palatino Linotype" w:eastAsia="Palatino Linotype" w:hAnsi="Palatino Linotype" w:cs="Palatino Linotype"/>
        </w:rPr>
        <w:t xml:space="preserve"> consultable en el Seminario Judicial de la Federación y su gaceta, con el registro digital 2002351.</w:t>
      </w:r>
    </w:p>
    <w:p w14:paraId="24367050" w14:textId="77777777" w:rsidR="004F3713" w:rsidRPr="00CE4B17" w:rsidRDefault="00640082">
      <w:pPr>
        <w:spacing w:after="0" w:line="360" w:lineRule="auto"/>
        <w:ind w:left="567" w:right="902"/>
        <w:jc w:val="both"/>
        <w:rPr>
          <w:rFonts w:ascii="Palatino Linotype" w:eastAsia="Palatino Linotype" w:hAnsi="Palatino Linotype" w:cs="Palatino Linotype"/>
        </w:rPr>
      </w:pPr>
      <w:r w:rsidRPr="00CE4B17">
        <w:rPr>
          <w:rFonts w:ascii="Palatino Linotype" w:eastAsia="Palatino Linotype" w:hAnsi="Palatino Linotype" w:cs="Palatino Linotype"/>
          <w:i/>
        </w:rPr>
        <w:t>“</w:t>
      </w:r>
      <w:r w:rsidRPr="00CE4B17">
        <w:rPr>
          <w:rFonts w:ascii="Palatino Linotype" w:eastAsia="Palatino Linotype" w:hAnsi="Palatino Linotype" w:cs="Palatino Linotype"/>
          <w:b/>
          <w:i/>
        </w:rPr>
        <w:t xml:space="preserve">PLAZO RAZONABLE PARA RESOLVER. CONCEPTO Y ELEMENTOS QUE LO INTEGRAN A LA LUZ DEL DERECHO INTERNACIONAL DE </w:t>
      </w:r>
      <w:r w:rsidRPr="00CE4B17">
        <w:rPr>
          <w:rFonts w:ascii="Palatino Linotype" w:eastAsia="Palatino Linotype" w:hAnsi="Palatino Linotype" w:cs="Palatino Linotype"/>
          <w:b/>
          <w:i/>
        </w:rPr>
        <w:lastRenderedPageBreak/>
        <w:t>LOS DERECHOS HUMANOS</w:t>
      </w:r>
      <w:r w:rsidRPr="00CE4B17">
        <w:rPr>
          <w:rFonts w:ascii="Palatino Linotype" w:eastAsia="Palatino Linotype" w:hAnsi="Palatino Linotype" w:cs="Palatino Linotype"/>
          <w:i/>
        </w:rPr>
        <w:t>.”</w:t>
      </w:r>
      <w:r w:rsidRPr="00CE4B17">
        <w:rPr>
          <w:rFonts w:ascii="Palatino Linotype" w:eastAsia="Palatino Linotype" w:hAnsi="Palatino Linotype" w:cs="Palatino Linotype"/>
        </w:rPr>
        <w:t>, visible en el Seminario Judicial de la Federación y su gaceta, con el registro digital 2002350.</w:t>
      </w:r>
    </w:p>
    <w:p w14:paraId="577F6B54" w14:textId="77777777" w:rsidR="004F3713" w:rsidRPr="00CE4B17" w:rsidRDefault="004F3713">
      <w:pPr>
        <w:spacing w:after="0" w:line="360" w:lineRule="auto"/>
        <w:ind w:left="567" w:right="902"/>
        <w:jc w:val="both"/>
        <w:rPr>
          <w:rFonts w:ascii="Palatino Linotype" w:eastAsia="Palatino Linotype" w:hAnsi="Palatino Linotype" w:cs="Palatino Linotype"/>
        </w:rPr>
      </w:pPr>
    </w:p>
    <w:p w14:paraId="4E454D2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3AECB7B" w14:textId="77777777" w:rsidR="004F3713" w:rsidRPr="00CE4B17" w:rsidRDefault="004F3713">
      <w:pPr>
        <w:spacing w:after="0" w:line="360" w:lineRule="auto"/>
        <w:jc w:val="both"/>
        <w:rPr>
          <w:rFonts w:ascii="Palatino Linotype" w:eastAsia="Palatino Linotype" w:hAnsi="Palatino Linotype" w:cs="Palatino Linotype"/>
        </w:rPr>
      </w:pPr>
    </w:p>
    <w:p w14:paraId="73C10B7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8. Cierre de instrucción</w:t>
      </w:r>
      <w:r w:rsidRPr="00CE4B17">
        <w:rPr>
          <w:rFonts w:ascii="Palatino Linotype" w:eastAsia="Palatino Linotype" w:hAnsi="Palatino Linotype" w:cs="Palatino Linotype"/>
        </w:rPr>
        <w:t xml:space="preserve">. En fecha </w:t>
      </w:r>
      <w:r w:rsidR="00377958" w:rsidRPr="00CE4B17">
        <w:rPr>
          <w:rFonts w:ascii="Palatino Linotype" w:eastAsia="Palatino Linotype" w:hAnsi="Palatino Linotype" w:cs="Palatino Linotype"/>
          <w:b/>
        </w:rPr>
        <w:t>veinticuatro</w:t>
      </w:r>
      <w:r w:rsidRPr="00CE4B17">
        <w:rPr>
          <w:rFonts w:ascii="Palatino Linotype" w:eastAsia="Palatino Linotype" w:hAnsi="Palatino Linotype" w:cs="Palatino Linotype"/>
          <w:b/>
        </w:rPr>
        <w:t xml:space="preserve"> de septiembre de dos mil veinticuatro</w:t>
      </w:r>
      <w:r w:rsidRPr="00CE4B17">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4FE2CA7F" w14:textId="77777777" w:rsidR="004F3713" w:rsidRPr="00CE4B17" w:rsidRDefault="004F3713">
      <w:pPr>
        <w:spacing w:after="0" w:line="360" w:lineRule="auto"/>
        <w:jc w:val="both"/>
        <w:rPr>
          <w:rFonts w:ascii="Palatino Linotype" w:eastAsia="Palatino Linotype" w:hAnsi="Palatino Linotype" w:cs="Palatino Linotype"/>
        </w:rPr>
      </w:pPr>
    </w:p>
    <w:p w14:paraId="4A7F4F5D"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1148BD6" w14:textId="77777777" w:rsidR="004F3713" w:rsidRPr="00CE4B17" w:rsidRDefault="004F3713">
      <w:pPr>
        <w:spacing w:after="0" w:line="360" w:lineRule="auto"/>
        <w:ind w:right="49"/>
        <w:jc w:val="both"/>
        <w:rPr>
          <w:rFonts w:ascii="Palatino Linotype" w:eastAsia="Palatino Linotype" w:hAnsi="Palatino Linotype" w:cs="Palatino Linotype"/>
        </w:rPr>
      </w:pPr>
    </w:p>
    <w:p w14:paraId="5C455D8B" w14:textId="77777777" w:rsidR="004F3713" w:rsidRPr="00CE4B17" w:rsidRDefault="00640082">
      <w:pPr>
        <w:spacing w:after="0" w:line="360" w:lineRule="auto"/>
        <w:ind w:right="49"/>
        <w:jc w:val="center"/>
        <w:rPr>
          <w:rFonts w:ascii="Palatino Linotype" w:eastAsia="Palatino Linotype" w:hAnsi="Palatino Linotype" w:cs="Palatino Linotype"/>
          <w:b/>
        </w:rPr>
      </w:pPr>
      <w:r w:rsidRPr="00CE4B17">
        <w:rPr>
          <w:rFonts w:ascii="Palatino Linotype" w:eastAsia="Palatino Linotype" w:hAnsi="Palatino Linotype" w:cs="Palatino Linotype"/>
          <w:b/>
        </w:rPr>
        <w:t>II.</w:t>
      </w:r>
      <w:r w:rsidRPr="00CE4B17">
        <w:rPr>
          <w:rFonts w:ascii="Palatino Linotype" w:eastAsia="Palatino Linotype" w:hAnsi="Palatino Linotype" w:cs="Palatino Linotype"/>
          <w:b/>
        </w:rPr>
        <w:tab/>
        <w:t>C O N S I D E R A N D O:</w:t>
      </w:r>
    </w:p>
    <w:p w14:paraId="6C227E4D" w14:textId="77777777" w:rsidR="004F3713" w:rsidRPr="00CE4B17" w:rsidRDefault="004F3713">
      <w:pPr>
        <w:spacing w:after="0" w:line="360" w:lineRule="auto"/>
        <w:ind w:right="49"/>
        <w:jc w:val="center"/>
        <w:rPr>
          <w:rFonts w:ascii="Palatino Linotype" w:eastAsia="Palatino Linotype" w:hAnsi="Palatino Linotype" w:cs="Palatino Linotype"/>
          <w:b/>
        </w:rPr>
      </w:pPr>
    </w:p>
    <w:p w14:paraId="025443E4" w14:textId="77777777" w:rsidR="004F3713" w:rsidRPr="00CE4B17" w:rsidRDefault="00640082">
      <w:pPr>
        <w:spacing w:after="0" w:line="360" w:lineRule="auto"/>
        <w:ind w:right="49"/>
        <w:jc w:val="both"/>
        <w:rPr>
          <w:rFonts w:ascii="Palatino Linotype" w:eastAsia="Palatino Linotype" w:hAnsi="Palatino Linotype" w:cs="Palatino Linotype"/>
        </w:rPr>
      </w:pPr>
      <w:bookmarkStart w:id="1" w:name="_heading=h.30j0zll" w:colFirst="0" w:colLast="0"/>
      <w:bookmarkEnd w:id="1"/>
      <w:r w:rsidRPr="00CE4B17">
        <w:rPr>
          <w:rFonts w:ascii="Palatino Linotype" w:eastAsia="Palatino Linotype" w:hAnsi="Palatino Linotype" w:cs="Palatino Linotype"/>
          <w:b/>
        </w:rPr>
        <w:t>Primero. Competencia.</w:t>
      </w:r>
      <w:r w:rsidRPr="00CE4B1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Pr="00CE4B17">
        <w:rPr>
          <w:rFonts w:ascii="Palatino Linotype" w:eastAsia="Palatino Linotype" w:hAnsi="Palatino Linotype" w:cs="Palatino Linotype"/>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5BD354D" w14:textId="77777777" w:rsidR="004F3713" w:rsidRPr="00CE4B17" w:rsidRDefault="004F3713">
      <w:pPr>
        <w:spacing w:after="0" w:line="360" w:lineRule="auto"/>
        <w:ind w:right="49"/>
        <w:jc w:val="both"/>
        <w:rPr>
          <w:rFonts w:ascii="Palatino Linotype" w:eastAsia="Palatino Linotype" w:hAnsi="Palatino Linotype" w:cs="Palatino Linotype"/>
        </w:rPr>
      </w:pPr>
    </w:p>
    <w:p w14:paraId="76B2C302"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Segundo. Oportunidad y Procedibilidad del Recurso de Revisión</w:t>
      </w:r>
      <w:r w:rsidRPr="00CE4B17">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2F0140B" w14:textId="77777777" w:rsidR="004F3713" w:rsidRPr="00CE4B17" w:rsidRDefault="004F3713">
      <w:pPr>
        <w:spacing w:after="0" w:line="360" w:lineRule="auto"/>
        <w:jc w:val="both"/>
        <w:rPr>
          <w:rFonts w:ascii="Palatino Linotype" w:eastAsia="Palatino Linotype" w:hAnsi="Palatino Linotype" w:cs="Palatino Linotype"/>
        </w:rPr>
      </w:pPr>
    </w:p>
    <w:p w14:paraId="0F3DCEA1"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proporcionó su respuesta a la solicitud de información el </w:t>
      </w:r>
      <w:r w:rsidRPr="00CE4B17">
        <w:rPr>
          <w:rFonts w:ascii="Palatino Linotype" w:eastAsia="Palatino Linotype" w:hAnsi="Palatino Linotype" w:cs="Palatino Linotype"/>
          <w:b/>
        </w:rPr>
        <w:t>dieciocho de julio de dos mil veinticuatro</w:t>
      </w:r>
      <w:r w:rsidRPr="00CE4B17">
        <w:rPr>
          <w:rFonts w:ascii="Palatino Linotype" w:eastAsia="Palatino Linotype" w:hAnsi="Palatino Linotype" w:cs="Palatino Linotype"/>
        </w:rPr>
        <w:t xml:space="preserve">, y la parte </w:t>
      </w:r>
      <w:r w:rsidRPr="00CE4B17">
        <w:rPr>
          <w:rFonts w:ascii="Palatino Linotype" w:eastAsia="Palatino Linotype" w:hAnsi="Palatino Linotype" w:cs="Palatino Linotype"/>
          <w:b/>
        </w:rPr>
        <w:t xml:space="preserve">Recurrente </w:t>
      </w:r>
      <w:r w:rsidRPr="00CE4B17">
        <w:rPr>
          <w:rFonts w:ascii="Palatino Linotype" w:eastAsia="Palatino Linotype" w:hAnsi="Palatino Linotype" w:cs="Palatino Linotype"/>
        </w:rPr>
        <w:t xml:space="preserve">presentó su Recurso de Revisión el mismo día en que tuvo conocimiento de la respuesta. </w:t>
      </w:r>
    </w:p>
    <w:p w14:paraId="512CA7CA" w14:textId="77777777" w:rsidR="004F3713" w:rsidRPr="00CE4B17" w:rsidRDefault="004F3713">
      <w:pPr>
        <w:spacing w:after="0" w:line="360" w:lineRule="auto"/>
        <w:ind w:right="49"/>
        <w:jc w:val="both"/>
        <w:rPr>
          <w:rFonts w:ascii="Palatino Linotype" w:eastAsia="Palatino Linotype" w:hAnsi="Palatino Linotype" w:cs="Palatino Linotype"/>
        </w:rPr>
      </w:pPr>
    </w:p>
    <w:p w14:paraId="392DDE27" w14:textId="77777777" w:rsidR="004F3713" w:rsidRPr="00CE4B17" w:rsidRDefault="00640082">
      <w:pPr>
        <w:pBdr>
          <w:top w:val="nil"/>
          <w:left w:val="nil"/>
          <w:bottom w:val="nil"/>
          <w:right w:val="nil"/>
          <w:between w:val="nil"/>
        </w:pBd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FB05BFB" w14:textId="77777777" w:rsidR="004F3713" w:rsidRPr="00CE4B17" w:rsidRDefault="004F3713">
      <w:pPr>
        <w:pBdr>
          <w:top w:val="nil"/>
          <w:left w:val="nil"/>
          <w:bottom w:val="nil"/>
          <w:right w:val="nil"/>
          <w:between w:val="nil"/>
        </w:pBdr>
        <w:spacing w:after="0" w:line="276" w:lineRule="auto"/>
        <w:ind w:left="567" w:right="616"/>
        <w:jc w:val="both"/>
        <w:rPr>
          <w:rFonts w:ascii="Times New Roman" w:eastAsia="Times New Roman" w:hAnsi="Times New Roman" w:cs="Times New Roman"/>
        </w:rPr>
      </w:pPr>
    </w:p>
    <w:p w14:paraId="1BC56F8C" w14:textId="77777777" w:rsidR="004F3713" w:rsidRPr="00CE4B17" w:rsidRDefault="00640082">
      <w:pPr>
        <w:pBdr>
          <w:top w:val="nil"/>
          <w:left w:val="nil"/>
          <w:bottom w:val="nil"/>
          <w:right w:val="nil"/>
          <w:between w:val="nil"/>
        </w:pBdr>
        <w:spacing w:before="120" w:after="120" w:line="276" w:lineRule="auto"/>
        <w:ind w:left="567" w:right="616"/>
        <w:jc w:val="both"/>
        <w:rPr>
          <w:rFonts w:ascii="Times New Roman" w:eastAsia="Times New Roman" w:hAnsi="Times New Roman" w:cs="Times New Roman"/>
        </w:rPr>
      </w:pPr>
      <w:r w:rsidRPr="00CE4B17">
        <w:rPr>
          <w:rFonts w:ascii="Palatino Linotype" w:eastAsia="Palatino Linotype" w:hAnsi="Palatino Linotype" w:cs="Palatino Linotype"/>
          <w:b/>
          <w:i/>
        </w:rPr>
        <w:lastRenderedPageBreak/>
        <w:t>“RECURSO DE RECLAMACIÓN. SU INTERPOSICIÓN NO ES EXTEMPORÁNEA SI SE REALIZA ANTES DE QUE INICIE EL PLAZO PARA HACERLO</w:t>
      </w:r>
      <w:r w:rsidRPr="00CE4B17">
        <w:rPr>
          <w:rFonts w:ascii="Palatino Linotype" w:eastAsia="Palatino Linotype" w:hAnsi="Palatino Linotype" w:cs="Palatino Linotype"/>
          <w:i/>
        </w:rPr>
        <w:t>.</w:t>
      </w:r>
      <w:r w:rsidRPr="00CE4B17">
        <w:rPr>
          <w:rFonts w:ascii="Times New Roman" w:eastAsia="Times New Roman" w:hAnsi="Times New Roman" w:cs="Times New Roman"/>
        </w:rPr>
        <w:t xml:space="preserve"> </w:t>
      </w:r>
      <w:r w:rsidRPr="00CE4B17">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0550CA7" w14:textId="77777777" w:rsidR="004F3713" w:rsidRPr="00CE4B17" w:rsidRDefault="004F3713">
      <w:pPr>
        <w:spacing w:after="0" w:line="360" w:lineRule="auto"/>
        <w:jc w:val="both"/>
        <w:rPr>
          <w:rFonts w:ascii="Palatino Linotype" w:eastAsia="Palatino Linotype" w:hAnsi="Palatino Linotype" w:cs="Palatino Linotype"/>
        </w:rPr>
      </w:pPr>
    </w:p>
    <w:p w14:paraId="59D31E62"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Es de suma importancia mencionar que, si bien, la parte no proporcionó un nombre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3418CE4" w14:textId="77777777" w:rsidR="004F3713" w:rsidRPr="00CE4B17" w:rsidRDefault="004F3713">
      <w:pPr>
        <w:spacing w:after="0" w:line="360" w:lineRule="auto"/>
        <w:jc w:val="both"/>
        <w:rPr>
          <w:rFonts w:ascii="Palatino Linotype" w:eastAsia="Palatino Linotype" w:hAnsi="Palatino Linotype" w:cs="Palatino Linotype"/>
        </w:rPr>
      </w:pPr>
    </w:p>
    <w:p w14:paraId="54C6CF48" w14:textId="77777777" w:rsidR="004F3713" w:rsidRPr="00CE4B17" w:rsidRDefault="00640082">
      <w:pPr>
        <w:spacing w:after="0"/>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6A0AEFCB" w14:textId="77777777" w:rsidR="004F3713" w:rsidRPr="00CE4B17" w:rsidRDefault="004F3713">
      <w:pPr>
        <w:spacing w:after="0" w:line="360" w:lineRule="auto"/>
        <w:jc w:val="both"/>
        <w:rPr>
          <w:rFonts w:ascii="Palatino Linotype" w:eastAsia="Palatino Linotype" w:hAnsi="Palatino Linotype" w:cs="Palatino Linotype"/>
        </w:rPr>
      </w:pPr>
    </w:p>
    <w:p w14:paraId="409E3B81"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Asimismo, resulta procedente la interposición del recurso de revisión al rubro anotado, toda vez que se actualizan las hipótesis previstas en el artículo 179, fracción I de la ley de la materia, que a la letra dice:</w:t>
      </w:r>
    </w:p>
    <w:p w14:paraId="115D87E7" w14:textId="77777777" w:rsidR="004F3713" w:rsidRPr="00CE4B17" w:rsidRDefault="004F3713">
      <w:pPr>
        <w:spacing w:after="0" w:line="360" w:lineRule="auto"/>
        <w:jc w:val="both"/>
        <w:rPr>
          <w:rFonts w:ascii="Palatino Linotype" w:eastAsia="Palatino Linotype" w:hAnsi="Palatino Linotype" w:cs="Palatino Linotype"/>
        </w:rPr>
      </w:pPr>
    </w:p>
    <w:p w14:paraId="4C3359B2"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w:t>
      </w:r>
      <w:r w:rsidRPr="00CE4B17">
        <w:rPr>
          <w:rFonts w:ascii="Palatino Linotype" w:eastAsia="Palatino Linotype" w:hAnsi="Palatino Linotype" w:cs="Palatino Linotype"/>
          <w:b/>
          <w:i/>
        </w:rPr>
        <w:t xml:space="preserve">Artículo 179. </w:t>
      </w:r>
      <w:r w:rsidRPr="00CE4B17">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6904E504"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7BD2C51B" w14:textId="77777777" w:rsidR="004F3713" w:rsidRPr="00CE4B17" w:rsidRDefault="00640082">
      <w:pPr>
        <w:spacing w:after="0" w:line="360"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 La negativa de entrega de la información; </w:t>
      </w:r>
    </w:p>
    <w:p w14:paraId="5FE0AA46" w14:textId="77777777" w:rsidR="004F3713" w:rsidRPr="00CE4B17" w:rsidRDefault="00640082">
      <w:pPr>
        <w:spacing w:after="0" w:line="360" w:lineRule="auto"/>
        <w:ind w:left="567" w:right="616"/>
        <w:jc w:val="both"/>
        <w:rPr>
          <w:rFonts w:ascii="Palatino Linotype" w:eastAsia="Palatino Linotype" w:hAnsi="Palatino Linotype" w:cs="Palatino Linotype"/>
          <w:b/>
          <w:i/>
        </w:rPr>
      </w:pPr>
      <w:r w:rsidRPr="00CE4B17">
        <w:rPr>
          <w:rFonts w:ascii="Palatino Linotype" w:eastAsia="Palatino Linotype" w:hAnsi="Palatino Linotype" w:cs="Palatino Linotype"/>
          <w:i/>
        </w:rPr>
        <w:t xml:space="preserve">…” </w:t>
      </w:r>
    </w:p>
    <w:p w14:paraId="48F116DF" w14:textId="77777777" w:rsidR="004F3713" w:rsidRPr="00CE4B17" w:rsidRDefault="004F3713">
      <w:pPr>
        <w:spacing w:after="0" w:line="360" w:lineRule="auto"/>
        <w:ind w:left="567" w:right="616"/>
        <w:jc w:val="both"/>
        <w:rPr>
          <w:rFonts w:ascii="Palatino Linotype" w:eastAsia="Palatino Linotype" w:hAnsi="Palatino Linotype" w:cs="Palatino Linotype"/>
          <w:b/>
          <w:i/>
        </w:rPr>
      </w:pPr>
    </w:p>
    <w:p w14:paraId="640741E0"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b/>
        </w:rPr>
        <w:t>Tercero. Materia de la revisión</w:t>
      </w:r>
      <w:r w:rsidRPr="00CE4B17">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I del artículo 179 de la Ley en la materia. </w:t>
      </w:r>
    </w:p>
    <w:p w14:paraId="0577188D" w14:textId="77777777" w:rsidR="004F3713" w:rsidRPr="00CE4B17" w:rsidRDefault="004F3713">
      <w:pPr>
        <w:spacing w:after="0" w:line="360" w:lineRule="auto"/>
        <w:ind w:right="49"/>
        <w:jc w:val="both"/>
        <w:rPr>
          <w:rFonts w:ascii="Palatino Linotype" w:eastAsia="Palatino Linotype" w:hAnsi="Palatino Linotype" w:cs="Palatino Linotype"/>
        </w:rPr>
      </w:pPr>
    </w:p>
    <w:p w14:paraId="44F59B76"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b/>
        </w:rPr>
        <w:t>Cuarto.</w:t>
      </w:r>
      <w:r w:rsidRPr="00CE4B17">
        <w:rPr>
          <w:rFonts w:ascii="Palatino Linotype" w:eastAsia="Palatino Linotype" w:hAnsi="Palatino Linotype" w:cs="Palatino Linotype"/>
        </w:rPr>
        <w:t xml:space="preserve"> </w:t>
      </w:r>
      <w:r w:rsidRPr="00CE4B17">
        <w:rPr>
          <w:rFonts w:ascii="Palatino Linotype" w:eastAsia="Palatino Linotype" w:hAnsi="Palatino Linotype" w:cs="Palatino Linotype"/>
          <w:b/>
        </w:rPr>
        <w:t>Estudio de fondo del asunto.</w:t>
      </w:r>
      <w:r w:rsidRPr="00CE4B17">
        <w:rPr>
          <w:rFonts w:ascii="Palatino Linotype" w:eastAsia="Palatino Linotype" w:hAnsi="Palatino Linotype" w:cs="Palatino Linotype"/>
        </w:rPr>
        <w:t xml:space="preserve">  En principio,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59C739" w14:textId="77777777" w:rsidR="004F3713" w:rsidRPr="00CE4B17" w:rsidRDefault="004F3713">
      <w:pPr>
        <w:spacing w:after="0" w:line="360" w:lineRule="auto"/>
        <w:ind w:right="843"/>
        <w:jc w:val="both"/>
        <w:rPr>
          <w:rFonts w:ascii="Palatino Linotype" w:eastAsia="Palatino Linotype" w:hAnsi="Palatino Linotype" w:cs="Palatino Linotype"/>
        </w:rPr>
      </w:pPr>
    </w:p>
    <w:p w14:paraId="183CA8E1"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1o.</w:t>
      </w:r>
      <w:r w:rsidRPr="00CE4B17">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A278B0A"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0A0DED88"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35E274A"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5E161427" w14:textId="77777777" w:rsidR="004F3713" w:rsidRPr="00CE4B17" w:rsidRDefault="00640082">
      <w:pPr>
        <w:spacing w:after="0" w:line="276" w:lineRule="auto"/>
        <w:ind w:left="567" w:right="843"/>
        <w:jc w:val="both"/>
        <w:rPr>
          <w:rFonts w:ascii="Palatino Linotype" w:eastAsia="Palatino Linotype" w:hAnsi="Palatino Linotype" w:cs="Palatino Linotype"/>
          <w:b/>
          <w:i/>
        </w:rPr>
      </w:pPr>
      <w:r w:rsidRPr="00CE4B17">
        <w:rPr>
          <w:rFonts w:ascii="Palatino Linotype" w:eastAsia="Palatino Linotype" w:hAnsi="Palatino Linotype" w:cs="Palatino Linotype"/>
          <w:b/>
          <w:i/>
        </w:rPr>
        <w:t>“Artículo 6o.</w:t>
      </w:r>
    </w:p>
    <w:p w14:paraId="101006F2"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51E71F2C"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2AA3A9BC"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B36776"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749515B9"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166F3DB7"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449F5159"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V. Los sujetos obligados deberán preservar sus documentos en archivos administrativos actualizados y publicarán, a través de los medios electrónicos </w:t>
      </w:r>
      <w:r w:rsidRPr="00CE4B17">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2F00A231"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465B09FE" w14:textId="77777777" w:rsidR="004F3713" w:rsidRPr="00CE4B17" w:rsidRDefault="00640082">
      <w:pPr>
        <w:spacing w:after="0" w:line="276" w:lineRule="auto"/>
        <w:ind w:left="567" w:right="843"/>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D9B2719" w14:textId="77777777" w:rsidR="004F3713" w:rsidRPr="00CE4B17" w:rsidRDefault="004F3713">
      <w:pPr>
        <w:spacing w:after="0" w:line="360" w:lineRule="auto"/>
        <w:ind w:right="49"/>
        <w:jc w:val="both"/>
        <w:rPr>
          <w:rFonts w:ascii="Palatino Linotype" w:eastAsia="Palatino Linotype" w:hAnsi="Palatino Linotype" w:cs="Palatino Linotype"/>
        </w:rPr>
      </w:pPr>
    </w:p>
    <w:p w14:paraId="3437AB0C"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w:t>
      </w:r>
    </w:p>
    <w:p w14:paraId="56A9B157" w14:textId="77777777" w:rsidR="004F3713" w:rsidRPr="00CE4B17" w:rsidRDefault="004F3713">
      <w:pPr>
        <w:spacing w:after="0" w:line="360" w:lineRule="auto"/>
        <w:ind w:right="49"/>
        <w:jc w:val="both"/>
        <w:rPr>
          <w:rFonts w:ascii="Palatino Linotype" w:eastAsia="Palatino Linotype" w:hAnsi="Palatino Linotype" w:cs="Palatino Linotype"/>
        </w:rPr>
      </w:pPr>
    </w:p>
    <w:p w14:paraId="47054978"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Del mismo modo, es de mencionar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w:t>
      </w:r>
    </w:p>
    <w:p w14:paraId="30E06BE4" w14:textId="77777777" w:rsidR="004F3713" w:rsidRPr="00CE4B17" w:rsidRDefault="004F3713">
      <w:pPr>
        <w:spacing w:after="0" w:line="360" w:lineRule="auto"/>
        <w:ind w:right="49"/>
        <w:jc w:val="both"/>
        <w:rPr>
          <w:rFonts w:ascii="Palatino Linotype" w:eastAsia="Palatino Linotype" w:hAnsi="Palatino Linotype" w:cs="Palatino Linotype"/>
        </w:rPr>
      </w:pPr>
    </w:p>
    <w:p w14:paraId="2C97E7DD" w14:textId="77777777" w:rsidR="004F3713" w:rsidRPr="00CE4B17" w:rsidRDefault="00640082">
      <w:pPr>
        <w:spacing w:after="0" w:line="360" w:lineRule="auto"/>
        <w:ind w:right="49"/>
        <w:jc w:val="both"/>
        <w:rPr>
          <w:rFonts w:ascii="Palatino Linotype" w:eastAsia="Palatino Linotype" w:hAnsi="Palatino Linotype" w:cs="Palatino Linotype"/>
          <w:b/>
          <w:i/>
        </w:rPr>
      </w:pPr>
      <w:r w:rsidRPr="00CE4B17">
        <w:rPr>
          <w:rFonts w:ascii="Palatino Linotype" w:eastAsia="Palatino Linotype" w:hAnsi="Palatino Linotype" w:cs="Palatino Linotype"/>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w:t>
      </w:r>
      <w:r w:rsidRPr="00CE4B17">
        <w:rPr>
          <w:rFonts w:ascii="Palatino Linotype" w:eastAsia="Palatino Linotype" w:hAnsi="Palatino Linotype" w:cs="Palatino Linotype"/>
        </w:rPr>
        <w:lastRenderedPageBreak/>
        <w:t>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5AA6E18D" w14:textId="77777777" w:rsidR="004F3713" w:rsidRPr="00CE4B17" w:rsidRDefault="004F3713">
      <w:pPr>
        <w:spacing w:after="0" w:line="360" w:lineRule="auto"/>
        <w:ind w:left="567" w:right="560"/>
        <w:jc w:val="both"/>
        <w:rPr>
          <w:rFonts w:ascii="Palatino Linotype" w:eastAsia="Palatino Linotype" w:hAnsi="Palatino Linotype" w:cs="Palatino Linotype"/>
          <w:b/>
          <w:i/>
        </w:rPr>
      </w:pPr>
    </w:p>
    <w:p w14:paraId="4F27B703"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1A4D14C" w14:textId="77777777" w:rsidR="004F3713" w:rsidRPr="00CE4B17" w:rsidRDefault="00640082">
      <w:pPr>
        <w:spacing w:after="0" w:line="360" w:lineRule="auto"/>
        <w:ind w:right="49"/>
        <w:jc w:val="both"/>
        <w:rPr>
          <w:rFonts w:ascii="Palatino Linotype" w:eastAsia="Palatino Linotype" w:hAnsi="Palatino Linotype" w:cs="Palatino Linotype"/>
          <w:i/>
        </w:rPr>
      </w:pPr>
      <w:r w:rsidRPr="00CE4B17">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CE4B17">
        <w:rPr>
          <w:rFonts w:ascii="Palatino Linotype" w:eastAsia="Palatino Linotype" w:hAnsi="Palatino Linotype" w:cs="Palatino Linotype"/>
          <w:i/>
        </w:rPr>
        <w:t xml:space="preserve"> </w:t>
      </w:r>
    </w:p>
    <w:p w14:paraId="6AFE16F7" w14:textId="77777777" w:rsidR="004F3713" w:rsidRPr="00CE4B17" w:rsidRDefault="004F3713">
      <w:pPr>
        <w:spacing w:after="0" w:line="360" w:lineRule="auto"/>
        <w:ind w:right="49"/>
        <w:jc w:val="both"/>
        <w:rPr>
          <w:rFonts w:ascii="Palatino Linotype" w:eastAsia="Palatino Linotype" w:hAnsi="Palatino Linotype" w:cs="Palatino Linotype"/>
          <w:i/>
        </w:rPr>
      </w:pPr>
    </w:p>
    <w:p w14:paraId="30C3F113"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8043C98" w14:textId="77777777" w:rsidR="004F3713" w:rsidRPr="00CE4B17" w:rsidRDefault="004F3713">
      <w:pPr>
        <w:spacing w:after="0" w:line="360" w:lineRule="auto"/>
        <w:ind w:right="49"/>
        <w:jc w:val="both"/>
        <w:rPr>
          <w:rFonts w:ascii="Palatino Linotype" w:eastAsia="Palatino Linotype" w:hAnsi="Palatino Linotype" w:cs="Palatino Linotype"/>
        </w:rPr>
      </w:pPr>
    </w:p>
    <w:p w14:paraId="05957321" w14:textId="77777777" w:rsidR="004F3713" w:rsidRPr="00CE4B17" w:rsidRDefault="00640082">
      <w:pPr>
        <w:spacing w:after="0" w:line="276" w:lineRule="auto"/>
        <w:ind w:left="567" w:right="560"/>
        <w:jc w:val="both"/>
        <w:rPr>
          <w:rFonts w:ascii="Palatino Linotype" w:eastAsia="Palatino Linotype" w:hAnsi="Palatino Linotype" w:cs="Palatino Linotype"/>
          <w:b/>
          <w:i/>
        </w:rPr>
      </w:pPr>
      <w:r w:rsidRPr="00CE4B17">
        <w:rPr>
          <w:rFonts w:ascii="Palatino Linotype" w:eastAsia="Palatino Linotype" w:hAnsi="Palatino Linotype" w:cs="Palatino Linotype"/>
          <w:i/>
        </w:rPr>
        <w:lastRenderedPageBreak/>
        <w:t>“</w:t>
      </w:r>
      <w:r w:rsidRPr="00CE4B17">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CE4B1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6E7FA5"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En consecuencia el acceso a la información se refiere a que se cumplan cualquiera de los siguientes tres supuestos:</w:t>
      </w:r>
    </w:p>
    <w:p w14:paraId="1723C1CC"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1)</w:t>
      </w:r>
      <w:r w:rsidRPr="00CE4B17">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51CE7551"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2)</w:t>
      </w:r>
      <w:r w:rsidRPr="00CE4B17">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87785D4"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C561B51" w14:textId="77777777" w:rsidR="004F3713" w:rsidRPr="00CE4B17" w:rsidRDefault="004F3713">
      <w:pPr>
        <w:spacing w:after="0" w:line="360" w:lineRule="auto"/>
        <w:ind w:left="567" w:right="560"/>
        <w:jc w:val="both"/>
        <w:rPr>
          <w:rFonts w:ascii="Palatino Linotype" w:eastAsia="Palatino Linotype" w:hAnsi="Palatino Linotype" w:cs="Palatino Linotype"/>
          <w:i/>
        </w:rPr>
      </w:pPr>
    </w:p>
    <w:p w14:paraId="2E62AB4C"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A525748" w14:textId="77777777" w:rsidR="004F3713" w:rsidRPr="00CE4B17" w:rsidRDefault="004F3713">
      <w:pPr>
        <w:spacing w:after="0" w:line="360" w:lineRule="auto"/>
        <w:ind w:right="49"/>
        <w:jc w:val="both"/>
        <w:rPr>
          <w:rFonts w:ascii="Palatino Linotype" w:eastAsia="Palatino Linotype" w:hAnsi="Palatino Linotype" w:cs="Palatino Linotype"/>
        </w:rPr>
      </w:pPr>
    </w:p>
    <w:p w14:paraId="63EB225F"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De las actuaciones que integran el expediente electrónico, se procede al análisis de la </w:t>
      </w:r>
      <w:r w:rsidRPr="00CE4B17">
        <w:rPr>
          <w:rFonts w:ascii="Palatino Linotype" w:eastAsia="Palatino Linotype" w:hAnsi="Palatino Linotype" w:cs="Palatino Linotype"/>
          <w:i/>
        </w:rPr>
        <w:t>litis</w:t>
      </w:r>
      <w:r w:rsidRPr="00CE4B17">
        <w:rPr>
          <w:rFonts w:ascii="Palatino Linotype" w:eastAsia="Palatino Linotype" w:hAnsi="Palatino Linotype" w:cs="Palatino Linotype"/>
        </w:rPr>
        <w:t xml:space="preserve"> en la que se circunscribe el presente asunto, relacionada con la negativa de entrega de la </w:t>
      </w:r>
      <w:r w:rsidRPr="00CE4B17">
        <w:rPr>
          <w:rFonts w:ascii="Palatino Linotype" w:eastAsia="Palatino Linotype" w:hAnsi="Palatino Linotype" w:cs="Palatino Linotype"/>
        </w:rPr>
        <w:lastRenderedPageBreak/>
        <w:t xml:space="preserve">información, prevista en la fracción I del artículo 179 de la Ley de Transparencia y Acceso a la Información Pública del Estado de México y Municipios. </w:t>
      </w:r>
    </w:p>
    <w:p w14:paraId="4E927FB6" w14:textId="77777777" w:rsidR="004F3713" w:rsidRPr="00CE4B17" w:rsidRDefault="004F3713">
      <w:pPr>
        <w:spacing w:after="0" w:line="360" w:lineRule="auto"/>
        <w:ind w:right="49"/>
        <w:jc w:val="both"/>
        <w:rPr>
          <w:rFonts w:ascii="Palatino Linotype" w:eastAsia="Palatino Linotype" w:hAnsi="Palatino Linotype" w:cs="Palatino Linotype"/>
        </w:rPr>
      </w:pPr>
    </w:p>
    <w:p w14:paraId="653A43DA"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CE4B17">
        <w:rPr>
          <w:rFonts w:ascii="Palatino Linotype" w:eastAsia="Palatino Linotype" w:hAnsi="Palatino Linotype" w:cs="Palatino Linotype"/>
        </w:rPr>
        <w:t xml:space="preserve">Para ello, en principio, es de recordar la pretensión de la parte Recurrente, la cual consiste en obtener información relacionada con </w:t>
      </w:r>
      <w:r w:rsidRPr="00CE4B17">
        <w:rPr>
          <w:rFonts w:ascii="Palatino Linotype" w:eastAsia="Palatino Linotype" w:hAnsi="Palatino Linotype" w:cs="Palatino Linotype"/>
          <w:b/>
        </w:rPr>
        <w:t xml:space="preserve">los mantenimientos realizados en planteles escolares, nombre, acción, si se realizó con recurso propio, por adjudicación directa o por concurso de licitación, nombre de los planteles en que se realizó, fecha, costo, nombre de la empresa que llevó a cabo los trabajos, del 2022, 2023 y 2024. </w:t>
      </w:r>
    </w:p>
    <w:p w14:paraId="074A0121"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3D19F6ED"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respuesta, el Sujeto Obligado precisó que, se daba respuesta con un oficio que se adjuntaba, el cual no se insertó. </w:t>
      </w:r>
    </w:p>
    <w:p w14:paraId="2822B4D2"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7FA425"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Derivado de ello, la parte Recurrente se inconformó arguyendo la negativa de entrega de la información.</w:t>
      </w:r>
    </w:p>
    <w:p w14:paraId="79C900B2"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2CA407"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atención a ello, mediante informe justificado, el Sujeto Obligado refirió que la información podría ser consultada en la página oficial de Ipomex, a través de una liga electrónica, la cual es la siguiente: </w:t>
      </w:r>
    </w:p>
    <w:p w14:paraId="5E9D61A7"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B83DF3"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noProof/>
        </w:rPr>
        <w:drawing>
          <wp:inline distT="0" distB="0" distL="0" distR="0" wp14:anchorId="0630D367" wp14:editId="1A2ADA4E">
            <wp:extent cx="5624854" cy="1624742"/>
            <wp:effectExtent l="0" t="0" r="0" b="0"/>
            <wp:docPr id="136098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24854" cy="1624742"/>
                    </a:xfrm>
                    <a:prstGeom prst="rect">
                      <a:avLst/>
                    </a:prstGeom>
                    <a:ln/>
                  </pic:spPr>
                </pic:pic>
              </a:graphicData>
            </a:graphic>
          </wp:inline>
        </w:drawing>
      </w:r>
    </w:p>
    <w:p w14:paraId="752D7DE6"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lastRenderedPageBreak/>
        <w:t xml:space="preserve">La parte Recurrente fue omisa en rendir manifestaciones. </w:t>
      </w:r>
    </w:p>
    <w:p w14:paraId="6D43CC99"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D0D06F0"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Precisado lo anterior, no pasa desapercibido mencionar que, la parte Recurrente solicitó información del año 2024, no obstante, la solicitud se presentó el ocho de julio de dos mil veinticuatro, por lo que, la temporalidad de la que el Sujeto Obligado deberá efectuar la búsqueda de la información es lógicamente, a la fecha de la solicitud. </w:t>
      </w:r>
    </w:p>
    <w:p w14:paraId="57CFFAAE"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0D0C8B7"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ese sentido, resulta necesario contextualizar la información requerida relacionada con el mantenimiento que se ha realizado a los planteles escolares, nombre de los planteles, acción que se realizó, si esta fue con recurso propio, si fue por adjudicación directa o licitación, fecha, costo y nombre de la empresa, cuya pretensión puede ser traducida a obtener los documentos que obren en los expedientes de los procedimientos de adjudicación celebrados por el Ayuntamiento relacionados con el mantenimiento de planteles escolares. </w:t>
      </w:r>
    </w:p>
    <w:p w14:paraId="44B0F6B6"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3F582FA" w14:textId="77777777" w:rsidR="004F3713" w:rsidRPr="00CE4B17" w:rsidRDefault="00640082">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ese sentido, resulta necesario traer a colación lo que establecen los artículos 26 y 27 de la Ley de Contratación Pública del Estado de México y Municipios, </w:t>
      </w:r>
      <w:r w:rsidRPr="00CE4B17">
        <w:rPr>
          <w:rFonts w:ascii="Palatino Linotype" w:eastAsia="Palatino Linotype" w:hAnsi="Palatino Linotype" w:cs="Palatino Linotype"/>
          <w:b/>
          <w:u w:val="single"/>
        </w:rPr>
        <w:t>las adquisiciones, arrendamientos y servicios se adjudicarán a través de licitaciones públicas mediante convocatoria pública o bien, a través de las excepciones a dicho procedimiento</w:t>
      </w:r>
      <w:r w:rsidRPr="00CE4B17">
        <w:rPr>
          <w:rFonts w:ascii="Palatino Linotype" w:eastAsia="Palatino Linotype" w:hAnsi="Palatino Linotype" w:cs="Palatino Linotype"/>
        </w:rPr>
        <w:t>, como se observa a continuación:</w:t>
      </w:r>
      <w:r w:rsidRPr="00CE4B17">
        <w:rPr>
          <w:rFonts w:ascii="Palatino Linotype" w:eastAsia="Palatino Linotype" w:hAnsi="Palatino Linotype" w:cs="Palatino Linotype"/>
          <w:b/>
          <w:u w:val="single"/>
        </w:rPr>
        <w:t xml:space="preserve"> </w:t>
      </w:r>
    </w:p>
    <w:p w14:paraId="0CAE8904" w14:textId="77777777" w:rsidR="004F3713" w:rsidRPr="00CE4B17" w:rsidRDefault="004F371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ECB09EA" w14:textId="77777777" w:rsidR="004F3713" w:rsidRPr="00CE4B17" w:rsidRDefault="00640082">
      <w:pPr>
        <w:spacing w:after="0" w:line="276" w:lineRule="auto"/>
        <w:ind w:left="567" w:right="560"/>
        <w:jc w:val="center"/>
        <w:rPr>
          <w:rFonts w:ascii="Palatino Linotype" w:eastAsia="Palatino Linotype" w:hAnsi="Palatino Linotype" w:cs="Palatino Linotype"/>
          <w:b/>
          <w:i/>
        </w:rPr>
      </w:pPr>
      <w:r w:rsidRPr="00CE4B17">
        <w:rPr>
          <w:rFonts w:ascii="Palatino Linotype" w:eastAsia="Palatino Linotype" w:hAnsi="Palatino Linotype" w:cs="Palatino Linotype"/>
          <w:b/>
          <w:i/>
        </w:rPr>
        <w:t>LEY DE CONTRATACIÓN PÚBLICA DEL ESTADO DE MÉXICO Y MUNICIPIO</w:t>
      </w:r>
    </w:p>
    <w:p w14:paraId="6E4816F8" w14:textId="77777777" w:rsidR="004F3713" w:rsidRPr="00CE4B17" w:rsidRDefault="004F3713">
      <w:pPr>
        <w:spacing w:after="0" w:line="276" w:lineRule="auto"/>
        <w:ind w:left="567" w:right="560"/>
        <w:jc w:val="both"/>
        <w:rPr>
          <w:rFonts w:ascii="Palatino Linotype" w:eastAsia="Palatino Linotype" w:hAnsi="Palatino Linotype" w:cs="Palatino Linotype"/>
          <w:i/>
        </w:rPr>
      </w:pPr>
    </w:p>
    <w:p w14:paraId="5EA61470"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26.-</w:t>
      </w:r>
      <w:r w:rsidRPr="00CE4B17">
        <w:rPr>
          <w:rFonts w:ascii="Palatino Linotype" w:eastAsia="Palatino Linotype" w:hAnsi="Palatino Linotype" w:cs="Palatino Linotype"/>
          <w:i/>
        </w:rPr>
        <w:t xml:space="preserve"> Las adquisiciones, arrendamientos y servicios se adjudicarán a través de licitaciones públicas, mediante convocatoria pública. </w:t>
      </w:r>
    </w:p>
    <w:p w14:paraId="246AFF8E" w14:textId="77777777" w:rsidR="004F3713" w:rsidRPr="00CE4B17" w:rsidRDefault="004F3713">
      <w:pPr>
        <w:spacing w:after="0" w:line="276" w:lineRule="auto"/>
        <w:ind w:left="567" w:right="560"/>
        <w:jc w:val="both"/>
        <w:rPr>
          <w:rFonts w:ascii="Palatino Linotype" w:eastAsia="Palatino Linotype" w:hAnsi="Palatino Linotype" w:cs="Palatino Linotype"/>
          <w:i/>
        </w:rPr>
      </w:pPr>
    </w:p>
    <w:p w14:paraId="37DAAF85"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b/>
          <w:i/>
        </w:rPr>
        <w:lastRenderedPageBreak/>
        <w:t>Artículo 27.-</w:t>
      </w:r>
      <w:r w:rsidRPr="00CE4B17">
        <w:rPr>
          <w:rFonts w:ascii="Palatino Linotype" w:eastAsia="Palatino Linotype" w:hAnsi="Palatino Linotype" w:cs="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5B8C5F5A"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 Invitación restringida. </w:t>
      </w:r>
    </w:p>
    <w:p w14:paraId="3332D7F6" w14:textId="77777777" w:rsidR="004F3713" w:rsidRPr="00CE4B17" w:rsidRDefault="00640082">
      <w:pP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II. Adjudicación directa.</w:t>
      </w:r>
    </w:p>
    <w:p w14:paraId="4093D128" w14:textId="77777777" w:rsidR="004F3713" w:rsidRPr="00CE4B17" w:rsidRDefault="004F3713">
      <w:pPr>
        <w:spacing w:after="0" w:line="360" w:lineRule="auto"/>
        <w:ind w:left="567" w:right="560"/>
        <w:jc w:val="both"/>
        <w:rPr>
          <w:rFonts w:ascii="Palatino Linotype" w:eastAsia="Palatino Linotype" w:hAnsi="Palatino Linotype" w:cs="Palatino Linotype"/>
          <w:i/>
        </w:rPr>
      </w:pPr>
    </w:p>
    <w:p w14:paraId="01CBCEBE"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Respecto al procedimiento de </w:t>
      </w:r>
      <w:r w:rsidRPr="00CE4B17">
        <w:rPr>
          <w:rFonts w:ascii="Palatino Linotype" w:eastAsia="Palatino Linotype" w:hAnsi="Palatino Linotype" w:cs="Palatino Linotype"/>
          <w:b/>
        </w:rPr>
        <w:t>licitación pública</w:t>
      </w:r>
      <w:r w:rsidRPr="00CE4B17">
        <w:rPr>
          <w:rFonts w:ascii="Palatino Linotype" w:eastAsia="Palatino Linotype" w:hAnsi="Palatino Linotype" w:cs="Palatino Linotype"/>
        </w:rPr>
        <w:t>,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(Desarrollo, 1995)</w:t>
      </w:r>
    </w:p>
    <w:p w14:paraId="02C6EF06" w14:textId="77777777" w:rsidR="004F3713" w:rsidRPr="00CE4B17" w:rsidRDefault="004F3713">
      <w:pPr>
        <w:spacing w:after="0" w:line="360" w:lineRule="auto"/>
        <w:ind w:right="49"/>
        <w:jc w:val="both"/>
        <w:rPr>
          <w:rFonts w:ascii="Palatino Linotype" w:eastAsia="Palatino Linotype" w:hAnsi="Palatino Linotype" w:cs="Palatino Linotype"/>
        </w:rPr>
      </w:pPr>
    </w:p>
    <w:p w14:paraId="24CC5BCD"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cuando hace a la </w:t>
      </w:r>
      <w:r w:rsidRPr="00CE4B17">
        <w:rPr>
          <w:rFonts w:ascii="Palatino Linotype" w:eastAsia="Palatino Linotype" w:hAnsi="Palatino Linotype" w:cs="Palatino Linotype"/>
          <w:b/>
        </w:rPr>
        <w:t>adjudicación directa</w:t>
      </w:r>
      <w:r w:rsidRPr="00CE4B17">
        <w:rPr>
          <w:rFonts w:ascii="Palatino Linotype" w:eastAsia="Palatino Linotype" w:hAnsi="Palatino Linotype" w:cs="Palatino Linotype"/>
        </w:rPr>
        <w:t xml:space="preserve">, la Secretaría de la Función Pública, (consultable en </w:t>
      </w:r>
      <w:hyperlink r:id="rId9">
        <w:r w:rsidRPr="00CE4B17">
          <w:rPr>
            <w:rFonts w:ascii="Palatino Linotype" w:eastAsia="Palatino Linotype" w:hAnsi="Palatino Linotype" w:cs="Palatino Linotype"/>
            <w:u w:val="single"/>
          </w:rPr>
          <w:t>https://www.gob.mx/sfp/acciones-y-programas/1-3-3-adjudicacion-directa</w:t>
        </w:r>
      </w:hyperlink>
      <w:r w:rsidRPr="00CE4B17">
        <w:rPr>
          <w:rFonts w:ascii="Palatino Linotype" w:eastAsia="Palatino Linotype" w:hAnsi="Palatino Linotype" w:cs="Palatino Linotype"/>
        </w:rPr>
        <w:t xml:space="preserve">) establece que, es un procedimiento que se realiza sin puesta en concurrencia y, por ende, sin que exista competencia, adjudicándose el contrato a un proveedor que ha sido preseleccionado para tales efectos por la dependencia o entidad. </w:t>
      </w:r>
    </w:p>
    <w:p w14:paraId="4EEA8ECD" w14:textId="77777777" w:rsidR="004F3713" w:rsidRPr="00CE4B17" w:rsidRDefault="004F3713">
      <w:pPr>
        <w:spacing w:after="0" w:line="360" w:lineRule="auto"/>
        <w:ind w:right="49"/>
        <w:jc w:val="both"/>
        <w:rPr>
          <w:rFonts w:ascii="Palatino Linotype" w:eastAsia="Palatino Linotype" w:hAnsi="Palatino Linotype" w:cs="Palatino Linotype"/>
        </w:rPr>
      </w:pPr>
    </w:p>
    <w:p w14:paraId="17751DAD"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Por último, respecto a la </w:t>
      </w:r>
      <w:r w:rsidRPr="00CE4B17">
        <w:rPr>
          <w:rFonts w:ascii="Palatino Linotype" w:eastAsia="Palatino Linotype" w:hAnsi="Palatino Linotype" w:cs="Palatino Linotype"/>
          <w:b/>
        </w:rPr>
        <w:t>invitación restringida a cuando menos tres proveedores</w:t>
      </w:r>
      <w:r w:rsidRPr="00CE4B17">
        <w:rPr>
          <w:rFonts w:ascii="Palatino Linotype" w:eastAsia="Palatino Linotype" w:hAnsi="Palatino Linotype" w:cs="Palatino Linotype"/>
        </w:rPr>
        <w:t xml:space="preserve">, la Secretaría de la Contraloría (consultable en </w:t>
      </w:r>
      <w:hyperlink r:id="rId10" w:anchor=":~:text=Es%20un%20procedimiento%20administrativo%2C%20de,tres%20oferentes%20a%20presentar%20propuestas%2C">
        <w:r w:rsidRPr="00CE4B17">
          <w:rPr>
            <w:rFonts w:ascii="Palatino Linotype" w:eastAsia="Palatino Linotype" w:hAnsi="Palatino Linotype" w:cs="Palatino Linotype"/>
            <w:u w:val="single"/>
          </w:rPr>
          <w:t>http://www.contraloriadf.gob.mx/contraloria/cursos/ADQUISICIONES/paginas/32.php#:~:text=Es%20un%20procedimiento%20administrativo%2C%20de,tres%20oferentes%20a%20presentar%20propuestas%2C</w:t>
        </w:r>
      </w:hyperlink>
      <w:r w:rsidRPr="00CE4B17">
        <w:rPr>
          <w:rFonts w:ascii="Palatino Linotype" w:eastAsia="Palatino Linotype" w:hAnsi="Palatino Linotype" w:cs="Palatino Linotype"/>
        </w:rPr>
        <w:t xml:space="preserve">) precisa que es un procedimiento de excepción a la licitación pública que permite a las dependencias, unidades administrativas, órganos desconcentrados y entidades, en forma discrecional, realizar un procedimiento para </w:t>
      </w:r>
      <w:r w:rsidRPr="00CE4B17">
        <w:rPr>
          <w:rFonts w:ascii="Palatino Linotype" w:eastAsia="Palatino Linotype" w:hAnsi="Palatino Linotype" w:cs="Palatino Linotype"/>
        </w:rPr>
        <w:lastRenderedPageBreak/>
        <w:t>adquirir, arrendar o contratar, invitando a por lo menos tres oferentes a presentar propuestas.</w:t>
      </w:r>
    </w:p>
    <w:p w14:paraId="0300291A" w14:textId="77777777" w:rsidR="004F3713" w:rsidRPr="00CE4B17" w:rsidRDefault="004F3713">
      <w:pPr>
        <w:spacing w:after="0" w:line="360" w:lineRule="auto"/>
        <w:ind w:right="49"/>
        <w:jc w:val="both"/>
        <w:rPr>
          <w:rFonts w:ascii="Palatino Linotype" w:eastAsia="Palatino Linotype" w:hAnsi="Palatino Linotype" w:cs="Palatino Linotype"/>
        </w:rPr>
      </w:pPr>
    </w:p>
    <w:p w14:paraId="38358737"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Por su parte, el Reglamento de la Ley de Contratación Pública del Estado de México y Municipios, precisa lo siguiente: </w:t>
      </w:r>
    </w:p>
    <w:p w14:paraId="7891085E" w14:textId="77777777" w:rsidR="004F3713" w:rsidRPr="00CE4B17" w:rsidRDefault="004F3713">
      <w:pPr>
        <w:spacing w:after="0" w:line="360" w:lineRule="auto"/>
        <w:ind w:right="49"/>
        <w:jc w:val="both"/>
        <w:rPr>
          <w:rFonts w:ascii="Palatino Linotype" w:eastAsia="Palatino Linotype" w:hAnsi="Palatino Linotype" w:cs="Palatino Linotype"/>
        </w:rPr>
      </w:pPr>
    </w:p>
    <w:p w14:paraId="6EFB089D" w14:textId="77777777" w:rsidR="004F3713" w:rsidRPr="00CE4B17" w:rsidRDefault="00640082">
      <w:pPr>
        <w:pBdr>
          <w:top w:val="nil"/>
          <w:left w:val="nil"/>
          <w:bottom w:val="nil"/>
          <w:right w:val="nil"/>
          <w:between w:val="nil"/>
        </w:pBdr>
        <w:spacing w:after="0" w:line="276" w:lineRule="auto"/>
        <w:ind w:left="567"/>
        <w:jc w:val="both"/>
        <w:rPr>
          <w:rFonts w:ascii="Palatino Linotype" w:eastAsia="Palatino Linotype" w:hAnsi="Palatino Linotype" w:cs="Palatino Linotype"/>
          <w:i/>
        </w:rPr>
      </w:pPr>
      <w:r w:rsidRPr="00CE4B17">
        <w:rPr>
          <w:rFonts w:ascii="Palatino Linotype" w:eastAsia="Palatino Linotype" w:hAnsi="Palatino Linotype" w:cs="Palatino Linotype"/>
          <w:b/>
          <w:i/>
        </w:rPr>
        <w:t xml:space="preserve">Artículo 2. - </w:t>
      </w:r>
      <w:r w:rsidRPr="00CE4B17">
        <w:rPr>
          <w:rFonts w:ascii="Palatino Linotype" w:eastAsia="Palatino Linotype" w:hAnsi="Palatino Linotype" w:cs="Palatino Linotype"/>
          <w:i/>
        </w:rPr>
        <w:t>Para los efectos de este Reglamento, se entenderá por:</w:t>
      </w:r>
    </w:p>
    <w:p w14:paraId="2F8662A7" w14:textId="77777777" w:rsidR="004F3713" w:rsidRPr="00CE4B17" w:rsidRDefault="004F3713">
      <w:pPr>
        <w:spacing w:after="0" w:line="276" w:lineRule="auto"/>
        <w:ind w:left="567" w:right="49"/>
        <w:jc w:val="both"/>
        <w:rPr>
          <w:rFonts w:ascii="Palatino Linotype" w:eastAsia="Palatino Linotype" w:hAnsi="Palatino Linotype" w:cs="Palatino Linotype"/>
          <w:i/>
        </w:rPr>
      </w:pPr>
    </w:p>
    <w:p w14:paraId="51835EA2" w14:textId="77777777" w:rsidR="004F3713" w:rsidRPr="00CE4B17" w:rsidRDefault="00640082">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 </w:t>
      </w:r>
      <w:r w:rsidRPr="00CE4B17">
        <w:rPr>
          <w:rFonts w:ascii="Palatino Linotype" w:eastAsia="Palatino Linotype" w:hAnsi="Palatino Linotype" w:cs="Palatino Linotype"/>
          <w:b/>
          <w:i/>
        </w:rPr>
        <w:t>Adjudicación directa:</w:t>
      </w:r>
      <w:r w:rsidRPr="00CE4B17">
        <w:rPr>
          <w:rFonts w:ascii="Palatino Linotype" w:eastAsia="Palatino Linotype" w:hAnsi="Palatino Linotype" w:cs="Palatino Linotype"/>
          <w:i/>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37D24F02" w14:textId="77777777" w:rsidR="004F3713" w:rsidRPr="00CE4B17" w:rsidRDefault="00640082">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1A2DD79F" w14:textId="77777777" w:rsidR="004F3713" w:rsidRPr="00CE4B17" w:rsidRDefault="00640082">
      <w:pPr>
        <w:widowControl w:val="0"/>
        <w:pBdr>
          <w:top w:val="nil"/>
          <w:left w:val="nil"/>
          <w:bottom w:val="nil"/>
          <w:right w:val="nil"/>
          <w:between w:val="nil"/>
        </w:pBdr>
        <w:tabs>
          <w:tab w:val="left" w:pos="795"/>
        </w:tabs>
        <w:spacing w:after="0" w:line="276" w:lineRule="auto"/>
        <w:ind w:left="567" w:right="119"/>
        <w:jc w:val="both"/>
        <w:rPr>
          <w:rFonts w:ascii="Palatino Linotype" w:eastAsia="Palatino Linotype" w:hAnsi="Palatino Linotype" w:cs="Palatino Linotype"/>
          <w:i/>
        </w:rPr>
      </w:pPr>
      <w:r w:rsidRPr="00CE4B17">
        <w:rPr>
          <w:rFonts w:ascii="Palatino Linotype" w:eastAsia="Palatino Linotype" w:hAnsi="Palatino Linotype" w:cs="Palatino Linotype"/>
          <w:i/>
        </w:rPr>
        <w:t>XII.</w:t>
      </w:r>
      <w:r w:rsidRPr="00CE4B17">
        <w:rPr>
          <w:rFonts w:ascii="Palatino Linotype" w:eastAsia="Palatino Linotype" w:hAnsi="Palatino Linotype" w:cs="Palatino Linotype"/>
          <w:i/>
        </w:rPr>
        <w:tab/>
      </w:r>
      <w:r w:rsidRPr="00CE4B17">
        <w:rPr>
          <w:rFonts w:ascii="Palatino Linotype" w:eastAsia="Palatino Linotype" w:hAnsi="Palatino Linotype" w:cs="Palatino Linotype"/>
          <w:b/>
          <w:i/>
        </w:rPr>
        <w:t>Invitación restringida:</w:t>
      </w:r>
      <w:r w:rsidRPr="00CE4B17">
        <w:rPr>
          <w:rFonts w:ascii="Palatino Linotype" w:eastAsia="Palatino Linotype" w:hAnsi="Palatino Linotype" w:cs="Palatino Linotype"/>
          <w:i/>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6BB5A4B5" w14:textId="77777777" w:rsidR="004F3713" w:rsidRPr="00CE4B17" w:rsidRDefault="00640082">
      <w:pPr>
        <w:spacing w:after="0" w:line="276" w:lineRule="auto"/>
        <w:ind w:left="567" w:right="49"/>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327CAB91" w14:textId="77777777" w:rsidR="004F3713" w:rsidRPr="00CE4B17" w:rsidRDefault="00640082">
      <w:pPr>
        <w:spacing w:after="0" w:line="276" w:lineRule="auto"/>
        <w:ind w:left="567" w:right="49"/>
        <w:jc w:val="both"/>
        <w:rPr>
          <w:rFonts w:ascii="Palatino Linotype" w:eastAsia="Palatino Linotype" w:hAnsi="Palatino Linotype" w:cs="Palatino Linotype"/>
          <w:i/>
        </w:rPr>
      </w:pPr>
      <w:r w:rsidRPr="00CE4B17">
        <w:rPr>
          <w:rFonts w:ascii="Palatino Linotype" w:eastAsia="Palatino Linotype" w:hAnsi="Palatino Linotype" w:cs="Palatino Linotype"/>
          <w:i/>
        </w:rPr>
        <w:t>XIV.</w:t>
      </w:r>
      <w:r w:rsidRPr="00CE4B17">
        <w:rPr>
          <w:rFonts w:ascii="Palatino Linotype" w:eastAsia="Palatino Linotype" w:hAnsi="Palatino Linotype" w:cs="Palatino Linotype"/>
          <w:i/>
        </w:rPr>
        <w:tab/>
      </w:r>
      <w:r w:rsidRPr="00CE4B17">
        <w:rPr>
          <w:rFonts w:ascii="Palatino Linotype" w:eastAsia="Palatino Linotype" w:hAnsi="Palatino Linotype" w:cs="Palatino Linotype"/>
          <w:b/>
          <w:i/>
        </w:rPr>
        <w:t>Licitación pública:</w:t>
      </w:r>
      <w:r w:rsidRPr="00CE4B17">
        <w:rPr>
          <w:rFonts w:ascii="Palatino Linotype" w:eastAsia="Palatino Linotype" w:hAnsi="Palatino Linotype" w:cs="Palatino Linotype"/>
          <w:i/>
        </w:rPr>
        <w:t xml:space="preserve"> Modalidad de adquisición de bienes y contratación de servicios, mediante convocatoria</w:t>
      </w:r>
      <w:r w:rsidRPr="00CE4B17">
        <w:rPr>
          <w:rFonts w:ascii="Palatino Linotype" w:eastAsia="Palatino Linotype" w:hAnsi="Palatino Linotype" w:cs="Palatino Linotype"/>
          <w:i/>
        </w:rPr>
        <w:tab/>
        <w:t>pública que realicen la Secretaría, organismos auxiliares, tribunales administrativos o municipios, por el que se aseguran las mejores condiciones en cuanto a precio, calidad, financiamiento, oportunidad y demás circunst ancias pertinentes.</w:t>
      </w:r>
    </w:p>
    <w:p w14:paraId="73CE9E3B" w14:textId="77777777" w:rsidR="004F3713" w:rsidRPr="00CE4B17" w:rsidRDefault="00640082">
      <w:pPr>
        <w:spacing w:after="0" w:line="276" w:lineRule="auto"/>
        <w:ind w:left="567" w:right="49"/>
        <w:jc w:val="both"/>
        <w:rPr>
          <w:rFonts w:ascii="Palatino Linotype" w:eastAsia="Palatino Linotype" w:hAnsi="Palatino Linotype" w:cs="Palatino Linotype"/>
          <w:i/>
        </w:rPr>
      </w:pPr>
      <w:r w:rsidRPr="00CE4B17">
        <w:rPr>
          <w:rFonts w:ascii="Palatino Linotype" w:eastAsia="Palatino Linotype" w:hAnsi="Palatino Linotype" w:cs="Palatino Linotype"/>
        </w:rPr>
        <w:t>…</w:t>
      </w:r>
    </w:p>
    <w:p w14:paraId="5899455A"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XXI.</w:t>
      </w:r>
      <w:r w:rsidRPr="00CE4B17">
        <w:rPr>
          <w:rFonts w:ascii="Palatino Linotype" w:eastAsia="Palatino Linotype" w:hAnsi="Palatino Linotype" w:cs="Palatino Linotype"/>
          <w:i/>
        </w:rPr>
        <w:tab/>
      </w:r>
      <w:r w:rsidRPr="00CE4B17">
        <w:rPr>
          <w:rFonts w:ascii="Palatino Linotype" w:eastAsia="Palatino Linotype" w:hAnsi="Palatino Linotype" w:cs="Palatino Linotype"/>
          <w:b/>
          <w:i/>
        </w:rPr>
        <w:t>Procedimiento de adquisición:</w:t>
      </w:r>
      <w:r w:rsidRPr="00CE4B17">
        <w:rPr>
          <w:rFonts w:ascii="Palatino Linotype" w:eastAsia="Palatino Linotype" w:hAnsi="Palatino Linotype" w:cs="Palatino Linotype"/>
          <w:i/>
        </w:rPr>
        <w:t xml:space="preserve"> Conjunto de etapas por las que la Secretaría, las dependencias, organismos auxiliares, tribunales administrativos o municipios , adquieren bienes, contratan servicios o  adquieren  en  arrendamiento bienes  inmuebles  para  el cumplimiento  de  sus funciones, programas y acciones.</w:t>
      </w:r>
    </w:p>
    <w:p w14:paraId="0B067A92"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lastRenderedPageBreak/>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1298E398" w14:textId="77777777" w:rsidR="004F3713" w:rsidRPr="00CE4B17" w:rsidRDefault="004F3713">
      <w:pPr>
        <w:spacing w:after="0" w:line="360" w:lineRule="auto"/>
        <w:jc w:val="both"/>
        <w:rPr>
          <w:rFonts w:ascii="Palatino Linotype" w:eastAsia="Palatino Linotype" w:hAnsi="Palatino Linotype" w:cs="Palatino Linotype"/>
        </w:rPr>
      </w:pPr>
    </w:p>
    <w:p w14:paraId="0E600CA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92.</w:t>
      </w:r>
      <w:r w:rsidRPr="00CE4B17">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D2DCC8"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556CA445"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b/>
          <w:i/>
        </w:rPr>
        <w:t>XXIX.</w:t>
      </w:r>
      <w:r w:rsidRPr="00CE4B17">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43E6CD13" w14:textId="77777777" w:rsidR="004F3713" w:rsidRPr="00CE4B17" w:rsidRDefault="00640082">
      <w:pPr>
        <w:spacing w:after="0" w:line="276" w:lineRule="auto"/>
        <w:ind w:left="567" w:right="900"/>
        <w:jc w:val="both"/>
        <w:rPr>
          <w:rFonts w:ascii="Palatino Linotype" w:eastAsia="Palatino Linotype" w:hAnsi="Palatino Linotype" w:cs="Palatino Linotype"/>
          <w:b/>
          <w:i/>
          <w:u w:val="single"/>
        </w:rPr>
      </w:pPr>
      <w:r w:rsidRPr="00CE4B17">
        <w:rPr>
          <w:rFonts w:ascii="Palatino Linotype" w:eastAsia="Palatino Linotype" w:hAnsi="Palatino Linotype" w:cs="Palatino Linotype"/>
          <w:b/>
          <w:i/>
          <w:u w:val="single"/>
        </w:rPr>
        <w:t xml:space="preserve">a) De licitaciones públicas o procedimientos de invitación restringida: </w:t>
      </w:r>
    </w:p>
    <w:p w14:paraId="08561BD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 La convocatoria o invitación emitida, así como los fundamentos legales aplicados para llevarla a cabo; </w:t>
      </w:r>
    </w:p>
    <w:p w14:paraId="6A77851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2) Los nombres de los participantes o invitados; </w:t>
      </w:r>
    </w:p>
    <w:p w14:paraId="063A7A3D"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3) El nombre del ganador y las razones que lo justifican; </w:t>
      </w:r>
    </w:p>
    <w:p w14:paraId="0C701B54"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4) El área solicitante y la responsable de su ejecución; </w:t>
      </w:r>
    </w:p>
    <w:p w14:paraId="43D51C97"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5) Las convocatorias e invitaciones emitidas; </w:t>
      </w:r>
    </w:p>
    <w:p w14:paraId="61B693B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6) Los dictámenes y fallo de adjudicación; </w:t>
      </w:r>
    </w:p>
    <w:p w14:paraId="344E8D0E"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7) El contrato y, en su caso, sus anexos; </w:t>
      </w:r>
    </w:p>
    <w:p w14:paraId="4486324B"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6B4449C6"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9) La partida presupuestal, de conformidad con el clasificador por objeto del gasto, en el caso de ser aplicable; </w:t>
      </w:r>
    </w:p>
    <w:p w14:paraId="35CF2BAA"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 xml:space="preserve">10) Origen de los recursos especificando si son federales, estatales o municipales, así como el tipo de fondo de participación o aportación respectiva; </w:t>
      </w:r>
    </w:p>
    <w:p w14:paraId="67CAE076"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11) Los convenios modificatorios que, en su caso, sean firmados, precisando el objeto y la fecha de celebración; </w:t>
      </w:r>
    </w:p>
    <w:p w14:paraId="6D12088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12) Los informes de avance físico y financiero sobre las obras o servicios contratados; </w:t>
      </w:r>
    </w:p>
    <w:p w14:paraId="67DEE276"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13) El convenio de terminación; y </w:t>
      </w:r>
    </w:p>
    <w:p w14:paraId="6CA2AF97"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14) El finiquito. </w:t>
      </w:r>
    </w:p>
    <w:p w14:paraId="3837352F" w14:textId="77777777" w:rsidR="004F3713" w:rsidRPr="00CE4B17" w:rsidRDefault="004F3713">
      <w:pPr>
        <w:spacing w:after="0" w:line="276" w:lineRule="auto"/>
        <w:ind w:left="567" w:right="900"/>
        <w:jc w:val="both"/>
        <w:rPr>
          <w:rFonts w:ascii="Palatino Linotype" w:eastAsia="Palatino Linotype" w:hAnsi="Palatino Linotype" w:cs="Palatino Linotype"/>
          <w:i/>
        </w:rPr>
      </w:pPr>
    </w:p>
    <w:p w14:paraId="3900132F" w14:textId="77777777" w:rsidR="004F3713" w:rsidRPr="00CE4B17" w:rsidRDefault="00640082">
      <w:pPr>
        <w:spacing w:after="0" w:line="276" w:lineRule="auto"/>
        <w:ind w:left="567" w:right="900"/>
        <w:jc w:val="both"/>
        <w:rPr>
          <w:rFonts w:ascii="Palatino Linotype" w:eastAsia="Palatino Linotype" w:hAnsi="Palatino Linotype" w:cs="Palatino Linotype"/>
          <w:b/>
          <w:i/>
          <w:u w:val="single"/>
        </w:rPr>
      </w:pPr>
      <w:r w:rsidRPr="00CE4B17">
        <w:rPr>
          <w:rFonts w:ascii="Palatino Linotype" w:eastAsia="Palatino Linotype" w:hAnsi="Palatino Linotype" w:cs="Palatino Linotype"/>
          <w:b/>
          <w:i/>
          <w:u w:val="single"/>
        </w:rPr>
        <w:t xml:space="preserve">b) De las adjudicaciones directas: </w:t>
      </w:r>
    </w:p>
    <w:p w14:paraId="52ECB403"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 La propuesta enviada por el participante; </w:t>
      </w:r>
    </w:p>
    <w:p w14:paraId="5DC2AAEF"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2) Los motivos y fundamentos legales aplicados para llevarla a cabo; </w:t>
      </w:r>
    </w:p>
    <w:p w14:paraId="1024767B"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3) La autorización del ejercicio de la opción; </w:t>
      </w:r>
    </w:p>
    <w:p w14:paraId="61E2167C"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4) En su caso, las cotizaciones consideradas, especificando los nombres de los proveedores y sus montos; </w:t>
      </w:r>
    </w:p>
    <w:p w14:paraId="39859007"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5) El nombre de la persona física o jurídica colectiva adjudicada; </w:t>
      </w:r>
    </w:p>
    <w:p w14:paraId="53F3357B"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6) La unidad administrativa solicitante y la responsable de su ejecución; </w:t>
      </w:r>
    </w:p>
    <w:p w14:paraId="3457A0D4"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7) El número, fecha, el monto del contrato y el plazo de entrega o de ejecución de los servicios u obra; </w:t>
      </w:r>
    </w:p>
    <w:p w14:paraId="20C1A322"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3F9C1915"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9) Los informes de avance sobre las obras o servicios contratados; </w:t>
      </w:r>
    </w:p>
    <w:p w14:paraId="627B0A47"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10) El convenio de terminación; y </w:t>
      </w:r>
    </w:p>
    <w:p w14:paraId="254622DB" w14:textId="77777777" w:rsidR="004F3713" w:rsidRPr="00CE4B17" w:rsidRDefault="00640082">
      <w:pPr>
        <w:spacing w:after="0" w:line="276" w:lineRule="auto"/>
        <w:ind w:left="567" w:right="900"/>
        <w:jc w:val="both"/>
        <w:rPr>
          <w:rFonts w:ascii="Palatino Linotype" w:eastAsia="Palatino Linotype" w:hAnsi="Palatino Linotype" w:cs="Palatino Linotype"/>
          <w:i/>
        </w:rPr>
      </w:pPr>
      <w:r w:rsidRPr="00CE4B17">
        <w:rPr>
          <w:rFonts w:ascii="Palatino Linotype" w:eastAsia="Palatino Linotype" w:hAnsi="Palatino Linotype" w:cs="Palatino Linotype"/>
          <w:i/>
        </w:rPr>
        <w:t>11) El finiquito.</w:t>
      </w:r>
    </w:p>
    <w:p w14:paraId="0EB3F5F7" w14:textId="77777777" w:rsidR="004F3713" w:rsidRPr="00CE4B17" w:rsidRDefault="004F3713">
      <w:pPr>
        <w:spacing w:after="0" w:line="360" w:lineRule="auto"/>
        <w:ind w:right="49"/>
        <w:jc w:val="both"/>
        <w:rPr>
          <w:rFonts w:ascii="Palatino Linotype" w:eastAsia="Palatino Linotype" w:hAnsi="Palatino Linotype" w:cs="Palatino Linotype"/>
        </w:rPr>
      </w:pPr>
    </w:p>
    <w:p w14:paraId="28EFC65F" w14:textId="77777777" w:rsidR="004F3713" w:rsidRPr="00CE4B17" w:rsidRDefault="00640082">
      <w:pPr>
        <w:spacing w:after="0"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Es así que se tiene que, la información relacionada con estos procedimientos, es información que se debe transparentar y poner a disposición del público, toda vez que se tratan de obligaciones de transparencia que todos los sujetos obligados deben acatar. </w:t>
      </w:r>
    </w:p>
    <w:p w14:paraId="1199E27C" w14:textId="77777777" w:rsidR="004F3713" w:rsidRPr="00CE4B17" w:rsidRDefault="004F3713">
      <w:pPr>
        <w:spacing w:after="0" w:line="360" w:lineRule="auto"/>
        <w:ind w:right="49"/>
        <w:jc w:val="both"/>
        <w:rPr>
          <w:rFonts w:ascii="Palatino Linotype" w:eastAsia="Palatino Linotype" w:hAnsi="Palatino Linotype" w:cs="Palatino Linotype"/>
        </w:rPr>
      </w:pPr>
    </w:p>
    <w:p w14:paraId="57927CD2" w14:textId="77777777" w:rsidR="004F3713" w:rsidRPr="00CE4B17" w:rsidRDefault="00640082">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r w:rsidRPr="00CE4B17">
        <w:rPr>
          <w:rFonts w:ascii="Palatino Linotype" w:eastAsia="Palatino Linotype" w:hAnsi="Palatino Linotype" w:cs="Palatino Linotype"/>
          <w:b/>
          <w:u w:val="single"/>
        </w:rPr>
        <w:t xml:space="preserve">Asimismo, tal como se mencionó, se advierte que la información solicitada puede estar contenida en los documentos que integran los expedientes de licitación, adjudicación o </w:t>
      </w:r>
      <w:r w:rsidRPr="00CE4B17">
        <w:rPr>
          <w:rFonts w:ascii="Palatino Linotype" w:eastAsia="Palatino Linotype" w:hAnsi="Palatino Linotype" w:cs="Palatino Linotype"/>
          <w:b/>
          <w:u w:val="single"/>
        </w:rPr>
        <w:lastRenderedPageBreak/>
        <w:t xml:space="preserve">invitación restringida, de manera enunciativa más no limitativa en los contratos celebrados. </w:t>
      </w:r>
    </w:p>
    <w:p w14:paraId="29CB72F6" w14:textId="77777777" w:rsidR="004F3713" w:rsidRPr="00CE4B17" w:rsidRDefault="004F3713">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D0605B4" w14:textId="77777777" w:rsidR="004F3713" w:rsidRPr="00CE4B17" w:rsidRDefault="00640082">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CE4B17">
        <w:rPr>
          <w:rFonts w:ascii="Palatino Linotype" w:eastAsia="Palatino Linotype" w:hAnsi="Palatino Linotype" w:cs="Palatino Linotype"/>
        </w:rPr>
        <w:t xml:space="preserve">Dicho esto, en atención a los agravios hechos valer por la parte Recurrente, es de destacar que su inconformidad versa en que no se adjuntó un oficio a la respuesta del Sujeto Obligado, situación que se procedió a verificar y, en efecto, no se advierte que se haya adjuntado oficio alguno, por lo que, los agravios hechos valer por la parte Recurrente devienen </w:t>
      </w:r>
      <w:r w:rsidRPr="00CE4B17">
        <w:rPr>
          <w:rFonts w:ascii="Palatino Linotype" w:eastAsia="Palatino Linotype" w:hAnsi="Palatino Linotype" w:cs="Palatino Linotype"/>
          <w:b/>
        </w:rPr>
        <w:t>FUNDADOS.</w:t>
      </w:r>
    </w:p>
    <w:p w14:paraId="6B15CF63" w14:textId="77777777" w:rsidR="004F3713" w:rsidRPr="00CE4B17" w:rsidRDefault="004F3713">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EC1F2B0" w14:textId="77777777" w:rsidR="004F3713" w:rsidRPr="00CE4B17" w:rsidRDefault="00640082">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Ahora bien, como se señaló anteriormente, mediante informe justificado, el Sujeto Obligado a través de la Dirección de Obras Públicas remitió una liga electrónica señalándo que en esta se podía encontrar la información requerida, no obstante, se advierte que se encuentra en formato cerrado, es decir,  que no se puede copiar y pegar para tener acceso; sobre el tema, Trujillo, Humberto (2019), en el “Diccionario de Transparencia y Acceso a la Información Pública”, precisa que cuando un </w:t>
      </w:r>
      <w:r w:rsidRPr="00CE4B17">
        <w:rPr>
          <w:rFonts w:ascii="Palatino Linotype" w:eastAsia="Palatino Linotype" w:hAnsi="Palatino Linotype" w:cs="Palatino Linotype"/>
          <w:b/>
        </w:rPr>
        <w:t xml:space="preserve">Sujeto Obligado </w:t>
      </w:r>
      <w:r w:rsidRPr="00CE4B17">
        <w:rPr>
          <w:rFonts w:ascii="Palatino Linotype" w:eastAsia="Palatino Linotype" w:hAnsi="Palatino Linotype" w:cs="Palatino Linotype"/>
        </w:rPr>
        <w:t>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1882F2B" w14:textId="77777777" w:rsidR="004F3713" w:rsidRPr="00CE4B17" w:rsidRDefault="004F3713">
      <w:pPr>
        <w:spacing w:after="0" w:line="360" w:lineRule="auto"/>
        <w:jc w:val="both"/>
        <w:rPr>
          <w:rFonts w:ascii="Palatino Linotype" w:eastAsia="Palatino Linotype" w:hAnsi="Palatino Linotype" w:cs="Palatino Linotype"/>
        </w:rPr>
      </w:pPr>
    </w:p>
    <w:p w14:paraId="5086474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4A6A6E80" w14:textId="77777777" w:rsidR="004F3713" w:rsidRPr="00CE4B17" w:rsidRDefault="004F3713">
      <w:pPr>
        <w:spacing w:after="0" w:line="360" w:lineRule="auto"/>
        <w:jc w:val="both"/>
        <w:rPr>
          <w:rFonts w:ascii="Palatino Linotype" w:eastAsia="Palatino Linotype" w:hAnsi="Palatino Linotype" w:cs="Palatino Linotype"/>
        </w:rPr>
      </w:pPr>
    </w:p>
    <w:p w14:paraId="701E054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ABE7540" w14:textId="77777777" w:rsidR="004F3713" w:rsidRPr="00CE4B17" w:rsidRDefault="004F3713">
      <w:pPr>
        <w:spacing w:after="0" w:line="360" w:lineRule="auto"/>
        <w:jc w:val="both"/>
        <w:rPr>
          <w:rFonts w:ascii="Palatino Linotype" w:eastAsia="Palatino Linotype" w:hAnsi="Palatino Linotype" w:cs="Palatino Linotype"/>
        </w:rPr>
      </w:pPr>
    </w:p>
    <w:p w14:paraId="07A4F218" w14:textId="77777777" w:rsidR="004F3713" w:rsidRPr="00CE4B17" w:rsidRDefault="00640082">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Dato abierto:</w:t>
      </w:r>
      <w:r w:rsidRPr="00CE4B17">
        <w:rPr>
          <w:rFonts w:ascii="Palatino Linotype" w:eastAsia="Palatino Linotype" w:hAnsi="Palatino Linotype" w:cs="Palatino Linotype"/>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DE82E07" w14:textId="77777777" w:rsidR="004F3713" w:rsidRPr="00CE4B17" w:rsidRDefault="004F3713">
      <w:pPr>
        <w:spacing w:after="0" w:line="360" w:lineRule="auto"/>
        <w:ind w:firstLine="60"/>
        <w:jc w:val="both"/>
        <w:rPr>
          <w:rFonts w:ascii="Palatino Linotype" w:eastAsia="Palatino Linotype" w:hAnsi="Palatino Linotype" w:cs="Palatino Linotype"/>
        </w:rPr>
      </w:pPr>
    </w:p>
    <w:p w14:paraId="2F3A9BEF" w14:textId="77777777" w:rsidR="004F3713" w:rsidRPr="00CE4B17" w:rsidRDefault="00640082">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 xml:space="preserve">Formato accesible: </w:t>
      </w:r>
      <w:r w:rsidRPr="00CE4B17">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67CEE0C" w14:textId="77777777" w:rsidR="004F3713" w:rsidRPr="00CE4B17" w:rsidRDefault="004F3713">
      <w:pPr>
        <w:spacing w:after="0" w:line="360" w:lineRule="auto"/>
        <w:jc w:val="both"/>
        <w:rPr>
          <w:rFonts w:ascii="Palatino Linotype" w:eastAsia="Palatino Linotype" w:hAnsi="Palatino Linotype" w:cs="Palatino Linotype"/>
        </w:rPr>
      </w:pPr>
    </w:p>
    <w:p w14:paraId="31C5347A"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Conforme a lo anterior, se considera que en el caso de que la información peticionada obre en ligas electrónicas, 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deberá privilegiar la entrega de estas, en datos abiertos, es decir, en un formato que permita la accesibilidad y facilidad a los Particulares, para obtener la información contenida en estas.</w:t>
      </w:r>
    </w:p>
    <w:p w14:paraId="757AF85F" w14:textId="77777777" w:rsidR="004F3713" w:rsidRPr="00CE4B17" w:rsidRDefault="004F3713">
      <w:pPr>
        <w:spacing w:after="0" w:line="360" w:lineRule="auto"/>
        <w:jc w:val="both"/>
        <w:rPr>
          <w:rFonts w:ascii="Palatino Linotype" w:eastAsia="Palatino Linotype" w:hAnsi="Palatino Linotype" w:cs="Palatino Linotype"/>
        </w:rPr>
      </w:pPr>
    </w:p>
    <w:p w14:paraId="09973C5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Al respecto, el artículo 161 de la Ley de Transparencia y Acceso a la Información Pública del Estado de México y Municipios, establece que cuando la documentación peticionada ya se encuentre disponible al público, entre otros, en formatos electrónicos disponibles en internet, los sujetos obligados cumplirán el derecho de acceso a la información, cuando le </w:t>
      </w:r>
      <w:r w:rsidRPr="00CE4B17">
        <w:rPr>
          <w:rFonts w:ascii="Palatino Linotype" w:eastAsia="Palatino Linotype" w:hAnsi="Palatino Linotype" w:cs="Palatino Linotype"/>
        </w:rPr>
        <w:lastRenderedPageBreak/>
        <w:t>hagan saber de manera precisa a los solicitantes, la fuente, el lugar y la forma en que se puede obtener la información.</w:t>
      </w:r>
    </w:p>
    <w:p w14:paraId="09F38C30" w14:textId="77777777" w:rsidR="004F3713" w:rsidRPr="00CE4B17" w:rsidRDefault="004F3713">
      <w:pPr>
        <w:spacing w:after="0" w:line="360" w:lineRule="auto"/>
        <w:jc w:val="both"/>
        <w:rPr>
          <w:rFonts w:ascii="Palatino Linotype" w:eastAsia="Palatino Linotype" w:hAnsi="Palatino Linotype" w:cs="Palatino Linotype"/>
        </w:rPr>
      </w:pPr>
    </w:p>
    <w:p w14:paraId="5F55BD17"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Como se logra observar, el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w:t>
      </w:r>
    </w:p>
    <w:p w14:paraId="77440946" w14:textId="77777777" w:rsidR="004F3713" w:rsidRPr="00CE4B17" w:rsidRDefault="004F3713">
      <w:pPr>
        <w:spacing w:after="0" w:line="360" w:lineRule="auto"/>
        <w:jc w:val="both"/>
        <w:rPr>
          <w:rFonts w:ascii="Palatino Linotype" w:eastAsia="Palatino Linotype" w:hAnsi="Palatino Linotype" w:cs="Palatino Linotype"/>
        </w:rPr>
      </w:pPr>
    </w:p>
    <w:p w14:paraId="0824AE2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ese sentido, debido a que el Sujeto Obligado fue restrictivo en proporcionar la información solicitada, se colige que los agravios hechos valer por la parte Recurrente son </w:t>
      </w:r>
      <w:r w:rsidRPr="00CE4B17">
        <w:rPr>
          <w:rFonts w:ascii="Palatino Linotype" w:eastAsia="Palatino Linotype" w:hAnsi="Palatino Linotype" w:cs="Palatino Linotype"/>
          <w:b/>
        </w:rPr>
        <w:t>FUNDADOS</w:t>
      </w:r>
      <w:r w:rsidRPr="00CE4B17">
        <w:rPr>
          <w:rFonts w:ascii="Palatino Linotype" w:eastAsia="Palatino Linotype" w:hAnsi="Palatino Linotype" w:cs="Palatino Linotype"/>
        </w:rPr>
        <w:t xml:space="preserve"> y, por ende, este Organismo Garante determina </w:t>
      </w:r>
      <w:r w:rsidRPr="00CE4B17">
        <w:rPr>
          <w:rFonts w:ascii="Palatino Linotype" w:eastAsia="Palatino Linotype" w:hAnsi="Palatino Linotype" w:cs="Palatino Linotype"/>
          <w:b/>
        </w:rPr>
        <w:t>REVOCAR</w:t>
      </w:r>
      <w:r w:rsidRPr="00CE4B17">
        <w:rPr>
          <w:rFonts w:ascii="Palatino Linotype" w:eastAsia="Palatino Linotype" w:hAnsi="Palatino Linotype" w:cs="Palatino Linotype"/>
        </w:rPr>
        <w:t xml:space="preserve"> la respuesta del Sujeto Obligado y;</w:t>
      </w:r>
      <w:r w:rsidRPr="00CE4B17">
        <w:rPr>
          <w:rFonts w:ascii="Palatino Linotype" w:eastAsia="Palatino Linotype" w:hAnsi="Palatino Linotype" w:cs="Palatino Linotype"/>
          <w:b/>
        </w:rPr>
        <w:t xml:space="preserve"> ORDENAR</w:t>
      </w:r>
      <w:r w:rsidRPr="00CE4B17">
        <w:rPr>
          <w:rFonts w:ascii="Palatino Linotype" w:eastAsia="Palatino Linotype" w:hAnsi="Palatino Linotype" w:cs="Palatino Linotype"/>
        </w:rPr>
        <w:t>, previa búsqueda exhaustiva y razonable, de ser el caso, en versión pública, lo siguiente:</w:t>
      </w:r>
    </w:p>
    <w:p w14:paraId="023AD5D5" w14:textId="77777777" w:rsidR="004F3713" w:rsidRPr="00CE4B17" w:rsidRDefault="004F371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62A0BEC" w14:textId="77777777" w:rsidR="004F3713" w:rsidRPr="00CE4B17" w:rsidRDefault="00640082">
      <w:pPr>
        <w:numPr>
          <w:ilvl w:val="0"/>
          <w:numId w:val="4"/>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CE4B17">
        <w:rPr>
          <w:rFonts w:ascii="Palatino Linotype" w:eastAsia="Palatino Linotype" w:hAnsi="Palatino Linotype" w:cs="Palatino Linotype"/>
        </w:rPr>
        <w:t>Documentos donde conste nombre, los trabajos realizados o el concepto, el origen de los recursos, la modalidad de contratación, la fecha, costo y nombre o razón social de la empresa, de los mantenimientos efectuados en planteles escolares del uno de enero de dos mil veintidós al ocho de julio de dos mil veinticuatro.</w:t>
      </w:r>
    </w:p>
    <w:p w14:paraId="3618116A" w14:textId="77777777" w:rsidR="004F3713" w:rsidRPr="00CE4B17" w:rsidRDefault="004F3713">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5460CE39" w14:textId="77777777" w:rsidR="004F3713" w:rsidRPr="00CE4B17" w:rsidRDefault="00640082">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r w:rsidRPr="00CE4B17">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0D43BD2" w14:textId="77777777" w:rsidR="004F3713" w:rsidRPr="00CE4B17" w:rsidRDefault="00640082">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 xml:space="preserve">Para el caso de que el Sujeto Obligado no cuente con la información que se determina ordenar,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0907BC56" w14:textId="77777777" w:rsidR="004F3713" w:rsidRPr="00CE4B17" w:rsidRDefault="004F3713">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08D0E8F1"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Quinto. Versión Pública</w:t>
      </w:r>
      <w:r w:rsidRPr="00CE4B17">
        <w:rPr>
          <w:rFonts w:ascii="Palatino Linotype" w:eastAsia="Palatino Linotype" w:hAnsi="Palatino Linotype" w:cs="Palatino Linotype"/>
        </w:rPr>
        <w:t>.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518513C8" w14:textId="77777777" w:rsidR="004F3713" w:rsidRPr="00CE4B17" w:rsidRDefault="004F3713">
      <w:pPr>
        <w:spacing w:after="0" w:line="360" w:lineRule="auto"/>
        <w:jc w:val="both"/>
        <w:rPr>
          <w:rFonts w:ascii="Palatino Linotype" w:eastAsia="Palatino Linotype" w:hAnsi="Palatino Linotype" w:cs="Palatino Linotype"/>
        </w:rPr>
      </w:pPr>
    </w:p>
    <w:p w14:paraId="7954BC44" w14:textId="77777777" w:rsidR="004F3713" w:rsidRPr="00CE4B17" w:rsidRDefault="00640082">
      <w:pPr>
        <w:spacing w:after="0" w:line="360" w:lineRule="auto"/>
        <w:ind w:right="50"/>
        <w:jc w:val="both"/>
        <w:rPr>
          <w:rFonts w:ascii="Palatino Linotype" w:eastAsia="Palatino Linotype" w:hAnsi="Palatino Linotype" w:cs="Palatino Linotype"/>
        </w:rPr>
      </w:pPr>
      <w:r w:rsidRPr="00CE4B17">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42C76A06" w14:textId="77777777" w:rsidR="004F3713" w:rsidRPr="00CE4B17" w:rsidRDefault="004F3713">
      <w:pPr>
        <w:spacing w:after="0" w:line="360" w:lineRule="auto"/>
        <w:ind w:right="50"/>
        <w:jc w:val="both"/>
        <w:rPr>
          <w:rFonts w:ascii="Palatino Linotype" w:eastAsia="Palatino Linotype" w:hAnsi="Palatino Linotype" w:cs="Palatino Linotype"/>
        </w:rPr>
      </w:pPr>
    </w:p>
    <w:p w14:paraId="773B429D"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r w:rsidRPr="00CE4B17">
        <w:rPr>
          <w:rFonts w:ascii="Palatino Linotype" w:eastAsia="Palatino Linotype" w:hAnsi="Palatino Linotype" w:cs="Palatino Linotype"/>
          <w:b/>
          <w:i/>
        </w:rPr>
        <w:t>Artículo 3.</w:t>
      </w:r>
      <w:r w:rsidRPr="00CE4B17">
        <w:rPr>
          <w:rFonts w:ascii="Palatino Linotype" w:eastAsia="Palatino Linotype" w:hAnsi="Palatino Linotype" w:cs="Palatino Linotype"/>
          <w:i/>
        </w:rPr>
        <w:t xml:space="preserve"> Para los efectos de la presente Ley se entenderá por:</w:t>
      </w:r>
    </w:p>
    <w:p w14:paraId="37778A74"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000762EE"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366AEF52"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XX. Información clasificada: Aquella considerada por la presente Ley como reservada o confidencial;</w:t>
      </w:r>
    </w:p>
    <w:p w14:paraId="3F6BF2BC"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XXI. Información confidencial: Se considera como información confidencial los secretos bancario, fiduciario, industrial, comercial, fiscal, bursátil y postal, cuya titularidad </w:t>
      </w:r>
      <w:r w:rsidRPr="00CE4B17">
        <w:rPr>
          <w:rFonts w:ascii="Palatino Linotype" w:eastAsia="Palatino Linotype" w:hAnsi="Palatino Linotype" w:cs="Palatino Linotype"/>
          <w:i/>
        </w:rPr>
        <w:lastRenderedPageBreak/>
        <w:t>corresponda a particulares, sujetos de derecho internacional o a sujetos obligados cuando no involucren el ejercicio de recursos públicos;</w:t>
      </w:r>
    </w:p>
    <w:p w14:paraId="2B4BE486"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98AB46F"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7938D24C"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91.</w:t>
      </w:r>
      <w:r w:rsidRPr="00CE4B1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3E8B4DC"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132.</w:t>
      </w:r>
      <w:r w:rsidRPr="00CE4B17">
        <w:rPr>
          <w:rFonts w:ascii="Palatino Linotype" w:eastAsia="Palatino Linotype" w:hAnsi="Palatino Linotype" w:cs="Palatino Linotype"/>
          <w:i/>
        </w:rPr>
        <w:t xml:space="preserve"> La clasificación de la información se llevará a cabo en el momento en que:</w:t>
      </w:r>
    </w:p>
    <w:p w14:paraId="616F0A27" w14:textId="77777777" w:rsidR="004F3713" w:rsidRPr="00CE4B17" w:rsidRDefault="00640082">
      <w:pPr>
        <w:tabs>
          <w:tab w:val="left" w:pos="1134"/>
        </w:tabs>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 Se reciba una solicitud de acceso a la información;</w:t>
      </w:r>
    </w:p>
    <w:p w14:paraId="7BE556C7" w14:textId="77777777" w:rsidR="004F3713" w:rsidRPr="00CE4B17" w:rsidRDefault="00640082">
      <w:pPr>
        <w:tabs>
          <w:tab w:val="left" w:pos="1134"/>
        </w:tabs>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 Se determine mediante resolución de autoridad competente; o</w:t>
      </w:r>
    </w:p>
    <w:p w14:paraId="283EFD9D" w14:textId="77777777" w:rsidR="004F3713" w:rsidRPr="00CE4B17" w:rsidRDefault="00640082">
      <w:pPr>
        <w:tabs>
          <w:tab w:val="left" w:pos="1134"/>
        </w:tabs>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III. Se generen versiones públicas para dar cumplimiento a las obligaciones de transparencia previstas en esta Ley.</w:t>
      </w:r>
    </w:p>
    <w:p w14:paraId="13944A7A"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3AF9E703"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Artículo 143</w:t>
      </w:r>
      <w:r w:rsidRPr="00CE4B1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0203CE0"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FCC2E9A"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7247987"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D56F0A2"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B5A405B"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063C42A" w14:textId="77777777" w:rsidR="004F3713" w:rsidRPr="00CE4B17" w:rsidRDefault="004F3713">
      <w:pPr>
        <w:spacing w:after="0" w:line="276" w:lineRule="auto"/>
        <w:ind w:left="567" w:right="616"/>
        <w:jc w:val="both"/>
        <w:rPr>
          <w:rFonts w:ascii="Palatino Linotype" w:eastAsia="Palatino Linotype" w:hAnsi="Palatino Linotype" w:cs="Palatino Linotype"/>
          <w:i/>
        </w:rPr>
      </w:pPr>
    </w:p>
    <w:p w14:paraId="6E6968A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w:t>
      </w:r>
      <w:r w:rsidRPr="00CE4B17">
        <w:rPr>
          <w:rFonts w:ascii="Palatino Linotype" w:eastAsia="Palatino Linotype" w:hAnsi="Palatino Linotype" w:cs="Palatino Linotype"/>
        </w:rPr>
        <w:lastRenderedPageBreak/>
        <w:t>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CE1CADA" w14:textId="77777777" w:rsidR="004F3713" w:rsidRPr="00CE4B17" w:rsidRDefault="004F3713">
      <w:pPr>
        <w:spacing w:after="0" w:line="276" w:lineRule="auto"/>
        <w:jc w:val="both"/>
        <w:rPr>
          <w:rFonts w:ascii="Palatino Linotype" w:eastAsia="Palatino Linotype" w:hAnsi="Palatino Linotype" w:cs="Palatino Linotype"/>
        </w:rPr>
      </w:pPr>
    </w:p>
    <w:p w14:paraId="5D2FFFC2"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1573AB44" w14:textId="77777777" w:rsidR="004F3713" w:rsidRPr="00CE4B17" w:rsidRDefault="004F3713">
      <w:pPr>
        <w:spacing w:after="0" w:line="360" w:lineRule="auto"/>
        <w:jc w:val="both"/>
        <w:rPr>
          <w:rFonts w:ascii="Palatino Linotype" w:eastAsia="Palatino Linotype" w:hAnsi="Palatino Linotype" w:cs="Palatino Linotype"/>
        </w:rPr>
      </w:pPr>
    </w:p>
    <w:p w14:paraId="117E17DD"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 “</w:t>
      </w:r>
      <w:r w:rsidRPr="00CE4B17">
        <w:rPr>
          <w:rFonts w:ascii="Palatino Linotype" w:eastAsia="Palatino Linotype" w:hAnsi="Palatino Linotype" w:cs="Palatino Linotype"/>
          <w:b/>
          <w:i/>
        </w:rPr>
        <w:t>Quincuagésimo</w:t>
      </w:r>
      <w:r w:rsidRPr="00CE4B17">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D6629B1"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Quincuagésimo primero.</w:t>
      </w:r>
      <w:r w:rsidRPr="00CE4B17">
        <w:rPr>
          <w:rFonts w:ascii="Palatino Linotype" w:eastAsia="Palatino Linotype" w:hAnsi="Palatino Linotype" w:cs="Palatino Linotype"/>
          <w:i/>
        </w:rPr>
        <w:t xml:space="preserve"> Toda acta del Comité de Transparencia deberá contener: </w:t>
      </w:r>
    </w:p>
    <w:p w14:paraId="435A2BD0"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 El número de sesión y fecha; </w:t>
      </w:r>
    </w:p>
    <w:p w14:paraId="754FB376"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II. El nombre del área que solicitó la clasificación de información; </w:t>
      </w:r>
    </w:p>
    <w:p w14:paraId="0DA49B19"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III. La fundamentación legal y motivación correspondiente; </w:t>
      </w:r>
    </w:p>
    <w:p w14:paraId="7EDED0D7"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IV. La resolución o resoluciones aprobadas; y </w:t>
      </w:r>
    </w:p>
    <w:p w14:paraId="44FEC23D"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V. La rúbrica o firma digital de cada integrante del Comité de Transparencia. </w:t>
      </w:r>
    </w:p>
    <w:p w14:paraId="7C6E7AD8"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56BA4C2"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 Los motivos y razonamientos que sustenten la confirmación o modificación de la prueba de daño;</w:t>
      </w:r>
    </w:p>
    <w:p w14:paraId="7D9C7CB7"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II. Descripción de las partes o secciones reservadas, en caso de clasificación parcial; </w:t>
      </w:r>
    </w:p>
    <w:p w14:paraId="77697B4D"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III. El periodo por el que mantendrá su clasificación y fecha de expiración; y </w:t>
      </w:r>
    </w:p>
    <w:p w14:paraId="24AC3EB9"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 xml:space="preserve">IV. El nombre del titular y área encargada de realizar la versión pública del documento, en su caso. </w:t>
      </w:r>
    </w:p>
    <w:p w14:paraId="7EEEFB85"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13425FD"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8A21A60"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Quincuagésimo segundo.</w:t>
      </w:r>
      <w:r w:rsidRPr="00CE4B17">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DDAA8F2"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8901E1D"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 Fijar la fecha en que se elaboró la versión pública y la fecha en la cual el Comité de Transparencia confirmó dicha versión;</w:t>
      </w:r>
    </w:p>
    <w:p w14:paraId="1BDFFBFB"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AD27D8F"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III. Señalar las personas o instancias autorizadas a acceder a la información clasificada.</w:t>
      </w:r>
    </w:p>
    <w:p w14:paraId="7827CBAF"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9BDF8A1" w14:textId="77777777" w:rsidR="004F3713" w:rsidRPr="00CE4B17" w:rsidRDefault="004F3713">
      <w:pPr>
        <w:spacing w:after="0" w:line="276" w:lineRule="auto"/>
        <w:ind w:left="567" w:right="616"/>
        <w:jc w:val="both"/>
        <w:rPr>
          <w:rFonts w:ascii="Palatino Linotype" w:eastAsia="Palatino Linotype" w:hAnsi="Palatino Linotype" w:cs="Palatino Linotype"/>
          <w:i/>
        </w:rPr>
      </w:pPr>
    </w:p>
    <w:p w14:paraId="77F7FC4C" w14:textId="77777777" w:rsidR="004F3713" w:rsidRPr="00CE4B17" w:rsidRDefault="00640082">
      <w:pPr>
        <w:spacing w:after="0" w:line="360" w:lineRule="auto"/>
        <w:ind w:right="50"/>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supraindicados el cual establece los formatos para la clasificación de los documentos, conforme a lo siguiente: </w:t>
      </w:r>
    </w:p>
    <w:p w14:paraId="7F96D835" w14:textId="77777777" w:rsidR="004F3713" w:rsidRPr="00CE4B17" w:rsidRDefault="00640082">
      <w:pPr>
        <w:spacing w:after="0"/>
        <w:ind w:left="851" w:right="900"/>
        <w:jc w:val="center"/>
        <w:rPr>
          <w:rFonts w:ascii="Palatino Linotype" w:eastAsia="Palatino Linotype" w:hAnsi="Palatino Linotype" w:cs="Palatino Linotype"/>
          <w:b/>
          <w:i/>
        </w:rPr>
      </w:pPr>
      <w:r w:rsidRPr="00CE4B17">
        <w:rPr>
          <w:rFonts w:ascii="Palatino Linotype" w:eastAsia="Palatino Linotype" w:hAnsi="Palatino Linotype" w:cs="Palatino Linotype"/>
          <w:b/>
          <w:i/>
        </w:rPr>
        <w:t>CAPÍTULO VIII</w:t>
      </w:r>
    </w:p>
    <w:p w14:paraId="58F158F9" w14:textId="77777777" w:rsidR="004F3713" w:rsidRPr="00CE4B17" w:rsidRDefault="00640082">
      <w:pPr>
        <w:spacing w:after="0"/>
        <w:ind w:left="851" w:right="900"/>
        <w:jc w:val="center"/>
        <w:rPr>
          <w:rFonts w:ascii="Palatino Linotype" w:eastAsia="Palatino Linotype" w:hAnsi="Palatino Linotype" w:cs="Palatino Linotype"/>
          <w:b/>
          <w:i/>
        </w:rPr>
      </w:pPr>
      <w:r w:rsidRPr="00CE4B17">
        <w:rPr>
          <w:rFonts w:ascii="Palatino Linotype" w:eastAsia="Palatino Linotype" w:hAnsi="Palatino Linotype" w:cs="Palatino Linotype"/>
          <w:b/>
          <w:i/>
        </w:rPr>
        <w:t xml:space="preserve">DE LOS ELEMENTOS PARA LA CLASIFICACIÓN </w:t>
      </w:r>
    </w:p>
    <w:p w14:paraId="3DEF1BB4" w14:textId="77777777" w:rsidR="004F3713" w:rsidRPr="00CE4B17" w:rsidRDefault="00640082">
      <w:pPr>
        <w:spacing w:after="0"/>
        <w:ind w:left="851" w:right="902"/>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 xml:space="preserve">Quincuagésimo tercero. </w:t>
      </w:r>
      <w:r w:rsidRPr="00CE4B17">
        <w:rPr>
          <w:rFonts w:ascii="Palatino Linotype" w:eastAsia="Palatino Linotype" w:hAnsi="Palatino Linotype" w:cs="Palatino Linotype"/>
          <w:i/>
          <w:u w:val="single"/>
        </w:rPr>
        <w:t>El formato para señalar la clasificación de un documento o expediente que contenga información reservada</w:t>
      </w:r>
      <w:r w:rsidRPr="00CE4B17">
        <w:rPr>
          <w:rFonts w:ascii="Palatino Linotype" w:eastAsia="Palatino Linotype" w:hAnsi="Palatino Linotype" w:cs="Palatino Linotype"/>
          <w:i/>
        </w:rPr>
        <w:t xml:space="preserve">, es el siguiente: </w:t>
      </w:r>
    </w:p>
    <w:p w14:paraId="19069AAA" w14:textId="77777777" w:rsidR="004F3713" w:rsidRPr="00CE4B17" w:rsidRDefault="004F3713">
      <w:pPr>
        <w:spacing w:after="0"/>
        <w:ind w:left="851" w:right="902"/>
        <w:jc w:val="both"/>
        <w:rPr>
          <w:rFonts w:ascii="Palatino Linotype" w:eastAsia="Palatino Linotype" w:hAnsi="Palatino Linotype" w:cs="Palatino Linotype"/>
          <w:i/>
        </w:rPr>
      </w:pPr>
    </w:p>
    <w:tbl>
      <w:tblPr>
        <w:tblStyle w:val="a"/>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CE4B17" w:rsidRPr="00CE4B17" w14:paraId="096F859A" w14:textId="77777777">
        <w:trPr>
          <w:trHeight w:val="262"/>
          <w:jc w:val="center"/>
        </w:trPr>
        <w:tc>
          <w:tcPr>
            <w:tcW w:w="1271" w:type="dxa"/>
            <w:tcBorders>
              <w:top w:val="nil"/>
              <w:left w:val="nil"/>
            </w:tcBorders>
          </w:tcPr>
          <w:p w14:paraId="2D68302B" w14:textId="77777777" w:rsidR="004F3713" w:rsidRPr="00CE4B17" w:rsidRDefault="004F3713">
            <w:pPr>
              <w:rPr>
                <w:rFonts w:ascii="Palatino Linotype" w:eastAsia="Palatino Linotype" w:hAnsi="Palatino Linotype" w:cs="Palatino Linotype"/>
              </w:rPr>
            </w:pPr>
          </w:p>
        </w:tc>
        <w:tc>
          <w:tcPr>
            <w:tcW w:w="2693" w:type="dxa"/>
            <w:shd w:val="clear" w:color="auto" w:fill="D9D9D9"/>
          </w:tcPr>
          <w:p w14:paraId="110CB53F" w14:textId="77777777" w:rsidR="004F3713" w:rsidRPr="00CE4B17" w:rsidRDefault="00640082">
            <w:pPr>
              <w:tabs>
                <w:tab w:val="center" w:pos="1238"/>
                <w:tab w:val="right" w:pos="2477"/>
              </w:tabs>
              <w:rPr>
                <w:rFonts w:ascii="Palatino Linotype" w:eastAsia="Palatino Linotype" w:hAnsi="Palatino Linotype" w:cs="Palatino Linotype"/>
                <w:b/>
              </w:rPr>
            </w:pPr>
            <w:r w:rsidRPr="00CE4B17">
              <w:rPr>
                <w:rFonts w:ascii="Palatino Linotype" w:eastAsia="Palatino Linotype" w:hAnsi="Palatino Linotype" w:cs="Palatino Linotype"/>
                <w:b/>
              </w:rPr>
              <w:tab/>
              <w:t>Concepto</w:t>
            </w:r>
            <w:r w:rsidRPr="00CE4B17">
              <w:rPr>
                <w:rFonts w:ascii="Palatino Linotype" w:eastAsia="Palatino Linotype" w:hAnsi="Palatino Linotype" w:cs="Palatino Linotype"/>
                <w:b/>
              </w:rPr>
              <w:tab/>
            </w:r>
          </w:p>
        </w:tc>
        <w:tc>
          <w:tcPr>
            <w:tcW w:w="3691" w:type="dxa"/>
            <w:shd w:val="clear" w:color="auto" w:fill="D9D9D9"/>
          </w:tcPr>
          <w:p w14:paraId="2F91DA46" w14:textId="77777777" w:rsidR="004F3713" w:rsidRPr="00CE4B17" w:rsidRDefault="00640082">
            <w:pPr>
              <w:jc w:val="center"/>
              <w:rPr>
                <w:rFonts w:ascii="Palatino Linotype" w:eastAsia="Palatino Linotype" w:hAnsi="Palatino Linotype" w:cs="Palatino Linotype"/>
                <w:b/>
              </w:rPr>
            </w:pPr>
            <w:r w:rsidRPr="00CE4B17">
              <w:rPr>
                <w:rFonts w:ascii="Palatino Linotype" w:eastAsia="Palatino Linotype" w:hAnsi="Palatino Linotype" w:cs="Palatino Linotype"/>
                <w:b/>
              </w:rPr>
              <w:t>Dónde</w:t>
            </w:r>
          </w:p>
        </w:tc>
      </w:tr>
      <w:tr w:rsidR="00CE4B17" w:rsidRPr="00CE4B17" w14:paraId="5C1977BA" w14:textId="77777777">
        <w:trPr>
          <w:jc w:val="center"/>
        </w:trPr>
        <w:tc>
          <w:tcPr>
            <w:tcW w:w="1271" w:type="dxa"/>
            <w:vMerge w:val="restart"/>
            <w:shd w:val="clear" w:color="auto" w:fill="D9D9D9"/>
          </w:tcPr>
          <w:p w14:paraId="16651414" w14:textId="77777777" w:rsidR="004F3713" w:rsidRPr="00CE4B17" w:rsidRDefault="004F3713">
            <w:pPr>
              <w:jc w:val="both"/>
              <w:rPr>
                <w:rFonts w:ascii="Palatino Linotype" w:eastAsia="Palatino Linotype" w:hAnsi="Palatino Linotype" w:cs="Palatino Linotype"/>
                <w:b/>
              </w:rPr>
            </w:pPr>
          </w:p>
          <w:p w14:paraId="3EC00068" w14:textId="77777777" w:rsidR="004F3713" w:rsidRPr="00CE4B17" w:rsidRDefault="004F3713">
            <w:pPr>
              <w:jc w:val="both"/>
              <w:rPr>
                <w:rFonts w:ascii="Palatino Linotype" w:eastAsia="Palatino Linotype" w:hAnsi="Palatino Linotype" w:cs="Palatino Linotype"/>
                <w:b/>
              </w:rPr>
            </w:pPr>
          </w:p>
          <w:p w14:paraId="66DC7803" w14:textId="77777777" w:rsidR="004F3713" w:rsidRPr="00CE4B17" w:rsidRDefault="004F3713">
            <w:pPr>
              <w:jc w:val="both"/>
              <w:rPr>
                <w:rFonts w:ascii="Palatino Linotype" w:eastAsia="Palatino Linotype" w:hAnsi="Palatino Linotype" w:cs="Palatino Linotype"/>
                <w:b/>
              </w:rPr>
            </w:pPr>
          </w:p>
          <w:p w14:paraId="32F4E9F3" w14:textId="77777777" w:rsidR="004F3713" w:rsidRPr="00CE4B17" w:rsidRDefault="004F3713">
            <w:pPr>
              <w:jc w:val="both"/>
              <w:rPr>
                <w:rFonts w:ascii="Palatino Linotype" w:eastAsia="Palatino Linotype" w:hAnsi="Palatino Linotype" w:cs="Palatino Linotype"/>
                <w:b/>
              </w:rPr>
            </w:pPr>
          </w:p>
          <w:p w14:paraId="78BFE777" w14:textId="77777777" w:rsidR="004F3713" w:rsidRPr="00CE4B17" w:rsidRDefault="004F3713">
            <w:pPr>
              <w:jc w:val="both"/>
              <w:rPr>
                <w:rFonts w:ascii="Palatino Linotype" w:eastAsia="Palatino Linotype" w:hAnsi="Palatino Linotype" w:cs="Palatino Linotype"/>
                <w:b/>
              </w:rPr>
            </w:pPr>
          </w:p>
          <w:p w14:paraId="751FB86A" w14:textId="77777777" w:rsidR="004F3713" w:rsidRPr="00CE4B17" w:rsidRDefault="004F3713">
            <w:pPr>
              <w:jc w:val="both"/>
              <w:rPr>
                <w:rFonts w:ascii="Palatino Linotype" w:eastAsia="Palatino Linotype" w:hAnsi="Palatino Linotype" w:cs="Palatino Linotype"/>
                <w:b/>
              </w:rPr>
            </w:pPr>
          </w:p>
          <w:p w14:paraId="5CF2A1D5" w14:textId="77777777" w:rsidR="004F3713" w:rsidRPr="00CE4B17" w:rsidRDefault="00640082">
            <w:pPr>
              <w:jc w:val="both"/>
              <w:rPr>
                <w:rFonts w:ascii="Palatino Linotype" w:eastAsia="Palatino Linotype" w:hAnsi="Palatino Linotype" w:cs="Palatino Linotype"/>
                <w:b/>
              </w:rPr>
            </w:pPr>
            <w:r w:rsidRPr="00CE4B17">
              <w:rPr>
                <w:rFonts w:ascii="Palatino Linotype" w:eastAsia="Palatino Linotype" w:hAnsi="Palatino Linotype" w:cs="Palatino Linotype"/>
                <w:b/>
              </w:rPr>
              <w:t xml:space="preserve">Sello oficial o logotipo del sujeto obligado </w:t>
            </w:r>
          </w:p>
        </w:tc>
        <w:tc>
          <w:tcPr>
            <w:tcW w:w="2693" w:type="dxa"/>
          </w:tcPr>
          <w:p w14:paraId="633754CC"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Fecha de clasificación</w:t>
            </w:r>
          </w:p>
        </w:tc>
        <w:tc>
          <w:tcPr>
            <w:tcW w:w="3691" w:type="dxa"/>
          </w:tcPr>
          <w:p w14:paraId="5CBD0FF1"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Se anotará la fecha en la que el Comité de Transparencia confirmó la clasificación del documento o expediente, en su caso. </w:t>
            </w:r>
          </w:p>
        </w:tc>
      </w:tr>
      <w:tr w:rsidR="00CE4B17" w:rsidRPr="00CE4B17" w14:paraId="05382606" w14:textId="77777777">
        <w:trPr>
          <w:jc w:val="center"/>
        </w:trPr>
        <w:tc>
          <w:tcPr>
            <w:tcW w:w="1271" w:type="dxa"/>
            <w:vMerge/>
            <w:shd w:val="clear" w:color="auto" w:fill="D9D9D9"/>
          </w:tcPr>
          <w:p w14:paraId="5812F8FB" w14:textId="77777777" w:rsidR="004F3713" w:rsidRPr="00CE4B17" w:rsidRDefault="004F3713">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693" w:type="dxa"/>
          </w:tcPr>
          <w:p w14:paraId="6AE689ED"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 xml:space="preserve">Área </w:t>
            </w:r>
          </w:p>
        </w:tc>
        <w:tc>
          <w:tcPr>
            <w:tcW w:w="3691" w:type="dxa"/>
          </w:tcPr>
          <w:p w14:paraId="294633A6"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Se señalará el nombre del área del cual es titular quien clasifica. </w:t>
            </w:r>
          </w:p>
        </w:tc>
      </w:tr>
      <w:tr w:rsidR="00CE4B17" w:rsidRPr="00CE4B17" w14:paraId="5526D554" w14:textId="77777777">
        <w:trPr>
          <w:jc w:val="center"/>
        </w:trPr>
        <w:tc>
          <w:tcPr>
            <w:tcW w:w="1271" w:type="dxa"/>
            <w:vMerge/>
            <w:shd w:val="clear" w:color="auto" w:fill="D9D9D9"/>
          </w:tcPr>
          <w:p w14:paraId="561768EE" w14:textId="77777777" w:rsidR="004F3713" w:rsidRPr="00CE4B17" w:rsidRDefault="004F3713">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693" w:type="dxa"/>
          </w:tcPr>
          <w:p w14:paraId="5B214781"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Información Reservada</w:t>
            </w:r>
          </w:p>
        </w:tc>
        <w:tc>
          <w:tcPr>
            <w:tcW w:w="3691" w:type="dxa"/>
          </w:tcPr>
          <w:p w14:paraId="26C0FFEC"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Se indicarán las partes o páginas del documento que se clasifican como reservadas, o, en su caso, se precisará que se ha reservado el documento o expediente en su totalidad.</w:t>
            </w:r>
          </w:p>
        </w:tc>
      </w:tr>
      <w:tr w:rsidR="00CE4B17" w:rsidRPr="00CE4B17" w14:paraId="5AE301E1" w14:textId="77777777">
        <w:trPr>
          <w:jc w:val="center"/>
        </w:trPr>
        <w:tc>
          <w:tcPr>
            <w:tcW w:w="1271" w:type="dxa"/>
            <w:vMerge/>
            <w:shd w:val="clear" w:color="auto" w:fill="D9D9D9"/>
          </w:tcPr>
          <w:p w14:paraId="4DD2D420" w14:textId="77777777" w:rsidR="004F3713" w:rsidRPr="00CE4B17" w:rsidRDefault="004F3713">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693" w:type="dxa"/>
          </w:tcPr>
          <w:p w14:paraId="2C20BCF2"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 xml:space="preserve">Periodo de Reserva </w:t>
            </w:r>
          </w:p>
        </w:tc>
        <w:tc>
          <w:tcPr>
            <w:tcW w:w="3691" w:type="dxa"/>
          </w:tcPr>
          <w:p w14:paraId="7EFD6A46"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Se anotará el número de años o meses por los que se mantendrá reservado el documento, el expediente o, en su caso, las partes o secciones reservadas. </w:t>
            </w:r>
          </w:p>
        </w:tc>
      </w:tr>
      <w:tr w:rsidR="00CE4B17" w:rsidRPr="00CE4B17" w14:paraId="67E6BD3A" w14:textId="77777777">
        <w:trPr>
          <w:jc w:val="center"/>
        </w:trPr>
        <w:tc>
          <w:tcPr>
            <w:tcW w:w="1271" w:type="dxa"/>
            <w:vMerge/>
            <w:shd w:val="clear" w:color="auto" w:fill="D9D9D9"/>
          </w:tcPr>
          <w:p w14:paraId="51CBF7B8" w14:textId="77777777" w:rsidR="004F3713" w:rsidRPr="00CE4B17" w:rsidRDefault="004F3713">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693" w:type="dxa"/>
          </w:tcPr>
          <w:p w14:paraId="18EB25AA"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Fundamento legal</w:t>
            </w:r>
          </w:p>
        </w:tc>
        <w:tc>
          <w:tcPr>
            <w:tcW w:w="3691" w:type="dxa"/>
          </w:tcPr>
          <w:p w14:paraId="101099BE"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Se señalará el nombre del ordenamiento el o los artículos, fracciones, párrafos con base en los cuales se sustente la reserva. </w:t>
            </w:r>
          </w:p>
        </w:tc>
      </w:tr>
      <w:tr w:rsidR="00CE4B17" w:rsidRPr="00CE4B17" w14:paraId="41C2D42A" w14:textId="77777777">
        <w:trPr>
          <w:jc w:val="center"/>
        </w:trPr>
        <w:tc>
          <w:tcPr>
            <w:tcW w:w="1271" w:type="dxa"/>
            <w:vMerge/>
            <w:shd w:val="clear" w:color="auto" w:fill="D9D9D9"/>
          </w:tcPr>
          <w:p w14:paraId="19F6448C" w14:textId="77777777" w:rsidR="004F3713" w:rsidRPr="00CE4B17" w:rsidRDefault="004F3713">
            <w:pPr>
              <w:widowControl w:val="0"/>
              <w:pBdr>
                <w:top w:val="nil"/>
                <w:left w:val="nil"/>
                <w:bottom w:val="nil"/>
                <w:right w:val="nil"/>
                <w:between w:val="nil"/>
              </w:pBdr>
              <w:spacing w:line="276" w:lineRule="auto"/>
              <w:rPr>
                <w:rFonts w:ascii="Palatino Linotype" w:eastAsia="Palatino Linotype" w:hAnsi="Palatino Linotype" w:cs="Palatino Linotype"/>
              </w:rPr>
            </w:pPr>
          </w:p>
        </w:tc>
        <w:tc>
          <w:tcPr>
            <w:tcW w:w="2693" w:type="dxa"/>
          </w:tcPr>
          <w:p w14:paraId="17B0669C"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Ampliación del periodo de reserva</w:t>
            </w:r>
          </w:p>
        </w:tc>
        <w:tc>
          <w:tcPr>
            <w:tcW w:w="3691" w:type="dxa"/>
          </w:tcPr>
          <w:p w14:paraId="655D278A"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En caso de haber solicitado la ampliación del periodo de reserva originalmente establecido, se deberá anotar el número de años o meses por los que se amplía la reserva. </w:t>
            </w:r>
          </w:p>
        </w:tc>
      </w:tr>
      <w:tr w:rsidR="00CE4B17" w:rsidRPr="00CE4B17" w14:paraId="1F170C4B" w14:textId="77777777">
        <w:trPr>
          <w:jc w:val="center"/>
        </w:trPr>
        <w:tc>
          <w:tcPr>
            <w:tcW w:w="3964" w:type="dxa"/>
            <w:gridSpan w:val="2"/>
            <w:shd w:val="clear" w:color="auto" w:fill="D9D9D9"/>
          </w:tcPr>
          <w:p w14:paraId="6A5232D6"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Rúbrica del titular del área</w:t>
            </w:r>
          </w:p>
        </w:tc>
        <w:tc>
          <w:tcPr>
            <w:tcW w:w="3691" w:type="dxa"/>
            <w:shd w:val="clear" w:color="auto" w:fill="D9D9D9"/>
          </w:tcPr>
          <w:p w14:paraId="6E7524F0"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Rúbrica autógrafa o firma digital de quien clasifica. </w:t>
            </w:r>
          </w:p>
        </w:tc>
      </w:tr>
      <w:tr w:rsidR="00CE4B17" w:rsidRPr="00CE4B17" w14:paraId="1BCCC0E1" w14:textId="77777777">
        <w:trPr>
          <w:jc w:val="center"/>
        </w:trPr>
        <w:tc>
          <w:tcPr>
            <w:tcW w:w="3964" w:type="dxa"/>
            <w:gridSpan w:val="2"/>
            <w:shd w:val="clear" w:color="auto" w:fill="D9D9D9"/>
          </w:tcPr>
          <w:p w14:paraId="523F4B86"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t xml:space="preserve">Fecha de desclasificación </w:t>
            </w:r>
          </w:p>
        </w:tc>
        <w:tc>
          <w:tcPr>
            <w:tcW w:w="3691" w:type="dxa"/>
            <w:shd w:val="clear" w:color="auto" w:fill="D9D9D9"/>
          </w:tcPr>
          <w:p w14:paraId="614128F2"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Se anotará la fecha en que se desclasifica el documento. </w:t>
            </w:r>
          </w:p>
        </w:tc>
      </w:tr>
      <w:tr w:rsidR="00CE4B17" w:rsidRPr="00CE4B17" w14:paraId="16A7A9C6" w14:textId="77777777">
        <w:trPr>
          <w:jc w:val="center"/>
        </w:trPr>
        <w:tc>
          <w:tcPr>
            <w:tcW w:w="3964" w:type="dxa"/>
            <w:gridSpan w:val="2"/>
            <w:shd w:val="clear" w:color="auto" w:fill="D9D9D9"/>
          </w:tcPr>
          <w:p w14:paraId="19103FF9" w14:textId="77777777" w:rsidR="004F3713" w:rsidRPr="00CE4B17" w:rsidRDefault="00640082">
            <w:pPr>
              <w:rPr>
                <w:rFonts w:ascii="Palatino Linotype" w:eastAsia="Palatino Linotype" w:hAnsi="Palatino Linotype" w:cs="Palatino Linotype"/>
              </w:rPr>
            </w:pPr>
            <w:r w:rsidRPr="00CE4B17">
              <w:rPr>
                <w:rFonts w:ascii="Palatino Linotype" w:eastAsia="Palatino Linotype" w:hAnsi="Palatino Linotype" w:cs="Palatino Linotype"/>
              </w:rPr>
              <w:lastRenderedPageBreak/>
              <w:t xml:space="preserve">Rúbrica y cargo del servidor público </w:t>
            </w:r>
          </w:p>
        </w:tc>
        <w:tc>
          <w:tcPr>
            <w:tcW w:w="3691" w:type="dxa"/>
            <w:shd w:val="clear" w:color="auto" w:fill="D9D9D9"/>
          </w:tcPr>
          <w:p w14:paraId="1F72EAD5" w14:textId="77777777" w:rsidR="004F3713" w:rsidRPr="00CE4B17" w:rsidRDefault="00640082">
            <w:pPr>
              <w:jc w:val="both"/>
              <w:rPr>
                <w:rFonts w:ascii="Palatino Linotype" w:eastAsia="Palatino Linotype" w:hAnsi="Palatino Linotype" w:cs="Palatino Linotype"/>
              </w:rPr>
            </w:pPr>
            <w:r w:rsidRPr="00CE4B17">
              <w:rPr>
                <w:rFonts w:ascii="Palatino Linotype" w:eastAsia="Palatino Linotype" w:hAnsi="Palatino Linotype" w:cs="Palatino Linotype"/>
              </w:rPr>
              <w:t xml:space="preserve">Rúbrica autógrafa o firma digital de quien desclasifica. </w:t>
            </w:r>
          </w:p>
        </w:tc>
      </w:tr>
    </w:tbl>
    <w:p w14:paraId="3928D3D7" w14:textId="77777777" w:rsidR="004F3713" w:rsidRPr="00CE4B17" w:rsidRDefault="004F3713">
      <w:pPr>
        <w:spacing w:after="0" w:line="360" w:lineRule="auto"/>
        <w:ind w:right="902"/>
        <w:rPr>
          <w:rFonts w:ascii="Palatino Linotype" w:eastAsia="Palatino Linotype" w:hAnsi="Palatino Linotype" w:cs="Palatino Linotype"/>
          <w:i/>
        </w:rPr>
      </w:pPr>
    </w:p>
    <w:p w14:paraId="6E53C0CF" w14:textId="77777777" w:rsidR="004F3713" w:rsidRPr="00CE4B17" w:rsidRDefault="00640082">
      <w:pPr>
        <w:spacing w:after="0" w:line="276" w:lineRule="auto"/>
        <w:ind w:left="567" w:right="902"/>
        <w:jc w:val="both"/>
        <w:rPr>
          <w:rFonts w:ascii="Palatino Linotype" w:eastAsia="Palatino Linotype" w:hAnsi="Palatino Linotype" w:cs="Palatino Linotype"/>
          <w:i/>
        </w:rPr>
      </w:pPr>
      <w:r w:rsidRPr="00CE4B17">
        <w:rPr>
          <w:rFonts w:ascii="Palatino Linotype" w:eastAsia="Palatino Linotype" w:hAnsi="Palatino Linotype" w:cs="Palatino Linotype"/>
          <w:i/>
        </w:rPr>
        <w:t>Los documentos que integren un expediente reservado en su totalidad no deberán marcarse en lo individual.</w:t>
      </w:r>
    </w:p>
    <w:p w14:paraId="1E18C002" w14:textId="77777777" w:rsidR="004F3713" w:rsidRPr="00CE4B17" w:rsidRDefault="00640082">
      <w:pPr>
        <w:spacing w:after="0" w:line="276" w:lineRule="auto"/>
        <w:ind w:left="567" w:right="902"/>
        <w:jc w:val="both"/>
        <w:rPr>
          <w:rFonts w:ascii="Palatino Linotype" w:eastAsia="Palatino Linotype" w:hAnsi="Palatino Linotype" w:cs="Palatino Linotype"/>
          <w:i/>
        </w:rPr>
      </w:pPr>
      <w:r w:rsidRPr="00CE4B17">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368ADB7A" w14:textId="77777777" w:rsidR="004F3713" w:rsidRPr="00CE4B17" w:rsidRDefault="004F3713">
      <w:pPr>
        <w:spacing w:after="0" w:line="360" w:lineRule="auto"/>
        <w:jc w:val="both"/>
        <w:rPr>
          <w:rFonts w:ascii="Palatino Linotype" w:eastAsia="Palatino Linotype" w:hAnsi="Palatino Linotype" w:cs="Palatino Linotype"/>
        </w:rPr>
      </w:pPr>
    </w:p>
    <w:p w14:paraId="0812AD7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4F9669E7" w14:textId="77777777" w:rsidR="004F3713" w:rsidRPr="00CE4B17" w:rsidRDefault="004F3713">
      <w:pPr>
        <w:spacing w:after="0" w:line="360" w:lineRule="auto"/>
        <w:jc w:val="both"/>
        <w:rPr>
          <w:rFonts w:ascii="Palatino Linotype" w:eastAsia="Palatino Linotype" w:hAnsi="Palatino Linotype" w:cs="Palatino Linotype"/>
        </w:rPr>
      </w:pPr>
    </w:p>
    <w:p w14:paraId="5869A66C" w14:textId="77777777" w:rsidR="004F3713" w:rsidRPr="00CE4B17" w:rsidRDefault="00640082">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r w:rsidRPr="00CE4B17">
        <w:rPr>
          <w:rFonts w:ascii="Palatino Linotype" w:eastAsia="Palatino Linotype" w:hAnsi="Palatino Linotype" w:cs="Palatino Linotype"/>
          <w:b/>
          <w:i/>
        </w:rPr>
        <w:t>Quincuagésimo cuarto.</w:t>
      </w:r>
      <w:r w:rsidRPr="00CE4B17">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8225F77"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Quincuagésimo quinto.</w:t>
      </w:r>
      <w:r w:rsidRPr="00CE4B17">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9B53718"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w:t>
      </w:r>
    </w:p>
    <w:p w14:paraId="080F458D"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b/>
          <w:i/>
        </w:rPr>
        <w:t>Quincuagésimo séptimo.</w:t>
      </w:r>
      <w:r w:rsidRPr="00CE4B17">
        <w:rPr>
          <w:rFonts w:ascii="Palatino Linotype" w:eastAsia="Palatino Linotype" w:hAnsi="Palatino Linotype" w:cs="Palatino Linotype"/>
          <w:i/>
        </w:rPr>
        <w:t xml:space="preserve"> Se considera, en principio, como información pública y no podrá omitirse de las versiones públicas la siguiente: </w:t>
      </w:r>
    </w:p>
    <w:p w14:paraId="4CEBDDAE"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0FA4438A"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BBFCB1E"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7E00A66"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8FBD65A" w14:textId="77777777" w:rsidR="004F3713" w:rsidRPr="00CE4B17" w:rsidRDefault="00640082">
      <w:pPr>
        <w:spacing w:after="0" w:line="276" w:lineRule="auto"/>
        <w:ind w:left="567" w:right="616"/>
        <w:jc w:val="both"/>
        <w:rPr>
          <w:rFonts w:ascii="Palatino Linotype" w:eastAsia="Palatino Linotype" w:hAnsi="Palatino Linotype" w:cs="Palatino Linotype"/>
          <w:i/>
        </w:rPr>
      </w:pPr>
      <w:r w:rsidRPr="00CE4B17">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205B18BC" w14:textId="77777777" w:rsidR="004F3713" w:rsidRPr="00CE4B17" w:rsidRDefault="004F3713">
      <w:pPr>
        <w:spacing w:after="0" w:line="276" w:lineRule="auto"/>
        <w:ind w:left="567" w:right="616"/>
        <w:jc w:val="both"/>
        <w:rPr>
          <w:rFonts w:ascii="Palatino Linotype" w:eastAsia="Palatino Linotype" w:hAnsi="Palatino Linotype" w:cs="Palatino Linotype"/>
          <w:i/>
        </w:rPr>
      </w:pPr>
    </w:p>
    <w:p w14:paraId="61D09633"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A1EFB52" w14:textId="77777777" w:rsidR="004F3713" w:rsidRPr="00CE4B17" w:rsidRDefault="004F3713">
      <w:pPr>
        <w:spacing w:after="0" w:line="360" w:lineRule="auto"/>
        <w:jc w:val="both"/>
        <w:rPr>
          <w:rFonts w:ascii="Palatino Linotype" w:eastAsia="Palatino Linotype" w:hAnsi="Palatino Linotype" w:cs="Palatino Linotype"/>
        </w:rPr>
      </w:pPr>
    </w:p>
    <w:p w14:paraId="319C35A2"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0C24E35" w14:textId="77777777" w:rsidR="004F3713" w:rsidRPr="00CE4B17" w:rsidRDefault="004F3713">
      <w:pPr>
        <w:spacing w:after="0" w:line="360" w:lineRule="auto"/>
        <w:jc w:val="both"/>
        <w:rPr>
          <w:rFonts w:ascii="Palatino Linotype" w:eastAsia="Palatino Linotype" w:hAnsi="Palatino Linotype" w:cs="Palatino Linotype"/>
        </w:rPr>
      </w:pPr>
    </w:p>
    <w:p w14:paraId="493F3699" w14:textId="77777777" w:rsidR="004F3713" w:rsidRPr="00CE4B17" w:rsidRDefault="004F3713">
      <w:pPr>
        <w:spacing w:after="0" w:line="360" w:lineRule="auto"/>
        <w:jc w:val="both"/>
        <w:rPr>
          <w:rFonts w:ascii="Palatino Linotype" w:eastAsia="Palatino Linotype" w:hAnsi="Palatino Linotype" w:cs="Palatino Linotype"/>
        </w:rPr>
      </w:pPr>
    </w:p>
    <w:p w14:paraId="191E6247" w14:textId="77777777" w:rsidR="004F3713" w:rsidRPr="00CE4B17" w:rsidRDefault="004F3713">
      <w:pPr>
        <w:spacing w:after="0" w:line="360" w:lineRule="auto"/>
        <w:jc w:val="both"/>
        <w:rPr>
          <w:rFonts w:ascii="Palatino Linotype" w:eastAsia="Palatino Linotype" w:hAnsi="Palatino Linotype" w:cs="Palatino Linotype"/>
        </w:rPr>
      </w:pPr>
    </w:p>
    <w:p w14:paraId="3DACF757" w14:textId="77777777" w:rsidR="004F3713" w:rsidRPr="00CE4B17" w:rsidRDefault="00640082">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CE4B17">
        <w:rPr>
          <w:rFonts w:ascii="Palatino Linotype" w:eastAsia="Palatino Linotype" w:hAnsi="Palatino Linotype" w:cs="Palatino Linotype"/>
          <w:b/>
        </w:rPr>
        <w:lastRenderedPageBreak/>
        <w:t>III. R E S U E L V E:</w:t>
      </w:r>
    </w:p>
    <w:p w14:paraId="2F998B44" w14:textId="77777777" w:rsidR="004F3713" w:rsidRPr="00CE4B17" w:rsidRDefault="004F3713">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30806E32" w14:textId="77777777" w:rsidR="004F3713" w:rsidRPr="00CE4B17" w:rsidRDefault="00640082">
      <w:pPr>
        <w:spacing w:after="0" w:line="360" w:lineRule="auto"/>
        <w:ind w:right="49"/>
        <w:jc w:val="both"/>
        <w:rPr>
          <w:rFonts w:ascii="Palatino Linotype" w:eastAsia="Palatino Linotype" w:hAnsi="Palatino Linotype" w:cs="Palatino Linotype"/>
        </w:rPr>
      </w:pPr>
      <w:bookmarkStart w:id="2" w:name="_heading=h.3dy6vkm" w:colFirst="0" w:colLast="0"/>
      <w:bookmarkEnd w:id="2"/>
      <w:r w:rsidRPr="00CE4B17">
        <w:rPr>
          <w:rFonts w:ascii="Palatino Linotype" w:eastAsia="Palatino Linotype" w:hAnsi="Palatino Linotype" w:cs="Palatino Linotype"/>
          <w:b/>
        </w:rPr>
        <w:t xml:space="preserve">PRIMERO. </w:t>
      </w:r>
      <w:r w:rsidRPr="00CE4B17">
        <w:rPr>
          <w:rFonts w:ascii="Palatino Linotype" w:eastAsia="Palatino Linotype" w:hAnsi="Palatino Linotype" w:cs="Palatino Linotype"/>
        </w:rPr>
        <w:t>Se</w:t>
      </w:r>
      <w:r w:rsidRPr="00CE4B17">
        <w:t xml:space="preserve"> </w:t>
      </w:r>
      <w:r w:rsidRPr="00CE4B17">
        <w:rPr>
          <w:rFonts w:ascii="Palatino Linotype" w:eastAsia="Palatino Linotype" w:hAnsi="Palatino Linotype" w:cs="Palatino Linotype"/>
          <w:b/>
        </w:rPr>
        <w:t xml:space="preserve">REVOCA </w:t>
      </w:r>
      <w:r w:rsidRPr="00CE4B17">
        <w:rPr>
          <w:rFonts w:ascii="Palatino Linotype" w:eastAsia="Palatino Linotype" w:hAnsi="Palatino Linotype" w:cs="Palatino Linotype"/>
        </w:rPr>
        <w:t xml:space="preserve">la respuesta entregada por </w:t>
      </w:r>
      <w:r w:rsidRPr="00CE4B17">
        <w:rPr>
          <w:rFonts w:ascii="Palatino Linotype" w:eastAsia="Palatino Linotype" w:hAnsi="Palatino Linotype" w:cs="Palatino Linotype"/>
          <w:b/>
        </w:rPr>
        <w:t xml:space="preserve">EL SUJETO OBLIGADO </w:t>
      </w:r>
      <w:r w:rsidRPr="00CE4B17">
        <w:rPr>
          <w:rFonts w:ascii="Palatino Linotype" w:eastAsia="Palatino Linotype" w:hAnsi="Palatino Linotype" w:cs="Palatino Linotype"/>
        </w:rPr>
        <w:t xml:space="preserve">a la solicitud de información </w:t>
      </w:r>
      <w:r w:rsidRPr="00CE4B17">
        <w:rPr>
          <w:rFonts w:ascii="Palatino Linotype" w:eastAsia="Palatino Linotype" w:hAnsi="Palatino Linotype" w:cs="Palatino Linotype"/>
          <w:b/>
        </w:rPr>
        <w:t xml:space="preserve">00157/TEMAMATL/IP/2024, </w:t>
      </w:r>
      <w:r w:rsidRPr="00CE4B17">
        <w:rPr>
          <w:rFonts w:ascii="Palatino Linotype" w:eastAsia="Palatino Linotype" w:hAnsi="Palatino Linotype" w:cs="Palatino Linotype"/>
        </w:rPr>
        <w:t xml:space="preserve">por resultar fundadas las razones o motivos de inconformidad hechos valer por la parte </w:t>
      </w:r>
      <w:r w:rsidRPr="00CE4B17">
        <w:rPr>
          <w:rFonts w:ascii="Palatino Linotype" w:eastAsia="Palatino Linotype" w:hAnsi="Palatino Linotype" w:cs="Palatino Linotype"/>
          <w:b/>
        </w:rPr>
        <w:t xml:space="preserve">RECURRENTE, </w:t>
      </w:r>
      <w:r w:rsidRPr="00CE4B17">
        <w:rPr>
          <w:rFonts w:ascii="Palatino Linotype" w:eastAsia="Palatino Linotype" w:hAnsi="Palatino Linotype" w:cs="Palatino Linotype"/>
        </w:rPr>
        <w:t xml:space="preserve">en el Recurso de Revisión </w:t>
      </w:r>
      <w:r w:rsidRPr="00CE4B17">
        <w:rPr>
          <w:rFonts w:ascii="Palatino Linotype" w:eastAsia="Palatino Linotype" w:hAnsi="Palatino Linotype" w:cs="Palatino Linotype"/>
          <w:b/>
        </w:rPr>
        <w:t>04594/INFOEM/IP/RR/2024,</w:t>
      </w:r>
      <w:r w:rsidRPr="00CE4B17">
        <w:rPr>
          <w:rFonts w:ascii="Palatino Linotype" w:eastAsia="Palatino Linotype" w:hAnsi="Palatino Linotype" w:cs="Palatino Linotype"/>
        </w:rPr>
        <w:t xml:space="preserve"> en términos del considerando </w:t>
      </w:r>
      <w:r w:rsidRPr="00CE4B17">
        <w:rPr>
          <w:rFonts w:ascii="Palatino Linotype" w:eastAsia="Palatino Linotype" w:hAnsi="Palatino Linotype" w:cs="Palatino Linotype"/>
          <w:b/>
        </w:rPr>
        <w:t>Cuarto</w:t>
      </w:r>
      <w:r w:rsidRPr="00CE4B17">
        <w:rPr>
          <w:rFonts w:ascii="Palatino Linotype" w:eastAsia="Palatino Linotype" w:hAnsi="Palatino Linotype" w:cs="Palatino Linotype"/>
        </w:rPr>
        <w:t xml:space="preserve"> de la presente Resolución.</w:t>
      </w:r>
    </w:p>
    <w:p w14:paraId="4A103A5F" w14:textId="77777777" w:rsidR="004F3713" w:rsidRPr="00CE4B17" w:rsidRDefault="004F3713">
      <w:pPr>
        <w:spacing w:after="0" w:line="360" w:lineRule="auto"/>
        <w:ind w:right="49"/>
        <w:jc w:val="both"/>
        <w:rPr>
          <w:rFonts w:ascii="Palatino Linotype" w:eastAsia="Palatino Linotype" w:hAnsi="Palatino Linotype" w:cs="Palatino Linotype"/>
        </w:rPr>
      </w:pPr>
    </w:p>
    <w:p w14:paraId="6B9C2FEB" w14:textId="77777777" w:rsidR="004F3713" w:rsidRPr="00CE4B17" w:rsidRDefault="00640082">
      <w:pPr>
        <w:pBdr>
          <w:top w:val="nil"/>
          <w:left w:val="nil"/>
          <w:bottom w:val="nil"/>
          <w:right w:val="nil"/>
          <w:between w:val="nil"/>
        </w:pBd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 xml:space="preserve">SEGUNDO. </w:t>
      </w:r>
      <w:r w:rsidRPr="00CE4B17">
        <w:rPr>
          <w:rFonts w:ascii="Palatino Linotype" w:eastAsia="Palatino Linotype" w:hAnsi="Palatino Linotype" w:cs="Palatino Linotype"/>
        </w:rPr>
        <w:t>Se</w:t>
      </w:r>
      <w:r w:rsidRPr="00CE4B17">
        <w:rPr>
          <w:rFonts w:ascii="Palatino Linotype" w:eastAsia="Palatino Linotype" w:hAnsi="Palatino Linotype" w:cs="Palatino Linotype"/>
          <w:b/>
        </w:rPr>
        <w:t xml:space="preserve"> ORDENA </w:t>
      </w:r>
      <w:r w:rsidRPr="00CE4B17">
        <w:rPr>
          <w:rFonts w:ascii="Palatino Linotype" w:eastAsia="Palatino Linotype" w:hAnsi="Palatino Linotype" w:cs="Palatino Linotype"/>
        </w:rPr>
        <w:t xml:space="preserve">al </w:t>
      </w:r>
      <w:r w:rsidRPr="00CE4B17">
        <w:rPr>
          <w:rFonts w:ascii="Palatino Linotype" w:eastAsia="Palatino Linotype" w:hAnsi="Palatino Linotype" w:cs="Palatino Linotype"/>
          <w:b/>
        </w:rPr>
        <w:t>SUJETO OBLIGADO</w:t>
      </w:r>
      <w:r w:rsidRPr="00CE4B17">
        <w:rPr>
          <w:rFonts w:ascii="Palatino Linotype" w:eastAsia="Palatino Linotype" w:hAnsi="Palatino Linotype" w:cs="Palatino Linotype"/>
        </w:rPr>
        <w:t xml:space="preserve"> a que,</w:t>
      </w:r>
      <w:r w:rsidRPr="00CE4B17">
        <w:rPr>
          <w:rFonts w:ascii="Palatino Linotype" w:eastAsia="Palatino Linotype" w:hAnsi="Palatino Linotype" w:cs="Palatino Linotype"/>
          <w:b/>
        </w:rPr>
        <w:t xml:space="preserve"> </w:t>
      </w:r>
      <w:r w:rsidRPr="00CE4B17">
        <w:rPr>
          <w:rFonts w:ascii="Palatino Linotype" w:eastAsia="Palatino Linotype" w:hAnsi="Palatino Linotype" w:cs="Palatino Linotype"/>
        </w:rPr>
        <w:t xml:space="preserve">en términos del Considerando Cuarto y Quinto, haga entrega, previa búsqueda exhaustiva y razonable, vía Sistema de Acceso a la Información Mexiquense (SAIMEX), de ser el caso, en versión pública de lo siguiente: </w:t>
      </w:r>
    </w:p>
    <w:p w14:paraId="61E7294E" w14:textId="77777777" w:rsidR="004F3713" w:rsidRPr="00CE4B17" w:rsidRDefault="004F371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C287491" w14:textId="77777777" w:rsidR="004F3713" w:rsidRPr="00CE4B17" w:rsidRDefault="00640082">
      <w:pPr>
        <w:numPr>
          <w:ilvl w:val="0"/>
          <w:numId w:val="4"/>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CE4B17">
        <w:rPr>
          <w:rFonts w:ascii="Palatino Linotype" w:eastAsia="Palatino Linotype" w:hAnsi="Palatino Linotype" w:cs="Palatino Linotype"/>
        </w:rPr>
        <w:t>Documentos donde conste nombre, los trabajos realizados o el concepto, el origen de los recursos, la modalidad de contratación, la fecha, costo y nombre o razón social de la empresa, de los mantenimientos efectuados en planteles escolares del uno de enero de dos mil veintidós al ocho de julio de dos mil veinticuatro.</w:t>
      </w:r>
    </w:p>
    <w:p w14:paraId="370CD9B5" w14:textId="77777777" w:rsidR="004F3713" w:rsidRPr="00CE4B17" w:rsidRDefault="004F3713">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0308D856" w14:textId="77777777" w:rsidR="004F3713" w:rsidRPr="00CE4B17" w:rsidRDefault="00640082">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i/>
        </w:rPr>
      </w:pPr>
      <w:r w:rsidRPr="00CE4B17">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05601E15" w14:textId="77777777" w:rsidR="004F3713" w:rsidRPr="00CE4B17" w:rsidRDefault="004F3713">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i/>
        </w:rPr>
      </w:pPr>
    </w:p>
    <w:p w14:paraId="536EC001" w14:textId="77777777" w:rsidR="004F3713" w:rsidRPr="00CE4B17" w:rsidRDefault="00640082">
      <w:pPr>
        <w:pBdr>
          <w:top w:val="nil"/>
          <w:left w:val="nil"/>
          <w:bottom w:val="nil"/>
          <w:right w:val="nil"/>
          <w:between w:val="nil"/>
        </w:pBdr>
        <w:spacing w:after="0" w:line="276" w:lineRule="auto"/>
        <w:ind w:left="720" w:right="560"/>
        <w:jc w:val="both"/>
        <w:rPr>
          <w:rFonts w:ascii="Palatino Linotype" w:eastAsia="Palatino Linotype" w:hAnsi="Palatino Linotype" w:cs="Palatino Linotype"/>
        </w:rPr>
      </w:pPr>
      <w:r w:rsidRPr="00CE4B17">
        <w:rPr>
          <w:rFonts w:ascii="Palatino Linotype" w:eastAsia="Palatino Linotype" w:hAnsi="Palatino Linotype" w:cs="Palatino Linotype"/>
          <w:i/>
        </w:rPr>
        <w:lastRenderedPageBreak/>
        <w:t xml:space="preserve">Para el caso de que el Sujeto Obligado no cuente con la información que se determina ordenar,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p>
    <w:p w14:paraId="5AC8D5ED" w14:textId="77777777" w:rsidR="004F3713" w:rsidRPr="00CE4B17" w:rsidRDefault="004F3713">
      <w:pPr>
        <w:spacing w:after="0" w:line="360" w:lineRule="auto"/>
        <w:ind w:right="560"/>
        <w:jc w:val="both"/>
        <w:rPr>
          <w:rFonts w:ascii="Palatino Linotype" w:eastAsia="Palatino Linotype" w:hAnsi="Palatino Linotype" w:cs="Palatino Linotype"/>
          <w:i/>
        </w:rPr>
      </w:pPr>
    </w:p>
    <w:p w14:paraId="65C3C90D" w14:textId="77777777" w:rsidR="004F3713" w:rsidRPr="00CE4B17" w:rsidRDefault="00640082">
      <w:pPr>
        <w:spacing w:after="0" w:line="360" w:lineRule="auto"/>
        <w:ind w:right="49"/>
        <w:jc w:val="both"/>
        <w:rPr>
          <w:rFonts w:ascii="Palatino Linotype" w:eastAsia="Palatino Linotype" w:hAnsi="Palatino Linotype" w:cs="Palatino Linotype"/>
        </w:rPr>
      </w:pPr>
      <w:bookmarkStart w:id="3" w:name="_heading=h.3znysh7" w:colFirst="0" w:colLast="0"/>
      <w:bookmarkEnd w:id="3"/>
      <w:r w:rsidRPr="00CE4B17">
        <w:rPr>
          <w:rFonts w:ascii="Palatino Linotype" w:eastAsia="Palatino Linotype" w:hAnsi="Palatino Linotype" w:cs="Palatino Linotype"/>
          <w:b/>
        </w:rPr>
        <w:t>TERCERO. Notifíquese vía SAIMEX</w:t>
      </w:r>
      <w:r w:rsidRPr="00CE4B17">
        <w:rPr>
          <w:rFonts w:ascii="Palatino Linotype" w:eastAsia="Palatino Linotype" w:hAnsi="Palatino Linotype" w:cs="Palatino Linotype"/>
        </w:rPr>
        <w:t>,</w:t>
      </w:r>
      <w:r w:rsidRPr="00CE4B17">
        <w:rPr>
          <w:rFonts w:ascii="Palatino Linotype" w:eastAsia="Palatino Linotype" w:hAnsi="Palatino Linotype" w:cs="Palatino Linotype"/>
          <w:b/>
        </w:rPr>
        <w:t xml:space="preserve"> </w:t>
      </w:r>
      <w:r w:rsidRPr="00CE4B17">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04DD67" w14:textId="77777777" w:rsidR="004F3713" w:rsidRPr="00CE4B17" w:rsidRDefault="004F3713">
      <w:pPr>
        <w:spacing w:after="0" w:line="360" w:lineRule="auto"/>
        <w:jc w:val="both"/>
        <w:rPr>
          <w:rFonts w:ascii="Palatino Linotype" w:eastAsia="Palatino Linotype" w:hAnsi="Palatino Linotype" w:cs="Palatino Linotype"/>
          <w:b/>
        </w:rPr>
      </w:pPr>
    </w:p>
    <w:p w14:paraId="0CAE7E8E" w14:textId="77777777" w:rsidR="004F3713" w:rsidRPr="00CE4B17" w:rsidRDefault="00640082">
      <w:pPr>
        <w:spacing w:after="0" w:line="360" w:lineRule="auto"/>
        <w:jc w:val="both"/>
        <w:rPr>
          <w:rFonts w:ascii="Palatino Linotype" w:eastAsia="Palatino Linotype" w:hAnsi="Palatino Linotype" w:cs="Palatino Linotype"/>
        </w:rPr>
      </w:pPr>
      <w:r w:rsidRPr="00CE4B17">
        <w:rPr>
          <w:rFonts w:ascii="Palatino Linotype" w:eastAsia="Palatino Linotype" w:hAnsi="Palatino Linotype" w:cs="Palatino Linotype"/>
          <w:b/>
        </w:rPr>
        <w:t>CUARTO. Notifíquese vía SAIMEX,</w:t>
      </w:r>
      <w:r w:rsidRPr="00CE4B17">
        <w:rPr>
          <w:rFonts w:ascii="Palatino Linotype" w:eastAsia="Palatino Linotype" w:hAnsi="Palatino Linotype" w:cs="Palatino Linotype"/>
        </w:rPr>
        <w:t xml:space="preserve"> a la parte Recurrente</w:t>
      </w:r>
      <w:r w:rsidRPr="00CE4B17">
        <w:rPr>
          <w:rFonts w:ascii="Palatino Linotype" w:eastAsia="Palatino Linotype" w:hAnsi="Palatino Linotype" w:cs="Palatino Linotype"/>
          <w:b/>
        </w:rPr>
        <w:t xml:space="preserve"> </w:t>
      </w:r>
      <w:r w:rsidRPr="00CE4B17">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D39C1AA" w14:textId="77777777" w:rsidR="004F3713" w:rsidRPr="00CE4B17" w:rsidRDefault="004F3713">
      <w:pPr>
        <w:spacing w:after="0" w:line="360" w:lineRule="auto"/>
        <w:jc w:val="both"/>
        <w:rPr>
          <w:rFonts w:ascii="Palatino Linotype" w:eastAsia="Palatino Linotype" w:hAnsi="Palatino Linotype" w:cs="Palatino Linotype"/>
        </w:rPr>
      </w:pPr>
    </w:p>
    <w:p w14:paraId="4BC75373" w14:textId="77777777" w:rsidR="004F3713" w:rsidRPr="00CE4B17" w:rsidRDefault="00640082">
      <w:pPr>
        <w:spacing w:line="360" w:lineRule="auto"/>
        <w:ind w:right="49"/>
        <w:jc w:val="both"/>
        <w:rPr>
          <w:rFonts w:ascii="Palatino Linotype" w:eastAsia="Palatino Linotype" w:hAnsi="Palatino Linotype" w:cs="Palatino Linotype"/>
        </w:rPr>
      </w:pPr>
      <w:r w:rsidRPr="00CE4B17">
        <w:rPr>
          <w:rFonts w:ascii="Palatino Linotype" w:eastAsia="Palatino Linotype" w:hAnsi="Palatino Linotype" w:cs="Palatino Linotype"/>
          <w:b/>
        </w:rPr>
        <w:t>QUINTO.</w:t>
      </w:r>
      <w:r w:rsidRPr="00CE4B1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CE4B17">
        <w:rPr>
          <w:rFonts w:ascii="Palatino Linotype" w:eastAsia="Palatino Linotype" w:hAnsi="Palatino Linotype" w:cs="Palatino Linotype"/>
          <w:b/>
        </w:rPr>
        <w:lastRenderedPageBreak/>
        <w:t>SUJETO OBLIGADO</w:t>
      </w:r>
      <w:r w:rsidRPr="00CE4B17">
        <w:rPr>
          <w:rFonts w:ascii="Palatino Linotype" w:eastAsia="Palatino Linotype" w:hAnsi="Palatino Linotype" w:cs="Palatino Linotype"/>
        </w:rPr>
        <w:t xml:space="preserve"> de manera fundada y motivada, podrá solicitar una ampliación de plazo para el cumplimiento de la presente resolución.</w:t>
      </w:r>
    </w:p>
    <w:p w14:paraId="38D94190" w14:textId="77777777" w:rsidR="004F3713" w:rsidRPr="00CE4B17" w:rsidRDefault="004F3713">
      <w:pPr>
        <w:spacing w:after="0" w:line="360" w:lineRule="auto"/>
        <w:jc w:val="both"/>
        <w:rPr>
          <w:rFonts w:ascii="Palatino Linotype" w:eastAsia="Palatino Linotype" w:hAnsi="Palatino Linotype" w:cs="Palatino Linotype"/>
        </w:rPr>
      </w:pPr>
    </w:p>
    <w:p w14:paraId="01B5028A" w14:textId="77777777" w:rsidR="004F3713" w:rsidRPr="00CE4B17" w:rsidRDefault="00640082">
      <w:pPr>
        <w:spacing w:after="0" w:line="360" w:lineRule="auto"/>
        <w:jc w:val="both"/>
        <w:rPr>
          <w:rFonts w:ascii="Palatino Linotype" w:eastAsia="Palatino Linotype" w:hAnsi="Palatino Linotype" w:cs="Palatino Linotype"/>
        </w:rPr>
        <w:sectPr w:rsidR="004F3713" w:rsidRPr="00CE4B17">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CE4B1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182F17B7" w14:textId="77777777" w:rsidR="004F3713" w:rsidRPr="00CE4B17" w:rsidRDefault="004F3713">
      <w:pPr>
        <w:spacing w:after="0" w:line="360" w:lineRule="auto"/>
        <w:ind w:right="60"/>
        <w:jc w:val="both"/>
        <w:rPr>
          <w:rFonts w:ascii="Palatino Linotype" w:eastAsia="Palatino Linotype" w:hAnsi="Palatino Linotype" w:cs="Palatino Linotype"/>
          <w:b/>
        </w:rPr>
      </w:pPr>
    </w:p>
    <w:sectPr w:rsidR="004F3713" w:rsidRPr="00CE4B17">
      <w:headerReference w:type="default" r:id="rId15"/>
      <w:headerReference w:type="first" r:id="rId16"/>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86C2" w14:textId="77777777" w:rsidR="005D6E39" w:rsidRDefault="005D6E39">
      <w:pPr>
        <w:spacing w:after="0" w:line="240" w:lineRule="auto"/>
      </w:pPr>
      <w:r>
        <w:separator/>
      </w:r>
    </w:p>
  </w:endnote>
  <w:endnote w:type="continuationSeparator" w:id="0">
    <w:p w14:paraId="4AB932ED" w14:textId="77777777" w:rsidR="005D6E39" w:rsidRDefault="005D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2C34" w14:textId="77777777" w:rsidR="004F3713" w:rsidRDefault="0064008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B17">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B17">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49B3B0FD" w14:textId="77777777" w:rsidR="004F3713" w:rsidRDefault="004F3713">
    <w:pPr>
      <w:pBdr>
        <w:top w:val="nil"/>
        <w:left w:val="nil"/>
        <w:bottom w:val="nil"/>
        <w:right w:val="nil"/>
        <w:between w:val="nil"/>
      </w:pBdr>
      <w:tabs>
        <w:tab w:val="center" w:pos="4252"/>
        <w:tab w:val="right" w:pos="8504"/>
      </w:tabs>
      <w:rPr>
        <w:color w:val="000000"/>
      </w:rPr>
    </w:pPr>
  </w:p>
  <w:p w14:paraId="0D99BB8C" w14:textId="77777777" w:rsidR="004F3713" w:rsidRDefault="004F3713">
    <w:pPr>
      <w:pBdr>
        <w:top w:val="nil"/>
        <w:left w:val="nil"/>
        <w:bottom w:val="nil"/>
        <w:right w:val="nil"/>
        <w:between w:val="nil"/>
      </w:pBdr>
      <w:tabs>
        <w:tab w:val="center" w:pos="4252"/>
        <w:tab w:val="right" w:pos="8504"/>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3FBE" w14:textId="77777777" w:rsidR="004F3713" w:rsidRDefault="0064008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B17">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B17">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75AF3197" w14:textId="77777777" w:rsidR="004F3713" w:rsidRDefault="004F37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CAC6" w14:textId="77777777" w:rsidR="005D6E39" w:rsidRDefault="005D6E39">
      <w:pPr>
        <w:spacing w:after="0" w:line="240" w:lineRule="auto"/>
      </w:pPr>
      <w:r>
        <w:separator/>
      </w:r>
    </w:p>
  </w:footnote>
  <w:footnote w:type="continuationSeparator" w:id="0">
    <w:p w14:paraId="44685900" w14:textId="77777777" w:rsidR="005D6E39" w:rsidRDefault="005D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9D1B" w14:textId="77777777" w:rsidR="004F3713" w:rsidRDefault="00640082">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1BD64311" wp14:editId="05D7B095">
          <wp:simplePos x="0" y="0"/>
          <wp:positionH relativeFrom="column">
            <wp:posOffset>-718184</wp:posOffset>
          </wp:positionH>
          <wp:positionV relativeFrom="paragraph">
            <wp:posOffset>-269874</wp:posOffset>
          </wp:positionV>
          <wp:extent cx="7809876" cy="10165823"/>
          <wp:effectExtent l="0" t="0" r="0" b="0"/>
          <wp:wrapNone/>
          <wp:docPr id="136098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7229" w:type="dxa"/>
      <w:tblInd w:w="3309" w:type="dxa"/>
      <w:tblLayout w:type="fixed"/>
      <w:tblLook w:val="0400" w:firstRow="0" w:lastRow="0" w:firstColumn="0" w:lastColumn="0" w:noHBand="0" w:noVBand="1"/>
    </w:tblPr>
    <w:tblGrid>
      <w:gridCol w:w="2551"/>
      <w:gridCol w:w="4678"/>
    </w:tblGrid>
    <w:tr w:rsidR="004F3713" w14:paraId="41E36888" w14:textId="77777777">
      <w:tc>
        <w:tcPr>
          <w:tcW w:w="2551" w:type="dxa"/>
          <w:shd w:val="clear" w:color="auto" w:fill="auto"/>
          <w:vAlign w:val="center"/>
        </w:tcPr>
        <w:p w14:paraId="58CD00EE"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78" w:type="dxa"/>
          <w:shd w:val="clear" w:color="auto" w:fill="auto"/>
          <w:vAlign w:val="center"/>
        </w:tcPr>
        <w:p w14:paraId="4BA9886C" w14:textId="77777777" w:rsidR="004F3713" w:rsidRDefault="00640082">
          <w:pPr>
            <w:tabs>
              <w:tab w:val="left" w:pos="3153"/>
            </w:tabs>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04594/INFOEM/IP/RR/2024</w:t>
          </w:r>
        </w:p>
      </w:tc>
    </w:tr>
    <w:tr w:rsidR="004F3713" w14:paraId="6DC25C24" w14:textId="77777777">
      <w:trPr>
        <w:trHeight w:val="228"/>
      </w:trPr>
      <w:tc>
        <w:tcPr>
          <w:tcW w:w="2551" w:type="dxa"/>
          <w:shd w:val="clear" w:color="auto" w:fill="auto"/>
          <w:vAlign w:val="center"/>
        </w:tcPr>
        <w:p w14:paraId="4C2E0651"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1CB53442" w14:textId="77777777" w:rsidR="004F3713" w:rsidRDefault="004F3713">
          <w:pPr>
            <w:spacing w:after="0" w:line="240" w:lineRule="auto"/>
            <w:rPr>
              <w:rFonts w:ascii="Palatino Linotype" w:eastAsia="Palatino Linotype" w:hAnsi="Palatino Linotype" w:cs="Palatino Linotype"/>
              <w:b/>
            </w:rPr>
          </w:pPr>
        </w:p>
      </w:tc>
      <w:tc>
        <w:tcPr>
          <w:tcW w:w="4678" w:type="dxa"/>
          <w:shd w:val="clear" w:color="auto" w:fill="auto"/>
          <w:vAlign w:val="center"/>
        </w:tcPr>
        <w:p w14:paraId="6EA291DA" w14:textId="77777777" w:rsidR="004F3713" w:rsidRDefault="00640082">
          <w:pPr>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4F3713" w14:paraId="074B997F" w14:textId="77777777">
      <w:tc>
        <w:tcPr>
          <w:tcW w:w="2551" w:type="dxa"/>
          <w:shd w:val="clear" w:color="auto" w:fill="auto"/>
          <w:vAlign w:val="center"/>
        </w:tcPr>
        <w:p w14:paraId="5455CC56"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78" w:type="dxa"/>
          <w:shd w:val="clear" w:color="auto" w:fill="auto"/>
          <w:vAlign w:val="center"/>
        </w:tcPr>
        <w:p w14:paraId="7A8CD16F" w14:textId="77777777" w:rsidR="004F3713" w:rsidRDefault="00640082">
          <w:pPr>
            <w:spacing w:after="0" w:line="240" w:lineRule="auto"/>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A4C4E83" w14:textId="77777777" w:rsidR="004F3713" w:rsidRDefault="00640082">
    <w:pPr>
      <w:pBdr>
        <w:top w:val="nil"/>
        <w:left w:val="nil"/>
        <w:bottom w:val="nil"/>
        <w:right w:val="nil"/>
        <w:between w:val="nil"/>
      </w:pBdr>
      <w:tabs>
        <w:tab w:val="center" w:pos="4252"/>
        <w:tab w:val="right" w:pos="8504"/>
        <w:tab w:val="left" w:pos="2326"/>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7341" w14:textId="77777777" w:rsidR="004F3713" w:rsidRDefault="00640082">
    <w:pPr>
      <w:widowControl w:val="0"/>
      <w:pBdr>
        <w:top w:val="nil"/>
        <w:left w:val="nil"/>
        <w:bottom w:val="nil"/>
        <w:right w:val="nil"/>
        <w:between w:val="nil"/>
      </w:pBdr>
      <w:spacing w:after="0" w:line="276" w:lineRule="auto"/>
      <w:rPr>
        <w:rFonts w:ascii="Cambria" w:eastAsia="Cambria" w:hAnsi="Cambria" w:cs="Cambria"/>
        <w:color w:val="000000"/>
        <w:sz w:val="16"/>
        <w:szCs w:val="16"/>
      </w:rPr>
    </w:pPr>
    <w:r>
      <w:rPr>
        <w:noProof/>
      </w:rPr>
      <w:drawing>
        <wp:anchor distT="0" distB="0" distL="0" distR="0" simplePos="0" relativeHeight="251659264" behindDoc="1" locked="0" layoutInCell="1" hidden="0" allowOverlap="1" wp14:anchorId="3E9DE998" wp14:editId="4B173F2A">
          <wp:simplePos x="0" y="0"/>
          <wp:positionH relativeFrom="column">
            <wp:posOffset>-730249</wp:posOffset>
          </wp:positionH>
          <wp:positionV relativeFrom="paragraph">
            <wp:posOffset>-404494</wp:posOffset>
          </wp:positionV>
          <wp:extent cx="7809876" cy="10165823"/>
          <wp:effectExtent l="0" t="0" r="0" b="0"/>
          <wp:wrapNone/>
          <wp:docPr id="136098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872" w:type="dxa"/>
      <w:tblInd w:w="2952" w:type="dxa"/>
      <w:tblLayout w:type="fixed"/>
      <w:tblLook w:val="0400" w:firstRow="0" w:lastRow="0" w:firstColumn="0" w:lastColumn="0" w:noHBand="0" w:noVBand="1"/>
    </w:tblPr>
    <w:tblGrid>
      <w:gridCol w:w="2551"/>
      <w:gridCol w:w="3321"/>
    </w:tblGrid>
    <w:tr w:rsidR="004F3713" w14:paraId="2AB38C07" w14:textId="77777777">
      <w:tc>
        <w:tcPr>
          <w:tcW w:w="2551" w:type="dxa"/>
          <w:shd w:val="clear" w:color="auto" w:fill="auto"/>
          <w:vAlign w:val="center"/>
        </w:tcPr>
        <w:p w14:paraId="2CDC5370"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21" w:type="dxa"/>
          <w:shd w:val="clear" w:color="auto" w:fill="auto"/>
          <w:vAlign w:val="center"/>
        </w:tcPr>
        <w:p w14:paraId="1B79CCD3" w14:textId="77777777" w:rsidR="004F3713" w:rsidRDefault="00640082">
          <w:pPr>
            <w:tabs>
              <w:tab w:val="left" w:pos="3153"/>
            </w:tabs>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04594/INFOEM/IP/RR/2024</w:t>
          </w:r>
        </w:p>
      </w:tc>
    </w:tr>
    <w:tr w:rsidR="004F3713" w14:paraId="4EDC2B26" w14:textId="77777777">
      <w:trPr>
        <w:trHeight w:val="130"/>
      </w:trPr>
      <w:tc>
        <w:tcPr>
          <w:tcW w:w="2551" w:type="dxa"/>
          <w:shd w:val="clear" w:color="auto" w:fill="auto"/>
          <w:vAlign w:val="center"/>
        </w:tcPr>
        <w:p w14:paraId="450FA60F" w14:textId="77777777" w:rsidR="004F3713" w:rsidRDefault="00640082">
          <w:pPr>
            <w:spacing w:after="0" w:line="240" w:lineRule="auto"/>
            <w:rPr>
              <w:rFonts w:ascii="Palatino Linotype" w:eastAsia="Palatino Linotype" w:hAnsi="Palatino Linotype" w:cs="Palatino Linotype"/>
              <w:b/>
            </w:rPr>
          </w:pPr>
          <w:bookmarkStart w:id="4" w:name="_heading=h.1fob9te" w:colFirst="0" w:colLast="0"/>
          <w:bookmarkEnd w:id="4"/>
          <w:r>
            <w:rPr>
              <w:rFonts w:ascii="Palatino Linotype" w:eastAsia="Palatino Linotype" w:hAnsi="Palatino Linotype" w:cs="Palatino Linotype"/>
              <w:b/>
            </w:rPr>
            <w:t>Recurrente:</w:t>
          </w:r>
        </w:p>
      </w:tc>
      <w:tc>
        <w:tcPr>
          <w:tcW w:w="3321" w:type="dxa"/>
          <w:shd w:val="clear" w:color="auto" w:fill="auto"/>
          <w:vAlign w:val="center"/>
        </w:tcPr>
        <w:p w14:paraId="04626C2A" w14:textId="77777777" w:rsidR="004F3713" w:rsidRDefault="004F3713">
          <w:pPr>
            <w:spacing w:after="0" w:line="240" w:lineRule="auto"/>
            <w:ind w:left="-45" w:right="1386"/>
            <w:jc w:val="both"/>
            <w:rPr>
              <w:rFonts w:ascii="Palatino Linotype" w:eastAsia="Palatino Linotype" w:hAnsi="Palatino Linotype" w:cs="Palatino Linotype"/>
              <w:b/>
            </w:rPr>
          </w:pPr>
        </w:p>
      </w:tc>
    </w:tr>
    <w:tr w:rsidR="004F3713" w14:paraId="7950172B" w14:textId="77777777">
      <w:trPr>
        <w:trHeight w:val="228"/>
      </w:trPr>
      <w:tc>
        <w:tcPr>
          <w:tcW w:w="2551" w:type="dxa"/>
          <w:shd w:val="clear" w:color="auto" w:fill="auto"/>
          <w:vAlign w:val="center"/>
        </w:tcPr>
        <w:p w14:paraId="6F702ADE"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21" w:type="dxa"/>
          <w:shd w:val="clear" w:color="auto" w:fill="auto"/>
          <w:vAlign w:val="center"/>
        </w:tcPr>
        <w:p w14:paraId="3D296D3A" w14:textId="77777777" w:rsidR="004F3713" w:rsidRDefault="00640082">
          <w:pPr>
            <w:spacing w:after="0" w:line="240" w:lineRule="auto"/>
            <w:ind w:left="-45" w:right="34"/>
            <w:jc w:val="both"/>
            <w:rPr>
              <w:rFonts w:ascii="Palatino Linotype" w:eastAsia="Palatino Linotype" w:hAnsi="Palatino Linotype" w:cs="Palatino Linotype"/>
              <w:b/>
            </w:rPr>
          </w:pPr>
          <w:r>
            <w:rPr>
              <w:rFonts w:ascii="Palatino Linotype" w:eastAsia="Palatino Linotype" w:hAnsi="Palatino Linotype" w:cs="Palatino Linotype"/>
              <w:b/>
            </w:rPr>
            <w:t>Ayuntamiento de Temamatla</w:t>
          </w:r>
        </w:p>
      </w:tc>
    </w:tr>
    <w:tr w:rsidR="004F3713" w14:paraId="2529B4AF" w14:textId="77777777">
      <w:tc>
        <w:tcPr>
          <w:tcW w:w="2551" w:type="dxa"/>
          <w:shd w:val="clear" w:color="auto" w:fill="auto"/>
          <w:vAlign w:val="center"/>
        </w:tcPr>
        <w:p w14:paraId="1095C94E"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21" w:type="dxa"/>
          <w:shd w:val="clear" w:color="auto" w:fill="auto"/>
          <w:vAlign w:val="center"/>
        </w:tcPr>
        <w:p w14:paraId="5D587267" w14:textId="77777777" w:rsidR="004F3713" w:rsidRDefault="00640082">
          <w:pPr>
            <w:tabs>
              <w:tab w:val="left" w:pos="626"/>
            </w:tabs>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C055A31" w14:textId="77777777" w:rsidR="004F3713" w:rsidRDefault="00640082">
    <w:pPr>
      <w:pBdr>
        <w:top w:val="nil"/>
        <w:left w:val="nil"/>
        <w:bottom w:val="nil"/>
        <w:right w:val="nil"/>
        <w:between w:val="nil"/>
      </w:pBdr>
      <w:tabs>
        <w:tab w:val="left" w:pos="3240"/>
      </w:tabs>
      <w:jc w:val="both"/>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6CB4" w14:textId="77777777" w:rsidR="004F3713" w:rsidRDefault="004F3713">
    <w:pPr>
      <w:widowControl w:val="0"/>
      <w:pBdr>
        <w:top w:val="nil"/>
        <w:left w:val="nil"/>
        <w:bottom w:val="nil"/>
        <w:right w:val="nil"/>
        <w:between w:val="nil"/>
      </w:pBdr>
      <w:spacing w:after="0" w:line="276" w:lineRule="auto"/>
      <w:rPr>
        <w:color w:val="000000"/>
      </w:rPr>
    </w:pPr>
  </w:p>
  <w:tbl>
    <w:tblPr>
      <w:tblStyle w:val="a2"/>
      <w:tblW w:w="6099" w:type="dxa"/>
      <w:tblInd w:w="2950" w:type="dxa"/>
      <w:tblLayout w:type="fixed"/>
      <w:tblLook w:val="0400" w:firstRow="0" w:lastRow="0" w:firstColumn="0" w:lastColumn="0" w:noHBand="0" w:noVBand="1"/>
    </w:tblPr>
    <w:tblGrid>
      <w:gridCol w:w="2541"/>
      <w:gridCol w:w="3558"/>
    </w:tblGrid>
    <w:tr w:rsidR="004F3713" w14:paraId="19DC8924" w14:textId="77777777">
      <w:trPr>
        <w:trHeight w:val="496"/>
      </w:trPr>
      <w:tc>
        <w:tcPr>
          <w:tcW w:w="2541" w:type="dxa"/>
        </w:tcPr>
        <w:p w14:paraId="09D9F53C"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58" w:type="dxa"/>
        </w:tcPr>
        <w:p w14:paraId="09A1A8FC"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00154/INFOEM/IP/RR/2024</w:t>
          </w:r>
        </w:p>
      </w:tc>
    </w:tr>
    <w:tr w:rsidR="004F3713" w14:paraId="15C9F3B9" w14:textId="77777777">
      <w:trPr>
        <w:trHeight w:val="223"/>
      </w:trPr>
      <w:tc>
        <w:tcPr>
          <w:tcW w:w="2541" w:type="dxa"/>
          <w:vAlign w:val="center"/>
        </w:tcPr>
        <w:p w14:paraId="3C85E965"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78578DD2" w14:textId="77777777" w:rsidR="004F3713" w:rsidRDefault="004F3713">
          <w:pPr>
            <w:spacing w:after="0" w:line="240" w:lineRule="auto"/>
            <w:rPr>
              <w:rFonts w:ascii="Palatino Linotype" w:eastAsia="Palatino Linotype" w:hAnsi="Palatino Linotype" w:cs="Palatino Linotype"/>
              <w:b/>
            </w:rPr>
          </w:pPr>
        </w:p>
        <w:p w14:paraId="51E8B217" w14:textId="77777777" w:rsidR="004F3713" w:rsidRDefault="004F3713">
          <w:pPr>
            <w:spacing w:after="0" w:line="240" w:lineRule="auto"/>
            <w:rPr>
              <w:rFonts w:ascii="Palatino Linotype" w:eastAsia="Palatino Linotype" w:hAnsi="Palatino Linotype" w:cs="Palatino Linotype"/>
              <w:b/>
            </w:rPr>
          </w:pPr>
        </w:p>
        <w:p w14:paraId="6704FF7C" w14:textId="77777777" w:rsidR="004F3713" w:rsidRDefault="004F3713">
          <w:pPr>
            <w:spacing w:after="0" w:line="240" w:lineRule="auto"/>
            <w:rPr>
              <w:rFonts w:ascii="Palatino Linotype" w:eastAsia="Palatino Linotype" w:hAnsi="Palatino Linotype" w:cs="Palatino Linotype"/>
              <w:b/>
            </w:rPr>
          </w:pPr>
        </w:p>
        <w:p w14:paraId="45CA1DCD" w14:textId="77777777" w:rsidR="004F3713" w:rsidRDefault="004F3713">
          <w:pPr>
            <w:spacing w:after="0" w:line="240" w:lineRule="auto"/>
            <w:rPr>
              <w:rFonts w:ascii="Palatino Linotype" w:eastAsia="Palatino Linotype" w:hAnsi="Palatino Linotype" w:cs="Palatino Linotype"/>
              <w:b/>
            </w:rPr>
          </w:pPr>
        </w:p>
      </w:tc>
      <w:tc>
        <w:tcPr>
          <w:tcW w:w="3558" w:type="dxa"/>
          <w:vAlign w:val="center"/>
        </w:tcPr>
        <w:p w14:paraId="75E60E92" w14:textId="77777777" w:rsidR="004F3713" w:rsidRDefault="00640082">
          <w:pPr>
            <w:spacing w:after="0" w:line="240" w:lineRule="auto"/>
            <w:ind w:right="10"/>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4F3713" w14:paraId="215EC649" w14:textId="77777777">
      <w:trPr>
        <w:trHeight w:val="249"/>
      </w:trPr>
      <w:tc>
        <w:tcPr>
          <w:tcW w:w="2541" w:type="dxa"/>
          <w:vAlign w:val="center"/>
        </w:tcPr>
        <w:p w14:paraId="7F97BD45"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58" w:type="dxa"/>
          <w:vAlign w:val="center"/>
        </w:tcPr>
        <w:p w14:paraId="7B4501B0" w14:textId="77777777" w:rsidR="004F3713" w:rsidRDefault="00640082">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BE9900C" w14:textId="77777777" w:rsidR="004F3713" w:rsidRDefault="0064008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55DF0B05" wp14:editId="68B693B5">
          <wp:simplePos x="0" y="0"/>
          <wp:positionH relativeFrom="column">
            <wp:posOffset>-669287</wp:posOffset>
          </wp:positionH>
          <wp:positionV relativeFrom="paragraph">
            <wp:posOffset>-1515742</wp:posOffset>
          </wp:positionV>
          <wp:extent cx="7809865" cy="10165715"/>
          <wp:effectExtent l="0" t="0" r="0" b="0"/>
          <wp:wrapNone/>
          <wp:docPr id="136098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AFEF" w14:textId="77777777" w:rsidR="004F3713" w:rsidRDefault="004F3713">
    <w:pPr>
      <w:widowControl w:val="0"/>
      <w:pBdr>
        <w:top w:val="nil"/>
        <w:left w:val="nil"/>
        <w:bottom w:val="nil"/>
        <w:right w:val="nil"/>
        <w:between w:val="nil"/>
      </w:pBdr>
      <w:spacing w:after="0" w:line="276" w:lineRule="auto"/>
      <w:rPr>
        <w:color w:val="000000"/>
      </w:rPr>
    </w:pPr>
  </w:p>
  <w:tbl>
    <w:tblPr>
      <w:tblStyle w:val="a3"/>
      <w:tblW w:w="5892" w:type="dxa"/>
      <w:tblInd w:w="3834" w:type="dxa"/>
      <w:tblLayout w:type="fixed"/>
      <w:tblLook w:val="0400" w:firstRow="0" w:lastRow="0" w:firstColumn="0" w:lastColumn="0" w:noHBand="0" w:noVBand="1"/>
    </w:tblPr>
    <w:tblGrid>
      <w:gridCol w:w="2551"/>
      <w:gridCol w:w="3341"/>
    </w:tblGrid>
    <w:tr w:rsidR="004F3713" w14:paraId="4BBE9683" w14:textId="77777777">
      <w:tc>
        <w:tcPr>
          <w:tcW w:w="2551" w:type="dxa"/>
          <w:shd w:val="clear" w:color="auto" w:fill="auto"/>
          <w:vAlign w:val="center"/>
        </w:tcPr>
        <w:p w14:paraId="3F39284F"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41" w:type="dxa"/>
          <w:shd w:val="clear" w:color="auto" w:fill="auto"/>
          <w:vAlign w:val="center"/>
        </w:tcPr>
        <w:p w14:paraId="0ECC394A" w14:textId="77777777" w:rsidR="004F3713" w:rsidRDefault="00640082">
          <w:pPr>
            <w:tabs>
              <w:tab w:val="left" w:pos="3153"/>
            </w:tabs>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02429/INFOEM/IP/RR/2024</w:t>
          </w:r>
        </w:p>
      </w:tc>
    </w:tr>
    <w:tr w:rsidR="004F3713" w14:paraId="55BC41D3" w14:textId="77777777">
      <w:trPr>
        <w:trHeight w:val="228"/>
      </w:trPr>
      <w:tc>
        <w:tcPr>
          <w:tcW w:w="2551" w:type="dxa"/>
          <w:shd w:val="clear" w:color="auto" w:fill="auto"/>
          <w:vAlign w:val="center"/>
        </w:tcPr>
        <w:p w14:paraId="69A0F621"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5F0F4852" w14:textId="77777777" w:rsidR="004F3713" w:rsidRDefault="004F3713">
          <w:pPr>
            <w:spacing w:after="0" w:line="240" w:lineRule="auto"/>
            <w:rPr>
              <w:rFonts w:ascii="Palatino Linotype" w:eastAsia="Palatino Linotype" w:hAnsi="Palatino Linotype" w:cs="Palatino Linotype"/>
              <w:b/>
            </w:rPr>
          </w:pPr>
        </w:p>
      </w:tc>
      <w:tc>
        <w:tcPr>
          <w:tcW w:w="3341" w:type="dxa"/>
          <w:shd w:val="clear" w:color="auto" w:fill="auto"/>
          <w:vAlign w:val="center"/>
        </w:tcPr>
        <w:p w14:paraId="6856670D" w14:textId="77777777" w:rsidR="004F3713" w:rsidRDefault="00640082">
          <w:pPr>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4F3713" w14:paraId="5DC9BD31" w14:textId="77777777">
      <w:tc>
        <w:tcPr>
          <w:tcW w:w="2551" w:type="dxa"/>
          <w:shd w:val="clear" w:color="auto" w:fill="auto"/>
          <w:vAlign w:val="center"/>
        </w:tcPr>
        <w:p w14:paraId="32362F45" w14:textId="77777777" w:rsidR="004F3713" w:rsidRDefault="00640082">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41" w:type="dxa"/>
          <w:shd w:val="clear" w:color="auto" w:fill="auto"/>
          <w:vAlign w:val="center"/>
        </w:tcPr>
        <w:p w14:paraId="63C027F5" w14:textId="77777777" w:rsidR="004F3713" w:rsidRDefault="00640082">
          <w:pPr>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F6BDCD1" w14:textId="77777777" w:rsidR="004F3713" w:rsidRDefault="00640082">
    <w:pPr>
      <w:widowControl w:val="0"/>
      <w:pBdr>
        <w:top w:val="nil"/>
        <w:left w:val="nil"/>
        <w:bottom w:val="nil"/>
        <w:right w:val="nil"/>
        <w:between w:val="nil"/>
      </w:pBdr>
      <w:rPr>
        <w:color w:val="000000"/>
      </w:rPr>
    </w:pPr>
    <w:r>
      <w:rPr>
        <w:noProof/>
      </w:rPr>
      <w:drawing>
        <wp:anchor distT="0" distB="0" distL="0" distR="0" simplePos="0" relativeHeight="251661312" behindDoc="1" locked="0" layoutInCell="1" hidden="0" allowOverlap="1" wp14:anchorId="3F4D7F3D" wp14:editId="1B172400">
          <wp:simplePos x="0" y="0"/>
          <wp:positionH relativeFrom="column">
            <wp:posOffset>-713104</wp:posOffset>
          </wp:positionH>
          <wp:positionV relativeFrom="paragraph">
            <wp:posOffset>-1203324</wp:posOffset>
          </wp:positionV>
          <wp:extent cx="7809876" cy="10165823"/>
          <wp:effectExtent l="0" t="0" r="0" b="0"/>
          <wp:wrapNone/>
          <wp:docPr id="136098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0802F381" w14:textId="77777777" w:rsidR="004F3713" w:rsidRDefault="00640082">
    <w:pPr>
      <w:pBdr>
        <w:top w:val="nil"/>
        <w:left w:val="nil"/>
        <w:bottom w:val="nil"/>
        <w:right w:val="nil"/>
        <w:between w:val="nil"/>
      </w:pBdr>
      <w:tabs>
        <w:tab w:val="center" w:pos="4252"/>
        <w:tab w:val="right" w:pos="8504"/>
        <w:tab w:val="left" w:pos="2326"/>
      </w:tabs>
      <w:rPr>
        <w:color w:val="000000"/>
      </w:rPr>
    </w:pPr>
    <w:r>
      <w:rPr>
        <w:color w:val="000000"/>
      </w:rPr>
      <w:tab/>
    </w:r>
  </w:p>
  <w:p w14:paraId="74444A77" w14:textId="77777777" w:rsidR="004F3713" w:rsidRDefault="004F371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39"/>
    <w:multiLevelType w:val="multilevel"/>
    <w:tmpl w:val="698234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23586"/>
    <w:multiLevelType w:val="multilevel"/>
    <w:tmpl w:val="346ED6B2"/>
    <w:lvl w:ilvl="0">
      <w:start w:val="1"/>
      <w:numFmt w:val="decimal"/>
      <w:lvlText w:val="%1."/>
      <w:lvlJc w:val="left"/>
      <w:pPr>
        <w:ind w:left="2062"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6806FD"/>
    <w:multiLevelType w:val="multilevel"/>
    <w:tmpl w:val="8EC0EFBE"/>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FD53A2"/>
    <w:multiLevelType w:val="multilevel"/>
    <w:tmpl w:val="67744CB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787161"/>
    <w:multiLevelType w:val="multilevel"/>
    <w:tmpl w:val="E5AE0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8A08A8"/>
    <w:multiLevelType w:val="multilevel"/>
    <w:tmpl w:val="91BC86E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13"/>
    <w:rsid w:val="00034D1E"/>
    <w:rsid w:val="00377958"/>
    <w:rsid w:val="004F3713"/>
    <w:rsid w:val="005D6E39"/>
    <w:rsid w:val="00640082"/>
    <w:rsid w:val="007A7B43"/>
    <w:rsid w:val="007B2BB7"/>
    <w:rsid w:val="00BC788C"/>
    <w:rsid w:val="00CE4B17"/>
    <w:rsid w:val="00F15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0181"/>
  <w15:docId w15:val="{C5F25EBA-F110-4626-AD49-F53641F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1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B3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8C"/>
    <w:rPr>
      <w:rFonts w:ascii="Calibri" w:eastAsia="Calibri" w:hAnsi="Calibri" w:cs="Calibri"/>
      <w:lang w:eastAsia="es-MX"/>
    </w:rPr>
  </w:style>
  <w:style w:type="paragraph" w:styleId="Piedepgina">
    <w:name w:val="footer"/>
    <w:basedOn w:val="Normal"/>
    <w:link w:val="PiedepginaCar"/>
    <w:uiPriority w:val="99"/>
    <w:unhideWhenUsed/>
    <w:rsid w:val="00DB3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8C"/>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6C2D"/>
    <w:pPr>
      <w:spacing w:after="200" w:line="276" w:lineRule="auto"/>
      <w:ind w:left="720"/>
      <w:contextualSpacing/>
    </w:pPr>
    <w:rPr>
      <w:rFonts w:eastAsia="Times New Roman" w:cs="Times New Roman"/>
    </w:rPr>
  </w:style>
  <w:style w:type="character" w:styleId="Hipervnculo">
    <w:name w:val="Hyperlink"/>
    <w:basedOn w:val="Fuentedeprrafopredeter"/>
    <w:uiPriority w:val="99"/>
    <w:unhideWhenUsed/>
    <w:rsid w:val="001D6C2D"/>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D6C2D"/>
    <w:rPr>
      <w:rFonts w:ascii="Calibri" w:eastAsia="Times New Roman" w:hAnsi="Calibri" w:cs="Times New Roman"/>
      <w:lang w:eastAsia="es-MX"/>
    </w:rPr>
  </w:style>
  <w:style w:type="paragraph" w:styleId="Listaconvietas3">
    <w:name w:val="List Bullet 3"/>
    <w:basedOn w:val="Normal"/>
    <w:uiPriority w:val="99"/>
    <w:unhideWhenUsed/>
    <w:rsid w:val="00C62FEB"/>
    <w:pPr>
      <w:numPr>
        <w:numId w:val="6"/>
      </w:numPr>
      <w:spacing w:after="0" w:line="240" w:lineRule="auto"/>
      <w:contextualSpacing/>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D82D5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0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14FCF"/>
    <w:pPr>
      <w:autoSpaceDE w:val="0"/>
      <w:autoSpaceDN w:val="0"/>
      <w:adjustRightInd w:val="0"/>
      <w:spacing w:after="0" w:line="240" w:lineRule="auto"/>
      <w:ind w:left="93"/>
    </w:pPr>
    <w:rPr>
      <w:rFonts w:ascii="Times New Roman" w:eastAsiaTheme="minorHAnsi" w:hAnsi="Times New Roman" w:cs="Times New Roman"/>
      <w:sz w:val="23"/>
      <w:szCs w:val="23"/>
      <w:lang w:eastAsia="en-US"/>
    </w:rPr>
  </w:style>
  <w:style w:type="character" w:customStyle="1" w:styleId="TextoindependienteCar">
    <w:name w:val="Texto independiente Car"/>
    <w:basedOn w:val="Fuentedeprrafopredeter"/>
    <w:link w:val="Textoindependiente"/>
    <w:uiPriority w:val="1"/>
    <w:rsid w:val="00814FCF"/>
    <w:rPr>
      <w:rFonts w:ascii="Times New Roman" w:hAnsi="Times New Roman" w:cs="Times New Roman"/>
      <w:sz w:val="23"/>
      <w:szCs w:val="23"/>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traloriadf.gob.mx/contraloria/cursos/ADQUISICIONES/paginas/32.php" TargetMode="External"/><Relationship Id="rId4" Type="http://schemas.openxmlformats.org/officeDocument/2006/relationships/settings" Target="settings.xml"/><Relationship Id="rId9" Type="http://schemas.openxmlformats.org/officeDocument/2006/relationships/hyperlink" Target="https://www.gob.mx/sfp/acciones-y-programas/1-3-3-adjudicacion-direct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Cr3Y8wVbzAN5Lcj2l3MRlgUWA==">CgMxLjAyCGguZ2pkZ3hzMgloLjMwajB6bGwyCWguMWZvYjl0ZTIJaC4zZHk2dmttMgloLjN6bnlzaDcyCWguMWZvYjl0ZTgAciExLTAtdGhrYndxR1JzdVRnclpXZm8yblhlRWdkT3BXMkU=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8413</Words>
  <Characters>46275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2024-09-27T18:52:00Z</cp:lastPrinted>
  <dcterms:created xsi:type="dcterms:W3CDTF">2024-10-07T16:25:00Z</dcterms:created>
  <dcterms:modified xsi:type="dcterms:W3CDTF">2024-10-07T16:25:00Z</dcterms:modified>
</cp:coreProperties>
</file>