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0"/>
          <w:lang w:val="es-ES" w:eastAsia="es-ES"/>
        </w:rPr>
        <w:id w:val="-628709639"/>
        <w:docPartObj>
          <w:docPartGallery w:val="Table of Contents"/>
          <w:docPartUnique/>
        </w:docPartObj>
      </w:sdtPr>
      <w:sdtEndPr>
        <w:rPr>
          <w:b/>
          <w:bCs/>
        </w:rPr>
      </w:sdtEndPr>
      <w:sdtContent>
        <w:p w14:paraId="324EC468" w14:textId="3B19F11C" w:rsidR="00DD1F38" w:rsidRPr="00951C84" w:rsidRDefault="00DD1F38" w:rsidP="00951C84">
          <w:pPr>
            <w:pStyle w:val="TtulodeTDC"/>
            <w:rPr>
              <w:color w:val="auto"/>
            </w:rPr>
          </w:pPr>
          <w:r w:rsidRPr="00951C84">
            <w:rPr>
              <w:color w:val="auto"/>
              <w:lang w:val="es-ES"/>
            </w:rPr>
            <w:t>Contenido</w:t>
          </w:r>
        </w:p>
        <w:p w14:paraId="22C5F108" w14:textId="77777777" w:rsidR="00757714" w:rsidRPr="00951C84" w:rsidRDefault="00DD1F38" w:rsidP="00951C84">
          <w:pPr>
            <w:pStyle w:val="TDC1"/>
            <w:tabs>
              <w:tab w:val="right" w:leader="dot" w:pos="9034"/>
            </w:tabs>
            <w:rPr>
              <w:rFonts w:asciiTheme="minorHAnsi" w:eastAsiaTheme="minorEastAsia" w:hAnsiTheme="minorHAnsi" w:cstheme="minorBidi"/>
              <w:noProof/>
              <w:szCs w:val="22"/>
              <w:lang w:eastAsia="es-MX"/>
            </w:rPr>
          </w:pPr>
          <w:r w:rsidRPr="00951C84">
            <w:fldChar w:fldCharType="begin"/>
          </w:r>
          <w:r w:rsidRPr="00951C84">
            <w:instrText xml:space="preserve"> TOC \o "1-3" \h \z \u </w:instrText>
          </w:r>
          <w:r w:rsidRPr="00951C84">
            <w:fldChar w:fldCharType="separate"/>
          </w:r>
          <w:hyperlink w:anchor="_Toc178858413" w:history="1">
            <w:r w:rsidR="00757714" w:rsidRPr="00951C84">
              <w:rPr>
                <w:rStyle w:val="Hipervnculo"/>
                <w:rFonts w:eastAsiaTheme="majorEastAsia"/>
                <w:noProof/>
                <w:color w:val="auto"/>
              </w:rPr>
              <w:t>ANTECEDENTES</w:t>
            </w:r>
            <w:r w:rsidR="00757714" w:rsidRPr="00951C84">
              <w:rPr>
                <w:noProof/>
                <w:webHidden/>
              </w:rPr>
              <w:tab/>
            </w:r>
            <w:r w:rsidR="00757714" w:rsidRPr="00951C84">
              <w:rPr>
                <w:noProof/>
                <w:webHidden/>
              </w:rPr>
              <w:fldChar w:fldCharType="begin"/>
            </w:r>
            <w:r w:rsidR="00757714" w:rsidRPr="00951C84">
              <w:rPr>
                <w:noProof/>
                <w:webHidden/>
              </w:rPr>
              <w:instrText xml:space="preserve"> PAGEREF _Toc178858413 \h </w:instrText>
            </w:r>
            <w:r w:rsidR="00757714" w:rsidRPr="00951C84">
              <w:rPr>
                <w:noProof/>
                <w:webHidden/>
              </w:rPr>
            </w:r>
            <w:r w:rsidR="00757714" w:rsidRPr="00951C84">
              <w:rPr>
                <w:noProof/>
                <w:webHidden/>
              </w:rPr>
              <w:fldChar w:fldCharType="separate"/>
            </w:r>
            <w:r w:rsidR="002F6A5B">
              <w:rPr>
                <w:noProof/>
                <w:webHidden/>
              </w:rPr>
              <w:t>1</w:t>
            </w:r>
            <w:r w:rsidR="00757714" w:rsidRPr="00951C84">
              <w:rPr>
                <w:noProof/>
                <w:webHidden/>
              </w:rPr>
              <w:fldChar w:fldCharType="end"/>
            </w:r>
          </w:hyperlink>
        </w:p>
        <w:p w14:paraId="1EBC86A4" w14:textId="77777777" w:rsidR="00757714" w:rsidRPr="00951C84" w:rsidRDefault="008D1F8E" w:rsidP="00951C84">
          <w:pPr>
            <w:pStyle w:val="TDC2"/>
            <w:rPr>
              <w:rFonts w:asciiTheme="minorHAnsi" w:eastAsiaTheme="minorEastAsia" w:hAnsiTheme="minorHAnsi" w:cstheme="minorBidi"/>
              <w:noProof/>
              <w:szCs w:val="22"/>
              <w:lang w:eastAsia="es-MX"/>
            </w:rPr>
          </w:pPr>
          <w:hyperlink w:anchor="_Toc178858414" w:history="1">
            <w:r w:rsidR="00757714" w:rsidRPr="00951C84">
              <w:rPr>
                <w:rStyle w:val="Hipervnculo"/>
                <w:rFonts w:eastAsiaTheme="majorEastAsia"/>
                <w:noProof/>
                <w:color w:val="auto"/>
              </w:rPr>
              <w:t>DE LAS SOLICITUDES DE INFORMACIÓN</w:t>
            </w:r>
            <w:r w:rsidR="00757714" w:rsidRPr="00951C84">
              <w:rPr>
                <w:noProof/>
                <w:webHidden/>
              </w:rPr>
              <w:tab/>
            </w:r>
            <w:r w:rsidR="00757714" w:rsidRPr="00951C84">
              <w:rPr>
                <w:noProof/>
                <w:webHidden/>
              </w:rPr>
              <w:fldChar w:fldCharType="begin"/>
            </w:r>
            <w:r w:rsidR="00757714" w:rsidRPr="00951C84">
              <w:rPr>
                <w:noProof/>
                <w:webHidden/>
              </w:rPr>
              <w:instrText xml:space="preserve"> PAGEREF _Toc178858414 \h </w:instrText>
            </w:r>
            <w:r w:rsidR="00757714" w:rsidRPr="00951C84">
              <w:rPr>
                <w:noProof/>
                <w:webHidden/>
              </w:rPr>
            </w:r>
            <w:r w:rsidR="00757714" w:rsidRPr="00951C84">
              <w:rPr>
                <w:noProof/>
                <w:webHidden/>
              </w:rPr>
              <w:fldChar w:fldCharType="separate"/>
            </w:r>
            <w:r w:rsidR="002F6A5B">
              <w:rPr>
                <w:noProof/>
                <w:webHidden/>
              </w:rPr>
              <w:t>1</w:t>
            </w:r>
            <w:r w:rsidR="00757714" w:rsidRPr="00951C84">
              <w:rPr>
                <w:noProof/>
                <w:webHidden/>
              </w:rPr>
              <w:fldChar w:fldCharType="end"/>
            </w:r>
          </w:hyperlink>
        </w:p>
        <w:p w14:paraId="41860709" w14:textId="77777777" w:rsidR="00757714" w:rsidRPr="00951C84" w:rsidRDefault="008D1F8E" w:rsidP="00951C84">
          <w:pPr>
            <w:pStyle w:val="TDC3"/>
            <w:rPr>
              <w:rFonts w:asciiTheme="minorHAnsi" w:eastAsiaTheme="minorEastAsia" w:hAnsiTheme="minorHAnsi" w:cstheme="minorBidi"/>
              <w:noProof/>
              <w:szCs w:val="22"/>
              <w:lang w:eastAsia="es-MX"/>
            </w:rPr>
          </w:pPr>
          <w:hyperlink w:anchor="_Toc178858415" w:history="1">
            <w:r w:rsidR="00757714" w:rsidRPr="00951C84">
              <w:rPr>
                <w:rStyle w:val="Hipervnculo"/>
                <w:rFonts w:eastAsiaTheme="majorEastAsia"/>
                <w:noProof/>
                <w:color w:val="auto"/>
              </w:rPr>
              <w:t>a) Solicitudes de información.</w:t>
            </w:r>
            <w:r w:rsidR="00757714" w:rsidRPr="00951C84">
              <w:rPr>
                <w:noProof/>
                <w:webHidden/>
              </w:rPr>
              <w:tab/>
            </w:r>
            <w:r w:rsidR="00757714" w:rsidRPr="00951C84">
              <w:rPr>
                <w:noProof/>
                <w:webHidden/>
              </w:rPr>
              <w:fldChar w:fldCharType="begin"/>
            </w:r>
            <w:r w:rsidR="00757714" w:rsidRPr="00951C84">
              <w:rPr>
                <w:noProof/>
                <w:webHidden/>
              </w:rPr>
              <w:instrText xml:space="preserve"> PAGEREF _Toc178858415 \h </w:instrText>
            </w:r>
            <w:r w:rsidR="00757714" w:rsidRPr="00951C84">
              <w:rPr>
                <w:noProof/>
                <w:webHidden/>
              </w:rPr>
            </w:r>
            <w:r w:rsidR="00757714" w:rsidRPr="00951C84">
              <w:rPr>
                <w:noProof/>
                <w:webHidden/>
              </w:rPr>
              <w:fldChar w:fldCharType="separate"/>
            </w:r>
            <w:r w:rsidR="002F6A5B">
              <w:rPr>
                <w:noProof/>
                <w:webHidden/>
              </w:rPr>
              <w:t>1</w:t>
            </w:r>
            <w:r w:rsidR="00757714" w:rsidRPr="00951C84">
              <w:rPr>
                <w:noProof/>
                <w:webHidden/>
              </w:rPr>
              <w:fldChar w:fldCharType="end"/>
            </w:r>
          </w:hyperlink>
        </w:p>
        <w:p w14:paraId="4DC8CCB8" w14:textId="77777777" w:rsidR="00757714" w:rsidRPr="00951C84" w:rsidRDefault="008D1F8E" w:rsidP="00951C84">
          <w:pPr>
            <w:pStyle w:val="TDC3"/>
            <w:rPr>
              <w:rFonts w:asciiTheme="minorHAnsi" w:eastAsiaTheme="minorEastAsia" w:hAnsiTheme="minorHAnsi" w:cstheme="minorBidi"/>
              <w:noProof/>
              <w:szCs w:val="22"/>
              <w:lang w:eastAsia="es-MX"/>
            </w:rPr>
          </w:pPr>
          <w:hyperlink w:anchor="_Toc178858416" w:history="1">
            <w:r w:rsidR="00757714" w:rsidRPr="00951C84">
              <w:rPr>
                <w:rStyle w:val="Hipervnculo"/>
                <w:rFonts w:eastAsiaTheme="majorEastAsia"/>
                <w:noProof/>
                <w:color w:val="auto"/>
              </w:rPr>
              <w:t>b) Respuestas del Sujeto Obligado.</w:t>
            </w:r>
            <w:r w:rsidR="00757714" w:rsidRPr="00951C84">
              <w:rPr>
                <w:noProof/>
                <w:webHidden/>
              </w:rPr>
              <w:tab/>
            </w:r>
            <w:r w:rsidR="00757714" w:rsidRPr="00951C84">
              <w:rPr>
                <w:noProof/>
                <w:webHidden/>
              </w:rPr>
              <w:fldChar w:fldCharType="begin"/>
            </w:r>
            <w:r w:rsidR="00757714" w:rsidRPr="00951C84">
              <w:rPr>
                <w:noProof/>
                <w:webHidden/>
              </w:rPr>
              <w:instrText xml:space="preserve"> PAGEREF _Toc178858416 \h </w:instrText>
            </w:r>
            <w:r w:rsidR="00757714" w:rsidRPr="00951C84">
              <w:rPr>
                <w:noProof/>
                <w:webHidden/>
              </w:rPr>
            </w:r>
            <w:r w:rsidR="00757714" w:rsidRPr="00951C84">
              <w:rPr>
                <w:noProof/>
                <w:webHidden/>
              </w:rPr>
              <w:fldChar w:fldCharType="separate"/>
            </w:r>
            <w:r w:rsidR="002F6A5B">
              <w:rPr>
                <w:noProof/>
                <w:webHidden/>
              </w:rPr>
              <w:t>2</w:t>
            </w:r>
            <w:r w:rsidR="00757714" w:rsidRPr="00951C84">
              <w:rPr>
                <w:noProof/>
                <w:webHidden/>
              </w:rPr>
              <w:fldChar w:fldCharType="end"/>
            </w:r>
          </w:hyperlink>
        </w:p>
        <w:p w14:paraId="2B6290A0" w14:textId="77777777" w:rsidR="00757714" w:rsidRPr="00951C84" w:rsidRDefault="008D1F8E" w:rsidP="00951C84">
          <w:pPr>
            <w:pStyle w:val="TDC2"/>
            <w:rPr>
              <w:rFonts w:asciiTheme="minorHAnsi" w:eastAsiaTheme="minorEastAsia" w:hAnsiTheme="minorHAnsi" w:cstheme="minorBidi"/>
              <w:noProof/>
              <w:szCs w:val="22"/>
              <w:lang w:eastAsia="es-MX"/>
            </w:rPr>
          </w:pPr>
          <w:hyperlink w:anchor="_Toc178858417" w:history="1">
            <w:r w:rsidR="00757714" w:rsidRPr="00951C84">
              <w:rPr>
                <w:rStyle w:val="Hipervnculo"/>
                <w:rFonts w:eastAsiaTheme="majorEastAsia"/>
                <w:noProof/>
                <w:color w:val="auto"/>
              </w:rPr>
              <w:t>DEL RECURSO DE REVISIÓN</w:t>
            </w:r>
            <w:r w:rsidR="00757714" w:rsidRPr="00951C84">
              <w:rPr>
                <w:noProof/>
                <w:webHidden/>
              </w:rPr>
              <w:tab/>
            </w:r>
            <w:r w:rsidR="00757714" w:rsidRPr="00951C84">
              <w:rPr>
                <w:noProof/>
                <w:webHidden/>
              </w:rPr>
              <w:fldChar w:fldCharType="begin"/>
            </w:r>
            <w:r w:rsidR="00757714" w:rsidRPr="00951C84">
              <w:rPr>
                <w:noProof/>
                <w:webHidden/>
              </w:rPr>
              <w:instrText xml:space="preserve"> PAGEREF _Toc178858417 \h </w:instrText>
            </w:r>
            <w:r w:rsidR="00757714" w:rsidRPr="00951C84">
              <w:rPr>
                <w:noProof/>
                <w:webHidden/>
              </w:rPr>
            </w:r>
            <w:r w:rsidR="00757714" w:rsidRPr="00951C84">
              <w:rPr>
                <w:noProof/>
                <w:webHidden/>
              </w:rPr>
              <w:fldChar w:fldCharType="separate"/>
            </w:r>
            <w:r w:rsidR="002F6A5B">
              <w:rPr>
                <w:noProof/>
                <w:webHidden/>
              </w:rPr>
              <w:t>5</w:t>
            </w:r>
            <w:r w:rsidR="00757714" w:rsidRPr="00951C84">
              <w:rPr>
                <w:noProof/>
                <w:webHidden/>
              </w:rPr>
              <w:fldChar w:fldCharType="end"/>
            </w:r>
          </w:hyperlink>
        </w:p>
        <w:p w14:paraId="7F532589" w14:textId="77777777" w:rsidR="00757714" w:rsidRPr="00951C84" w:rsidRDefault="008D1F8E" w:rsidP="00951C84">
          <w:pPr>
            <w:pStyle w:val="TDC3"/>
            <w:rPr>
              <w:rFonts w:asciiTheme="minorHAnsi" w:eastAsiaTheme="minorEastAsia" w:hAnsiTheme="minorHAnsi" w:cstheme="minorBidi"/>
              <w:noProof/>
              <w:szCs w:val="22"/>
              <w:lang w:eastAsia="es-MX"/>
            </w:rPr>
          </w:pPr>
          <w:hyperlink w:anchor="_Toc178858418" w:history="1">
            <w:r w:rsidR="00757714" w:rsidRPr="00951C84">
              <w:rPr>
                <w:rStyle w:val="Hipervnculo"/>
                <w:rFonts w:eastAsiaTheme="majorEastAsia"/>
                <w:noProof/>
                <w:color w:val="auto"/>
              </w:rPr>
              <w:t>a) Interposición de los Recursos de Revisión.</w:t>
            </w:r>
            <w:r w:rsidR="00757714" w:rsidRPr="00951C84">
              <w:rPr>
                <w:noProof/>
                <w:webHidden/>
              </w:rPr>
              <w:tab/>
            </w:r>
            <w:r w:rsidR="00757714" w:rsidRPr="00951C84">
              <w:rPr>
                <w:noProof/>
                <w:webHidden/>
              </w:rPr>
              <w:fldChar w:fldCharType="begin"/>
            </w:r>
            <w:r w:rsidR="00757714" w:rsidRPr="00951C84">
              <w:rPr>
                <w:noProof/>
                <w:webHidden/>
              </w:rPr>
              <w:instrText xml:space="preserve"> PAGEREF _Toc178858418 \h </w:instrText>
            </w:r>
            <w:r w:rsidR="00757714" w:rsidRPr="00951C84">
              <w:rPr>
                <w:noProof/>
                <w:webHidden/>
              </w:rPr>
            </w:r>
            <w:r w:rsidR="00757714" w:rsidRPr="00951C84">
              <w:rPr>
                <w:noProof/>
                <w:webHidden/>
              </w:rPr>
              <w:fldChar w:fldCharType="separate"/>
            </w:r>
            <w:r w:rsidR="002F6A5B">
              <w:rPr>
                <w:noProof/>
                <w:webHidden/>
              </w:rPr>
              <w:t>5</w:t>
            </w:r>
            <w:r w:rsidR="00757714" w:rsidRPr="00951C84">
              <w:rPr>
                <w:noProof/>
                <w:webHidden/>
              </w:rPr>
              <w:fldChar w:fldCharType="end"/>
            </w:r>
          </w:hyperlink>
        </w:p>
        <w:p w14:paraId="33D3E9B0" w14:textId="77777777" w:rsidR="00757714" w:rsidRPr="00951C84" w:rsidRDefault="008D1F8E" w:rsidP="00951C84">
          <w:pPr>
            <w:pStyle w:val="TDC3"/>
            <w:rPr>
              <w:rFonts w:asciiTheme="minorHAnsi" w:eastAsiaTheme="minorEastAsia" w:hAnsiTheme="minorHAnsi" w:cstheme="minorBidi"/>
              <w:noProof/>
              <w:szCs w:val="22"/>
              <w:lang w:eastAsia="es-MX"/>
            </w:rPr>
          </w:pPr>
          <w:hyperlink w:anchor="_Toc178858419" w:history="1">
            <w:r w:rsidR="00757714" w:rsidRPr="00951C84">
              <w:rPr>
                <w:rStyle w:val="Hipervnculo"/>
                <w:rFonts w:eastAsiaTheme="majorEastAsia"/>
                <w:noProof/>
                <w:color w:val="auto"/>
              </w:rPr>
              <w:t>b) Turno de los Recursos de Revisión.</w:t>
            </w:r>
            <w:r w:rsidR="00757714" w:rsidRPr="00951C84">
              <w:rPr>
                <w:noProof/>
                <w:webHidden/>
              </w:rPr>
              <w:tab/>
            </w:r>
            <w:r w:rsidR="00757714" w:rsidRPr="00951C84">
              <w:rPr>
                <w:noProof/>
                <w:webHidden/>
              </w:rPr>
              <w:fldChar w:fldCharType="begin"/>
            </w:r>
            <w:r w:rsidR="00757714" w:rsidRPr="00951C84">
              <w:rPr>
                <w:noProof/>
                <w:webHidden/>
              </w:rPr>
              <w:instrText xml:space="preserve"> PAGEREF _Toc178858419 \h </w:instrText>
            </w:r>
            <w:r w:rsidR="00757714" w:rsidRPr="00951C84">
              <w:rPr>
                <w:noProof/>
                <w:webHidden/>
              </w:rPr>
            </w:r>
            <w:r w:rsidR="00757714" w:rsidRPr="00951C84">
              <w:rPr>
                <w:noProof/>
                <w:webHidden/>
              </w:rPr>
              <w:fldChar w:fldCharType="separate"/>
            </w:r>
            <w:r w:rsidR="002F6A5B">
              <w:rPr>
                <w:noProof/>
                <w:webHidden/>
              </w:rPr>
              <w:t>6</w:t>
            </w:r>
            <w:r w:rsidR="00757714" w:rsidRPr="00951C84">
              <w:rPr>
                <w:noProof/>
                <w:webHidden/>
              </w:rPr>
              <w:fldChar w:fldCharType="end"/>
            </w:r>
          </w:hyperlink>
        </w:p>
        <w:p w14:paraId="63B8D496" w14:textId="77777777" w:rsidR="00757714" w:rsidRPr="00951C84" w:rsidRDefault="008D1F8E" w:rsidP="00951C84">
          <w:pPr>
            <w:pStyle w:val="TDC3"/>
            <w:rPr>
              <w:rFonts w:asciiTheme="minorHAnsi" w:eastAsiaTheme="minorEastAsia" w:hAnsiTheme="minorHAnsi" w:cstheme="minorBidi"/>
              <w:noProof/>
              <w:szCs w:val="22"/>
              <w:lang w:eastAsia="es-MX"/>
            </w:rPr>
          </w:pPr>
          <w:hyperlink w:anchor="_Toc178858420" w:history="1">
            <w:r w:rsidR="00757714" w:rsidRPr="00951C84">
              <w:rPr>
                <w:rStyle w:val="Hipervnculo"/>
                <w:rFonts w:eastAsiaTheme="majorEastAsia"/>
                <w:noProof/>
                <w:color w:val="auto"/>
              </w:rPr>
              <w:t>c) Admisiones de los Recursos de Revisión.</w:t>
            </w:r>
            <w:r w:rsidR="00757714" w:rsidRPr="00951C84">
              <w:rPr>
                <w:noProof/>
                <w:webHidden/>
              </w:rPr>
              <w:tab/>
            </w:r>
            <w:r w:rsidR="00757714" w:rsidRPr="00951C84">
              <w:rPr>
                <w:noProof/>
                <w:webHidden/>
              </w:rPr>
              <w:fldChar w:fldCharType="begin"/>
            </w:r>
            <w:r w:rsidR="00757714" w:rsidRPr="00951C84">
              <w:rPr>
                <w:noProof/>
                <w:webHidden/>
              </w:rPr>
              <w:instrText xml:space="preserve"> PAGEREF _Toc178858420 \h </w:instrText>
            </w:r>
            <w:r w:rsidR="00757714" w:rsidRPr="00951C84">
              <w:rPr>
                <w:noProof/>
                <w:webHidden/>
              </w:rPr>
            </w:r>
            <w:r w:rsidR="00757714" w:rsidRPr="00951C84">
              <w:rPr>
                <w:noProof/>
                <w:webHidden/>
              </w:rPr>
              <w:fldChar w:fldCharType="separate"/>
            </w:r>
            <w:r w:rsidR="002F6A5B">
              <w:rPr>
                <w:noProof/>
                <w:webHidden/>
              </w:rPr>
              <w:t>6</w:t>
            </w:r>
            <w:r w:rsidR="00757714" w:rsidRPr="00951C84">
              <w:rPr>
                <w:noProof/>
                <w:webHidden/>
              </w:rPr>
              <w:fldChar w:fldCharType="end"/>
            </w:r>
          </w:hyperlink>
        </w:p>
        <w:p w14:paraId="44C05B8E" w14:textId="77777777" w:rsidR="00757714" w:rsidRPr="00951C84" w:rsidRDefault="008D1F8E" w:rsidP="00951C84">
          <w:pPr>
            <w:pStyle w:val="TDC3"/>
            <w:rPr>
              <w:rFonts w:asciiTheme="minorHAnsi" w:eastAsiaTheme="minorEastAsia" w:hAnsiTheme="minorHAnsi" w:cstheme="minorBidi"/>
              <w:noProof/>
              <w:szCs w:val="22"/>
              <w:lang w:eastAsia="es-MX"/>
            </w:rPr>
          </w:pPr>
          <w:hyperlink w:anchor="_Toc178858421" w:history="1">
            <w:r w:rsidR="00757714" w:rsidRPr="00951C84">
              <w:rPr>
                <w:rStyle w:val="Hipervnculo"/>
                <w:rFonts w:eastAsiaTheme="majorEastAsia"/>
                <w:noProof/>
                <w:color w:val="auto"/>
              </w:rPr>
              <w:t>d) Acumulación de los Recursos de Revisión</w:t>
            </w:r>
            <w:r w:rsidR="00757714" w:rsidRPr="00951C84">
              <w:rPr>
                <w:noProof/>
                <w:webHidden/>
              </w:rPr>
              <w:tab/>
            </w:r>
            <w:r w:rsidR="00757714" w:rsidRPr="00951C84">
              <w:rPr>
                <w:noProof/>
                <w:webHidden/>
              </w:rPr>
              <w:fldChar w:fldCharType="begin"/>
            </w:r>
            <w:r w:rsidR="00757714" w:rsidRPr="00951C84">
              <w:rPr>
                <w:noProof/>
                <w:webHidden/>
              </w:rPr>
              <w:instrText xml:space="preserve"> PAGEREF _Toc178858421 \h </w:instrText>
            </w:r>
            <w:r w:rsidR="00757714" w:rsidRPr="00951C84">
              <w:rPr>
                <w:noProof/>
                <w:webHidden/>
              </w:rPr>
            </w:r>
            <w:r w:rsidR="00757714" w:rsidRPr="00951C84">
              <w:rPr>
                <w:noProof/>
                <w:webHidden/>
              </w:rPr>
              <w:fldChar w:fldCharType="separate"/>
            </w:r>
            <w:r w:rsidR="002F6A5B">
              <w:rPr>
                <w:noProof/>
                <w:webHidden/>
              </w:rPr>
              <w:t>7</w:t>
            </w:r>
            <w:r w:rsidR="00757714" w:rsidRPr="00951C84">
              <w:rPr>
                <w:noProof/>
                <w:webHidden/>
              </w:rPr>
              <w:fldChar w:fldCharType="end"/>
            </w:r>
          </w:hyperlink>
        </w:p>
        <w:p w14:paraId="228520FE" w14:textId="77777777" w:rsidR="00757714" w:rsidRPr="00951C84" w:rsidRDefault="008D1F8E" w:rsidP="00951C84">
          <w:pPr>
            <w:pStyle w:val="TDC3"/>
            <w:rPr>
              <w:rFonts w:asciiTheme="minorHAnsi" w:eastAsiaTheme="minorEastAsia" w:hAnsiTheme="minorHAnsi" w:cstheme="minorBidi"/>
              <w:noProof/>
              <w:szCs w:val="22"/>
              <w:lang w:eastAsia="es-MX"/>
            </w:rPr>
          </w:pPr>
          <w:hyperlink w:anchor="_Toc178858422" w:history="1">
            <w:r w:rsidR="00757714" w:rsidRPr="00951C84">
              <w:rPr>
                <w:rStyle w:val="Hipervnculo"/>
                <w:rFonts w:eastAsiaTheme="majorEastAsia"/>
                <w:noProof/>
                <w:color w:val="auto"/>
              </w:rPr>
              <w:t>e) Informes Justificados del Sujeto Obligado.</w:t>
            </w:r>
            <w:r w:rsidR="00757714" w:rsidRPr="00951C84">
              <w:rPr>
                <w:noProof/>
                <w:webHidden/>
              </w:rPr>
              <w:tab/>
            </w:r>
            <w:r w:rsidR="00757714" w:rsidRPr="00951C84">
              <w:rPr>
                <w:noProof/>
                <w:webHidden/>
              </w:rPr>
              <w:fldChar w:fldCharType="begin"/>
            </w:r>
            <w:r w:rsidR="00757714" w:rsidRPr="00951C84">
              <w:rPr>
                <w:noProof/>
                <w:webHidden/>
              </w:rPr>
              <w:instrText xml:space="preserve"> PAGEREF _Toc178858422 \h </w:instrText>
            </w:r>
            <w:r w:rsidR="00757714" w:rsidRPr="00951C84">
              <w:rPr>
                <w:noProof/>
                <w:webHidden/>
              </w:rPr>
            </w:r>
            <w:r w:rsidR="00757714" w:rsidRPr="00951C84">
              <w:rPr>
                <w:noProof/>
                <w:webHidden/>
              </w:rPr>
              <w:fldChar w:fldCharType="separate"/>
            </w:r>
            <w:r w:rsidR="002F6A5B">
              <w:rPr>
                <w:noProof/>
                <w:webHidden/>
              </w:rPr>
              <w:t>7</w:t>
            </w:r>
            <w:r w:rsidR="00757714" w:rsidRPr="00951C84">
              <w:rPr>
                <w:noProof/>
                <w:webHidden/>
              </w:rPr>
              <w:fldChar w:fldCharType="end"/>
            </w:r>
          </w:hyperlink>
        </w:p>
        <w:p w14:paraId="684F71E9" w14:textId="77777777" w:rsidR="00757714" w:rsidRPr="00951C84" w:rsidRDefault="008D1F8E" w:rsidP="00951C84">
          <w:pPr>
            <w:pStyle w:val="TDC3"/>
            <w:rPr>
              <w:rFonts w:asciiTheme="minorHAnsi" w:eastAsiaTheme="minorEastAsia" w:hAnsiTheme="minorHAnsi" w:cstheme="minorBidi"/>
              <w:noProof/>
              <w:szCs w:val="22"/>
              <w:lang w:eastAsia="es-MX"/>
            </w:rPr>
          </w:pPr>
          <w:hyperlink w:anchor="_Toc178858423" w:history="1">
            <w:r w:rsidR="00757714" w:rsidRPr="00951C84">
              <w:rPr>
                <w:rStyle w:val="Hipervnculo"/>
                <w:rFonts w:eastAsiaTheme="majorEastAsia"/>
                <w:noProof/>
                <w:color w:val="auto"/>
              </w:rPr>
              <w:t>f) Manifestaciones de la Parte Recurrente.</w:t>
            </w:r>
            <w:r w:rsidR="00757714" w:rsidRPr="00951C84">
              <w:rPr>
                <w:noProof/>
                <w:webHidden/>
              </w:rPr>
              <w:tab/>
            </w:r>
            <w:r w:rsidR="00757714" w:rsidRPr="00951C84">
              <w:rPr>
                <w:noProof/>
                <w:webHidden/>
              </w:rPr>
              <w:fldChar w:fldCharType="begin"/>
            </w:r>
            <w:r w:rsidR="00757714" w:rsidRPr="00951C84">
              <w:rPr>
                <w:noProof/>
                <w:webHidden/>
              </w:rPr>
              <w:instrText xml:space="preserve"> PAGEREF _Toc178858423 \h </w:instrText>
            </w:r>
            <w:r w:rsidR="00757714" w:rsidRPr="00951C84">
              <w:rPr>
                <w:noProof/>
                <w:webHidden/>
              </w:rPr>
            </w:r>
            <w:r w:rsidR="00757714" w:rsidRPr="00951C84">
              <w:rPr>
                <w:noProof/>
                <w:webHidden/>
              </w:rPr>
              <w:fldChar w:fldCharType="separate"/>
            </w:r>
            <w:r w:rsidR="002F6A5B">
              <w:rPr>
                <w:noProof/>
                <w:webHidden/>
              </w:rPr>
              <w:t>9</w:t>
            </w:r>
            <w:r w:rsidR="00757714" w:rsidRPr="00951C84">
              <w:rPr>
                <w:noProof/>
                <w:webHidden/>
              </w:rPr>
              <w:fldChar w:fldCharType="end"/>
            </w:r>
          </w:hyperlink>
        </w:p>
        <w:p w14:paraId="4AD1D5FB" w14:textId="77777777" w:rsidR="00757714" w:rsidRPr="00951C84" w:rsidRDefault="008D1F8E" w:rsidP="00951C84">
          <w:pPr>
            <w:pStyle w:val="TDC3"/>
            <w:rPr>
              <w:rFonts w:asciiTheme="minorHAnsi" w:eastAsiaTheme="minorEastAsia" w:hAnsiTheme="minorHAnsi" w:cstheme="minorBidi"/>
              <w:noProof/>
              <w:szCs w:val="22"/>
              <w:lang w:eastAsia="es-MX"/>
            </w:rPr>
          </w:pPr>
          <w:hyperlink w:anchor="_Toc178858424" w:history="1">
            <w:r w:rsidR="00757714" w:rsidRPr="00951C84">
              <w:rPr>
                <w:rStyle w:val="Hipervnculo"/>
                <w:rFonts w:eastAsiaTheme="majorEastAsia"/>
                <w:noProof/>
                <w:color w:val="auto"/>
              </w:rPr>
              <w:t>g) Cierres de instrucción.</w:t>
            </w:r>
            <w:r w:rsidR="00757714" w:rsidRPr="00951C84">
              <w:rPr>
                <w:noProof/>
                <w:webHidden/>
              </w:rPr>
              <w:tab/>
            </w:r>
            <w:r w:rsidR="00757714" w:rsidRPr="00951C84">
              <w:rPr>
                <w:noProof/>
                <w:webHidden/>
              </w:rPr>
              <w:fldChar w:fldCharType="begin"/>
            </w:r>
            <w:r w:rsidR="00757714" w:rsidRPr="00951C84">
              <w:rPr>
                <w:noProof/>
                <w:webHidden/>
              </w:rPr>
              <w:instrText xml:space="preserve"> PAGEREF _Toc178858424 \h </w:instrText>
            </w:r>
            <w:r w:rsidR="00757714" w:rsidRPr="00951C84">
              <w:rPr>
                <w:noProof/>
                <w:webHidden/>
              </w:rPr>
            </w:r>
            <w:r w:rsidR="00757714" w:rsidRPr="00951C84">
              <w:rPr>
                <w:noProof/>
                <w:webHidden/>
              </w:rPr>
              <w:fldChar w:fldCharType="separate"/>
            </w:r>
            <w:r w:rsidR="002F6A5B">
              <w:rPr>
                <w:noProof/>
                <w:webHidden/>
              </w:rPr>
              <w:t>9</w:t>
            </w:r>
            <w:r w:rsidR="00757714" w:rsidRPr="00951C84">
              <w:rPr>
                <w:noProof/>
                <w:webHidden/>
              </w:rPr>
              <w:fldChar w:fldCharType="end"/>
            </w:r>
          </w:hyperlink>
        </w:p>
        <w:p w14:paraId="6F0ACBF5" w14:textId="77777777" w:rsidR="00757714" w:rsidRPr="00951C84" w:rsidRDefault="008D1F8E" w:rsidP="00951C84">
          <w:pPr>
            <w:pStyle w:val="TDC1"/>
            <w:tabs>
              <w:tab w:val="right" w:leader="dot" w:pos="9034"/>
            </w:tabs>
            <w:rPr>
              <w:rFonts w:asciiTheme="minorHAnsi" w:eastAsiaTheme="minorEastAsia" w:hAnsiTheme="minorHAnsi" w:cstheme="minorBidi"/>
              <w:noProof/>
              <w:szCs w:val="22"/>
              <w:lang w:eastAsia="es-MX"/>
            </w:rPr>
          </w:pPr>
          <w:hyperlink w:anchor="_Toc178858425" w:history="1">
            <w:r w:rsidR="00757714" w:rsidRPr="00951C84">
              <w:rPr>
                <w:rStyle w:val="Hipervnculo"/>
                <w:rFonts w:eastAsiaTheme="majorEastAsia"/>
                <w:noProof/>
                <w:color w:val="auto"/>
              </w:rPr>
              <w:t>CONSIDERANDOS</w:t>
            </w:r>
            <w:r w:rsidR="00757714" w:rsidRPr="00951C84">
              <w:rPr>
                <w:noProof/>
                <w:webHidden/>
              </w:rPr>
              <w:tab/>
            </w:r>
            <w:r w:rsidR="00757714" w:rsidRPr="00951C84">
              <w:rPr>
                <w:noProof/>
                <w:webHidden/>
              </w:rPr>
              <w:fldChar w:fldCharType="begin"/>
            </w:r>
            <w:r w:rsidR="00757714" w:rsidRPr="00951C84">
              <w:rPr>
                <w:noProof/>
                <w:webHidden/>
              </w:rPr>
              <w:instrText xml:space="preserve"> PAGEREF _Toc178858425 \h </w:instrText>
            </w:r>
            <w:r w:rsidR="00757714" w:rsidRPr="00951C84">
              <w:rPr>
                <w:noProof/>
                <w:webHidden/>
              </w:rPr>
            </w:r>
            <w:r w:rsidR="00757714" w:rsidRPr="00951C84">
              <w:rPr>
                <w:noProof/>
                <w:webHidden/>
              </w:rPr>
              <w:fldChar w:fldCharType="separate"/>
            </w:r>
            <w:r w:rsidR="002F6A5B">
              <w:rPr>
                <w:noProof/>
                <w:webHidden/>
              </w:rPr>
              <w:t>13</w:t>
            </w:r>
            <w:r w:rsidR="00757714" w:rsidRPr="00951C84">
              <w:rPr>
                <w:noProof/>
                <w:webHidden/>
              </w:rPr>
              <w:fldChar w:fldCharType="end"/>
            </w:r>
          </w:hyperlink>
        </w:p>
        <w:p w14:paraId="0C3F64AD" w14:textId="77777777" w:rsidR="00757714" w:rsidRPr="00951C84" w:rsidRDefault="008D1F8E" w:rsidP="00951C84">
          <w:pPr>
            <w:pStyle w:val="TDC2"/>
            <w:rPr>
              <w:rFonts w:asciiTheme="minorHAnsi" w:eastAsiaTheme="minorEastAsia" w:hAnsiTheme="minorHAnsi" w:cstheme="minorBidi"/>
              <w:noProof/>
              <w:szCs w:val="22"/>
              <w:lang w:eastAsia="es-MX"/>
            </w:rPr>
          </w:pPr>
          <w:hyperlink w:anchor="_Toc178858426" w:history="1">
            <w:r w:rsidR="00757714" w:rsidRPr="00951C84">
              <w:rPr>
                <w:rStyle w:val="Hipervnculo"/>
                <w:rFonts w:eastAsiaTheme="majorEastAsia"/>
                <w:noProof/>
                <w:color w:val="auto"/>
              </w:rPr>
              <w:t>PRIMERO. Procedibilidad</w:t>
            </w:r>
            <w:r w:rsidR="00757714" w:rsidRPr="00951C84">
              <w:rPr>
                <w:noProof/>
                <w:webHidden/>
              </w:rPr>
              <w:tab/>
            </w:r>
            <w:r w:rsidR="00757714" w:rsidRPr="00951C84">
              <w:rPr>
                <w:noProof/>
                <w:webHidden/>
              </w:rPr>
              <w:fldChar w:fldCharType="begin"/>
            </w:r>
            <w:r w:rsidR="00757714" w:rsidRPr="00951C84">
              <w:rPr>
                <w:noProof/>
                <w:webHidden/>
              </w:rPr>
              <w:instrText xml:space="preserve"> PAGEREF _Toc178858426 \h </w:instrText>
            </w:r>
            <w:r w:rsidR="00757714" w:rsidRPr="00951C84">
              <w:rPr>
                <w:noProof/>
                <w:webHidden/>
              </w:rPr>
            </w:r>
            <w:r w:rsidR="00757714" w:rsidRPr="00951C84">
              <w:rPr>
                <w:noProof/>
                <w:webHidden/>
              </w:rPr>
              <w:fldChar w:fldCharType="separate"/>
            </w:r>
            <w:r w:rsidR="002F6A5B">
              <w:rPr>
                <w:noProof/>
                <w:webHidden/>
              </w:rPr>
              <w:t>13</w:t>
            </w:r>
            <w:r w:rsidR="00757714" w:rsidRPr="00951C84">
              <w:rPr>
                <w:noProof/>
                <w:webHidden/>
              </w:rPr>
              <w:fldChar w:fldCharType="end"/>
            </w:r>
          </w:hyperlink>
        </w:p>
        <w:p w14:paraId="7705FF43" w14:textId="77777777" w:rsidR="00757714" w:rsidRPr="00951C84" w:rsidRDefault="008D1F8E" w:rsidP="00951C84">
          <w:pPr>
            <w:pStyle w:val="TDC3"/>
            <w:rPr>
              <w:rFonts w:asciiTheme="minorHAnsi" w:eastAsiaTheme="minorEastAsia" w:hAnsiTheme="minorHAnsi" w:cstheme="minorBidi"/>
              <w:noProof/>
              <w:szCs w:val="22"/>
              <w:lang w:eastAsia="es-MX"/>
            </w:rPr>
          </w:pPr>
          <w:hyperlink w:anchor="_Toc178858427" w:history="1">
            <w:r w:rsidR="00757714" w:rsidRPr="00951C84">
              <w:rPr>
                <w:rStyle w:val="Hipervnculo"/>
                <w:rFonts w:eastAsiaTheme="majorEastAsia"/>
                <w:noProof/>
                <w:color w:val="auto"/>
              </w:rPr>
              <w:t>a) Competencia del Instituto.</w:t>
            </w:r>
            <w:r w:rsidR="00757714" w:rsidRPr="00951C84">
              <w:rPr>
                <w:noProof/>
                <w:webHidden/>
              </w:rPr>
              <w:tab/>
            </w:r>
            <w:r w:rsidR="00757714" w:rsidRPr="00951C84">
              <w:rPr>
                <w:noProof/>
                <w:webHidden/>
              </w:rPr>
              <w:fldChar w:fldCharType="begin"/>
            </w:r>
            <w:r w:rsidR="00757714" w:rsidRPr="00951C84">
              <w:rPr>
                <w:noProof/>
                <w:webHidden/>
              </w:rPr>
              <w:instrText xml:space="preserve"> PAGEREF _Toc178858427 \h </w:instrText>
            </w:r>
            <w:r w:rsidR="00757714" w:rsidRPr="00951C84">
              <w:rPr>
                <w:noProof/>
                <w:webHidden/>
              </w:rPr>
            </w:r>
            <w:r w:rsidR="00757714" w:rsidRPr="00951C84">
              <w:rPr>
                <w:noProof/>
                <w:webHidden/>
              </w:rPr>
              <w:fldChar w:fldCharType="separate"/>
            </w:r>
            <w:r w:rsidR="002F6A5B">
              <w:rPr>
                <w:noProof/>
                <w:webHidden/>
              </w:rPr>
              <w:t>13</w:t>
            </w:r>
            <w:r w:rsidR="00757714" w:rsidRPr="00951C84">
              <w:rPr>
                <w:noProof/>
                <w:webHidden/>
              </w:rPr>
              <w:fldChar w:fldCharType="end"/>
            </w:r>
          </w:hyperlink>
        </w:p>
        <w:p w14:paraId="3C1E92F1" w14:textId="77777777" w:rsidR="00757714" w:rsidRPr="00951C84" w:rsidRDefault="008D1F8E" w:rsidP="00951C84">
          <w:pPr>
            <w:pStyle w:val="TDC3"/>
            <w:rPr>
              <w:rFonts w:asciiTheme="minorHAnsi" w:eastAsiaTheme="minorEastAsia" w:hAnsiTheme="minorHAnsi" w:cstheme="minorBidi"/>
              <w:noProof/>
              <w:szCs w:val="22"/>
              <w:lang w:eastAsia="es-MX"/>
            </w:rPr>
          </w:pPr>
          <w:hyperlink w:anchor="_Toc178858428" w:history="1">
            <w:r w:rsidR="00757714" w:rsidRPr="00951C84">
              <w:rPr>
                <w:rStyle w:val="Hipervnculo"/>
                <w:rFonts w:eastAsiaTheme="majorEastAsia"/>
                <w:noProof/>
                <w:color w:val="auto"/>
              </w:rPr>
              <w:t>b) Legitimidad de la parte recurrente.</w:t>
            </w:r>
            <w:r w:rsidR="00757714" w:rsidRPr="00951C84">
              <w:rPr>
                <w:noProof/>
                <w:webHidden/>
              </w:rPr>
              <w:tab/>
            </w:r>
            <w:r w:rsidR="00757714" w:rsidRPr="00951C84">
              <w:rPr>
                <w:noProof/>
                <w:webHidden/>
              </w:rPr>
              <w:fldChar w:fldCharType="begin"/>
            </w:r>
            <w:r w:rsidR="00757714" w:rsidRPr="00951C84">
              <w:rPr>
                <w:noProof/>
                <w:webHidden/>
              </w:rPr>
              <w:instrText xml:space="preserve"> PAGEREF _Toc178858428 \h </w:instrText>
            </w:r>
            <w:r w:rsidR="00757714" w:rsidRPr="00951C84">
              <w:rPr>
                <w:noProof/>
                <w:webHidden/>
              </w:rPr>
            </w:r>
            <w:r w:rsidR="00757714" w:rsidRPr="00951C84">
              <w:rPr>
                <w:noProof/>
                <w:webHidden/>
              </w:rPr>
              <w:fldChar w:fldCharType="separate"/>
            </w:r>
            <w:r w:rsidR="002F6A5B">
              <w:rPr>
                <w:noProof/>
                <w:webHidden/>
              </w:rPr>
              <w:t>13</w:t>
            </w:r>
            <w:r w:rsidR="00757714" w:rsidRPr="00951C84">
              <w:rPr>
                <w:noProof/>
                <w:webHidden/>
              </w:rPr>
              <w:fldChar w:fldCharType="end"/>
            </w:r>
          </w:hyperlink>
        </w:p>
        <w:p w14:paraId="7BF80D13" w14:textId="77777777" w:rsidR="00757714" w:rsidRPr="00951C84" w:rsidRDefault="008D1F8E" w:rsidP="00951C84">
          <w:pPr>
            <w:pStyle w:val="TDC3"/>
            <w:rPr>
              <w:rFonts w:asciiTheme="minorHAnsi" w:eastAsiaTheme="minorEastAsia" w:hAnsiTheme="minorHAnsi" w:cstheme="minorBidi"/>
              <w:noProof/>
              <w:szCs w:val="22"/>
              <w:lang w:eastAsia="es-MX"/>
            </w:rPr>
          </w:pPr>
          <w:hyperlink w:anchor="_Toc178858429" w:history="1">
            <w:r w:rsidR="00757714" w:rsidRPr="00951C84">
              <w:rPr>
                <w:rStyle w:val="Hipervnculo"/>
                <w:rFonts w:eastAsiaTheme="majorEastAsia"/>
                <w:noProof/>
                <w:color w:val="auto"/>
              </w:rPr>
              <w:t>c) Plazo para interponer el recurso</w:t>
            </w:r>
            <w:r w:rsidR="00757714" w:rsidRPr="00951C84">
              <w:rPr>
                <w:noProof/>
                <w:webHidden/>
              </w:rPr>
              <w:tab/>
            </w:r>
            <w:r w:rsidR="00757714" w:rsidRPr="00951C84">
              <w:rPr>
                <w:noProof/>
                <w:webHidden/>
              </w:rPr>
              <w:fldChar w:fldCharType="begin"/>
            </w:r>
            <w:r w:rsidR="00757714" w:rsidRPr="00951C84">
              <w:rPr>
                <w:noProof/>
                <w:webHidden/>
              </w:rPr>
              <w:instrText xml:space="preserve"> PAGEREF _Toc178858429 \h </w:instrText>
            </w:r>
            <w:r w:rsidR="00757714" w:rsidRPr="00951C84">
              <w:rPr>
                <w:noProof/>
                <w:webHidden/>
              </w:rPr>
            </w:r>
            <w:r w:rsidR="00757714" w:rsidRPr="00951C84">
              <w:rPr>
                <w:noProof/>
                <w:webHidden/>
              </w:rPr>
              <w:fldChar w:fldCharType="separate"/>
            </w:r>
            <w:r w:rsidR="002F6A5B">
              <w:rPr>
                <w:noProof/>
                <w:webHidden/>
              </w:rPr>
              <w:t>14</w:t>
            </w:r>
            <w:r w:rsidR="00757714" w:rsidRPr="00951C84">
              <w:rPr>
                <w:noProof/>
                <w:webHidden/>
              </w:rPr>
              <w:fldChar w:fldCharType="end"/>
            </w:r>
          </w:hyperlink>
        </w:p>
        <w:p w14:paraId="761A96D2" w14:textId="77777777" w:rsidR="00757714" w:rsidRPr="00951C84" w:rsidRDefault="008D1F8E" w:rsidP="00951C84">
          <w:pPr>
            <w:pStyle w:val="TDC3"/>
            <w:rPr>
              <w:rFonts w:asciiTheme="minorHAnsi" w:eastAsiaTheme="minorEastAsia" w:hAnsiTheme="minorHAnsi" w:cstheme="minorBidi"/>
              <w:noProof/>
              <w:szCs w:val="22"/>
              <w:lang w:eastAsia="es-MX"/>
            </w:rPr>
          </w:pPr>
          <w:hyperlink w:anchor="_Toc178858430" w:history="1">
            <w:r w:rsidR="00757714" w:rsidRPr="00951C84">
              <w:rPr>
                <w:rStyle w:val="Hipervnculo"/>
                <w:rFonts w:eastAsiaTheme="majorEastAsia"/>
                <w:noProof/>
                <w:color w:val="auto"/>
              </w:rPr>
              <w:t>d) Causal de procedencia</w:t>
            </w:r>
            <w:r w:rsidR="00757714" w:rsidRPr="00951C84">
              <w:rPr>
                <w:noProof/>
                <w:webHidden/>
              </w:rPr>
              <w:tab/>
            </w:r>
            <w:r w:rsidR="00757714" w:rsidRPr="00951C84">
              <w:rPr>
                <w:noProof/>
                <w:webHidden/>
              </w:rPr>
              <w:fldChar w:fldCharType="begin"/>
            </w:r>
            <w:r w:rsidR="00757714" w:rsidRPr="00951C84">
              <w:rPr>
                <w:noProof/>
                <w:webHidden/>
              </w:rPr>
              <w:instrText xml:space="preserve"> PAGEREF _Toc178858430 \h </w:instrText>
            </w:r>
            <w:r w:rsidR="00757714" w:rsidRPr="00951C84">
              <w:rPr>
                <w:noProof/>
                <w:webHidden/>
              </w:rPr>
            </w:r>
            <w:r w:rsidR="00757714" w:rsidRPr="00951C84">
              <w:rPr>
                <w:noProof/>
                <w:webHidden/>
              </w:rPr>
              <w:fldChar w:fldCharType="separate"/>
            </w:r>
            <w:r w:rsidR="002F6A5B">
              <w:rPr>
                <w:noProof/>
                <w:webHidden/>
              </w:rPr>
              <w:t>14</w:t>
            </w:r>
            <w:r w:rsidR="00757714" w:rsidRPr="00951C84">
              <w:rPr>
                <w:noProof/>
                <w:webHidden/>
              </w:rPr>
              <w:fldChar w:fldCharType="end"/>
            </w:r>
          </w:hyperlink>
        </w:p>
        <w:p w14:paraId="7518FF7B" w14:textId="77777777" w:rsidR="00757714" w:rsidRPr="00951C84" w:rsidRDefault="008D1F8E" w:rsidP="00951C84">
          <w:pPr>
            <w:pStyle w:val="TDC3"/>
            <w:rPr>
              <w:rFonts w:asciiTheme="minorHAnsi" w:eastAsiaTheme="minorEastAsia" w:hAnsiTheme="minorHAnsi" w:cstheme="minorBidi"/>
              <w:noProof/>
              <w:szCs w:val="22"/>
              <w:lang w:eastAsia="es-MX"/>
            </w:rPr>
          </w:pPr>
          <w:hyperlink w:anchor="_Toc178858431" w:history="1">
            <w:r w:rsidR="00757714" w:rsidRPr="00951C84">
              <w:rPr>
                <w:rStyle w:val="Hipervnculo"/>
                <w:rFonts w:eastAsiaTheme="majorEastAsia"/>
                <w:noProof/>
                <w:color w:val="auto"/>
              </w:rPr>
              <w:t>e) Requisitos formales para la interposición del recurso.</w:t>
            </w:r>
            <w:r w:rsidR="00757714" w:rsidRPr="00951C84">
              <w:rPr>
                <w:noProof/>
                <w:webHidden/>
              </w:rPr>
              <w:tab/>
            </w:r>
            <w:r w:rsidR="00757714" w:rsidRPr="00951C84">
              <w:rPr>
                <w:noProof/>
                <w:webHidden/>
              </w:rPr>
              <w:fldChar w:fldCharType="begin"/>
            </w:r>
            <w:r w:rsidR="00757714" w:rsidRPr="00951C84">
              <w:rPr>
                <w:noProof/>
                <w:webHidden/>
              </w:rPr>
              <w:instrText xml:space="preserve"> PAGEREF _Toc178858431 \h </w:instrText>
            </w:r>
            <w:r w:rsidR="00757714" w:rsidRPr="00951C84">
              <w:rPr>
                <w:noProof/>
                <w:webHidden/>
              </w:rPr>
            </w:r>
            <w:r w:rsidR="00757714" w:rsidRPr="00951C84">
              <w:rPr>
                <w:noProof/>
                <w:webHidden/>
              </w:rPr>
              <w:fldChar w:fldCharType="separate"/>
            </w:r>
            <w:r w:rsidR="002F6A5B">
              <w:rPr>
                <w:noProof/>
                <w:webHidden/>
              </w:rPr>
              <w:t>14</w:t>
            </w:r>
            <w:r w:rsidR="00757714" w:rsidRPr="00951C84">
              <w:rPr>
                <w:noProof/>
                <w:webHidden/>
              </w:rPr>
              <w:fldChar w:fldCharType="end"/>
            </w:r>
          </w:hyperlink>
        </w:p>
        <w:p w14:paraId="5B0E0200" w14:textId="77777777" w:rsidR="00757714" w:rsidRPr="00951C84" w:rsidRDefault="008D1F8E" w:rsidP="00951C84">
          <w:pPr>
            <w:pStyle w:val="TDC3"/>
            <w:rPr>
              <w:rFonts w:asciiTheme="minorHAnsi" w:eastAsiaTheme="minorEastAsia" w:hAnsiTheme="minorHAnsi" w:cstheme="minorBidi"/>
              <w:noProof/>
              <w:szCs w:val="22"/>
              <w:lang w:eastAsia="es-MX"/>
            </w:rPr>
          </w:pPr>
          <w:hyperlink w:anchor="_Toc178858432" w:history="1">
            <w:r w:rsidR="00757714" w:rsidRPr="00951C84">
              <w:rPr>
                <w:rStyle w:val="Hipervnculo"/>
                <w:rFonts w:eastAsiaTheme="majorEastAsia"/>
                <w:noProof/>
                <w:color w:val="auto"/>
              </w:rPr>
              <w:t>f) Acumulación de los Recursos de Revisión</w:t>
            </w:r>
            <w:r w:rsidR="00757714" w:rsidRPr="00951C84">
              <w:rPr>
                <w:noProof/>
                <w:webHidden/>
              </w:rPr>
              <w:tab/>
            </w:r>
            <w:r w:rsidR="00757714" w:rsidRPr="00951C84">
              <w:rPr>
                <w:noProof/>
                <w:webHidden/>
              </w:rPr>
              <w:fldChar w:fldCharType="begin"/>
            </w:r>
            <w:r w:rsidR="00757714" w:rsidRPr="00951C84">
              <w:rPr>
                <w:noProof/>
                <w:webHidden/>
              </w:rPr>
              <w:instrText xml:space="preserve"> PAGEREF _Toc178858432 \h </w:instrText>
            </w:r>
            <w:r w:rsidR="00757714" w:rsidRPr="00951C84">
              <w:rPr>
                <w:noProof/>
                <w:webHidden/>
              </w:rPr>
            </w:r>
            <w:r w:rsidR="00757714" w:rsidRPr="00951C84">
              <w:rPr>
                <w:noProof/>
                <w:webHidden/>
              </w:rPr>
              <w:fldChar w:fldCharType="separate"/>
            </w:r>
            <w:r w:rsidR="002F6A5B">
              <w:rPr>
                <w:noProof/>
                <w:webHidden/>
              </w:rPr>
              <w:t>15</w:t>
            </w:r>
            <w:r w:rsidR="00757714" w:rsidRPr="00951C84">
              <w:rPr>
                <w:noProof/>
                <w:webHidden/>
              </w:rPr>
              <w:fldChar w:fldCharType="end"/>
            </w:r>
          </w:hyperlink>
        </w:p>
        <w:p w14:paraId="436F9EA1" w14:textId="77777777" w:rsidR="00757714" w:rsidRPr="00951C84" w:rsidRDefault="008D1F8E" w:rsidP="00951C84">
          <w:pPr>
            <w:pStyle w:val="TDC2"/>
            <w:rPr>
              <w:rFonts w:asciiTheme="minorHAnsi" w:eastAsiaTheme="minorEastAsia" w:hAnsiTheme="minorHAnsi" w:cstheme="minorBidi"/>
              <w:noProof/>
              <w:szCs w:val="22"/>
              <w:lang w:eastAsia="es-MX"/>
            </w:rPr>
          </w:pPr>
          <w:hyperlink w:anchor="_Toc178858433" w:history="1">
            <w:r w:rsidR="00757714" w:rsidRPr="00951C84">
              <w:rPr>
                <w:rStyle w:val="Hipervnculo"/>
                <w:rFonts w:eastAsiaTheme="majorEastAsia"/>
                <w:noProof/>
                <w:color w:val="auto"/>
              </w:rPr>
              <w:t>SEGUNDO. Estudio de Fondo.</w:t>
            </w:r>
            <w:r w:rsidR="00757714" w:rsidRPr="00951C84">
              <w:rPr>
                <w:noProof/>
                <w:webHidden/>
              </w:rPr>
              <w:tab/>
            </w:r>
            <w:r w:rsidR="00757714" w:rsidRPr="00951C84">
              <w:rPr>
                <w:noProof/>
                <w:webHidden/>
              </w:rPr>
              <w:fldChar w:fldCharType="begin"/>
            </w:r>
            <w:r w:rsidR="00757714" w:rsidRPr="00951C84">
              <w:rPr>
                <w:noProof/>
                <w:webHidden/>
              </w:rPr>
              <w:instrText xml:space="preserve"> PAGEREF _Toc178858433 \h </w:instrText>
            </w:r>
            <w:r w:rsidR="00757714" w:rsidRPr="00951C84">
              <w:rPr>
                <w:noProof/>
                <w:webHidden/>
              </w:rPr>
            </w:r>
            <w:r w:rsidR="00757714" w:rsidRPr="00951C84">
              <w:rPr>
                <w:noProof/>
                <w:webHidden/>
              </w:rPr>
              <w:fldChar w:fldCharType="separate"/>
            </w:r>
            <w:r w:rsidR="002F6A5B">
              <w:rPr>
                <w:noProof/>
                <w:webHidden/>
              </w:rPr>
              <w:t>15</w:t>
            </w:r>
            <w:r w:rsidR="00757714" w:rsidRPr="00951C84">
              <w:rPr>
                <w:noProof/>
                <w:webHidden/>
              </w:rPr>
              <w:fldChar w:fldCharType="end"/>
            </w:r>
          </w:hyperlink>
        </w:p>
        <w:p w14:paraId="2C255E28" w14:textId="77777777" w:rsidR="00757714" w:rsidRPr="00951C84" w:rsidRDefault="008D1F8E" w:rsidP="00951C84">
          <w:pPr>
            <w:pStyle w:val="TDC3"/>
            <w:rPr>
              <w:rFonts w:asciiTheme="minorHAnsi" w:eastAsiaTheme="minorEastAsia" w:hAnsiTheme="minorHAnsi" w:cstheme="minorBidi"/>
              <w:noProof/>
              <w:szCs w:val="22"/>
              <w:lang w:eastAsia="es-MX"/>
            </w:rPr>
          </w:pPr>
          <w:hyperlink w:anchor="_Toc178858434" w:history="1">
            <w:r w:rsidR="00757714" w:rsidRPr="00951C84">
              <w:rPr>
                <w:rStyle w:val="Hipervnculo"/>
                <w:rFonts w:eastAsiaTheme="majorEastAsia"/>
                <w:noProof/>
                <w:color w:val="auto"/>
              </w:rPr>
              <w:t>a) Mandato de transparencia y responsabilidad del Sujeto Obligado</w:t>
            </w:r>
            <w:r w:rsidR="00757714" w:rsidRPr="00951C84">
              <w:rPr>
                <w:noProof/>
                <w:webHidden/>
              </w:rPr>
              <w:tab/>
            </w:r>
            <w:r w:rsidR="00757714" w:rsidRPr="00951C84">
              <w:rPr>
                <w:noProof/>
                <w:webHidden/>
              </w:rPr>
              <w:fldChar w:fldCharType="begin"/>
            </w:r>
            <w:r w:rsidR="00757714" w:rsidRPr="00951C84">
              <w:rPr>
                <w:noProof/>
                <w:webHidden/>
              </w:rPr>
              <w:instrText xml:space="preserve"> PAGEREF _Toc178858434 \h </w:instrText>
            </w:r>
            <w:r w:rsidR="00757714" w:rsidRPr="00951C84">
              <w:rPr>
                <w:noProof/>
                <w:webHidden/>
              </w:rPr>
            </w:r>
            <w:r w:rsidR="00757714" w:rsidRPr="00951C84">
              <w:rPr>
                <w:noProof/>
                <w:webHidden/>
              </w:rPr>
              <w:fldChar w:fldCharType="separate"/>
            </w:r>
            <w:r w:rsidR="002F6A5B">
              <w:rPr>
                <w:noProof/>
                <w:webHidden/>
              </w:rPr>
              <w:t>15</w:t>
            </w:r>
            <w:r w:rsidR="00757714" w:rsidRPr="00951C84">
              <w:rPr>
                <w:noProof/>
                <w:webHidden/>
              </w:rPr>
              <w:fldChar w:fldCharType="end"/>
            </w:r>
          </w:hyperlink>
        </w:p>
        <w:p w14:paraId="3099EBF0" w14:textId="77777777" w:rsidR="00757714" w:rsidRPr="00951C84" w:rsidRDefault="008D1F8E" w:rsidP="00951C84">
          <w:pPr>
            <w:pStyle w:val="TDC3"/>
            <w:rPr>
              <w:rFonts w:asciiTheme="minorHAnsi" w:eastAsiaTheme="minorEastAsia" w:hAnsiTheme="minorHAnsi" w:cstheme="minorBidi"/>
              <w:noProof/>
              <w:szCs w:val="22"/>
              <w:lang w:eastAsia="es-MX"/>
            </w:rPr>
          </w:pPr>
          <w:hyperlink w:anchor="_Toc178858435" w:history="1">
            <w:r w:rsidR="00757714" w:rsidRPr="00951C84">
              <w:rPr>
                <w:rStyle w:val="Hipervnculo"/>
                <w:rFonts w:eastAsiaTheme="majorEastAsia"/>
                <w:noProof/>
                <w:color w:val="auto"/>
              </w:rPr>
              <w:t>b) Controversia a resolver.</w:t>
            </w:r>
            <w:r w:rsidR="00757714" w:rsidRPr="00951C84">
              <w:rPr>
                <w:noProof/>
                <w:webHidden/>
              </w:rPr>
              <w:tab/>
            </w:r>
            <w:r w:rsidR="00757714" w:rsidRPr="00951C84">
              <w:rPr>
                <w:noProof/>
                <w:webHidden/>
              </w:rPr>
              <w:fldChar w:fldCharType="begin"/>
            </w:r>
            <w:r w:rsidR="00757714" w:rsidRPr="00951C84">
              <w:rPr>
                <w:noProof/>
                <w:webHidden/>
              </w:rPr>
              <w:instrText xml:space="preserve"> PAGEREF _Toc178858435 \h </w:instrText>
            </w:r>
            <w:r w:rsidR="00757714" w:rsidRPr="00951C84">
              <w:rPr>
                <w:noProof/>
                <w:webHidden/>
              </w:rPr>
            </w:r>
            <w:r w:rsidR="00757714" w:rsidRPr="00951C84">
              <w:rPr>
                <w:noProof/>
                <w:webHidden/>
              </w:rPr>
              <w:fldChar w:fldCharType="separate"/>
            </w:r>
            <w:r w:rsidR="002F6A5B">
              <w:rPr>
                <w:noProof/>
                <w:webHidden/>
              </w:rPr>
              <w:t>18</w:t>
            </w:r>
            <w:r w:rsidR="00757714" w:rsidRPr="00951C84">
              <w:rPr>
                <w:noProof/>
                <w:webHidden/>
              </w:rPr>
              <w:fldChar w:fldCharType="end"/>
            </w:r>
          </w:hyperlink>
        </w:p>
        <w:p w14:paraId="1BFD3400" w14:textId="77777777" w:rsidR="00757714" w:rsidRPr="00951C84" w:rsidRDefault="008D1F8E" w:rsidP="00951C84">
          <w:pPr>
            <w:pStyle w:val="TDC3"/>
            <w:rPr>
              <w:rFonts w:asciiTheme="minorHAnsi" w:eastAsiaTheme="minorEastAsia" w:hAnsiTheme="minorHAnsi" w:cstheme="minorBidi"/>
              <w:noProof/>
              <w:szCs w:val="22"/>
              <w:lang w:eastAsia="es-MX"/>
            </w:rPr>
          </w:pPr>
          <w:hyperlink w:anchor="_Toc178858436" w:history="1">
            <w:r w:rsidR="00757714" w:rsidRPr="00951C84">
              <w:rPr>
                <w:rStyle w:val="Hipervnculo"/>
                <w:rFonts w:eastAsiaTheme="majorEastAsia"/>
                <w:noProof/>
                <w:color w:val="auto"/>
              </w:rPr>
              <w:t>c) Estudio de la controversia.</w:t>
            </w:r>
            <w:r w:rsidR="00757714" w:rsidRPr="00951C84">
              <w:rPr>
                <w:noProof/>
                <w:webHidden/>
              </w:rPr>
              <w:tab/>
            </w:r>
            <w:r w:rsidR="00757714" w:rsidRPr="00951C84">
              <w:rPr>
                <w:noProof/>
                <w:webHidden/>
              </w:rPr>
              <w:fldChar w:fldCharType="begin"/>
            </w:r>
            <w:r w:rsidR="00757714" w:rsidRPr="00951C84">
              <w:rPr>
                <w:noProof/>
                <w:webHidden/>
              </w:rPr>
              <w:instrText xml:space="preserve"> PAGEREF _Toc178858436 \h </w:instrText>
            </w:r>
            <w:r w:rsidR="00757714" w:rsidRPr="00951C84">
              <w:rPr>
                <w:noProof/>
                <w:webHidden/>
              </w:rPr>
            </w:r>
            <w:r w:rsidR="00757714" w:rsidRPr="00951C84">
              <w:rPr>
                <w:noProof/>
                <w:webHidden/>
              </w:rPr>
              <w:fldChar w:fldCharType="separate"/>
            </w:r>
            <w:r w:rsidR="002F6A5B">
              <w:rPr>
                <w:noProof/>
                <w:webHidden/>
              </w:rPr>
              <w:t>19</w:t>
            </w:r>
            <w:r w:rsidR="00757714" w:rsidRPr="00951C84">
              <w:rPr>
                <w:noProof/>
                <w:webHidden/>
              </w:rPr>
              <w:fldChar w:fldCharType="end"/>
            </w:r>
          </w:hyperlink>
        </w:p>
        <w:p w14:paraId="5BC0A75C" w14:textId="77777777" w:rsidR="00757714" w:rsidRPr="00951C84" w:rsidRDefault="008D1F8E" w:rsidP="00951C84">
          <w:pPr>
            <w:pStyle w:val="TDC3"/>
            <w:rPr>
              <w:rFonts w:asciiTheme="minorHAnsi" w:eastAsiaTheme="minorEastAsia" w:hAnsiTheme="minorHAnsi" w:cstheme="minorBidi"/>
              <w:noProof/>
              <w:szCs w:val="22"/>
              <w:lang w:eastAsia="es-MX"/>
            </w:rPr>
          </w:pPr>
          <w:hyperlink w:anchor="_Toc178858437" w:history="1">
            <w:r w:rsidR="00757714" w:rsidRPr="00951C84">
              <w:rPr>
                <w:rStyle w:val="Hipervnculo"/>
                <w:rFonts w:eastAsiaTheme="majorEastAsia"/>
                <w:noProof/>
                <w:color w:val="auto"/>
              </w:rPr>
              <w:t>d) Versión pública</w:t>
            </w:r>
            <w:r w:rsidR="00757714" w:rsidRPr="00951C84">
              <w:rPr>
                <w:noProof/>
                <w:webHidden/>
              </w:rPr>
              <w:tab/>
            </w:r>
            <w:r w:rsidR="00757714" w:rsidRPr="00951C84">
              <w:rPr>
                <w:noProof/>
                <w:webHidden/>
              </w:rPr>
              <w:fldChar w:fldCharType="begin"/>
            </w:r>
            <w:r w:rsidR="00757714" w:rsidRPr="00951C84">
              <w:rPr>
                <w:noProof/>
                <w:webHidden/>
              </w:rPr>
              <w:instrText xml:space="preserve"> PAGEREF _Toc178858437 \h </w:instrText>
            </w:r>
            <w:r w:rsidR="00757714" w:rsidRPr="00951C84">
              <w:rPr>
                <w:noProof/>
                <w:webHidden/>
              </w:rPr>
            </w:r>
            <w:r w:rsidR="00757714" w:rsidRPr="00951C84">
              <w:rPr>
                <w:noProof/>
                <w:webHidden/>
              </w:rPr>
              <w:fldChar w:fldCharType="separate"/>
            </w:r>
            <w:r w:rsidR="002F6A5B">
              <w:rPr>
                <w:noProof/>
                <w:webHidden/>
              </w:rPr>
              <w:t>35</w:t>
            </w:r>
            <w:r w:rsidR="00757714" w:rsidRPr="00951C84">
              <w:rPr>
                <w:noProof/>
                <w:webHidden/>
              </w:rPr>
              <w:fldChar w:fldCharType="end"/>
            </w:r>
          </w:hyperlink>
        </w:p>
        <w:p w14:paraId="08E15994" w14:textId="77777777" w:rsidR="00757714" w:rsidRPr="00951C84" w:rsidRDefault="008D1F8E" w:rsidP="00951C84">
          <w:pPr>
            <w:pStyle w:val="TDC3"/>
            <w:rPr>
              <w:rFonts w:asciiTheme="minorHAnsi" w:eastAsiaTheme="minorEastAsia" w:hAnsiTheme="minorHAnsi" w:cstheme="minorBidi"/>
              <w:noProof/>
              <w:szCs w:val="22"/>
              <w:lang w:eastAsia="es-MX"/>
            </w:rPr>
          </w:pPr>
          <w:hyperlink w:anchor="_Toc178858438" w:history="1">
            <w:r w:rsidR="00757714" w:rsidRPr="00951C84">
              <w:rPr>
                <w:rStyle w:val="Hipervnculo"/>
                <w:rFonts w:eastAsia="Calibri"/>
                <w:noProof/>
                <w:color w:val="auto"/>
              </w:rPr>
              <w:t xml:space="preserve">e) </w:t>
            </w:r>
            <w:r w:rsidR="00757714" w:rsidRPr="00951C84">
              <w:rPr>
                <w:rStyle w:val="Hipervnculo"/>
                <w:rFonts w:eastAsiaTheme="majorEastAsia"/>
                <w:noProof/>
                <w:color w:val="auto"/>
              </w:rPr>
              <w:t>Conclusión.</w:t>
            </w:r>
            <w:r w:rsidR="00757714" w:rsidRPr="00951C84">
              <w:rPr>
                <w:noProof/>
                <w:webHidden/>
              </w:rPr>
              <w:tab/>
            </w:r>
            <w:r w:rsidR="00757714" w:rsidRPr="00951C84">
              <w:rPr>
                <w:noProof/>
                <w:webHidden/>
              </w:rPr>
              <w:fldChar w:fldCharType="begin"/>
            </w:r>
            <w:r w:rsidR="00757714" w:rsidRPr="00951C84">
              <w:rPr>
                <w:noProof/>
                <w:webHidden/>
              </w:rPr>
              <w:instrText xml:space="preserve"> PAGEREF _Toc178858438 \h </w:instrText>
            </w:r>
            <w:r w:rsidR="00757714" w:rsidRPr="00951C84">
              <w:rPr>
                <w:noProof/>
                <w:webHidden/>
              </w:rPr>
            </w:r>
            <w:r w:rsidR="00757714" w:rsidRPr="00951C84">
              <w:rPr>
                <w:noProof/>
                <w:webHidden/>
              </w:rPr>
              <w:fldChar w:fldCharType="separate"/>
            </w:r>
            <w:r w:rsidR="002F6A5B">
              <w:rPr>
                <w:noProof/>
                <w:webHidden/>
              </w:rPr>
              <w:t>41</w:t>
            </w:r>
            <w:r w:rsidR="00757714" w:rsidRPr="00951C84">
              <w:rPr>
                <w:noProof/>
                <w:webHidden/>
              </w:rPr>
              <w:fldChar w:fldCharType="end"/>
            </w:r>
          </w:hyperlink>
        </w:p>
        <w:p w14:paraId="48363E7C" w14:textId="77777777" w:rsidR="00757714" w:rsidRPr="00951C84" w:rsidRDefault="008D1F8E" w:rsidP="00951C84">
          <w:pPr>
            <w:pStyle w:val="TDC1"/>
            <w:tabs>
              <w:tab w:val="right" w:leader="dot" w:pos="9034"/>
            </w:tabs>
            <w:rPr>
              <w:rFonts w:asciiTheme="minorHAnsi" w:eastAsiaTheme="minorEastAsia" w:hAnsiTheme="minorHAnsi" w:cstheme="minorBidi"/>
              <w:noProof/>
              <w:szCs w:val="22"/>
              <w:lang w:eastAsia="es-MX"/>
            </w:rPr>
          </w:pPr>
          <w:hyperlink w:anchor="_Toc178858439" w:history="1">
            <w:r w:rsidR="00757714" w:rsidRPr="00951C84">
              <w:rPr>
                <w:rStyle w:val="Hipervnculo"/>
                <w:rFonts w:eastAsiaTheme="majorEastAsia"/>
                <w:noProof/>
                <w:color w:val="auto"/>
              </w:rPr>
              <w:t>RESUELVE</w:t>
            </w:r>
            <w:r w:rsidR="00757714" w:rsidRPr="00951C84">
              <w:rPr>
                <w:noProof/>
                <w:webHidden/>
              </w:rPr>
              <w:tab/>
            </w:r>
            <w:r w:rsidR="00757714" w:rsidRPr="00951C84">
              <w:rPr>
                <w:noProof/>
                <w:webHidden/>
              </w:rPr>
              <w:fldChar w:fldCharType="begin"/>
            </w:r>
            <w:r w:rsidR="00757714" w:rsidRPr="00951C84">
              <w:rPr>
                <w:noProof/>
                <w:webHidden/>
              </w:rPr>
              <w:instrText xml:space="preserve"> PAGEREF _Toc178858439 \h </w:instrText>
            </w:r>
            <w:r w:rsidR="00757714" w:rsidRPr="00951C84">
              <w:rPr>
                <w:noProof/>
                <w:webHidden/>
              </w:rPr>
            </w:r>
            <w:r w:rsidR="00757714" w:rsidRPr="00951C84">
              <w:rPr>
                <w:noProof/>
                <w:webHidden/>
              </w:rPr>
              <w:fldChar w:fldCharType="separate"/>
            </w:r>
            <w:r w:rsidR="002F6A5B">
              <w:rPr>
                <w:noProof/>
                <w:webHidden/>
              </w:rPr>
              <w:t>42</w:t>
            </w:r>
            <w:r w:rsidR="00757714" w:rsidRPr="00951C84">
              <w:rPr>
                <w:noProof/>
                <w:webHidden/>
              </w:rPr>
              <w:fldChar w:fldCharType="end"/>
            </w:r>
          </w:hyperlink>
        </w:p>
        <w:p w14:paraId="12D18C8C" w14:textId="616A03A0" w:rsidR="00DD1F38" w:rsidRPr="00951C84" w:rsidRDefault="00DD1F38" w:rsidP="00951C84">
          <w:r w:rsidRPr="00951C84">
            <w:rPr>
              <w:b/>
              <w:bCs/>
              <w:lang w:val="es-ES"/>
            </w:rPr>
            <w:fldChar w:fldCharType="end"/>
          </w:r>
        </w:p>
      </w:sdtContent>
    </w:sdt>
    <w:p w14:paraId="266E5FEE" w14:textId="1291CD27" w:rsidR="00F660AE" w:rsidRPr="00951C84" w:rsidRDefault="00F660AE" w:rsidP="00951C84">
      <w:pPr>
        <w:spacing w:line="240" w:lineRule="auto"/>
        <w:rPr>
          <w:b/>
        </w:rPr>
      </w:pPr>
    </w:p>
    <w:p w14:paraId="7362E2E2" w14:textId="77777777" w:rsidR="00F660AE" w:rsidRPr="00951C84" w:rsidRDefault="00F660AE" w:rsidP="00951C84">
      <w:pPr>
        <w:sectPr w:rsidR="00F660AE" w:rsidRPr="00951C84">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33A6E57F" w14:textId="5747F8F7" w:rsidR="00F660AE" w:rsidRPr="00951C84" w:rsidRDefault="00054F72" w:rsidP="00951C84">
      <w:pPr>
        <w:rPr>
          <w:b/>
          <w:bCs/>
        </w:rPr>
      </w:pPr>
      <w:r w:rsidRPr="00951C84">
        <w:lastRenderedPageBreak/>
        <w:t xml:space="preserve">Resolución del Pleno del Instituto de Transparencia, Acceso a la Información Pública y Protección de Datos Personales del Estado de México y Municipios, con domicilio en Metepec, Estado de México, </w:t>
      </w:r>
      <w:r w:rsidR="005E48F5" w:rsidRPr="00951C84">
        <w:rPr>
          <w:b/>
          <w:bCs/>
        </w:rPr>
        <w:t>el</w:t>
      </w:r>
      <w:r w:rsidRPr="00951C84">
        <w:rPr>
          <w:b/>
          <w:bCs/>
        </w:rPr>
        <w:t xml:space="preserve"> </w:t>
      </w:r>
      <w:r w:rsidR="00B5598D" w:rsidRPr="00951C84">
        <w:rPr>
          <w:b/>
          <w:bCs/>
        </w:rPr>
        <w:t>nueve</w:t>
      </w:r>
      <w:r w:rsidR="005E3AB5" w:rsidRPr="00951C84">
        <w:rPr>
          <w:b/>
          <w:bCs/>
        </w:rPr>
        <w:t xml:space="preserve"> de octubre</w:t>
      </w:r>
      <w:r w:rsidRPr="00951C84">
        <w:rPr>
          <w:b/>
          <w:bCs/>
        </w:rPr>
        <w:t xml:space="preserve"> de dos mil veinticuatro.</w:t>
      </w:r>
    </w:p>
    <w:p w14:paraId="24BF1A78" w14:textId="77777777" w:rsidR="00F660AE" w:rsidRPr="00951C84" w:rsidRDefault="00F660AE" w:rsidP="00951C84"/>
    <w:p w14:paraId="5267458F" w14:textId="2248A60D" w:rsidR="00F660AE" w:rsidRPr="00D250EF" w:rsidRDefault="00054F72" w:rsidP="00951C84">
      <w:pPr>
        <w:rPr>
          <w:b/>
        </w:rPr>
      </w:pPr>
      <w:r w:rsidRPr="00951C84">
        <w:rPr>
          <w:b/>
        </w:rPr>
        <w:t>VISTOS</w:t>
      </w:r>
      <w:r w:rsidRPr="00951C84">
        <w:t xml:space="preserve"> los expedientes formados con motivo de los Recursos Revisión </w:t>
      </w:r>
      <w:r w:rsidR="005E3AB5" w:rsidRPr="00951C84">
        <w:rPr>
          <w:b/>
        </w:rPr>
        <w:t>01587</w:t>
      </w:r>
      <w:r w:rsidR="00B47845" w:rsidRPr="00951C84">
        <w:rPr>
          <w:b/>
        </w:rPr>
        <w:t>/INFOEM/IP/RR/2024</w:t>
      </w:r>
      <w:r w:rsidR="001F4EE6" w:rsidRPr="00951C84">
        <w:rPr>
          <w:b/>
        </w:rPr>
        <w:t xml:space="preserve"> </w:t>
      </w:r>
      <w:r w:rsidR="001F4EE6" w:rsidRPr="00951C84">
        <w:rPr>
          <w:bCs/>
        </w:rPr>
        <w:t>y</w:t>
      </w:r>
      <w:r w:rsidRPr="00951C84">
        <w:rPr>
          <w:b/>
        </w:rPr>
        <w:t xml:space="preserve"> </w:t>
      </w:r>
      <w:r w:rsidR="005E3AB5" w:rsidRPr="00951C84">
        <w:rPr>
          <w:b/>
        </w:rPr>
        <w:t>01595</w:t>
      </w:r>
      <w:r w:rsidR="00B47845" w:rsidRPr="00951C84">
        <w:rPr>
          <w:b/>
        </w:rPr>
        <w:t>/INFOEM/IP/RR/2024</w:t>
      </w:r>
      <w:r w:rsidRPr="00951C84">
        <w:rPr>
          <w:b/>
        </w:rPr>
        <w:t xml:space="preserve">, </w:t>
      </w:r>
      <w:r w:rsidRPr="00951C84">
        <w:t>promovidos por</w:t>
      </w:r>
      <w:r w:rsidR="005E3AB5" w:rsidRPr="00951C84">
        <w:t xml:space="preserve"> </w:t>
      </w:r>
      <w:r w:rsidR="008D1F8E">
        <w:rPr>
          <w:b/>
        </w:rPr>
        <w:t>XXXXXX XXX XXXXXXXXXX</w:t>
      </w:r>
      <w:bookmarkStart w:id="2" w:name="_GoBack"/>
      <w:bookmarkEnd w:id="2"/>
      <w:r w:rsidRPr="00951C84">
        <w:t>,</w:t>
      </w:r>
      <w:r w:rsidRPr="00951C84">
        <w:rPr>
          <w:b/>
        </w:rPr>
        <w:t xml:space="preserve"> </w:t>
      </w:r>
      <w:r w:rsidRPr="00951C84">
        <w:t>a quien</w:t>
      </w:r>
      <w:r w:rsidRPr="00951C84">
        <w:rPr>
          <w:b/>
        </w:rPr>
        <w:t xml:space="preserve"> </w:t>
      </w:r>
      <w:r w:rsidRPr="00951C84">
        <w:t xml:space="preserve">en lo subsecuente se le denominará </w:t>
      </w:r>
      <w:r w:rsidRPr="00951C84">
        <w:rPr>
          <w:b/>
        </w:rPr>
        <w:t>LA PARTE RECURRENTE</w:t>
      </w:r>
      <w:r w:rsidRPr="00951C84">
        <w:t xml:space="preserve">, en contra </w:t>
      </w:r>
      <w:r w:rsidR="00D84C24" w:rsidRPr="00951C84">
        <w:t>de</w:t>
      </w:r>
      <w:r w:rsidR="00B47845" w:rsidRPr="00951C84">
        <w:t xml:space="preserve"> las</w:t>
      </w:r>
      <w:r w:rsidR="00D84C24" w:rsidRPr="00951C84">
        <w:t xml:space="preserve"> </w:t>
      </w:r>
      <w:r w:rsidRPr="00951C84">
        <w:t>respuestas de</w:t>
      </w:r>
      <w:r w:rsidR="00D84C24" w:rsidRPr="00951C84">
        <w:t xml:space="preserve">l </w:t>
      </w:r>
      <w:r w:rsidR="002047E4" w:rsidRPr="00951C84">
        <w:rPr>
          <w:b/>
        </w:rPr>
        <w:t>Ayuntamiento de Tlalnepantla de Baz</w:t>
      </w:r>
      <w:r w:rsidRPr="00951C84">
        <w:rPr>
          <w:b/>
        </w:rPr>
        <w:t xml:space="preserve">, </w:t>
      </w:r>
      <w:r w:rsidRPr="00951C84">
        <w:t xml:space="preserve">que en lo sucesivo se denominará </w:t>
      </w:r>
      <w:r w:rsidRPr="00951C84">
        <w:rPr>
          <w:b/>
        </w:rPr>
        <w:t>EL SUJETO OBLIGADO</w:t>
      </w:r>
      <w:r w:rsidRPr="00951C84">
        <w:t>, se emite la presente Resolución con base en los Antecedentes y Considerandos que se exponen a continuación:</w:t>
      </w:r>
    </w:p>
    <w:p w14:paraId="5EE4623A" w14:textId="77777777" w:rsidR="00F660AE" w:rsidRPr="00951C84" w:rsidRDefault="00F660AE" w:rsidP="00951C84"/>
    <w:p w14:paraId="7A993EC2" w14:textId="77777777" w:rsidR="00F660AE" w:rsidRPr="00951C84" w:rsidRDefault="00054F72" w:rsidP="00951C84">
      <w:pPr>
        <w:pStyle w:val="Ttulo1"/>
      </w:pPr>
      <w:bookmarkStart w:id="3" w:name="_Toc178858413"/>
      <w:r w:rsidRPr="00951C84">
        <w:t>ANTECEDENTES</w:t>
      </w:r>
      <w:bookmarkEnd w:id="3"/>
    </w:p>
    <w:p w14:paraId="640983B2" w14:textId="77777777" w:rsidR="00F660AE" w:rsidRPr="00951C84" w:rsidRDefault="00F660AE" w:rsidP="00951C84"/>
    <w:p w14:paraId="5C0E412B" w14:textId="77777777" w:rsidR="00F660AE" w:rsidRPr="00951C84" w:rsidRDefault="00054F72" w:rsidP="00951C84">
      <w:pPr>
        <w:pStyle w:val="Ttulo2"/>
      </w:pPr>
      <w:bookmarkStart w:id="4" w:name="_Toc178858414"/>
      <w:r w:rsidRPr="00951C84">
        <w:t>DE LAS SOLICITUDES DE INFORMACIÓN</w:t>
      </w:r>
      <w:bookmarkEnd w:id="4"/>
    </w:p>
    <w:p w14:paraId="29E6F1FA" w14:textId="77777777" w:rsidR="00F660AE" w:rsidRPr="00951C84" w:rsidRDefault="00F660AE" w:rsidP="00951C84"/>
    <w:p w14:paraId="1BDDD81E" w14:textId="77777777" w:rsidR="00F660AE" w:rsidRPr="00951C84" w:rsidRDefault="00054F72" w:rsidP="00951C84">
      <w:pPr>
        <w:pStyle w:val="Ttulo3"/>
      </w:pPr>
      <w:bookmarkStart w:id="5" w:name="_Toc178858415"/>
      <w:r w:rsidRPr="00951C84">
        <w:t>a) Solicitudes de información.</w:t>
      </w:r>
      <w:bookmarkEnd w:id="5"/>
    </w:p>
    <w:p w14:paraId="28B8B7A3" w14:textId="7917D8C6" w:rsidR="00F660AE" w:rsidRPr="00951C84" w:rsidRDefault="00054F72" w:rsidP="00951C84">
      <w:pPr>
        <w:pBdr>
          <w:top w:val="nil"/>
          <w:left w:val="nil"/>
          <w:bottom w:val="nil"/>
          <w:right w:val="nil"/>
          <w:between w:val="nil"/>
        </w:pBdr>
        <w:tabs>
          <w:tab w:val="left" w:pos="0"/>
        </w:tabs>
        <w:rPr>
          <w:rFonts w:eastAsia="Palatino Linotype" w:cs="Palatino Linotype"/>
          <w:szCs w:val="22"/>
        </w:rPr>
      </w:pPr>
      <w:r w:rsidRPr="00951C84">
        <w:rPr>
          <w:rFonts w:eastAsia="Palatino Linotype" w:cs="Palatino Linotype"/>
          <w:szCs w:val="22"/>
        </w:rPr>
        <w:t xml:space="preserve">El </w:t>
      </w:r>
      <w:r w:rsidR="005E3AB5" w:rsidRPr="00951C84">
        <w:rPr>
          <w:rFonts w:eastAsia="Palatino Linotype" w:cs="Palatino Linotype"/>
          <w:b/>
          <w:szCs w:val="22"/>
        </w:rPr>
        <w:t>cuatro de marzo</w:t>
      </w:r>
      <w:r w:rsidRPr="00951C84">
        <w:rPr>
          <w:rFonts w:eastAsia="Palatino Linotype" w:cs="Palatino Linotype"/>
          <w:b/>
          <w:szCs w:val="22"/>
        </w:rPr>
        <w:t xml:space="preserve"> de dos mil v</w:t>
      </w:r>
      <w:r w:rsidR="00D84C24" w:rsidRPr="00951C84">
        <w:rPr>
          <w:rFonts w:eastAsia="Palatino Linotype" w:cs="Palatino Linotype"/>
          <w:b/>
          <w:szCs w:val="22"/>
        </w:rPr>
        <w:t>einticuatro</w:t>
      </w:r>
      <w:r w:rsidR="006D5CF6" w:rsidRPr="00951C84">
        <w:rPr>
          <w:rFonts w:eastAsia="Palatino Linotype" w:cs="Palatino Linotype"/>
          <w:b/>
          <w:szCs w:val="22"/>
        </w:rPr>
        <w:t>,</w:t>
      </w:r>
      <w:r w:rsidRPr="00951C84">
        <w:rPr>
          <w:rFonts w:eastAsia="Palatino Linotype" w:cs="Palatino Linotype"/>
          <w:szCs w:val="22"/>
        </w:rPr>
        <w:t xml:space="preserve"> </w:t>
      </w:r>
      <w:r w:rsidRPr="00951C84">
        <w:rPr>
          <w:rFonts w:eastAsia="Palatino Linotype" w:cs="Palatino Linotype"/>
          <w:b/>
          <w:szCs w:val="22"/>
        </w:rPr>
        <w:t>LA PARTE RECURRENTE</w:t>
      </w:r>
      <w:r w:rsidRPr="00951C84">
        <w:rPr>
          <w:rFonts w:eastAsia="Palatino Linotype" w:cs="Palatino Linotype"/>
          <w:szCs w:val="22"/>
        </w:rPr>
        <w:t xml:space="preserve"> presentó </w:t>
      </w:r>
      <w:r w:rsidR="00D84C24" w:rsidRPr="00951C84">
        <w:rPr>
          <w:rFonts w:eastAsia="Palatino Linotype" w:cs="Palatino Linotype"/>
          <w:szCs w:val="22"/>
        </w:rPr>
        <w:t>las</w:t>
      </w:r>
      <w:r w:rsidRPr="00951C84">
        <w:rPr>
          <w:rFonts w:eastAsia="Palatino Linotype" w:cs="Palatino Linotype"/>
          <w:szCs w:val="22"/>
        </w:rPr>
        <w:t xml:space="preserve"> solicitudes de acceso a la información pública ante el </w:t>
      </w:r>
      <w:r w:rsidRPr="00951C84">
        <w:rPr>
          <w:rFonts w:eastAsia="Palatino Linotype" w:cs="Palatino Linotype"/>
          <w:b/>
          <w:szCs w:val="22"/>
        </w:rPr>
        <w:t>SUJETO OBLIGADO</w:t>
      </w:r>
      <w:r w:rsidRPr="00951C84">
        <w:rPr>
          <w:rFonts w:eastAsia="Palatino Linotype" w:cs="Palatino Linotype"/>
          <w:szCs w:val="22"/>
        </w:rPr>
        <w:t>, a través del Sistema de Acceso a la Información Mexiquense (SAIMEX). Dichas solicitudes quedaron registradas con los números de folio</w:t>
      </w:r>
      <w:r w:rsidRPr="00951C84">
        <w:rPr>
          <w:rFonts w:eastAsia="Palatino Linotype" w:cs="Palatino Linotype"/>
          <w:b/>
          <w:szCs w:val="22"/>
        </w:rPr>
        <w:t xml:space="preserve"> </w:t>
      </w:r>
      <w:r w:rsidR="00B47845" w:rsidRPr="00951C84">
        <w:rPr>
          <w:rFonts w:eastAsia="Palatino Linotype" w:cs="Palatino Linotype"/>
          <w:b/>
          <w:szCs w:val="22"/>
        </w:rPr>
        <w:t xml:space="preserve"> </w:t>
      </w:r>
      <w:r w:rsidR="005E3AB5" w:rsidRPr="00951C84">
        <w:rPr>
          <w:rFonts w:eastAsia="Palatino Linotype" w:cs="Palatino Linotype"/>
          <w:b/>
          <w:szCs w:val="22"/>
        </w:rPr>
        <w:t xml:space="preserve"> 00213/TLALNEPA/IP/2024</w:t>
      </w:r>
      <w:r w:rsidR="004877D9" w:rsidRPr="00951C84">
        <w:rPr>
          <w:rFonts w:eastAsia="Palatino Linotype" w:cs="Palatino Linotype"/>
          <w:b/>
          <w:szCs w:val="22"/>
        </w:rPr>
        <w:t xml:space="preserve"> </w:t>
      </w:r>
      <w:r w:rsidRPr="00951C84">
        <w:rPr>
          <w:rFonts w:eastAsia="Palatino Linotype" w:cs="Palatino Linotype"/>
          <w:bCs/>
          <w:szCs w:val="22"/>
        </w:rPr>
        <w:t xml:space="preserve">y </w:t>
      </w:r>
      <w:r w:rsidR="0014506D" w:rsidRPr="00951C84">
        <w:rPr>
          <w:rFonts w:eastAsia="Palatino Linotype" w:cs="Palatino Linotype"/>
          <w:b/>
          <w:bCs/>
          <w:szCs w:val="22"/>
        </w:rPr>
        <w:t>00216/TLALNEPA/IP/2024</w:t>
      </w:r>
      <w:r w:rsidRPr="00951C84">
        <w:rPr>
          <w:rFonts w:eastAsia="Palatino Linotype" w:cs="Palatino Linotype"/>
          <w:b/>
          <w:szCs w:val="22"/>
        </w:rPr>
        <w:t xml:space="preserve">, </w:t>
      </w:r>
      <w:r w:rsidRPr="00951C84">
        <w:rPr>
          <w:rFonts w:eastAsia="Palatino Linotype" w:cs="Palatino Linotype"/>
          <w:szCs w:val="22"/>
        </w:rPr>
        <w:t>y en ellas se requirió la siguiente información:</w:t>
      </w:r>
    </w:p>
    <w:p w14:paraId="60EA68E5" w14:textId="77777777" w:rsidR="00F660AE" w:rsidRPr="00951C84" w:rsidRDefault="00F660AE" w:rsidP="00951C84">
      <w:pPr>
        <w:widowControl w:val="0"/>
        <w:rPr>
          <w:b/>
        </w:rPr>
      </w:pPr>
    </w:p>
    <w:p w14:paraId="738AFDE5" w14:textId="77777777" w:rsidR="00951C84" w:rsidRPr="00951C84" w:rsidRDefault="00951C84" w:rsidP="00951C84">
      <w:pPr>
        <w:widowControl w:val="0"/>
        <w:rPr>
          <w:b/>
        </w:rPr>
      </w:pPr>
    </w:p>
    <w:tbl>
      <w:tblPr>
        <w:tblStyle w:val="a"/>
        <w:tblW w:w="91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6"/>
        <w:gridCol w:w="6555"/>
      </w:tblGrid>
      <w:tr w:rsidR="00951C84" w:rsidRPr="00951C84" w14:paraId="69647251" w14:textId="77777777" w:rsidTr="00EA09DB">
        <w:trPr>
          <w:trHeight w:val="225"/>
        </w:trPr>
        <w:tc>
          <w:tcPr>
            <w:tcW w:w="2556" w:type="dxa"/>
            <w:shd w:val="clear" w:color="auto" w:fill="D9D9D9" w:themeFill="background1" w:themeFillShade="D9"/>
            <w:tcMar>
              <w:top w:w="0" w:type="dxa"/>
              <w:left w:w="45" w:type="dxa"/>
              <w:bottom w:w="0" w:type="dxa"/>
              <w:right w:w="45" w:type="dxa"/>
            </w:tcMar>
            <w:vAlign w:val="center"/>
          </w:tcPr>
          <w:p w14:paraId="1BC7035E" w14:textId="14E8D24D" w:rsidR="00F660AE" w:rsidRPr="00951C84" w:rsidRDefault="00EA09DB" w:rsidP="00951C84">
            <w:pPr>
              <w:jc w:val="center"/>
              <w:rPr>
                <w:b/>
                <w:sz w:val="20"/>
              </w:rPr>
            </w:pPr>
            <w:r w:rsidRPr="00951C84">
              <w:rPr>
                <w:b/>
                <w:sz w:val="20"/>
              </w:rPr>
              <w:lastRenderedPageBreak/>
              <w:t xml:space="preserve">Folio Solicitudes de Información/Folio </w:t>
            </w:r>
            <w:r w:rsidR="00054F72" w:rsidRPr="00951C84">
              <w:rPr>
                <w:b/>
                <w:sz w:val="20"/>
              </w:rPr>
              <w:t>Recursos de revisión.</w:t>
            </w:r>
          </w:p>
        </w:tc>
        <w:tc>
          <w:tcPr>
            <w:tcW w:w="6555" w:type="dxa"/>
            <w:shd w:val="clear" w:color="auto" w:fill="D9D9D9" w:themeFill="background1" w:themeFillShade="D9"/>
            <w:tcMar>
              <w:top w:w="0" w:type="dxa"/>
              <w:left w:w="45" w:type="dxa"/>
              <w:bottom w:w="0" w:type="dxa"/>
              <w:right w:w="45" w:type="dxa"/>
            </w:tcMar>
            <w:vAlign w:val="center"/>
          </w:tcPr>
          <w:p w14:paraId="3CD8EF63" w14:textId="46D3A0C7" w:rsidR="00F660AE" w:rsidRPr="00951C84" w:rsidRDefault="00054F72" w:rsidP="00951C84">
            <w:pPr>
              <w:jc w:val="center"/>
              <w:rPr>
                <w:b/>
                <w:i/>
                <w:sz w:val="20"/>
              </w:rPr>
            </w:pPr>
            <w:r w:rsidRPr="00951C84">
              <w:rPr>
                <w:b/>
                <w:sz w:val="20"/>
              </w:rPr>
              <w:t>Solicitud</w:t>
            </w:r>
          </w:p>
        </w:tc>
      </w:tr>
      <w:tr w:rsidR="00951C84" w:rsidRPr="00951C84" w14:paraId="3D9AD64D" w14:textId="77777777">
        <w:trPr>
          <w:trHeight w:val="1093"/>
        </w:trPr>
        <w:tc>
          <w:tcPr>
            <w:tcW w:w="2556" w:type="dxa"/>
            <w:tcMar>
              <w:top w:w="0" w:type="dxa"/>
              <w:left w:w="45" w:type="dxa"/>
              <w:bottom w:w="0" w:type="dxa"/>
              <w:right w:w="45" w:type="dxa"/>
            </w:tcMar>
          </w:tcPr>
          <w:p w14:paraId="5B704939" w14:textId="331919D8" w:rsidR="00D84C24" w:rsidRPr="00951C84" w:rsidRDefault="0014506D" w:rsidP="00951C84">
            <w:pPr>
              <w:jc w:val="center"/>
              <w:rPr>
                <w:b/>
                <w:sz w:val="20"/>
                <w:lang w:val="en-US"/>
              </w:rPr>
            </w:pPr>
            <w:r w:rsidRPr="00951C84">
              <w:rPr>
                <w:b/>
                <w:sz w:val="20"/>
                <w:lang w:val="en-US"/>
              </w:rPr>
              <w:t xml:space="preserve"> 00213/TLALNEPA/IP/2024</w:t>
            </w:r>
          </w:p>
          <w:p w14:paraId="4D8286F5" w14:textId="0F760E6F" w:rsidR="00F660AE" w:rsidRPr="00951C84" w:rsidRDefault="0014506D" w:rsidP="00951C84">
            <w:pPr>
              <w:jc w:val="center"/>
              <w:rPr>
                <w:b/>
                <w:sz w:val="20"/>
                <w:lang w:val="en-US"/>
              </w:rPr>
            </w:pPr>
            <w:r w:rsidRPr="00951C84">
              <w:rPr>
                <w:b/>
                <w:sz w:val="20"/>
                <w:lang w:val="en-US"/>
              </w:rPr>
              <w:t>01587</w:t>
            </w:r>
            <w:r w:rsidR="00B47845" w:rsidRPr="00951C84">
              <w:rPr>
                <w:b/>
                <w:sz w:val="20"/>
                <w:lang w:val="en-US"/>
              </w:rPr>
              <w:t>/INFOEM/IP/RR/2024</w:t>
            </w:r>
          </w:p>
          <w:p w14:paraId="0D89CD05" w14:textId="77777777" w:rsidR="00F660AE" w:rsidRPr="00951C84" w:rsidRDefault="00F660AE" w:rsidP="00951C84">
            <w:pPr>
              <w:rPr>
                <w:b/>
                <w:sz w:val="20"/>
                <w:lang w:val="en-US"/>
              </w:rPr>
            </w:pPr>
          </w:p>
        </w:tc>
        <w:tc>
          <w:tcPr>
            <w:tcW w:w="6555" w:type="dxa"/>
            <w:tcMar>
              <w:top w:w="0" w:type="dxa"/>
              <w:left w:w="45" w:type="dxa"/>
              <w:bottom w:w="0" w:type="dxa"/>
              <w:right w:w="45" w:type="dxa"/>
            </w:tcMar>
          </w:tcPr>
          <w:p w14:paraId="7A8AE5B2" w14:textId="197113B7" w:rsidR="00F660AE" w:rsidRPr="00951C84" w:rsidRDefault="0014506D" w:rsidP="00951C84">
            <w:pPr>
              <w:ind w:left="28"/>
              <w:rPr>
                <w:i/>
                <w:sz w:val="20"/>
              </w:rPr>
            </w:pPr>
            <w:proofErr w:type="gramStart"/>
            <w:r w:rsidRPr="00951C84">
              <w:rPr>
                <w:i/>
                <w:sz w:val="20"/>
              </w:rPr>
              <w:t>del</w:t>
            </w:r>
            <w:proofErr w:type="gramEnd"/>
            <w:r w:rsidRPr="00951C84">
              <w:rPr>
                <w:i/>
                <w:sz w:val="20"/>
              </w:rPr>
              <w:t xml:space="preserve"> año 2022 de los temas Construcción y ampliación del subsistema Angélica Aragón ubicado sobre Av. </w:t>
            </w:r>
            <w:proofErr w:type="spellStart"/>
            <w:r w:rsidRPr="00951C84">
              <w:rPr>
                <w:i/>
                <w:sz w:val="20"/>
              </w:rPr>
              <w:t>Hermilo</w:t>
            </w:r>
            <w:proofErr w:type="spellEnd"/>
            <w:r w:rsidRPr="00951C84">
              <w:rPr>
                <w:i/>
                <w:sz w:val="20"/>
              </w:rPr>
              <w:t xml:space="preserve"> Mena S/N al interior del eco parque </w:t>
            </w:r>
            <w:proofErr w:type="spellStart"/>
            <w:r w:rsidRPr="00951C84">
              <w:rPr>
                <w:i/>
                <w:sz w:val="20"/>
              </w:rPr>
              <w:t>Acoatl</w:t>
            </w:r>
            <w:proofErr w:type="spellEnd"/>
            <w:r w:rsidRPr="00951C84">
              <w:rPr>
                <w:i/>
                <w:sz w:val="20"/>
              </w:rPr>
              <w:t xml:space="preserve">, col. Lázaro Cárdenas 3a sección, en el municipio de Tlalnepantla de Baz, Estado de México. Remodelación de oficinas palacio municipal, Tlalnepantla centro, en el municipio de </w:t>
            </w:r>
            <w:proofErr w:type="spellStart"/>
            <w:r w:rsidRPr="00951C84">
              <w:rPr>
                <w:i/>
                <w:sz w:val="20"/>
              </w:rPr>
              <w:t>Tlanepantla</w:t>
            </w:r>
            <w:proofErr w:type="spellEnd"/>
            <w:r w:rsidRPr="00951C84">
              <w:rPr>
                <w:i/>
                <w:sz w:val="20"/>
              </w:rPr>
              <w:t xml:space="preserve"> de Baz, Estado de México. Concluir y pagar la pavimentación con concreto hidráulico de la Av. Tenochtitlan de Alfredo del Mazo a Nezahualcóyotl</w:t>
            </w:r>
            <w:proofErr w:type="gramStart"/>
            <w:r w:rsidRPr="00951C84">
              <w:rPr>
                <w:i/>
                <w:sz w:val="20"/>
              </w:rPr>
              <w:t>,,</w:t>
            </w:r>
            <w:proofErr w:type="gramEnd"/>
            <w:r w:rsidRPr="00951C84">
              <w:rPr>
                <w:i/>
                <w:sz w:val="20"/>
              </w:rPr>
              <w:t xml:space="preserve"> en el municipio de Tlalnepantla de Baz, Estado de México. 3,780 cubetas de 19 litros de mezcla desarrollada a base de resina de hule clorado y </w:t>
            </w:r>
            <w:proofErr w:type="spellStart"/>
            <w:r w:rsidRPr="00951C84">
              <w:rPr>
                <w:i/>
                <w:sz w:val="20"/>
              </w:rPr>
              <w:t>alquidalica</w:t>
            </w:r>
            <w:proofErr w:type="spellEnd"/>
            <w:r w:rsidRPr="00951C84">
              <w:rPr>
                <w:i/>
                <w:sz w:val="20"/>
              </w:rPr>
              <w:t xml:space="preserve"> Servicio de mantenimiento preventivo y correctivo al sistema computarizado de semáforos (servicio de conducción de señales analógicas y digitales). solicito las documentales de la “Adjudicaciones directas</w:t>
            </w:r>
          </w:p>
        </w:tc>
      </w:tr>
      <w:tr w:rsidR="00F660AE" w:rsidRPr="00951C84" w14:paraId="1EF12AD2" w14:textId="77777777">
        <w:trPr>
          <w:trHeight w:val="65"/>
        </w:trPr>
        <w:tc>
          <w:tcPr>
            <w:tcW w:w="2556" w:type="dxa"/>
            <w:tcMar>
              <w:top w:w="0" w:type="dxa"/>
              <w:left w:w="45" w:type="dxa"/>
              <w:bottom w:w="0" w:type="dxa"/>
              <w:right w:w="45" w:type="dxa"/>
            </w:tcMar>
          </w:tcPr>
          <w:p w14:paraId="18F5301F" w14:textId="3A829E10" w:rsidR="00D84C24" w:rsidRPr="00951C84" w:rsidRDefault="0014506D" w:rsidP="00951C84">
            <w:pPr>
              <w:jc w:val="center"/>
              <w:rPr>
                <w:b/>
                <w:sz w:val="20"/>
                <w:lang w:val="en-US"/>
              </w:rPr>
            </w:pPr>
            <w:r w:rsidRPr="00951C84">
              <w:rPr>
                <w:b/>
                <w:sz w:val="20"/>
                <w:lang w:val="en-US"/>
              </w:rPr>
              <w:t>00216/TLALNEPA/IP/2024</w:t>
            </w:r>
          </w:p>
          <w:p w14:paraId="781C0C87" w14:textId="3FDEB304" w:rsidR="00F660AE" w:rsidRPr="00951C84" w:rsidRDefault="0014506D" w:rsidP="00951C84">
            <w:pPr>
              <w:jc w:val="center"/>
              <w:rPr>
                <w:b/>
                <w:sz w:val="20"/>
                <w:lang w:val="en-US"/>
              </w:rPr>
            </w:pPr>
            <w:r w:rsidRPr="00951C84">
              <w:rPr>
                <w:b/>
                <w:sz w:val="20"/>
                <w:lang w:val="en-US"/>
              </w:rPr>
              <w:t>01595</w:t>
            </w:r>
            <w:r w:rsidR="00B47845" w:rsidRPr="00951C84">
              <w:rPr>
                <w:b/>
                <w:sz w:val="20"/>
                <w:lang w:val="en-US"/>
              </w:rPr>
              <w:t>/INFOEM/IP/RR/2024</w:t>
            </w:r>
          </w:p>
          <w:p w14:paraId="67199EF6" w14:textId="77777777" w:rsidR="00F660AE" w:rsidRPr="00951C84" w:rsidRDefault="00F660AE" w:rsidP="00951C84">
            <w:pPr>
              <w:rPr>
                <w:b/>
                <w:sz w:val="20"/>
                <w:lang w:val="en-US"/>
              </w:rPr>
            </w:pPr>
          </w:p>
        </w:tc>
        <w:tc>
          <w:tcPr>
            <w:tcW w:w="6555" w:type="dxa"/>
            <w:tcMar>
              <w:top w:w="0" w:type="dxa"/>
              <w:left w:w="45" w:type="dxa"/>
              <w:bottom w:w="0" w:type="dxa"/>
              <w:right w:w="45" w:type="dxa"/>
            </w:tcMar>
          </w:tcPr>
          <w:p w14:paraId="5CF43063" w14:textId="0B5A0B2C" w:rsidR="00F660AE" w:rsidRPr="00951C84" w:rsidRDefault="0014506D" w:rsidP="00951C84">
            <w:pPr>
              <w:rPr>
                <w:i/>
                <w:sz w:val="20"/>
              </w:rPr>
            </w:pPr>
            <w:proofErr w:type="gramStart"/>
            <w:r w:rsidRPr="00951C84">
              <w:rPr>
                <w:i/>
                <w:sz w:val="20"/>
              </w:rPr>
              <w:t>del</w:t>
            </w:r>
            <w:proofErr w:type="gramEnd"/>
            <w:r w:rsidRPr="00951C84">
              <w:rPr>
                <w:i/>
                <w:sz w:val="20"/>
              </w:rPr>
              <w:t xml:space="preserve"> año 2022 del tema Construcción y ampliación del subsistema Angélica Aragón ubicado sobre Av. </w:t>
            </w:r>
            <w:proofErr w:type="spellStart"/>
            <w:r w:rsidRPr="00951C84">
              <w:rPr>
                <w:i/>
                <w:sz w:val="20"/>
              </w:rPr>
              <w:t>Hermilo</w:t>
            </w:r>
            <w:proofErr w:type="spellEnd"/>
            <w:r w:rsidRPr="00951C84">
              <w:rPr>
                <w:i/>
                <w:sz w:val="20"/>
              </w:rPr>
              <w:t xml:space="preserve"> Mena S/N al interior del Eco parque </w:t>
            </w:r>
            <w:proofErr w:type="spellStart"/>
            <w:r w:rsidRPr="00951C84">
              <w:rPr>
                <w:i/>
                <w:sz w:val="20"/>
              </w:rPr>
              <w:t>Acoatl</w:t>
            </w:r>
            <w:proofErr w:type="spellEnd"/>
            <w:r w:rsidRPr="00951C84">
              <w:rPr>
                <w:i/>
                <w:sz w:val="20"/>
              </w:rPr>
              <w:t>, Col. Lázaro Cárdenas 3a sección, en el municipio de Tlalnepantla de Baz, Estado de México. solicito las documentales del a “Adjudicación directa, contrato y facturas</w:t>
            </w:r>
          </w:p>
        </w:tc>
      </w:tr>
    </w:tbl>
    <w:p w14:paraId="31B85965" w14:textId="77777777" w:rsidR="00F660AE" w:rsidRPr="00951C84" w:rsidRDefault="00F660AE" w:rsidP="00951C84">
      <w:pPr>
        <w:tabs>
          <w:tab w:val="left" w:pos="4667"/>
        </w:tabs>
        <w:ind w:left="567" w:right="567"/>
        <w:rPr>
          <w:i/>
        </w:rPr>
      </w:pPr>
    </w:p>
    <w:p w14:paraId="084A4D6A" w14:textId="77777777" w:rsidR="00F660AE" w:rsidRPr="00951C84" w:rsidRDefault="00054F72" w:rsidP="00951C84">
      <w:pPr>
        <w:tabs>
          <w:tab w:val="left" w:pos="4667"/>
        </w:tabs>
        <w:ind w:left="567" w:right="567"/>
      </w:pPr>
      <w:r w:rsidRPr="00951C84">
        <w:rPr>
          <w:b/>
        </w:rPr>
        <w:t>Modalidad de entrega</w:t>
      </w:r>
      <w:r w:rsidRPr="00951C84">
        <w:t>: a través del SAIMEX.</w:t>
      </w:r>
    </w:p>
    <w:p w14:paraId="25888731" w14:textId="77777777" w:rsidR="00F660AE" w:rsidRPr="00951C84" w:rsidRDefault="00F660AE" w:rsidP="00951C84">
      <w:pPr>
        <w:ind w:right="-28"/>
        <w:rPr>
          <w:i/>
        </w:rPr>
      </w:pPr>
    </w:p>
    <w:p w14:paraId="4F3C233F" w14:textId="01A06B82" w:rsidR="00F660AE" w:rsidRPr="00951C84" w:rsidRDefault="00054F72" w:rsidP="00951C84">
      <w:pPr>
        <w:pStyle w:val="Ttulo3"/>
      </w:pPr>
      <w:bookmarkStart w:id="6" w:name="_Toc178858416"/>
      <w:r w:rsidRPr="00951C84">
        <w:t>b) Respuestas del Sujeto Obligado.</w:t>
      </w:r>
      <w:bookmarkEnd w:id="6"/>
    </w:p>
    <w:p w14:paraId="6DEB6478" w14:textId="7C43CDAF" w:rsidR="004946A2" w:rsidRPr="00951C84" w:rsidRDefault="004946A2" w:rsidP="00951C84">
      <w:pPr>
        <w:widowControl w:val="0"/>
        <w:rPr>
          <w:rFonts w:eastAsia="Palatino Linotype" w:cs="Palatino Linotype"/>
        </w:rPr>
      </w:pPr>
      <w:r w:rsidRPr="00951C84">
        <w:rPr>
          <w:rFonts w:eastAsia="Palatino Linotype" w:cs="Palatino Linotype"/>
        </w:rPr>
        <w:t xml:space="preserve">De las constancias que obran en los expedientes electrónicos del </w:t>
      </w:r>
      <w:r w:rsidRPr="00951C84">
        <w:rPr>
          <w:rFonts w:eastAsia="Palatino Linotype" w:cs="Palatino Linotype"/>
          <w:b/>
        </w:rPr>
        <w:t xml:space="preserve">SAIMEX </w:t>
      </w:r>
      <w:r w:rsidRPr="00951C84">
        <w:rPr>
          <w:rFonts w:eastAsia="Palatino Linotype" w:cs="Palatino Linotype"/>
        </w:rPr>
        <w:t xml:space="preserve">relacionados con el presente estudio, se aprecia que el </w:t>
      </w:r>
      <w:r w:rsidR="0014506D" w:rsidRPr="00951C84">
        <w:rPr>
          <w:rFonts w:eastAsia="Palatino Linotype" w:cs="Palatino Linotype"/>
          <w:b/>
        </w:rPr>
        <w:t>veintidós de marzo de dos mil veinticuatro</w:t>
      </w:r>
      <w:r w:rsidRPr="00951C84">
        <w:rPr>
          <w:rFonts w:eastAsia="Palatino Linotype" w:cs="Palatino Linotype"/>
        </w:rPr>
        <w:t xml:space="preserve">, </w:t>
      </w:r>
      <w:r w:rsidRPr="00951C84">
        <w:rPr>
          <w:rFonts w:eastAsia="Palatino Linotype" w:cs="Palatino Linotype"/>
          <w:b/>
        </w:rPr>
        <w:t>EL SUJETO OBLIGADO</w:t>
      </w:r>
      <w:r w:rsidRPr="00951C84">
        <w:rPr>
          <w:rFonts w:eastAsia="Palatino Linotype" w:cs="Palatino Linotype"/>
        </w:rPr>
        <w:t xml:space="preserve"> dio respuesta a las solicitudes de información en el tenor siguiente: </w:t>
      </w:r>
    </w:p>
    <w:p w14:paraId="0A598617" w14:textId="77777777" w:rsidR="00926954" w:rsidRPr="00951C84" w:rsidRDefault="00926954" w:rsidP="00951C84">
      <w:pPr>
        <w:widowControl w:val="0"/>
        <w:rPr>
          <w:rFonts w:eastAsia="Palatino Linotype" w:cs="Palatino Linotype"/>
        </w:rPr>
      </w:pPr>
    </w:p>
    <w:p w14:paraId="0F855E07" w14:textId="296A9A7E" w:rsidR="0014506D" w:rsidRPr="00951C84" w:rsidRDefault="00C821EF" w:rsidP="00951C84">
      <w:pPr>
        <w:widowControl w:val="0"/>
        <w:rPr>
          <w:b/>
          <w:szCs w:val="22"/>
        </w:rPr>
      </w:pPr>
      <w:r w:rsidRPr="00951C84">
        <w:rPr>
          <w:rFonts w:eastAsia="Palatino Linotype" w:cs="Palatino Linotype"/>
          <w:szCs w:val="22"/>
        </w:rPr>
        <w:lastRenderedPageBreak/>
        <w:t xml:space="preserve">Folio de la Solicitud: </w:t>
      </w:r>
      <w:r w:rsidR="0014506D" w:rsidRPr="00951C84">
        <w:rPr>
          <w:b/>
          <w:szCs w:val="22"/>
        </w:rPr>
        <w:t>00213/TLALNEPA/IP/2024</w:t>
      </w:r>
    </w:p>
    <w:p w14:paraId="0A74F4A2" w14:textId="37A19D4A" w:rsidR="0014506D" w:rsidRPr="00951C84" w:rsidRDefault="0014506D" w:rsidP="00951C84">
      <w:pPr>
        <w:widowControl w:val="0"/>
        <w:rPr>
          <w:b/>
          <w:szCs w:val="22"/>
        </w:rPr>
      </w:pPr>
      <w:r w:rsidRPr="00951C84">
        <w:rPr>
          <w:szCs w:val="22"/>
        </w:rPr>
        <w:t xml:space="preserve">Recurso de </w:t>
      </w:r>
      <w:proofErr w:type="spellStart"/>
      <w:r w:rsidRPr="00951C84">
        <w:rPr>
          <w:szCs w:val="22"/>
        </w:rPr>
        <w:t>Revision</w:t>
      </w:r>
      <w:proofErr w:type="spellEnd"/>
      <w:r w:rsidRPr="00951C84">
        <w:rPr>
          <w:b/>
          <w:szCs w:val="22"/>
        </w:rPr>
        <w:t>: 01587/INFOEM/IP/RR/2024</w:t>
      </w:r>
    </w:p>
    <w:p w14:paraId="65594A9C" w14:textId="77777777" w:rsidR="0014506D" w:rsidRPr="00951C84" w:rsidRDefault="0014506D" w:rsidP="00951C84">
      <w:pPr>
        <w:widowControl w:val="0"/>
        <w:rPr>
          <w:rFonts w:eastAsia="Palatino Linotype" w:cs="Palatino Linotype"/>
          <w:b/>
          <w:szCs w:val="22"/>
        </w:rPr>
      </w:pPr>
    </w:p>
    <w:p w14:paraId="11671EF3" w14:textId="1C4C7669" w:rsidR="0014506D" w:rsidRPr="00951C84" w:rsidRDefault="0014506D" w:rsidP="00951C84">
      <w:pPr>
        <w:pStyle w:val="Puesto"/>
        <w:jc w:val="right"/>
        <w:rPr>
          <w:rFonts w:eastAsia="Palatino Linotype"/>
        </w:rPr>
      </w:pPr>
      <w:r w:rsidRPr="00951C84">
        <w:rPr>
          <w:rFonts w:eastAsia="Palatino Linotype"/>
        </w:rPr>
        <w:t>“Folio de la solicitud: 00213/TLALNEPA/IP/2024</w:t>
      </w:r>
    </w:p>
    <w:p w14:paraId="73211825" w14:textId="77777777" w:rsidR="0014506D" w:rsidRPr="00951C84" w:rsidRDefault="0014506D" w:rsidP="00951C84">
      <w:pPr>
        <w:pStyle w:val="Puesto"/>
        <w:jc w:val="right"/>
        <w:rPr>
          <w:rFonts w:eastAsia="Palatino Linotype"/>
        </w:rPr>
      </w:pPr>
    </w:p>
    <w:p w14:paraId="692327A5" w14:textId="77777777" w:rsidR="00C821EF" w:rsidRPr="00951C84" w:rsidRDefault="00C821EF" w:rsidP="00951C84">
      <w:pPr>
        <w:pStyle w:val="Puesto"/>
        <w:rPr>
          <w:rFonts w:eastAsia="Palatino Linotype"/>
        </w:rPr>
      </w:pPr>
    </w:p>
    <w:p w14:paraId="346C638D" w14:textId="77777777" w:rsidR="0014506D" w:rsidRPr="00951C84" w:rsidRDefault="0014506D" w:rsidP="00951C84">
      <w:pPr>
        <w:widowControl w:val="0"/>
        <w:rPr>
          <w:rFonts w:eastAsia="Palatino Linotype" w:cs="Palatino Linotype"/>
          <w:i/>
        </w:rPr>
      </w:pPr>
      <w:r w:rsidRPr="00951C84">
        <w:rPr>
          <w:rFonts w:eastAsia="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CE2C11A" w14:textId="77777777" w:rsidR="0014506D" w:rsidRPr="00951C84" w:rsidRDefault="0014506D" w:rsidP="00951C84">
      <w:pPr>
        <w:widowControl w:val="0"/>
        <w:rPr>
          <w:rFonts w:eastAsia="Palatino Linotype" w:cs="Palatino Linotype"/>
          <w:i/>
        </w:rPr>
      </w:pPr>
    </w:p>
    <w:p w14:paraId="7AE9318D" w14:textId="273B0940" w:rsidR="00C821EF" w:rsidRPr="00951C84" w:rsidRDefault="0014506D" w:rsidP="00951C84">
      <w:pPr>
        <w:widowControl w:val="0"/>
        <w:rPr>
          <w:rFonts w:eastAsia="Palatino Linotype" w:cs="Palatino Linotype"/>
          <w:i/>
        </w:rPr>
      </w:pPr>
      <w:r w:rsidRPr="00951C84">
        <w:rPr>
          <w:rFonts w:eastAsia="Palatino Linotype" w:cs="Palatino Linotype"/>
          <w:i/>
        </w:rPr>
        <w:t>ENVIO ARCHIVO ELETROCNICO CON RESPUESTA A LA SOLICITUD DE INFORMACIONCON NUMERO DE FOLIO SAIMEX 00213/TLALNEPA/IP/2024”</w:t>
      </w:r>
    </w:p>
    <w:p w14:paraId="7216A91B" w14:textId="77777777" w:rsidR="0014506D" w:rsidRPr="00951C84" w:rsidRDefault="0014506D" w:rsidP="00951C84">
      <w:pPr>
        <w:widowControl w:val="0"/>
        <w:rPr>
          <w:rFonts w:eastAsia="Palatino Linotype" w:cs="Palatino Linotype"/>
        </w:rPr>
      </w:pPr>
    </w:p>
    <w:p w14:paraId="4416B202" w14:textId="0ABB53E0" w:rsidR="00C821EF" w:rsidRPr="00951C84" w:rsidRDefault="00C821EF" w:rsidP="00951C84">
      <w:pPr>
        <w:widowControl w:val="0"/>
        <w:rPr>
          <w:rFonts w:eastAsia="Palatino Linotype" w:cs="Palatino Linotype"/>
        </w:rPr>
      </w:pPr>
      <w:r w:rsidRPr="00951C84">
        <w:rPr>
          <w:rFonts w:eastAsia="Palatino Linotype" w:cs="Palatino Linotype"/>
        </w:rPr>
        <w:t xml:space="preserve">Asimismo </w:t>
      </w:r>
      <w:r w:rsidRPr="00951C84">
        <w:rPr>
          <w:rFonts w:eastAsia="Palatino Linotype" w:cs="Palatino Linotype"/>
          <w:b/>
        </w:rPr>
        <w:t xml:space="preserve">EL SUJETO OBLIGADO </w:t>
      </w:r>
      <w:r w:rsidRPr="00951C84">
        <w:rPr>
          <w:rFonts w:eastAsia="Palatino Linotype" w:cs="Palatino Linotype"/>
        </w:rPr>
        <w:t>adjuntó los documentos siguientes:</w:t>
      </w:r>
    </w:p>
    <w:p w14:paraId="1EDEAED3" w14:textId="77777777" w:rsidR="0014506D" w:rsidRPr="00951C84" w:rsidRDefault="0014506D" w:rsidP="00951C84">
      <w:pPr>
        <w:widowControl w:val="0"/>
        <w:rPr>
          <w:rFonts w:eastAsia="Palatino Linotype" w:cs="Palatino Linotype"/>
        </w:rPr>
      </w:pPr>
    </w:p>
    <w:p w14:paraId="7A3BAD17" w14:textId="15346F05" w:rsidR="00C821EF" w:rsidRPr="00951C84" w:rsidRDefault="0014506D" w:rsidP="00951C84">
      <w:pPr>
        <w:pStyle w:val="Prrafodelista"/>
        <w:widowControl w:val="0"/>
        <w:numPr>
          <w:ilvl w:val="0"/>
          <w:numId w:val="16"/>
        </w:numPr>
        <w:rPr>
          <w:rFonts w:eastAsia="Palatino Linotype" w:cs="Palatino Linotype"/>
          <w:b/>
          <w:i/>
        </w:rPr>
      </w:pPr>
      <w:r w:rsidRPr="00951C84">
        <w:rPr>
          <w:rFonts w:eastAsia="Palatino Linotype" w:cs="Palatino Linotype"/>
          <w:b/>
          <w:i/>
        </w:rPr>
        <w:t>RESPUESTA SAIMEX 00213.zip</w:t>
      </w:r>
      <w:r w:rsidR="008E2B9C" w:rsidRPr="00951C84">
        <w:rPr>
          <w:rFonts w:eastAsia="Palatino Linotype" w:cs="Palatino Linotype"/>
          <w:b/>
          <w:i/>
        </w:rPr>
        <w:t>:</w:t>
      </w:r>
    </w:p>
    <w:p w14:paraId="50EE07A6" w14:textId="2E5192B5" w:rsidR="00C821EF" w:rsidRPr="00951C84" w:rsidRDefault="00D86414" w:rsidP="00951C84">
      <w:pPr>
        <w:widowControl w:val="0"/>
        <w:ind w:left="709"/>
        <w:rPr>
          <w:szCs w:val="22"/>
        </w:rPr>
      </w:pPr>
      <w:r w:rsidRPr="00951C84">
        <w:rPr>
          <w:rFonts w:eastAsia="Palatino Linotype" w:cs="Palatino Linotype"/>
          <w:b/>
        </w:rPr>
        <w:t>ACUERDO ACUMULADO SAIMEX 205</w:t>
      </w:r>
      <w:r w:rsidR="008E2B9C" w:rsidRPr="00951C84">
        <w:rPr>
          <w:rFonts w:eastAsia="Palatino Linotype" w:cs="Palatino Linotype"/>
          <w:b/>
        </w:rPr>
        <w:t>.-</w:t>
      </w:r>
      <w:r w:rsidR="008E2B9C" w:rsidRPr="00951C84">
        <w:rPr>
          <w:rFonts w:eastAsia="Palatino Linotype" w:cs="Palatino Linotype"/>
        </w:rPr>
        <w:t xml:space="preserve"> Contiene un acuerdo de acumulación y confirmación de reserva de la Décima Primera Sesión Ordinaria número 03/CT/11-ORD/2024, de diversas solicitudes de información</w:t>
      </w:r>
      <w:r w:rsidR="00C94F24" w:rsidRPr="00951C84">
        <w:rPr>
          <w:rFonts w:eastAsia="Palatino Linotype" w:cs="Palatino Linotype"/>
        </w:rPr>
        <w:t xml:space="preserve">, entre ellas la </w:t>
      </w:r>
      <w:r w:rsidR="00C94F24" w:rsidRPr="00951C84">
        <w:rPr>
          <w:szCs w:val="22"/>
        </w:rPr>
        <w:t>00213/TLALNEPA/IP/2024.</w:t>
      </w:r>
    </w:p>
    <w:p w14:paraId="0D3C3DCF" w14:textId="79E56042" w:rsidR="00C94F24" w:rsidRPr="00951C84" w:rsidRDefault="00D86414" w:rsidP="00951C84">
      <w:pPr>
        <w:widowControl w:val="0"/>
        <w:ind w:left="709"/>
        <w:rPr>
          <w:rFonts w:eastAsia="Palatino Linotype" w:cs="Palatino Linotype"/>
        </w:rPr>
      </w:pPr>
      <w:r w:rsidRPr="00951C84">
        <w:rPr>
          <w:rFonts w:eastAsia="Palatino Linotype" w:cs="Palatino Linotype"/>
          <w:b/>
        </w:rPr>
        <w:t>inicio auditoria AIF-083_OSFEM</w:t>
      </w:r>
      <w:r w:rsidR="00C94F24" w:rsidRPr="00951C84">
        <w:rPr>
          <w:rFonts w:eastAsia="Palatino Linotype" w:cs="Palatino Linotype"/>
          <w:b/>
        </w:rPr>
        <w:t>.-</w:t>
      </w:r>
      <w:r w:rsidR="00C94F24" w:rsidRPr="00951C84">
        <w:rPr>
          <w:rFonts w:eastAsia="Palatino Linotype" w:cs="Palatino Linotype"/>
        </w:rPr>
        <w:t xml:space="preserve"> Contiene oficio firmado por el Auditor Especial de Cumplimiento Financiero e Inversión Física del OSFEM, de fecha 22 de febrero de 2023, para la práctica de la auditoría de inversión física con número AIF-083.</w:t>
      </w:r>
    </w:p>
    <w:p w14:paraId="1BAF69FC" w14:textId="4DE056F8" w:rsidR="00C94F24" w:rsidRPr="00951C84" w:rsidRDefault="00D86414" w:rsidP="00951C84">
      <w:pPr>
        <w:widowControl w:val="0"/>
        <w:ind w:left="709"/>
        <w:rPr>
          <w:rFonts w:eastAsia="Palatino Linotype" w:cs="Palatino Linotype"/>
        </w:rPr>
      </w:pPr>
      <w:r w:rsidRPr="00951C84">
        <w:rPr>
          <w:rFonts w:eastAsia="Palatino Linotype" w:cs="Palatino Linotype"/>
          <w:b/>
        </w:rPr>
        <w:t>TLA_DOP_0798_2024_SAIMEX 00213</w:t>
      </w:r>
      <w:r w:rsidR="00C94F24" w:rsidRPr="00951C84">
        <w:rPr>
          <w:rFonts w:eastAsia="Palatino Linotype" w:cs="Palatino Linotype"/>
        </w:rPr>
        <w:t xml:space="preserve">.- Oficio firmado por el Director de Obras Públicas, mediante el cual hace del conocimiento que las obras de las cuales se requiere información se encuentran en etapa de fiscalización; además por cuanto hace a </w:t>
      </w:r>
      <w:r w:rsidR="005A63D1" w:rsidRPr="00951C84">
        <w:rPr>
          <w:rFonts w:eastAsia="Palatino Linotype" w:cs="Palatino Linotype"/>
        </w:rPr>
        <w:t xml:space="preserve">las 3,780 </w:t>
      </w:r>
      <w:r w:rsidR="005A63D1" w:rsidRPr="00951C84">
        <w:rPr>
          <w:rFonts w:eastAsia="Palatino Linotype" w:cs="Palatino Linotype"/>
        </w:rPr>
        <w:lastRenderedPageBreak/>
        <w:t xml:space="preserve">cubetas de 19 litros de mezcla desarrolladas a base de resina de hule clorado y </w:t>
      </w:r>
      <w:proofErr w:type="spellStart"/>
      <w:r w:rsidR="005A63D1" w:rsidRPr="00951C84">
        <w:rPr>
          <w:rFonts w:eastAsia="Palatino Linotype" w:cs="Palatino Linotype"/>
        </w:rPr>
        <w:t>alquidalica</w:t>
      </w:r>
      <w:proofErr w:type="spellEnd"/>
      <w:r w:rsidR="005A63D1" w:rsidRPr="00951C84">
        <w:rPr>
          <w:rFonts w:eastAsia="Palatino Linotype" w:cs="Palatino Linotype"/>
        </w:rPr>
        <w:t>, así como del servicio de mantenimiento preventivo y correctivo al sistema computarizado de semáforos la Dirección de Servicios Públicos y Dirección de administración pueden ser las competentes para entregar la información.</w:t>
      </w:r>
    </w:p>
    <w:p w14:paraId="70CB5CF5" w14:textId="7E167928" w:rsidR="005A63D1" w:rsidRPr="00951C84" w:rsidRDefault="00D86414" w:rsidP="00951C84">
      <w:pPr>
        <w:widowControl w:val="0"/>
        <w:ind w:left="709"/>
        <w:rPr>
          <w:rFonts w:eastAsia="Palatino Linotype" w:cs="Palatino Linotype"/>
        </w:rPr>
      </w:pPr>
      <w:r w:rsidRPr="00951C84">
        <w:rPr>
          <w:rFonts w:eastAsia="Palatino Linotype" w:cs="Palatino Linotype"/>
          <w:b/>
        </w:rPr>
        <w:t>TM_805_2024 SAIMEX ACUMULADO</w:t>
      </w:r>
      <w:r w:rsidR="005A63D1" w:rsidRPr="00951C84">
        <w:rPr>
          <w:rFonts w:eastAsia="Palatino Linotype" w:cs="Palatino Linotype"/>
        </w:rPr>
        <w:t>.-Oficio firmado por el Tesorero Municipal  el que se acuerda acumular diversas solicitudes de información con el fin de realizar el acuerdo de reserva de la información por encontrase en auditoría.</w:t>
      </w:r>
    </w:p>
    <w:p w14:paraId="4171B300" w14:textId="2C8F2FF1" w:rsidR="00C94F24" w:rsidRPr="00951C84" w:rsidRDefault="00C94F24" w:rsidP="00951C84">
      <w:pPr>
        <w:widowControl w:val="0"/>
        <w:ind w:left="709"/>
        <w:rPr>
          <w:rFonts w:eastAsia="Palatino Linotype" w:cs="Palatino Linotype"/>
        </w:rPr>
      </w:pPr>
    </w:p>
    <w:p w14:paraId="62E4B47F" w14:textId="7D31E783" w:rsidR="001325EC" w:rsidRPr="00951C84" w:rsidRDefault="00C821EF" w:rsidP="00951C84">
      <w:pPr>
        <w:widowControl w:val="0"/>
        <w:rPr>
          <w:b/>
          <w:szCs w:val="22"/>
        </w:rPr>
      </w:pPr>
      <w:r w:rsidRPr="00951C84">
        <w:rPr>
          <w:rFonts w:eastAsia="Palatino Linotype" w:cs="Palatino Linotype"/>
          <w:szCs w:val="22"/>
        </w:rPr>
        <w:t xml:space="preserve">Folio de la Solicitud: </w:t>
      </w:r>
      <w:r w:rsidR="001325EC" w:rsidRPr="00951C84">
        <w:rPr>
          <w:b/>
          <w:szCs w:val="22"/>
        </w:rPr>
        <w:t>00216/TLALNEPA/IP/2024</w:t>
      </w:r>
    </w:p>
    <w:p w14:paraId="7AED5063" w14:textId="2C38E7EE" w:rsidR="001325EC" w:rsidRPr="00951C84" w:rsidRDefault="001325EC" w:rsidP="00951C84">
      <w:pPr>
        <w:widowControl w:val="0"/>
        <w:rPr>
          <w:b/>
          <w:szCs w:val="22"/>
        </w:rPr>
      </w:pPr>
      <w:r w:rsidRPr="00951C84">
        <w:rPr>
          <w:szCs w:val="22"/>
        </w:rPr>
        <w:t xml:space="preserve">Recurso de </w:t>
      </w:r>
      <w:proofErr w:type="spellStart"/>
      <w:r w:rsidRPr="00951C84">
        <w:rPr>
          <w:szCs w:val="22"/>
        </w:rPr>
        <w:t>Revision</w:t>
      </w:r>
      <w:proofErr w:type="spellEnd"/>
      <w:r w:rsidRPr="00951C84">
        <w:rPr>
          <w:b/>
          <w:szCs w:val="22"/>
        </w:rPr>
        <w:t>: 01595/INFOEM/IP/RR/2024</w:t>
      </w:r>
    </w:p>
    <w:p w14:paraId="6282233D" w14:textId="77777777" w:rsidR="00C821EF" w:rsidRPr="00951C84" w:rsidRDefault="00C821EF" w:rsidP="00951C84">
      <w:pPr>
        <w:widowControl w:val="0"/>
        <w:rPr>
          <w:rFonts w:eastAsia="Palatino Linotype" w:cs="Palatino Linotype"/>
        </w:rPr>
      </w:pPr>
    </w:p>
    <w:p w14:paraId="104A3C05" w14:textId="41FED499" w:rsidR="00EA1303" w:rsidRPr="00951C84" w:rsidRDefault="001325EC" w:rsidP="00951C84">
      <w:pPr>
        <w:widowControl w:val="0"/>
        <w:jc w:val="right"/>
        <w:rPr>
          <w:rFonts w:eastAsia="Palatino Linotype" w:cstheme="majorBidi"/>
          <w:i/>
          <w:kern w:val="28"/>
          <w:szCs w:val="56"/>
        </w:rPr>
      </w:pPr>
      <w:r w:rsidRPr="00951C84">
        <w:rPr>
          <w:rFonts w:eastAsia="Palatino Linotype" w:cstheme="majorBidi"/>
          <w:i/>
          <w:kern w:val="28"/>
          <w:szCs w:val="56"/>
        </w:rPr>
        <w:t>“Folio de la solicitud: 00216/TLALNEPA/IP/2024</w:t>
      </w:r>
    </w:p>
    <w:p w14:paraId="74C40A69" w14:textId="77777777" w:rsidR="00EA1303" w:rsidRPr="00951C84" w:rsidRDefault="00EA1303" w:rsidP="00951C84">
      <w:pPr>
        <w:widowControl w:val="0"/>
        <w:jc w:val="right"/>
        <w:rPr>
          <w:rFonts w:eastAsia="Palatino Linotype" w:cstheme="majorBidi"/>
          <w:i/>
          <w:kern w:val="28"/>
          <w:szCs w:val="56"/>
        </w:rPr>
      </w:pPr>
    </w:p>
    <w:p w14:paraId="1270B28E" w14:textId="77777777" w:rsidR="001325EC" w:rsidRPr="00951C84" w:rsidRDefault="001325EC" w:rsidP="00951C84">
      <w:pPr>
        <w:widowControl w:val="0"/>
        <w:rPr>
          <w:rFonts w:eastAsia="Palatino Linotype" w:cs="Palatino Linotype"/>
          <w:i/>
        </w:rPr>
      </w:pPr>
      <w:r w:rsidRPr="00951C84">
        <w:rPr>
          <w:rFonts w:eastAsia="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060A807" w14:textId="77777777" w:rsidR="001325EC" w:rsidRPr="00951C84" w:rsidRDefault="001325EC" w:rsidP="00951C84">
      <w:pPr>
        <w:widowControl w:val="0"/>
        <w:rPr>
          <w:rFonts w:eastAsia="Palatino Linotype" w:cs="Palatino Linotype"/>
          <w:i/>
        </w:rPr>
      </w:pPr>
    </w:p>
    <w:p w14:paraId="6593DE4D" w14:textId="33E34AD0" w:rsidR="00EA1303" w:rsidRPr="00951C84" w:rsidRDefault="001325EC" w:rsidP="00951C84">
      <w:pPr>
        <w:widowControl w:val="0"/>
        <w:rPr>
          <w:rFonts w:eastAsia="Palatino Linotype" w:cs="Palatino Linotype"/>
          <w:i/>
        </w:rPr>
      </w:pPr>
      <w:r w:rsidRPr="00951C84">
        <w:rPr>
          <w:rFonts w:eastAsia="Palatino Linotype" w:cs="Palatino Linotype"/>
          <w:i/>
        </w:rPr>
        <w:t>ENVIO ARCHIVO ELETROCNICO CON RESPUESTA A LA SOLICITUD DE INFORMACIONCON NUMERO DE FOLIO SAIMEX 00216/TLALNEPA/IP/2024.”</w:t>
      </w:r>
    </w:p>
    <w:p w14:paraId="171AC8FF" w14:textId="77777777" w:rsidR="001325EC" w:rsidRPr="00951C84" w:rsidRDefault="001325EC" w:rsidP="00951C84">
      <w:pPr>
        <w:widowControl w:val="0"/>
        <w:rPr>
          <w:rFonts w:eastAsia="Palatino Linotype" w:cs="Palatino Linotype"/>
        </w:rPr>
      </w:pPr>
    </w:p>
    <w:p w14:paraId="799D97CE" w14:textId="77777777" w:rsidR="001325EC" w:rsidRPr="00951C84" w:rsidRDefault="001325EC" w:rsidP="00951C84">
      <w:pPr>
        <w:widowControl w:val="0"/>
        <w:rPr>
          <w:rFonts w:eastAsia="Palatino Linotype" w:cs="Palatino Linotype"/>
        </w:rPr>
      </w:pPr>
    </w:p>
    <w:p w14:paraId="140D6BC5" w14:textId="77777777" w:rsidR="00EA1303" w:rsidRPr="00951C84" w:rsidRDefault="00EA1303" w:rsidP="00951C84">
      <w:pPr>
        <w:widowControl w:val="0"/>
        <w:rPr>
          <w:rFonts w:eastAsia="Palatino Linotype" w:cs="Palatino Linotype"/>
        </w:rPr>
      </w:pPr>
      <w:r w:rsidRPr="00951C84">
        <w:rPr>
          <w:rFonts w:eastAsia="Palatino Linotype" w:cs="Palatino Linotype"/>
        </w:rPr>
        <w:t xml:space="preserve">Asimismo </w:t>
      </w:r>
      <w:r w:rsidRPr="00951C84">
        <w:rPr>
          <w:rFonts w:eastAsia="Palatino Linotype" w:cs="Palatino Linotype"/>
          <w:b/>
        </w:rPr>
        <w:t xml:space="preserve">EL SUJETO OBLIGADO </w:t>
      </w:r>
      <w:r w:rsidRPr="00951C84">
        <w:rPr>
          <w:rFonts w:eastAsia="Palatino Linotype" w:cs="Palatino Linotype"/>
        </w:rPr>
        <w:t>adjuntó los documentos siguientes:</w:t>
      </w:r>
    </w:p>
    <w:p w14:paraId="756D2035" w14:textId="77777777" w:rsidR="00EA1303" w:rsidRPr="00951C84" w:rsidRDefault="00EA1303" w:rsidP="00951C84">
      <w:pPr>
        <w:widowControl w:val="0"/>
        <w:rPr>
          <w:rFonts w:eastAsia="Palatino Linotype" w:cs="Palatino Linotype"/>
        </w:rPr>
      </w:pPr>
    </w:p>
    <w:p w14:paraId="051F159C" w14:textId="534F06C7" w:rsidR="00EA1303" w:rsidRPr="00951C84" w:rsidRDefault="00BB582D" w:rsidP="00951C84">
      <w:pPr>
        <w:pStyle w:val="Prrafodelista"/>
        <w:widowControl w:val="0"/>
        <w:numPr>
          <w:ilvl w:val="0"/>
          <w:numId w:val="18"/>
        </w:numPr>
        <w:rPr>
          <w:rFonts w:eastAsia="Palatino Linotype" w:cs="Palatino Linotype"/>
          <w:b/>
          <w:i/>
        </w:rPr>
      </w:pPr>
      <w:r w:rsidRPr="00951C84">
        <w:rPr>
          <w:rFonts w:eastAsia="Palatino Linotype" w:cs="Palatino Linotype"/>
          <w:b/>
          <w:i/>
        </w:rPr>
        <w:t>RESPUESTA SAIMEX 00216.zip:</w:t>
      </w:r>
    </w:p>
    <w:p w14:paraId="62146B41" w14:textId="42FDEEF3" w:rsidR="00BB582D" w:rsidRPr="00951C84" w:rsidRDefault="00D86414" w:rsidP="00951C84">
      <w:pPr>
        <w:widowControl w:val="0"/>
        <w:ind w:left="709"/>
        <w:rPr>
          <w:szCs w:val="22"/>
        </w:rPr>
      </w:pPr>
      <w:r w:rsidRPr="00951C84">
        <w:rPr>
          <w:rFonts w:eastAsia="Palatino Linotype" w:cs="Palatino Linotype"/>
          <w:b/>
        </w:rPr>
        <w:t>ACUERDO ACUMULADO SAIMEX 205</w:t>
      </w:r>
      <w:r w:rsidR="00BB582D" w:rsidRPr="00951C84">
        <w:rPr>
          <w:rFonts w:eastAsia="Palatino Linotype" w:cs="Palatino Linotype"/>
          <w:b/>
        </w:rPr>
        <w:t>.-</w:t>
      </w:r>
      <w:r w:rsidR="00BB582D" w:rsidRPr="00951C84">
        <w:rPr>
          <w:rFonts w:eastAsia="Palatino Linotype" w:cs="Palatino Linotype"/>
        </w:rPr>
        <w:t xml:space="preserve"> Contiene un acuerdo de acumulación y </w:t>
      </w:r>
      <w:r w:rsidR="00BB582D" w:rsidRPr="00951C84">
        <w:rPr>
          <w:rFonts w:eastAsia="Palatino Linotype" w:cs="Palatino Linotype"/>
        </w:rPr>
        <w:lastRenderedPageBreak/>
        <w:t xml:space="preserve">confirmación de reserva de la Décima Primera Sesión Ordinaria número 03/CT/11-ORD/2024, de diversas solicitudes de información, entre ellas la </w:t>
      </w:r>
      <w:r w:rsidR="00BB582D" w:rsidRPr="00951C84">
        <w:rPr>
          <w:szCs w:val="22"/>
        </w:rPr>
        <w:t>00213/TLALNEPA/IP/2024.</w:t>
      </w:r>
    </w:p>
    <w:p w14:paraId="44638D61" w14:textId="6C6354DF" w:rsidR="00BB582D" w:rsidRPr="00951C84" w:rsidRDefault="00D86414" w:rsidP="00951C84">
      <w:pPr>
        <w:widowControl w:val="0"/>
        <w:ind w:left="709"/>
        <w:rPr>
          <w:rFonts w:eastAsia="Palatino Linotype" w:cs="Palatino Linotype"/>
        </w:rPr>
      </w:pPr>
      <w:r w:rsidRPr="00951C84">
        <w:rPr>
          <w:rFonts w:eastAsia="Palatino Linotype" w:cs="Palatino Linotype"/>
          <w:b/>
        </w:rPr>
        <w:t>inicio auditoria AIF-083_OSFEM</w:t>
      </w:r>
      <w:r w:rsidR="00BB582D" w:rsidRPr="00951C84">
        <w:rPr>
          <w:rFonts w:eastAsia="Palatino Linotype" w:cs="Palatino Linotype"/>
        </w:rPr>
        <w:t>.- Contiene oficio firmado por el Auditor Especial de Cumplimiento Financiero e Inversión Física del OSFEM, de fecha 22 de febrero de 2023, para la práctica de la auditoría de inversión física con número AIF-083.</w:t>
      </w:r>
    </w:p>
    <w:p w14:paraId="3A33AA3D" w14:textId="05F64385" w:rsidR="00BB582D" w:rsidRPr="00951C84" w:rsidRDefault="00D86414" w:rsidP="00951C84">
      <w:pPr>
        <w:widowControl w:val="0"/>
        <w:ind w:left="709"/>
        <w:rPr>
          <w:rFonts w:eastAsia="Palatino Linotype" w:cs="Palatino Linotype"/>
        </w:rPr>
      </w:pPr>
      <w:r w:rsidRPr="00951C84">
        <w:rPr>
          <w:rFonts w:eastAsia="Palatino Linotype" w:cs="Palatino Linotype"/>
          <w:b/>
        </w:rPr>
        <w:t>TLA_DOP_0809_2024_SAIMEX 00216</w:t>
      </w:r>
      <w:r w:rsidR="00BB582D" w:rsidRPr="00951C84">
        <w:rPr>
          <w:rFonts w:eastAsia="Palatino Linotype" w:cs="Palatino Linotype"/>
        </w:rPr>
        <w:t>.- Oficio firmado por el Director de Obras Públicas, mediante el cual hace del conocimiento que las obras de las cuales se requiere información se encuentran en etapa de fiscalización.</w:t>
      </w:r>
    </w:p>
    <w:p w14:paraId="6B16C47E" w14:textId="4723E105" w:rsidR="00BB582D" w:rsidRPr="00951C84" w:rsidRDefault="00D86414" w:rsidP="00951C84">
      <w:pPr>
        <w:widowControl w:val="0"/>
        <w:ind w:left="709"/>
        <w:rPr>
          <w:rFonts w:eastAsia="Palatino Linotype" w:cs="Palatino Linotype"/>
        </w:rPr>
      </w:pPr>
      <w:r w:rsidRPr="00951C84">
        <w:rPr>
          <w:rFonts w:eastAsia="Palatino Linotype" w:cs="Palatino Linotype"/>
          <w:b/>
        </w:rPr>
        <w:t>TM_805_2024 SAIMEX ACUMULADO</w:t>
      </w:r>
      <w:r w:rsidR="00BB582D" w:rsidRPr="00951C84">
        <w:rPr>
          <w:rFonts w:eastAsia="Palatino Linotype" w:cs="Palatino Linotype"/>
        </w:rPr>
        <w:t>.-Oficio firmado por el Tesorero Municipal  el que se acuerda acumular diversas solicitudes de información con el fin de realizar el acuerdo de reserva de la información por encontrase en auditoría.</w:t>
      </w:r>
    </w:p>
    <w:p w14:paraId="374CC4ED" w14:textId="77777777" w:rsidR="001325EC" w:rsidRPr="00951C84" w:rsidRDefault="001325EC" w:rsidP="00951C84">
      <w:pPr>
        <w:ind w:left="720" w:right="-28"/>
      </w:pPr>
    </w:p>
    <w:p w14:paraId="2205F37D" w14:textId="77777777" w:rsidR="00F660AE" w:rsidRPr="00951C84" w:rsidRDefault="00054F72" w:rsidP="00951C84">
      <w:pPr>
        <w:pStyle w:val="Ttulo2"/>
        <w:jc w:val="left"/>
      </w:pPr>
      <w:bookmarkStart w:id="7" w:name="_Toc178858417"/>
      <w:r w:rsidRPr="00951C84">
        <w:t>DEL RECURSO DE REVISIÓN</w:t>
      </w:r>
      <w:bookmarkEnd w:id="7"/>
    </w:p>
    <w:p w14:paraId="595AD654" w14:textId="77777777" w:rsidR="00F660AE" w:rsidRPr="00951C84" w:rsidRDefault="00F660AE" w:rsidP="00951C84">
      <w:pPr>
        <w:ind w:right="-28"/>
      </w:pPr>
    </w:p>
    <w:p w14:paraId="0CDD3F24" w14:textId="77777777" w:rsidR="00F660AE" w:rsidRPr="00951C84" w:rsidRDefault="00054F72" w:rsidP="00951C84">
      <w:pPr>
        <w:pStyle w:val="Ttulo3"/>
      </w:pPr>
      <w:bookmarkStart w:id="8" w:name="_Toc178858418"/>
      <w:r w:rsidRPr="00951C84">
        <w:t>a) Interposición de los Recursos de Revisión.</w:t>
      </w:r>
      <w:bookmarkEnd w:id="8"/>
    </w:p>
    <w:p w14:paraId="1ECC0DC4" w14:textId="7B3197B4" w:rsidR="00F660AE" w:rsidRPr="00951C84" w:rsidRDefault="00054F72" w:rsidP="00951C84">
      <w:pPr>
        <w:ind w:right="-28"/>
      </w:pPr>
      <w:r w:rsidRPr="00951C84">
        <w:t xml:space="preserve">El </w:t>
      </w:r>
      <w:r w:rsidR="00BB582D" w:rsidRPr="00951C84">
        <w:rPr>
          <w:b/>
        </w:rPr>
        <w:t>veinticuatro de marzo</w:t>
      </w:r>
      <w:r w:rsidRPr="00951C84">
        <w:rPr>
          <w:b/>
        </w:rPr>
        <w:t xml:space="preserve"> de dos mil </w:t>
      </w:r>
      <w:r w:rsidR="00D84C24" w:rsidRPr="00951C84">
        <w:rPr>
          <w:b/>
        </w:rPr>
        <w:t>veinticuatro</w:t>
      </w:r>
      <w:r w:rsidRPr="00951C84">
        <w:rPr>
          <w:b/>
        </w:rPr>
        <w:t>,</w:t>
      </w:r>
      <w:r w:rsidRPr="00951C84">
        <w:t xml:space="preserve"> </w:t>
      </w:r>
      <w:r w:rsidRPr="00951C84">
        <w:rPr>
          <w:b/>
        </w:rPr>
        <w:t>LA PARTE RECURRENTE</w:t>
      </w:r>
      <w:r w:rsidRPr="00951C84">
        <w:t xml:space="preserve"> interpuso los recursos de revisión en contra de </w:t>
      </w:r>
      <w:r w:rsidR="00053C1D" w:rsidRPr="00951C84">
        <w:t xml:space="preserve">la </w:t>
      </w:r>
      <w:r w:rsidR="001F4EE6" w:rsidRPr="00951C84">
        <w:t xml:space="preserve">falta de </w:t>
      </w:r>
      <w:r w:rsidRPr="00951C84">
        <w:t xml:space="preserve">respuestas </w:t>
      </w:r>
      <w:r w:rsidR="001F4EE6" w:rsidRPr="00951C84">
        <w:t>d</w:t>
      </w:r>
      <w:r w:rsidRPr="00951C84">
        <w:t xml:space="preserve">el </w:t>
      </w:r>
      <w:r w:rsidRPr="00951C84">
        <w:rPr>
          <w:b/>
        </w:rPr>
        <w:t>SUJETO OBLIGADO</w:t>
      </w:r>
      <w:r w:rsidRPr="00951C84">
        <w:t xml:space="preserve">, mismos que fueron registrados en el SAIMEX con los números de expediente </w:t>
      </w:r>
      <w:r w:rsidR="00BB582D" w:rsidRPr="00951C84">
        <w:rPr>
          <w:b/>
        </w:rPr>
        <w:t>01587</w:t>
      </w:r>
      <w:r w:rsidR="00B47845" w:rsidRPr="00951C84">
        <w:rPr>
          <w:b/>
        </w:rPr>
        <w:t>/INFOEM/IP/RR/2024</w:t>
      </w:r>
      <w:r w:rsidR="001F4EE6" w:rsidRPr="00951C84">
        <w:rPr>
          <w:b/>
        </w:rPr>
        <w:t xml:space="preserve"> </w:t>
      </w:r>
      <w:r w:rsidR="001F4EE6" w:rsidRPr="00951C84">
        <w:rPr>
          <w:bCs/>
        </w:rPr>
        <w:t>y</w:t>
      </w:r>
      <w:r w:rsidR="001F4EE6" w:rsidRPr="00951C84">
        <w:rPr>
          <w:b/>
        </w:rPr>
        <w:t xml:space="preserve"> </w:t>
      </w:r>
      <w:r w:rsidR="00B47845" w:rsidRPr="00951C84">
        <w:rPr>
          <w:b/>
        </w:rPr>
        <w:t>0</w:t>
      </w:r>
      <w:r w:rsidR="00BB582D" w:rsidRPr="00951C84">
        <w:rPr>
          <w:b/>
        </w:rPr>
        <w:t>1595</w:t>
      </w:r>
      <w:r w:rsidR="00B47845" w:rsidRPr="00951C84">
        <w:rPr>
          <w:b/>
        </w:rPr>
        <w:t>/INFOEM/IP/RR/2024</w:t>
      </w:r>
      <w:r w:rsidR="001F4EE6" w:rsidRPr="00951C84">
        <w:rPr>
          <w:b/>
        </w:rPr>
        <w:t xml:space="preserve"> </w:t>
      </w:r>
      <w:r w:rsidRPr="00951C84">
        <w:t>y en los cuales manifiesta lo siguiente:</w:t>
      </w:r>
    </w:p>
    <w:p w14:paraId="1538C8D6" w14:textId="77777777" w:rsidR="00F660AE" w:rsidRPr="00951C84" w:rsidRDefault="00F660AE" w:rsidP="00951C84">
      <w:pPr>
        <w:tabs>
          <w:tab w:val="left" w:pos="4667"/>
        </w:tabs>
        <w:ind w:right="539"/>
      </w:pPr>
    </w:p>
    <w:p w14:paraId="363B1D06" w14:textId="77777777" w:rsidR="00951C84" w:rsidRPr="00951C84" w:rsidRDefault="00951C84" w:rsidP="00951C84">
      <w:pPr>
        <w:tabs>
          <w:tab w:val="left" w:pos="4667"/>
        </w:tabs>
        <w:ind w:right="539"/>
      </w:pPr>
    </w:p>
    <w:p w14:paraId="14D53923" w14:textId="77777777" w:rsidR="00951C84" w:rsidRPr="00951C84" w:rsidRDefault="00951C84" w:rsidP="00951C84">
      <w:pPr>
        <w:tabs>
          <w:tab w:val="left" w:pos="4667"/>
        </w:tabs>
        <w:ind w:right="539"/>
      </w:pPr>
    </w:p>
    <w:tbl>
      <w:tblPr>
        <w:tblStyle w:val="a1"/>
        <w:tblW w:w="91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6"/>
        <w:gridCol w:w="6555"/>
      </w:tblGrid>
      <w:tr w:rsidR="00951C84" w:rsidRPr="00951C84" w14:paraId="2A7F3E4C" w14:textId="77777777" w:rsidTr="00EA09DB">
        <w:trPr>
          <w:trHeight w:val="225"/>
        </w:trPr>
        <w:tc>
          <w:tcPr>
            <w:tcW w:w="2556" w:type="dxa"/>
            <w:shd w:val="clear" w:color="auto" w:fill="D9D9D9" w:themeFill="background1" w:themeFillShade="D9"/>
            <w:vAlign w:val="center"/>
          </w:tcPr>
          <w:p w14:paraId="0BDE0C13" w14:textId="4E2E9193" w:rsidR="00EA09DB" w:rsidRPr="00951C84" w:rsidRDefault="00EA09DB" w:rsidP="00951C84">
            <w:pPr>
              <w:jc w:val="center"/>
              <w:rPr>
                <w:b/>
                <w:sz w:val="20"/>
              </w:rPr>
            </w:pPr>
            <w:r w:rsidRPr="00951C84">
              <w:rPr>
                <w:b/>
                <w:sz w:val="20"/>
              </w:rPr>
              <w:lastRenderedPageBreak/>
              <w:t>Folio Solicitudes de Información/Folio Recursos de revisión.</w:t>
            </w:r>
          </w:p>
        </w:tc>
        <w:tc>
          <w:tcPr>
            <w:tcW w:w="6555" w:type="dxa"/>
            <w:shd w:val="clear" w:color="auto" w:fill="D9D9D9" w:themeFill="background1" w:themeFillShade="D9"/>
            <w:tcMar>
              <w:top w:w="0" w:type="dxa"/>
              <w:left w:w="45" w:type="dxa"/>
              <w:bottom w:w="0" w:type="dxa"/>
              <w:right w:w="45" w:type="dxa"/>
            </w:tcMar>
            <w:vAlign w:val="center"/>
          </w:tcPr>
          <w:p w14:paraId="6C2A36A5" w14:textId="008ACD96" w:rsidR="00EA09DB" w:rsidRPr="00951C84" w:rsidRDefault="00EA09DB" w:rsidP="00951C84">
            <w:pPr>
              <w:jc w:val="center"/>
              <w:rPr>
                <w:b/>
                <w:i/>
                <w:sz w:val="20"/>
              </w:rPr>
            </w:pPr>
            <w:r w:rsidRPr="00951C84">
              <w:rPr>
                <w:b/>
                <w:sz w:val="20"/>
              </w:rPr>
              <w:t>Actos impugnados y razones o motivos de inconformidad</w:t>
            </w:r>
            <w:r w:rsidRPr="00951C84">
              <w:rPr>
                <w:b/>
                <w:i/>
                <w:sz w:val="20"/>
              </w:rPr>
              <w:t>.</w:t>
            </w:r>
          </w:p>
        </w:tc>
      </w:tr>
      <w:tr w:rsidR="00951C84" w:rsidRPr="00951C84" w14:paraId="59EDCBCC" w14:textId="77777777" w:rsidTr="00EA09DB">
        <w:trPr>
          <w:trHeight w:val="1093"/>
        </w:trPr>
        <w:tc>
          <w:tcPr>
            <w:tcW w:w="2556" w:type="dxa"/>
          </w:tcPr>
          <w:p w14:paraId="6D568334" w14:textId="77777777" w:rsidR="00BB582D" w:rsidRPr="00951C84" w:rsidRDefault="00BB582D" w:rsidP="00951C84">
            <w:pPr>
              <w:jc w:val="center"/>
              <w:rPr>
                <w:b/>
                <w:sz w:val="20"/>
                <w:lang w:val="en-US"/>
              </w:rPr>
            </w:pPr>
            <w:r w:rsidRPr="00951C84">
              <w:rPr>
                <w:b/>
                <w:sz w:val="20"/>
              </w:rPr>
              <w:t xml:space="preserve"> </w:t>
            </w:r>
            <w:r w:rsidRPr="00951C84">
              <w:rPr>
                <w:b/>
                <w:sz w:val="20"/>
                <w:lang w:val="en-US"/>
              </w:rPr>
              <w:t>00213/TLALNEPA/IP/2024</w:t>
            </w:r>
          </w:p>
          <w:p w14:paraId="2AF44A58" w14:textId="77777777" w:rsidR="00BB582D" w:rsidRPr="00951C84" w:rsidRDefault="00BB582D" w:rsidP="00951C84">
            <w:pPr>
              <w:jc w:val="center"/>
              <w:rPr>
                <w:b/>
                <w:sz w:val="20"/>
                <w:lang w:val="en-US"/>
              </w:rPr>
            </w:pPr>
            <w:r w:rsidRPr="00951C84">
              <w:rPr>
                <w:b/>
                <w:sz w:val="20"/>
                <w:lang w:val="en-US"/>
              </w:rPr>
              <w:t>01587/INFOEM/IP/RR/2024</w:t>
            </w:r>
          </w:p>
          <w:p w14:paraId="747A2EDD" w14:textId="77777777" w:rsidR="00BB582D" w:rsidRPr="00951C84" w:rsidRDefault="00BB582D" w:rsidP="00951C84">
            <w:pPr>
              <w:jc w:val="center"/>
              <w:rPr>
                <w:b/>
                <w:sz w:val="20"/>
                <w:lang w:val="en-US"/>
              </w:rPr>
            </w:pPr>
          </w:p>
        </w:tc>
        <w:tc>
          <w:tcPr>
            <w:tcW w:w="6555" w:type="dxa"/>
            <w:tcMar>
              <w:top w:w="0" w:type="dxa"/>
              <w:left w:w="45" w:type="dxa"/>
              <w:bottom w:w="0" w:type="dxa"/>
              <w:right w:w="45" w:type="dxa"/>
            </w:tcMar>
          </w:tcPr>
          <w:p w14:paraId="17A01E64" w14:textId="77777777" w:rsidR="00BB582D" w:rsidRPr="00951C84" w:rsidRDefault="00BB582D" w:rsidP="00951C84">
            <w:pPr>
              <w:ind w:left="28"/>
              <w:rPr>
                <w:b/>
                <w:sz w:val="20"/>
              </w:rPr>
            </w:pPr>
            <w:r w:rsidRPr="00951C84">
              <w:rPr>
                <w:b/>
                <w:sz w:val="20"/>
              </w:rPr>
              <w:t>Acto impugnado:</w:t>
            </w:r>
          </w:p>
          <w:p w14:paraId="74BA9A4C" w14:textId="3AC71F0B" w:rsidR="00BB582D" w:rsidRPr="00951C84" w:rsidRDefault="00BB582D" w:rsidP="00951C84">
            <w:pPr>
              <w:ind w:left="28"/>
              <w:rPr>
                <w:i/>
                <w:sz w:val="20"/>
              </w:rPr>
            </w:pPr>
            <w:r w:rsidRPr="00951C84">
              <w:rPr>
                <w:i/>
                <w:sz w:val="20"/>
              </w:rPr>
              <w:t>“Respuesta”</w:t>
            </w:r>
          </w:p>
          <w:p w14:paraId="35BE49C0" w14:textId="77777777" w:rsidR="00BB582D" w:rsidRPr="00951C84" w:rsidRDefault="00BB582D" w:rsidP="00951C84">
            <w:pPr>
              <w:ind w:left="28"/>
              <w:rPr>
                <w:i/>
                <w:sz w:val="20"/>
              </w:rPr>
            </w:pPr>
          </w:p>
          <w:p w14:paraId="60201334" w14:textId="77777777" w:rsidR="00BB582D" w:rsidRPr="00951C84" w:rsidRDefault="00BB582D" w:rsidP="00951C84">
            <w:pPr>
              <w:ind w:left="28"/>
              <w:rPr>
                <w:b/>
                <w:sz w:val="20"/>
              </w:rPr>
            </w:pPr>
            <w:r w:rsidRPr="00951C84">
              <w:rPr>
                <w:b/>
                <w:sz w:val="20"/>
              </w:rPr>
              <w:t>Razones o motivos de inconformidad:</w:t>
            </w:r>
          </w:p>
          <w:p w14:paraId="498DA488" w14:textId="77A9611A" w:rsidR="00BB582D" w:rsidRPr="00951C84" w:rsidRDefault="00BB582D" w:rsidP="00951C84">
            <w:pPr>
              <w:ind w:left="28"/>
              <w:rPr>
                <w:i/>
                <w:sz w:val="20"/>
              </w:rPr>
            </w:pPr>
            <w:r w:rsidRPr="00951C84">
              <w:rPr>
                <w:i/>
                <w:sz w:val="20"/>
              </w:rPr>
              <w:t>“No remiten lo solicitado, mandan acuerdos mal hechos, solicitó les ordenen lo que solicite ya qué transparentan los recursos públicos y la rendición de cuentas.”</w:t>
            </w:r>
          </w:p>
        </w:tc>
      </w:tr>
      <w:tr w:rsidR="00BB582D" w:rsidRPr="00951C84" w14:paraId="57158C1C" w14:textId="77777777" w:rsidTr="00EA09DB">
        <w:trPr>
          <w:trHeight w:val="65"/>
        </w:trPr>
        <w:tc>
          <w:tcPr>
            <w:tcW w:w="2556" w:type="dxa"/>
          </w:tcPr>
          <w:p w14:paraId="78D4CD89" w14:textId="77777777" w:rsidR="00BB582D" w:rsidRPr="00951C84" w:rsidRDefault="00BB582D" w:rsidP="00951C84">
            <w:pPr>
              <w:jc w:val="center"/>
              <w:rPr>
                <w:b/>
                <w:sz w:val="20"/>
                <w:lang w:val="en-US"/>
              </w:rPr>
            </w:pPr>
            <w:r w:rsidRPr="00951C84">
              <w:rPr>
                <w:b/>
                <w:sz w:val="20"/>
                <w:lang w:val="en-US"/>
              </w:rPr>
              <w:t>00216/TLALNEPA/IP/2024</w:t>
            </w:r>
          </w:p>
          <w:p w14:paraId="16DDEA1F" w14:textId="77777777" w:rsidR="00BB582D" w:rsidRPr="00951C84" w:rsidRDefault="00BB582D" w:rsidP="00951C84">
            <w:pPr>
              <w:jc w:val="center"/>
              <w:rPr>
                <w:b/>
                <w:sz w:val="20"/>
                <w:lang w:val="en-US"/>
              </w:rPr>
            </w:pPr>
            <w:r w:rsidRPr="00951C84">
              <w:rPr>
                <w:b/>
                <w:sz w:val="20"/>
                <w:lang w:val="en-US"/>
              </w:rPr>
              <w:t>01595/INFOEM/IP/RR/2024</w:t>
            </w:r>
          </w:p>
          <w:p w14:paraId="496A1CEC" w14:textId="77777777" w:rsidR="00BB582D" w:rsidRPr="00951C84" w:rsidRDefault="00BB582D" w:rsidP="00951C84">
            <w:pPr>
              <w:jc w:val="center"/>
              <w:rPr>
                <w:b/>
                <w:sz w:val="20"/>
                <w:lang w:val="en-US"/>
              </w:rPr>
            </w:pPr>
          </w:p>
        </w:tc>
        <w:tc>
          <w:tcPr>
            <w:tcW w:w="6555" w:type="dxa"/>
            <w:tcMar>
              <w:top w:w="0" w:type="dxa"/>
              <w:left w:w="45" w:type="dxa"/>
              <w:bottom w:w="0" w:type="dxa"/>
              <w:right w:w="45" w:type="dxa"/>
            </w:tcMar>
          </w:tcPr>
          <w:p w14:paraId="0DE7C15F" w14:textId="77777777" w:rsidR="00BB582D" w:rsidRPr="00951C84" w:rsidRDefault="00BB582D" w:rsidP="00951C84">
            <w:pPr>
              <w:rPr>
                <w:b/>
                <w:sz w:val="20"/>
              </w:rPr>
            </w:pPr>
            <w:r w:rsidRPr="00951C84">
              <w:rPr>
                <w:b/>
                <w:sz w:val="20"/>
              </w:rPr>
              <w:t>Acto impugnado:</w:t>
            </w:r>
          </w:p>
          <w:p w14:paraId="0EF21682" w14:textId="6CD30487" w:rsidR="00BB582D" w:rsidRPr="00951C84" w:rsidRDefault="00BB582D" w:rsidP="00951C84">
            <w:pPr>
              <w:rPr>
                <w:i/>
                <w:sz w:val="20"/>
              </w:rPr>
            </w:pPr>
            <w:r w:rsidRPr="00951C84">
              <w:rPr>
                <w:i/>
                <w:sz w:val="20"/>
              </w:rPr>
              <w:t>“Respuesta”</w:t>
            </w:r>
          </w:p>
          <w:p w14:paraId="78562728" w14:textId="77777777" w:rsidR="00BB582D" w:rsidRPr="00951C84" w:rsidRDefault="00BB582D" w:rsidP="00951C84">
            <w:pPr>
              <w:rPr>
                <w:i/>
                <w:sz w:val="20"/>
              </w:rPr>
            </w:pPr>
          </w:p>
          <w:p w14:paraId="1C2910A3" w14:textId="77777777" w:rsidR="00BB582D" w:rsidRPr="00951C84" w:rsidRDefault="00BB582D" w:rsidP="00951C84">
            <w:pPr>
              <w:rPr>
                <w:b/>
                <w:sz w:val="20"/>
              </w:rPr>
            </w:pPr>
            <w:r w:rsidRPr="00951C84">
              <w:rPr>
                <w:b/>
                <w:sz w:val="20"/>
              </w:rPr>
              <w:t>Razones o motivos de inconformidad:</w:t>
            </w:r>
          </w:p>
          <w:p w14:paraId="6E6FEE4A" w14:textId="0E3812D5" w:rsidR="00BB582D" w:rsidRPr="00951C84" w:rsidRDefault="00BB582D" w:rsidP="00951C84">
            <w:pPr>
              <w:rPr>
                <w:b/>
                <w:i/>
                <w:sz w:val="20"/>
              </w:rPr>
            </w:pPr>
            <w:r w:rsidRPr="00951C84">
              <w:rPr>
                <w:i/>
                <w:sz w:val="20"/>
              </w:rPr>
              <w:t>“No remiten lo solicitado, mandan acuerdos mal hechos, solicitó les ordenen lo que solicite ya qué transparentan los recursos públicos y la rendición de cuentas.”</w:t>
            </w:r>
          </w:p>
        </w:tc>
      </w:tr>
    </w:tbl>
    <w:p w14:paraId="7A0948F0" w14:textId="77777777" w:rsidR="00F660AE" w:rsidRPr="00951C84" w:rsidRDefault="00F660AE" w:rsidP="00951C84">
      <w:pPr>
        <w:tabs>
          <w:tab w:val="left" w:pos="4667"/>
        </w:tabs>
        <w:ind w:right="822"/>
        <w:rPr>
          <w:b/>
        </w:rPr>
      </w:pPr>
    </w:p>
    <w:p w14:paraId="5140137A" w14:textId="77777777" w:rsidR="00F660AE" w:rsidRPr="00951C84" w:rsidRDefault="00054F72" w:rsidP="00951C84">
      <w:pPr>
        <w:pStyle w:val="Ttulo3"/>
      </w:pPr>
      <w:bookmarkStart w:id="9" w:name="_Toc178858419"/>
      <w:r w:rsidRPr="00951C84">
        <w:t>b) Turno de los Recursos de Revisión.</w:t>
      </w:r>
      <w:bookmarkEnd w:id="9"/>
    </w:p>
    <w:p w14:paraId="22380591" w14:textId="0E3A5DBB" w:rsidR="00F660AE" w:rsidRPr="00951C84" w:rsidRDefault="00054F72" w:rsidP="00951C84">
      <w:r w:rsidRPr="00951C84">
        <w:t>Con fundamento en el artículo 185, fracción I de la Ley de Transparencia y Acceso a la Información Pública del Estado de México y Municipios, el</w:t>
      </w:r>
      <w:r w:rsidRPr="00951C84">
        <w:rPr>
          <w:b/>
        </w:rPr>
        <w:t xml:space="preserve"> </w:t>
      </w:r>
      <w:r w:rsidR="00BB582D" w:rsidRPr="00951C84">
        <w:rPr>
          <w:b/>
        </w:rPr>
        <w:t>veinticuatro de marzo</w:t>
      </w:r>
      <w:r w:rsidRPr="00951C84">
        <w:rPr>
          <w:b/>
        </w:rPr>
        <w:t xml:space="preserve"> de dos mil </w:t>
      </w:r>
      <w:r w:rsidR="00D84C24" w:rsidRPr="00951C84">
        <w:rPr>
          <w:b/>
        </w:rPr>
        <w:t>veinticuatro</w:t>
      </w:r>
      <w:r w:rsidRPr="00951C84">
        <w:t xml:space="preserve"> se turnó el recurso de revisión a través del SAIMEX a las </w:t>
      </w:r>
      <w:r w:rsidRPr="00951C84">
        <w:rPr>
          <w:b/>
        </w:rPr>
        <w:t xml:space="preserve">Comisionadas Sharon Cristina Morales Martínez, María del Rosario Mejía Ayala y </w:t>
      </w:r>
      <w:r w:rsidR="00996D4D" w:rsidRPr="00951C84">
        <w:rPr>
          <w:b/>
        </w:rPr>
        <w:t>Guadalupe Ramírez Peña</w:t>
      </w:r>
      <w:r w:rsidRPr="00951C84">
        <w:t xml:space="preserve">, a efecto de decretar su admisión o </w:t>
      </w:r>
      <w:proofErr w:type="spellStart"/>
      <w:r w:rsidRPr="00951C84">
        <w:t>desechamiento</w:t>
      </w:r>
      <w:proofErr w:type="spellEnd"/>
      <w:r w:rsidRPr="00951C84">
        <w:t xml:space="preserve">. </w:t>
      </w:r>
    </w:p>
    <w:p w14:paraId="5A3A41C6" w14:textId="77777777" w:rsidR="00F660AE" w:rsidRPr="00951C84" w:rsidRDefault="00F660AE" w:rsidP="00951C84"/>
    <w:p w14:paraId="07FA2851" w14:textId="77777777" w:rsidR="00F660AE" w:rsidRPr="00951C84" w:rsidRDefault="00054F72" w:rsidP="00951C84">
      <w:pPr>
        <w:pStyle w:val="Ttulo3"/>
      </w:pPr>
      <w:bookmarkStart w:id="10" w:name="_Toc178858420"/>
      <w:r w:rsidRPr="00951C84">
        <w:t>c) Admisiones de los Recursos de Revisión.</w:t>
      </w:r>
      <w:bookmarkEnd w:id="10"/>
    </w:p>
    <w:p w14:paraId="22E967AC" w14:textId="7BF07D9E" w:rsidR="00F660AE" w:rsidRPr="00951C84" w:rsidRDefault="00054F72" w:rsidP="00951C84">
      <w:r w:rsidRPr="00951C84">
        <w:t xml:space="preserve">El </w:t>
      </w:r>
      <w:r w:rsidR="00BB582D" w:rsidRPr="00951C84">
        <w:rPr>
          <w:b/>
        </w:rPr>
        <w:t>dos y cinco de abril</w:t>
      </w:r>
      <w:r w:rsidRPr="00951C84">
        <w:rPr>
          <w:b/>
        </w:rPr>
        <w:t xml:space="preserve"> de dos mil </w:t>
      </w:r>
      <w:r w:rsidR="00D84C24" w:rsidRPr="00951C84">
        <w:rPr>
          <w:b/>
        </w:rPr>
        <w:t>veinticuatro</w:t>
      </w:r>
      <w:r w:rsidRPr="00951C84">
        <w:t xml:space="preserve"> se acordaron las admisiones a trámite de los Recursos de Revisión y se integraron los expedientes respectivos, mismos que se pusieron a </w:t>
      </w:r>
      <w:r w:rsidRPr="00951C84">
        <w:lastRenderedPageBreak/>
        <w:t>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7FFE1F02" w14:textId="77777777" w:rsidR="00DD4377" w:rsidRPr="00951C84" w:rsidRDefault="00DD4377" w:rsidP="00951C84"/>
    <w:p w14:paraId="41A80074" w14:textId="77777777" w:rsidR="00F660AE" w:rsidRPr="00951C84" w:rsidRDefault="00054F72" w:rsidP="00951C84">
      <w:pPr>
        <w:pStyle w:val="Ttulo3"/>
      </w:pPr>
      <w:bookmarkStart w:id="11" w:name="_Toc178858421"/>
      <w:r w:rsidRPr="00951C84">
        <w:t>d) Acumulación de los Recursos de Revisión</w:t>
      </w:r>
      <w:bookmarkEnd w:id="11"/>
    </w:p>
    <w:p w14:paraId="64EEAE06" w14:textId="3C0061FD" w:rsidR="00DD4377" w:rsidRPr="00951C84" w:rsidRDefault="00054F72" w:rsidP="00951C84">
      <w:pPr>
        <w:ind w:left="-57"/>
      </w:pPr>
      <w:bookmarkStart w:id="12" w:name="_heading=h.3rdcrjn" w:colFirst="0" w:colLast="0"/>
      <w:bookmarkEnd w:id="12"/>
      <w:r w:rsidRPr="00951C84">
        <w:t xml:space="preserve">Por economía procesal y con la finalidad de evitar resoluciones contradictorias, en la </w:t>
      </w:r>
      <w:r w:rsidR="00DD4377" w:rsidRPr="00951C84">
        <w:rPr>
          <w:b/>
        </w:rPr>
        <w:t>Décima Tercera</w:t>
      </w:r>
      <w:r w:rsidR="00EA09DB" w:rsidRPr="00951C84">
        <w:rPr>
          <w:b/>
        </w:rPr>
        <w:t xml:space="preserve"> S</w:t>
      </w:r>
      <w:r w:rsidR="00B5598D" w:rsidRPr="00951C84">
        <w:rPr>
          <w:b/>
        </w:rPr>
        <w:t>esión O</w:t>
      </w:r>
      <w:r w:rsidRPr="00951C84">
        <w:rPr>
          <w:b/>
        </w:rPr>
        <w:t>rdinaria</w:t>
      </w:r>
      <w:r w:rsidRPr="00951C84">
        <w:t xml:space="preserve">, celebrada </w:t>
      </w:r>
      <w:r w:rsidR="00DD4377" w:rsidRPr="00951C84">
        <w:t xml:space="preserve">el </w:t>
      </w:r>
      <w:r w:rsidR="00DD4377" w:rsidRPr="00951C84">
        <w:rPr>
          <w:b/>
        </w:rPr>
        <w:t>diecisiete de abril de dos mil veinticuatro</w:t>
      </w:r>
      <w:r w:rsidR="00DD4377" w:rsidRPr="00951C84">
        <w:t>, el Pleno de este Instituto determinó acumular los Recursos de Revisión 01587/INFOEM/IP/RR/2024 y 01595/INFOEM/IP/RR/2024.</w:t>
      </w:r>
    </w:p>
    <w:p w14:paraId="05F1E835" w14:textId="77777777" w:rsidR="00F660AE" w:rsidRPr="00951C84" w:rsidRDefault="00F660AE" w:rsidP="00951C84">
      <w:pPr>
        <w:rPr>
          <w:b/>
        </w:rPr>
      </w:pPr>
    </w:p>
    <w:p w14:paraId="2C65DCB2" w14:textId="77777777" w:rsidR="00F660AE" w:rsidRPr="00951C84" w:rsidRDefault="00054F72" w:rsidP="00951C84">
      <w:pPr>
        <w:pStyle w:val="Ttulo3"/>
      </w:pPr>
      <w:bookmarkStart w:id="13" w:name="_Toc178858422"/>
      <w:r w:rsidRPr="00951C84">
        <w:t>e) Informes Justificados del Sujeto Obligado.</w:t>
      </w:r>
      <w:bookmarkEnd w:id="13"/>
    </w:p>
    <w:tbl>
      <w:tblPr>
        <w:tblStyle w:val="a1"/>
        <w:tblW w:w="91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6"/>
        <w:gridCol w:w="6555"/>
      </w:tblGrid>
      <w:tr w:rsidR="00951C84" w:rsidRPr="00951C84" w14:paraId="51A03916" w14:textId="77777777" w:rsidTr="00951C84">
        <w:trPr>
          <w:trHeight w:val="225"/>
          <w:tblHeader/>
        </w:trPr>
        <w:tc>
          <w:tcPr>
            <w:tcW w:w="2556" w:type="dxa"/>
            <w:shd w:val="clear" w:color="auto" w:fill="D9D9D9" w:themeFill="background1" w:themeFillShade="D9"/>
            <w:vAlign w:val="center"/>
          </w:tcPr>
          <w:p w14:paraId="2BACACDA" w14:textId="77777777" w:rsidR="007C3031" w:rsidRPr="00951C84" w:rsidRDefault="007C3031" w:rsidP="00951C84">
            <w:pPr>
              <w:jc w:val="center"/>
              <w:rPr>
                <w:b/>
                <w:sz w:val="20"/>
              </w:rPr>
            </w:pPr>
            <w:r w:rsidRPr="00951C84">
              <w:rPr>
                <w:b/>
                <w:sz w:val="20"/>
              </w:rPr>
              <w:t>Folio Solicitudes de Información/Folio Recursos de revisión.</w:t>
            </w:r>
          </w:p>
        </w:tc>
        <w:tc>
          <w:tcPr>
            <w:tcW w:w="6555" w:type="dxa"/>
            <w:shd w:val="clear" w:color="auto" w:fill="D9D9D9" w:themeFill="background1" w:themeFillShade="D9"/>
            <w:tcMar>
              <w:top w:w="0" w:type="dxa"/>
              <w:left w:w="45" w:type="dxa"/>
              <w:bottom w:w="0" w:type="dxa"/>
              <w:right w:w="45" w:type="dxa"/>
            </w:tcMar>
            <w:vAlign w:val="center"/>
          </w:tcPr>
          <w:p w14:paraId="1A6FE490" w14:textId="2413B974" w:rsidR="007C3031" w:rsidRPr="00951C84" w:rsidRDefault="007C3031" w:rsidP="00951C84">
            <w:pPr>
              <w:jc w:val="center"/>
              <w:rPr>
                <w:b/>
                <w:i/>
                <w:sz w:val="20"/>
              </w:rPr>
            </w:pPr>
            <w:r w:rsidRPr="00951C84">
              <w:rPr>
                <w:b/>
                <w:sz w:val="20"/>
              </w:rPr>
              <w:t>Informes Justificados</w:t>
            </w:r>
          </w:p>
        </w:tc>
      </w:tr>
      <w:tr w:rsidR="00951C84" w:rsidRPr="00951C84" w14:paraId="6EF0D2EE" w14:textId="77777777" w:rsidTr="00B85AC9">
        <w:trPr>
          <w:trHeight w:val="1093"/>
        </w:trPr>
        <w:tc>
          <w:tcPr>
            <w:tcW w:w="2556" w:type="dxa"/>
          </w:tcPr>
          <w:p w14:paraId="0ABAD37E" w14:textId="77777777" w:rsidR="007C3031" w:rsidRPr="00951C84" w:rsidRDefault="007C3031" w:rsidP="00951C84">
            <w:pPr>
              <w:jc w:val="center"/>
              <w:rPr>
                <w:b/>
                <w:sz w:val="20"/>
                <w:lang w:val="en-US"/>
              </w:rPr>
            </w:pPr>
            <w:r w:rsidRPr="00951C84">
              <w:rPr>
                <w:b/>
                <w:sz w:val="20"/>
                <w:lang w:val="en-US"/>
              </w:rPr>
              <w:t xml:space="preserve"> 00213/TLALNEPA/IP/2024</w:t>
            </w:r>
          </w:p>
          <w:p w14:paraId="3C503BBA" w14:textId="77777777" w:rsidR="007C3031" w:rsidRPr="00951C84" w:rsidRDefault="007C3031" w:rsidP="00951C84">
            <w:pPr>
              <w:jc w:val="center"/>
              <w:rPr>
                <w:b/>
                <w:sz w:val="20"/>
                <w:lang w:val="en-US"/>
              </w:rPr>
            </w:pPr>
            <w:r w:rsidRPr="00951C84">
              <w:rPr>
                <w:b/>
                <w:sz w:val="20"/>
                <w:lang w:val="en-US"/>
              </w:rPr>
              <w:t>01587/INFOEM/IP/RR/2024</w:t>
            </w:r>
          </w:p>
          <w:p w14:paraId="6D1015D3" w14:textId="77777777" w:rsidR="007C3031" w:rsidRPr="00951C84" w:rsidRDefault="007C3031" w:rsidP="00951C84">
            <w:pPr>
              <w:jc w:val="center"/>
              <w:rPr>
                <w:b/>
                <w:sz w:val="20"/>
                <w:lang w:val="en-US"/>
              </w:rPr>
            </w:pPr>
          </w:p>
        </w:tc>
        <w:tc>
          <w:tcPr>
            <w:tcW w:w="6555" w:type="dxa"/>
            <w:tcMar>
              <w:top w:w="0" w:type="dxa"/>
              <w:left w:w="45" w:type="dxa"/>
              <w:bottom w:w="0" w:type="dxa"/>
              <w:right w:w="45" w:type="dxa"/>
            </w:tcMar>
          </w:tcPr>
          <w:p w14:paraId="40ACCCFC" w14:textId="559BE5DA" w:rsidR="007C3031" w:rsidRPr="00951C84" w:rsidRDefault="007C3031" w:rsidP="00951C84">
            <w:pPr>
              <w:ind w:left="28"/>
              <w:rPr>
                <w:b/>
                <w:i/>
                <w:sz w:val="20"/>
              </w:rPr>
            </w:pPr>
            <w:r w:rsidRPr="00951C84">
              <w:rPr>
                <w:b/>
                <w:i/>
                <w:sz w:val="20"/>
              </w:rPr>
              <w:t>MANIFESTACIONES.zip</w:t>
            </w:r>
            <w:r w:rsidR="00DF5353" w:rsidRPr="00951C84">
              <w:rPr>
                <w:b/>
                <w:i/>
                <w:sz w:val="20"/>
              </w:rPr>
              <w:t>:</w:t>
            </w:r>
          </w:p>
          <w:p w14:paraId="4F6D72AE" w14:textId="27291F77" w:rsidR="007C3031" w:rsidRPr="00951C84" w:rsidRDefault="00CB129F" w:rsidP="00951C84">
            <w:pPr>
              <w:ind w:left="28"/>
              <w:rPr>
                <w:szCs w:val="22"/>
              </w:rPr>
            </w:pPr>
            <w:r w:rsidRPr="00951C84">
              <w:rPr>
                <w:b/>
                <w:sz w:val="20"/>
              </w:rPr>
              <w:t>RESP DE OBRAS PÚBLICAS</w:t>
            </w:r>
            <w:r w:rsidR="007C3031" w:rsidRPr="00951C84">
              <w:rPr>
                <w:b/>
                <w:sz w:val="20"/>
              </w:rPr>
              <w:t>.-</w:t>
            </w:r>
            <w:r w:rsidR="007C3031" w:rsidRPr="00951C84">
              <w:rPr>
                <w:b/>
                <w:i/>
                <w:sz w:val="20"/>
              </w:rPr>
              <w:t xml:space="preserve"> </w:t>
            </w:r>
            <w:r w:rsidR="007C3031" w:rsidRPr="00951C84">
              <w:rPr>
                <w:szCs w:val="22"/>
              </w:rPr>
              <w:t>Oficio firmado por el Director de Obras Públicas, mediante el cual ratifica su respuesta.</w:t>
            </w:r>
          </w:p>
          <w:p w14:paraId="7FF7ADBA" w14:textId="77777777" w:rsidR="004C0E8B" w:rsidRPr="00951C84" w:rsidRDefault="004C0E8B" w:rsidP="00951C84">
            <w:pPr>
              <w:ind w:left="28"/>
              <w:rPr>
                <w:szCs w:val="22"/>
              </w:rPr>
            </w:pPr>
          </w:p>
          <w:p w14:paraId="34D54B36" w14:textId="292AF57A" w:rsidR="00DF5353" w:rsidRPr="00951C84" w:rsidRDefault="00DF5353" w:rsidP="00951C84">
            <w:pPr>
              <w:ind w:left="28"/>
              <w:rPr>
                <w:b/>
                <w:i/>
                <w:sz w:val="20"/>
              </w:rPr>
            </w:pPr>
            <w:r w:rsidRPr="00951C84">
              <w:rPr>
                <w:b/>
                <w:i/>
                <w:sz w:val="20"/>
              </w:rPr>
              <w:t xml:space="preserve">COMPLEMENTO DE INFORMACION.zip: </w:t>
            </w:r>
          </w:p>
          <w:p w14:paraId="701819B7" w14:textId="7D0D0412" w:rsidR="00DF5353" w:rsidRPr="00951C84" w:rsidRDefault="00CB129F" w:rsidP="00951C84">
            <w:pPr>
              <w:ind w:left="28"/>
              <w:rPr>
                <w:szCs w:val="22"/>
              </w:rPr>
            </w:pPr>
            <w:r w:rsidRPr="00951C84">
              <w:rPr>
                <w:b/>
                <w:sz w:val="20"/>
              </w:rPr>
              <w:t xml:space="preserve">03 acuerdo 11 TM </w:t>
            </w:r>
            <w:proofErr w:type="spellStart"/>
            <w:r w:rsidRPr="00951C84">
              <w:rPr>
                <w:b/>
                <w:sz w:val="20"/>
              </w:rPr>
              <w:t>acum</w:t>
            </w:r>
            <w:proofErr w:type="spellEnd"/>
            <w:r w:rsidRPr="00951C84">
              <w:rPr>
                <w:b/>
                <w:sz w:val="20"/>
              </w:rPr>
              <w:t xml:space="preserve"> y reserva</w:t>
            </w:r>
            <w:r w:rsidR="00DF5353" w:rsidRPr="00951C84">
              <w:rPr>
                <w:b/>
                <w:i/>
                <w:sz w:val="20"/>
              </w:rPr>
              <w:t xml:space="preserve">.- </w:t>
            </w:r>
            <w:r w:rsidR="004C0E8B" w:rsidRPr="00951C84">
              <w:rPr>
                <w:szCs w:val="22"/>
              </w:rPr>
              <w:t>Contiene un acuerdo de acumulación y confirmación de reserva de la Décima Primera Sesión Ordinaria número 03/CT/11-ORD/2024, de diversas solicitudes de información, entre ellas la 00213/TLALNEPA/IP/2024.</w:t>
            </w:r>
          </w:p>
          <w:p w14:paraId="5BD0A3F1" w14:textId="43276136" w:rsidR="004C0E8B" w:rsidRPr="00951C84" w:rsidRDefault="00CB129F" w:rsidP="00951C84">
            <w:pPr>
              <w:ind w:left="28"/>
              <w:rPr>
                <w:szCs w:val="22"/>
              </w:rPr>
            </w:pPr>
            <w:r w:rsidRPr="00951C84">
              <w:rPr>
                <w:b/>
                <w:szCs w:val="22"/>
              </w:rPr>
              <w:lastRenderedPageBreak/>
              <w:t>06_CT_03-ORD_2024</w:t>
            </w:r>
            <w:r w:rsidR="004C0E8B" w:rsidRPr="00951C84">
              <w:rPr>
                <w:b/>
                <w:szCs w:val="22"/>
              </w:rPr>
              <w:t>.-</w:t>
            </w:r>
            <w:r w:rsidR="004C0E8B" w:rsidRPr="00951C84">
              <w:rPr>
                <w:szCs w:val="22"/>
              </w:rPr>
              <w:t xml:space="preserve"> </w:t>
            </w:r>
            <w:r w:rsidR="006F1748" w:rsidRPr="00951C84">
              <w:rPr>
                <w:szCs w:val="22"/>
              </w:rPr>
              <w:t>Contiene acuerdo de acumulación y reserva de información 06/CT/03-ORD/2024, relativa a la tercera sesión ordinaria en donde se resuelve la aprobación de la acumulación  y clasificación de la información como reservada.</w:t>
            </w:r>
          </w:p>
          <w:p w14:paraId="3E5C8F71" w14:textId="287CC636" w:rsidR="004C0E8B" w:rsidRPr="00951C84" w:rsidRDefault="00CB129F" w:rsidP="00951C84">
            <w:pPr>
              <w:ind w:left="28"/>
              <w:rPr>
                <w:rFonts w:eastAsia="Palatino Linotype" w:cs="Palatino Linotype"/>
              </w:rPr>
            </w:pPr>
            <w:r w:rsidRPr="00951C84">
              <w:rPr>
                <w:b/>
                <w:szCs w:val="22"/>
              </w:rPr>
              <w:t>inicio auditoria AIF-083_OSFEM</w:t>
            </w:r>
            <w:r w:rsidR="006F1748" w:rsidRPr="00951C84">
              <w:rPr>
                <w:b/>
                <w:szCs w:val="22"/>
              </w:rPr>
              <w:t xml:space="preserve">.- </w:t>
            </w:r>
            <w:r w:rsidR="006F1748" w:rsidRPr="00951C84">
              <w:rPr>
                <w:rFonts w:eastAsia="Palatino Linotype" w:cs="Palatino Linotype"/>
              </w:rPr>
              <w:t>Contiene oficio firmado por el Auditor Especial de Cumplimiento Financiero e Inversión Física del OSFEM, de fecha 22 de febrero de 2023, para la práctica de la auditoría de inversión física con número AIF-083.</w:t>
            </w:r>
          </w:p>
          <w:p w14:paraId="36E449D2" w14:textId="4AD51D24" w:rsidR="00DF5353" w:rsidRPr="00951C84" w:rsidRDefault="00CB129F" w:rsidP="00951C84">
            <w:pPr>
              <w:ind w:left="28"/>
              <w:rPr>
                <w:b/>
                <w:i/>
                <w:sz w:val="20"/>
              </w:rPr>
            </w:pPr>
            <w:r w:rsidRPr="00951C84">
              <w:rPr>
                <w:b/>
                <w:szCs w:val="22"/>
              </w:rPr>
              <w:t>RESP DE TESORERIA</w:t>
            </w:r>
            <w:r w:rsidR="006F1748" w:rsidRPr="00951C84">
              <w:rPr>
                <w:b/>
                <w:szCs w:val="22"/>
              </w:rPr>
              <w:t>.-</w:t>
            </w:r>
            <w:r w:rsidR="006F1748" w:rsidRPr="00951C84">
              <w:rPr>
                <w:szCs w:val="22"/>
              </w:rPr>
              <w:t xml:space="preserve"> Oficio firmado por el Tesorero Municipal, mediante el cual ratifica la respuesta emitida.</w:t>
            </w:r>
          </w:p>
        </w:tc>
      </w:tr>
      <w:tr w:rsidR="007C3031" w:rsidRPr="00951C84" w14:paraId="07A89704" w14:textId="77777777" w:rsidTr="00B85AC9">
        <w:trPr>
          <w:trHeight w:val="65"/>
        </w:trPr>
        <w:tc>
          <w:tcPr>
            <w:tcW w:w="2556" w:type="dxa"/>
          </w:tcPr>
          <w:p w14:paraId="27D8E5E7" w14:textId="77777777" w:rsidR="007C3031" w:rsidRPr="00951C84" w:rsidRDefault="007C3031" w:rsidP="00951C84">
            <w:pPr>
              <w:jc w:val="center"/>
              <w:rPr>
                <w:b/>
                <w:sz w:val="20"/>
                <w:lang w:val="en-US"/>
              </w:rPr>
            </w:pPr>
            <w:r w:rsidRPr="00951C84">
              <w:rPr>
                <w:b/>
                <w:sz w:val="20"/>
                <w:lang w:val="en-US"/>
              </w:rPr>
              <w:lastRenderedPageBreak/>
              <w:t>00216/TLALNEPA/IP/2024</w:t>
            </w:r>
          </w:p>
          <w:p w14:paraId="46F8A90E" w14:textId="77777777" w:rsidR="007C3031" w:rsidRPr="00951C84" w:rsidRDefault="007C3031" w:rsidP="00951C84">
            <w:pPr>
              <w:jc w:val="center"/>
              <w:rPr>
                <w:b/>
                <w:sz w:val="20"/>
                <w:lang w:val="en-US"/>
              </w:rPr>
            </w:pPr>
            <w:r w:rsidRPr="00951C84">
              <w:rPr>
                <w:b/>
                <w:sz w:val="20"/>
                <w:lang w:val="en-US"/>
              </w:rPr>
              <w:t>01595/INFOEM/IP/RR/2024</w:t>
            </w:r>
          </w:p>
          <w:p w14:paraId="4C7A6BA1" w14:textId="77777777" w:rsidR="007C3031" w:rsidRPr="00951C84" w:rsidRDefault="007C3031" w:rsidP="00951C84">
            <w:pPr>
              <w:jc w:val="center"/>
              <w:rPr>
                <w:b/>
                <w:sz w:val="20"/>
                <w:lang w:val="en-US"/>
              </w:rPr>
            </w:pPr>
          </w:p>
        </w:tc>
        <w:tc>
          <w:tcPr>
            <w:tcW w:w="6555" w:type="dxa"/>
            <w:tcMar>
              <w:top w:w="0" w:type="dxa"/>
              <w:left w:w="45" w:type="dxa"/>
              <w:bottom w:w="0" w:type="dxa"/>
              <w:right w:w="45" w:type="dxa"/>
            </w:tcMar>
          </w:tcPr>
          <w:p w14:paraId="60BA25AF" w14:textId="77777777" w:rsidR="007C3031" w:rsidRPr="00951C84" w:rsidRDefault="00B85AC9" w:rsidP="00951C84">
            <w:pPr>
              <w:rPr>
                <w:b/>
                <w:i/>
                <w:sz w:val="20"/>
              </w:rPr>
            </w:pPr>
            <w:r w:rsidRPr="00951C84">
              <w:rPr>
                <w:b/>
                <w:i/>
                <w:sz w:val="20"/>
              </w:rPr>
              <w:t xml:space="preserve">MANIFESTACIONES.zip.- </w:t>
            </w:r>
          </w:p>
          <w:p w14:paraId="13E496E6" w14:textId="53EE0AF6" w:rsidR="00B85AC9" w:rsidRPr="00951C84" w:rsidRDefault="00D86414" w:rsidP="00951C84">
            <w:pPr>
              <w:ind w:left="28"/>
              <w:rPr>
                <w:szCs w:val="22"/>
              </w:rPr>
            </w:pPr>
            <w:r w:rsidRPr="00951C84">
              <w:rPr>
                <w:b/>
                <w:sz w:val="20"/>
              </w:rPr>
              <w:t xml:space="preserve">RESP DE OBRAS </w:t>
            </w:r>
            <w:proofErr w:type="gramStart"/>
            <w:r w:rsidRPr="00951C84">
              <w:rPr>
                <w:b/>
                <w:sz w:val="20"/>
              </w:rPr>
              <w:t>PUBLICAS</w:t>
            </w:r>
            <w:proofErr w:type="gramEnd"/>
            <w:r w:rsidR="00B85AC9" w:rsidRPr="00951C84">
              <w:rPr>
                <w:b/>
                <w:sz w:val="20"/>
              </w:rPr>
              <w:t>.-</w:t>
            </w:r>
            <w:r w:rsidR="00B85AC9" w:rsidRPr="00951C84">
              <w:rPr>
                <w:b/>
                <w:i/>
                <w:sz w:val="20"/>
              </w:rPr>
              <w:t xml:space="preserve"> </w:t>
            </w:r>
            <w:r w:rsidR="00B85AC9" w:rsidRPr="00951C84">
              <w:rPr>
                <w:szCs w:val="22"/>
              </w:rPr>
              <w:t>Oficio firmado por el Director de Obras Públicas, mediante el cual ratifica su respuesta.</w:t>
            </w:r>
          </w:p>
          <w:p w14:paraId="0BE86A80" w14:textId="77777777" w:rsidR="00B85AC9" w:rsidRPr="00951C84" w:rsidRDefault="00B85AC9" w:rsidP="00951C84">
            <w:pPr>
              <w:ind w:left="28"/>
              <w:rPr>
                <w:szCs w:val="22"/>
              </w:rPr>
            </w:pPr>
          </w:p>
          <w:p w14:paraId="6E4A7355" w14:textId="77777777" w:rsidR="00B85AC9" w:rsidRPr="00951C84" w:rsidRDefault="00B85AC9" w:rsidP="00951C84">
            <w:pPr>
              <w:ind w:left="28"/>
              <w:rPr>
                <w:b/>
                <w:i/>
                <w:sz w:val="20"/>
              </w:rPr>
            </w:pPr>
            <w:r w:rsidRPr="00951C84">
              <w:rPr>
                <w:b/>
                <w:i/>
                <w:sz w:val="20"/>
              </w:rPr>
              <w:t xml:space="preserve">COMPLEMENTO DE INFORMACION.zip: </w:t>
            </w:r>
          </w:p>
          <w:p w14:paraId="393784FB" w14:textId="7FDF624F" w:rsidR="00B85AC9" w:rsidRPr="00951C84" w:rsidRDefault="00D86414" w:rsidP="00951C84">
            <w:pPr>
              <w:ind w:left="28"/>
              <w:rPr>
                <w:szCs w:val="22"/>
              </w:rPr>
            </w:pPr>
            <w:r w:rsidRPr="00951C84">
              <w:rPr>
                <w:b/>
                <w:szCs w:val="22"/>
              </w:rPr>
              <w:t xml:space="preserve">03 acuerdo 11 TM </w:t>
            </w:r>
            <w:proofErr w:type="spellStart"/>
            <w:r w:rsidRPr="00951C84">
              <w:rPr>
                <w:b/>
                <w:szCs w:val="22"/>
              </w:rPr>
              <w:t>acum</w:t>
            </w:r>
            <w:proofErr w:type="spellEnd"/>
            <w:r w:rsidRPr="00951C84">
              <w:rPr>
                <w:b/>
                <w:szCs w:val="22"/>
              </w:rPr>
              <w:t xml:space="preserve"> y reserva</w:t>
            </w:r>
            <w:r w:rsidR="00B85AC9" w:rsidRPr="00951C84">
              <w:rPr>
                <w:b/>
                <w:szCs w:val="22"/>
              </w:rPr>
              <w:t>.-</w:t>
            </w:r>
            <w:r w:rsidR="00B85AC9" w:rsidRPr="00951C84">
              <w:rPr>
                <w:b/>
                <w:sz w:val="20"/>
              </w:rPr>
              <w:t xml:space="preserve"> </w:t>
            </w:r>
            <w:r w:rsidR="00B85AC9" w:rsidRPr="00951C84">
              <w:rPr>
                <w:szCs w:val="22"/>
              </w:rPr>
              <w:t>Contiene un acuerdo de acumulación y confirmación de reserva de la Décima Primera Sesión Ordinaria número 03/CT/11-ORD/2024, de diversas solicitudes de información, entre ellas la 00213/TLALNEPA/IP/2024.</w:t>
            </w:r>
          </w:p>
          <w:p w14:paraId="21F569D3" w14:textId="0F208629" w:rsidR="00B85AC9" w:rsidRPr="00951C84" w:rsidRDefault="00D86414" w:rsidP="00951C84">
            <w:pPr>
              <w:ind w:left="28"/>
              <w:rPr>
                <w:szCs w:val="22"/>
              </w:rPr>
            </w:pPr>
            <w:r w:rsidRPr="00951C84">
              <w:rPr>
                <w:b/>
                <w:szCs w:val="22"/>
              </w:rPr>
              <w:t>06_CT_03-ORD_2024</w:t>
            </w:r>
            <w:r w:rsidR="00B85AC9" w:rsidRPr="00951C84">
              <w:rPr>
                <w:b/>
                <w:szCs w:val="22"/>
              </w:rPr>
              <w:t>.-</w:t>
            </w:r>
            <w:r w:rsidR="00B85AC9" w:rsidRPr="00951C84">
              <w:rPr>
                <w:szCs w:val="22"/>
              </w:rPr>
              <w:t xml:space="preserve"> Contiene acuerdo de acumulación y reserva de información 06/CT/03-ORD/2024, relativa a la tercera </w:t>
            </w:r>
            <w:r w:rsidR="00B85AC9" w:rsidRPr="00951C84">
              <w:rPr>
                <w:szCs w:val="22"/>
              </w:rPr>
              <w:lastRenderedPageBreak/>
              <w:t>sesión ordinaria en donde se resuelve la aprobación de la acumulación  y clasificación de la información como reservada.</w:t>
            </w:r>
          </w:p>
          <w:p w14:paraId="5EE998EB" w14:textId="6DF7EC3E" w:rsidR="00B85AC9" w:rsidRPr="00951C84" w:rsidRDefault="00D86414" w:rsidP="00951C84">
            <w:pPr>
              <w:ind w:left="28"/>
              <w:rPr>
                <w:rFonts w:eastAsia="Palatino Linotype" w:cs="Palatino Linotype"/>
              </w:rPr>
            </w:pPr>
            <w:r w:rsidRPr="00951C84">
              <w:rPr>
                <w:b/>
                <w:szCs w:val="22"/>
              </w:rPr>
              <w:t>inicio auditoria AIF-083_OSFEM</w:t>
            </w:r>
            <w:r w:rsidR="00B85AC9" w:rsidRPr="00951C84">
              <w:rPr>
                <w:b/>
                <w:szCs w:val="22"/>
              </w:rPr>
              <w:t>.-</w:t>
            </w:r>
            <w:r w:rsidR="00B85AC9" w:rsidRPr="00951C84">
              <w:rPr>
                <w:szCs w:val="22"/>
              </w:rPr>
              <w:t xml:space="preserve"> </w:t>
            </w:r>
            <w:r w:rsidR="00B85AC9" w:rsidRPr="00951C84">
              <w:rPr>
                <w:rFonts w:eastAsia="Palatino Linotype" w:cs="Palatino Linotype"/>
              </w:rPr>
              <w:t>Contiene oficio firmado por el Auditor Especial de Cumplimiento Financiero e Inversión Física del OSFEM, de fecha 22 de febrero de 2023, para la práctica de la auditoría de inversión física con número AIF-083.</w:t>
            </w:r>
          </w:p>
          <w:p w14:paraId="545623CF" w14:textId="42B0520B" w:rsidR="00B85AC9" w:rsidRPr="00951C84" w:rsidRDefault="00D86414" w:rsidP="00951C84">
            <w:pPr>
              <w:rPr>
                <w:b/>
                <w:i/>
                <w:sz w:val="20"/>
              </w:rPr>
            </w:pPr>
            <w:r w:rsidRPr="00951C84">
              <w:rPr>
                <w:b/>
                <w:szCs w:val="22"/>
              </w:rPr>
              <w:t>RESP DE TESORERIA</w:t>
            </w:r>
            <w:r w:rsidR="00B85AC9" w:rsidRPr="00951C84">
              <w:rPr>
                <w:b/>
                <w:szCs w:val="22"/>
              </w:rPr>
              <w:t>.-</w:t>
            </w:r>
            <w:r w:rsidR="00B85AC9" w:rsidRPr="00951C84">
              <w:rPr>
                <w:szCs w:val="22"/>
              </w:rPr>
              <w:t xml:space="preserve"> Oficio firmado por el Tesorero Municipal, mediante el cual ratifica la respuesta emitida.</w:t>
            </w:r>
          </w:p>
        </w:tc>
      </w:tr>
    </w:tbl>
    <w:p w14:paraId="72E8C871" w14:textId="77777777" w:rsidR="00F660AE" w:rsidRPr="00951C84" w:rsidRDefault="00F660AE" w:rsidP="00951C84">
      <w:pPr>
        <w:ind w:right="539"/>
      </w:pPr>
    </w:p>
    <w:p w14:paraId="675E9514" w14:textId="77777777" w:rsidR="00F660AE" w:rsidRPr="00951C84" w:rsidRDefault="00054F72" w:rsidP="00951C84">
      <w:pPr>
        <w:pStyle w:val="Ttulo3"/>
      </w:pPr>
      <w:bookmarkStart w:id="14" w:name="_Toc178858423"/>
      <w:r w:rsidRPr="00951C84">
        <w:t>f) Manifestaciones de la Parte Recurrente.</w:t>
      </w:r>
      <w:bookmarkEnd w:id="14"/>
    </w:p>
    <w:p w14:paraId="6C636F73" w14:textId="53089614" w:rsidR="00EA1303" w:rsidRPr="00951C84" w:rsidRDefault="00054F72" w:rsidP="00951C84">
      <w:r w:rsidRPr="00951C84">
        <w:rPr>
          <w:b/>
        </w:rPr>
        <w:t xml:space="preserve">LA PARTE RECURRENTE </w:t>
      </w:r>
      <w:r w:rsidRPr="00951C84">
        <w:t>no realizó manifestación alguna dentro del término legalmente concedido para tal efecto, ni presentó pruebas o alegatos.</w:t>
      </w:r>
    </w:p>
    <w:p w14:paraId="699EE1FA" w14:textId="77777777" w:rsidR="00951C84" w:rsidRPr="00951C84" w:rsidRDefault="00951C84" w:rsidP="00951C84"/>
    <w:p w14:paraId="334385D1" w14:textId="692210DB" w:rsidR="00F660AE" w:rsidRPr="00951C84" w:rsidRDefault="00EA1303" w:rsidP="00951C84">
      <w:pPr>
        <w:pStyle w:val="Ttulo3"/>
      </w:pPr>
      <w:bookmarkStart w:id="15" w:name="_Toc178858424"/>
      <w:r w:rsidRPr="00951C84">
        <w:t>g</w:t>
      </w:r>
      <w:r w:rsidR="00054F72" w:rsidRPr="00951C84">
        <w:t>) Cierres de instrucción.</w:t>
      </w:r>
      <w:bookmarkEnd w:id="15"/>
    </w:p>
    <w:p w14:paraId="407164CA" w14:textId="3F854CCC" w:rsidR="00F660AE" w:rsidRPr="00951C84" w:rsidRDefault="00054F72" w:rsidP="00951C84">
      <w:bookmarkStart w:id="16" w:name="_heading=h.44sinio" w:colFirst="0" w:colLast="0"/>
      <w:bookmarkEnd w:id="16"/>
      <w:r w:rsidRPr="00951C84">
        <w:t xml:space="preserve">Al no existir diligencias pendientes por desahogar, el </w:t>
      </w:r>
      <w:r w:rsidR="00B5598D" w:rsidRPr="00951C84">
        <w:rPr>
          <w:b/>
        </w:rPr>
        <w:t>ocho</w:t>
      </w:r>
      <w:r w:rsidR="009616F9" w:rsidRPr="00951C84">
        <w:rPr>
          <w:b/>
        </w:rPr>
        <w:t xml:space="preserve"> de octubre</w:t>
      </w:r>
      <w:r w:rsidRPr="00951C84">
        <w:rPr>
          <w:b/>
        </w:rPr>
        <w:t xml:space="preserve"> de dos mil veinticuatro</w:t>
      </w:r>
      <w:r w:rsidRPr="00951C84">
        <w:t xml:space="preserve"> la </w:t>
      </w:r>
      <w:r w:rsidRPr="00951C84">
        <w:rPr>
          <w:b/>
        </w:rPr>
        <w:t xml:space="preserve">Comisionada Sharon Cristina Morales Martínez </w:t>
      </w:r>
      <w:r w:rsidRPr="00951C84">
        <w:t>acordó el cierre de instrucción y la remisión de</w:t>
      </w:r>
      <w:r w:rsidR="00053C1D" w:rsidRPr="00951C84">
        <w:t xml:space="preserve"> </w:t>
      </w:r>
      <w:r w:rsidRPr="00951C84">
        <w:t>l</w:t>
      </w:r>
      <w:r w:rsidR="00053C1D" w:rsidRPr="00951C84">
        <w:t xml:space="preserve">os </w:t>
      </w:r>
      <w:r w:rsidRPr="00951C84">
        <w:t>expediente</w:t>
      </w:r>
      <w:r w:rsidR="00053C1D" w:rsidRPr="00951C84">
        <w:t>s</w:t>
      </w:r>
      <w:r w:rsidRPr="00951C84">
        <w:t xml:space="preserve"> a efecto de ser resuelto</w:t>
      </w:r>
      <w:r w:rsidR="00053C1D" w:rsidRPr="00951C84">
        <w:t>s</w:t>
      </w:r>
      <w:r w:rsidRPr="00951C84">
        <w:t>, de conformidad con lo establecido en el artículo 185 fracciones VI y VIII de la Ley de Transparencia y Acceso a la Información Pública del Estado de México y Municipios. Dicho acuerdo fue notificado a las partes el mismo día a través del SAIMEX.</w:t>
      </w:r>
    </w:p>
    <w:p w14:paraId="7E6518FC" w14:textId="77777777" w:rsidR="00951C84" w:rsidRPr="00951C84" w:rsidRDefault="00951C84" w:rsidP="00951C84"/>
    <w:p w14:paraId="4E989B6E" w14:textId="465C1158" w:rsidR="00951C84" w:rsidRPr="00951C84" w:rsidRDefault="00951C84" w:rsidP="00951C84">
      <w:pPr>
        <w:pStyle w:val="Ttulo3"/>
        <w:spacing w:line="360" w:lineRule="auto"/>
        <w:rPr>
          <w:szCs w:val="22"/>
        </w:rPr>
      </w:pPr>
      <w:bookmarkStart w:id="17" w:name="_Toc178786406"/>
      <w:r w:rsidRPr="00951C84">
        <w:rPr>
          <w:szCs w:val="22"/>
        </w:rPr>
        <w:lastRenderedPageBreak/>
        <w:t>h) Ampliación de plazo para resolver el Recurso de Revisión</w:t>
      </w:r>
      <w:bookmarkEnd w:id="17"/>
    </w:p>
    <w:p w14:paraId="4F8F9F54" w14:textId="77777777" w:rsidR="00951C84" w:rsidRPr="00951C84" w:rsidRDefault="00951C84" w:rsidP="00951C84">
      <w:pPr>
        <w:tabs>
          <w:tab w:val="left" w:pos="3261"/>
        </w:tabs>
        <w:rPr>
          <w:szCs w:val="22"/>
        </w:rPr>
      </w:pPr>
      <w:r w:rsidRPr="00951C84">
        <w:rPr>
          <w:szCs w:val="22"/>
        </w:rPr>
        <w:t xml:space="preserve">Con fundamento en lo dispuesto en el artículo 181, párrafo tercero, de la Ley de Transparencia y Acceso a la Información Pública del Estado de México y Municipios, </w:t>
      </w:r>
      <w:r w:rsidRPr="00951C84">
        <w:rPr>
          <w:b/>
          <w:szCs w:val="22"/>
        </w:rPr>
        <w:t>el diez de julio de dos mil veinticuatro</w:t>
      </w:r>
      <w:r w:rsidRPr="00951C84">
        <w:rPr>
          <w:szCs w:val="22"/>
        </w:rPr>
        <w:t xml:space="preserve"> se acordó ampliar por un periodo razonable el plazo para resolver el presente Recurso de Revisión; acuerdo que fue notificado a las partes a través del SAIMEX en la misma fecha.</w:t>
      </w:r>
    </w:p>
    <w:p w14:paraId="53E04796" w14:textId="77777777" w:rsidR="00951C84" w:rsidRPr="00951C84" w:rsidRDefault="00951C84" w:rsidP="00951C84">
      <w:pPr>
        <w:tabs>
          <w:tab w:val="left" w:pos="3261"/>
        </w:tabs>
        <w:rPr>
          <w:szCs w:val="22"/>
        </w:rPr>
      </w:pPr>
    </w:p>
    <w:p w14:paraId="5E2718D0" w14:textId="77777777" w:rsidR="00951C84" w:rsidRPr="00951C84" w:rsidRDefault="00951C84" w:rsidP="00951C84">
      <w:pPr>
        <w:pBdr>
          <w:top w:val="nil"/>
          <w:left w:val="nil"/>
          <w:bottom w:val="nil"/>
          <w:right w:val="nil"/>
          <w:between w:val="nil"/>
        </w:pBdr>
        <w:rPr>
          <w:rFonts w:eastAsia="Palatino Linotype" w:cs="Palatino Linotype"/>
          <w:szCs w:val="22"/>
        </w:rPr>
      </w:pPr>
      <w:r w:rsidRPr="00951C84">
        <w:rPr>
          <w:rFonts w:eastAsia="Palatino Linotype" w:cs="Palatino Linotype"/>
          <w:szCs w:val="22"/>
        </w:rPr>
        <w:t>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1CEFBCCE" w14:textId="77777777" w:rsidR="00951C84" w:rsidRPr="00951C84" w:rsidRDefault="00951C84" w:rsidP="00951C84">
      <w:pPr>
        <w:pBdr>
          <w:top w:val="nil"/>
          <w:left w:val="nil"/>
          <w:bottom w:val="nil"/>
          <w:right w:val="nil"/>
          <w:between w:val="nil"/>
        </w:pBdr>
        <w:rPr>
          <w:rFonts w:eastAsia="Palatino Linotype" w:cs="Palatino Linotype"/>
          <w:szCs w:val="22"/>
        </w:rPr>
      </w:pPr>
    </w:p>
    <w:p w14:paraId="342AEB20" w14:textId="77777777" w:rsidR="00951C84" w:rsidRPr="00951C84" w:rsidRDefault="00951C84" w:rsidP="00951C84">
      <w:pPr>
        <w:pBdr>
          <w:top w:val="nil"/>
          <w:left w:val="nil"/>
          <w:bottom w:val="nil"/>
          <w:right w:val="nil"/>
          <w:between w:val="nil"/>
        </w:pBdr>
        <w:rPr>
          <w:rFonts w:eastAsia="Palatino Linotype" w:cs="Palatino Linotype"/>
          <w:szCs w:val="22"/>
        </w:rPr>
      </w:pPr>
      <w:r w:rsidRPr="00951C84">
        <w:rPr>
          <w:rFonts w:eastAsia="Palatino Linotype" w:cs="Palatino Linotype"/>
          <w:szCs w:val="22"/>
        </w:rPr>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6D8AFE9E" w14:textId="77777777" w:rsidR="00951C84" w:rsidRPr="00951C84" w:rsidRDefault="00951C84" w:rsidP="00951C84">
      <w:pPr>
        <w:pBdr>
          <w:top w:val="nil"/>
          <w:left w:val="nil"/>
          <w:bottom w:val="nil"/>
          <w:right w:val="nil"/>
          <w:between w:val="nil"/>
        </w:pBdr>
        <w:rPr>
          <w:rFonts w:eastAsia="Palatino Linotype" w:cs="Palatino Linotype"/>
          <w:szCs w:val="22"/>
        </w:rPr>
      </w:pPr>
    </w:p>
    <w:p w14:paraId="0856E4FE" w14:textId="77777777" w:rsidR="00951C84" w:rsidRPr="00951C84" w:rsidRDefault="00951C84" w:rsidP="00951C84">
      <w:pPr>
        <w:pBdr>
          <w:top w:val="nil"/>
          <w:left w:val="nil"/>
          <w:bottom w:val="nil"/>
          <w:right w:val="nil"/>
          <w:between w:val="nil"/>
        </w:pBdr>
        <w:rPr>
          <w:rFonts w:eastAsia="Palatino Linotype" w:cs="Palatino Linotype"/>
          <w:szCs w:val="22"/>
        </w:rPr>
      </w:pPr>
      <w:r w:rsidRPr="00951C84">
        <w:rPr>
          <w:rFonts w:eastAsia="Palatino Linotype" w:cs="Palatino Linotype"/>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14:paraId="089BA5D7" w14:textId="77777777" w:rsidR="00951C84" w:rsidRPr="00951C84" w:rsidRDefault="00951C84" w:rsidP="00951C84">
      <w:pPr>
        <w:pBdr>
          <w:top w:val="nil"/>
          <w:left w:val="nil"/>
          <w:bottom w:val="nil"/>
          <w:right w:val="nil"/>
          <w:between w:val="nil"/>
        </w:pBdr>
        <w:rPr>
          <w:rFonts w:eastAsia="Palatino Linotype" w:cs="Palatino Linotype"/>
          <w:szCs w:val="22"/>
        </w:rPr>
      </w:pPr>
    </w:p>
    <w:p w14:paraId="5635DA1C" w14:textId="77777777" w:rsidR="00951C84" w:rsidRPr="00951C84" w:rsidRDefault="00951C84" w:rsidP="00951C84">
      <w:pPr>
        <w:pBdr>
          <w:top w:val="nil"/>
          <w:left w:val="nil"/>
          <w:bottom w:val="nil"/>
          <w:right w:val="nil"/>
          <w:between w:val="nil"/>
        </w:pBdr>
        <w:rPr>
          <w:rFonts w:eastAsia="Palatino Linotype" w:cs="Palatino Linotype"/>
          <w:szCs w:val="22"/>
        </w:rPr>
      </w:pPr>
      <w:r w:rsidRPr="00951C84">
        <w:rPr>
          <w:rFonts w:eastAsia="Palatino Linotype" w:cs="Palatino Linotype"/>
          <w:szCs w:val="22"/>
        </w:rPr>
        <w:lastRenderedPageBreak/>
        <w:t>Por ello, excepcionalmente, si un asunto es resuelto con posterioridad a los plazos señalados por la norma, debe analizarse la razonabilidad del tiempo necesario para su resolución, atentos a los siguientes criterios:</w:t>
      </w:r>
    </w:p>
    <w:p w14:paraId="6AFD3611" w14:textId="77777777" w:rsidR="00951C84" w:rsidRPr="00951C84" w:rsidRDefault="00951C84" w:rsidP="00951C84">
      <w:pPr>
        <w:pBdr>
          <w:top w:val="nil"/>
          <w:left w:val="nil"/>
          <w:bottom w:val="nil"/>
          <w:right w:val="nil"/>
          <w:between w:val="nil"/>
        </w:pBdr>
        <w:rPr>
          <w:rFonts w:eastAsia="Palatino Linotype" w:cs="Palatino Linotype"/>
          <w:szCs w:val="22"/>
        </w:rPr>
      </w:pPr>
    </w:p>
    <w:p w14:paraId="0F101879" w14:textId="77777777" w:rsidR="00951C84" w:rsidRPr="00951C84" w:rsidRDefault="00951C84" w:rsidP="00951C84">
      <w:pPr>
        <w:pBdr>
          <w:top w:val="nil"/>
          <w:left w:val="nil"/>
          <w:bottom w:val="nil"/>
          <w:right w:val="nil"/>
          <w:between w:val="nil"/>
        </w:pBdr>
        <w:ind w:left="567" w:right="539"/>
        <w:rPr>
          <w:rFonts w:eastAsia="Palatino Linotype" w:cs="Palatino Linotype"/>
          <w:szCs w:val="22"/>
        </w:rPr>
      </w:pPr>
      <w:r w:rsidRPr="00951C84">
        <w:rPr>
          <w:rFonts w:eastAsia="Palatino Linotype" w:cs="Palatino Linotype"/>
          <w:b/>
          <w:szCs w:val="22"/>
        </w:rPr>
        <w:t>Complejidad del asunto:</w:t>
      </w:r>
      <w:r w:rsidRPr="00951C84">
        <w:rPr>
          <w:rFonts w:eastAsia="Palatino Linotype" w:cs="Palatino Linotype"/>
          <w:szCs w:val="22"/>
        </w:rPr>
        <w:t xml:space="preserve"> La complejidad de la prueba, la pluralidad de sujetos procesales, el tiempo transcurrido, las características y contexto del recurso.</w:t>
      </w:r>
    </w:p>
    <w:p w14:paraId="77879BD1" w14:textId="77777777" w:rsidR="00951C84" w:rsidRPr="00951C84" w:rsidRDefault="00951C84" w:rsidP="00951C84">
      <w:pPr>
        <w:pBdr>
          <w:top w:val="nil"/>
          <w:left w:val="nil"/>
          <w:bottom w:val="nil"/>
          <w:right w:val="nil"/>
          <w:between w:val="nil"/>
        </w:pBdr>
        <w:ind w:left="567" w:right="539"/>
        <w:rPr>
          <w:rFonts w:eastAsia="Palatino Linotype" w:cs="Palatino Linotype"/>
          <w:szCs w:val="22"/>
        </w:rPr>
      </w:pPr>
      <w:r w:rsidRPr="00951C84">
        <w:rPr>
          <w:rFonts w:eastAsia="Palatino Linotype" w:cs="Palatino Linotype"/>
          <w:b/>
          <w:szCs w:val="22"/>
        </w:rPr>
        <w:t>Actividad Procesal del interesado:</w:t>
      </w:r>
      <w:r w:rsidRPr="00951C84">
        <w:rPr>
          <w:rFonts w:eastAsia="Palatino Linotype" w:cs="Palatino Linotype"/>
          <w:szCs w:val="22"/>
        </w:rPr>
        <w:t xml:space="preserve"> Acciones u omisiones del interesado.</w:t>
      </w:r>
    </w:p>
    <w:p w14:paraId="2871942B" w14:textId="77777777" w:rsidR="00951C84" w:rsidRPr="00951C84" w:rsidRDefault="00951C84" w:rsidP="00951C84">
      <w:pPr>
        <w:pBdr>
          <w:top w:val="nil"/>
          <w:left w:val="nil"/>
          <w:bottom w:val="nil"/>
          <w:right w:val="nil"/>
          <w:between w:val="nil"/>
        </w:pBdr>
        <w:ind w:left="567" w:right="539"/>
        <w:rPr>
          <w:rFonts w:eastAsia="Palatino Linotype" w:cs="Palatino Linotype"/>
          <w:szCs w:val="22"/>
        </w:rPr>
      </w:pPr>
      <w:r w:rsidRPr="00951C84">
        <w:rPr>
          <w:rFonts w:eastAsia="Palatino Linotype" w:cs="Palatino Linotype"/>
          <w:b/>
          <w:szCs w:val="22"/>
        </w:rPr>
        <w:t>Conducta de la Autoridad:</w:t>
      </w:r>
      <w:r w:rsidRPr="00951C84">
        <w:rPr>
          <w:rFonts w:eastAsia="Palatino Linotype" w:cs="Palatino Linotype"/>
          <w:szCs w:val="22"/>
        </w:rPr>
        <w:t xml:space="preserve"> Las Acciones u omisiones realizadas en el procedimiento. Así como si la autoridad actuó con la debida diligencia.</w:t>
      </w:r>
    </w:p>
    <w:p w14:paraId="284DF72F" w14:textId="77777777" w:rsidR="00951C84" w:rsidRPr="00951C84" w:rsidRDefault="00951C84" w:rsidP="00951C84">
      <w:pPr>
        <w:pBdr>
          <w:top w:val="nil"/>
          <w:left w:val="nil"/>
          <w:bottom w:val="nil"/>
          <w:right w:val="nil"/>
          <w:between w:val="nil"/>
        </w:pBdr>
        <w:ind w:left="567" w:right="539"/>
        <w:rPr>
          <w:rFonts w:eastAsia="Palatino Linotype" w:cs="Palatino Linotype"/>
          <w:szCs w:val="22"/>
        </w:rPr>
      </w:pPr>
      <w:r w:rsidRPr="00951C84">
        <w:rPr>
          <w:rFonts w:eastAsia="Palatino Linotype" w:cs="Palatino Linotype"/>
          <w:b/>
          <w:szCs w:val="22"/>
        </w:rPr>
        <w:t>La afectación generada en la situación jurídica de la persona involucrada en el proceso:</w:t>
      </w:r>
      <w:r w:rsidRPr="00951C84">
        <w:rPr>
          <w:rFonts w:eastAsia="Palatino Linotype" w:cs="Palatino Linotype"/>
          <w:szCs w:val="22"/>
        </w:rPr>
        <w:t xml:space="preserve"> Violación a sus derechos humanos.</w:t>
      </w:r>
    </w:p>
    <w:p w14:paraId="52109D71" w14:textId="77777777" w:rsidR="00951C84" w:rsidRPr="00951C84" w:rsidRDefault="00951C84" w:rsidP="00951C84">
      <w:pPr>
        <w:pBdr>
          <w:top w:val="nil"/>
          <w:left w:val="nil"/>
          <w:bottom w:val="nil"/>
          <w:right w:val="nil"/>
          <w:between w:val="nil"/>
        </w:pBdr>
        <w:ind w:left="567" w:right="539"/>
        <w:rPr>
          <w:rFonts w:eastAsia="Palatino Linotype" w:cs="Palatino Linotype"/>
          <w:szCs w:val="22"/>
        </w:rPr>
      </w:pPr>
    </w:p>
    <w:p w14:paraId="6274C9F2" w14:textId="77777777" w:rsidR="00951C84" w:rsidRPr="00951C84" w:rsidRDefault="00951C84" w:rsidP="00951C84">
      <w:pPr>
        <w:pBdr>
          <w:top w:val="nil"/>
          <w:left w:val="nil"/>
          <w:bottom w:val="nil"/>
          <w:right w:val="nil"/>
          <w:between w:val="nil"/>
        </w:pBdr>
        <w:rPr>
          <w:rFonts w:eastAsia="Palatino Linotype" w:cs="Palatino Linotype"/>
          <w:szCs w:val="22"/>
        </w:rPr>
      </w:pPr>
      <w:r w:rsidRPr="00951C84">
        <w:rPr>
          <w:rFonts w:eastAsia="Palatino Linotype" w:cs="Palatino Linotype"/>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5743736" w14:textId="77777777" w:rsidR="00951C84" w:rsidRPr="00951C84" w:rsidRDefault="00951C84" w:rsidP="00951C84">
      <w:pPr>
        <w:pBdr>
          <w:top w:val="nil"/>
          <w:left w:val="nil"/>
          <w:bottom w:val="nil"/>
          <w:right w:val="nil"/>
          <w:between w:val="nil"/>
        </w:pBdr>
        <w:rPr>
          <w:rFonts w:eastAsia="Palatino Linotype" w:cs="Palatino Linotype"/>
          <w:szCs w:val="22"/>
        </w:rPr>
      </w:pPr>
    </w:p>
    <w:p w14:paraId="4676D47B" w14:textId="77777777" w:rsidR="00951C84" w:rsidRPr="00951C84" w:rsidRDefault="00951C84" w:rsidP="00951C84">
      <w:pPr>
        <w:pBdr>
          <w:top w:val="nil"/>
          <w:left w:val="nil"/>
          <w:bottom w:val="nil"/>
          <w:right w:val="nil"/>
          <w:between w:val="nil"/>
        </w:pBdr>
        <w:rPr>
          <w:rFonts w:eastAsia="Palatino Linotype" w:cs="Palatino Linotype"/>
          <w:szCs w:val="22"/>
        </w:rPr>
      </w:pPr>
      <w:r w:rsidRPr="00951C84">
        <w:rPr>
          <w:rFonts w:eastAsia="Palatino Linotype" w:cs="Palatino Linotype"/>
          <w:szCs w:val="22"/>
        </w:rPr>
        <w:t>Argumento que encuentra sustento en la jurisprudencia P</w:t>
      </w:r>
      <w:proofErr w:type="gramStart"/>
      <w:r w:rsidRPr="00951C84">
        <w:rPr>
          <w:rFonts w:eastAsia="Palatino Linotype" w:cs="Palatino Linotype"/>
          <w:szCs w:val="22"/>
        </w:rPr>
        <w:t>./</w:t>
      </w:r>
      <w:proofErr w:type="gramEnd"/>
      <w:r w:rsidRPr="00951C84">
        <w:rPr>
          <w:rFonts w:eastAsia="Palatino Linotype" w:cs="Palatino Linotype"/>
          <w:szCs w:val="22"/>
        </w:rPr>
        <w:t>J. 32/92 emitida por el Pleno de la Suprema Corte de Justicia de la Nación de rubro “</w:t>
      </w:r>
      <w:r w:rsidRPr="00951C84">
        <w:rPr>
          <w:rFonts w:eastAsia="Palatino Linotype" w:cs="Palatino Linotype"/>
          <w:b/>
          <w:szCs w:val="22"/>
        </w:rPr>
        <w:t>TÉRMINOS PROCESALES. PARA DETERMINAR SI UN FUNCIONARIO JUDICIAL ACTUÓ INDEBIDAMENTE POR NO RESPETARLOS SE DEBE ATENDER AL PRESUPUESTO QUE CONSIDERÓ EL LEGISLADOR AL FIJARLOS Y LAS CARACTERÍSTICAS DEL CASO</w:t>
      </w:r>
      <w:r w:rsidRPr="00951C84">
        <w:rPr>
          <w:rFonts w:eastAsia="Palatino Linotype" w:cs="Palatino Linotype"/>
          <w:szCs w:val="22"/>
        </w:rPr>
        <w:t>.”, visible en la Gaceta del Seminario Judicial de la Federación con el registro digital 205635.</w:t>
      </w:r>
    </w:p>
    <w:p w14:paraId="57C23F8F" w14:textId="77777777" w:rsidR="00951C84" w:rsidRPr="00951C84" w:rsidRDefault="00951C84" w:rsidP="00951C84">
      <w:pPr>
        <w:pBdr>
          <w:top w:val="nil"/>
          <w:left w:val="nil"/>
          <w:bottom w:val="nil"/>
          <w:right w:val="nil"/>
          <w:between w:val="nil"/>
        </w:pBdr>
        <w:rPr>
          <w:rFonts w:eastAsia="Palatino Linotype" w:cs="Palatino Linotype"/>
          <w:szCs w:val="22"/>
        </w:rPr>
      </w:pPr>
    </w:p>
    <w:p w14:paraId="520D38B9" w14:textId="77777777" w:rsidR="00951C84" w:rsidRPr="00951C84" w:rsidRDefault="00951C84" w:rsidP="00951C84">
      <w:pPr>
        <w:pBdr>
          <w:top w:val="nil"/>
          <w:left w:val="nil"/>
          <w:bottom w:val="nil"/>
          <w:right w:val="nil"/>
          <w:between w:val="nil"/>
        </w:pBdr>
        <w:rPr>
          <w:rFonts w:eastAsia="Palatino Linotype" w:cs="Palatino Linotype"/>
          <w:szCs w:val="22"/>
        </w:rPr>
      </w:pPr>
      <w:r w:rsidRPr="00951C84">
        <w:rPr>
          <w:rFonts w:eastAsia="Palatino Linotype" w:cs="Palatino Linotype"/>
          <w:szCs w:val="22"/>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0460100" w14:textId="77777777" w:rsidR="00951C84" w:rsidRPr="00951C84" w:rsidRDefault="00951C84" w:rsidP="00951C84">
      <w:pPr>
        <w:pBdr>
          <w:top w:val="nil"/>
          <w:left w:val="nil"/>
          <w:bottom w:val="nil"/>
          <w:right w:val="nil"/>
          <w:between w:val="nil"/>
        </w:pBdr>
        <w:rPr>
          <w:rFonts w:eastAsia="Palatino Linotype" w:cs="Palatino Linotype"/>
          <w:szCs w:val="22"/>
        </w:rPr>
      </w:pPr>
    </w:p>
    <w:p w14:paraId="78A13723" w14:textId="77777777" w:rsidR="00951C84" w:rsidRPr="00951C84" w:rsidRDefault="00951C84" w:rsidP="00951C84">
      <w:pPr>
        <w:pBdr>
          <w:top w:val="nil"/>
          <w:left w:val="nil"/>
          <w:bottom w:val="nil"/>
          <w:right w:val="nil"/>
          <w:between w:val="nil"/>
        </w:pBdr>
        <w:rPr>
          <w:rFonts w:eastAsia="Palatino Linotype" w:cs="Palatino Linotype"/>
          <w:szCs w:val="22"/>
        </w:rPr>
      </w:pPr>
      <w:r w:rsidRPr="00951C84">
        <w:rPr>
          <w:rFonts w:eastAsia="Palatino Linotype" w:cs="Palatino Linotype"/>
          <w:szCs w:val="22"/>
        </w:rPr>
        <w:t>Al respecto, también son de considerar los criterios sostenidos por el Cuarto Tribunal Colegiado en Materia Administrativa del Primer Circuito, cuyos rubros y datos de identificación son los siguientes:</w:t>
      </w:r>
    </w:p>
    <w:p w14:paraId="5BCD2742" w14:textId="77777777" w:rsidR="00951C84" w:rsidRPr="00951C84" w:rsidRDefault="00951C84" w:rsidP="00951C84">
      <w:pPr>
        <w:pBdr>
          <w:top w:val="nil"/>
          <w:left w:val="nil"/>
          <w:bottom w:val="nil"/>
          <w:right w:val="nil"/>
          <w:between w:val="nil"/>
        </w:pBdr>
        <w:rPr>
          <w:rFonts w:eastAsia="Palatino Linotype" w:cs="Palatino Linotype"/>
          <w:szCs w:val="22"/>
        </w:rPr>
      </w:pPr>
    </w:p>
    <w:p w14:paraId="6867FE65" w14:textId="77777777" w:rsidR="00951C84" w:rsidRPr="00951C84" w:rsidRDefault="00951C84" w:rsidP="00951C84">
      <w:pPr>
        <w:pBdr>
          <w:top w:val="nil"/>
          <w:left w:val="nil"/>
          <w:bottom w:val="nil"/>
          <w:right w:val="nil"/>
          <w:between w:val="nil"/>
        </w:pBdr>
        <w:ind w:left="567" w:right="539"/>
        <w:rPr>
          <w:rFonts w:eastAsia="Palatino Linotype" w:cs="Palatino Linotype"/>
          <w:szCs w:val="22"/>
        </w:rPr>
      </w:pPr>
      <w:r w:rsidRPr="00951C84">
        <w:rPr>
          <w:rFonts w:eastAsia="Palatino Linotype" w:cs="Palatino Linotype"/>
          <w:b/>
          <w:szCs w:val="22"/>
        </w:rPr>
        <w:t>“PLAZO RAZONABLE PARA RESOLVER. DIMENSIÓN Y EFECTOS DE ESTE CONCEPTO CUANDO SE ADUCE EXCESIVA CARGA DE TRABAJO.”</w:t>
      </w:r>
      <w:r w:rsidRPr="00951C84">
        <w:rPr>
          <w:rFonts w:eastAsia="Palatino Linotype" w:cs="Palatino Linotype"/>
          <w:szCs w:val="22"/>
        </w:rPr>
        <w:t xml:space="preserve"> consultable en el Seminario Judicial de la Federación y su gaceta, con el registro digital 2002351.</w:t>
      </w:r>
    </w:p>
    <w:p w14:paraId="78974659" w14:textId="77777777" w:rsidR="00951C84" w:rsidRPr="00951C84" w:rsidRDefault="00951C84" w:rsidP="00951C84">
      <w:pPr>
        <w:pBdr>
          <w:top w:val="nil"/>
          <w:left w:val="nil"/>
          <w:bottom w:val="nil"/>
          <w:right w:val="nil"/>
          <w:between w:val="nil"/>
        </w:pBdr>
        <w:ind w:left="567" w:right="539"/>
        <w:rPr>
          <w:rFonts w:eastAsia="Palatino Linotype" w:cs="Palatino Linotype"/>
          <w:szCs w:val="22"/>
        </w:rPr>
      </w:pPr>
    </w:p>
    <w:p w14:paraId="5E72C67B" w14:textId="77777777" w:rsidR="00951C84" w:rsidRPr="00951C84" w:rsidRDefault="00951C84" w:rsidP="00951C84">
      <w:pPr>
        <w:pBdr>
          <w:top w:val="nil"/>
          <w:left w:val="nil"/>
          <w:bottom w:val="nil"/>
          <w:right w:val="nil"/>
          <w:between w:val="nil"/>
        </w:pBdr>
        <w:ind w:left="567" w:right="539"/>
        <w:rPr>
          <w:rFonts w:eastAsia="Palatino Linotype" w:cs="Palatino Linotype"/>
          <w:szCs w:val="22"/>
        </w:rPr>
      </w:pPr>
      <w:r w:rsidRPr="00951C84">
        <w:rPr>
          <w:rFonts w:eastAsia="Palatino Linotype" w:cs="Palatino Linotype"/>
          <w:b/>
          <w:szCs w:val="22"/>
        </w:rPr>
        <w:t>“PLAZO RAZONABLE PARA RESOLVER. CONCEPTO Y ELEMENTOS QUE LO INTEGRAN A LA LUZ DEL DERECHO INTERNACIONAL DE LOS DERECHOS HUMANOS</w:t>
      </w:r>
      <w:r w:rsidRPr="00951C84">
        <w:rPr>
          <w:rFonts w:eastAsia="Palatino Linotype" w:cs="Palatino Linotype"/>
          <w:szCs w:val="22"/>
        </w:rPr>
        <w:t>.”, visible en el Seminario Judicial de la Federación y su gaceta, con el registro digital 2002350.</w:t>
      </w:r>
    </w:p>
    <w:p w14:paraId="74354A27" w14:textId="77777777" w:rsidR="00951C84" w:rsidRPr="00951C84" w:rsidRDefault="00951C84" w:rsidP="00951C84">
      <w:pPr>
        <w:pBdr>
          <w:top w:val="nil"/>
          <w:left w:val="nil"/>
          <w:bottom w:val="nil"/>
          <w:right w:val="nil"/>
          <w:between w:val="nil"/>
        </w:pBdr>
        <w:rPr>
          <w:rFonts w:eastAsia="Palatino Linotype" w:cs="Palatino Linotype"/>
          <w:szCs w:val="22"/>
        </w:rPr>
      </w:pPr>
    </w:p>
    <w:p w14:paraId="3B6AA278" w14:textId="77777777" w:rsidR="00951C84" w:rsidRPr="00951C84" w:rsidRDefault="00951C84" w:rsidP="00951C84">
      <w:pPr>
        <w:pBdr>
          <w:top w:val="nil"/>
          <w:left w:val="nil"/>
          <w:bottom w:val="nil"/>
          <w:right w:val="nil"/>
          <w:between w:val="nil"/>
        </w:pBdr>
        <w:rPr>
          <w:rFonts w:eastAsia="Palatino Linotype" w:cs="Palatino Linotype"/>
          <w:szCs w:val="22"/>
        </w:rPr>
      </w:pPr>
      <w:r w:rsidRPr="00951C84">
        <w:rPr>
          <w:rFonts w:eastAsia="Palatino Linotype" w:cs="Palatino Linotype"/>
          <w:szCs w:val="22"/>
        </w:rPr>
        <w:lastRenderedPageBreak/>
        <w:t>Por ello, este organismo garante comprometido con la tutela de los derechos humanos confiados señala que este exceso del plazo legal para resolver el asunto resulta de carácter excepcional.</w:t>
      </w:r>
    </w:p>
    <w:p w14:paraId="59346642" w14:textId="77777777" w:rsidR="00F660AE" w:rsidRPr="00951C84" w:rsidRDefault="00F660AE" w:rsidP="00951C84"/>
    <w:p w14:paraId="4A43D9C0" w14:textId="77777777" w:rsidR="00F660AE" w:rsidRPr="00951C84" w:rsidRDefault="00054F72" w:rsidP="00951C84">
      <w:pPr>
        <w:pStyle w:val="Ttulo1"/>
      </w:pPr>
      <w:bookmarkStart w:id="18" w:name="_Toc178858425"/>
      <w:r w:rsidRPr="00951C84">
        <w:t>CONSIDERANDOS</w:t>
      </w:r>
      <w:bookmarkEnd w:id="18"/>
    </w:p>
    <w:p w14:paraId="28058A8B" w14:textId="77777777" w:rsidR="00F660AE" w:rsidRPr="00951C84" w:rsidRDefault="00F660AE" w:rsidP="00951C84">
      <w:pPr>
        <w:jc w:val="center"/>
        <w:rPr>
          <w:b/>
        </w:rPr>
      </w:pPr>
    </w:p>
    <w:p w14:paraId="77A0D0A2" w14:textId="77777777" w:rsidR="00F660AE" w:rsidRPr="00951C84" w:rsidRDefault="00054F72" w:rsidP="00951C84">
      <w:pPr>
        <w:pStyle w:val="Ttulo2"/>
      </w:pPr>
      <w:bookmarkStart w:id="19" w:name="_Toc178858426"/>
      <w:r w:rsidRPr="00951C84">
        <w:t xml:space="preserve">PRIMERO. </w:t>
      </w:r>
      <w:proofErr w:type="spellStart"/>
      <w:r w:rsidRPr="00951C84">
        <w:t>Procedibilidad</w:t>
      </w:r>
      <w:bookmarkEnd w:id="19"/>
      <w:proofErr w:type="spellEnd"/>
    </w:p>
    <w:p w14:paraId="6F70C465" w14:textId="77777777" w:rsidR="00F660AE" w:rsidRPr="00951C84" w:rsidRDefault="00054F72" w:rsidP="00951C84">
      <w:pPr>
        <w:pStyle w:val="Ttulo3"/>
      </w:pPr>
      <w:bookmarkStart w:id="20" w:name="_Toc178858427"/>
      <w:r w:rsidRPr="00951C84">
        <w:t>a) Competencia del Instituto.</w:t>
      </w:r>
      <w:bookmarkEnd w:id="20"/>
    </w:p>
    <w:p w14:paraId="542B461C" w14:textId="77777777" w:rsidR="00F660AE" w:rsidRPr="00951C84" w:rsidRDefault="00054F72" w:rsidP="00951C84">
      <w:r w:rsidRPr="00951C84">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1B2D7DE9" w14:textId="77777777" w:rsidR="00F660AE" w:rsidRPr="00951C84" w:rsidRDefault="00F660AE" w:rsidP="00951C84"/>
    <w:p w14:paraId="3B44100A" w14:textId="77777777" w:rsidR="00F660AE" w:rsidRPr="00951C84" w:rsidRDefault="00054F72" w:rsidP="00951C84">
      <w:pPr>
        <w:pStyle w:val="Ttulo3"/>
      </w:pPr>
      <w:bookmarkStart w:id="21" w:name="_Toc178858428"/>
      <w:r w:rsidRPr="00951C84">
        <w:t>b) Legitimidad de la parte recurrente.</w:t>
      </w:r>
      <w:bookmarkEnd w:id="21"/>
    </w:p>
    <w:p w14:paraId="3D28128B" w14:textId="77777777" w:rsidR="00F660AE" w:rsidRPr="00951C84" w:rsidRDefault="00054F72" w:rsidP="00951C84">
      <w:r w:rsidRPr="00951C84">
        <w:t>El recurso de revisión fue interpuesto por parte legítima, ya que se presentó por la misma persona que formuló la solicitud de acceso a la Información Pública,</w:t>
      </w:r>
      <w:r w:rsidRPr="00951C84">
        <w:rPr>
          <w:b/>
        </w:rPr>
        <w:t xml:space="preserve"> </w:t>
      </w:r>
      <w:r w:rsidRPr="00951C84">
        <w:t>debido a que los datos de acceso</w:t>
      </w:r>
      <w:r w:rsidRPr="00951C84">
        <w:rPr>
          <w:b/>
        </w:rPr>
        <w:t xml:space="preserve"> </w:t>
      </w:r>
      <w:r w:rsidRPr="00951C84">
        <w:t>SAIMEX son personales e irrepetibles.</w:t>
      </w:r>
    </w:p>
    <w:p w14:paraId="455C4034" w14:textId="77777777" w:rsidR="00F660AE" w:rsidRPr="00951C84" w:rsidRDefault="00F660AE" w:rsidP="00951C84"/>
    <w:p w14:paraId="7025A294" w14:textId="77777777" w:rsidR="000E1F7F" w:rsidRPr="00951C84" w:rsidRDefault="000E1F7F" w:rsidP="00951C84">
      <w:pPr>
        <w:pStyle w:val="Ttulo3"/>
      </w:pPr>
      <w:bookmarkStart w:id="22" w:name="_Toc171960593"/>
      <w:bookmarkStart w:id="23" w:name="_Toc178858429"/>
      <w:r w:rsidRPr="00951C84">
        <w:lastRenderedPageBreak/>
        <w:t>c) Plazo para interponer el recurso</w:t>
      </w:r>
      <w:bookmarkEnd w:id="22"/>
      <w:bookmarkEnd w:id="23"/>
    </w:p>
    <w:p w14:paraId="25F63A3C" w14:textId="1583927C" w:rsidR="00B139A3" w:rsidRPr="00951C84" w:rsidRDefault="00B139A3" w:rsidP="00951C84">
      <w:bookmarkStart w:id="24" w:name="_1hmsyys" w:colFirst="0" w:colLast="0"/>
      <w:bookmarkEnd w:id="24"/>
      <w:r w:rsidRPr="00951C84">
        <w:rPr>
          <w:rFonts w:cs="Arial"/>
          <w:b/>
        </w:rPr>
        <w:t>EL SUJETO OBLIGADO</w:t>
      </w:r>
      <w:r w:rsidRPr="00951C84">
        <w:rPr>
          <w:rFonts w:cs="Arial"/>
        </w:rPr>
        <w:t xml:space="preserve"> notificó las respuesta a las solicitudes de acceso a la Información Pública el </w:t>
      </w:r>
      <w:r w:rsidR="009616F9" w:rsidRPr="00951C84">
        <w:rPr>
          <w:rFonts w:eastAsia="Palatino Linotype" w:cs="Palatino Linotype"/>
          <w:b/>
        </w:rPr>
        <w:t>veintidós de marzo</w:t>
      </w:r>
      <w:r w:rsidRPr="00951C84">
        <w:rPr>
          <w:rFonts w:eastAsia="Palatino Linotype" w:cs="Palatino Linotype"/>
          <w:b/>
        </w:rPr>
        <w:t xml:space="preserve"> de dos mil veinticuatro, </w:t>
      </w:r>
      <w:r w:rsidRPr="00951C84">
        <w:rPr>
          <w:rFonts w:cs="Arial"/>
        </w:rPr>
        <w:t xml:space="preserve">y los recursos </w:t>
      </w:r>
      <w:r w:rsidRPr="00951C84">
        <w:rPr>
          <w:rFonts w:eastAsia="Palatino Linotype" w:cs="Palatino Linotype"/>
        </w:rPr>
        <w:t xml:space="preserve">que nos ocupan se interpuso el </w:t>
      </w:r>
      <w:r w:rsidR="009616F9" w:rsidRPr="00951C84">
        <w:rPr>
          <w:rFonts w:eastAsia="Palatino Linotype" w:cs="Palatino Linotype"/>
          <w:b/>
        </w:rPr>
        <w:t>veintitrés de marzo</w:t>
      </w:r>
      <w:r w:rsidRPr="00951C84">
        <w:rPr>
          <w:rFonts w:eastAsia="Palatino Linotype" w:cs="Palatino Linotype"/>
          <w:b/>
        </w:rPr>
        <w:t xml:space="preserve"> de dos mil veinticuatro</w:t>
      </w:r>
      <w:r w:rsidRPr="00951C84">
        <w:rPr>
          <w:rFonts w:eastAsia="Palatino Linotype" w:cs="Palatino Linotype"/>
          <w:bCs/>
        </w:rPr>
        <w:t>;</w:t>
      </w:r>
      <w:r w:rsidRPr="00951C84">
        <w:rPr>
          <w:rFonts w:eastAsia="Palatino Linotype" w:cs="Palatino Linotype"/>
        </w:rPr>
        <w:t xml:space="preserve"> por lo tanto, estos se encuentra dentro del margen temporal previsto en el artículo 178 de la </w:t>
      </w:r>
      <w:r w:rsidRPr="00951C84">
        <w:rPr>
          <w:rFonts w:cs="Arial"/>
        </w:rPr>
        <w:t>Ley de Transparencia y Acceso a la Información Pública del Estado de México y Municipios</w:t>
      </w:r>
      <w:r w:rsidR="009616F9" w:rsidRPr="00951C84">
        <w:rPr>
          <w:rFonts w:cs="Arial"/>
        </w:rPr>
        <w:t>.</w:t>
      </w:r>
    </w:p>
    <w:p w14:paraId="030C1286" w14:textId="77777777" w:rsidR="000E1F7F" w:rsidRPr="00951C84" w:rsidRDefault="000E1F7F" w:rsidP="00951C84"/>
    <w:p w14:paraId="012F5CF3" w14:textId="77777777" w:rsidR="000E1F7F" w:rsidRPr="00951C84" w:rsidRDefault="000E1F7F" w:rsidP="00951C84">
      <w:pPr>
        <w:pStyle w:val="Ttulo3"/>
      </w:pPr>
      <w:bookmarkStart w:id="25" w:name="_Toc171960594"/>
      <w:bookmarkStart w:id="26" w:name="_Toc178858430"/>
      <w:r w:rsidRPr="00951C84">
        <w:t>d) Causal de procedencia</w:t>
      </w:r>
      <w:bookmarkEnd w:id="25"/>
      <w:bookmarkEnd w:id="26"/>
    </w:p>
    <w:p w14:paraId="110D8796" w14:textId="6AC7FBEE" w:rsidR="000E1F7F" w:rsidRPr="00951C84" w:rsidRDefault="000E1F7F" w:rsidP="00951C84">
      <w:r w:rsidRPr="00951C84">
        <w:t xml:space="preserve">Resulta procedente la interposición de los recursos de revisión, ya que se actualiza la causal de procedencia señalada en el artículo 179, fracción </w:t>
      </w:r>
      <w:r w:rsidR="00793CD8" w:rsidRPr="00951C84">
        <w:t>I</w:t>
      </w:r>
      <w:r w:rsidRPr="00951C84">
        <w:t>I de la Ley de Transparencia y Acceso a la Información Pública del Estado de México y Municipios.</w:t>
      </w:r>
    </w:p>
    <w:p w14:paraId="2E63D945" w14:textId="77777777" w:rsidR="00F660AE" w:rsidRPr="00951C84" w:rsidRDefault="00F660AE" w:rsidP="00951C84"/>
    <w:p w14:paraId="4792F220" w14:textId="77777777" w:rsidR="00F660AE" w:rsidRPr="00951C84" w:rsidRDefault="00054F72" w:rsidP="00951C84">
      <w:pPr>
        <w:pStyle w:val="Ttulo3"/>
      </w:pPr>
      <w:bookmarkStart w:id="27" w:name="_Toc178858431"/>
      <w:r w:rsidRPr="00951C84">
        <w:t>e) Requisitos formales para la interposición del recurso.</w:t>
      </w:r>
      <w:bookmarkEnd w:id="27"/>
    </w:p>
    <w:p w14:paraId="43C4D17D" w14:textId="3B7C5231" w:rsidR="004274D0" w:rsidRPr="00951C84" w:rsidRDefault="004274D0" w:rsidP="00951C84">
      <w:r w:rsidRPr="00951C84">
        <w:t xml:space="preserve">Es importante mencionar que, de la revisión de los expedientes electrónicos del SAIMEX, se observa que </w:t>
      </w:r>
      <w:r w:rsidRPr="00951C84">
        <w:rPr>
          <w:b/>
        </w:rPr>
        <w:t>LA PARTE RECURRENTE</w:t>
      </w:r>
      <w:r w:rsidRPr="00951C84">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951C84">
        <w:rPr>
          <w:b/>
          <w:u w:val="single"/>
        </w:rPr>
        <w:t>el nombre no es un requisito indispensable</w:t>
      </w:r>
      <w:r w:rsidRPr="00951C84">
        <w:t xml:space="preserve"> para que las y los ciudadanos ejerzan el derecho de acceso a la información pública. </w:t>
      </w:r>
    </w:p>
    <w:p w14:paraId="70A575E2" w14:textId="77777777" w:rsidR="004274D0" w:rsidRPr="00951C84" w:rsidRDefault="004274D0" w:rsidP="00951C84"/>
    <w:p w14:paraId="16A85843" w14:textId="77777777" w:rsidR="004274D0" w:rsidRPr="00951C84" w:rsidRDefault="004274D0" w:rsidP="00951C84">
      <w:r w:rsidRPr="00951C84">
        <w:t xml:space="preserve">Asimismo, la Ley de la materia prevé en su artículo 155, párrafo segundo la posibilidad de que las solicitudes de información sean anónimas, al utilizar un nombre incompleto o, </w:t>
      </w:r>
      <w:r w:rsidRPr="00951C84">
        <w:lastRenderedPageBreak/>
        <w:t xml:space="preserve">inclusive un seudónimo. En adición a lo anterior, el propio artículo 180, en su último párrafo, establece que cuando el recurso de revisión se interponga de manera electrónica no será indispensable que contenga algunos requisitos, entre ellos, el nombre de </w:t>
      </w:r>
      <w:r w:rsidRPr="00951C84">
        <w:rPr>
          <w:b/>
        </w:rPr>
        <w:t>LA PARTE RECURRENTE;</w:t>
      </w:r>
      <w:r w:rsidRPr="00951C84">
        <w:t xml:space="preserve"> por lo que, en el presente caso, al haber sido presentado el recurso de revisión vía SAIMEX, dicho requisito resulta innecesario.</w:t>
      </w:r>
    </w:p>
    <w:p w14:paraId="4B1B44E5" w14:textId="77777777" w:rsidR="00F660AE" w:rsidRPr="00951C84" w:rsidRDefault="00F660AE" w:rsidP="00951C84"/>
    <w:p w14:paraId="702EE3AC" w14:textId="77777777" w:rsidR="00F660AE" w:rsidRPr="00951C84" w:rsidRDefault="00054F72" w:rsidP="00951C84">
      <w:pPr>
        <w:pStyle w:val="Ttulo3"/>
      </w:pPr>
      <w:bookmarkStart w:id="28" w:name="_Toc178858432"/>
      <w:r w:rsidRPr="00951C84">
        <w:t>f) Acumulación de los Recursos de Revisión</w:t>
      </w:r>
      <w:bookmarkEnd w:id="28"/>
    </w:p>
    <w:p w14:paraId="51E13F8F" w14:textId="1F8A277C" w:rsidR="00F660AE" w:rsidRPr="00951C84" w:rsidRDefault="00054F72" w:rsidP="00951C84">
      <w:r w:rsidRPr="00951C84">
        <w:t xml:space="preserve">De las constancias que obran en los expedientes acumulados, se advierte que los recursos de revisión </w:t>
      </w:r>
      <w:r w:rsidR="009616F9" w:rsidRPr="00951C84">
        <w:rPr>
          <w:b/>
        </w:rPr>
        <w:t>01587</w:t>
      </w:r>
      <w:r w:rsidR="00B47845" w:rsidRPr="00951C84">
        <w:rPr>
          <w:b/>
        </w:rPr>
        <w:t>/INFOEM/IP/RR/2024</w:t>
      </w:r>
      <w:r w:rsidR="009616F9" w:rsidRPr="00951C84">
        <w:rPr>
          <w:b/>
        </w:rPr>
        <w:t xml:space="preserve"> </w:t>
      </w:r>
      <w:r w:rsidR="000E1F7F" w:rsidRPr="00951C84">
        <w:rPr>
          <w:bCs/>
        </w:rPr>
        <w:t xml:space="preserve">y </w:t>
      </w:r>
      <w:r w:rsidR="00B47845" w:rsidRPr="00951C84">
        <w:rPr>
          <w:b/>
        </w:rPr>
        <w:t>0</w:t>
      </w:r>
      <w:r w:rsidR="009616F9" w:rsidRPr="00951C84">
        <w:rPr>
          <w:b/>
        </w:rPr>
        <w:t>1595</w:t>
      </w:r>
      <w:r w:rsidR="00B47845" w:rsidRPr="00951C84">
        <w:rPr>
          <w:b/>
        </w:rPr>
        <w:t>/INFOEM/IP/RR/2024</w:t>
      </w:r>
      <w:r w:rsidRPr="00951C84">
        <w:rPr>
          <w:b/>
        </w:rPr>
        <w:t xml:space="preserve"> </w:t>
      </w:r>
      <w:r w:rsidRPr="00951C84">
        <w:t xml:space="preserve">fueron presentados por la misma </w:t>
      </w:r>
      <w:r w:rsidRPr="00951C84">
        <w:rPr>
          <w:b/>
        </w:rPr>
        <w:t>PARTE RECURRENTE</w:t>
      </w:r>
      <w:r w:rsidRPr="00951C84">
        <w:t xml:space="preserve"> respecto de actos u omisiones similares, realizados por el mismo </w:t>
      </w:r>
      <w:r w:rsidRPr="00951C84">
        <w:rPr>
          <w:b/>
        </w:rPr>
        <w:t>SUJETO OBLIGADO</w:t>
      </w:r>
      <w:r w:rsidRPr="00951C84">
        <w:t>, razón por la cual, con la finalidad de evitar la emisión de resoluciones contradictorias, este Órgano Garante realizó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w:t>
      </w:r>
    </w:p>
    <w:p w14:paraId="49503760" w14:textId="77777777" w:rsidR="00F660AE" w:rsidRPr="00951C84" w:rsidRDefault="00F660AE" w:rsidP="00951C84"/>
    <w:p w14:paraId="25694354" w14:textId="77777777" w:rsidR="00F660AE" w:rsidRPr="00951C84" w:rsidRDefault="00054F72" w:rsidP="00951C84">
      <w:pPr>
        <w:pStyle w:val="Ttulo2"/>
      </w:pPr>
      <w:bookmarkStart w:id="29" w:name="_Toc178858433"/>
      <w:r w:rsidRPr="00951C84">
        <w:t>SEGUNDO. Estudio de Fondo.</w:t>
      </w:r>
      <w:bookmarkEnd w:id="29"/>
    </w:p>
    <w:p w14:paraId="5248C51B" w14:textId="77777777" w:rsidR="00F660AE" w:rsidRPr="00951C84" w:rsidRDefault="00054F72" w:rsidP="00951C84">
      <w:pPr>
        <w:pStyle w:val="Ttulo3"/>
      </w:pPr>
      <w:bookmarkStart w:id="30" w:name="_Toc178858434"/>
      <w:r w:rsidRPr="00951C84">
        <w:t>a) Mandato de transparencia y responsabilidad del Sujeto Obligado</w:t>
      </w:r>
      <w:bookmarkEnd w:id="30"/>
    </w:p>
    <w:p w14:paraId="4CBE839C" w14:textId="77777777" w:rsidR="00F660AE" w:rsidRPr="00951C84" w:rsidRDefault="00054F72" w:rsidP="00951C84">
      <w:r w:rsidRPr="00951C84">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43CBD99A" w14:textId="77777777" w:rsidR="00F660AE" w:rsidRPr="00951C84" w:rsidRDefault="00F660AE" w:rsidP="00951C84"/>
    <w:p w14:paraId="7E67D24A" w14:textId="77777777" w:rsidR="00F660AE" w:rsidRPr="00951C84" w:rsidRDefault="00054F72" w:rsidP="00951C84">
      <w:pPr>
        <w:spacing w:line="240" w:lineRule="auto"/>
        <w:ind w:left="567" w:right="539"/>
        <w:rPr>
          <w:b/>
          <w:i/>
        </w:rPr>
      </w:pPr>
      <w:r w:rsidRPr="00951C84">
        <w:rPr>
          <w:b/>
          <w:i/>
        </w:rPr>
        <w:t>Constitución Política de los Estados Unidos Mexicanos</w:t>
      </w:r>
    </w:p>
    <w:p w14:paraId="6FFB6FEB" w14:textId="77777777" w:rsidR="00F660AE" w:rsidRPr="00951C84" w:rsidRDefault="00054F72" w:rsidP="00951C84">
      <w:pPr>
        <w:spacing w:line="240" w:lineRule="auto"/>
        <w:ind w:left="567" w:right="539"/>
        <w:rPr>
          <w:b/>
          <w:i/>
        </w:rPr>
      </w:pPr>
      <w:r w:rsidRPr="00951C84">
        <w:rPr>
          <w:b/>
          <w:i/>
        </w:rPr>
        <w:t>“Artículo 6.</w:t>
      </w:r>
    </w:p>
    <w:p w14:paraId="1C018123" w14:textId="77777777" w:rsidR="00F660AE" w:rsidRPr="00951C84" w:rsidRDefault="00054F72" w:rsidP="00951C84">
      <w:pPr>
        <w:spacing w:line="240" w:lineRule="auto"/>
        <w:ind w:left="567" w:right="539"/>
        <w:rPr>
          <w:i/>
        </w:rPr>
      </w:pPr>
      <w:r w:rsidRPr="00951C84">
        <w:rPr>
          <w:i/>
        </w:rPr>
        <w:t>(…)</w:t>
      </w:r>
    </w:p>
    <w:p w14:paraId="00C3CB73" w14:textId="77777777" w:rsidR="00F660AE" w:rsidRPr="00951C84" w:rsidRDefault="00054F72" w:rsidP="00951C84">
      <w:pPr>
        <w:spacing w:line="240" w:lineRule="auto"/>
        <w:ind w:left="567" w:right="539"/>
        <w:rPr>
          <w:i/>
        </w:rPr>
      </w:pPr>
      <w:r w:rsidRPr="00951C84">
        <w:rPr>
          <w:i/>
        </w:rPr>
        <w:t>Para efectos de lo dispuesto en el presente artículo se observará lo siguiente:</w:t>
      </w:r>
    </w:p>
    <w:p w14:paraId="7260A2F0" w14:textId="77777777" w:rsidR="00F660AE" w:rsidRPr="00951C84" w:rsidRDefault="00054F72" w:rsidP="00951C84">
      <w:pPr>
        <w:spacing w:line="240" w:lineRule="auto"/>
        <w:ind w:left="567" w:right="539"/>
        <w:rPr>
          <w:b/>
          <w:i/>
        </w:rPr>
      </w:pPr>
      <w:r w:rsidRPr="00951C84">
        <w:rPr>
          <w:b/>
          <w:i/>
        </w:rPr>
        <w:lastRenderedPageBreak/>
        <w:t>A</w:t>
      </w:r>
      <w:r w:rsidRPr="00951C84">
        <w:rPr>
          <w:i/>
        </w:rPr>
        <w:t xml:space="preserve">. </w:t>
      </w:r>
      <w:r w:rsidRPr="00951C84">
        <w:rPr>
          <w:b/>
          <w:i/>
        </w:rPr>
        <w:t>Para el ejercicio del derecho de acceso a la información</w:t>
      </w:r>
      <w:r w:rsidRPr="00951C84">
        <w:rPr>
          <w:i/>
        </w:rPr>
        <w:t xml:space="preserve">, la Federación y </w:t>
      </w:r>
      <w:r w:rsidRPr="00951C84">
        <w:rPr>
          <w:b/>
          <w:i/>
        </w:rPr>
        <w:t>las entidades federativas, en el ámbito de sus respectivas competencias, se regirán por los siguientes principios y bases:</w:t>
      </w:r>
    </w:p>
    <w:p w14:paraId="0057B8D2" w14:textId="77777777" w:rsidR="00F660AE" w:rsidRPr="00951C84" w:rsidRDefault="00054F72" w:rsidP="00951C84">
      <w:pPr>
        <w:spacing w:line="240" w:lineRule="auto"/>
        <w:ind w:left="567" w:right="539"/>
        <w:rPr>
          <w:i/>
        </w:rPr>
      </w:pPr>
      <w:r w:rsidRPr="00951C84">
        <w:rPr>
          <w:b/>
          <w:i/>
        </w:rPr>
        <w:t xml:space="preserve">I. </w:t>
      </w:r>
      <w:r w:rsidRPr="00951C84">
        <w:rPr>
          <w:b/>
          <w:i/>
        </w:rPr>
        <w:tab/>
        <w:t>Toda la información en posesión de cualquier</w:t>
      </w:r>
      <w:r w:rsidRPr="00951C84">
        <w:rPr>
          <w:i/>
        </w:rPr>
        <w:t xml:space="preserve"> </w:t>
      </w:r>
      <w:r w:rsidRPr="00951C84">
        <w:rPr>
          <w:b/>
          <w:i/>
        </w:rPr>
        <w:t>autoridad</w:t>
      </w:r>
      <w:r w:rsidRPr="00951C84">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951C84">
        <w:rPr>
          <w:b/>
          <w:i/>
        </w:rPr>
        <w:t>municipal</w:t>
      </w:r>
      <w:r w:rsidRPr="00951C84">
        <w:rPr>
          <w:i/>
        </w:rPr>
        <w:t xml:space="preserve">, </w:t>
      </w:r>
      <w:r w:rsidRPr="00951C84">
        <w:rPr>
          <w:b/>
          <w:i/>
        </w:rPr>
        <w:t>es pública</w:t>
      </w:r>
      <w:r w:rsidRPr="00951C84">
        <w:rPr>
          <w:i/>
        </w:rPr>
        <w:t xml:space="preserve"> y sólo podrá ser reservada temporalmente por razones de interés público y seguridad nacional, en los términos que fijen las leyes. </w:t>
      </w:r>
      <w:r w:rsidRPr="00951C84">
        <w:rPr>
          <w:b/>
          <w:i/>
        </w:rPr>
        <w:t>En la interpretación de este derecho deberá prevalecer el principio de máxima publicidad. Los sujetos obligados deberán documentar todo acto que derive del ejercicio de sus facultades, competencias o funciones</w:t>
      </w:r>
      <w:r w:rsidRPr="00951C84">
        <w:rPr>
          <w:i/>
        </w:rPr>
        <w:t>, la ley determinará los supuestos específicos bajo los cuales procederá la declaración de inexistencia de la información.”</w:t>
      </w:r>
    </w:p>
    <w:p w14:paraId="4059F108" w14:textId="77777777" w:rsidR="00F660AE" w:rsidRPr="00951C84" w:rsidRDefault="00F660AE" w:rsidP="00951C84">
      <w:pPr>
        <w:spacing w:line="240" w:lineRule="auto"/>
        <w:ind w:left="567" w:right="539"/>
        <w:rPr>
          <w:b/>
          <w:i/>
        </w:rPr>
      </w:pPr>
    </w:p>
    <w:p w14:paraId="5580A835" w14:textId="77777777" w:rsidR="00F660AE" w:rsidRPr="00951C84" w:rsidRDefault="00054F72" w:rsidP="00951C84">
      <w:pPr>
        <w:spacing w:line="240" w:lineRule="auto"/>
        <w:ind w:left="567" w:right="539"/>
        <w:rPr>
          <w:b/>
          <w:i/>
        </w:rPr>
      </w:pPr>
      <w:r w:rsidRPr="00951C84">
        <w:rPr>
          <w:b/>
          <w:i/>
        </w:rPr>
        <w:t>Constitución Política del Estado Libre y Soberano de México</w:t>
      </w:r>
    </w:p>
    <w:p w14:paraId="43C1DB7C" w14:textId="77777777" w:rsidR="00F660AE" w:rsidRPr="00951C84" w:rsidRDefault="00054F72" w:rsidP="00951C84">
      <w:pPr>
        <w:spacing w:line="240" w:lineRule="auto"/>
        <w:ind w:left="567" w:right="539"/>
        <w:rPr>
          <w:i/>
        </w:rPr>
      </w:pPr>
      <w:r w:rsidRPr="00951C84">
        <w:rPr>
          <w:b/>
          <w:i/>
        </w:rPr>
        <w:t>“Artículo 5</w:t>
      </w:r>
      <w:r w:rsidRPr="00951C84">
        <w:rPr>
          <w:i/>
        </w:rPr>
        <w:t xml:space="preserve">.- </w:t>
      </w:r>
    </w:p>
    <w:p w14:paraId="7F0E02E7" w14:textId="77777777" w:rsidR="00F660AE" w:rsidRPr="00951C84" w:rsidRDefault="00054F72" w:rsidP="00951C84">
      <w:pPr>
        <w:spacing w:line="240" w:lineRule="auto"/>
        <w:ind w:left="567" w:right="539"/>
        <w:rPr>
          <w:i/>
        </w:rPr>
      </w:pPr>
      <w:r w:rsidRPr="00951C84">
        <w:rPr>
          <w:i/>
        </w:rPr>
        <w:t>(…)</w:t>
      </w:r>
    </w:p>
    <w:p w14:paraId="57925679" w14:textId="77777777" w:rsidR="00F660AE" w:rsidRPr="00951C84" w:rsidRDefault="00054F72" w:rsidP="00951C84">
      <w:pPr>
        <w:spacing w:line="240" w:lineRule="auto"/>
        <w:ind w:left="567" w:right="539"/>
        <w:rPr>
          <w:i/>
        </w:rPr>
      </w:pPr>
      <w:r w:rsidRPr="00951C84">
        <w:rPr>
          <w:b/>
          <w:i/>
        </w:rPr>
        <w:t>El derecho a la información será garantizado por el Estado. La ley establecerá las previsiones que permitan asegurar la protección, el respeto y la difusión de este derecho</w:t>
      </w:r>
      <w:r w:rsidRPr="00951C84">
        <w:rPr>
          <w:i/>
        </w:rPr>
        <w:t>.</w:t>
      </w:r>
    </w:p>
    <w:p w14:paraId="240C31DB" w14:textId="77777777" w:rsidR="00F660AE" w:rsidRPr="00951C84" w:rsidRDefault="00054F72" w:rsidP="00951C84">
      <w:pPr>
        <w:spacing w:line="240" w:lineRule="auto"/>
        <w:ind w:left="567" w:right="539"/>
        <w:rPr>
          <w:i/>
        </w:rPr>
      </w:pPr>
      <w:r w:rsidRPr="00951C84">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02E1667E" w14:textId="77777777" w:rsidR="00F660AE" w:rsidRPr="00951C84" w:rsidRDefault="00054F72" w:rsidP="00951C84">
      <w:pPr>
        <w:spacing w:line="240" w:lineRule="auto"/>
        <w:ind w:left="567" w:right="539"/>
        <w:rPr>
          <w:i/>
        </w:rPr>
      </w:pPr>
      <w:r w:rsidRPr="00951C84">
        <w:rPr>
          <w:b/>
          <w:i/>
        </w:rPr>
        <w:t>Este derecho se regirá por los principios y bases siguientes</w:t>
      </w:r>
      <w:r w:rsidRPr="00951C84">
        <w:rPr>
          <w:i/>
        </w:rPr>
        <w:t>:</w:t>
      </w:r>
    </w:p>
    <w:p w14:paraId="1C25B1A3" w14:textId="77777777" w:rsidR="00F660AE" w:rsidRPr="00951C84" w:rsidRDefault="00054F72" w:rsidP="00951C84">
      <w:pPr>
        <w:spacing w:line="240" w:lineRule="auto"/>
        <w:ind w:left="567" w:right="539"/>
        <w:rPr>
          <w:i/>
        </w:rPr>
      </w:pPr>
      <w:r w:rsidRPr="00951C84">
        <w:rPr>
          <w:b/>
          <w:i/>
        </w:rPr>
        <w:t>I. Toda la información en posesión de cualquier autoridad, entidad, órgano y organismos de los</w:t>
      </w:r>
      <w:r w:rsidRPr="00951C84">
        <w:rPr>
          <w:i/>
        </w:rPr>
        <w:t xml:space="preserve"> Poderes Ejecutivo, Legislativo y Judicial, órganos autónomos, partidos políticos, fideicomisos y fondos públicos estatales y </w:t>
      </w:r>
      <w:r w:rsidRPr="00951C84">
        <w:rPr>
          <w:b/>
          <w:i/>
        </w:rPr>
        <w:t>municipales</w:t>
      </w:r>
      <w:r w:rsidRPr="00951C84">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951C84">
        <w:rPr>
          <w:b/>
          <w:i/>
        </w:rPr>
        <w:t>es pública</w:t>
      </w:r>
      <w:r w:rsidRPr="00951C84">
        <w:rPr>
          <w:i/>
        </w:rPr>
        <w:t xml:space="preserve"> y sólo podrá ser reservada temporalmente por razones previstas en la Constitución Política de los Estados Unidos Mexicanos de interés público y seguridad, en los términos que fijen las leyes. </w:t>
      </w:r>
      <w:r w:rsidRPr="00951C84">
        <w:rPr>
          <w:b/>
          <w:i/>
        </w:rPr>
        <w:t>En la interpretación de este derecho deberá prevalecer el principio de máxima publicidad</w:t>
      </w:r>
      <w:r w:rsidRPr="00951C84">
        <w:rPr>
          <w:i/>
        </w:rPr>
        <w:t xml:space="preserve">. </w:t>
      </w:r>
      <w:r w:rsidRPr="00951C84">
        <w:rPr>
          <w:b/>
          <w:i/>
        </w:rPr>
        <w:t>Los sujetos obligados deberán documentar todo acto que derive del ejercicio de sus facultades, competencias o funciones</w:t>
      </w:r>
      <w:r w:rsidRPr="00951C84">
        <w:rPr>
          <w:i/>
        </w:rPr>
        <w:t>, la ley determinará los supuestos específicos bajo los cuales procederá la declaración de inexistencia de la información.”</w:t>
      </w:r>
    </w:p>
    <w:p w14:paraId="6D1C8717" w14:textId="77777777" w:rsidR="00F660AE" w:rsidRPr="00951C84" w:rsidRDefault="00F660AE" w:rsidP="00951C84">
      <w:pPr>
        <w:rPr>
          <w:b/>
          <w:i/>
        </w:rPr>
      </w:pPr>
    </w:p>
    <w:p w14:paraId="7A777C22" w14:textId="77777777" w:rsidR="00F660AE" w:rsidRPr="00951C84" w:rsidRDefault="00054F72" w:rsidP="00951C84">
      <w:pPr>
        <w:rPr>
          <w:i/>
        </w:rPr>
      </w:pPr>
      <w:r w:rsidRPr="00951C84">
        <w:lastRenderedPageBreak/>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951C84">
        <w:rPr>
          <w:i/>
        </w:rPr>
        <w:t>por los principios de simplicidad, rapidez, gratuidad del procedimiento, auxilio y orientación a los particulares.</w:t>
      </w:r>
    </w:p>
    <w:p w14:paraId="54E20B14" w14:textId="77777777" w:rsidR="00F660AE" w:rsidRPr="00951C84" w:rsidRDefault="00F660AE" w:rsidP="00951C84">
      <w:pPr>
        <w:rPr>
          <w:i/>
        </w:rPr>
      </w:pPr>
    </w:p>
    <w:p w14:paraId="7ECFD94D" w14:textId="77777777" w:rsidR="00F660AE" w:rsidRPr="00951C84" w:rsidRDefault="00054F72" w:rsidP="00951C84">
      <w:pPr>
        <w:rPr>
          <w:i/>
        </w:rPr>
      </w:pPr>
      <w:r w:rsidRPr="00951C84">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06D0536A" w14:textId="77777777" w:rsidR="00F660AE" w:rsidRPr="00951C84" w:rsidRDefault="00F660AE" w:rsidP="00951C84"/>
    <w:p w14:paraId="011CC77A" w14:textId="77777777" w:rsidR="00F660AE" w:rsidRPr="00951C84" w:rsidRDefault="00054F72" w:rsidP="00951C84">
      <w:r w:rsidRPr="00951C84">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481D4F1D" w14:textId="77777777" w:rsidR="00F660AE" w:rsidRPr="00951C84" w:rsidRDefault="00F660AE" w:rsidP="00951C84"/>
    <w:p w14:paraId="2770E36E" w14:textId="77777777" w:rsidR="00F660AE" w:rsidRPr="00951C84" w:rsidRDefault="00054F72" w:rsidP="00951C84">
      <w:r w:rsidRPr="00951C84">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30D1B460" w14:textId="77777777" w:rsidR="00F660AE" w:rsidRPr="00951C84" w:rsidRDefault="00F660AE" w:rsidP="00951C84"/>
    <w:p w14:paraId="7801904D" w14:textId="77777777" w:rsidR="00F660AE" w:rsidRPr="00951C84" w:rsidRDefault="00054F72" w:rsidP="00951C84">
      <w:r w:rsidRPr="00951C84">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6F09DA79" w14:textId="77777777" w:rsidR="00F660AE" w:rsidRPr="00951C84" w:rsidRDefault="00F660AE" w:rsidP="00951C84"/>
    <w:p w14:paraId="680F4193" w14:textId="77777777" w:rsidR="00F660AE" w:rsidRPr="00951C84" w:rsidRDefault="00054F72" w:rsidP="00951C84">
      <w:bookmarkStart w:id="31" w:name="_heading=h.1pxezwc" w:colFirst="0" w:colLast="0"/>
      <w:bookmarkEnd w:id="31"/>
      <w:r w:rsidRPr="00951C84">
        <w:t xml:space="preserve">Con base en lo anterior, se considera que </w:t>
      </w:r>
      <w:r w:rsidRPr="00951C84">
        <w:rPr>
          <w:b/>
        </w:rPr>
        <w:t>EL</w:t>
      </w:r>
      <w:r w:rsidRPr="00951C84">
        <w:t xml:space="preserve"> </w:t>
      </w:r>
      <w:r w:rsidRPr="00951C84">
        <w:rPr>
          <w:b/>
        </w:rPr>
        <w:t>SUJETO OBLIGADO</w:t>
      </w:r>
      <w:r w:rsidRPr="00951C84">
        <w:t xml:space="preserve"> se encontraba compelido a atender la solicitud de acceso a la información realizada por </w:t>
      </w:r>
      <w:r w:rsidRPr="00951C84">
        <w:rPr>
          <w:b/>
        </w:rPr>
        <w:t>LA PARTE RECURRENTE</w:t>
      </w:r>
      <w:r w:rsidRPr="00951C84">
        <w:t>.</w:t>
      </w:r>
    </w:p>
    <w:p w14:paraId="2C539AB7" w14:textId="77777777" w:rsidR="00F660AE" w:rsidRPr="00951C84" w:rsidRDefault="00F660AE" w:rsidP="00951C84"/>
    <w:p w14:paraId="1E63310E" w14:textId="77777777" w:rsidR="00F660AE" w:rsidRPr="00951C84" w:rsidRDefault="00054F72" w:rsidP="00951C84">
      <w:pPr>
        <w:pStyle w:val="Ttulo3"/>
      </w:pPr>
      <w:bookmarkStart w:id="32" w:name="_Toc178858435"/>
      <w:r w:rsidRPr="00951C84">
        <w:t>b) Controversia a resolver.</w:t>
      </w:r>
      <w:bookmarkEnd w:id="32"/>
    </w:p>
    <w:p w14:paraId="7C942EF2" w14:textId="77777777" w:rsidR="003E0E53" w:rsidRPr="00951C84" w:rsidRDefault="003E0E53" w:rsidP="00951C84">
      <w:pPr>
        <w:rPr>
          <w:rFonts w:eastAsia="Calibri"/>
          <w:szCs w:val="22"/>
          <w:lang w:eastAsia="es-ES_tradnl"/>
        </w:rPr>
      </w:pPr>
      <w:r w:rsidRPr="00951C84">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Pr="00951C84">
        <w:rPr>
          <w:rFonts w:eastAsia="Calibri"/>
          <w:b/>
          <w:bCs/>
          <w:szCs w:val="22"/>
          <w:lang w:eastAsia="es-ES_tradnl"/>
        </w:rPr>
        <w:t>LA PARTE RECURRENTE</w:t>
      </w:r>
      <w:r w:rsidRPr="00951C84">
        <w:rPr>
          <w:rFonts w:eastAsia="Calibri"/>
          <w:szCs w:val="22"/>
          <w:lang w:eastAsia="es-ES_tradnl"/>
        </w:rPr>
        <w:t xml:space="preserve"> solicitó lo siguiente:</w:t>
      </w:r>
    </w:p>
    <w:p w14:paraId="4CCD21AF" w14:textId="77777777" w:rsidR="00EC08FB" w:rsidRPr="00951C84" w:rsidRDefault="00EC08FB" w:rsidP="00951C84">
      <w:pPr>
        <w:rPr>
          <w:rFonts w:eastAsia="Calibri"/>
          <w:szCs w:val="22"/>
          <w:lang w:eastAsia="es-ES_tradnl"/>
        </w:rPr>
      </w:pPr>
    </w:p>
    <w:p w14:paraId="749226BD" w14:textId="464F4F12" w:rsidR="00EC08FB" w:rsidRPr="00951C84" w:rsidRDefault="00EC08FB" w:rsidP="00951C84">
      <w:pPr>
        <w:rPr>
          <w:rFonts w:eastAsia="Calibri"/>
          <w:szCs w:val="22"/>
          <w:lang w:eastAsia="es-ES_tradnl"/>
        </w:rPr>
      </w:pPr>
      <w:r w:rsidRPr="00951C84">
        <w:rPr>
          <w:rFonts w:eastAsia="Calibri"/>
          <w:szCs w:val="22"/>
          <w:lang w:eastAsia="es-ES_tradnl"/>
        </w:rPr>
        <w:t>Requiere la documentación relativa a las adjudicaciones directas de lo siguiente:</w:t>
      </w:r>
    </w:p>
    <w:p w14:paraId="121985F5" w14:textId="77777777" w:rsidR="009616F9" w:rsidRPr="00951C84" w:rsidRDefault="009616F9" w:rsidP="00951C84">
      <w:pPr>
        <w:rPr>
          <w:rFonts w:eastAsia="Calibri"/>
          <w:szCs w:val="22"/>
          <w:lang w:eastAsia="es-ES_tradnl"/>
        </w:rPr>
      </w:pPr>
    </w:p>
    <w:p w14:paraId="40DD38E2" w14:textId="746B9A70" w:rsidR="00EC08FB" w:rsidRPr="00951C84" w:rsidRDefault="00EC08FB" w:rsidP="00951C84">
      <w:pPr>
        <w:pStyle w:val="Prrafodelista"/>
        <w:numPr>
          <w:ilvl w:val="0"/>
          <w:numId w:val="31"/>
        </w:numPr>
        <w:rPr>
          <w:rFonts w:eastAsia="Calibri"/>
          <w:szCs w:val="22"/>
          <w:lang w:eastAsia="es-ES_tradnl"/>
        </w:rPr>
      </w:pPr>
      <w:r w:rsidRPr="00951C84">
        <w:rPr>
          <w:szCs w:val="22"/>
        </w:rPr>
        <w:t>Del año 2022</w:t>
      </w:r>
      <w:r w:rsidR="005524A7" w:rsidRPr="00951C84">
        <w:rPr>
          <w:szCs w:val="22"/>
        </w:rPr>
        <w:t xml:space="preserve"> adjudicación directa, contratos y facturas del subsistema Angélica Aragón.</w:t>
      </w:r>
    </w:p>
    <w:p w14:paraId="4FFD768D" w14:textId="11BD6859" w:rsidR="00EC08FB" w:rsidRPr="00951C84" w:rsidRDefault="00EC08FB" w:rsidP="00951C84">
      <w:pPr>
        <w:pStyle w:val="Prrafodelista"/>
        <w:numPr>
          <w:ilvl w:val="0"/>
          <w:numId w:val="31"/>
        </w:numPr>
        <w:rPr>
          <w:rFonts w:eastAsia="Calibri"/>
          <w:szCs w:val="22"/>
          <w:lang w:eastAsia="es-ES_tradnl"/>
        </w:rPr>
      </w:pPr>
      <w:r w:rsidRPr="00951C84">
        <w:rPr>
          <w:szCs w:val="22"/>
        </w:rPr>
        <w:t xml:space="preserve">Remodelación de oficinas </w:t>
      </w:r>
      <w:r w:rsidR="005524A7" w:rsidRPr="00951C84">
        <w:rPr>
          <w:szCs w:val="22"/>
        </w:rPr>
        <w:t>palacio municipal, Tlalnepantla</w:t>
      </w:r>
      <w:r w:rsidRPr="00951C84">
        <w:rPr>
          <w:szCs w:val="22"/>
        </w:rPr>
        <w:t>.</w:t>
      </w:r>
    </w:p>
    <w:p w14:paraId="6A7E430C" w14:textId="19343E04" w:rsidR="00EC08FB" w:rsidRPr="00951C84" w:rsidRDefault="00EC08FB" w:rsidP="00951C84">
      <w:pPr>
        <w:pStyle w:val="Prrafodelista"/>
        <w:numPr>
          <w:ilvl w:val="0"/>
          <w:numId w:val="31"/>
        </w:numPr>
        <w:rPr>
          <w:rFonts w:eastAsia="Calibri"/>
          <w:szCs w:val="22"/>
          <w:lang w:eastAsia="es-ES_tradnl"/>
        </w:rPr>
      </w:pPr>
      <w:r w:rsidRPr="00951C84">
        <w:rPr>
          <w:szCs w:val="22"/>
        </w:rPr>
        <w:t>La pavimentación con concreto hidráulico de la Av. Tenochtitlan de Alfredo del Mazo a Nezahualcóyotl,, en el municipio de Tlalnepantla de Baz, Estado de México</w:t>
      </w:r>
    </w:p>
    <w:p w14:paraId="043BD15C" w14:textId="77777777" w:rsidR="00EC08FB" w:rsidRPr="00951C84" w:rsidRDefault="00EC08FB" w:rsidP="00951C84">
      <w:pPr>
        <w:pStyle w:val="Prrafodelista"/>
        <w:numPr>
          <w:ilvl w:val="0"/>
          <w:numId w:val="31"/>
        </w:numPr>
        <w:rPr>
          <w:rFonts w:eastAsia="Calibri"/>
          <w:szCs w:val="22"/>
          <w:lang w:eastAsia="es-ES_tradnl"/>
        </w:rPr>
      </w:pPr>
      <w:r w:rsidRPr="00951C84">
        <w:rPr>
          <w:szCs w:val="22"/>
        </w:rPr>
        <w:t xml:space="preserve">3,780 cubetas de 19 litros de mezcla desarrollada a base de resina de hule clorado y </w:t>
      </w:r>
      <w:proofErr w:type="spellStart"/>
      <w:r w:rsidRPr="00951C84">
        <w:rPr>
          <w:szCs w:val="22"/>
        </w:rPr>
        <w:t>alquidalica</w:t>
      </w:r>
      <w:proofErr w:type="spellEnd"/>
      <w:r w:rsidRPr="00951C84">
        <w:rPr>
          <w:szCs w:val="22"/>
        </w:rPr>
        <w:t xml:space="preserve"> </w:t>
      </w:r>
    </w:p>
    <w:p w14:paraId="6B599E13" w14:textId="6E18606B" w:rsidR="00EC08FB" w:rsidRPr="00951C84" w:rsidRDefault="00EC08FB" w:rsidP="00951C84">
      <w:pPr>
        <w:pStyle w:val="Prrafodelista"/>
        <w:numPr>
          <w:ilvl w:val="0"/>
          <w:numId w:val="31"/>
        </w:numPr>
        <w:rPr>
          <w:rFonts w:eastAsia="Calibri"/>
          <w:szCs w:val="22"/>
          <w:lang w:eastAsia="es-ES_tradnl"/>
        </w:rPr>
      </w:pPr>
      <w:r w:rsidRPr="00951C84">
        <w:rPr>
          <w:szCs w:val="22"/>
        </w:rPr>
        <w:lastRenderedPageBreak/>
        <w:t>Servicio de mantenimiento preventivo y correctivo al sistema computarizado de semáforos (servicio de conducción de señales analógicas y digitales)</w:t>
      </w:r>
    </w:p>
    <w:p w14:paraId="1B963FC0" w14:textId="77777777" w:rsidR="00EC08FB" w:rsidRPr="00951C84" w:rsidRDefault="00EC08FB" w:rsidP="00951C84">
      <w:pPr>
        <w:tabs>
          <w:tab w:val="left" w:pos="4962"/>
        </w:tabs>
        <w:contextualSpacing/>
        <w:rPr>
          <w:rFonts w:eastAsiaTheme="minorHAnsi" w:cs="Tahoma"/>
          <w:bCs/>
          <w:iCs/>
          <w:szCs w:val="22"/>
          <w:lang w:eastAsia="en-US"/>
        </w:rPr>
      </w:pPr>
    </w:p>
    <w:p w14:paraId="35DAD8B5" w14:textId="508B935D" w:rsidR="00793CD8" w:rsidRPr="00951C84" w:rsidRDefault="00793CD8" w:rsidP="00951C84">
      <w:pPr>
        <w:tabs>
          <w:tab w:val="left" w:pos="4962"/>
        </w:tabs>
        <w:rPr>
          <w:rFonts w:eastAsia="Calibri" w:cs="Tahoma"/>
          <w:iCs/>
          <w:szCs w:val="22"/>
          <w:lang w:val="es-ES" w:eastAsia="es-ES_tradnl"/>
        </w:rPr>
      </w:pPr>
      <w:r w:rsidRPr="00951C84">
        <w:rPr>
          <w:rFonts w:eastAsia="Calibri" w:cs="Tahoma"/>
          <w:iCs/>
          <w:szCs w:val="22"/>
          <w:lang w:val="es-ES" w:eastAsia="es-ES_tradnl"/>
        </w:rPr>
        <w:t>En respuesta,</w:t>
      </w:r>
      <w:r w:rsidR="00CA11B3" w:rsidRPr="00951C84">
        <w:rPr>
          <w:rFonts w:eastAsia="Calibri" w:cs="Tahoma"/>
          <w:iCs/>
          <w:szCs w:val="22"/>
          <w:lang w:val="es-ES" w:eastAsia="es-ES_tradnl"/>
        </w:rPr>
        <w:t xml:space="preserve"> el </w:t>
      </w:r>
      <w:r w:rsidR="00CA11B3" w:rsidRPr="00951C84">
        <w:rPr>
          <w:rFonts w:eastAsia="Calibri" w:cs="Tahoma"/>
          <w:b/>
          <w:iCs/>
          <w:szCs w:val="22"/>
          <w:lang w:val="es-ES" w:eastAsia="es-ES_tradnl"/>
        </w:rPr>
        <w:t>SUJETO OBLIGADO</w:t>
      </w:r>
      <w:r w:rsidRPr="00951C84">
        <w:rPr>
          <w:rFonts w:eastAsia="Calibri" w:cs="Tahoma"/>
          <w:iCs/>
          <w:szCs w:val="22"/>
          <w:lang w:val="es-ES" w:eastAsia="es-ES_tradnl"/>
        </w:rPr>
        <w:t xml:space="preserve"> señaló que la información se encontraba clasificada como reservada, derivado de ello el Particular se inconformó por la negativa de la información.</w:t>
      </w:r>
    </w:p>
    <w:p w14:paraId="5D416356" w14:textId="77777777" w:rsidR="0028703A" w:rsidRPr="00951C84" w:rsidRDefault="0028703A" w:rsidP="00951C84"/>
    <w:p w14:paraId="00659078" w14:textId="2C08662E" w:rsidR="004274D0" w:rsidRPr="00951C84" w:rsidRDefault="004274D0" w:rsidP="00951C84">
      <w:pPr>
        <w:tabs>
          <w:tab w:val="left" w:pos="4962"/>
        </w:tabs>
        <w:rPr>
          <w:lang w:val="es-ES"/>
        </w:rPr>
      </w:pPr>
      <w:r w:rsidRPr="00951C84">
        <w:rPr>
          <w:lang w:val="es-ES"/>
        </w:rPr>
        <w:t xml:space="preserve">Abierta la etapa de instrucción, </w:t>
      </w:r>
      <w:r w:rsidRPr="00951C84">
        <w:rPr>
          <w:b/>
          <w:lang w:val="es-ES"/>
        </w:rPr>
        <w:t>EL SUJETO OBLIGADO</w:t>
      </w:r>
      <w:r w:rsidRPr="00951C84">
        <w:rPr>
          <w:lang w:val="es-ES"/>
        </w:rPr>
        <w:t xml:space="preserve"> rindió su Informe Justificado,</w:t>
      </w:r>
      <w:r w:rsidR="00EC08FB" w:rsidRPr="00951C84">
        <w:rPr>
          <w:lang w:val="es-ES"/>
        </w:rPr>
        <w:t xml:space="preserve"> ratificando su respuesta primigenia; por cuanto hace a</w:t>
      </w:r>
      <w:r w:rsidRPr="00951C84">
        <w:rPr>
          <w:lang w:val="es-ES"/>
        </w:rPr>
        <w:t xml:space="preserve"> </w:t>
      </w:r>
      <w:r w:rsidRPr="00951C84">
        <w:rPr>
          <w:b/>
          <w:lang w:val="es-ES"/>
        </w:rPr>
        <w:t xml:space="preserve">LA PARTE RECURRENTE </w:t>
      </w:r>
      <w:r w:rsidRPr="00951C84">
        <w:rPr>
          <w:lang w:val="es-ES"/>
        </w:rPr>
        <w:t>tampoco realizó manifestación alguna.</w:t>
      </w:r>
    </w:p>
    <w:p w14:paraId="5363EE5C" w14:textId="77777777" w:rsidR="004274D0" w:rsidRPr="00951C84" w:rsidRDefault="004274D0" w:rsidP="00951C84">
      <w:pPr>
        <w:tabs>
          <w:tab w:val="left" w:pos="4962"/>
        </w:tabs>
        <w:rPr>
          <w:lang w:val="es-ES"/>
        </w:rPr>
      </w:pPr>
    </w:p>
    <w:p w14:paraId="3BBC240D" w14:textId="77777777" w:rsidR="004274D0" w:rsidRPr="00951C84" w:rsidRDefault="004274D0" w:rsidP="00951C84">
      <w:r w:rsidRPr="00951C84">
        <w:t xml:space="preserve">Bajo las premisas anteriores, se concluye que la controversia a dilucidar en el presente medio de impugnación será </w:t>
      </w:r>
      <w:r w:rsidRPr="00951C84">
        <w:rPr>
          <w:b/>
        </w:rPr>
        <w:t xml:space="preserve">verificar si la información proporcionada en respuesta por EL SUJETO OBLIGADO es adecuada y suficiente para satisfacer el derecho de acceso a la información pública </w:t>
      </w:r>
      <w:r w:rsidRPr="00951C84">
        <w:t xml:space="preserve">de </w:t>
      </w:r>
      <w:r w:rsidRPr="00951C84">
        <w:rPr>
          <w:b/>
        </w:rPr>
        <w:t>LA PARTE RECURRENTE</w:t>
      </w:r>
      <w:r w:rsidRPr="00951C84">
        <w:t>.</w:t>
      </w:r>
    </w:p>
    <w:p w14:paraId="196AD3DA" w14:textId="77777777" w:rsidR="005B35F6" w:rsidRPr="00951C84" w:rsidRDefault="005B35F6" w:rsidP="00951C84">
      <w:pPr>
        <w:rPr>
          <w:rFonts w:eastAsia="Palatino Linotype" w:cs="Palatino Linotype"/>
          <w:szCs w:val="22"/>
        </w:rPr>
      </w:pPr>
    </w:p>
    <w:p w14:paraId="4B4945FB" w14:textId="77777777" w:rsidR="00F660AE" w:rsidRPr="00951C84" w:rsidRDefault="00054F72" w:rsidP="00951C84">
      <w:pPr>
        <w:pStyle w:val="Ttulo3"/>
      </w:pPr>
      <w:bookmarkStart w:id="33" w:name="_Toc178858436"/>
      <w:r w:rsidRPr="00951C84">
        <w:t>c) Estudio de la controversia.</w:t>
      </w:r>
      <w:bookmarkEnd w:id="33"/>
    </w:p>
    <w:p w14:paraId="7B38387B" w14:textId="77777777" w:rsidR="00EE5372" w:rsidRPr="00951C84" w:rsidRDefault="00EE5372" w:rsidP="00951C84">
      <w:r w:rsidRPr="00951C84">
        <w:t xml:space="preserve">Este Órgano Garante basará el análisis del presente, en el contenido íntegro de las actuaciones que obran en el expediente electrónico en el SAIMEX, para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 en concordancia con el párrafo tercero </w:t>
      </w:r>
      <w:r w:rsidRPr="00951C84">
        <w:lastRenderedPageBreak/>
        <w:t>del artículo 1 de la Constitución Política de los Estados Unidos Mexicanos y los numerales 8 y 9 de la Ley de Transparencia local.</w:t>
      </w:r>
    </w:p>
    <w:p w14:paraId="36DBC8E9" w14:textId="77777777" w:rsidR="00EE5372" w:rsidRPr="00951C84" w:rsidRDefault="00EE5372" w:rsidP="00951C84">
      <w:pPr>
        <w:tabs>
          <w:tab w:val="left" w:pos="4962"/>
        </w:tabs>
        <w:rPr>
          <w:rFonts w:eastAsia="Calibri" w:cs="Tahoma"/>
          <w:iCs/>
          <w:szCs w:val="22"/>
          <w:lang w:val="es-ES" w:eastAsia="es-ES_tradnl"/>
        </w:rPr>
      </w:pPr>
    </w:p>
    <w:p w14:paraId="3BDC226A" w14:textId="6E9275E4" w:rsidR="00E16A8C" w:rsidRPr="00951C84" w:rsidRDefault="00793CD8" w:rsidP="00951C84">
      <w:pPr>
        <w:tabs>
          <w:tab w:val="left" w:pos="4962"/>
        </w:tabs>
        <w:rPr>
          <w:rFonts w:eastAsia="Calibri" w:cs="Tahoma"/>
          <w:iCs/>
          <w:sz w:val="24"/>
          <w:szCs w:val="22"/>
          <w:lang w:val="es-ES" w:eastAsia="es-ES_tradnl"/>
        </w:rPr>
      </w:pPr>
      <w:r w:rsidRPr="00951C84">
        <w:rPr>
          <w:rFonts w:eastAsia="Calibri" w:cs="Tahoma"/>
          <w:iCs/>
          <w:szCs w:val="22"/>
          <w:lang w:val="es-ES" w:eastAsia="es-ES_tradnl"/>
        </w:rPr>
        <w:t>Primeramente se advierte que</w:t>
      </w:r>
      <w:r w:rsidR="00E16A8C" w:rsidRPr="00951C84">
        <w:rPr>
          <w:rFonts w:eastAsia="Calibri" w:cs="Tahoma"/>
          <w:iCs/>
          <w:szCs w:val="22"/>
          <w:lang w:val="es-ES" w:eastAsia="es-ES_tradnl"/>
        </w:rPr>
        <w:t xml:space="preserve"> el Particular solicitó al Ayuntamiento de Tlalnepantla de Baz, </w:t>
      </w:r>
      <w:r w:rsidRPr="00951C84">
        <w:rPr>
          <w:rFonts w:eastAsia="Calibri" w:cs="Tahoma"/>
          <w:iCs/>
          <w:szCs w:val="22"/>
          <w:lang w:val="es-ES" w:eastAsia="es-ES_tradnl"/>
        </w:rPr>
        <w:t xml:space="preserve">de diferentes obras públicas </w:t>
      </w:r>
      <w:r w:rsidR="00E16A8C" w:rsidRPr="00951C84">
        <w:rPr>
          <w:rFonts w:eastAsia="Calibri" w:cs="Tahoma"/>
          <w:iCs/>
          <w:szCs w:val="22"/>
          <w:lang w:val="es-ES" w:eastAsia="es-ES_tradnl"/>
        </w:rPr>
        <w:t>realizadas en el año dos mil veintidós, información relacionada con procedimiento de adquisición, incluidas facturas, contratos etc.</w:t>
      </w:r>
    </w:p>
    <w:p w14:paraId="0720FF46" w14:textId="77777777" w:rsidR="00E16A8C" w:rsidRPr="00951C84" w:rsidRDefault="00E16A8C" w:rsidP="00951C84">
      <w:pPr>
        <w:tabs>
          <w:tab w:val="left" w:pos="4962"/>
        </w:tabs>
        <w:rPr>
          <w:rFonts w:eastAsia="Calibri" w:cs="Tahoma"/>
          <w:iCs/>
          <w:szCs w:val="22"/>
          <w:lang w:val="es-ES" w:eastAsia="es-ES_tradnl"/>
        </w:rPr>
      </w:pPr>
    </w:p>
    <w:p w14:paraId="72D2B4E2" w14:textId="77777777" w:rsidR="00E16A8C" w:rsidRPr="00951C84" w:rsidRDefault="00E16A8C" w:rsidP="00951C84">
      <w:pPr>
        <w:tabs>
          <w:tab w:val="left" w:pos="4962"/>
        </w:tabs>
        <w:rPr>
          <w:rFonts w:eastAsia="Calibri" w:cs="Tahoma"/>
          <w:iCs/>
          <w:szCs w:val="22"/>
          <w:lang w:eastAsia="es-ES_tradnl"/>
        </w:rPr>
      </w:pPr>
      <w:r w:rsidRPr="00951C84">
        <w:rPr>
          <w:rFonts w:eastAsia="Calibri" w:cs="Tahoma"/>
          <w:iCs/>
          <w:szCs w:val="22"/>
          <w:lang w:eastAsia="es-ES_tradnl"/>
        </w:rP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02945CA9" w14:textId="77777777" w:rsidR="001F3FF9" w:rsidRPr="00951C84" w:rsidRDefault="001F3FF9" w:rsidP="00951C84">
      <w:pPr>
        <w:tabs>
          <w:tab w:val="left" w:pos="4962"/>
        </w:tabs>
        <w:rPr>
          <w:rFonts w:eastAsia="Calibri" w:cs="Tahoma"/>
          <w:iCs/>
          <w:szCs w:val="22"/>
          <w:lang w:eastAsia="es-ES_tradnl"/>
        </w:rPr>
      </w:pPr>
    </w:p>
    <w:p w14:paraId="5016BD81" w14:textId="77777777" w:rsidR="001F3FF9" w:rsidRPr="00951C84" w:rsidRDefault="001F3FF9" w:rsidP="00951C84">
      <w:pPr>
        <w:ind w:right="-93"/>
        <w:rPr>
          <w:rFonts w:eastAsia="Calibri" w:cs="Tahoma"/>
          <w:bCs/>
          <w:szCs w:val="22"/>
          <w:lang w:eastAsia="en-US"/>
        </w:rPr>
      </w:pPr>
      <w:r w:rsidRPr="00951C84">
        <w:rPr>
          <w:rFonts w:eastAsia="Calibri" w:cs="Tahoma"/>
          <w:iCs/>
          <w:szCs w:val="22"/>
          <w:lang w:val="es-ES" w:eastAsia="es-ES_tradnl"/>
        </w:rPr>
        <w:t>En primer término, sobre lo solicitado</w:t>
      </w:r>
      <w:r w:rsidRPr="00951C84">
        <w:rPr>
          <w:rFonts w:cs="Tahoma"/>
          <w:szCs w:val="22"/>
          <w:lang w:val="es-ES"/>
        </w:rPr>
        <w:t xml:space="preserve">, </w:t>
      </w:r>
      <w:r w:rsidRPr="00951C84">
        <w:rPr>
          <w:rFonts w:cs="Arial"/>
          <w:iCs/>
          <w:szCs w:val="22"/>
        </w:rPr>
        <w:t xml:space="preserve">es de señalar que dicha información </w:t>
      </w:r>
      <w:r w:rsidRPr="00951C84">
        <w:rPr>
          <w:rFonts w:cs="Tahoma"/>
          <w:szCs w:val="22"/>
          <w:lang w:eastAsia="es-MX"/>
        </w:rPr>
        <w:t xml:space="preserve">se encuentra dentro de sus obligaciones de transparencia </w:t>
      </w:r>
      <w:r w:rsidRPr="00951C84">
        <w:rPr>
          <w:rFonts w:eastAsia="Calibri" w:cs="Tahoma"/>
          <w:bCs/>
          <w:szCs w:val="22"/>
          <w:lang w:eastAsia="en-US"/>
        </w:rPr>
        <w:t>de acuerdo a lo señalado en el artículo 92, fracción XXIX, de la Ley de Transparencia y Acceso a la Información Pública del Estado de México y Municipios, el cual indica que son obligaciones de transparencia “</w:t>
      </w:r>
      <w:r w:rsidRPr="00951C84">
        <w:rPr>
          <w:i/>
          <w:szCs w:val="22"/>
        </w:rPr>
        <w:t>La información sobre los procesos y resultados sobre procedimientos de adjudicación directa, invitación restringida y licitación de cualquier naturaleza, incluyendo la versión pública del expediente respectivo y de los contratos celebrados, que deberán contener, (…)”.</w:t>
      </w:r>
    </w:p>
    <w:p w14:paraId="1370D635" w14:textId="77777777" w:rsidR="001F3FF9" w:rsidRPr="00951C84" w:rsidRDefault="001F3FF9" w:rsidP="00951C84">
      <w:pPr>
        <w:ind w:left="708" w:right="-93"/>
        <w:rPr>
          <w:b/>
          <w:i/>
          <w:szCs w:val="22"/>
        </w:rPr>
      </w:pPr>
    </w:p>
    <w:p w14:paraId="6AD668A6" w14:textId="77777777" w:rsidR="001F3FF9" w:rsidRPr="00951C84" w:rsidRDefault="001F3FF9" w:rsidP="00951C84">
      <w:pPr>
        <w:ind w:right="-93"/>
        <w:rPr>
          <w:rFonts w:eastAsia="Calibri" w:cs="Tahoma"/>
          <w:bCs/>
          <w:szCs w:val="22"/>
          <w:lang w:eastAsia="en-US"/>
        </w:rPr>
      </w:pPr>
      <w:r w:rsidRPr="00951C84">
        <w:rPr>
          <w:noProof/>
          <w:szCs w:val="22"/>
          <w:lang w:eastAsia="es-MX"/>
        </w:rPr>
        <w:t xml:space="preserve">Aunado a lo anterior, </w:t>
      </w:r>
      <w:r w:rsidRPr="00951C84">
        <w:rPr>
          <w:rFonts w:eastAsia="Calibri" w:cs="Tahoma"/>
          <w:bCs/>
          <w:szCs w:val="22"/>
          <w:lang w:eastAsia="en-US"/>
        </w:rPr>
        <w:t>el Código Administrativo del Estado de México en su Libro Décimo Segundo, señala lo siguiente:</w:t>
      </w:r>
    </w:p>
    <w:p w14:paraId="3E798764" w14:textId="77777777" w:rsidR="001F3FF9" w:rsidRPr="00951C84" w:rsidRDefault="001F3FF9" w:rsidP="00951C84">
      <w:pPr>
        <w:ind w:right="-93"/>
        <w:rPr>
          <w:rFonts w:eastAsia="Calibri" w:cs="Tahoma"/>
          <w:b/>
          <w:szCs w:val="22"/>
          <w:lang w:eastAsia="en-US"/>
        </w:rPr>
      </w:pPr>
    </w:p>
    <w:p w14:paraId="574BCE22" w14:textId="77777777" w:rsidR="001F3FF9" w:rsidRPr="00951C84" w:rsidRDefault="001F3FF9" w:rsidP="00951C84">
      <w:pPr>
        <w:ind w:left="567" w:right="539"/>
        <w:rPr>
          <w:rFonts w:eastAsia="Calibri" w:cs="Tahoma"/>
          <w:i/>
          <w:iCs/>
          <w:lang w:eastAsia="en-US"/>
        </w:rPr>
      </w:pPr>
      <w:r w:rsidRPr="00951C84">
        <w:rPr>
          <w:rFonts w:eastAsia="Calibri" w:cs="Tahoma"/>
          <w:b/>
          <w:i/>
          <w:iCs/>
          <w:lang w:eastAsia="en-US"/>
        </w:rPr>
        <w:t xml:space="preserve">Artículo 12.1.- </w:t>
      </w:r>
      <w:r w:rsidRPr="00951C84">
        <w:rPr>
          <w:rFonts w:eastAsia="Calibri" w:cs="Tahoma"/>
          <w:i/>
          <w:iCs/>
          <w:lang w:eastAsia="en-US"/>
        </w:rPr>
        <w:t xml:space="preserve">Este Libro tiene por objeto regular los actos relativos a la planeación, programación, </w:t>
      </w:r>
      <w:proofErr w:type="spellStart"/>
      <w:r w:rsidRPr="00951C84">
        <w:rPr>
          <w:rFonts w:eastAsia="Calibri" w:cs="Tahoma"/>
          <w:i/>
          <w:iCs/>
          <w:lang w:eastAsia="en-US"/>
        </w:rPr>
        <w:t>presupuestación</w:t>
      </w:r>
      <w:proofErr w:type="spellEnd"/>
      <w:r w:rsidRPr="00951C84">
        <w:rPr>
          <w:rFonts w:eastAsia="Calibri" w:cs="Tahoma"/>
          <w:i/>
          <w:iCs/>
          <w:lang w:eastAsia="en-US"/>
        </w:rPr>
        <w:t xml:space="preserve">, adjudicación, contratación, ejecución y control de la obra </w:t>
      </w:r>
      <w:r w:rsidRPr="00951C84">
        <w:rPr>
          <w:rFonts w:eastAsia="Calibri" w:cs="Tahoma"/>
          <w:i/>
          <w:iCs/>
          <w:lang w:eastAsia="en-US"/>
        </w:rPr>
        <w:lastRenderedPageBreak/>
        <w:t>pública, así como los servicios relacionados con la misma que, por sí o por conducto de terceros, realicen:</w:t>
      </w:r>
    </w:p>
    <w:p w14:paraId="122FE125" w14:textId="77777777" w:rsidR="001F3FF9" w:rsidRPr="00951C84" w:rsidRDefault="001F3FF9" w:rsidP="00951C84">
      <w:pPr>
        <w:ind w:left="567" w:right="539"/>
        <w:rPr>
          <w:rFonts w:eastAsia="Calibri" w:cs="Tahoma"/>
          <w:i/>
          <w:iCs/>
          <w:lang w:eastAsia="en-US"/>
        </w:rPr>
      </w:pPr>
      <w:r w:rsidRPr="00951C84">
        <w:rPr>
          <w:rFonts w:eastAsia="Calibri" w:cs="Tahoma"/>
          <w:i/>
          <w:iCs/>
          <w:lang w:eastAsia="en-US"/>
        </w:rPr>
        <w:t>I a V…</w:t>
      </w:r>
    </w:p>
    <w:p w14:paraId="51DD0668" w14:textId="77777777" w:rsidR="001F3FF9" w:rsidRPr="00951C84" w:rsidRDefault="001F3FF9" w:rsidP="00951C84">
      <w:pPr>
        <w:ind w:left="567" w:right="539"/>
        <w:rPr>
          <w:rFonts w:eastAsia="Calibri" w:cs="Tahoma"/>
          <w:b/>
          <w:i/>
          <w:iCs/>
          <w:lang w:eastAsia="en-US"/>
        </w:rPr>
      </w:pPr>
    </w:p>
    <w:p w14:paraId="274BA5F0" w14:textId="77777777" w:rsidR="001F3FF9" w:rsidRPr="00951C84" w:rsidRDefault="001F3FF9" w:rsidP="00951C84">
      <w:pPr>
        <w:ind w:left="567" w:right="539"/>
        <w:rPr>
          <w:rFonts w:eastAsia="Calibri" w:cs="Tahoma"/>
          <w:bCs/>
          <w:i/>
          <w:iCs/>
          <w:lang w:eastAsia="en-US"/>
        </w:rPr>
      </w:pPr>
      <w:r w:rsidRPr="00951C84">
        <w:rPr>
          <w:rFonts w:eastAsia="Calibri" w:cs="Tahoma"/>
          <w:b/>
          <w:i/>
          <w:iCs/>
          <w:lang w:eastAsia="en-US"/>
        </w:rPr>
        <w:t xml:space="preserve">Artículo 12.20.- </w:t>
      </w:r>
      <w:r w:rsidRPr="00951C84">
        <w:rPr>
          <w:rFonts w:eastAsia="Calibri" w:cs="Tahoma"/>
          <w:bCs/>
          <w:i/>
          <w:iCs/>
          <w:lang w:eastAsia="en-US"/>
        </w:rPr>
        <w:t>Los contratos a que se refiere este Libro, se adjudicarán a través de licitaciones públicas, mediante convocatoria pública.</w:t>
      </w:r>
    </w:p>
    <w:p w14:paraId="1C29C015" w14:textId="77777777" w:rsidR="001F3FF9" w:rsidRPr="00951C84" w:rsidRDefault="001F3FF9" w:rsidP="00951C84">
      <w:pPr>
        <w:ind w:left="567" w:right="539"/>
        <w:rPr>
          <w:rFonts w:eastAsia="Calibri" w:cs="Tahoma"/>
          <w:b/>
          <w:i/>
          <w:iCs/>
          <w:lang w:eastAsia="en-US"/>
        </w:rPr>
      </w:pPr>
    </w:p>
    <w:p w14:paraId="08BA9B95" w14:textId="77777777" w:rsidR="001F3FF9" w:rsidRPr="00951C84" w:rsidRDefault="001F3FF9" w:rsidP="00951C84">
      <w:pPr>
        <w:ind w:left="567" w:right="539"/>
        <w:rPr>
          <w:rFonts w:eastAsia="Calibri" w:cs="Tahoma"/>
          <w:bCs/>
          <w:i/>
          <w:iCs/>
          <w:lang w:eastAsia="en-US"/>
        </w:rPr>
      </w:pPr>
      <w:r w:rsidRPr="00951C84">
        <w:rPr>
          <w:rFonts w:eastAsia="Calibri" w:cs="Tahoma"/>
          <w:b/>
          <w:i/>
          <w:iCs/>
          <w:lang w:eastAsia="en-US"/>
        </w:rPr>
        <w:t xml:space="preserve">Artículo 12.21.- </w:t>
      </w:r>
      <w:r w:rsidRPr="00951C84">
        <w:rPr>
          <w:rFonts w:eastAsia="Calibri" w:cs="Tahoma"/>
          <w:bCs/>
          <w:i/>
          <w:iCs/>
          <w:lang w:eastAsia="en-US"/>
        </w:rPr>
        <w:t xml:space="preserve">Las dependencias, entidades y ayuntamientos podrán adjudicar contratos para la ejecución de obra pública o servicios relacionados con la misma. </w:t>
      </w:r>
      <w:proofErr w:type="gramStart"/>
      <w:r w:rsidRPr="00951C84">
        <w:rPr>
          <w:rFonts w:eastAsia="Calibri" w:cs="Tahoma"/>
          <w:bCs/>
          <w:i/>
          <w:iCs/>
          <w:lang w:eastAsia="en-US"/>
        </w:rPr>
        <w:t>mediante</w:t>
      </w:r>
      <w:proofErr w:type="gramEnd"/>
      <w:r w:rsidRPr="00951C84">
        <w:rPr>
          <w:rFonts w:eastAsia="Calibri" w:cs="Tahoma"/>
          <w:bCs/>
          <w:i/>
          <w:iCs/>
          <w:lang w:eastAsia="en-US"/>
        </w:rPr>
        <w:t xml:space="preserve"> las excepciones al procedimiento de licitación siguientes: </w:t>
      </w:r>
    </w:p>
    <w:p w14:paraId="79EF4E36" w14:textId="77777777" w:rsidR="001F3FF9" w:rsidRPr="00951C84" w:rsidRDefault="001F3FF9" w:rsidP="00951C84">
      <w:pPr>
        <w:ind w:left="567" w:right="539"/>
        <w:rPr>
          <w:rFonts w:eastAsia="Calibri" w:cs="Tahoma"/>
          <w:bCs/>
          <w:i/>
          <w:iCs/>
          <w:lang w:eastAsia="en-US"/>
        </w:rPr>
      </w:pPr>
      <w:r w:rsidRPr="00951C84">
        <w:rPr>
          <w:rFonts w:eastAsia="Calibri" w:cs="Tahoma"/>
          <w:bCs/>
          <w:i/>
          <w:iCs/>
          <w:lang w:eastAsia="en-US"/>
        </w:rPr>
        <w:t xml:space="preserve">I. Invitación restringida; </w:t>
      </w:r>
    </w:p>
    <w:p w14:paraId="6C985876" w14:textId="77777777" w:rsidR="001F3FF9" w:rsidRPr="00951C84" w:rsidRDefault="001F3FF9" w:rsidP="00951C84">
      <w:pPr>
        <w:ind w:left="567" w:right="539"/>
        <w:rPr>
          <w:rFonts w:eastAsia="Calibri" w:cs="Tahoma"/>
          <w:b/>
          <w:bCs/>
          <w:i/>
          <w:iCs/>
          <w:lang w:eastAsia="en-US"/>
        </w:rPr>
      </w:pPr>
      <w:r w:rsidRPr="00951C84">
        <w:rPr>
          <w:rFonts w:eastAsia="Calibri" w:cs="Tahoma"/>
          <w:b/>
          <w:bCs/>
          <w:i/>
          <w:iCs/>
          <w:lang w:eastAsia="en-US"/>
        </w:rPr>
        <w:t>II. Adjudicación directa.</w:t>
      </w:r>
    </w:p>
    <w:p w14:paraId="2B86A7F8" w14:textId="77777777" w:rsidR="001F3FF9" w:rsidRPr="00951C84" w:rsidRDefault="001F3FF9" w:rsidP="00951C84">
      <w:pPr>
        <w:ind w:left="567" w:right="539"/>
        <w:rPr>
          <w:rFonts w:eastAsia="Calibri" w:cs="Tahoma"/>
          <w:b/>
          <w:i/>
          <w:iCs/>
          <w:lang w:eastAsia="en-US"/>
        </w:rPr>
      </w:pPr>
    </w:p>
    <w:p w14:paraId="67E6ADBB" w14:textId="77777777" w:rsidR="001F3FF9" w:rsidRPr="00951C84" w:rsidRDefault="001F3FF9" w:rsidP="00951C84">
      <w:pPr>
        <w:ind w:left="567" w:right="539"/>
        <w:rPr>
          <w:rFonts w:eastAsia="Calibri" w:cs="Tahoma"/>
          <w:bCs/>
          <w:i/>
          <w:iCs/>
          <w:lang w:eastAsia="en-US"/>
        </w:rPr>
      </w:pPr>
      <w:r w:rsidRPr="00951C84">
        <w:rPr>
          <w:rFonts w:eastAsia="Calibri" w:cs="Tahoma"/>
          <w:b/>
          <w:i/>
          <w:iCs/>
          <w:lang w:eastAsia="en-US"/>
        </w:rPr>
        <w:t xml:space="preserve">Artículo 12.22.- </w:t>
      </w:r>
      <w:r w:rsidRPr="00951C84">
        <w:rPr>
          <w:rFonts w:eastAsia="Calibri" w:cs="Tahoma"/>
          <w:bCs/>
          <w:i/>
          <w:iCs/>
          <w:lang w:eastAsia="en-US"/>
        </w:rPr>
        <w:t>En el procedimiento de licitación pública deberán establecerse los mismos requisitos y condiciones para todos los participantes, debiendo las dependencias, entidades y ayuntamientos, proporcionarles igual acceso a la información relacionada con dicho procedimiento, a fin de evitar favorecer a algún participante.</w:t>
      </w:r>
    </w:p>
    <w:p w14:paraId="17A3DA91" w14:textId="77777777" w:rsidR="001F3FF9" w:rsidRPr="00951C84" w:rsidRDefault="001F3FF9" w:rsidP="00951C84">
      <w:pPr>
        <w:ind w:left="567" w:right="539"/>
        <w:rPr>
          <w:rFonts w:eastAsia="Calibri" w:cs="Tahoma"/>
          <w:b/>
          <w:i/>
          <w:iCs/>
          <w:lang w:eastAsia="en-US"/>
        </w:rPr>
      </w:pPr>
    </w:p>
    <w:p w14:paraId="0404BB48" w14:textId="77777777" w:rsidR="001F3FF9" w:rsidRPr="00951C84" w:rsidRDefault="001F3FF9" w:rsidP="00951C84">
      <w:pPr>
        <w:ind w:left="567" w:right="539"/>
        <w:rPr>
          <w:rFonts w:eastAsia="Calibri" w:cs="Tahoma"/>
          <w:bCs/>
          <w:i/>
          <w:iCs/>
          <w:lang w:eastAsia="en-US"/>
        </w:rPr>
      </w:pPr>
      <w:r w:rsidRPr="00951C84">
        <w:rPr>
          <w:rFonts w:eastAsia="Calibri" w:cs="Tahoma"/>
          <w:b/>
          <w:i/>
          <w:iCs/>
          <w:lang w:eastAsia="en-US"/>
        </w:rPr>
        <w:t>Artículo 12.34</w:t>
      </w:r>
      <w:r w:rsidRPr="00951C84">
        <w:rPr>
          <w:rFonts w:eastAsia="Calibri" w:cs="Tahoma"/>
          <w:bCs/>
          <w:i/>
          <w:iCs/>
          <w:lang w:eastAsia="en-US"/>
        </w:rPr>
        <w:t xml:space="preserve">.- Las dependencias, entidades y ayuntamientos podrán contratar obra pública o servicios relacionados con la misma, mediante el procedimiento de invitación restringida, cuando: </w:t>
      </w:r>
    </w:p>
    <w:p w14:paraId="44915B06" w14:textId="77777777" w:rsidR="001F3FF9" w:rsidRPr="00951C84" w:rsidRDefault="001F3FF9" w:rsidP="00951C84">
      <w:pPr>
        <w:ind w:left="567" w:right="539"/>
        <w:rPr>
          <w:rFonts w:eastAsia="Calibri" w:cs="Tahoma"/>
          <w:bCs/>
          <w:i/>
          <w:iCs/>
          <w:lang w:eastAsia="en-US"/>
        </w:rPr>
      </w:pPr>
      <w:r w:rsidRPr="00951C84">
        <w:rPr>
          <w:rFonts w:eastAsia="Calibri" w:cs="Tahoma"/>
          <w:bCs/>
          <w:i/>
          <w:iCs/>
          <w:lang w:eastAsia="en-US"/>
        </w:rPr>
        <w:t xml:space="preserve">I. Se hubiere declarado desierto un procedimiento de licitación; o </w:t>
      </w:r>
    </w:p>
    <w:p w14:paraId="175DD2EB" w14:textId="77777777" w:rsidR="001F3FF9" w:rsidRPr="00951C84" w:rsidRDefault="001F3FF9" w:rsidP="00951C84">
      <w:pPr>
        <w:ind w:left="567" w:right="539"/>
        <w:rPr>
          <w:rFonts w:eastAsia="Calibri" w:cs="Tahoma"/>
          <w:bCs/>
          <w:i/>
          <w:iCs/>
          <w:lang w:eastAsia="en-US"/>
        </w:rPr>
      </w:pPr>
      <w:r w:rsidRPr="00951C84">
        <w:rPr>
          <w:rFonts w:eastAsia="Calibri" w:cs="Tahoma"/>
          <w:bCs/>
          <w:i/>
          <w:iCs/>
          <w:lang w:eastAsia="en-US"/>
        </w:rPr>
        <w:t>II. Las obras o servicios a contratar, no rebasen los montos establecidos por el Presupuesto de Egresos del Gobierno del Estado del ejercicio correspondiente.</w:t>
      </w:r>
    </w:p>
    <w:p w14:paraId="05713DC4" w14:textId="77777777" w:rsidR="001F3FF9" w:rsidRPr="00951C84" w:rsidRDefault="001F3FF9" w:rsidP="00951C84">
      <w:pPr>
        <w:ind w:left="567" w:right="539"/>
        <w:rPr>
          <w:rFonts w:eastAsia="Calibri" w:cs="Tahoma"/>
          <w:bCs/>
          <w:i/>
          <w:iCs/>
          <w:lang w:eastAsia="en-US"/>
        </w:rPr>
      </w:pPr>
    </w:p>
    <w:p w14:paraId="645B4B1D" w14:textId="77777777" w:rsidR="001F3FF9" w:rsidRPr="00951C84" w:rsidRDefault="001F3FF9" w:rsidP="00951C84">
      <w:pPr>
        <w:ind w:left="567" w:right="539"/>
        <w:rPr>
          <w:rFonts w:eastAsia="Calibri" w:cs="Tahoma"/>
          <w:bCs/>
          <w:i/>
          <w:iCs/>
          <w:lang w:eastAsia="en-US"/>
        </w:rPr>
      </w:pPr>
      <w:r w:rsidRPr="00951C84">
        <w:rPr>
          <w:rFonts w:eastAsia="Calibri" w:cs="Tahoma"/>
          <w:b/>
          <w:i/>
          <w:iCs/>
          <w:lang w:eastAsia="en-US"/>
        </w:rPr>
        <w:lastRenderedPageBreak/>
        <w:t>Artículo 12.38.-</w:t>
      </w:r>
      <w:r w:rsidRPr="00951C84">
        <w:rPr>
          <w:rFonts w:eastAsia="Calibri" w:cs="Tahoma"/>
          <w:bCs/>
          <w:i/>
          <w:iCs/>
          <w:lang w:eastAsia="en-US"/>
        </w:rPr>
        <w:t xml:space="preserve"> La adjudicación de la obra o servicios relacionados con la misma obligará a la dependencia, entidad o ayuntamiento y a la persona en que hubiere recaído, a suscribir el contrato respectivo dentro de los diez días hábiles siguientes al de la notificación del fallo. </w:t>
      </w:r>
    </w:p>
    <w:p w14:paraId="1D5D793E" w14:textId="77777777" w:rsidR="001F3FF9" w:rsidRPr="00951C84" w:rsidRDefault="001F3FF9" w:rsidP="00951C84">
      <w:pPr>
        <w:ind w:left="567" w:right="539"/>
        <w:rPr>
          <w:rFonts w:eastAsia="Calibri" w:cs="Tahoma"/>
          <w:bCs/>
          <w:i/>
          <w:iCs/>
          <w:lang w:eastAsia="en-US"/>
        </w:rPr>
      </w:pPr>
    </w:p>
    <w:p w14:paraId="260113F8" w14:textId="77777777" w:rsidR="001F3FF9" w:rsidRPr="00951C84" w:rsidRDefault="001F3FF9" w:rsidP="00951C84">
      <w:pPr>
        <w:ind w:left="567" w:right="539"/>
        <w:rPr>
          <w:rFonts w:eastAsia="Calibri" w:cs="Tahoma"/>
          <w:bCs/>
          <w:i/>
          <w:iCs/>
          <w:lang w:eastAsia="en-US"/>
        </w:rPr>
      </w:pPr>
      <w:r w:rsidRPr="00951C84">
        <w:rPr>
          <w:rFonts w:eastAsia="Calibri" w:cs="Tahoma"/>
          <w:bCs/>
          <w:i/>
          <w:iCs/>
          <w:lang w:eastAsia="en-US"/>
        </w:rPr>
        <w:t>Si la dependencia, entidad o ayuntamiento no firmare el contrato dentro del plazo a que se refiere el párrafo anterior, el licitante ganador podrá exigir que se le cubran los gastos que realizo en preparar y elaborar su propuesta.</w:t>
      </w:r>
    </w:p>
    <w:p w14:paraId="551226C6" w14:textId="77777777" w:rsidR="00951C84" w:rsidRPr="00951C84" w:rsidRDefault="00951C84" w:rsidP="00951C84">
      <w:pPr>
        <w:rPr>
          <w:rFonts w:eastAsia="Calibri" w:cs="Tahoma"/>
          <w:bCs/>
          <w:szCs w:val="22"/>
          <w:lang w:eastAsia="en-US"/>
        </w:rPr>
      </w:pPr>
    </w:p>
    <w:p w14:paraId="1267DFC6" w14:textId="77777777" w:rsidR="001F3FF9" w:rsidRPr="00951C84" w:rsidRDefault="001F3FF9" w:rsidP="00951C84">
      <w:pPr>
        <w:rPr>
          <w:rFonts w:eastAsia="Calibri" w:cs="Tahoma"/>
          <w:iCs/>
          <w:szCs w:val="22"/>
          <w:lang w:eastAsia="es-ES_tradnl"/>
        </w:rPr>
      </w:pPr>
      <w:r w:rsidRPr="00951C84">
        <w:rPr>
          <w:rFonts w:eastAsia="Calibri" w:cs="Tahoma"/>
          <w:bCs/>
          <w:szCs w:val="22"/>
          <w:lang w:eastAsia="en-US"/>
        </w:rPr>
        <w:t>De lo anterior, se advierte que el Sujeto Obligado cuenta con diversos documentos en donde obra lo solicitado por el Particular, tales como el procedimiento de adquisición, contratos, facturas</w:t>
      </w:r>
      <w:r w:rsidRPr="00951C84">
        <w:rPr>
          <w:rFonts w:eastAsia="Calibri" w:cs="Tahoma"/>
          <w:iCs/>
          <w:szCs w:val="22"/>
          <w:lang w:eastAsia="es-ES_tradnl"/>
        </w:rPr>
        <w:t>, por tal situación la información generada, obtenida, adquirida, transmitida, administrada o en su posesión, será accesible a cualquier persona, privilegiando el principio de máxima publicidad de la información.</w:t>
      </w:r>
    </w:p>
    <w:p w14:paraId="360057C4" w14:textId="77777777" w:rsidR="001F3FF9" w:rsidRPr="00951C84" w:rsidRDefault="001F3FF9" w:rsidP="00951C84">
      <w:pPr>
        <w:ind w:right="-93"/>
        <w:rPr>
          <w:rFonts w:cs="Tahoma"/>
          <w:szCs w:val="22"/>
          <w:lang w:val="es-ES"/>
        </w:rPr>
      </w:pPr>
    </w:p>
    <w:p w14:paraId="5873EAD6" w14:textId="7A406292" w:rsidR="001F3FF9" w:rsidRPr="00951C84" w:rsidRDefault="00D47E31" w:rsidP="00951C84">
      <w:pPr>
        <w:tabs>
          <w:tab w:val="left" w:pos="4962"/>
        </w:tabs>
        <w:rPr>
          <w:rFonts w:cs="Tahoma"/>
          <w:iCs/>
          <w:szCs w:val="22"/>
          <w:lang w:val="es-ES"/>
        </w:rPr>
      </w:pPr>
      <w:r w:rsidRPr="00951C84">
        <w:rPr>
          <w:rFonts w:eastAsia="Calibri" w:cs="Tahoma"/>
          <w:bCs/>
          <w:iCs/>
          <w:szCs w:val="22"/>
          <w:lang w:val="es-ES" w:eastAsia="en-US"/>
        </w:rPr>
        <w:t>Ahora bien, en las solicitud 00216/TLALNEPA/IP/2024,</w:t>
      </w:r>
      <w:r w:rsidR="001F3FF9" w:rsidRPr="00951C84">
        <w:rPr>
          <w:rFonts w:eastAsia="Calibri" w:cs="Tahoma"/>
          <w:bCs/>
          <w:iCs/>
          <w:szCs w:val="22"/>
          <w:lang w:val="es-ES" w:eastAsia="en-US"/>
        </w:rPr>
        <w:t xml:space="preserve"> que el Particular requirió facturas</w:t>
      </w:r>
      <w:r w:rsidR="001F3FF9" w:rsidRPr="00951C84">
        <w:rPr>
          <w:rFonts w:cs="Tahoma"/>
          <w:szCs w:val="24"/>
        </w:rPr>
        <w:t xml:space="preserve">, </w:t>
      </w:r>
      <w:r w:rsidR="001F3FF9" w:rsidRPr="00951C84">
        <w:rPr>
          <w:rFonts w:cs="Tahoma"/>
          <w:szCs w:val="22"/>
        </w:rPr>
        <w:t>e</w:t>
      </w:r>
      <w:r w:rsidR="001F3FF9" w:rsidRPr="00951C84">
        <w:rPr>
          <w:rFonts w:cs="Tahoma"/>
          <w:iCs/>
          <w:szCs w:val="22"/>
          <w:lang w:val="es-ES"/>
        </w:rPr>
        <w:t xml:space="preserve">n ese contexto, el artículo 4°, fracción XVIII, de la Ley General de Contabilidad Gubernamental, establece que </w:t>
      </w:r>
      <w:r w:rsidR="001F3FF9" w:rsidRPr="00951C84">
        <w:rPr>
          <w:rFonts w:cs="Tahoma"/>
          <w:b/>
          <w:bCs/>
          <w:iCs/>
          <w:szCs w:val="22"/>
          <w:lang w:val="es-ES"/>
        </w:rPr>
        <w:t>la información financiera consiste en información presupuestaria y contable que se expresa en unidades monetarias las</w:t>
      </w:r>
      <w:r w:rsidR="001F3FF9" w:rsidRPr="00951C84">
        <w:rPr>
          <w:rFonts w:cs="Tahoma"/>
          <w:iCs/>
          <w:szCs w:val="22"/>
          <w:lang w:val="es-ES"/>
        </w:rPr>
        <w:t xml:space="preserve"> </w:t>
      </w:r>
      <w:r w:rsidR="001F3FF9" w:rsidRPr="00951C84">
        <w:rPr>
          <w:rFonts w:cs="Tahoma"/>
          <w:b/>
          <w:bCs/>
          <w:iCs/>
          <w:szCs w:val="22"/>
          <w:lang w:val="es-ES"/>
        </w:rPr>
        <w:t>transacciones que realiza un ente público y los eventos económicos identificables y cuantificable</w:t>
      </w:r>
      <w:r w:rsidR="001F3FF9" w:rsidRPr="00951C84">
        <w:rPr>
          <w:rFonts w:cs="Tahoma"/>
          <w:iCs/>
          <w:szCs w:val="22"/>
          <w:lang w:val="es-ES"/>
        </w:rPr>
        <w:t xml:space="preserve"> la cual puede representarse por reportes, informes, estados y notas que expresan su situación financiera, los resultados de su operación y los cambios en su patrimonio. </w:t>
      </w:r>
    </w:p>
    <w:p w14:paraId="72050734" w14:textId="77777777" w:rsidR="001F3FF9" w:rsidRPr="00951C84" w:rsidRDefault="001F3FF9" w:rsidP="00951C84">
      <w:pPr>
        <w:tabs>
          <w:tab w:val="left" w:pos="4962"/>
        </w:tabs>
        <w:rPr>
          <w:rFonts w:cs="Tahoma"/>
          <w:iCs/>
          <w:szCs w:val="22"/>
          <w:lang w:val="es-ES"/>
        </w:rPr>
      </w:pPr>
    </w:p>
    <w:p w14:paraId="45F25292" w14:textId="77777777" w:rsidR="001F3FF9" w:rsidRPr="00951C84" w:rsidRDefault="001F3FF9" w:rsidP="00951C84">
      <w:pPr>
        <w:tabs>
          <w:tab w:val="left" w:pos="4962"/>
        </w:tabs>
        <w:rPr>
          <w:rFonts w:cs="Tahoma"/>
          <w:iCs/>
          <w:szCs w:val="22"/>
          <w:lang w:val="es-ES"/>
        </w:rPr>
      </w:pPr>
      <w:r w:rsidRPr="00951C84">
        <w:rPr>
          <w:rFonts w:cs="Tahoma"/>
          <w:iCs/>
          <w:szCs w:val="22"/>
          <w:lang w:val="es-ES"/>
        </w:rPr>
        <w:t xml:space="preserve">En esa misma tesitura, la Ley General citada el párrafo anterior establece que cada Ente Público debe establecer un </w:t>
      </w:r>
      <w:r w:rsidRPr="00951C84">
        <w:rPr>
          <w:rFonts w:cs="Tahoma"/>
          <w:b/>
          <w:iCs/>
          <w:szCs w:val="22"/>
          <w:lang w:val="es-ES"/>
        </w:rPr>
        <w:t>Sistema de Contabilidad Gubernamental</w:t>
      </w:r>
      <w:r w:rsidRPr="00951C84">
        <w:rPr>
          <w:rFonts w:cs="Tahoma"/>
          <w:iCs/>
          <w:szCs w:val="22"/>
          <w:lang w:val="es-ES"/>
        </w:rPr>
        <w:t xml:space="preserve">, el cual de conformidad con los artículos 16 y 19, fracción II de la ley en cita, debe facilitar el reconocimiento de las </w:t>
      </w:r>
      <w:r w:rsidRPr="00951C84">
        <w:rPr>
          <w:rFonts w:cs="Tahoma"/>
          <w:iCs/>
          <w:szCs w:val="22"/>
          <w:lang w:val="es-ES"/>
        </w:rPr>
        <w:lastRenderedPageBreak/>
        <w:t xml:space="preserve">operaciones de ingresos, gastos, activos, pasivos y patrimoniales de los entes públicos, para lo cual, el artículo 18, establece que el Sistema estará conformado por el conjunto de registros, procedimientos, criterios e informes, estructurados sobre la base de principios técnicos comunes destinados a captar, valuar, registrar, clasificar, informar e interpretar, las transacciones, transformaciones y eventos que, derivados de la actividad económica, modifican la situación patrimonial del gobierno y de las finanzas públicas. </w:t>
      </w:r>
    </w:p>
    <w:p w14:paraId="7C568E77" w14:textId="77777777" w:rsidR="001F3FF9" w:rsidRPr="00951C84" w:rsidRDefault="001F3FF9" w:rsidP="00951C84">
      <w:pPr>
        <w:tabs>
          <w:tab w:val="left" w:pos="4962"/>
        </w:tabs>
        <w:rPr>
          <w:rFonts w:cs="Tahoma"/>
          <w:iCs/>
          <w:szCs w:val="22"/>
          <w:lang w:val="es-ES"/>
        </w:rPr>
      </w:pPr>
    </w:p>
    <w:p w14:paraId="1FA46CDC" w14:textId="77777777" w:rsidR="001F3FF9" w:rsidRPr="00951C84" w:rsidRDefault="001F3FF9" w:rsidP="00951C84">
      <w:pPr>
        <w:tabs>
          <w:tab w:val="left" w:pos="4962"/>
        </w:tabs>
        <w:rPr>
          <w:rFonts w:cs="Tahoma"/>
          <w:iCs/>
          <w:szCs w:val="22"/>
          <w:lang w:val="es-ES"/>
        </w:rPr>
      </w:pPr>
      <w:r w:rsidRPr="00951C84">
        <w:rPr>
          <w:rFonts w:cs="Tahoma"/>
          <w:iCs/>
          <w:szCs w:val="22"/>
          <w:lang w:val="es-ES"/>
        </w:rPr>
        <w:t xml:space="preserve">Baja esta tesitura, la Ley General de Contabilidad Gubernamental, establece que el Sistema de Contabilidad Gubernamental, permita la expresión fiable de las transacciones en los estados financieros y considerar las mejores prácticas contables nacionales e internacionales en apoyo a las tareas de planeación financiera, control de recursos, análisis y fiscalización a través del </w:t>
      </w:r>
      <w:r w:rsidRPr="00951C84">
        <w:rPr>
          <w:rFonts w:cs="Tahoma"/>
          <w:b/>
          <w:iCs/>
          <w:szCs w:val="22"/>
          <w:lang w:val="es-ES"/>
        </w:rPr>
        <w:t>Registro Contable de las Operaciones</w:t>
      </w:r>
      <w:r w:rsidRPr="00951C84">
        <w:rPr>
          <w:rFonts w:cs="Tahoma"/>
          <w:iCs/>
          <w:szCs w:val="22"/>
          <w:lang w:val="es-ES"/>
        </w:rPr>
        <w:t>.</w:t>
      </w:r>
    </w:p>
    <w:p w14:paraId="01F0F0B1" w14:textId="77777777" w:rsidR="001F3FF9" w:rsidRPr="00951C84" w:rsidRDefault="001F3FF9" w:rsidP="00951C84">
      <w:pPr>
        <w:tabs>
          <w:tab w:val="left" w:pos="4962"/>
        </w:tabs>
        <w:rPr>
          <w:rFonts w:cs="Tahoma"/>
          <w:iCs/>
          <w:szCs w:val="22"/>
          <w:lang w:val="es-ES"/>
        </w:rPr>
      </w:pPr>
    </w:p>
    <w:p w14:paraId="134E75B1" w14:textId="77777777" w:rsidR="001F3FF9" w:rsidRPr="00951C84" w:rsidRDefault="001F3FF9" w:rsidP="00951C84">
      <w:pPr>
        <w:tabs>
          <w:tab w:val="left" w:pos="4962"/>
        </w:tabs>
        <w:rPr>
          <w:rFonts w:cs="Tahoma"/>
          <w:iCs/>
          <w:szCs w:val="22"/>
          <w:lang w:val="es-ES"/>
        </w:rPr>
      </w:pPr>
      <w:r w:rsidRPr="00951C84">
        <w:rPr>
          <w:rFonts w:cs="Tahoma"/>
          <w:iCs/>
          <w:szCs w:val="22"/>
          <w:lang w:val="es-ES"/>
        </w:rPr>
        <w:t>Este Registro Contable de las Operaciones, de conformidad con los artículos 34, 35, 41 y 42 de la multicitada Ley General de Contabilidad Gubernamental, deberá hacerse conforme a lo siguiente:</w:t>
      </w:r>
    </w:p>
    <w:p w14:paraId="4405D468" w14:textId="77777777" w:rsidR="001F3FF9" w:rsidRPr="00951C84" w:rsidRDefault="001F3FF9" w:rsidP="00951C84">
      <w:pPr>
        <w:tabs>
          <w:tab w:val="left" w:pos="4962"/>
        </w:tabs>
        <w:rPr>
          <w:rFonts w:cs="Tahoma"/>
          <w:iCs/>
          <w:szCs w:val="22"/>
          <w:lang w:val="es-ES"/>
        </w:rPr>
      </w:pPr>
    </w:p>
    <w:p w14:paraId="2EB260BD" w14:textId="77777777" w:rsidR="001F3FF9" w:rsidRPr="00951C84" w:rsidRDefault="001F3FF9" w:rsidP="00951C84">
      <w:pPr>
        <w:numPr>
          <w:ilvl w:val="0"/>
          <w:numId w:val="34"/>
        </w:numPr>
        <w:tabs>
          <w:tab w:val="left" w:pos="4962"/>
        </w:tabs>
        <w:rPr>
          <w:rFonts w:cs="Tahoma"/>
          <w:iCs/>
          <w:szCs w:val="22"/>
          <w:lang w:val="es-ES"/>
        </w:rPr>
      </w:pPr>
      <w:r w:rsidRPr="00951C84">
        <w:rPr>
          <w:rFonts w:cs="Tahoma"/>
          <w:iCs/>
          <w:szCs w:val="22"/>
          <w:lang w:val="es-ES"/>
        </w:rPr>
        <w:t>Los registros contables de los entes públicos se llevarán con base acumulativa. La contabilización de las transacciones de gasto se hará conforme a la fecha de su realización, independientemente de la de su pago, y la del ingreso se registrará cuando exista jurídicamente el derecho de cobro.</w:t>
      </w:r>
    </w:p>
    <w:p w14:paraId="0C360D07" w14:textId="77777777" w:rsidR="001F3FF9" w:rsidRPr="00951C84" w:rsidRDefault="001F3FF9" w:rsidP="00951C84">
      <w:pPr>
        <w:tabs>
          <w:tab w:val="left" w:pos="4962"/>
        </w:tabs>
        <w:rPr>
          <w:rFonts w:cs="Tahoma"/>
          <w:iCs/>
          <w:szCs w:val="22"/>
          <w:lang w:val="es-ES"/>
        </w:rPr>
      </w:pPr>
    </w:p>
    <w:p w14:paraId="109E7B45" w14:textId="77777777" w:rsidR="001F3FF9" w:rsidRPr="00951C84" w:rsidRDefault="001F3FF9" w:rsidP="00951C84">
      <w:pPr>
        <w:numPr>
          <w:ilvl w:val="0"/>
          <w:numId w:val="34"/>
        </w:numPr>
        <w:tabs>
          <w:tab w:val="left" w:pos="4962"/>
        </w:tabs>
        <w:rPr>
          <w:rFonts w:cs="Tahoma"/>
          <w:iCs/>
          <w:szCs w:val="22"/>
          <w:lang w:val="es-ES"/>
        </w:rPr>
      </w:pPr>
      <w:r w:rsidRPr="00951C84">
        <w:rPr>
          <w:rFonts w:cs="Tahoma"/>
          <w:iCs/>
          <w:szCs w:val="22"/>
          <w:lang w:val="es-ES"/>
        </w:rPr>
        <w:t>Los entes públicos deberán mantener un registro histórico detallado de las operaciones realizadas como resultado de su gestión financiera, en los libros diario, mayor, e inventarios y balances.</w:t>
      </w:r>
    </w:p>
    <w:p w14:paraId="3195AB85" w14:textId="77777777" w:rsidR="001F3FF9" w:rsidRPr="00951C84" w:rsidRDefault="001F3FF9" w:rsidP="00951C84">
      <w:pPr>
        <w:numPr>
          <w:ilvl w:val="0"/>
          <w:numId w:val="34"/>
        </w:numPr>
        <w:tabs>
          <w:tab w:val="left" w:pos="4962"/>
        </w:tabs>
        <w:rPr>
          <w:rFonts w:cs="Tahoma"/>
          <w:iCs/>
          <w:szCs w:val="22"/>
          <w:lang w:val="es-ES"/>
        </w:rPr>
      </w:pPr>
      <w:r w:rsidRPr="00951C84">
        <w:rPr>
          <w:rFonts w:cs="Tahoma"/>
          <w:b/>
          <w:iCs/>
          <w:szCs w:val="22"/>
          <w:lang w:val="es-ES"/>
        </w:rPr>
        <w:lastRenderedPageBreak/>
        <w:t>La contabilización de las operaciones presupuestarias y contables deberá respaldarse con la documentación original que compruebe y justifique los registros que se efectúen</w:t>
      </w:r>
      <w:r w:rsidRPr="00951C84">
        <w:rPr>
          <w:rFonts w:cs="Tahoma"/>
          <w:iCs/>
          <w:szCs w:val="22"/>
          <w:lang w:val="es-ES"/>
        </w:rPr>
        <w:t>.</w:t>
      </w:r>
    </w:p>
    <w:p w14:paraId="55E1E6C8" w14:textId="77777777" w:rsidR="001F3FF9" w:rsidRPr="00951C84" w:rsidRDefault="001F3FF9" w:rsidP="00951C84">
      <w:pPr>
        <w:tabs>
          <w:tab w:val="left" w:pos="4962"/>
        </w:tabs>
        <w:rPr>
          <w:rFonts w:cs="Tahoma"/>
          <w:iCs/>
          <w:szCs w:val="22"/>
          <w:lang w:val="es-ES"/>
        </w:rPr>
      </w:pPr>
    </w:p>
    <w:p w14:paraId="565F5BD9" w14:textId="77777777" w:rsidR="001F3FF9" w:rsidRPr="00951C84" w:rsidRDefault="001F3FF9" w:rsidP="00951C84">
      <w:pPr>
        <w:numPr>
          <w:ilvl w:val="0"/>
          <w:numId w:val="34"/>
        </w:numPr>
        <w:tabs>
          <w:tab w:val="left" w:pos="4962"/>
        </w:tabs>
        <w:rPr>
          <w:rFonts w:cs="Tahoma"/>
          <w:iCs/>
          <w:szCs w:val="22"/>
          <w:lang w:val="es-ES"/>
        </w:rPr>
      </w:pPr>
      <w:r w:rsidRPr="00951C84">
        <w:rPr>
          <w:rFonts w:cs="Tahoma"/>
          <w:b/>
          <w:iCs/>
          <w:szCs w:val="22"/>
          <w:lang w:val="es-ES"/>
        </w:rPr>
        <w:t>Para el registro único de las operaciones presupuestarias y contables, los entes públicos dispondrán de clasificadores presupuestarios</w:t>
      </w:r>
      <w:r w:rsidRPr="00951C84">
        <w:rPr>
          <w:rFonts w:cs="Tahoma"/>
          <w:iCs/>
          <w:szCs w:val="22"/>
          <w:lang w:val="es-ES"/>
        </w:rPr>
        <w:t>, listas de cuentas y catálogos de bienes o instrumentos similares que permitan su interrelación automática</w:t>
      </w:r>
    </w:p>
    <w:p w14:paraId="235381D4" w14:textId="77777777" w:rsidR="001F3FF9" w:rsidRPr="00951C84" w:rsidRDefault="001F3FF9" w:rsidP="00951C84">
      <w:pPr>
        <w:tabs>
          <w:tab w:val="left" w:pos="4962"/>
        </w:tabs>
        <w:rPr>
          <w:rFonts w:cs="Tahoma"/>
          <w:iCs/>
          <w:szCs w:val="22"/>
          <w:lang w:val="es-ES"/>
        </w:rPr>
      </w:pPr>
    </w:p>
    <w:p w14:paraId="55A86E5E" w14:textId="77777777" w:rsidR="001F3FF9" w:rsidRPr="00951C84" w:rsidRDefault="001F3FF9" w:rsidP="00951C84">
      <w:pPr>
        <w:tabs>
          <w:tab w:val="left" w:pos="4962"/>
        </w:tabs>
        <w:rPr>
          <w:rFonts w:cs="Tahoma"/>
          <w:iCs/>
          <w:szCs w:val="22"/>
          <w:lang w:val="es-ES"/>
        </w:rPr>
      </w:pPr>
      <w:r w:rsidRPr="00951C84">
        <w:rPr>
          <w:rFonts w:cs="Tahoma"/>
          <w:iCs/>
          <w:szCs w:val="22"/>
          <w:lang w:val="es-ES"/>
        </w:rPr>
        <w:t>Con base en lo anterior, uno de los Principales Elementos del Sistema de Contabilidad Gubernamental, de acuerdo con el Consejo Nacional de Armonización Contable, se encuentran los Clasificadores Presupuestarios, de entre los cuales se encuentra el</w:t>
      </w:r>
      <w:r w:rsidRPr="00951C84">
        <w:rPr>
          <w:rFonts w:cs="Tahoma"/>
          <w:b/>
          <w:iCs/>
          <w:szCs w:val="22"/>
          <w:lang w:val="es-ES"/>
        </w:rPr>
        <w:t xml:space="preserve"> Clasificador por Objeto del Gasto, </w:t>
      </w:r>
      <w:r w:rsidRPr="00951C84">
        <w:rPr>
          <w:rFonts w:cs="Tahoma"/>
          <w:iCs/>
          <w:szCs w:val="22"/>
          <w:lang w:val="es-ES"/>
        </w:rPr>
        <w:t>el cual de acuerdo con el Consejo (</w:t>
      </w:r>
      <w:hyperlink r:id="rId12" w:history="1">
        <w:r w:rsidRPr="00951C84">
          <w:rPr>
            <w:rStyle w:val="Hipervnculo"/>
            <w:rFonts w:eastAsiaTheme="majorEastAsia" w:cs="Tahoma"/>
            <w:color w:val="auto"/>
            <w:szCs w:val="22"/>
            <w:lang w:val="es-ES"/>
          </w:rPr>
          <w:t>https://www.conac.gob.mx/work/models/CONAC/normatividad/NOR_01_02_006.pdf</w:t>
        </w:r>
      </w:hyperlink>
      <w:r w:rsidRPr="00951C84">
        <w:rPr>
          <w:rFonts w:cs="Tahoma"/>
          <w:szCs w:val="22"/>
        </w:rPr>
        <w:t>)</w:t>
      </w:r>
      <w:r w:rsidRPr="00951C84">
        <w:rPr>
          <w:rFonts w:cs="Tahoma"/>
          <w:iCs/>
          <w:szCs w:val="22"/>
          <w:lang w:val="es-ES"/>
        </w:rPr>
        <w:t xml:space="preserve"> cuyo propósito principal es el registro de los gastos que se realizan en el proceso presupuestario. Resume, ordena y presenta los gastos programados en el presupuesto, de acuerdo con la naturaleza de los bienes, servicios, activos y pasivos financieros. Alcanza a todas las transacciones que realizan los entes públicos para obtener bienes y servicios que se utilizan en la prestación de servicios públicos y en la realización de transferencias, en el marco del Presupuesto de Egresos.</w:t>
      </w:r>
    </w:p>
    <w:p w14:paraId="399EE983" w14:textId="77777777" w:rsidR="001F3FF9" w:rsidRPr="00951C84" w:rsidRDefault="001F3FF9" w:rsidP="00951C84">
      <w:pPr>
        <w:tabs>
          <w:tab w:val="left" w:pos="4962"/>
        </w:tabs>
        <w:rPr>
          <w:rFonts w:cs="Tahoma"/>
          <w:iCs/>
          <w:szCs w:val="22"/>
          <w:lang w:val="es-ES"/>
        </w:rPr>
      </w:pPr>
    </w:p>
    <w:p w14:paraId="20710682" w14:textId="77777777" w:rsidR="001F3FF9" w:rsidRPr="00951C84" w:rsidRDefault="001F3FF9" w:rsidP="00951C84">
      <w:pPr>
        <w:tabs>
          <w:tab w:val="left" w:pos="4962"/>
        </w:tabs>
        <w:rPr>
          <w:rFonts w:cs="Tahoma"/>
          <w:szCs w:val="22"/>
        </w:rPr>
      </w:pPr>
      <w:r w:rsidRPr="00951C84">
        <w:rPr>
          <w:rFonts w:cs="Tahoma"/>
          <w:iCs/>
          <w:szCs w:val="22"/>
          <w:lang w:val="es-ES"/>
        </w:rPr>
        <w:t xml:space="preserve">En los términos expuestos, </w:t>
      </w:r>
      <w:r w:rsidRPr="00951C84">
        <w:rPr>
          <w:rFonts w:cs="Tahoma"/>
          <w:szCs w:val="22"/>
        </w:rPr>
        <w:t xml:space="preserve">el registro de operaciones contables deberán respaldarse con la documentación original que compruebe y justifique los registros, como lo puede ser la erogación de acuerdo a las partidas presupuestales. De este modo, sobre el respaldo de la documentación generada resulta necesario traer a colación, la Resolución Miscelánea Fiscal para el 2022, establece que la factura es lo mismo, que un </w:t>
      </w:r>
      <w:r w:rsidRPr="00951C84">
        <w:rPr>
          <w:rFonts w:cs="Tahoma"/>
          <w:b/>
          <w:szCs w:val="22"/>
        </w:rPr>
        <w:t xml:space="preserve">Comprobante Fiscal Digital por </w:t>
      </w:r>
      <w:r w:rsidRPr="00951C84">
        <w:rPr>
          <w:rFonts w:cs="Tahoma"/>
          <w:b/>
          <w:szCs w:val="22"/>
        </w:rPr>
        <w:lastRenderedPageBreak/>
        <w:t>Internet</w:t>
      </w:r>
      <w:r w:rsidRPr="00951C84">
        <w:rPr>
          <w:rFonts w:cs="Tahoma"/>
          <w:szCs w:val="22"/>
        </w:rPr>
        <w:t>, por lo que, se puede considerar como el documento que comprueba la realización de una transacción comercial, entre un comprador y un vendedor, mediante el cual, el primero queda obligado a realizar un pago, mientras que el segundo, a entregar o brindar un producto o servicio.</w:t>
      </w:r>
    </w:p>
    <w:p w14:paraId="3466508C" w14:textId="77777777" w:rsidR="00951C84" w:rsidRPr="00951C84" w:rsidRDefault="00951C84" w:rsidP="00951C84">
      <w:pPr>
        <w:tabs>
          <w:tab w:val="left" w:pos="4962"/>
        </w:tabs>
        <w:rPr>
          <w:rFonts w:cs="Tahoma"/>
          <w:szCs w:val="22"/>
        </w:rPr>
      </w:pPr>
    </w:p>
    <w:p w14:paraId="207F1B13" w14:textId="77777777" w:rsidR="001F3FF9" w:rsidRPr="00951C84" w:rsidRDefault="001F3FF9" w:rsidP="00951C84">
      <w:pPr>
        <w:tabs>
          <w:tab w:val="left" w:pos="4962"/>
        </w:tabs>
        <w:rPr>
          <w:rFonts w:eastAsia="Calibri" w:cs="Tahoma"/>
          <w:bCs/>
          <w:szCs w:val="22"/>
          <w:lang w:eastAsia="en-US"/>
        </w:rPr>
      </w:pPr>
      <w:r w:rsidRPr="00951C84">
        <w:rPr>
          <w:rFonts w:cs="Tahoma"/>
          <w:szCs w:val="22"/>
        </w:rPr>
        <w:t>Con base en lo anterior y, de acuerdo a los documentos que debe generar el Sujeto Obligado, de acuerdo a las erogaciones realizadas por concepto de las obras realizadas en el pueblo mencionado por el Particular debe tener la información donde conste tal situación, e</w:t>
      </w:r>
      <w:r w:rsidRPr="00951C84">
        <w:rPr>
          <w:rFonts w:eastAsia="Calibri" w:cs="Tahoma"/>
          <w:bCs/>
          <w:szCs w:val="22"/>
          <w:lang w:eastAsia="en-US"/>
        </w:rPr>
        <w:t>n este sentido, de acuerdo a la naturaleza de la información solicitada se concluye que ésta</w:t>
      </w:r>
      <w:r w:rsidRPr="00951C84">
        <w:rPr>
          <w:rFonts w:cs="Arial"/>
          <w:szCs w:val="22"/>
          <w:lang w:val="es-ES"/>
        </w:rPr>
        <w:t xml:space="preserve"> es de</w:t>
      </w:r>
      <w:r w:rsidRPr="00951C84">
        <w:rPr>
          <w:rFonts w:cs="Arial"/>
          <w:bCs/>
          <w:szCs w:val="22"/>
          <w:lang w:val="es-ES"/>
        </w:rPr>
        <w:t xml:space="preserve"> interés general y de alcance público, puesto que la ciudadanía tiene derecho a saber cuánto es el gasto ejercido en los bienes propiedad de los sujeto obligados, esto es, su acceso</w:t>
      </w:r>
      <w:r w:rsidRPr="00951C84">
        <w:rPr>
          <w:rFonts w:cs="Arial"/>
          <w:szCs w:val="22"/>
          <w:lang w:val="es-ES"/>
        </w:rPr>
        <w:t xml:space="preserve"> </w:t>
      </w:r>
      <w:r w:rsidRPr="00951C84">
        <w:rPr>
          <w:rFonts w:cs="Arial"/>
          <w:bCs/>
          <w:szCs w:val="22"/>
          <w:lang w:val="es-ES"/>
        </w:rPr>
        <w:t xml:space="preserve">permite transparentar la aplicación de los recursos públicos que son otorgados para el cumplimiento de sus funciones, ello conforme a lo dispuesto por el artículo 23, fracción IV y penúltimo párrafo de la Ley de Transparencia y Acceso a la Información Pública del Estado de México y Municipios, mismo que establece como deber de los Sujetos Obligados el hacer pública toda la información respecto a los montos y </w:t>
      </w:r>
      <w:r w:rsidRPr="00951C84">
        <w:rPr>
          <w:rFonts w:eastAsia="Calibri" w:cs="Tahoma"/>
          <w:bCs/>
          <w:szCs w:val="22"/>
          <w:lang w:eastAsia="en-US"/>
        </w:rPr>
        <w:t>nombres de las personas a quienes se entreguen recursos públicos y con ello transparentar la forma, términos, causas y finalidad en la disposición de esos recursos.</w:t>
      </w:r>
    </w:p>
    <w:p w14:paraId="473E6797" w14:textId="77777777" w:rsidR="001F3FF9" w:rsidRPr="00951C84" w:rsidRDefault="001F3FF9" w:rsidP="00951C84">
      <w:pPr>
        <w:ind w:right="-93"/>
        <w:rPr>
          <w:rFonts w:eastAsia="Calibri" w:cs="Tahoma"/>
          <w:bCs/>
          <w:iCs/>
          <w:szCs w:val="22"/>
          <w:lang w:val="es-ES" w:eastAsia="en-US"/>
        </w:rPr>
      </w:pPr>
    </w:p>
    <w:p w14:paraId="4018F4D5" w14:textId="77777777" w:rsidR="001F3FF9" w:rsidRPr="00951C84" w:rsidRDefault="001F3FF9" w:rsidP="00951C84">
      <w:pPr>
        <w:ind w:right="-93"/>
        <w:rPr>
          <w:rFonts w:eastAsia="Calibri" w:cs="Tahoma"/>
          <w:iCs/>
          <w:szCs w:val="22"/>
          <w:u w:val="single"/>
          <w:lang w:val="es-ES" w:eastAsia="es-ES_tradnl"/>
        </w:rPr>
      </w:pPr>
      <w:r w:rsidRPr="00951C84">
        <w:rPr>
          <w:rFonts w:eastAsia="Calibri" w:cs="Tahoma"/>
          <w:bCs/>
          <w:iCs/>
          <w:szCs w:val="22"/>
          <w:lang w:val="es-ES" w:eastAsia="en-US"/>
        </w:rPr>
        <w:t xml:space="preserve">Por lo señalado, se observa que el Ayuntamiento pudo generar la documentación interés del Particular, tan es así que la clasificó como reservada, </w:t>
      </w:r>
      <w:r w:rsidRPr="00951C84">
        <w:rPr>
          <w:rFonts w:eastAsia="Calibri" w:cs="Arial"/>
          <w:bCs/>
          <w:iCs/>
          <w:szCs w:val="22"/>
          <w:lang w:val="es-ES" w:eastAsia="es-ES_tradnl"/>
        </w:rPr>
        <w:t xml:space="preserve">por tal razón se trae a colación </w:t>
      </w:r>
      <w:r w:rsidRPr="00951C84">
        <w:rPr>
          <w:rFonts w:eastAsia="Calibri" w:cs="Tahoma"/>
          <w:iCs/>
          <w:szCs w:val="22"/>
          <w:lang w:val="es-ES" w:eastAsia="es-ES_tradnl"/>
        </w:rPr>
        <w:t xml:space="preserve">el artículo 134 de la Ley de Transparencia y Acceso a la Información Pública del Estado de México y Municipios, como el Sexto de los Lineamientos Generales en Materia de Clasificación y Desclasificación de la Información, así como para la Elaboración de Versiones Públicas, los sujetos obligados no podrán emitir acuerdos de carácter general que clasifiquen documentos o </w:t>
      </w:r>
      <w:r w:rsidRPr="00951C84">
        <w:rPr>
          <w:rFonts w:eastAsia="Calibri" w:cs="Tahoma"/>
          <w:iCs/>
          <w:szCs w:val="22"/>
          <w:lang w:val="es-ES" w:eastAsia="es-ES_tradnl"/>
        </w:rPr>
        <w:lastRenderedPageBreak/>
        <w:t xml:space="preserve">expedientes; por lo que, la clasificación de información </w:t>
      </w:r>
      <w:r w:rsidRPr="00951C84">
        <w:rPr>
          <w:rFonts w:eastAsia="Calibri" w:cs="Tahoma"/>
          <w:iCs/>
          <w:szCs w:val="22"/>
          <w:u w:val="single"/>
          <w:lang w:val="es-ES" w:eastAsia="es-ES_tradnl"/>
        </w:rPr>
        <w:t>se llevará a cabo mediante un análisis caso por caso.</w:t>
      </w:r>
    </w:p>
    <w:p w14:paraId="18755537" w14:textId="77777777" w:rsidR="001F3FF9" w:rsidRPr="00951C84" w:rsidRDefault="001F3FF9" w:rsidP="00951C84">
      <w:pPr>
        <w:rPr>
          <w:rFonts w:eastAsia="Calibri" w:cs="Tahoma"/>
          <w:iCs/>
          <w:szCs w:val="22"/>
          <w:lang w:val="es-ES" w:eastAsia="es-ES_tradnl"/>
        </w:rPr>
      </w:pPr>
    </w:p>
    <w:p w14:paraId="6852DD8B" w14:textId="77777777" w:rsidR="001F3FF9" w:rsidRPr="00951C84" w:rsidRDefault="001F3FF9" w:rsidP="00951C84">
      <w:pPr>
        <w:rPr>
          <w:rFonts w:eastAsia="Calibri" w:cs="Tahoma"/>
          <w:iCs/>
          <w:szCs w:val="22"/>
          <w:lang w:val="es-ES" w:eastAsia="es-ES_tradnl"/>
        </w:rPr>
      </w:pPr>
      <w:r w:rsidRPr="00951C84">
        <w:rPr>
          <w:rFonts w:eastAsia="Calibri" w:cs="Tahoma"/>
          <w:iCs/>
          <w:szCs w:val="22"/>
          <w:lang w:val="es-ES" w:eastAsia="es-ES_tradnl"/>
        </w:rPr>
        <w:t>Además, el artículo 132 de la Ley de la materia, y el Séptimo de los Lineamientos previamente referido, prevé que la clasificación de la información se llevará a cabo, entre otros, en el momento en que se reciba la solicitud de acceso a la información pública. Por su parte, el Octavo de dichos Lineamientos, establece que, para fundar la clasificación de la información, se debe señalar el artículo, fracción, inciso, párrafo o número de la ley o tratado internacional, en donde se le otorgue el carácter de reservada o confidencial a la información.</w:t>
      </w:r>
    </w:p>
    <w:p w14:paraId="4E0A1109" w14:textId="77777777" w:rsidR="001F3FF9" w:rsidRPr="00951C84" w:rsidRDefault="001F3FF9" w:rsidP="00951C84">
      <w:pPr>
        <w:rPr>
          <w:rFonts w:eastAsia="Calibri" w:cs="Tahoma"/>
          <w:iCs/>
          <w:szCs w:val="22"/>
          <w:lang w:val="es-ES" w:eastAsia="es-ES_tradnl"/>
        </w:rPr>
      </w:pPr>
    </w:p>
    <w:p w14:paraId="733C638D" w14:textId="77777777" w:rsidR="001F3FF9" w:rsidRPr="00951C84" w:rsidRDefault="001F3FF9" w:rsidP="00951C84">
      <w:pPr>
        <w:rPr>
          <w:rFonts w:eastAsia="Calibri" w:cs="Tahoma"/>
          <w:iCs/>
          <w:szCs w:val="22"/>
          <w:lang w:val="es-ES" w:eastAsia="es-ES_tradnl"/>
        </w:rPr>
      </w:pPr>
      <w:r w:rsidRPr="00951C84">
        <w:rPr>
          <w:rFonts w:eastAsia="Calibri" w:cs="Tahoma"/>
          <w:iCs/>
          <w:szCs w:val="22"/>
          <w:lang w:val="es-ES" w:eastAsia="es-ES_tradnl"/>
        </w:rPr>
        <w:t>Es por lo señalado, que dentro del acuerdo de clasificación el Sujeto Obligado manifestó que la información sería clasificada como reservada con fundamento en el artículo 140, fracción V, VI y X de la Ley de Transparencia y Acceso a la Información Pública del Estado de México y Municipios, pero analizó únicamente la fracción V (homólogo del artículo 113, fracción VI de la Ley General de Transparencia y Acceso a la Información Pública), mismo que prevé lo siguiente:</w:t>
      </w:r>
    </w:p>
    <w:p w14:paraId="6EC41DE4" w14:textId="77777777" w:rsidR="001F3FF9" w:rsidRPr="00951C84" w:rsidRDefault="001F3FF9" w:rsidP="00951C84">
      <w:pPr>
        <w:tabs>
          <w:tab w:val="left" w:pos="4962"/>
        </w:tabs>
        <w:ind w:left="567" w:right="567"/>
        <w:rPr>
          <w:rFonts w:eastAsia="Calibri" w:cs="Tahoma"/>
          <w:i/>
          <w:iCs/>
          <w:lang w:val="es-ES" w:eastAsia="es-ES_tradnl"/>
        </w:rPr>
      </w:pPr>
    </w:p>
    <w:p w14:paraId="74BBB5D3" w14:textId="77777777" w:rsidR="001F3FF9" w:rsidRPr="00951C84" w:rsidRDefault="001F3FF9" w:rsidP="00951C84">
      <w:pPr>
        <w:tabs>
          <w:tab w:val="left" w:pos="4962"/>
        </w:tabs>
        <w:ind w:left="567" w:right="567"/>
        <w:rPr>
          <w:rFonts w:eastAsia="Calibri" w:cs="Tahoma"/>
          <w:i/>
          <w:iCs/>
          <w:lang w:val="es-ES" w:eastAsia="es-ES_tradnl"/>
        </w:rPr>
      </w:pPr>
      <w:r w:rsidRPr="00951C84">
        <w:rPr>
          <w:rFonts w:eastAsia="Calibri" w:cs="Tahoma"/>
          <w:i/>
          <w:iCs/>
          <w:lang w:val="es-ES" w:eastAsia="es-ES_tradnl"/>
        </w:rPr>
        <w:t>“</w:t>
      </w:r>
      <w:r w:rsidRPr="00951C84">
        <w:rPr>
          <w:rFonts w:eastAsia="Calibri" w:cs="Tahoma"/>
          <w:b/>
          <w:i/>
          <w:iCs/>
          <w:lang w:val="es-ES" w:eastAsia="es-ES_tradnl"/>
        </w:rPr>
        <w:t>Artículo 140.</w:t>
      </w:r>
      <w:r w:rsidRPr="00951C84">
        <w:rPr>
          <w:rFonts w:eastAsia="Calibri" w:cs="Tahoma"/>
          <w:i/>
          <w:iCs/>
          <w:lang w:val="es-ES" w:eastAsia="es-ES_tradnl"/>
        </w:rPr>
        <w:t xml:space="preserve"> El acceso a la información pública será restringido excepcionalmente, cuando por razones de interés público, ésta sea clasificada como reservada, conforme a los criterios siguientes: </w:t>
      </w:r>
    </w:p>
    <w:p w14:paraId="603B658C" w14:textId="77777777" w:rsidR="001F3FF9" w:rsidRPr="00951C84" w:rsidRDefault="001F3FF9" w:rsidP="00951C84">
      <w:pPr>
        <w:tabs>
          <w:tab w:val="left" w:pos="4962"/>
        </w:tabs>
        <w:ind w:left="567" w:right="567"/>
        <w:rPr>
          <w:rFonts w:eastAsia="Calibri" w:cs="Tahoma"/>
          <w:i/>
          <w:iCs/>
          <w:lang w:val="es-ES" w:eastAsia="es-ES_tradnl"/>
        </w:rPr>
      </w:pPr>
    </w:p>
    <w:p w14:paraId="61B39C7A" w14:textId="77777777" w:rsidR="001F3FF9" w:rsidRPr="00951C84" w:rsidRDefault="001F3FF9" w:rsidP="00951C84">
      <w:pPr>
        <w:tabs>
          <w:tab w:val="left" w:pos="4962"/>
        </w:tabs>
        <w:ind w:left="567" w:right="567"/>
        <w:rPr>
          <w:rFonts w:eastAsia="Calibri" w:cs="Tahoma"/>
          <w:i/>
          <w:iCs/>
          <w:lang w:eastAsia="es-ES_tradnl"/>
        </w:rPr>
      </w:pPr>
      <w:r w:rsidRPr="00951C84">
        <w:rPr>
          <w:rFonts w:eastAsia="Calibri" w:cs="Tahoma"/>
          <w:i/>
          <w:iCs/>
          <w:lang w:eastAsia="es-ES_tradnl"/>
        </w:rPr>
        <w:t>I a IV…</w:t>
      </w:r>
    </w:p>
    <w:p w14:paraId="4286CE62" w14:textId="77777777" w:rsidR="001F3FF9" w:rsidRPr="00951C84" w:rsidRDefault="001F3FF9" w:rsidP="00951C84">
      <w:pPr>
        <w:tabs>
          <w:tab w:val="left" w:pos="4962"/>
        </w:tabs>
        <w:ind w:left="567" w:right="567"/>
        <w:rPr>
          <w:rFonts w:eastAsia="Calibri" w:cs="Tahoma"/>
          <w:i/>
          <w:iCs/>
          <w:lang w:eastAsia="es-ES_tradnl"/>
        </w:rPr>
      </w:pPr>
      <w:r w:rsidRPr="00951C84">
        <w:rPr>
          <w:rFonts w:eastAsia="Calibri" w:cs="Tahoma"/>
          <w:i/>
          <w:iCs/>
          <w:lang w:eastAsia="es-ES_tradnl"/>
        </w:rPr>
        <w:t>V. Aquella cuya divulgación obstruya o pueda causar un serio perjuicio a:</w:t>
      </w:r>
    </w:p>
    <w:p w14:paraId="48A86C2E" w14:textId="77777777" w:rsidR="001F3FF9" w:rsidRPr="00951C84" w:rsidRDefault="001F3FF9" w:rsidP="00951C84">
      <w:pPr>
        <w:tabs>
          <w:tab w:val="left" w:pos="4962"/>
        </w:tabs>
        <w:ind w:left="567" w:right="567"/>
        <w:rPr>
          <w:rFonts w:eastAsia="Calibri" w:cs="Tahoma"/>
          <w:i/>
          <w:iCs/>
          <w:lang w:eastAsia="es-ES_tradnl"/>
        </w:rPr>
      </w:pPr>
      <w:r w:rsidRPr="00951C84">
        <w:rPr>
          <w:rFonts w:eastAsia="Calibri" w:cs="Tahoma"/>
          <w:i/>
          <w:iCs/>
          <w:lang w:eastAsia="es-ES_tradnl"/>
        </w:rPr>
        <w:t>1. Las actividades de fiscalización, verificación, inspección, comprobación y auditoría sobre el cumplimiento de las Leyes; o</w:t>
      </w:r>
    </w:p>
    <w:p w14:paraId="004AEDBE" w14:textId="77777777" w:rsidR="001F3FF9" w:rsidRPr="00951C84" w:rsidRDefault="001F3FF9" w:rsidP="00951C84">
      <w:pPr>
        <w:tabs>
          <w:tab w:val="left" w:pos="4962"/>
        </w:tabs>
        <w:ind w:left="567" w:right="567"/>
        <w:rPr>
          <w:rFonts w:eastAsia="Calibri" w:cs="Tahoma"/>
          <w:i/>
          <w:iCs/>
          <w:lang w:eastAsia="es-ES_tradnl"/>
        </w:rPr>
      </w:pPr>
      <w:r w:rsidRPr="00951C84">
        <w:rPr>
          <w:rFonts w:eastAsia="Calibri" w:cs="Tahoma"/>
          <w:i/>
          <w:iCs/>
          <w:lang w:eastAsia="es-ES_tradnl"/>
        </w:rPr>
        <w:lastRenderedPageBreak/>
        <w:t>2 La recaudación de las contribuciones</w:t>
      </w:r>
    </w:p>
    <w:p w14:paraId="558F3B02" w14:textId="77777777" w:rsidR="001F3FF9" w:rsidRPr="00951C84" w:rsidRDefault="001F3FF9" w:rsidP="00951C84">
      <w:pPr>
        <w:tabs>
          <w:tab w:val="left" w:pos="4962"/>
        </w:tabs>
        <w:ind w:left="567" w:right="567"/>
        <w:rPr>
          <w:rFonts w:eastAsia="Calibri" w:cs="Tahoma"/>
          <w:i/>
          <w:iCs/>
          <w:lang w:val="es-ES" w:eastAsia="es-ES_tradnl"/>
        </w:rPr>
      </w:pPr>
      <w:r w:rsidRPr="00951C84">
        <w:rPr>
          <w:rFonts w:eastAsia="Calibri" w:cs="Tahoma"/>
          <w:i/>
          <w:iCs/>
          <w:lang w:eastAsia="es-ES_tradnl"/>
        </w:rPr>
        <w:t>VI a XI…”</w:t>
      </w:r>
      <w:r w:rsidRPr="00951C84">
        <w:rPr>
          <w:rFonts w:eastAsia="Calibri" w:cs="Tahoma"/>
          <w:i/>
          <w:iCs/>
          <w:lang w:val="es-ES" w:eastAsia="es-ES_tradnl"/>
        </w:rPr>
        <w:t xml:space="preserve"> </w:t>
      </w:r>
    </w:p>
    <w:p w14:paraId="72D7A347" w14:textId="77777777" w:rsidR="001F3FF9" w:rsidRPr="00951C84" w:rsidRDefault="001F3FF9" w:rsidP="00951C84">
      <w:pPr>
        <w:tabs>
          <w:tab w:val="left" w:pos="4962"/>
        </w:tabs>
        <w:ind w:left="567" w:right="567"/>
        <w:rPr>
          <w:rFonts w:eastAsia="Calibri" w:cs="Tahoma"/>
          <w:iCs/>
          <w:lang w:val="es-ES" w:eastAsia="es-ES_tradnl"/>
        </w:rPr>
      </w:pPr>
    </w:p>
    <w:p w14:paraId="559FC411" w14:textId="77777777" w:rsidR="001F3FF9" w:rsidRPr="00951C84" w:rsidRDefault="001F3FF9" w:rsidP="00951C84">
      <w:pPr>
        <w:tabs>
          <w:tab w:val="left" w:pos="4962"/>
        </w:tabs>
        <w:rPr>
          <w:rFonts w:eastAsia="Calibri" w:cs="Tahoma"/>
          <w:bCs/>
          <w:iCs/>
          <w:szCs w:val="22"/>
          <w:lang w:eastAsia="es-ES_tradnl"/>
        </w:rPr>
      </w:pPr>
      <w:r w:rsidRPr="00951C84">
        <w:rPr>
          <w:rFonts w:eastAsia="Calibri" w:cs="Tahoma"/>
          <w:iCs/>
          <w:szCs w:val="22"/>
          <w:lang w:eastAsia="es-ES_tradnl"/>
        </w:rPr>
        <w:t xml:space="preserve">De dicho precepto normativo se desprende que podrá clasificarse como información reservada aquella cuya publicación comprometa las actividades de verificación, inspección y auditorías al cumplimiento de las leyes. Por su parte, los </w:t>
      </w:r>
      <w:r w:rsidRPr="00951C84">
        <w:rPr>
          <w:rFonts w:eastAsia="Calibri" w:cs="Tahoma"/>
          <w:bCs/>
          <w:iCs/>
          <w:szCs w:val="22"/>
          <w:lang w:eastAsia="es-ES_tradnl"/>
        </w:rPr>
        <w:t>Lineamientos generales en materia de clasificación y desclasificación de la información, así como para la elaboración de versiones públicas -en adelante Lineamientos Generales- disponen:</w:t>
      </w:r>
    </w:p>
    <w:p w14:paraId="6D31A1F4" w14:textId="77777777" w:rsidR="001F3FF9" w:rsidRPr="00951C84" w:rsidRDefault="001F3FF9" w:rsidP="00951C84">
      <w:pPr>
        <w:rPr>
          <w:rFonts w:eastAsia="Calibri" w:cs="Tahoma"/>
          <w:bCs/>
          <w:szCs w:val="22"/>
          <w:lang w:eastAsia="en-US"/>
        </w:rPr>
      </w:pPr>
    </w:p>
    <w:p w14:paraId="241F0F6B" w14:textId="77777777" w:rsidR="001F3FF9" w:rsidRPr="00951C84" w:rsidRDefault="001F3FF9" w:rsidP="00951C84">
      <w:pPr>
        <w:tabs>
          <w:tab w:val="left" w:pos="4962"/>
        </w:tabs>
        <w:ind w:left="567" w:right="567"/>
        <w:rPr>
          <w:rFonts w:eastAsia="Calibri" w:cs="Tahoma"/>
          <w:i/>
          <w:iCs/>
          <w:lang w:val="es-ES" w:eastAsia="es-ES_tradnl"/>
        </w:rPr>
      </w:pPr>
      <w:r w:rsidRPr="00951C84">
        <w:rPr>
          <w:rFonts w:eastAsia="Calibri" w:cs="Tahoma"/>
          <w:b/>
          <w:iCs/>
          <w:lang w:val="es-ES" w:eastAsia="es-ES_tradnl"/>
        </w:rPr>
        <w:t>“</w:t>
      </w:r>
      <w:r w:rsidRPr="00951C84">
        <w:rPr>
          <w:rFonts w:eastAsia="Calibri" w:cs="Tahoma"/>
          <w:b/>
          <w:i/>
          <w:iCs/>
          <w:lang w:val="es-ES" w:eastAsia="es-ES_tradnl"/>
        </w:rPr>
        <w:t>Vigésimo cuarto.</w:t>
      </w:r>
      <w:r w:rsidRPr="00951C84">
        <w:rPr>
          <w:rFonts w:eastAsia="Calibri" w:cs="Tahoma"/>
          <w:i/>
          <w:iCs/>
          <w:lang w:val="es-ES" w:eastAsia="es-ES_tradnl"/>
        </w:rPr>
        <w:t xml:space="preserve"> De conformidad con el artículo 113, fracción VI de la Ley General, podrá considerarse como reservada, aquella información que obstruya las actividades de verificación, inspección y auditoría relativas al cumplimiento de las leyes, cuando se actualicen los siguientes elementos:</w:t>
      </w:r>
    </w:p>
    <w:p w14:paraId="569F466C" w14:textId="77777777" w:rsidR="001F3FF9" w:rsidRPr="00951C84" w:rsidRDefault="001F3FF9" w:rsidP="00951C84">
      <w:pPr>
        <w:tabs>
          <w:tab w:val="left" w:pos="4962"/>
        </w:tabs>
        <w:ind w:left="567" w:right="567"/>
        <w:rPr>
          <w:rFonts w:eastAsia="Calibri" w:cs="Tahoma"/>
          <w:i/>
          <w:iCs/>
          <w:lang w:val="es-ES" w:eastAsia="es-ES_tradnl"/>
        </w:rPr>
      </w:pPr>
      <w:r w:rsidRPr="00951C84">
        <w:rPr>
          <w:rFonts w:eastAsia="Calibri" w:cs="Tahoma"/>
          <w:i/>
          <w:iCs/>
          <w:lang w:val="es-ES" w:eastAsia="es-ES_tradnl"/>
        </w:rPr>
        <w:t>I. La existencia de un procedimiento de verificación del cumplimiento de las leyes;</w:t>
      </w:r>
    </w:p>
    <w:p w14:paraId="375D932C" w14:textId="77777777" w:rsidR="001F3FF9" w:rsidRPr="00951C84" w:rsidRDefault="001F3FF9" w:rsidP="00951C84">
      <w:pPr>
        <w:tabs>
          <w:tab w:val="left" w:pos="4962"/>
        </w:tabs>
        <w:ind w:left="567" w:right="567"/>
        <w:rPr>
          <w:rFonts w:eastAsia="Calibri" w:cs="Tahoma"/>
          <w:i/>
          <w:iCs/>
          <w:lang w:val="es-ES" w:eastAsia="es-ES_tradnl"/>
        </w:rPr>
      </w:pPr>
      <w:r w:rsidRPr="00951C84">
        <w:rPr>
          <w:rFonts w:eastAsia="Calibri" w:cs="Tahoma"/>
          <w:i/>
          <w:iCs/>
          <w:lang w:val="es-ES" w:eastAsia="es-ES_tradnl"/>
        </w:rPr>
        <w:t>II. Que el procedimiento se encuentre en trámite;</w:t>
      </w:r>
    </w:p>
    <w:p w14:paraId="1BE3D514" w14:textId="77777777" w:rsidR="001F3FF9" w:rsidRPr="00951C84" w:rsidRDefault="001F3FF9" w:rsidP="00951C84">
      <w:pPr>
        <w:tabs>
          <w:tab w:val="left" w:pos="4962"/>
        </w:tabs>
        <w:ind w:left="567" w:right="567"/>
        <w:rPr>
          <w:rFonts w:eastAsia="Calibri" w:cs="Tahoma"/>
          <w:i/>
          <w:iCs/>
          <w:lang w:val="es-ES" w:eastAsia="es-ES_tradnl"/>
        </w:rPr>
      </w:pPr>
      <w:r w:rsidRPr="00951C84">
        <w:rPr>
          <w:rFonts w:eastAsia="Calibri" w:cs="Tahoma"/>
          <w:i/>
          <w:iCs/>
          <w:lang w:val="es-ES" w:eastAsia="es-ES_tradnl"/>
        </w:rPr>
        <w:t>III. La vinculación directa con las actividades que realiza la autoridad en el procedimiento de verificación del cumplimiento de las leyes, y</w:t>
      </w:r>
    </w:p>
    <w:p w14:paraId="0E722ECB" w14:textId="77777777" w:rsidR="001F3FF9" w:rsidRPr="00951C84" w:rsidRDefault="001F3FF9" w:rsidP="00951C84">
      <w:pPr>
        <w:tabs>
          <w:tab w:val="left" w:pos="4962"/>
        </w:tabs>
        <w:ind w:left="567" w:right="567"/>
        <w:rPr>
          <w:rFonts w:eastAsia="Calibri" w:cs="Tahoma"/>
          <w:i/>
          <w:iCs/>
          <w:lang w:val="es-ES" w:eastAsia="es-ES_tradnl"/>
        </w:rPr>
      </w:pPr>
      <w:r w:rsidRPr="00951C84">
        <w:rPr>
          <w:rFonts w:eastAsia="Calibri" w:cs="Tahoma"/>
          <w:i/>
          <w:iCs/>
          <w:lang w:val="es-ES" w:eastAsia="es-ES_tradnl"/>
        </w:rPr>
        <w:t>IV. Que la difusión de la información impida u obstaculice las actividades de inspección, supervisión o vigilancia que realicen las autoridades en el procedimiento de verificación del cumplimiento de las leyes.</w:t>
      </w:r>
    </w:p>
    <w:p w14:paraId="4D79E302" w14:textId="77777777" w:rsidR="001F3FF9" w:rsidRPr="00951C84" w:rsidRDefault="001F3FF9" w:rsidP="00951C84">
      <w:pPr>
        <w:tabs>
          <w:tab w:val="left" w:pos="4962"/>
        </w:tabs>
        <w:ind w:left="567" w:right="567"/>
        <w:rPr>
          <w:rFonts w:eastAsia="Calibri" w:cs="Tahoma"/>
          <w:i/>
          <w:iCs/>
          <w:lang w:val="es-ES" w:eastAsia="es-ES_tradnl"/>
        </w:rPr>
      </w:pPr>
    </w:p>
    <w:p w14:paraId="5806A595" w14:textId="77777777" w:rsidR="001F3FF9" w:rsidRPr="00951C84" w:rsidRDefault="001F3FF9" w:rsidP="00951C84">
      <w:pPr>
        <w:rPr>
          <w:rFonts w:eastAsia="Calibri" w:cs="Tahoma"/>
          <w:iCs/>
          <w:szCs w:val="22"/>
          <w:lang w:val="es-ES" w:eastAsia="es-ES_tradnl"/>
        </w:rPr>
      </w:pPr>
      <w:r w:rsidRPr="00951C84">
        <w:rPr>
          <w:rFonts w:eastAsia="Calibri" w:cs="Tahoma"/>
          <w:bCs/>
          <w:szCs w:val="22"/>
          <w:lang w:eastAsia="en-US"/>
        </w:rPr>
        <w:t>Así, es posible observar que podrá clasificarse como información reservada, aquélla que dé cuenta de la existencia de un procedimiento para el cumplimiento de las leyes en trámite, o bien, de la realización de actividades de recaudación de contribuciones, además que,</w:t>
      </w:r>
      <w:r w:rsidRPr="00951C84">
        <w:rPr>
          <w:rFonts w:eastAsia="Calibri" w:cs="Tahoma"/>
          <w:iCs/>
          <w:szCs w:val="22"/>
          <w:lang w:val="es-ES" w:eastAsia="es-ES_tradnl"/>
        </w:rPr>
        <w:t xml:space="preserve"> para poder acreditar la clasificación referida, deben cumplirse los siguientes requisitos:</w:t>
      </w:r>
    </w:p>
    <w:p w14:paraId="50F79306" w14:textId="77777777" w:rsidR="001F3FF9" w:rsidRPr="00951C84" w:rsidRDefault="001F3FF9" w:rsidP="00951C84">
      <w:pPr>
        <w:pStyle w:val="Prrafodelista"/>
        <w:numPr>
          <w:ilvl w:val="0"/>
          <w:numId w:val="32"/>
        </w:numPr>
        <w:tabs>
          <w:tab w:val="left" w:pos="4962"/>
        </w:tabs>
        <w:rPr>
          <w:rFonts w:eastAsia="Calibri" w:cs="Tahoma"/>
          <w:iCs/>
          <w:szCs w:val="22"/>
          <w:lang w:val="es-ES" w:eastAsia="es-ES_tradnl"/>
        </w:rPr>
      </w:pPr>
      <w:r w:rsidRPr="00951C84">
        <w:rPr>
          <w:rFonts w:eastAsia="Calibri" w:cs="Tahoma"/>
          <w:iCs/>
          <w:szCs w:val="22"/>
          <w:lang w:val="es-ES" w:eastAsia="es-ES_tradnl"/>
        </w:rPr>
        <w:lastRenderedPageBreak/>
        <w:t xml:space="preserve"> La existencia de un procedimiento de verificación del cumplimiento de las leyes;</w:t>
      </w:r>
    </w:p>
    <w:p w14:paraId="44D01D21" w14:textId="77777777" w:rsidR="001F3FF9" w:rsidRPr="00951C84" w:rsidRDefault="001F3FF9" w:rsidP="00951C84">
      <w:pPr>
        <w:pStyle w:val="Prrafodelista"/>
        <w:numPr>
          <w:ilvl w:val="0"/>
          <w:numId w:val="32"/>
        </w:numPr>
        <w:tabs>
          <w:tab w:val="left" w:pos="4962"/>
        </w:tabs>
        <w:rPr>
          <w:rFonts w:eastAsia="Calibri" w:cs="Tahoma"/>
          <w:iCs/>
          <w:szCs w:val="22"/>
          <w:lang w:val="es-ES" w:eastAsia="es-ES_tradnl"/>
        </w:rPr>
      </w:pPr>
      <w:r w:rsidRPr="00951C84">
        <w:rPr>
          <w:rFonts w:eastAsia="Calibri" w:cs="Tahoma"/>
          <w:iCs/>
          <w:szCs w:val="22"/>
          <w:lang w:val="es-ES" w:eastAsia="es-ES_tradnl"/>
        </w:rPr>
        <w:t xml:space="preserve"> Que el procedimiento se encuentre en trámite;</w:t>
      </w:r>
    </w:p>
    <w:p w14:paraId="7EFA4D8E" w14:textId="77777777" w:rsidR="001F3FF9" w:rsidRPr="00951C84" w:rsidRDefault="001F3FF9" w:rsidP="00951C84">
      <w:pPr>
        <w:pStyle w:val="Prrafodelista"/>
        <w:numPr>
          <w:ilvl w:val="0"/>
          <w:numId w:val="32"/>
        </w:numPr>
        <w:tabs>
          <w:tab w:val="left" w:pos="4962"/>
        </w:tabs>
        <w:rPr>
          <w:rFonts w:eastAsia="Calibri" w:cs="Tahoma"/>
          <w:iCs/>
          <w:szCs w:val="22"/>
          <w:lang w:val="es-ES" w:eastAsia="es-ES_tradnl"/>
        </w:rPr>
      </w:pPr>
      <w:r w:rsidRPr="00951C84">
        <w:rPr>
          <w:rFonts w:eastAsia="Calibri" w:cs="Tahoma"/>
          <w:iCs/>
          <w:szCs w:val="22"/>
          <w:lang w:val="es-ES" w:eastAsia="es-ES_tradnl"/>
        </w:rPr>
        <w:t>La vinculación directa con las actividades que realiza la autoridad en el procedimiento de verificación del cumplimiento de las leyes, y</w:t>
      </w:r>
    </w:p>
    <w:p w14:paraId="637E473B" w14:textId="77777777" w:rsidR="001F3FF9" w:rsidRPr="00951C84" w:rsidRDefault="001F3FF9" w:rsidP="00951C84">
      <w:pPr>
        <w:pStyle w:val="Prrafodelista"/>
        <w:numPr>
          <w:ilvl w:val="0"/>
          <w:numId w:val="32"/>
        </w:numPr>
        <w:tabs>
          <w:tab w:val="left" w:pos="4962"/>
        </w:tabs>
        <w:rPr>
          <w:rFonts w:eastAsia="Calibri" w:cs="Tahoma"/>
          <w:iCs/>
          <w:szCs w:val="22"/>
          <w:lang w:val="es-ES" w:eastAsia="es-ES_tradnl"/>
        </w:rPr>
      </w:pPr>
      <w:r w:rsidRPr="00951C84">
        <w:rPr>
          <w:rFonts w:eastAsia="Calibri" w:cs="Tahoma"/>
          <w:iCs/>
          <w:szCs w:val="22"/>
          <w:lang w:val="es-ES" w:eastAsia="es-ES_tradnl"/>
        </w:rPr>
        <w:t>Que la difusión de la información impida u obstaculice las actividades de inspección, supervisión o vigilancia que realicen las autoridades en el procedimiento de verificación del cumplimiento de las leyes.</w:t>
      </w:r>
    </w:p>
    <w:p w14:paraId="7E7F8C01" w14:textId="77777777" w:rsidR="001F3FF9" w:rsidRPr="00951C84" w:rsidRDefault="001F3FF9" w:rsidP="00951C84">
      <w:pPr>
        <w:tabs>
          <w:tab w:val="left" w:pos="4962"/>
        </w:tabs>
        <w:rPr>
          <w:rFonts w:eastAsia="Calibri" w:cs="Tahoma"/>
          <w:iCs/>
          <w:szCs w:val="22"/>
          <w:lang w:val="es-ES" w:eastAsia="es-ES_tradnl"/>
        </w:rPr>
      </w:pPr>
    </w:p>
    <w:p w14:paraId="7E2AFFF1" w14:textId="77777777" w:rsidR="001F3FF9" w:rsidRPr="00951C84" w:rsidRDefault="001F3FF9" w:rsidP="00951C84">
      <w:pPr>
        <w:tabs>
          <w:tab w:val="left" w:pos="4962"/>
        </w:tabs>
        <w:rPr>
          <w:rFonts w:eastAsia="Calibri" w:cs="Tahoma"/>
          <w:b/>
          <w:bCs/>
          <w:iCs/>
          <w:szCs w:val="22"/>
          <w:lang w:val="es-ES" w:eastAsia="es-ES_tradnl"/>
        </w:rPr>
      </w:pPr>
      <w:r w:rsidRPr="00951C84">
        <w:rPr>
          <w:rFonts w:eastAsia="Calibri" w:cs="Tahoma"/>
          <w:iCs/>
          <w:szCs w:val="22"/>
          <w:lang w:val="es-ES" w:eastAsia="es-ES_tradnl"/>
        </w:rPr>
        <w:t xml:space="preserve">En ese sentido, </w:t>
      </w:r>
      <w:r w:rsidRPr="00951C84">
        <w:rPr>
          <w:rFonts w:eastAsia="Calibri" w:cs="Tahoma"/>
          <w:bCs/>
          <w:iCs/>
          <w:szCs w:val="22"/>
          <w:lang w:val="es-ES" w:eastAsia="es-ES_tradnl"/>
        </w:rPr>
        <w:t xml:space="preserve">la información sobre la verificación, inspección y auditoría relativas al cumplimiento de las leyes es susceptible de reserva, </w:t>
      </w:r>
      <w:r w:rsidRPr="00951C84">
        <w:rPr>
          <w:rFonts w:eastAsia="Calibri" w:cs="Tahoma"/>
          <w:iCs/>
          <w:szCs w:val="22"/>
          <w:lang w:val="es-ES" w:eastAsia="es-ES_tradnl"/>
        </w:rPr>
        <w:t>es</w:t>
      </w:r>
      <w:r w:rsidRPr="00951C84">
        <w:rPr>
          <w:rFonts w:eastAsia="Calibri" w:cs="Tahoma"/>
          <w:b/>
          <w:bCs/>
          <w:iCs/>
          <w:szCs w:val="22"/>
          <w:lang w:val="es-ES" w:eastAsia="es-ES_tradnl"/>
        </w:rPr>
        <w:t xml:space="preserve"> </w:t>
      </w:r>
      <w:r w:rsidRPr="00951C84">
        <w:rPr>
          <w:rFonts w:eastAsia="Calibri" w:cs="Tahoma"/>
          <w:iCs/>
          <w:szCs w:val="22"/>
          <w:lang w:val="es-ES" w:eastAsia="es-ES_tradnl"/>
        </w:rPr>
        <w:t>decir, la información susceptible de reserva es aquella que estrictamente forma</w:t>
      </w:r>
      <w:r w:rsidRPr="00951C84">
        <w:rPr>
          <w:rFonts w:eastAsia="Calibri" w:cs="Tahoma"/>
          <w:b/>
          <w:bCs/>
          <w:iCs/>
          <w:szCs w:val="22"/>
          <w:lang w:val="es-ES" w:eastAsia="es-ES_tradnl"/>
        </w:rPr>
        <w:t xml:space="preserve"> </w:t>
      </w:r>
      <w:r w:rsidRPr="00951C84">
        <w:rPr>
          <w:rFonts w:eastAsia="Calibri" w:cs="Tahoma"/>
          <w:iCs/>
          <w:szCs w:val="22"/>
          <w:lang w:val="es-ES" w:eastAsia="es-ES_tradnl"/>
        </w:rPr>
        <w:t>parte y guarda relación directa con el proceso de auditorías relativas al cumplimiento de las leyes y cuya</w:t>
      </w:r>
      <w:r w:rsidRPr="00951C84">
        <w:rPr>
          <w:rFonts w:eastAsia="Calibri" w:cs="Tahoma"/>
          <w:b/>
          <w:bCs/>
          <w:iCs/>
          <w:szCs w:val="22"/>
          <w:lang w:val="es-ES" w:eastAsia="es-ES_tradnl"/>
        </w:rPr>
        <w:t xml:space="preserve"> </w:t>
      </w:r>
      <w:r w:rsidRPr="00951C84">
        <w:rPr>
          <w:rFonts w:eastAsia="Calibri" w:cs="Tahoma"/>
          <w:iCs/>
          <w:szCs w:val="22"/>
          <w:lang w:val="es-ES" w:eastAsia="es-ES_tradnl"/>
        </w:rPr>
        <w:t>divulgación, precisamente, inhibiría ese proceso o lesionaría su</w:t>
      </w:r>
      <w:r w:rsidRPr="00951C84">
        <w:rPr>
          <w:rFonts w:eastAsia="Calibri" w:cs="Tahoma"/>
          <w:b/>
          <w:bCs/>
          <w:iCs/>
          <w:szCs w:val="22"/>
          <w:lang w:val="es-ES" w:eastAsia="es-ES_tradnl"/>
        </w:rPr>
        <w:t xml:space="preserve"> </w:t>
      </w:r>
      <w:r w:rsidRPr="00951C84">
        <w:rPr>
          <w:rFonts w:eastAsia="Calibri" w:cs="Tahoma"/>
          <w:bCs/>
          <w:iCs/>
          <w:szCs w:val="22"/>
          <w:lang w:val="es-ES" w:eastAsia="es-ES_tradnl"/>
        </w:rPr>
        <w:t>de</w:t>
      </w:r>
      <w:r w:rsidRPr="00951C84">
        <w:rPr>
          <w:rFonts w:eastAsia="Calibri" w:cs="Tahoma"/>
          <w:iCs/>
          <w:szCs w:val="22"/>
          <w:lang w:val="es-ES" w:eastAsia="es-ES_tradnl"/>
        </w:rPr>
        <w:t>terminación.</w:t>
      </w:r>
    </w:p>
    <w:p w14:paraId="52A9AAE0" w14:textId="77777777" w:rsidR="001F3FF9" w:rsidRPr="00951C84" w:rsidRDefault="001F3FF9" w:rsidP="00951C84">
      <w:pPr>
        <w:tabs>
          <w:tab w:val="left" w:pos="4962"/>
        </w:tabs>
        <w:rPr>
          <w:rFonts w:eastAsia="Calibri" w:cs="Tahoma"/>
          <w:iCs/>
          <w:szCs w:val="22"/>
          <w:lang w:val="es-ES" w:eastAsia="es-ES_tradnl"/>
        </w:rPr>
      </w:pPr>
    </w:p>
    <w:p w14:paraId="520D239F" w14:textId="77777777" w:rsidR="001F3FF9" w:rsidRPr="00951C84" w:rsidRDefault="001F3FF9" w:rsidP="00951C84">
      <w:pPr>
        <w:rPr>
          <w:rFonts w:eastAsia="Calibri" w:cs="Arial"/>
          <w:szCs w:val="22"/>
          <w:lang w:eastAsia="es-MX"/>
        </w:rPr>
      </w:pPr>
      <w:r w:rsidRPr="00951C84">
        <w:rPr>
          <w:rFonts w:eastAsia="Calibri" w:cs="Arial"/>
          <w:szCs w:val="22"/>
          <w:lang w:eastAsia="es-MX"/>
        </w:rPr>
        <w:t xml:space="preserve">En relación con el </w:t>
      </w:r>
      <w:r w:rsidRPr="00951C84">
        <w:rPr>
          <w:rFonts w:eastAsia="Calibri" w:cs="Arial"/>
          <w:b/>
          <w:szCs w:val="22"/>
          <w:lang w:eastAsia="es-MX"/>
        </w:rPr>
        <w:t>primer requisito;</w:t>
      </w:r>
      <w:r w:rsidRPr="00951C84">
        <w:rPr>
          <w:rFonts w:eastAsia="Calibri" w:cs="Arial"/>
          <w:szCs w:val="22"/>
          <w:lang w:eastAsia="es-MX"/>
        </w:rPr>
        <w:t xml:space="preserve"> es decir, la existencia de un procedimiento de verificación del cumplimiento de las leyes, es menester señalar que mediante el Acuerdo enviado señala que está siendo fiscalizada por parte del Órgano Superior de Fiscalización del Estado de México (OSFEM),como producto de la revisión de la cuenta pública, sin embargo, la información solicitada es de dos mil veintidós no de dos mil veintitrés, por lo que no se tiene por acreditado el primer elemento; además no aporta mayores elementos para especificar de qué manera sucedería la afectación que menciona, es decir no identifica un riesgo real demostrable e identificable, así no </w:t>
      </w:r>
      <w:r w:rsidRPr="00951C84">
        <w:rPr>
          <w:noProof/>
          <w:szCs w:val="22"/>
          <w:lang w:eastAsia="es-MX"/>
        </w:rPr>
        <w:t>se encuentra acreditada la prueba de daño por el Sujeto Obligado, situación que se robustece con lo señalado en la Tesis Aislada número I.10o.A.79 A (10a.), (Gaceta del Semanario Judicial de la Federación, Libro 60, Noviembre de 2018, Tomo III, pag. 2318) como se muestra a continuación:</w:t>
      </w:r>
    </w:p>
    <w:p w14:paraId="2862B60E" w14:textId="77777777" w:rsidR="001F3FF9" w:rsidRPr="00951C84" w:rsidRDefault="001F3FF9" w:rsidP="00951C84">
      <w:pPr>
        <w:ind w:left="567" w:right="616"/>
        <w:rPr>
          <w:b/>
          <w:bCs/>
          <w:i/>
          <w:iCs/>
          <w:noProof/>
          <w:lang w:eastAsia="es-MX"/>
        </w:rPr>
      </w:pPr>
      <w:r w:rsidRPr="00951C84">
        <w:rPr>
          <w:b/>
          <w:bCs/>
          <w:i/>
          <w:iCs/>
          <w:noProof/>
          <w:lang w:eastAsia="es-MX"/>
        </w:rPr>
        <w:lastRenderedPageBreak/>
        <w:t>PRUEBA DE DAÑO EN LA CLASIFICACIÓN DE LA INFORMACIÓN PÚBLICA. SU VALIDEZ NO DEPENDE DE LOS MEDIOS DE PRUEBA QUE EL SUJETO OBLIGADO APORTE.</w:t>
      </w:r>
    </w:p>
    <w:p w14:paraId="6DEEFBB8" w14:textId="77777777" w:rsidR="001F3FF9" w:rsidRPr="00951C84" w:rsidRDefault="001F3FF9" w:rsidP="00951C84">
      <w:pPr>
        <w:ind w:left="567" w:right="616"/>
        <w:rPr>
          <w:i/>
          <w:iCs/>
          <w:noProof/>
          <w:lang w:eastAsia="es-MX"/>
        </w:rPr>
      </w:pPr>
    </w:p>
    <w:p w14:paraId="043BAA5F" w14:textId="77777777" w:rsidR="001F3FF9" w:rsidRPr="00951C84" w:rsidRDefault="001F3FF9" w:rsidP="00951C84">
      <w:pPr>
        <w:ind w:left="567" w:right="616"/>
        <w:rPr>
          <w:b/>
          <w:bCs/>
          <w:i/>
          <w:iCs/>
          <w:noProof/>
          <w:szCs w:val="22"/>
          <w:u w:val="single"/>
          <w:lang w:eastAsia="es-MX"/>
        </w:rPr>
      </w:pPr>
      <w:r w:rsidRPr="00951C84">
        <w:rPr>
          <w:i/>
          <w:iCs/>
          <w:noProof/>
          <w:lang w:eastAsia="es-MX"/>
        </w:rPr>
        <w:t>De acuerdo con el artículo 104 de la Ley General de Transparencia y Acceso a la Información Pública, y con los lineamientos segundo, fracción XIII y trigésimo tercero, de los Lineamientos generales en materia de clasificación y desclasificación de la información, así como para la elaboración de versiones públicas, aprobados por el Consejo Nacional del Sistema Nacional de Transparencia, Acceso a la Información Pública y Protección de Datos Personales y publicados en el Diario Oficial de la Federación el 15 de abril de 2016, la prueba de daño es la argumentación fundada y motivada que deben realizar los sujetos obligados para acreditar que la divulgación de la información lesiona un interés jurídicamente protegido y que el daño que puede producir es mayor que el interés de conocer ésta. Para tal efecto, disponen que en la clasificación de la información pública (como reservada o confidencial), debe justificarse que su divulgación representa un riesgo real, demostrable e identificable de perjuicio significativo al interés público o a la seguridad nacional; que ese riesgo supera el interés público general de que se difunda; y, que la limitación se adecua al principio de proporcionalidad y representa el medio menos restrictivo disponible para evitar el perjuicio. Así, la prueba de daño establece líneas argumentativas mínimas que deben cursarse, a fin de constatar que la publicidad de la información solicitada no ocasionaría un daño a un interés jurídicamente protegido, ya sea de índole estatal o particular. Por tanto, al tratarse de un aspecto constreñido al ámbito argumentativo</w:t>
      </w:r>
      <w:r w:rsidRPr="00951C84">
        <w:rPr>
          <w:b/>
          <w:bCs/>
          <w:i/>
          <w:iCs/>
          <w:noProof/>
          <w:u w:val="single"/>
          <w:lang w:eastAsia="es-MX"/>
        </w:rPr>
        <w:t>, la validez de la prueba de daño no depende de los medios de prueba que el sujeto obligado aporte, sino de la solidez del juicio de ponderación que se efectúe en los términos señalados</w:t>
      </w:r>
      <w:r w:rsidRPr="00951C84">
        <w:rPr>
          <w:b/>
          <w:bCs/>
          <w:i/>
          <w:iCs/>
          <w:noProof/>
          <w:szCs w:val="22"/>
          <w:u w:val="single"/>
          <w:lang w:eastAsia="es-MX"/>
        </w:rPr>
        <w:t>.</w:t>
      </w:r>
    </w:p>
    <w:p w14:paraId="2B0EEEB8" w14:textId="77777777" w:rsidR="001F3FF9" w:rsidRPr="00951C84" w:rsidRDefault="001F3FF9" w:rsidP="00951C84">
      <w:pPr>
        <w:rPr>
          <w:noProof/>
          <w:szCs w:val="22"/>
          <w:lang w:eastAsia="es-MX"/>
        </w:rPr>
      </w:pPr>
      <w:r w:rsidRPr="00951C84">
        <w:rPr>
          <w:noProof/>
          <w:szCs w:val="22"/>
          <w:lang w:eastAsia="es-MX"/>
        </w:rPr>
        <w:lastRenderedPageBreak/>
        <w:t xml:space="preserve">De lo anterior, se desprende que la información reservada, es aquella que, cuando de manera excepcional y por razones de interés público, su publicidad puede causar un daño al interés jurídico tutelado por la Ley, en alguno de los supuestos establecidos en el artículo 140 de la Ley de la materia, y </w:t>
      </w:r>
      <w:r w:rsidRPr="00951C84">
        <w:rPr>
          <w:b/>
          <w:bCs/>
          <w:noProof/>
          <w:szCs w:val="22"/>
          <w:u w:val="single"/>
          <w:lang w:eastAsia="es-MX"/>
        </w:rPr>
        <w:t>desarrollar la prueba de daño, misma que sera caso por caso</w:t>
      </w:r>
      <w:r w:rsidRPr="00951C84">
        <w:rPr>
          <w:noProof/>
          <w:szCs w:val="22"/>
          <w:lang w:eastAsia="es-MX"/>
        </w:rPr>
        <w:t>, ya que no se podrá clasificar la información unicamente por estar vinculada con los supuestos establecidos en la Ley sino que además se demostrara que efectivamente dar a conocer la información que se clasifica podría afectar las funciones y el actuar de los diversos sujetos obligados .</w:t>
      </w:r>
    </w:p>
    <w:p w14:paraId="76E8CFA6" w14:textId="77777777" w:rsidR="001F3FF9" w:rsidRPr="00951C84" w:rsidRDefault="001F3FF9" w:rsidP="00951C84">
      <w:pPr>
        <w:rPr>
          <w:noProof/>
          <w:szCs w:val="22"/>
          <w:lang w:eastAsia="es-MX"/>
        </w:rPr>
      </w:pPr>
    </w:p>
    <w:p w14:paraId="5C7313EB" w14:textId="77777777" w:rsidR="001F3FF9" w:rsidRPr="00951C84" w:rsidRDefault="001F3FF9" w:rsidP="00951C84">
      <w:pPr>
        <w:rPr>
          <w:noProof/>
          <w:szCs w:val="22"/>
          <w:lang w:eastAsia="es-MX"/>
        </w:rPr>
      </w:pPr>
      <w:r w:rsidRPr="00951C84">
        <w:rPr>
          <w:noProof/>
          <w:szCs w:val="22"/>
          <w:lang w:eastAsia="es-MX"/>
        </w:rPr>
        <w:t>Dicha prueba de daño, consiste en exponer los argumentos y razones, basados en elementos verificables, a partir de los cuales se derive que la divulgación de información, en particular, puede afectar, poner en riesgo o dañar el interés protegido. Asimismo, esta no debe basarse en meras especulaciones o suposiciones, sino en elementos objetivos que deban evaluar que existe un riego actual e inminente.</w:t>
      </w:r>
    </w:p>
    <w:p w14:paraId="45D0034D" w14:textId="77777777" w:rsidR="001F3FF9" w:rsidRPr="00951C84" w:rsidRDefault="001F3FF9" w:rsidP="00951C84">
      <w:pPr>
        <w:rPr>
          <w:noProof/>
          <w:szCs w:val="22"/>
          <w:lang w:eastAsia="es-MX"/>
        </w:rPr>
      </w:pPr>
    </w:p>
    <w:p w14:paraId="581B6E26" w14:textId="77777777" w:rsidR="001F3FF9" w:rsidRPr="00951C84" w:rsidRDefault="001F3FF9" w:rsidP="00951C84">
      <w:pPr>
        <w:contextualSpacing/>
        <w:rPr>
          <w:noProof/>
          <w:szCs w:val="22"/>
          <w:lang w:eastAsia="es-MX"/>
        </w:rPr>
      </w:pPr>
      <w:r w:rsidRPr="00951C84">
        <w:rPr>
          <w:noProof/>
          <w:szCs w:val="22"/>
          <w:lang w:eastAsia="es-MX"/>
        </w:rPr>
        <w:t xml:space="preserve">Por lo señalado, es que el Sujeto Obligado no realizó de manera adecuada la clasificación de la información </w:t>
      </w:r>
      <w:r w:rsidRPr="00951C84">
        <w:rPr>
          <w:rFonts w:eastAsia="Calibri" w:cs="Tahoma"/>
          <w:bCs/>
          <w:iCs/>
          <w:szCs w:val="22"/>
          <w:lang w:val="es-ES" w:eastAsia="en-US"/>
        </w:rPr>
        <w:t xml:space="preserve">ya que, si bien intentó acreditar cada uno de los elementos señalados en los Lineamientos Generales </w:t>
      </w:r>
      <w:r w:rsidRPr="00951C84">
        <w:rPr>
          <w:noProof/>
          <w:szCs w:val="22"/>
          <w:lang w:eastAsia="es-MX"/>
        </w:rPr>
        <w:t>en materia de clasificación y desclasificación de la información, así como para la elaboración de versiones públicas, no motivo de manera adecuada cual es el riesgo real demostrable e identificable que generaría entreagr la información. En este sentido, el Acuerdo que genere se debe encontrar debidamente fundamentado pero también  motivado, por lo que se trae a colación las siguientes Tesis de Jurisprudencia:</w:t>
      </w:r>
    </w:p>
    <w:p w14:paraId="2F5D8517" w14:textId="77777777" w:rsidR="001F3FF9" w:rsidRPr="00951C84" w:rsidRDefault="001F3FF9" w:rsidP="00951C84">
      <w:pPr>
        <w:rPr>
          <w:noProof/>
          <w:szCs w:val="22"/>
          <w:lang w:eastAsia="es-MX"/>
        </w:rPr>
      </w:pPr>
    </w:p>
    <w:p w14:paraId="542CE3CC" w14:textId="77777777" w:rsidR="00951C84" w:rsidRPr="00951C84" w:rsidRDefault="00951C84" w:rsidP="00951C84">
      <w:pPr>
        <w:rPr>
          <w:noProof/>
          <w:szCs w:val="22"/>
          <w:lang w:eastAsia="es-MX"/>
        </w:rPr>
      </w:pPr>
    </w:p>
    <w:p w14:paraId="31C7A2AA" w14:textId="77777777" w:rsidR="001F3FF9" w:rsidRPr="00951C84" w:rsidRDefault="001F3FF9" w:rsidP="00951C84">
      <w:pPr>
        <w:ind w:left="567" w:right="567"/>
        <w:rPr>
          <w:i/>
          <w:noProof/>
          <w:lang w:eastAsia="es-MX"/>
        </w:rPr>
      </w:pPr>
      <w:r w:rsidRPr="00951C84">
        <w:rPr>
          <w:i/>
          <w:noProof/>
          <w:lang w:eastAsia="es-MX"/>
        </w:rPr>
        <w:lastRenderedPageBreak/>
        <w:t xml:space="preserve">Jurisprudencia I.3o.C. J/47, de Tribunales Colegiados de Circuito, visible en la página 1964 del Semanario Judicial de la Federación y su Gaceta, Tomo XXVII, febrero de 2008, Novena Época, de rubro: </w:t>
      </w:r>
      <w:r w:rsidRPr="00951C84">
        <w:rPr>
          <w:b/>
          <w:i/>
          <w:noProof/>
          <w:lang w:eastAsia="es-MX"/>
        </w:rPr>
        <w:t>FUNDAMENTACIÓN Y MOTIVACIÓN. LA DIFERENCIA ENTRE LA FALTA Y LA INDEBIDA SATISFACCIÓN DE AMBOS REQUISITOS CONSTITUCIONALES TRASCIENDE AL ORDEN EN QUE DEBEN ESTUDIARSE LOS CONCEPTOS DE VIOLACIÓN Y A LOS EFECTOS DEL FALLO PROTECTOR</w:t>
      </w:r>
      <w:r w:rsidRPr="00951C84">
        <w:rPr>
          <w:i/>
          <w:noProof/>
          <w:lang w:eastAsia="es-MX"/>
        </w:rPr>
        <w:t>. Misma que, en la parte que nos interesa, señala …Se produce la falta de fundamentación y motivación, cuando se omite expresar el dispositivo legal aplicable al asunto y las razones que se hayan considerado para estimar que el caso puede subsumirse en la hipótesis prevista en esa norma jurídica.</w:t>
      </w:r>
    </w:p>
    <w:p w14:paraId="52B82F65" w14:textId="77777777" w:rsidR="001F3FF9" w:rsidRPr="00951C84" w:rsidRDefault="001F3FF9" w:rsidP="00951C84">
      <w:pPr>
        <w:ind w:left="567" w:right="567"/>
        <w:rPr>
          <w:i/>
          <w:noProof/>
          <w:lang w:eastAsia="es-MX"/>
        </w:rPr>
      </w:pPr>
    </w:p>
    <w:p w14:paraId="7EFF1526" w14:textId="77777777" w:rsidR="001F3FF9" w:rsidRPr="00951C84" w:rsidRDefault="001F3FF9" w:rsidP="00951C84">
      <w:pPr>
        <w:ind w:left="567" w:right="567"/>
        <w:rPr>
          <w:i/>
          <w:noProof/>
          <w:lang w:eastAsia="es-MX"/>
        </w:rPr>
      </w:pPr>
      <w:r w:rsidRPr="00951C84">
        <w:rPr>
          <w:i/>
          <w:noProof/>
          <w:lang w:eastAsia="es-MX"/>
        </w:rPr>
        <w:t>Jurisprudencia IV.2o.C. J/12, de Tribunales Colegiados de Circuito, visible en la página 2053 del Semanario Judicial de la Federación y su Gaceta, Tomo XXXIII, febrero de 2011, Novena Época, de rubro y texto siguientes:</w:t>
      </w:r>
    </w:p>
    <w:p w14:paraId="1ADB3C62" w14:textId="77777777" w:rsidR="001F3FF9" w:rsidRPr="00951C84" w:rsidRDefault="001F3FF9" w:rsidP="00951C84">
      <w:pPr>
        <w:ind w:left="567" w:right="567"/>
        <w:rPr>
          <w:i/>
          <w:noProof/>
          <w:lang w:eastAsia="es-MX"/>
        </w:rPr>
      </w:pPr>
    </w:p>
    <w:p w14:paraId="67A82C87" w14:textId="77777777" w:rsidR="001F3FF9" w:rsidRPr="00951C84" w:rsidRDefault="001F3FF9" w:rsidP="00951C84">
      <w:pPr>
        <w:ind w:left="567" w:right="567"/>
        <w:rPr>
          <w:i/>
          <w:noProof/>
          <w:lang w:eastAsia="es-MX"/>
        </w:rPr>
      </w:pPr>
      <w:r w:rsidRPr="00951C84">
        <w:rPr>
          <w:b/>
          <w:i/>
          <w:noProof/>
          <w:lang w:eastAsia="es-MX"/>
        </w:rPr>
        <w:t>FUNDAMENTACIÓN Y MOTIVACIÓN. ARGUMENTOS QUE DEBEN EXAMINARSE PARA DETERMINAR LO FUNDADO O INFUNDADO DE UNA INCONFORMIDAD CUANDO SE ALEGA LA AUSENCIA DE AQUÉLLA O SE TACHA DE INDEBIDA.</w:t>
      </w:r>
      <w:r w:rsidRPr="00951C84">
        <w:rPr>
          <w:i/>
          <w:noProof/>
          <w:lang w:eastAsia="es-MX"/>
        </w:rPr>
        <w:t xml:space="preserve"> Al atender un motivo de desacuerdo relacionado con la fundamentación y motivación, para producir una respuesta congruente debe, del contexto integral de la argumentación del inconforme, advertirse si lo que imputa es ausencia de aquélla, o solamente la tacha de indebida, pues en la primer hipótesis bastará observar si la resolución contiene o no argumentos apoyados en la cita de preceptos legales para quedar en aptitud de declarar fundado o infundado el atinente motivo de desacuerdo. En cambio, en el segundo supuesto, cuando la fundamentación y motivación se tachan de indebidas, es </w:t>
      </w:r>
      <w:r w:rsidRPr="00951C84">
        <w:rPr>
          <w:i/>
          <w:noProof/>
          <w:lang w:eastAsia="es-MX"/>
        </w:rPr>
        <w:lastRenderedPageBreak/>
        <w:t>menester apreciar los argumentos del motivo de desacuerdo, expresados para explicar por qué la invocación de preceptos legales se estima errónea, o por qué la motivación es incorrecta o insuficiente, pues será a la luz de tales razones que pueda establecerse lo fundado o infundado de la inconformidad.</w:t>
      </w:r>
    </w:p>
    <w:p w14:paraId="592BFA40" w14:textId="77777777" w:rsidR="00951C84" w:rsidRPr="00951C84" w:rsidRDefault="00951C84" w:rsidP="00951C84">
      <w:pPr>
        <w:ind w:left="567" w:right="567"/>
        <w:rPr>
          <w:i/>
          <w:noProof/>
          <w:lang w:eastAsia="es-MX"/>
        </w:rPr>
      </w:pPr>
    </w:p>
    <w:p w14:paraId="4235374B" w14:textId="77777777" w:rsidR="001F3FF9" w:rsidRPr="00951C84" w:rsidRDefault="001F3FF9" w:rsidP="00951C84">
      <w:pPr>
        <w:tabs>
          <w:tab w:val="left" w:pos="284"/>
          <w:tab w:val="left" w:pos="567"/>
        </w:tabs>
        <w:contextualSpacing/>
        <w:rPr>
          <w:rFonts w:eastAsia="Calibri" w:cs="Tahoma"/>
          <w:bCs/>
          <w:iCs/>
          <w:szCs w:val="22"/>
          <w:lang w:val="es-ES" w:eastAsia="en-US"/>
        </w:rPr>
      </w:pPr>
      <w:r w:rsidRPr="00951C84">
        <w:rPr>
          <w:rFonts w:eastAsia="Calibri" w:cs="Arial"/>
          <w:szCs w:val="22"/>
          <w:lang w:eastAsia="es-MX"/>
        </w:rPr>
        <w:t xml:space="preserve">Aunado a lo anterior, el Acuerdo fue realizado de manera general para atender diversas solicitudes, que no identifica en cada una lo que fue requerido, además de que la temporalidad solo engloba dos mil veintitrés y para dos mil veintidós no realizó pronunciamiento además como ya se señaló </w:t>
      </w:r>
      <w:r w:rsidRPr="00951C84">
        <w:rPr>
          <w:rFonts w:eastAsia="Calibri" w:cs="Tahoma"/>
          <w:iCs/>
          <w:szCs w:val="22"/>
          <w:lang w:val="es-ES" w:eastAsia="es-ES_tradnl"/>
        </w:rPr>
        <w:t xml:space="preserve">el artículo 132 de la Ley de la materia, y el Séptimo de los Lineamientos previamente referido, prevé que la clasificación de la información se llevará a cabo, entre otros, en el momento en que se reciba la solicitud de acceso a la información pública, además de que en el acuerdo como se refirió también cita </w:t>
      </w:r>
      <w:r w:rsidRPr="00951C84">
        <w:rPr>
          <w:rFonts w:eastAsia="Calibri" w:cs="Arial"/>
          <w:szCs w:val="22"/>
          <w:lang w:eastAsia="es-MX"/>
        </w:rPr>
        <w:t xml:space="preserve">el artículo 140 fracción VI y X, fracciones que tampoco se encuentra acreditadas, de acuerdo al procedimiento que se debe seguir para la clasificación arriba invocado. </w:t>
      </w:r>
    </w:p>
    <w:p w14:paraId="0E97201A" w14:textId="77777777" w:rsidR="001F3FF9" w:rsidRPr="00951C84" w:rsidRDefault="001F3FF9" w:rsidP="00951C84">
      <w:pPr>
        <w:rPr>
          <w:rFonts w:eastAsia="Calibri" w:cs="Tahoma"/>
          <w:bCs/>
          <w:iCs/>
          <w:szCs w:val="22"/>
          <w:lang w:val="es-ES" w:eastAsia="en-US"/>
        </w:rPr>
      </w:pPr>
    </w:p>
    <w:p w14:paraId="56B72F7B" w14:textId="77777777" w:rsidR="001F3FF9" w:rsidRPr="00951C84" w:rsidRDefault="001F3FF9" w:rsidP="00951C84">
      <w:pPr>
        <w:rPr>
          <w:rFonts w:eastAsia="Calibri" w:cs="Tahoma"/>
          <w:bCs/>
          <w:iCs/>
          <w:szCs w:val="22"/>
          <w:lang w:eastAsia="en-US"/>
        </w:rPr>
      </w:pPr>
      <w:r w:rsidRPr="00951C84">
        <w:rPr>
          <w:rFonts w:eastAsia="Calibri" w:cs="Tahoma"/>
          <w:bCs/>
          <w:iCs/>
          <w:szCs w:val="22"/>
          <w:lang w:val="es-ES" w:eastAsia="en-US"/>
        </w:rPr>
        <w:t>Además, por lo que hace al año dos mil veintidós la Ley de Fiscalización Superior del Estado de México establece en su artículo 50 que e</w:t>
      </w:r>
      <w:r w:rsidRPr="00951C84">
        <w:rPr>
          <w:rFonts w:eastAsia="Calibri" w:cs="Tahoma"/>
          <w:bCs/>
          <w:iCs/>
          <w:szCs w:val="22"/>
          <w:lang w:eastAsia="en-US"/>
        </w:rPr>
        <w:t>l Órgano Superior tendrá un plazo improrrogable que vence el 15 de noviembre del año en que se entreguen las cuentas públicas, para presentar el Informe de Resultados ante la Comisión de Vigilancia del Órgano Superior de Fiscalización, mismo que tendrá el carácter público y, en consecuencia, deberá ser publicado en medios electrónicos de manera inmediatamente posterior a su entrega; mientras ello no suceda, el Órgano Superior deberá guardar reserva de sus actuaciones e información, por lo que hace a la de dos mil veintidós ya debió haber concluido.</w:t>
      </w:r>
    </w:p>
    <w:p w14:paraId="4CA557B3" w14:textId="77777777" w:rsidR="001F3FF9" w:rsidRPr="00951C84" w:rsidRDefault="001F3FF9" w:rsidP="00951C84">
      <w:pPr>
        <w:rPr>
          <w:rFonts w:eastAsia="Calibri" w:cs="Tahoma"/>
          <w:bCs/>
          <w:iCs/>
          <w:szCs w:val="22"/>
          <w:lang w:eastAsia="en-US"/>
        </w:rPr>
      </w:pPr>
    </w:p>
    <w:p w14:paraId="7E225BF2" w14:textId="64DE8D27" w:rsidR="001F3FF9" w:rsidRPr="00951C84" w:rsidRDefault="001F3FF9" w:rsidP="00951C84">
      <w:pPr>
        <w:tabs>
          <w:tab w:val="left" w:pos="4962"/>
        </w:tabs>
        <w:rPr>
          <w:rFonts w:eastAsia="Calibri" w:cs="Tahoma"/>
          <w:bCs/>
          <w:iCs/>
          <w:szCs w:val="22"/>
          <w:lang w:eastAsia="en-US"/>
        </w:rPr>
      </w:pPr>
      <w:r w:rsidRPr="00951C84">
        <w:rPr>
          <w:rFonts w:eastAsia="Calibri" w:cs="Tahoma"/>
          <w:bCs/>
          <w:iCs/>
          <w:szCs w:val="22"/>
          <w:lang w:eastAsia="en-US"/>
        </w:rPr>
        <w:lastRenderedPageBreak/>
        <w:t xml:space="preserve">Aunado a lo anterior, se localizó el documento en el cual se observa que la información solicitada ya fue analizada por el </w:t>
      </w:r>
      <w:proofErr w:type="spellStart"/>
      <w:r w:rsidRPr="00951C84">
        <w:rPr>
          <w:rFonts w:eastAsia="Calibri" w:cs="Tahoma"/>
          <w:bCs/>
          <w:iCs/>
          <w:szCs w:val="22"/>
          <w:lang w:eastAsia="en-US"/>
        </w:rPr>
        <w:t>Osfem</w:t>
      </w:r>
      <w:proofErr w:type="spellEnd"/>
      <w:r w:rsidRPr="00951C84">
        <w:rPr>
          <w:rFonts w:eastAsia="Calibri" w:cs="Tahoma"/>
          <w:bCs/>
          <w:iCs/>
          <w:szCs w:val="22"/>
          <w:lang w:eastAsia="en-US"/>
        </w:rPr>
        <w:t xml:space="preserve"> ya en la liga electrónica </w:t>
      </w:r>
      <w:hyperlink r:id="rId13" w:history="1">
        <w:r w:rsidRPr="00951C84">
          <w:rPr>
            <w:rStyle w:val="Hipervnculo"/>
            <w:rFonts w:eastAsia="Calibri" w:cs="Tahoma"/>
            <w:bCs/>
            <w:color w:val="auto"/>
            <w:szCs w:val="22"/>
            <w:lang w:eastAsia="en-US"/>
          </w:rPr>
          <w:t>https://www.osfem.gob.mx/informes/resultados/2022/municipios.html</w:t>
        </w:r>
      </w:hyperlink>
      <w:r w:rsidRPr="00951C84">
        <w:rPr>
          <w:rFonts w:eastAsia="Calibri" w:cs="Tahoma"/>
          <w:bCs/>
          <w:iCs/>
          <w:szCs w:val="22"/>
          <w:lang w:eastAsia="en-US"/>
        </w:rPr>
        <w:t xml:space="preserve"> se encuentran publicados los informes de resultados del año dos mil veintidós, dentro de los que se encuentra el de Tlalnepantla de Baz, y contiene las obras requeridas por el Particular e incluso tuvieron observaciones</w:t>
      </w:r>
      <w:r w:rsidR="00151B0E" w:rsidRPr="00951C84">
        <w:rPr>
          <w:rFonts w:eastAsia="Calibri" w:cs="Tahoma"/>
          <w:bCs/>
          <w:iCs/>
          <w:szCs w:val="22"/>
          <w:lang w:eastAsia="en-US"/>
        </w:rPr>
        <w:t>, como se advierte a continuación:</w:t>
      </w:r>
    </w:p>
    <w:p w14:paraId="072C4DBC" w14:textId="77777777" w:rsidR="00951C84" w:rsidRPr="00951C84" w:rsidRDefault="00951C84" w:rsidP="00951C84">
      <w:pPr>
        <w:tabs>
          <w:tab w:val="left" w:pos="4962"/>
        </w:tabs>
        <w:rPr>
          <w:rFonts w:eastAsia="Calibri" w:cs="Tahoma"/>
          <w:bCs/>
          <w:iCs/>
          <w:szCs w:val="22"/>
          <w:lang w:eastAsia="en-US"/>
        </w:rPr>
      </w:pPr>
    </w:p>
    <w:p w14:paraId="48D9FBF1" w14:textId="597C61E6" w:rsidR="00151B0E" w:rsidRPr="00951C84" w:rsidRDefault="00151B0E" w:rsidP="00951C84">
      <w:pPr>
        <w:tabs>
          <w:tab w:val="left" w:pos="4962"/>
        </w:tabs>
        <w:rPr>
          <w:rFonts w:eastAsia="Calibri" w:cs="Tahoma"/>
          <w:bCs/>
          <w:iCs/>
          <w:szCs w:val="22"/>
          <w:lang w:eastAsia="en-US"/>
        </w:rPr>
      </w:pPr>
      <w:r w:rsidRPr="00951C84">
        <w:rPr>
          <w:rFonts w:eastAsia="Calibri" w:cs="Tahoma"/>
          <w:bCs/>
          <w:iCs/>
          <w:noProof/>
          <w:szCs w:val="22"/>
          <w:lang w:eastAsia="es-MX"/>
        </w:rPr>
        <w:drawing>
          <wp:inline distT="0" distB="0" distL="0" distR="0" wp14:anchorId="13C48841" wp14:editId="30B515C5">
            <wp:extent cx="5742940" cy="326580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3265805"/>
                    </a:xfrm>
                    <a:prstGeom prst="rect">
                      <a:avLst/>
                    </a:prstGeom>
                  </pic:spPr>
                </pic:pic>
              </a:graphicData>
            </a:graphic>
          </wp:inline>
        </w:drawing>
      </w:r>
    </w:p>
    <w:p w14:paraId="072E3EAA" w14:textId="77777777" w:rsidR="001F3FF9" w:rsidRPr="00951C84" w:rsidRDefault="001F3FF9" w:rsidP="00951C84">
      <w:pPr>
        <w:tabs>
          <w:tab w:val="left" w:pos="4962"/>
        </w:tabs>
        <w:rPr>
          <w:rFonts w:cs="Arial"/>
          <w:bCs/>
          <w:szCs w:val="22"/>
          <w:lang w:eastAsia="es-MX"/>
        </w:rPr>
      </w:pPr>
    </w:p>
    <w:p w14:paraId="1426BB07" w14:textId="77777777" w:rsidR="001F3FF9" w:rsidRPr="00951C84" w:rsidRDefault="001F3FF9" w:rsidP="00951C84">
      <w:pPr>
        <w:tabs>
          <w:tab w:val="left" w:pos="4962"/>
        </w:tabs>
        <w:rPr>
          <w:rFonts w:eastAsia="Calibri" w:cs="Tahoma"/>
          <w:bCs/>
          <w:iCs/>
          <w:szCs w:val="22"/>
          <w:lang w:eastAsia="en-US"/>
        </w:rPr>
      </w:pPr>
      <w:r w:rsidRPr="00951C84">
        <w:rPr>
          <w:rFonts w:cs="Arial"/>
          <w:bCs/>
          <w:szCs w:val="22"/>
          <w:lang w:eastAsia="es-MX"/>
        </w:rPr>
        <w:t xml:space="preserve">Por lo que, es necesario señalar que conforme a al artículo 115 de la Ley General de Transparencia y Acceso a la Información Pública, relacionado con el 142 de la Ley de Transparencia y Acceso a la Información Pública del Estado de México y Municipios y el Trigésimo Séptimo de los Lineamientos Generales, </w:t>
      </w:r>
      <w:r w:rsidRPr="00951C84">
        <w:rPr>
          <w:rFonts w:cs="Arial"/>
          <w:szCs w:val="22"/>
          <w:lang w:eastAsia="es-MX"/>
        </w:rPr>
        <w:t xml:space="preserve">no podrá invocarse con el carácter de </w:t>
      </w:r>
      <w:r w:rsidRPr="00951C84">
        <w:rPr>
          <w:rFonts w:cs="Arial"/>
          <w:szCs w:val="22"/>
          <w:lang w:eastAsia="es-MX"/>
        </w:rPr>
        <w:lastRenderedPageBreak/>
        <w:t xml:space="preserve">reservada, aquella información que se encuentre relacionada con posibles violaciones a derechos </w:t>
      </w:r>
      <w:r w:rsidRPr="00951C84">
        <w:rPr>
          <w:rFonts w:cs="Arial"/>
          <w:b/>
          <w:bCs/>
          <w:szCs w:val="22"/>
          <w:u w:val="single"/>
          <w:lang w:eastAsia="es-MX"/>
        </w:rPr>
        <w:t>humanos o actos de corrupción.</w:t>
      </w:r>
    </w:p>
    <w:p w14:paraId="2CE1C905" w14:textId="77777777" w:rsidR="001F3FF9" w:rsidRPr="00951C84" w:rsidRDefault="001F3FF9" w:rsidP="00951C84">
      <w:pPr>
        <w:tabs>
          <w:tab w:val="left" w:pos="284"/>
          <w:tab w:val="left" w:pos="567"/>
        </w:tabs>
        <w:contextualSpacing/>
        <w:rPr>
          <w:rFonts w:cs="Arial"/>
          <w:bCs/>
          <w:szCs w:val="22"/>
          <w:lang w:eastAsia="es-MX"/>
        </w:rPr>
      </w:pPr>
    </w:p>
    <w:p w14:paraId="6CE9979C" w14:textId="77777777" w:rsidR="001F3FF9" w:rsidRPr="00951C84" w:rsidRDefault="001F3FF9" w:rsidP="00951C84">
      <w:pPr>
        <w:tabs>
          <w:tab w:val="left" w:pos="284"/>
          <w:tab w:val="left" w:pos="567"/>
        </w:tabs>
        <w:contextualSpacing/>
        <w:rPr>
          <w:rFonts w:cs="Arial"/>
          <w:szCs w:val="22"/>
          <w:lang w:val="es-ES" w:eastAsia="es-MX"/>
        </w:rPr>
      </w:pPr>
      <w:r w:rsidRPr="00951C84">
        <w:rPr>
          <w:rFonts w:cs="Arial"/>
          <w:szCs w:val="22"/>
          <w:lang w:val="es-ES" w:eastAsia="es-MX"/>
        </w:rPr>
        <w:t>En ese contexto, resulta necesario, los artículos 3°, fracción XII y 8°, fracción VI, de la Ley General de Transparencia y Acceso a la Información Pública, relacionados con los diversos 3°, fracción XXII y 9°, fracción VII, de la Ley de Transparencia y Acceso a la Información Pública del Estado de México, establecen lo siguiente:</w:t>
      </w:r>
    </w:p>
    <w:p w14:paraId="586A30DC" w14:textId="77777777" w:rsidR="001F3FF9" w:rsidRPr="00951C84" w:rsidRDefault="001F3FF9" w:rsidP="00951C84">
      <w:pPr>
        <w:tabs>
          <w:tab w:val="left" w:pos="284"/>
          <w:tab w:val="left" w:pos="567"/>
        </w:tabs>
        <w:contextualSpacing/>
        <w:rPr>
          <w:rFonts w:cs="Arial"/>
          <w:szCs w:val="22"/>
          <w:lang w:val="es-ES" w:eastAsia="es-MX"/>
        </w:rPr>
      </w:pPr>
    </w:p>
    <w:p w14:paraId="7CE1450E" w14:textId="77777777" w:rsidR="001F3FF9" w:rsidRPr="00951C84" w:rsidRDefault="001F3FF9" w:rsidP="00951C84">
      <w:pPr>
        <w:numPr>
          <w:ilvl w:val="0"/>
          <w:numId w:val="33"/>
        </w:numPr>
        <w:tabs>
          <w:tab w:val="left" w:pos="284"/>
          <w:tab w:val="left" w:pos="567"/>
        </w:tabs>
        <w:contextualSpacing/>
        <w:rPr>
          <w:rFonts w:cs="Arial"/>
          <w:b/>
          <w:szCs w:val="22"/>
          <w:lang w:val="es-ES" w:eastAsia="es-MX"/>
        </w:rPr>
      </w:pPr>
      <w:r w:rsidRPr="00951C84">
        <w:rPr>
          <w:rFonts w:cs="Arial"/>
          <w:b/>
          <w:szCs w:val="22"/>
          <w:lang w:val="es-ES" w:eastAsia="es-MX"/>
        </w:rPr>
        <w:t xml:space="preserve">Principio de Máxima Publicidad: </w:t>
      </w:r>
      <w:r w:rsidRPr="00951C84">
        <w:rPr>
          <w:rFonts w:cs="Arial"/>
          <w:szCs w:val="22"/>
          <w:lang w:val="es-ES" w:eastAsia="es-MX"/>
        </w:rPr>
        <w:t>Precisa que toda la información en posesión de los entes sujetos a las Leyes de Transparencia, es pública, completa, oportuna y accesible, sujeta a un claro régimen de excepciones.</w:t>
      </w:r>
    </w:p>
    <w:p w14:paraId="692321D2" w14:textId="77777777" w:rsidR="001F3FF9" w:rsidRPr="00951C84" w:rsidRDefault="001F3FF9" w:rsidP="00951C84">
      <w:pPr>
        <w:tabs>
          <w:tab w:val="left" w:pos="284"/>
          <w:tab w:val="left" w:pos="567"/>
        </w:tabs>
        <w:contextualSpacing/>
        <w:rPr>
          <w:rFonts w:cs="Arial"/>
          <w:b/>
          <w:szCs w:val="22"/>
          <w:lang w:val="es-ES" w:eastAsia="es-MX"/>
        </w:rPr>
      </w:pPr>
    </w:p>
    <w:p w14:paraId="03D55953" w14:textId="77777777" w:rsidR="001F3FF9" w:rsidRPr="00951C84" w:rsidRDefault="001F3FF9" w:rsidP="00951C84">
      <w:pPr>
        <w:numPr>
          <w:ilvl w:val="0"/>
          <w:numId w:val="33"/>
        </w:numPr>
        <w:tabs>
          <w:tab w:val="left" w:pos="284"/>
          <w:tab w:val="left" w:pos="567"/>
        </w:tabs>
        <w:contextualSpacing/>
        <w:rPr>
          <w:rFonts w:cs="Arial"/>
          <w:b/>
          <w:szCs w:val="22"/>
          <w:lang w:val="es-ES" w:eastAsia="es-MX"/>
        </w:rPr>
      </w:pPr>
      <w:r w:rsidRPr="00951C84">
        <w:rPr>
          <w:rFonts w:cs="Arial"/>
          <w:b/>
          <w:szCs w:val="22"/>
          <w:lang w:val="es-ES" w:eastAsia="es-MX"/>
        </w:rPr>
        <w:t xml:space="preserve">Información de Interés Público: </w:t>
      </w:r>
      <w:r w:rsidRPr="00951C84">
        <w:rPr>
          <w:rFonts w:cs="Arial"/>
          <w:szCs w:val="22"/>
          <w:lang w:val="es-ES" w:eastAsia="es-MX"/>
        </w:rPr>
        <w:t>Es aquella que resulta relevante o beneficiosa para la sociedad y no simplemente de interés individual, cuya divulgación resulta útil para que el público comprenda las actividades que llevan a cabo los sujetos obligados.</w:t>
      </w:r>
    </w:p>
    <w:p w14:paraId="2AD06513" w14:textId="77777777" w:rsidR="001F3FF9" w:rsidRPr="00951C84" w:rsidRDefault="001F3FF9" w:rsidP="00951C84">
      <w:pPr>
        <w:tabs>
          <w:tab w:val="left" w:pos="284"/>
          <w:tab w:val="left" w:pos="567"/>
        </w:tabs>
        <w:contextualSpacing/>
        <w:rPr>
          <w:rFonts w:cs="Arial"/>
          <w:bCs/>
          <w:szCs w:val="22"/>
          <w:lang w:eastAsia="es-MX"/>
        </w:rPr>
      </w:pPr>
    </w:p>
    <w:p w14:paraId="17C24BEB" w14:textId="77777777" w:rsidR="001F3FF9" w:rsidRPr="00951C84" w:rsidRDefault="001F3FF9" w:rsidP="00951C84">
      <w:pPr>
        <w:tabs>
          <w:tab w:val="left" w:pos="284"/>
          <w:tab w:val="left" w:pos="567"/>
        </w:tabs>
        <w:contextualSpacing/>
        <w:rPr>
          <w:rFonts w:cs="Arial"/>
          <w:szCs w:val="22"/>
          <w:lang w:val="es-ES" w:eastAsia="es-MX"/>
        </w:rPr>
      </w:pPr>
      <w:r w:rsidRPr="00951C84">
        <w:rPr>
          <w:rFonts w:cs="Arial"/>
          <w:szCs w:val="22"/>
          <w:lang w:val="es-ES" w:eastAsia="es-MX"/>
        </w:rPr>
        <w:t>Como se logra observar, el interés público está íntimamente relacionado, con el principio de máxima publicidad y las excepciones a la reserva de la información; lo anterior, pues existe un interés general de la sociedad de conocer sobre los actos de corrupción y las posibles violaciones a derechos humanos, pues no son afectaciones que se dan en lo individual, sino que existe un detrimento en un grupo o en la población en general.</w:t>
      </w:r>
    </w:p>
    <w:p w14:paraId="13E72AD3" w14:textId="77777777" w:rsidR="001F3FF9" w:rsidRPr="00951C84" w:rsidRDefault="001F3FF9" w:rsidP="00951C84">
      <w:pPr>
        <w:tabs>
          <w:tab w:val="left" w:pos="284"/>
          <w:tab w:val="left" w:pos="567"/>
        </w:tabs>
        <w:contextualSpacing/>
        <w:rPr>
          <w:rFonts w:cs="Arial"/>
          <w:szCs w:val="22"/>
          <w:lang w:val="es-ES" w:eastAsia="es-MX"/>
        </w:rPr>
      </w:pPr>
    </w:p>
    <w:p w14:paraId="266299D3" w14:textId="77777777" w:rsidR="001F3FF9" w:rsidRPr="00951C84" w:rsidRDefault="001F3FF9" w:rsidP="00951C84">
      <w:pPr>
        <w:rPr>
          <w:rFonts w:cs="Tahoma"/>
          <w:szCs w:val="24"/>
        </w:rPr>
      </w:pPr>
      <w:r w:rsidRPr="00951C84">
        <w:rPr>
          <w:rFonts w:eastAsia="Calibri" w:cs="Tahoma"/>
          <w:bCs/>
          <w:szCs w:val="22"/>
          <w:lang w:val="es-ES" w:eastAsia="en-US"/>
        </w:rPr>
        <w:t xml:space="preserve">Atento a lo anterior, resulta claro que existe fuente obligacional que constriñe al Sujeto Obligado, a contar con la información solicitada, por lo que </w:t>
      </w:r>
      <w:r w:rsidRPr="00951C84">
        <w:rPr>
          <w:rFonts w:cs="Tahoma"/>
          <w:bCs/>
          <w:iCs/>
          <w:szCs w:val="22"/>
        </w:rPr>
        <w:t>deberá proporcionar los documentos de los que se desprenda lo que el Particular solicitó, ello</w:t>
      </w:r>
      <w:r w:rsidRPr="00951C84">
        <w:rPr>
          <w:rFonts w:cs="Tahoma"/>
          <w:szCs w:val="24"/>
        </w:rPr>
        <w:t xml:space="preserve"> en virtud de que </w:t>
      </w:r>
      <w:r w:rsidRPr="00951C84">
        <w:rPr>
          <w:rFonts w:cs="Tahoma"/>
          <w:szCs w:val="22"/>
        </w:rPr>
        <w:lastRenderedPageBreak/>
        <w:t xml:space="preserve">conforme al artículo 12 de la Ley de Transparencia y Acceso a la Información Pública del Estado de México y Municipios, </w:t>
      </w:r>
      <w:r w:rsidRPr="00951C84">
        <w:rPr>
          <w:rFonts w:cs="Tahoma"/>
          <w:szCs w:val="24"/>
        </w:rPr>
        <w:t xml:space="preserve">quienes genere, </w:t>
      </w:r>
      <w:r w:rsidRPr="00951C84">
        <w:rPr>
          <w:rFonts w:cs="Tahoma"/>
          <w:b/>
          <w:bCs/>
          <w:szCs w:val="24"/>
          <w:u w:val="single"/>
        </w:rPr>
        <w:t>recopilen, administren</w:t>
      </w:r>
      <w:r w:rsidRPr="00951C84">
        <w:rPr>
          <w:rFonts w:cs="Tahoma"/>
          <w:b/>
          <w:szCs w:val="24"/>
          <w:u w:val="single"/>
        </w:rPr>
        <w:t>, manejen, procesen archiven o conserven</w:t>
      </w:r>
      <w:r w:rsidRPr="00951C84">
        <w:rPr>
          <w:rFonts w:cs="Tahoma"/>
          <w:szCs w:val="24"/>
        </w:rPr>
        <w:t xml:space="preserve"> información pública serán responsables de la misma, por lo que la justificante del Sujeto Obligado de que no puede proporcionar la información por no haber sido el quien la generó en un principio, resulta incorrecta ya que al poseerla en sus archivos, tiene la obligación de proporcionarla al ser del interés de los particulares.</w:t>
      </w:r>
    </w:p>
    <w:p w14:paraId="2FB3FDD5" w14:textId="77777777" w:rsidR="001F3FF9" w:rsidRPr="00951C84" w:rsidRDefault="001F3FF9" w:rsidP="00951C84">
      <w:pPr>
        <w:rPr>
          <w:rFonts w:cs="Tahoma"/>
          <w:szCs w:val="24"/>
        </w:rPr>
      </w:pPr>
    </w:p>
    <w:p w14:paraId="10B37832" w14:textId="271DA77A" w:rsidR="001F3FF9" w:rsidRPr="00951C84" w:rsidRDefault="001F3FF9" w:rsidP="00951C84">
      <w:pPr>
        <w:tabs>
          <w:tab w:val="left" w:pos="4962"/>
        </w:tabs>
        <w:rPr>
          <w:rFonts w:eastAsia="Calibri" w:cs="Tahoma"/>
          <w:iCs/>
          <w:szCs w:val="22"/>
          <w:lang w:eastAsia="es-ES_tradnl"/>
        </w:rPr>
      </w:pPr>
      <w:r w:rsidRPr="00951C84">
        <w:rPr>
          <w:rFonts w:cs="Tahoma"/>
          <w:szCs w:val="24"/>
        </w:rPr>
        <w:t>En concordancia con lo señalado, del mismo artículo 12 arriba citado,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r w:rsidRPr="00951C84">
        <w:rPr>
          <w:rFonts w:cs="Tahoma"/>
          <w:szCs w:val="22"/>
        </w:rPr>
        <w:t xml:space="preserve">, por lo que </w:t>
      </w:r>
      <w:r w:rsidRPr="00951C84">
        <w:rPr>
          <w:rFonts w:cs="Tahoma"/>
          <w:szCs w:val="24"/>
          <w:lang w:val="es-ES"/>
        </w:rPr>
        <w:t xml:space="preserve">el derecho de acceso a la información pública se satisface en aquellos casos en que se entregue el soporte documental en el que conste la información solicitada, sin necesidad de elaborar documentos </w:t>
      </w:r>
      <w:r w:rsidRPr="00951C84">
        <w:rPr>
          <w:rFonts w:cs="Tahoma"/>
          <w:i/>
          <w:szCs w:val="22"/>
        </w:rPr>
        <w:t>ad hoc</w:t>
      </w:r>
      <w:r w:rsidRPr="00951C84">
        <w:rPr>
          <w:rFonts w:cs="Tahoma"/>
          <w:szCs w:val="22"/>
        </w:rPr>
        <w:t>; lo cual, toma sustento en el artículo 160 de la Ley de Transparencia y Acceso a la Información Pública del Estado de México y Municipios, el cual refiere que los sujetos obligados deberán entregar la información que obre en sus archivos</w:t>
      </w:r>
    </w:p>
    <w:p w14:paraId="37AEB7A8" w14:textId="77777777" w:rsidR="001F3FF9" w:rsidRPr="00951C84" w:rsidRDefault="001F3FF9" w:rsidP="00951C84">
      <w:pPr>
        <w:widowControl w:val="0"/>
        <w:rPr>
          <w:rFonts w:eastAsia="Palatino Linotype" w:cs="Palatino Linotype"/>
        </w:rPr>
      </w:pPr>
    </w:p>
    <w:p w14:paraId="1D8092F4" w14:textId="77777777" w:rsidR="00D21BB8" w:rsidRPr="00951C84" w:rsidRDefault="00D21BB8" w:rsidP="00951C84">
      <w:pPr>
        <w:pStyle w:val="Ttulo3"/>
        <w:rPr>
          <w:szCs w:val="22"/>
        </w:rPr>
      </w:pPr>
      <w:bookmarkStart w:id="34" w:name="_Toc172153688"/>
      <w:bookmarkStart w:id="35" w:name="_Toc174019541"/>
      <w:bookmarkStart w:id="36" w:name="_Toc178858437"/>
      <w:r w:rsidRPr="00951C84">
        <w:rPr>
          <w:szCs w:val="22"/>
        </w:rPr>
        <w:t>d) Versión pública</w:t>
      </w:r>
      <w:bookmarkEnd w:id="34"/>
      <w:bookmarkEnd w:id="35"/>
      <w:bookmarkEnd w:id="36"/>
    </w:p>
    <w:p w14:paraId="6599431A" w14:textId="77777777" w:rsidR="00151B0E" w:rsidRPr="00951C84" w:rsidRDefault="00151B0E" w:rsidP="00951C84">
      <w:pPr>
        <w:rPr>
          <w:bCs/>
        </w:rPr>
      </w:pPr>
      <w:r w:rsidRPr="00951C84">
        <w:t xml:space="preserve">Para el caso de que el o los documentos de los cuales se ordena su entrega contengan datos personales susceptibles de ser testados, deberán ser entregados en </w:t>
      </w:r>
      <w:r w:rsidRPr="00951C84">
        <w:rPr>
          <w:b/>
        </w:rPr>
        <w:t>versión pública</w:t>
      </w:r>
      <w:r w:rsidRPr="00951C84">
        <w:t>, pues el</w:t>
      </w:r>
      <w:r w:rsidRPr="00951C84">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w:t>
      </w:r>
      <w:r w:rsidRPr="00951C84">
        <w:rPr>
          <w:bCs/>
        </w:rPr>
        <w:lastRenderedPageBreak/>
        <w:t>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3B01D07" w14:textId="77777777" w:rsidR="00151B0E" w:rsidRPr="00951C84" w:rsidRDefault="00151B0E" w:rsidP="00951C84">
      <w:pPr>
        <w:rPr>
          <w:rFonts w:eastAsia="Calibri"/>
          <w:bCs/>
          <w:lang w:eastAsia="en-US"/>
        </w:rPr>
      </w:pPr>
    </w:p>
    <w:p w14:paraId="5656748D" w14:textId="77777777" w:rsidR="00151B0E" w:rsidRPr="00951C84" w:rsidRDefault="00151B0E" w:rsidP="00951C84">
      <w:pPr>
        <w:rPr>
          <w:bCs/>
        </w:rPr>
      </w:pPr>
      <w:r w:rsidRPr="00951C84">
        <w:rPr>
          <w:bCs/>
        </w:rPr>
        <w:t>A este respecto, los artículos 3, fracciones IX, XX, XXI y XLV; 51 y 52 de la Ley de Transparencia y Acceso a la Información Pública del Estado de México y Municipios establecen:</w:t>
      </w:r>
    </w:p>
    <w:p w14:paraId="4DC22B59" w14:textId="77777777" w:rsidR="00151B0E" w:rsidRPr="00951C84" w:rsidRDefault="00151B0E" w:rsidP="00951C84"/>
    <w:p w14:paraId="2D05E547" w14:textId="77777777" w:rsidR="00151B0E" w:rsidRPr="00951C84" w:rsidRDefault="00151B0E" w:rsidP="00951C84">
      <w:pPr>
        <w:pStyle w:val="Puesto"/>
      </w:pPr>
      <w:r w:rsidRPr="00951C84">
        <w:rPr>
          <w:b/>
          <w:bCs/>
          <w:noProof/>
        </w:rPr>
        <w:t>“</w:t>
      </w:r>
      <w:r w:rsidRPr="00951C84">
        <w:rPr>
          <w:b/>
          <w:bCs/>
        </w:rPr>
        <w:t xml:space="preserve">Artículo 3. </w:t>
      </w:r>
      <w:r w:rsidRPr="00951C84">
        <w:t xml:space="preserve">Para los efectos de la presente Ley se entenderá por: </w:t>
      </w:r>
    </w:p>
    <w:p w14:paraId="56399681" w14:textId="77777777" w:rsidR="00151B0E" w:rsidRPr="00951C84" w:rsidRDefault="00151B0E" w:rsidP="00951C84">
      <w:pPr>
        <w:pStyle w:val="Puesto"/>
      </w:pPr>
      <w:r w:rsidRPr="00951C84">
        <w:rPr>
          <w:b/>
        </w:rPr>
        <w:t>IX.</w:t>
      </w:r>
      <w:r w:rsidRPr="00951C84">
        <w:t xml:space="preserve"> </w:t>
      </w:r>
      <w:r w:rsidRPr="00951C84">
        <w:rPr>
          <w:b/>
        </w:rPr>
        <w:t xml:space="preserve">Datos personales: </w:t>
      </w:r>
      <w:r w:rsidRPr="00951C84">
        <w:t xml:space="preserve">La información concerniente a una persona, identificada o identificable según lo dispuesto por la Ley de Protección de Datos Personales del Estado de México; </w:t>
      </w:r>
    </w:p>
    <w:p w14:paraId="7A4FB82A" w14:textId="77777777" w:rsidR="00151B0E" w:rsidRPr="00951C84" w:rsidRDefault="00151B0E" w:rsidP="00951C84"/>
    <w:p w14:paraId="5F591346" w14:textId="77777777" w:rsidR="00151B0E" w:rsidRPr="00951C84" w:rsidRDefault="00151B0E" w:rsidP="00951C84">
      <w:pPr>
        <w:pStyle w:val="Puesto"/>
      </w:pPr>
      <w:r w:rsidRPr="00951C84">
        <w:rPr>
          <w:b/>
        </w:rPr>
        <w:t>XX.</w:t>
      </w:r>
      <w:r w:rsidRPr="00951C84">
        <w:t xml:space="preserve"> </w:t>
      </w:r>
      <w:r w:rsidRPr="00951C84">
        <w:rPr>
          <w:b/>
        </w:rPr>
        <w:t>Información clasificada:</w:t>
      </w:r>
      <w:r w:rsidRPr="00951C84">
        <w:t xml:space="preserve"> Aquella considerada por la presente Ley como reservada o confidencial; </w:t>
      </w:r>
    </w:p>
    <w:p w14:paraId="7745538C" w14:textId="77777777" w:rsidR="00151B0E" w:rsidRPr="00951C84" w:rsidRDefault="00151B0E" w:rsidP="00951C84"/>
    <w:p w14:paraId="39A30A03" w14:textId="77777777" w:rsidR="00151B0E" w:rsidRPr="00951C84" w:rsidRDefault="00151B0E" w:rsidP="00951C84">
      <w:pPr>
        <w:pStyle w:val="Puesto"/>
      </w:pPr>
      <w:r w:rsidRPr="00951C84">
        <w:rPr>
          <w:b/>
        </w:rPr>
        <w:t>XXI.</w:t>
      </w:r>
      <w:r w:rsidRPr="00951C84">
        <w:t xml:space="preserve"> </w:t>
      </w:r>
      <w:r w:rsidRPr="00951C84">
        <w:rPr>
          <w:b/>
        </w:rPr>
        <w:t>Información confidencial</w:t>
      </w:r>
      <w:r w:rsidRPr="00951C84">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3EC3DB26" w14:textId="77777777" w:rsidR="00151B0E" w:rsidRPr="00951C84" w:rsidRDefault="00151B0E" w:rsidP="00951C84"/>
    <w:p w14:paraId="7ABB1446" w14:textId="77777777" w:rsidR="00151B0E" w:rsidRPr="00951C84" w:rsidRDefault="00151B0E" w:rsidP="00951C84">
      <w:pPr>
        <w:pStyle w:val="Puesto"/>
      </w:pPr>
      <w:r w:rsidRPr="00951C84">
        <w:rPr>
          <w:b/>
        </w:rPr>
        <w:t>XLV. Versión pública:</w:t>
      </w:r>
      <w:r w:rsidRPr="00951C84">
        <w:t xml:space="preserve"> Documento en el que se elimine, suprime o borra la información clasificada como reservada o confidencial para permitir su acceso. </w:t>
      </w:r>
    </w:p>
    <w:p w14:paraId="7605A89A" w14:textId="77777777" w:rsidR="00151B0E" w:rsidRPr="00951C84" w:rsidRDefault="00151B0E" w:rsidP="00951C84"/>
    <w:p w14:paraId="522220CB" w14:textId="77777777" w:rsidR="00151B0E" w:rsidRPr="00951C84" w:rsidRDefault="00151B0E" w:rsidP="00951C84">
      <w:pPr>
        <w:pStyle w:val="Puesto"/>
      </w:pPr>
      <w:r w:rsidRPr="00951C84">
        <w:rPr>
          <w:b/>
        </w:rPr>
        <w:t>Artículo 51.</w:t>
      </w:r>
      <w:r w:rsidRPr="00951C84">
        <w:t xml:space="preserve"> Los sujetos obligados designaran a un responsable para atender la Unidad de Transparencia, quien fungirá como enlace entre éstos y los solicitantes. Dicha Unidad será la encargada de tramitar internamente la solicitud de información </w:t>
      </w:r>
      <w:r w:rsidRPr="00951C84">
        <w:rPr>
          <w:b/>
        </w:rPr>
        <w:t xml:space="preserve">y tendrá la responsabilidad de verificar en cada caso que la misma no sea confidencial o reservada. </w:t>
      </w:r>
      <w:r w:rsidRPr="00951C84">
        <w:t>Dicha Unidad contará con las facultades internas necesarias para gestionar la atención a las solicitudes de información en los términos de la Ley General y la presente Ley.</w:t>
      </w:r>
    </w:p>
    <w:p w14:paraId="0250E78A" w14:textId="77777777" w:rsidR="00151B0E" w:rsidRPr="00951C84" w:rsidRDefault="00151B0E" w:rsidP="00951C84"/>
    <w:p w14:paraId="74CF39CC" w14:textId="77777777" w:rsidR="00151B0E" w:rsidRPr="00951C84" w:rsidRDefault="00151B0E" w:rsidP="00951C84">
      <w:pPr>
        <w:pStyle w:val="Puesto"/>
      </w:pPr>
      <w:r w:rsidRPr="00951C84">
        <w:rPr>
          <w:b/>
        </w:rPr>
        <w:lastRenderedPageBreak/>
        <w:t>Artículo 52.</w:t>
      </w:r>
      <w:r w:rsidRPr="00951C84">
        <w:t xml:space="preserve"> Las solicitudes de acceso a la información y las respuestas que se les dé, incluyendo, en su caso, </w:t>
      </w:r>
      <w:r w:rsidRPr="00951C84">
        <w:rPr>
          <w:u w:val="single"/>
        </w:rPr>
        <w:t>la información entregada, así como las resoluciones a los recursos que en su caso se promuevan serán públicas, y de ser el caso que contenga datos personales que deban ser protegidos se podrá dar su acceso en su versión pública</w:t>
      </w:r>
      <w:r w:rsidRPr="00951C84">
        <w:t>, siempre y cuando la resolución de referencia se someta a un proceso de disociación, es decir, no haga identificable al titular de tales datos personales.</w:t>
      </w:r>
      <w:r w:rsidRPr="00951C84">
        <w:rPr>
          <w:bCs/>
          <w:noProof/>
        </w:rPr>
        <w:t xml:space="preserve">” </w:t>
      </w:r>
      <w:r w:rsidRPr="00951C84">
        <w:rPr>
          <w:i w:val="0"/>
          <w:iCs/>
          <w:szCs w:val="22"/>
        </w:rPr>
        <w:t>(Énfasis añadido)</w:t>
      </w:r>
    </w:p>
    <w:p w14:paraId="4CE94ECE" w14:textId="77777777" w:rsidR="00151B0E" w:rsidRPr="00951C84" w:rsidRDefault="00151B0E" w:rsidP="00951C84"/>
    <w:p w14:paraId="2D8123CE" w14:textId="77777777" w:rsidR="00151B0E" w:rsidRPr="00951C84" w:rsidRDefault="00151B0E" w:rsidP="00951C84">
      <w:r w:rsidRPr="00951C84">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4E47700D" w14:textId="77777777" w:rsidR="00151B0E" w:rsidRPr="00951C84" w:rsidRDefault="00151B0E" w:rsidP="00951C84"/>
    <w:p w14:paraId="25A270E0" w14:textId="77777777" w:rsidR="00151B0E" w:rsidRPr="00951C84" w:rsidRDefault="00151B0E" w:rsidP="00951C84">
      <w:pPr>
        <w:pStyle w:val="Puesto"/>
        <w:rPr>
          <w:rFonts w:eastAsia="Arial Unicode MS"/>
        </w:rPr>
      </w:pPr>
      <w:r w:rsidRPr="00951C84">
        <w:rPr>
          <w:rFonts w:eastAsia="Arial Unicode MS"/>
          <w:b/>
        </w:rPr>
        <w:t>“Artículo 22.</w:t>
      </w:r>
      <w:r w:rsidRPr="00951C84">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3D10628" w14:textId="77777777" w:rsidR="00151B0E" w:rsidRPr="00951C84" w:rsidRDefault="00151B0E" w:rsidP="00951C84">
      <w:pPr>
        <w:rPr>
          <w:rFonts w:eastAsia="Arial Unicode MS"/>
        </w:rPr>
      </w:pPr>
    </w:p>
    <w:p w14:paraId="64E622FE" w14:textId="77777777" w:rsidR="00151B0E" w:rsidRPr="00951C84" w:rsidRDefault="00151B0E" w:rsidP="00951C84">
      <w:pPr>
        <w:pStyle w:val="Puesto"/>
        <w:rPr>
          <w:rFonts w:eastAsia="Arial Unicode MS"/>
        </w:rPr>
      </w:pPr>
      <w:r w:rsidRPr="00951C84">
        <w:rPr>
          <w:rFonts w:eastAsia="Arial Unicode MS"/>
          <w:b/>
        </w:rPr>
        <w:t>Artículo 38.</w:t>
      </w:r>
      <w:r w:rsidRPr="00951C84">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951C84">
        <w:rPr>
          <w:rFonts w:eastAsia="Arial Unicode MS"/>
          <w:b/>
        </w:rPr>
        <w:t>”</w:t>
      </w:r>
      <w:r w:rsidRPr="00951C84">
        <w:rPr>
          <w:rFonts w:eastAsia="Arial Unicode MS"/>
        </w:rPr>
        <w:t xml:space="preserve"> </w:t>
      </w:r>
    </w:p>
    <w:p w14:paraId="6BD94AC7" w14:textId="77777777" w:rsidR="00151B0E" w:rsidRPr="00951C84" w:rsidRDefault="00151B0E" w:rsidP="00951C84">
      <w:pPr>
        <w:rPr>
          <w:rFonts w:eastAsia="Arial Unicode MS"/>
          <w:i/>
          <w:szCs w:val="22"/>
        </w:rPr>
      </w:pPr>
    </w:p>
    <w:p w14:paraId="0A16B2B3" w14:textId="77777777" w:rsidR="00151B0E" w:rsidRPr="00951C84" w:rsidRDefault="00151B0E" w:rsidP="00951C84">
      <w:r w:rsidRPr="00951C84">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w:t>
      </w:r>
      <w:r w:rsidRPr="00951C84">
        <w:lastRenderedPageBreak/>
        <w:t xml:space="preserve">particulares toda vez que ésta tiene por objeto proteger datos personales, entendiéndose por tales, aquéllos que hacen identificable a una persona. </w:t>
      </w:r>
    </w:p>
    <w:p w14:paraId="23D240FD" w14:textId="77777777" w:rsidR="00151B0E" w:rsidRPr="00951C84" w:rsidRDefault="00151B0E" w:rsidP="00951C84"/>
    <w:p w14:paraId="5413FA15" w14:textId="77777777" w:rsidR="00151B0E" w:rsidRPr="00951C84" w:rsidRDefault="00151B0E" w:rsidP="00951C84">
      <w:r w:rsidRPr="00951C84">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951C84">
        <w:rPr>
          <w:rFonts w:eastAsia="Arial Unicode MS"/>
        </w:rPr>
        <w:t xml:space="preserve"> que debe ser protegida por </w:t>
      </w:r>
      <w:r w:rsidRPr="00951C84">
        <w:rPr>
          <w:rFonts w:eastAsia="Arial Unicode MS"/>
          <w:b/>
        </w:rPr>
        <w:t>EL SUJETO OBLIGADO,</w:t>
      </w:r>
      <w:r w:rsidRPr="00951C84">
        <w:rPr>
          <w:rFonts w:eastAsia="Arial Unicode MS"/>
        </w:rPr>
        <w:t xml:space="preserve"> por lo </w:t>
      </w:r>
      <w:r w:rsidRPr="00951C84">
        <w:t>que, todo dato personal susceptible de clasificación debe ser protegido.</w:t>
      </w:r>
    </w:p>
    <w:p w14:paraId="1D6DDF1B" w14:textId="77777777" w:rsidR="00151B0E" w:rsidRPr="00951C84" w:rsidRDefault="00151B0E" w:rsidP="00951C84"/>
    <w:p w14:paraId="1B14E2BB" w14:textId="77777777" w:rsidR="00151B0E" w:rsidRPr="00951C84" w:rsidRDefault="00151B0E" w:rsidP="00951C84">
      <w:r w:rsidRPr="00951C84">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0B4AE432" w14:textId="77777777" w:rsidR="00151B0E" w:rsidRPr="00951C84" w:rsidRDefault="00151B0E" w:rsidP="00951C84"/>
    <w:p w14:paraId="532117D9" w14:textId="77777777" w:rsidR="00151B0E" w:rsidRPr="00951C84" w:rsidRDefault="00151B0E" w:rsidP="00951C84">
      <w:r w:rsidRPr="00951C84">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379CB6D3" w14:textId="77777777" w:rsidR="00151B0E" w:rsidRPr="00951C84" w:rsidRDefault="00151B0E" w:rsidP="00951C84"/>
    <w:p w14:paraId="49AEC8AA" w14:textId="77777777" w:rsidR="00951C84" w:rsidRPr="00951C84" w:rsidRDefault="00951C84" w:rsidP="00951C84"/>
    <w:p w14:paraId="121E9213" w14:textId="77777777" w:rsidR="00151B0E" w:rsidRPr="00951C84" w:rsidRDefault="00151B0E" w:rsidP="00951C84">
      <w:pPr>
        <w:jc w:val="center"/>
        <w:rPr>
          <w:b/>
          <w:i/>
          <w:szCs w:val="22"/>
        </w:rPr>
      </w:pPr>
      <w:r w:rsidRPr="00951C84">
        <w:rPr>
          <w:b/>
          <w:i/>
          <w:szCs w:val="22"/>
          <w:lang w:val="es-ES_tradnl"/>
        </w:rPr>
        <w:lastRenderedPageBreak/>
        <w:t>Ley de Transparencia y Acceso a la Información Pública del Estado de México y Municipios</w:t>
      </w:r>
    </w:p>
    <w:p w14:paraId="39D69914" w14:textId="77777777" w:rsidR="00151B0E" w:rsidRPr="00951C84" w:rsidRDefault="00151B0E" w:rsidP="00951C84"/>
    <w:p w14:paraId="78BB5440" w14:textId="77777777" w:rsidR="00151B0E" w:rsidRPr="00951C84" w:rsidRDefault="00151B0E" w:rsidP="00951C84">
      <w:pPr>
        <w:pStyle w:val="Puesto"/>
      </w:pPr>
      <w:r w:rsidRPr="00951C84">
        <w:rPr>
          <w:b/>
        </w:rPr>
        <w:t xml:space="preserve">“Artículo 49. </w:t>
      </w:r>
      <w:r w:rsidRPr="00951C84">
        <w:t>Los Comités de Transparencia tendrán las siguientes atribuciones:</w:t>
      </w:r>
    </w:p>
    <w:p w14:paraId="459C2019" w14:textId="77777777" w:rsidR="00151B0E" w:rsidRPr="00951C84" w:rsidRDefault="00151B0E" w:rsidP="00951C84">
      <w:pPr>
        <w:pStyle w:val="Puesto"/>
      </w:pPr>
      <w:r w:rsidRPr="00951C84">
        <w:rPr>
          <w:b/>
        </w:rPr>
        <w:t>VIII.</w:t>
      </w:r>
      <w:r w:rsidRPr="00951C84">
        <w:t xml:space="preserve"> Aprobar, modificar o revocar la clasificación de la información;</w:t>
      </w:r>
    </w:p>
    <w:p w14:paraId="11883ADF" w14:textId="77777777" w:rsidR="00151B0E" w:rsidRPr="00951C84" w:rsidRDefault="00151B0E" w:rsidP="00951C84"/>
    <w:p w14:paraId="3247440B" w14:textId="77777777" w:rsidR="00151B0E" w:rsidRPr="00951C84" w:rsidRDefault="00151B0E" w:rsidP="00951C84">
      <w:pPr>
        <w:pStyle w:val="Puesto"/>
      </w:pPr>
      <w:r w:rsidRPr="00951C84">
        <w:rPr>
          <w:b/>
        </w:rPr>
        <w:t>Artículo 132.</w:t>
      </w:r>
      <w:r w:rsidRPr="00951C84">
        <w:t xml:space="preserve"> La clasificación de la información se llevará a cabo en el momento en que:</w:t>
      </w:r>
    </w:p>
    <w:p w14:paraId="730A3B53" w14:textId="77777777" w:rsidR="00151B0E" w:rsidRPr="00951C84" w:rsidRDefault="00151B0E" w:rsidP="00951C84">
      <w:pPr>
        <w:pStyle w:val="Puesto"/>
      </w:pPr>
      <w:r w:rsidRPr="00951C84">
        <w:rPr>
          <w:b/>
        </w:rPr>
        <w:t>I.</w:t>
      </w:r>
      <w:r w:rsidRPr="00951C84">
        <w:t xml:space="preserve"> Se reciba una solicitud de acceso a la información;</w:t>
      </w:r>
    </w:p>
    <w:p w14:paraId="6A92DD7B" w14:textId="77777777" w:rsidR="00151B0E" w:rsidRPr="00951C84" w:rsidRDefault="00151B0E" w:rsidP="00951C84">
      <w:pPr>
        <w:pStyle w:val="Puesto"/>
      </w:pPr>
      <w:r w:rsidRPr="00951C84">
        <w:rPr>
          <w:b/>
        </w:rPr>
        <w:t>II.</w:t>
      </w:r>
      <w:r w:rsidRPr="00951C84">
        <w:t xml:space="preserve"> Se determine mediante resolución de autoridad competente; o</w:t>
      </w:r>
    </w:p>
    <w:p w14:paraId="1F479B1E" w14:textId="77777777" w:rsidR="00151B0E" w:rsidRPr="00951C84" w:rsidRDefault="00151B0E" w:rsidP="00951C84">
      <w:pPr>
        <w:pStyle w:val="Puesto"/>
        <w:rPr>
          <w:b/>
        </w:rPr>
      </w:pPr>
      <w:r w:rsidRPr="00951C84">
        <w:rPr>
          <w:b/>
          <w:bCs/>
        </w:rPr>
        <w:t>III.</w:t>
      </w:r>
      <w:r w:rsidRPr="00951C84">
        <w:t xml:space="preserve"> Se generen versiones públicas para dar cumplimiento a las obligaciones de transparencia previstas en esta Ley.</w:t>
      </w:r>
      <w:r w:rsidRPr="00951C84">
        <w:rPr>
          <w:b/>
        </w:rPr>
        <w:t>”</w:t>
      </w:r>
    </w:p>
    <w:p w14:paraId="191682CD" w14:textId="77777777" w:rsidR="00151B0E" w:rsidRPr="00951C84" w:rsidRDefault="00151B0E" w:rsidP="00951C84"/>
    <w:p w14:paraId="0FA4AF18" w14:textId="77777777" w:rsidR="00151B0E" w:rsidRPr="00951C84" w:rsidRDefault="00151B0E" w:rsidP="00951C84">
      <w:pPr>
        <w:pStyle w:val="Puesto"/>
      </w:pPr>
      <w:r w:rsidRPr="00951C84">
        <w:rPr>
          <w:b/>
        </w:rPr>
        <w:t>“Segundo. -</w:t>
      </w:r>
      <w:r w:rsidRPr="00951C84">
        <w:t xml:space="preserve"> Para efectos de los presentes Lineamientos Generales, se entenderá por:</w:t>
      </w:r>
    </w:p>
    <w:p w14:paraId="3BDDDD2C" w14:textId="77777777" w:rsidR="00151B0E" w:rsidRPr="00951C84" w:rsidRDefault="00151B0E" w:rsidP="00951C84">
      <w:pPr>
        <w:pStyle w:val="Puesto"/>
      </w:pPr>
      <w:r w:rsidRPr="00951C84">
        <w:rPr>
          <w:b/>
        </w:rPr>
        <w:t>XVIII.</w:t>
      </w:r>
      <w:r w:rsidRPr="00951C84">
        <w:t xml:space="preserve">  </w:t>
      </w:r>
      <w:r w:rsidRPr="00951C84">
        <w:rPr>
          <w:b/>
        </w:rPr>
        <w:t>Versión pública:</w:t>
      </w:r>
      <w:r w:rsidRPr="00951C84">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97AB654" w14:textId="77777777" w:rsidR="00151B0E" w:rsidRPr="00951C84" w:rsidRDefault="00151B0E" w:rsidP="00951C84">
      <w:pPr>
        <w:pStyle w:val="Puesto"/>
      </w:pPr>
    </w:p>
    <w:p w14:paraId="03B18A16" w14:textId="77777777" w:rsidR="00151B0E" w:rsidRPr="00951C84" w:rsidRDefault="00151B0E" w:rsidP="00951C84">
      <w:pPr>
        <w:pStyle w:val="Puesto"/>
        <w:rPr>
          <w:b/>
          <w:lang w:val="es-ES_tradnl" w:eastAsia="es-MX"/>
        </w:rPr>
      </w:pPr>
      <w:r w:rsidRPr="00951C84">
        <w:rPr>
          <w:b/>
          <w:lang w:val="es-ES_tradnl" w:eastAsia="es-MX"/>
        </w:rPr>
        <w:t xml:space="preserve">Lineamientos Generales en materia de Clasificación y Desclasificación de la </w:t>
      </w:r>
      <w:r w:rsidRPr="00951C84">
        <w:rPr>
          <w:b/>
          <w:lang w:val="es-ES_tradnl"/>
        </w:rPr>
        <w:t>Información</w:t>
      </w:r>
    </w:p>
    <w:p w14:paraId="4D0B321A" w14:textId="77777777" w:rsidR="00151B0E" w:rsidRPr="00951C84" w:rsidRDefault="00151B0E" w:rsidP="00951C84">
      <w:pPr>
        <w:pStyle w:val="Puesto"/>
      </w:pPr>
    </w:p>
    <w:p w14:paraId="418DED8E" w14:textId="77777777" w:rsidR="00151B0E" w:rsidRPr="00951C84" w:rsidRDefault="00151B0E" w:rsidP="00951C84">
      <w:pPr>
        <w:pStyle w:val="Puesto"/>
      </w:pPr>
      <w:r w:rsidRPr="00951C84">
        <w:rPr>
          <w:b/>
        </w:rPr>
        <w:t>Cuarto.</w:t>
      </w:r>
      <w:r w:rsidRPr="00951C84">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CDF3FD1" w14:textId="77777777" w:rsidR="00151B0E" w:rsidRPr="00951C84" w:rsidRDefault="00151B0E" w:rsidP="00951C84">
      <w:pPr>
        <w:pStyle w:val="Puesto"/>
      </w:pPr>
      <w:r w:rsidRPr="00951C84">
        <w:t>Los sujetos obligados deberán aplicar, de manera estricta, las excepciones al derecho de acceso a la información y sólo podrán invocarlas cuando acrediten su procedencia.</w:t>
      </w:r>
    </w:p>
    <w:p w14:paraId="1BA02FF6" w14:textId="77777777" w:rsidR="00151B0E" w:rsidRPr="00951C84" w:rsidRDefault="00151B0E" w:rsidP="00951C84"/>
    <w:p w14:paraId="6B5CADBB" w14:textId="77777777" w:rsidR="00151B0E" w:rsidRPr="00951C84" w:rsidRDefault="00151B0E" w:rsidP="00951C84">
      <w:pPr>
        <w:pStyle w:val="Puesto"/>
      </w:pPr>
      <w:r w:rsidRPr="00951C84">
        <w:rPr>
          <w:b/>
        </w:rPr>
        <w:t>Quinto.</w:t>
      </w:r>
      <w:r w:rsidRPr="00951C84">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w:t>
      </w:r>
      <w:r w:rsidRPr="00951C84">
        <w:lastRenderedPageBreak/>
        <w:t>transparencia, observando lo dispuesto en la Ley General y las demás disposiciones aplicables en la materia.</w:t>
      </w:r>
    </w:p>
    <w:p w14:paraId="5D81D611" w14:textId="77777777" w:rsidR="00151B0E" w:rsidRPr="00951C84" w:rsidRDefault="00151B0E" w:rsidP="00951C84"/>
    <w:p w14:paraId="58FE432F" w14:textId="77777777" w:rsidR="00151B0E" w:rsidRPr="00951C84" w:rsidRDefault="00151B0E" w:rsidP="00951C84">
      <w:pPr>
        <w:pStyle w:val="Puesto"/>
      </w:pPr>
      <w:r w:rsidRPr="00951C84">
        <w:rPr>
          <w:b/>
        </w:rPr>
        <w:t>Sexto.</w:t>
      </w:r>
      <w:r w:rsidRPr="00951C84">
        <w:t xml:space="preserve"> Se deroga.</w:t>
      </w:r>
    </w:p>
    <w:p w14:paraId="2D644954" w14:textId="77777777" w:rsidR="00151B0E" w:rsidRPr="00951C84" w:rsidRDefault="00151B0E" w:rsidP="00951C84"/>
    <w:p w14:paraId="7B5DDA87" w14:textId="77777777" w:rsidR="00151B0E" w:rsidRPr="00951C84" w:rsidRDefault="00151B0E" w:rsidP="00951C84">
      <w:pPr>
        <w:pStyle w:val="Puesto"/>
      </w:pPr>
      <w:r w:rsidRPr="00951C84">
        <w:rPr>
          <w:b/>
        </w:rPr>
        <w:t>Séptimo.</w:t>
      </w:r>
      <w:r w:rsidRPr="00951C84">
        <w:t xml:space="preserve"> La clasificación de la información se llevará a cabo en el momento en que:</w:t>
      </w:r>
    </w:p>
    <w:p w14:paraId="5A956407" w14:textId="77777777" w:rsidR="00151B0E" w:rsidRPr="00951C84" w:rsidRDefault="00151B0E" w:rsidP="00951C84">
      <w:pPr>
        <w:pStyle w:val="Puesto"/>
      </w:pPr>
      <w:r w:rsidRPr="00951C84">
        <w:rPr>
          <w:b/>
        </w:rPr>
        <w:t>I.</w:t>
      </w:r>
      <w:r w:rsidRPr="00951C84">
        <w:t xml:space="preserve">        Se reciba una solicitud de acceso a la información;</w:t>
      </w:r>
    </w:p>
    <w:p w14:paraId="302B4B78" w14:textId="77777777" w:rsidR="00151B0E" w:rsidRPr="00951C84" w:rsidRDefault="00151B0E" w:rsidP="00951C84">
      <w:pPr>
        <w:pStyle w:val="Puesto"/>
      </w:pPr>
      <w:r w:rsidRPr="00951C84">
        <w:rPr>
          <w:b/>
        </w:rPr>
        <w:t>II.</w:t>
      </w:r>
      <w:r w:rsidRPr="00951C84">
        <w:t xml:space="preserve">       Se determine mediante resolución del Comité de Transparencia, el órgano garante competente, o en cumplimiento a una sentencia del Poder Judicial; o</w:t>
      </w:r>
    </w:p>
    <w:p w14:paraId="07FAF5CA" w14:textId="77777777" w:rsidR="00151B0E" w:rsidRPr="00951C84" w:rsidRDefault="00151B0E" w:rsidP="00951C84">
      <w:pPr>
        <w:pStyle w:val="Puesto"/>
      </w:pPr>
      <w:r w:rsidRPr="00951C84">
        <w:rPr>
          <w:b/>
        </w:rPr>
        <w:t>III.</w:t>
      </w:r>
      <w:r w:rsidRPr="00951C84">
        <w:t xml:space="preserve">      Se generen versiones públicas para dar cumplimiento a las obligaciones de transparencia previstas en la Ley General, la Ley Federal y las correspondientes de las entidades federativas.</w:t>
      </w:r>
    </w:p>
    <w:p w14:paraId="41B40CE4" w14:textId="77777777" w:rsidR="00151B0E" w:rsidRPr="00951C84" w:rsidRDefault="00151B0E" w:rsidP="00951C84">
      <w:pPr>
        <w:pStyle w:val="Puesto"/>
      </w:pPr>
      <w:r w:rsidRPr="00951C84">
        <w:t xml:space="preserve">Los titulares de las áreas deberán revisar la información requerida al momento de la recepción de una solicitud de acceso, para verificar, conforme a su naturaleza, si encuadra en una causal de reserva o de confidencialidad. </w:t>
      </w:r>
    </w:p>
    <w:p w14:paraId="335F5DBF" w14:textId="77777777" w:rsidR="00151B0E" w:rsidRPr="00951C84" w:rsidRDefault="00151B0E" w:rsidP="00951C84"/>
    <w:p w14:paraId="6C9C36D6" w14:textId="77777777" w:rsidR="00151B0E" w:rsidRPr="00951C84" w:rsidRDefault="00151B0E" w:rsidP="00951C84">
      <w:pPr>
        <w:pStyle w:val="Puesto"/>
      </w:pPr>
      <w:r w:rsidRPr="00951C84">
        <w:rPr>
          <w:b/>
        </w:rPr>
        <w:t>Octavo.</w:t>
      </w:r>
      <w:r w:rsidRPr="00951C84">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FF09066" w14:textId="77777777" w:rsidR="00151B0E" w:rsidRPr="00951C84" w:rsidRDefault="00151B0E" w:rsidP="00951C84">
      <w:pPr>
        <w:pStyle w:val="Puesto"/>
      </w:pPr>
      <w:r w:rsidRPr="00951C84">
        <w:t>Para motivar la clasificación se deberán señalar las razones o circunstancias especiales que lo llevaron a concluir que el caso particular se ajusta al supuesto previsto por la norma legal invocada como fundamento.</w:t>
      </w:r>
    </w:p>
    <w:p w14:paraId="0AE07F2F" w14:textId="77777777" w:rsidR="00151B0E" w:rsidRPr="00951C84" w:rsidRDefault="00151B0E" w:rsidP="00951C84">
      <w:pPr>
        <w:pStyle w:val="Puesto"/>
      </w:pPr>
      <w:r w:rsidRPr="00951C84">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617BF7A7" w14:textId="77777777" w:rsidR="00151B0E" w:rsidRPr="00951C84" w:rsidRDefault="00151B0E" w:rsidP="00951C84"/>
    <w:p w14:paraId="6BD8A9BE" w14:textId="77777777" w:rsidR="00151B0E" w:rsidRPr="00951C84" w:rsidRDefault="00151B0E" w:rsidP="00951C84">
      <w:pPr>
        <w:pStyle w:val="Puesto"/>
      </w:pPr>
      <w:r w:rsidRPr="00951C84">
        <w:rPr>
          <w:b/>
        </w:rPr>
        <w:t>Noveno.</w:t>
      </w:r>
      <w:r w:rsidRPr="00951C84">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1F4C353" w14:textId="77777777" w:rsidR="00151B0E" w:rsidRPr="00951C84" w:rsidRDefault="00151B0E" w:rsidP="00951C84"/>
    <w:p w14:paraId="55F6372B" w14:textId="77777777" w:rsidR="00151B0E" w:rsidRPr="00951C84" w:rsidRDefault="00151B0E" w:rsidP="00951C84">
      <w:pPr>
        <w:pStyle w:val="Puesto"/>
      </w:pPr>
      <w:r w:rsidRPr="00951C84">
        <w:rPr>
          <w:b/>
        </w:rPr>
        <w:t>Décimo.</w:t>
      </w:r>
      <w:r w:rsidRPr="00951C84">
        <w:t xml:space="preserve"> Los titulares de las áreas, deberán tener conocimiento y llevar un registro del personal que, por la naturaleza de sus atribuciones, tenga acceso a los documentos clasificados. Asimismo, deberán asegurarse de que dicho personal cuente con los </w:t>
      </w:r>
      <w:r w:rsidRPr="00951C84">
        <w:lastRenderedPageBreak/>
        <w:t>conocimientos técnicos y legales que le permitan manejar adecuadamente la información clasificada, en los términos de la Ley General de Archivo, Lineamientos para la Organización y Conservación de Archivos y demás normatividad aplicable.</w:t>
      </w:r>
    </w:p>
    <w:p w14:paraId="61AF5BBD" w14:textId="77777777" w:rsidR="00151B0E" w:rsidRPr="00951C84" w:rsidRDefault="00151B0E" w:rsidP="00951C84">
      <w:pPr>
        <w:pStyle w:val="Puesto"/>
      </w:pPr>
      <w:r w:rsidRPr="00951C84">
        <w:t>En ausencia de los titulares de las áreas, la información será clasificada o desclasificada por la persona que lo supla, en términos de la normativa que rija la actuación del sujeto obligado.</w:t>
      </w:r>
    </w:p>
    <w:p w14:paraId="1F5F49D0" w14:textId="77777777" w:rsidR="00151B0E" w:rsidRPr="00951C84" w:rsidRDefault="00151B0E" w:rsidP="00951C84">
      <w:pPr>
        <w:pStyle w:val="Puesto"/>
        <w:rPr>
          <w:b/>
        </w:rPr>
      </w:pPr>
      <w:r w:rsidRPr="00951C84">
        <w:rPr>
          <w:b/>
        </w:rPr>
        <w:t>Décimo primero.</w:t>
      </w:r>
      <w:r w:rsidRPr="00951C84">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951C84">
        <w:rPr>
          <w:b/>
        </w:rPr>
        <w:t>”</w:t>
      </w:r>
    </w:p>
    <w:p w14:paraId="259F7679" w14:textId="77777777" w:rsidR="00151B0E" w:rsidRPr="00951C84" w:rsidRDefault="00151B0E" w:rsidP="00951C84"/>
    <w:p w14:paraId="5BE24ACA" w14:textId="43B1B0AA" w:rsidR="00EE380E" w:rsidRPr="00951C84" w:rsidRDefault="00151B0E" w:rsidP="00951C84">
      <w:pPr>
        <w:rPr>
          <w:lang w:eastAsia="es-CO"/>
        </w:rPr>
      </w:pPr>
      <w:r w:rsidRPr="00951C84">
        <w:t xml:space="preserve">Consecuentemente, se destaca que la versión pública que elabore </w:t>
      </w:r>
      <w:r w:rsidRPr="00951C84">
        <w:rPr>
          <w:b/>
        </w:rPr>
        <w:t>EL SUJETO OBLIGADO</w:t>
      </w:r>
      <w:r w:rsidRPr="00951C84">
        <w:t xml:space="preserve"> debe cumplir con las formalidades exigidas en la Ley, por lo que para tal efecto emitirá el </w:t>
      </w:r>
      <w:r w:rsidRPr="00951C84">
        <w:rPr>
          <w:b/>
        </w:rPr>
        <w:t>Acuerdo del Comité de Transparencia</w:t>
      </w:r>
      <w:r w:rsidRPr="00951C84">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951C84">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12D33A3C" w14:textId="77777777" w:rsidR="00EE380E" w:rsidRPr="00951C84" w:rsidRDefault="00EE380E" w:rsidP="00951C84">
      <w:pPr>
        <w:rPr>
          <w:lang w:eastAsia="es-CO"/>
        </w:rPr>
      </w:pPr>
    </w:p>
    <w:p w14:paraId="469D50B8" w14:textId="0F9B824C" w:rsidR="00F660AE" w:rsidRPr="00951C84" w:rsidRDefault="00EE380E" w:rsidP="00951C84">
      <w:pPr>
        <w:pStyle w:val="Ttulo3"/>
      </w:pPr>
      <w:bookmarkStart w:id="37" w:name="_Toc178858438"/>
      <w:r w:rsidRPr="00951C84">
        <w:rPr>
          <w:rFonts w:eastAsia="Calibri"/>
        </w:rPr>
        <w:t>e</w:t>
      </w:r>
      <w:r w:rsidR="00711EF5" w:rsidRPr="00951C84">
        <w:rPr>
          <w:rFonts w:eastAsia="Calibri"/>
        </w:rPr>
        <w:t xml:space="preserve">) </w:t>
      </w:r>
      <w:r w:rsidR="00054F72" w:rsidRPr="00951C84">
        <w:t>Conclusión.</w:t>
      </w:r>
      <w:bookmarkEnd w:id="37"/>
    </w:p>
    <w:p w14:paraId="242C9D6C" w14:textId="7B4B20F7" w:rsidR="008B0E31" w:rsidRPr="00951C84" w:rsidRDefault="00151B0E" w:rsidP="00951C84">
      <w:pPr>
        <w:ind w:right="-93"/>
        <w:rPr>
          <w:rFonts w:cs="Tahoma"/>
          <w:szCs w:val="22"/>
        </w:rPr>
      </w:pPr>
      <w:bookmarkStart w:id="38" w:name="_heading=h.23ckvvd" w:colFirst="0" w:colLast="0"/>
      <w:bookmarkEnd w:id="38"/>
      <w:r w:rsidRPr="00951C84">
        <w:rPr>
          <w:rFonts w:cs="Tahoma"/>
          <w:szCs w:val="22"/>
        </w:rPr>
        <w:t xml:space="preserve">Con fundamento en el artículo 186, fracción III, de la Ley de Transparencia y Acceso a la Información Pública del Estado de México y Municipios, este Instituto considera procedente </w:t>
      </w:r>
      <w:r w:rsidRPr="00951C84">
        <w:rPr>
          <w:rFonts w:cs="Tahoma"/>
          <w:b/>
          <w:szCs w:val="22"/>
        </w:rPr>
        <w:t>REVOCAR</w:t>
      </w:r>
      <w:r w:rsidRPr="00951C84">
        <w:rPr>
          <w:rFonts w:cs="Tahoma"/>
          <w:szCs w:val="22"/>
        </w:rPr>
        <w:t xml:space="preserve"> las respuestas otorgadas por el Sujeto Obligado a las solicitudes de información </w:t>
      </w:r>
      <w:r w:rsidR="008B0E31" w:rsidRPr="00951C84">
        <w:rPr>
          <w:rFonts w:cs="Tahoma"/>
          <w:b/>
          <w:szCs w:val="22"/>
        </w:rPr>
        <w:lastRenderedPageBreak/>
        <w:t>00213/TLALNEPA/IP/2024</w:t>
      </w:r>
      <w:r w:rsidR="008B0E31" w:rsidRPr="00951C84">
        <w:rPr>
          <w:rFonts w:cs="Tahoma"/>
          <w:szCs w:val="22"/>
        </w:rPr>
        <w:t xml:space="preserve"> y </w:t>
      </w:r>
      <w:r w:rsidR="008B0E31" w:rsidRPr="00951C84">
        <w:rPr>
          <w:rFonts w:cs="Tahoma"/>
          <w:b/>
          <w:szCs w:val="22"/>
        </w:rPr>
        <w:t>00216/TLALNEPA/IP/2024</w:t>
      </w:r>
      <w:r w:rsidR="008B0E31" w:rsidRPr="00951C84">
        <w:rPr>
          <w:rFonts w:cs="Tahoma"/>
          <w:szCs w:val="22"/>
        </w:rPr>
        <w:t xml:space="preserve">, por resultar fundadas las razones o motivos de inconformidad hechos valer por el Recurrente, en los Recursos de Revisión </w:t>
      </w:r>
      <w:r w:rsidR="008B0E31" w:rsidRPr="00951C84">
        <w:rPr>
          <w:rFonts w:cs="Tahoma"/>
          <w:b/>
          <w:szCs w:val="22"/>
        </w:rPr>
        <w:t>01587/INFOEM/IP/RR/2024</w:t>
      </w:r>
      <w:r w:rsidR="008B0E31" w:rsidRPr="00951C84">
        <w:rPr>
          <w:rFonts w:cs="Tahoma"/>
          <w:szCs w:val="22"/>
        </w:rPr>
        <w:t xml:space="preserve"> y </w:t>
      </w:r>
      <w:r w:rsidR="008B0E31" w:rsidRPr="00951C84">
        <w:rPr>
          <w:rFonts w:cs="Tahoma"/>
          <w:b/>
          <w:szCs w:val="22"/>
        </w:rPr>
        <w:t>01595/INFOEM/IP/RR/2024</w:t>
      </w:r>
      <w:r w:rsidR="008B0E31" w:rsidRPr="00951C84">
        <w:rPr>
          <w:rFonts w:cs="Tahoma"/>
          <w:szCs w:val="22"/>
        </w:rPr>
        <w:t xml:space="preserve">, en consecuencia procede </w:t>
      </w:r>
      <w:r w:rsidR="008B0E31" w:rsidRPr="00951C84">
        <w:rPr>
          <w:rFonts w:cs="Tahoma"/>
          <w:b/>
          <w:szCs w:val="22"/>
        </w:rPr>
        <w:t>ORDENAR</w:t>
      </w:r>
      <w:r w:rsidR="008B0E31" w:rsidRPr="00951C84">
        <w:rPr>
          <w:rFonts w:cs="Tahoma"/>
          <w:szCs w:val="22"/>
        </w:rPr>
        <w:t>, conceda en su caso en versión pública a través del SAIMEX, los documentos solicitados.</w:t>
      </w:r>
    </w:p>
    <w:p w14:paraId="0C3CA5F6" w14:textId="77777777" w:rsidR="008B0E31" w:rsidRPr="00951C84" w:rsidRDefault="008B0E31" w:rsidP="00951C84">
      <w:pPr>
        <w:ind w:right="-93"/>
      </w:pPr>
    </w:p>
    <w:p w14:paraId="5154F168" w14:textId="6370D08D" w:rsidR="00951C84" w:rsidRPr="00951C84" w:rsidRDefault="00054F72" w:rsidP="00951C84">
      <w:pPr>
        <w:ind w:right="-93"/>
      </w:pPr>
      <w:r w:rsidRPr="00951C84">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6367ED6F" w14:textId="77777777" w:rsidR="00F660AE" w:rsidRPr="00951C84" w:rsidRDefault="00F660AE" w:rsidP="00951C84"/>
    <w:p w14:paraId="250CB289" w14:textId="77777777" w:rsidR="00F660AE" w:rsidRPr="00951C84" w:rsidRDefault="00054F72" w:rsidP="00951C84">
      <w:pPr>
        <w:pStyle w:val="Ttulo1"/>
      </w:pPr>
      <w:bookmarkStart w:id="39" w:name="_Toc178858439"/>
      <w:r w:rsidRPr="00951C84">
        <w:t>RESUELVE</w:t>
      </w:r>
      <w:bookmarkEnd w:id="39"/>
    </w:p>
    <w:p w14:paraId="1E227BEB" w14:textId="43ABA2BF" w:rsidR="008226C4" w:rsidRPr="00951C84" w:rsidRDefault="00C8631A" w:rsidP="00951C84">
      <w:pPr>
        <w:widowControl w:val="0"/>
        <w:rPr>
          <w:rFonts w:eastAsia="Calibri" w:cs="Tahoma"/>
          <w:bCs/>
          <w:lang w:eastAsia="en-US"/>
        </w:rPr>
      </w:pPr>
      <w:r w:rsidRPr="00951C84">
        <w:rPr>
          <w:b/>
          <w:bCs/>
        </w:rPr>
        <w:t>PRIMERO.</w:t>
      </w:r>
      <w:r w:rsidRPr="00951C84">
        <w:t xml:space="preserve"> </w:t>
      </w:r>
      <w:r w:rsidR="008226C4" w:rsidRPr="00951C84">
        <w:rPr>
          <w:rFonts w:cs="Tahoma"/>
        </w:rPr>
        <w:t xml:space="preserve">Se </w:t>
      </w:r>
      <w:r w:rsidR="00041ABA" w:rsidRPr="00951C84">
        <w:rPr>
          <w:rFonts w:cs="Tahoma"/>
          <w:b/>
          <w:bCs/>
        </w:rPr>
        <w:t>REVOCAN</w:t>
      </w:r>
      <w:r w:rsidR="008226C4" w:rsidRPr="00951C84">
        <w:rPr>
          <w:rFonts w:cs="Tahoma"/>
        </w:rPr>
        <w:t xml:space="preserve"> las respuestas entregadas por </w:t>
      </w:r>
      <w:r w:rsidR="00532D2A" w:rsidRPr="00951C84">
        <w:rPr>
          <w:rFonts w:cs="Tahoma"/>
          <w:b/>
        </w:rPr>
        <w:t>EL</w:t>
      </w:r>
      <w:r w:rsidR="008226C4" w:rsidRPr="00951C84">
        <w:rPr>
          <w:rFonts w:cs="Tahoma"/>
        </w:rPr>
        <w:t xml:space="preserve"> </w:t>
      </w:r>
      <w:r w:rsidR="008226C4" w:rsidRPr="00951C84">
        <w:rPr>
          <w:rFonts w:cs="Tahoma"/>
          <w:b/>
          <w:bCs/>
        </w:rPr>
        <w:t>SUJETO OBLIGADO</w:t>
      </w:r>
      <w:r w:rsidR="008226C4" w:rsidRPr="00951C84">
        <w:rPr>
          <w:rFonts w:cs="Tahoma"/>
        </w:rPr>
        <w:t xml:space="preserve"> en las solicitudes de información</w:t>
      </w:r>
      <w:r w:rsidR="00041ABA" w:rsidRPr="00951C84">
        <w:rPr>
          <w:rFonts w:cs="Tahoma"/>
        </w:rPr>
        <w:t xml:space="preserve"> </w:t>
      </w:r>
      <w:r w:rsidR="00041ABA" w:rsidRPr="00951C84">
        <w:rPr>
          <w:rFonts w:cs="Tahoma"/>
          <w:b/>
          <w:szCs w:val="22"/>
        </w:rPr>
        <w:t>00213/TLALNEPA/IP/2024</w:t>
      </w:r>
      <w:r w:rsidR="00041ABA" w:rsidRPr="00951C84">
        <w:rPr>
          <w:rFonts w:cs="Tahoma"/>
          <w:szCs w:val="22"/>
        </w:rPr>
        <w:t xml:space="preserve"> y </w:t>
      </w:r>
      <w:r w:rsidR="00041ABA" w:rsidRPr="00951C84">
        <w:rPr>
          <w:rFonts w:cs="Tahoma"/>
          <w:b/>
          <w:szCs w:val="22"/>
        </w:rPr>
        <w:t>00216/TLALNEPA/IP/2024</w:t>
      </w:r>
      <w:r w:rsidR="008226C4" w:rsidRPr="00951C84">
        <w:rPr>
          <w:rFonts w:cs="Tahoma"/>
          <w:bCs/>
        </w:rPr>
        <w:t xml:space="preserve">, </w:t>
      </w:r>
      <w:r w:rsidR="008226C4" w:rsidRPr="00951C84">
        <w:rPr>
          <w:rFonts w:eastAsia="Calibri" w:cs="Tahoma"/>
          <w:bCs/>
          <w:lang w:eastAsia="en-US"/>
        </w:rPr>
        <w:t xml:space="preserve">por resultar </w:t>
      </w:r>
      <w:r w:rsidR="008226C4" w:rsidRPr="00951C84">
        <w:rPr>
          <w:rFonts w:eastAsia="Calibri" w:cs="Tahoma"/>
          <w:b/>
          <w:bCs/>
          <w:lang w:eastAsia="en-US"/>
        </w:rPr>
        <w:t>FUNDADAS</w:t>
      </w:r>
      <w:r w:rsidR="008226C4" w:rsidRPr="00951C84">
        <w:rPr>
          <w:rFonts w:eastAsia="Calibri" w:cs="Tahoma"/>
          <w:bCs/>
          <w:lang w:eastAsia="en-US"/>
        </w:rPr>
        <w:t xml:space="preserve"> las razones o motivos de inconformidad hechos valer por </w:t>
      </w:r>
      <w:r w:rsidR="008226C4" w:rsidRPr="00951C84">
        <w:rPr>
          <w:rFonts w:eastAsia="Calibri" w:cs="Tahoma"/>
          <w:b/>
          <w:lang w:eastAsia="en-US"/>
        </w:rPr>
        <w:t>LA PARTE RECURRENTE</w:t>
      </w:r>
      <w:r w:rsidR="008226C4" w:rsidRPr="00951C84">
        <w:rPr>
          <w:rFonts w:eastAsia="Calibri" w:cs="Tahoma"/>
          <w:bCs/>
          <w:lang w:eastAsia="en-US"/>
        </w:rPr>
        <w:t xml:space="preserve"> en los Recursos de Revisión </w:t>
      </w:r>
      <w:r w:rsidR="00041ABA" w:rsidRPr="00951C84">
        <w:rPr>
          <w:rFonts w:cs="Tahoma"/>
          <w:b/>
          <w:szCs w:val="22"/>
        </w:rPr>
        <w:t>01587/INFOEM/IP/RR/2024</w:t>
      </w:r>
      <w:r w:rsidR="00041ABA" w:rsidRPr="00951C84">
        <w:rPr>
          <w:rFonts w:cs="Tahoma"/>
          <w:szCs w:val="22"/>
        </w:rPr>
        <w:t xml:space="preserve"> y </w:t>
      </w:r>
      <w:r w:rsidR="00041ABA" w:rsidRPr="00951C84">
        <w:rPr>
          <w:rFonts w:cs="Tahoma"/>
          <w:b/>
          <w:szCs w:val="22"/>
        </w:rPr>
        <w:t>01595/INFOEM/IP/RR/2024</w:t>
      </w:r>
      <w:r w:rsidR="008226C4" w:rsidRPr="00951C84">
        <w:rPr>
          <w:rFonts w:eastAsiaTheme="minorHAnsi" w:cstheme="minorBidi"/>
          <w:lang w:eastAsia="en-US"/>
        </w:rPr>
        <w:t>,</w:t>
      </w:r>
      <w:r w:rsidR="008226C4" w:rsidRPr="00951C84">
        <w:rPr>
          <w:rFonts w:cs="Tahoma"/>
          <w:b/>
        </w:rPr>
        <w:t xml:space="preserve"> </w:t>
      </w:r>
      <w:r w:rsidR="008226C4" w:rsidRPr="00951C84">
        <w:rPr>
          <w:rFonts w:eastAsia="Calibri" w:cs="Tahoma"/>
          <w:bCs/>
          <w:lang w:eastAsia="en-US"/>
        </w:rPr>
        <w:t xml:space="preserve">en términos del considerando </w:t>
      </w:r>
      <w:r w:rsidR="008226C4" w:rsidRPr="00951C84">
        <w:rPr>
          <w:rFonts w:eastAsia="Calibri" w:cs="Tahoma"/>
          <w:b/>
          <w:lang w:eastAsia="en-US"/>
        </w:rPr>
        <w:t>SEGUNDO</w:t>
      </w:r>
      <w:r w:rsidR="008226C4" w:rsidRPr="00951C84">
        <w:rPr>
          <w:rFonts w:eastAsia="Calibri" w:cs="Tahoma"/>
          <w:bCs/>
          <w:lang w:eastAsia="en-US"/>
        </w:rPr>
        <w:t xml:space="preserve"> de la presente Resolución.</w:t>
      </w:r>
    </w:p>
    <w:p w14:paraId="1C7FC4F7" w14:textId="77777777" w:rsidR="00C8631A" w:rsidRPr="00951C84" w:rsidRDefault="00C8631A" w:rsidP="002F6A5B">
      <w:pPr>
        <w:widowControl w:val="0"/>
        <w:spacing w:line="240" w:lineRule="auto"/>
        <w:rPr>
          <w:rFonts w:eastAsia="Calibri" w:cs="Tahoma"/>
          <w:bCs/>
          <w:lang w:eastAsia="en-US"/>
        </w:rPr>
      </w:pPr>
    </w:p>
    <w:p w14:paraId="6CB4055B" w14:textId="0E8ED0D3" w:rsidR="00C8631A" w:rsidRPr="00951C84" w:rsidRDefault="00C8631A" w:rsidP="00951C84">
      <w:pPr>
        <w:ind w:right="-93"/>
        <w:rPr>
          <w:rFonts w:eastAsia="Calibri" w:cs="Tahoma"/>
          <w:bCs/>
          <w:lang w:eastAsia="en-US"/>
        </w:rPr>
      </w:pPr>
      <w:r w:rsidRPr="00951C84">
        <w:rPr>
          <w:rFonts w:eastAsia="Calibri" w:cs="Tahoma"/>
          <w:b/>
          <w:bCs/>
          <w:lang w:eastAsia="en-US"/>
        </w:rPr>
        <w:t>SEGUNDO.</w:t>
      </w:r>
      <w:r w:rsidRPr="00951C84">
        <w:rPr>
          <w:rFonts w:eastAsia="Calibri" w:cs="Tahoma"/>
        </w:rPr>
        <w:t xml:space="preserve"> Se </w:t>
      </w:r>
      <w:r w:rsidRPr="00951C84">
        <w:rPr>
          <w:rFonts w:eastAsia="Calibri" w:cs="Tahoma"/>
          <w:b/>
        </w:rPr>
        <w:t xml:space="preserve">ORDENA </w:t>
      </w:r>
      <w:r w:rsidRPr="00951C84">
        <w:rPr>
          <w:rFonts w:eastAsia="Calibri" w:cs="Tahoma"/>
        </w:rPr>
        <w:t xml:space="preserve">al </w:t>
      </w:r>
      <w:r w:rsidRPr="00951C84">
        <w:rPr>
          <w:rFonts w:eastAsia="Calibri" w:cs="Tahoma"/>
          <w:b/>
          <w:bCs/>
        </w:rPr>
        <w:t>SUJETO OBLIGADO</w:t>
      </w:r>
      <w:r w:rsidRPr="00951C84">
        <w:rPr>
          <w:rFonts w:eastAsia="Calibri" w:cs="Tahoma"/>
        </w:rPr>
        <w:t xml:space="preserve">, </w:t>
      </w:r>
      <w:r w:rsidRPr="00951C84">
        <w:rPr>
          <w:rFonts w:eastAsia="Calibri" w:cs="Tahoma"/>
          <w:bCs/>
          <w:lang w:eastAsia="en-US"/>
        </w:rPr>
        <w:t xml:space="preserve">a efecto de que, previa búsqueda exhaustiva y razonable de la información, entregue a través del </w:t>
      </w:r>
      <w:r w:rsidRPr="00951C84">
        <w:rPr>
          <w:rFonts w:eastAsia="Calibri" w:cs="Tahoma"/>
          <w:b/>
          <w:bCs/>
          <w:lang w:eastAsia="en-US"/>
        </w:rPr>
        <w:t>SAIMEX</w:t>
      </w:r>
      <w:r w:rsidRPr="00951C84">
        <w:rPr>
          <w:rFonts w:eastAsia="Calibri" w:cs="Tahoma"/>
          <w:bCs/>
          <w:lang w:eastAsia="en-US"/>
        </w:rPr>
        <w:t xml:space="preserve">, </w:t>
      </w:r>
      <w:r w:rsidR="008226C4" w:rsidRPr="00951C84">
        <w:rPr>
          <w:rFonts w:eastAsia="Calibri" w:cs="Tahoma"/>
          <w:bCs/>
          <w:lang w:eastAsia="en-US"/>
        </w:rPr>
        <w:t xml:space="preserve">de ser procedente en </w:t>
      </w:r>
      <w:r w:rsidR="008226C4" w:rsidRPr="00951C84">
        <w:rPr>
          <w:rFonts w:eastAsia="Calibri" w:cs="Tahoma"/>
          <w:b/>
          <w:bCs/>
          <w:lang w:eastAsia="en-US"/>
        </w:rPr>
        <w:t>versión pública</w:t>
      </w:r>
      <w:r w:rsidR="008226C4" w:rsidRPr="00951C84">
        <w:rPr>
          <w:rFonts w:eastAsia="Calibri" w:cs="Tahoma"/>
          <w:bCs/>
          <w:lang w:eastAsia="en-US"/>
        </w:rPr>
        <w:t xml:space="preserve"> </w:t>
      </w:r>
      <w:r w:rsidR="00532D2A" w:rsidRPr="00951C84">
        <w:rPr>
          <w:rFonts w:eastAsia="Calibri" w:cs="Tahoma"/>
          <w:bCs/>
          <w:lang w:eastAsia="en-US"/>
        </w:rPr>
        <w:t>de</w:t>
      </w:r>
      <w:r w:rsidR="00C56CA5" w:rsidRPr="00951C84">
        <w:rPr>
          <w:rFonts w:eastAsia="Calibri" w:cs="Tahoma"/>
          <w:bCs/>
          <w:lang w:eastAsia="en-US"/>
        </w:rPr>
        <w:t xml:space="preserve"> </w:t>
      </w:r>
      <w:r w:rsidRPr="00951C84">
        <w:rPr>
          <w:rFonts w:eastAsia="Calibri" w:cs="Tahoma"/>
          <w:bCs/>
          <w:lang w:eastAsia="en-US"/>
        </w:rPr>
        <w:t>lo siguiente:</w:t>
      </w:r>
    </w:p>
    <w:p w14:paraId="43B79BC3" w14:textId="77777777" w:rsidR="00041ABA" w:rsidRPr="00951C84" w:rsidRDefault="00041ABA" w:rsidP="002F6A5B">
      <w:pPr>
        <w:spacing w:line="240" w:lineRule="auto"/>
        <w:rPr>
          <w:rFonts w:eastAsia="Calibri"/>
          <w:szCs w:val="22"/>
          <w:lang w:eastAsia="es-ES_tradnl"/>
        </w:rPr>
      </w:pPr>
    </w:p>
    <w:p w14:paraId="55211691" w14:textId="7F324966" w:rsidR="00041ABA" w:rsidRPr="00951C84" w:rsidRDefault="00041ABA" w:rsidP="00951C84">
      <w:pPr>
        <w:pStyle w:val="Prrafodelista"/>
        <w:tabs>
          <w:tab w:val="left" w:pos="7938"/>
        </w:tabs>
        <w:ind w:left="142" w:right="-93"/>
        <w:rPr>
          <w:rFonts w:cs="Arial"/>
          <w:szCs w:val="22"/>
          <w:lang w:val="es-ES"/>
        </w:rPr>
      </w:pPr>
      <w:r w:rsidRPr="00951C84">
        <w:rPr>
          <w:rFonts w:cs="Arial"/>
          <w:szCs w:val="22"/>
          <w:lang w:val="es-ES"/>
        </w:rPr>
        <w:t xml:space="preserve">El procedimiento de adquisición, de las siguientes obras realizadas en el año </w:t>
      </w:r>
      <w:r w:rsidR="00757714" w:rsidRPr="00951C84">
        <w:rPr>
          <w:rFonts w:cs="Arial"/>
          <w:szCs w:val="22"/>
          <w:lang w:val="es-ES"/>
        </w:rPr>
        <w:t>2022</w:t>
      </w:r>
      <w:r w:rsidRPr="00951C84">
        <w:rPr>
          <w:rFonts w:cs="Arial"/>
          <w:szCs w:val="22"/>
          <w:lang w:val="es-ES"/>
        </w:rPr>
        <w:t>:</w:t>
      </w:r>
    </w:p>
    <w:p w14:paraId="4736BBE6" w14:textId="77777777" w:rsidR="00757714" w:rsidRPr="00951C84" w:rsidRDefault="00757714" w:rsidP="00951C84">
      <w:pPr>
        <w:pStyle w:val="Prrafodelista"/>
        <w:tabs>
          <w:tab w:val="left" w:pos="7938"/>
        </w:tabs>
        <w:ind w:left="142" w:right="-93"/>
        <w:rPr>
          <w:rFonts w:cs="Arial"/>
          <w:szCs w:val="22"/>
          <w:lang w:val="es-ES"/>
        </w:rPr>
      </w:pPr>
    </w:p>
    <w:p w14:paraId="1479CFFB" w14:textId="490A1FEC" w:rsidR="00041ABA" w:rsidRPr="00951C84" w:rsidRDefault="00041ABA" w:rsidP="00951C84">
      <w:pPr>
        <w:pStyle w:val="Prrafodelista"/>
        <w:numPr>
          <w:ilvl w:val="0"/>
          <w:numId w:val="35"/>
        </w:numPr>
        <w:ind w:right="822"/>
        <w:rPr>
          <w:rFonts w:eastAsia="Calibri"/>
          <w:szCs w:val="22"/>
          <w:lang w:eastAsia="es-ES_tradnl"/>
        </w:rPr>
      </w:pPr>
      <w:r w:rsidRPr="00951C84">
        <w:rPr>
          <w:szCs w:val="22"/>
        </w:rPr>
        <w:lastRenderedPageBreak/>
        <w:t xml:space="preserve">Remodelación de oficinas </w:t>
      </w:r>
      <w:r w:rsidR="005524A7" w:rsidRPr="00951C84">
        <w:rPr>
          <w:szCs w:val="22"/>
        </w:rPr>
        <w:t>palacio municipal, Tlalnepantla</w:t>
      </w:r>
    </w:p>
    <w:p w14:paraId="202C9E7C" w14:textId="48229524" w:rsidR="00041ABA" w:rsidRPr="00951C84" w:rsidRDefault="00041ABA" w:rsidP="00951C84">
      <w:pPr>
        <w:pStyle w:val="Prrafodelista"/>
        <w:numPr>
          <w:ilvl w:val="0"/>
          <w:numId w:val="35"/>
        </w:numPr>
        <w:ind w:right="822"/>
        <w:rPr>
          <w:rFonts w:eastAsia="Calibri"/>
          <w:szCs w:val="22"/>
          <w:lang w:eastAsia="es-ES_tradnl"/>
        </w:rPr>
      </w:pPr>
      <w:r w:rsidRPr="00951C84">
        <w:rPr>
          <w:szCs w:val="22"/>
        </w:rPr>
        <w:t>La pavimentación con concreto hidráulico de la Av. Tenochtitlan de Alfredo del Mazo a Nezahualcóyotl, en el municipio de Tlalnepantla de Baz, Estado de México</w:t>
      </w:r>
    </w:p>
    <w:p w14:paraId="6AC8CDC4" w14:textId="09130617" w:rsidR="00041ABA" w:rsidRPr="00951C84" w:rsidRDefault="00041ABA" w:rsidP="00951C84">
      <w:pPr>
        <w:pStyle w:val="Prrafodelista"/>
        <w:numPr>
          <w:ilvl w:val="0"/>
          <w:numId w:val="35"/>
        </w:numPr>
        <w:ind w:right="822"/>
        <w:rPr>
          <w:rFonts w:eastAsia="Calibri"/>
          <w:szCs w:val="22"/>
          <w:lang w:eastAsia="es-ES_tradnl"/>
        </w:rPr>
      </w:pPr>
      <w:r w:rsidRPr="00951C84">
        <w:rPr>
          <w:szCs w:val="22"/>
        </w:rPr>
        <w:t xml:space="preserve">3,780 cubetas de 19 litros de mezcla desarrollada a base de </w:t>
      </w:r>
      <w:r w:rsidR="00DF6591" w:rsidRPr="00951C84">
        <w:rPr>
          <w:szCs w:val="22"/>
        </w:rPr>
        <w:t xml:space="preserve">resina de hule clorado y </w:t>
      </w:r>
      <w:proofErr w:type="spellStart"/>
      <w:r w:rsidR="00DF6591" w:rsidRPr="00951C84">
        <w:rPr>
          <w:szCs w:val="22"/>
        </w:rPr>
        <w:t>alquidá</w:t>
      </w:r>
      <w:r w:rsidRPr="00951C84">
        <w:rPr>
          <w:szCs w:val="22"/>
        </w:rPr>
        <w:t>lica</w:t>
      </w:r>
      <w:proofErr w:type="spellEnd"/>
      <w:r w:rsidRPr="00951C84">
        <w:rPr>
          <w:szCs w:val="22"/>
        </w:rPr>
        <w:t xml:space="preserve"> </w:t>
      </w:r>
    </w:p>
    <w:p w14:paraId="348AC66C" w14:textId="77777777" w:rsidR="00041ABA" w:rsidRPr="00951C84" w:rsidRDefault="00041ABA" w:rsidP="00951C84">
      <w:pPr>
        <w:pStyle w:val="Prrafodelista"/>
        <w:numPr>
          <w:ilvl w:val="0"/>
          <w:numId w:val="35"/>
        </w:numPr>
        <w:ind w:right="822"/>
        <w:rPr>
          <w:rFonts w:eastAsia="Calibri"/>
          <w:szCs w:val="22"/>
          <w:lang w:eastAsia="es-ES_tradnl"/>
        </w:rPr>
      </w:pPr>
      <w:r w:rsidRPr="00951C84">
        <w:rPr>
          <w:szCs w:val="22"/>
        </w:rPr>
        <w:t>Servicio de mantenimiento preventivo y correctivo al sistema computarizado de semáforos (servicio de conducción de señales analógicas y digitales)</w:t>
      </w:r>
    </w:p>
    <w:p w14:paraId="10472914" w14:textId="77777777" w:rsidR="00041ABA" w:rsidRPr="00951C84" w:rsidRDefault="00041ABA" w:rsidP="002F6A5B">
      <w:pPr>
        <w:pStyle w:val="Prrafodelista"/>
        <w:spacing w:line="240" w:lineRule="auto"/>
        <w:ind w:right="822"/>
        <w:rPr>
          <w:rFonts w:eastAsia="Calibri"/>
          <w:szCs w:val="22"/>
          <w:lang w:eastAsia="es-ES_tradnl"/>
        </w:rPr>
      </w:pPr>
    </w:p>
    <w:p w14:paraId="501D54B3" w14:textId="40D106C4" w:rsidR="00041ABA" w:rsidRPr="00951C84" w:rsidRDefault="00041ABA" w:rsidP="00951C84">
      <w:pPr>
        <w:tabs>
          <w:tab w:val="left" w:pos="7938"/>
        </w:tabs>
        <w:ind w:right="-93"/>
        <w:rPr>
          <w:rFonts w:cs="Arial"/>
          <w:szCs w:val="22"/>
          <w:lang w:val="es-ES"/>
        </w:rPr>
      </w:pPr>
      <w:r w:rsidRPr="00951C84">
        <w:rPr>
          <w:rFonts w:cs="Arial"/>
          <w:szCs w:val="22"/>
          <w:lang w:val="es-ES"/>
        </w:rPr>
        <w:t>El procedimiento de adquisic</w:t>
      </w:r>
      <w:r w:rsidR="00EE380E" w:rsidRPr="00951C84">
        <w:rPr>
          <w:rFonts w:cs="Arial"/>
          <w:szCs w:val="22"/>
          <w:lang w:val="es-ES"/>
        </w:rPr>
        <w:t>ión, facturas y contrato, de la</w:t>
      </w:r>
      <w:r w:rsidRPr="00951C84">
        <w:rPr>
          <w:rFonts w:cs="Arial"/>
          <w:szCs w:val="22"/>
          <w:lang w:val="es-ES"/>
        </w:rPr>
        <w:t xml:space="preserve"> siguiente obra realizada en el año </w:t>
      </w:r>
      <w:r w:rsidR="00757714" w:rsidRPr="00951C84">
        <w:rPr>
          <w:rFonts w:cs="Arial"/>
          <w:szCs w:val="22"/>
          <w:lang w:val="es-ES"/>
        </w:rPr>
        <w:t>2022</w:t>
      </w:r>
      <w:r w:rsidRPr="00951C84">
        <w:rPr>
          <w:rFonts w:cs="Arial"/>
          <w:szCs w:val="22"/>
          <w:lang w:val="es-ES"/>
        </w:rPr>
        <w:t>:</w:t>
      </w:r>
    </w:p>
    <w:p w14:paraId="27092C59" w14:textId="77777777" w:rsidR="00041ABA" w:rsidRPr="00951C84" w:rsidRDefault="00041ABA" w:rsidP="002F6A5B">
      <w:pPr>
        <w:spacing w:line="240" w:lineRule="auto"/>
        <w:ind w:right="-93"/>
        <w:rPr>
          <w:rFonts w:eastAsia="Calibri" w:cs="Tahoma"/>
          <w:bCs/>
          <w:szCs w:val="22"/>
          <w:lang w:eastAsia="en-US"/>
        </w:rPr>
      </w:pPr>
    </w:p>
    <w:p w14:paraId="10E0254A" w14:textId="307F36D5" w:rsidR="00041ABA" w:rsidRPr="00951C84" w:rsidRDefault="00041ABA" w:rsidP="00951C84">
      <w:pPr>
        <w:pStyle w:val="Prrafodelista"/>
        <w:numPr>
          <w:ilvl w:val="0"/>
          <w:numId w:val="37"/>
        </w:numPr>
        <w:ind w:left="709" w:right="822"/>
        <w:rPr>
          <w:rFonts w:eastAsia="Calibri"/>
          <w:szCs w:val="22"/>
          <w:lang w:eastAsia="es-ES_tradnl"/>
        </w:rPr>
      </w:pPr>
      <w:r w:rsidRPr="00951C84">
        <w:rPr>
          <w:szCs w:val="22"/>
        </w:rPr>
        <w:t>Construcción y ampliación</w:t>
      </w:r>
      <w:r w:rsidR="005524A7" w:rsidRPr="00951C84">
        <w:rPr>
          <w:szCs w:val="22"/>
        </w:rPr>
        <w:t xml:space="preserve"> del subsistema Angélica Aragón.</w:t>
      </w:r>
    </w:p>
    <w:p w14:paraId="25F7074F" w14:textId="77777777" w:rsidR="00041ABA" w:rsidRPr="00951C84" w:rsidRDefault="00041ABA" w:rsidP="00951C84">
      <w:pPr>
        <w:ind w:right="-93"/>
        <w:rPr>
          <w:rFonts w:eastAsia="Calibri" w:cs="Tahoma"/>
          <w:bCs/>
          <w:szCs w:val="22"/>
          <w:lang w:eastAsia="en-US"/>
        </w:rPr>
      </w:pPr>
    </w:p>
    <w:p w14:paraId="4CB0FD1B" w14:textId="77777777" w:rsidR="00041ABA" w:rsidRPr="00951C84" w:rsidRDefault="00041ABA" w:rsidP="00951C84">
      <w:pPr>
        <w:ind w:right="-93"/>
        <w:rPr>
          <w:rFonts w:eastAsia="Calibri" w:cs="Tahoma"/>
          <w:bCs/>
          <w:szCs w:val="22"/>
          <w:lang w:eastAsia="en-US"/>
        </w:rPr>
      </w:pPr>
      <w:r w:rsidRPr="00951C84">
        <w:rPr>
          <w:rFonts w:eastAsia="Calibri" w:cs="Tahoma"/>
          <w:bCs/>
          <w:szCs w:val="22"/>
          <w:lang w:eastAsia="en-US"/>
        </w:rPr>
        <w:t>De ser necesarias las versiones públicas, se deberá proporcionar el Acuerdo de Clasificación donde el Comité de Transparencia, confirme la eliminación de los datos confidenciales, de conformidad con los artículos 49, fracciones II y VIII, 132, fracción II y 143, fracción I, de la Ley de Transparencia y Acceso a la Información Pública del Estado de México y Municipios.</w:t>
      </w:r>
    </w:p>
    <w:p w14:paraId="7E8CD4D2" w14:textId="77777777" w:rsidR="00C8631A" w:rsidRPr="00951C84" w:rsidRDefault="00C8631A" w:rsidP="00951C84">
      <w:pPr>
        <w:ind w:right="-93"/>
        <w:rPr>
          <w:rFonts w:eastAsia="Calibri" w:cs="Tahoma"/>
          <w:bCs/>
          <w:lang w:eastAsia="en-US"/>
        </w:rPr>
      </w:pPr>
    </w:p>
    <w:p w14:paraId="7BCD705A" w14:textId="77777777" w:rsidR="00C8631A" w:rsidRPr="00951C84" w:rsidRDefault="00C8631A" w:rsidP="00951C84">
      <w:r w:rsidRPr="00951C84">
        <w:rPr>
          <w:b/>
          <w:bCs/>
        </w:rPr>
        <w:t>TERCERO.</w:t>
      </w:r>
      <w:r w:rsidRPr="00951C84">
        <w:t xml:space="preserve"> Notifíquese vía Sistema de Acceso a la Información Mexiquense (</w:t>
      </w:r>
      <w:r w:rsidRPr="00951C84">
        <w:rPr>
          <w:b/>
        </w:rPr>
        <w:t>SAIMEX</w:t>
      </w:r>
      <w:r w:rsidRPr="00951C84">
        <w:t xml:space="preserve">) la presente resolución al Titular de la Unidad de Transparencia del </w:t>
      </w:r>
      <w:r w:rsidRPr="00951C84">
        <w:rPr>
          <w:b/>
          <w:bCs/>
        </w:rPr>
        <w:t>SUJETO OBLIGADO</w:t>
      </w:r>
      <w:r w:rsidRPr="00951C84">
        <w:t xml:space="preserve">, para que conforme al artículo 186 último párrafo, 189 segundo párrafo y 194 de la Ley de Transparencia y Acceso a la Información Pública del Estado de México y Municipios, dé cumplimiento a lo ordenado dentro del plazo de </w:t>
      </w:r>
      <w:r w:rsidRPr="00951C84">
        <w:rPr>
          <w:b/>
          <w:bCs/>
        </w:rPr>
        <w:t>diez días hábiles</w:t>
      </w:r>
      <w:r w:rsidRPr="00951C84">
        <w:t xml:space="preserve">, e informe a este Instituto en un plazo de </w:t>
      </w:r>
      <w:r w:rsidRPr="00951C84">
        <w:rPr>
          <w:b/>
          <w:bCs/>
        </w:rPr>
        <w:t>tres días hábiles</w:t>
      </w:r>
      <w:r w:rsidRPr="00951C84">
        <w:t xml:space="preserve"> siguientes, sobre el cumplimiento dado a la presente. Asimismo, se le apercibe que en caso de negarse a cumplir la presente resolución o hacerlo de </w:t>
      </w:r>
      <w:r w:rsidRPr="00951C84">
        <w:lastRenderedPageBreak/>
        <w:t>manera parcial, se le impondrá una medida de apremio de conformidad con lo previsto en los artículos 198, 200, fracción III; 214, 215 y 216 de la Ley de Transparencia y Acceso a la Información Pública del Estado de México y Municipios.</w:t>
      </w:r>
    </w:p>
    <w:p w14:paraId="135C1479" w14:textId="77777777" w:rsidR="00C8631A" w:rsidRPr="00951C84" w:rsidRDefault="00C8631A" w:rsidP="00951C84"/>
    <w:p w14:paraId="4E8A2F76" w14:textId="77777777" w:rsidR="00C8631A" w:rsidRPr="00951C84" w:rsidRDefault="00C8631A" w:rsidP="00951C84">
      <w:r w:rsidRPr="00951C84">
        <w:rPr>
          <w:b/>
          <w:bCs/>
        </w:rPr>
        <w:t>CUARTO.</w:t>
      </w:r>
      <w:r w:rsidRPr="00951C84">
        <w:t xml:space="preserve"> Notifíquese a </w:t>
      </w:r>
      <w:r w:rsidRPr="00951C84">
        <w:rPr>
          <w:b/>
          <w:bCs/>
        </w:rPr>
        <w:t>LA PARTE RECURRENTE</w:t>
      </w:r>
      <w:r w:rsidRPr="00951C84">
        <w:t xml:space="preserve"> la presente resolución vía Sistema de Acceso a la Información Mexiquense (</w:t>
      </w:r>
      <w:r w:rsidRPr="00951C84">
        <w:rPr>
          <w:b/>
        </w:rPr>
        <w:t>SAIMEX</w:t>
      </w:r>
      <w:r w:rsidRPr="00951C84">
        <w:t>).</w:t>
      </w:r>
    </w:p>
    <w:p w14:paraId="3A28BAAC" w14:textId="77777777" w:rsidR="007C4088" w:rsidRPr="00951C84" w:rsidRDefault="007C4088" w:rsidP="00951C84"/>
    <w:p w14:paraId="3EB813E2" w14:textId="1CFE1388" w:rsidR="00C8631A" w:rsidRPr="00951C84" w:rsidRDefault="00C8631A" w:rsidP="00951C84">
      <w:r w:rsidRPr="00951C84">
        <w:rPr>
          <w:b/>
          <w:bCs/>
        </w:rPr>
        <w:t>QUINTO</w:t>
      </w:r>
      <w:r w:rsidRPr="00951C84">
        <w:t xml:space="preserve">. Hágase del conocimiento a </w:t>
      </w:r>
      <w:r w:rsidRPr="00951C84">
        <w:rPr>
          <w:b/>
          <w:bCs/>
        </w:rPr>
        <w:t>LA PARTE RECURRENTE</w:t>
      </w:r>
      <w:r w:rsidRPr="00951C84">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r w:rsidR="007C4088" w:rsidRPr="00951C84">
        <w:t>.</w:t>
      </w:r>
    </w:p>
    <w:p w14:paraId="36DF8E62" w14:textId="77777777" w:rsidR="00C8631A" w:rsidRPr="00951C84" w:rsidRDefault="00C8631A" w:rsidP="00951C84"/>
    <w:p w14:paraId="54EB3C35" w14:textId="77777777" w:rsidR="00884E31" w:rsidRPr="00951C84" w:rsidRDefault="00884E31" w:rsidP="00951C84">
      <w:r w:rsidRPr="00951C84">
        <w:rPr>
          <w:b/>
          <w:bCs/>
        </w:rPr>
        <w:t>SEXTO.</w:t>
      </w:r>
      <w:r w:rsidRPr="00951C84">
        <w:t xml:space="preserve"> De conformidad con el artículo 198 de la Ley de Transparencia y Acceso a la Información Pública del Estado de México y Municipios, el </w:t>
      </w:r>
      <w:r w:rsidRPr="00951C84">
        <w:rPr>
          <w:b/>
          <w:bCs/>
        </w:rPr>
        <w:t>SUJETO OBLIGADO</w:t>
      </w:r>
      <w:r w:rsidRPr="00951C84">
        <w:t xml:space="preserve"> podrá solicitar una ampliación de plazo de manera fundada y motivada, para el cumplimiento de la presente resolución.</w:t>
      </w:r>
    </w:p>
    <w:p w14:paraId="42BDFFD8" w14:textId="77777777" w:rsidR="00951C84" w:rsidRPr="00951C84" w:rsidRDefault="00951C84" w:rsidP="00951C84"/>
    <w:p w14:paraId="5D066F73" w14:textId="54253D94" w:rsidR="00F660AE" w:rsidRPr="00951C84" w:rsidRDefault="00054F72" w:rsidP="00951C84">
      <w:r w:rsidRPr="00951C84">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B47845" w:rsidRPr="00951C84">
        <w:t>TRI</w:t>
      </w:r>
      <w:r w:rsidR="00D84C24" w:rsidRPr="00951C84">
        <w:t xml:space="preserve">GÉSIMA </w:t>
      </w:r>
      <w:r w:rsidR="00DF6591" w:rsidRPr="00951C84">
        <w:t>SEXTA</w:t>
      </w:r>
      <w:r w:rsidR="00EE380E" w:rsidRPr="00951C84">
        <w:t xml:space="preserve"> </w:t>
      </w:r>
      <w:r w:rsidRPr="00951C84">
        <w:t xml:space="preserve">SESIÓN ORDINARIA, CELEBRADA EL </w:t>
      </w:r>
      <w:r w:rsidR="00DF6591" w:rsidRPr="00951C84">
        <w:t>NUEVE</w:t>
      </w:r>
      <w:r w:rsidR="00EE380E" w:rsidRPr="00951C84">
        <w:t xml:space="preserve"> DE OCTUBRE DE DOS MIL VEINTICUATRO</w:t>
      </w:r>
      <w:r w:rsidRPr="00951C84">
        <w:t xml:space="preserve"> ANTE EL SECRETARIO TÉCNICO DEL PLENO, ALEXIS TAPIA RAMÍREZ.</w:t>
      </w:r>
    </w:p>
    <w:p w14:paraId="5AEE82D7" w14:textId="33224066" w:rsidR="00F660AE" w:rsidRPr="00951C84" w:rsidRDefault="00054F72" w:rsidP="00951C84">
      <w:pPr>
        <w:ind w:right="-93"/>
        <w:rPr>
          <w:sz w:val="14"/>
          <w:szCs w:val="14"/>
        </w:rPr>
      </w:pPr>
      <w:r w:rsidRPr="00951C84">
        <w:rPr>
          <w:sz w:val="14"/>
          <w:szCs w:val="14"/>
        </w:rPr>
        <w:t>SCMM/AGZ/DEMF/</w:t>
      </w:r>
      <w:r w:rsidR="00EE380E" w:rsidRPr="00951C84">
        <w:rPr>
          <w:sz w:val="14"/>
          <w:szCs w:val="14"/>
        </w:rPr>
        <w:t>AGE</w:t>
      </w:r>
    </w:p>
    <w:p w14:paraId="0B1E59CF" w14:textId="77777777" w:rsidR="00F660AE" w:rsidRPr="00951C84" w:rsidRDefault="00F660AE" w:rsidP="00951C84">
      <w:pPr>
        <w:ind w:right="-93"/>
      </w:pPr>
    </w:p>
    <w:p w14:paraId="26681CAA" w14:textId="77777777" w:rsidR="00F660AE" w:rsidRPr="00951C84" w:rsidRDefault="00F660AE" w:rsidP="00951C84">
      <w:pPr>
        <w:ind w:right="-93"/>
      </w:pPr>
    </w:p>
    <w:p w14:paraId="03205DA9" w14:textId="77777777" w:rsidR="00F660AE" w:rsidRPr="00951C84" w:rsidRDefault="00F660AE" w:rsidP="00951C84">
      <w:pPr>
        <w:ind w:right="-93"/>
      </w:pPr>
    </w:p>
    <w:p w14:paraId="0BB5BCD8" w14:textId="77777777" w:rsidR="00F660AE" w:rsidRPr="00951C84" w:rsidRDefault="00F660AE" w:rsidP="00951C84">
      <w:pPr>
        <w:ind w:right="-93"/>
      </w:pPr>
    </w:p>
    <w:p w14:paraId="561A5089" w14:textId="77777777" w:rsidR="00F660AE" w:rsidRPr="00951C84" w:rsidRDefault="00F660AE" w:rsidP="00951C84">
      <w:pPr>
        <w:ind w:right="-93"/>
      </w:pPr>
    </w:p>
    <w:p w14:paraId="4A906CBB" w14:textId="77777777" w:rsidR="00F660AE" w:rsidRPr="00951C84" w:rsidRDefault="00F660AE" w:rsidP="00951C84">
      <w:pPr>
        <w:ind w:right="-93"/>
      </w:pPr>
    </w:p>
    <w:p w14:paraId="21A80BBD" w14:textId="77777777" w:rsidR="00F660AE" w:rsidRPr="00951C84" w:rsidRDefault="00F660AE" w:rsidP="00951C84">
      <w:pPr>
        <w:ind w:right="-93"/>
      </w:pPr>
    </w:p>
    <w:p w14:paraId="46D72847" w14:textId="77777777" w:rsidR="00F660AE" w:rsidRPr="00951C84" w:rsidRDefault="00F660AE" w:rsidP="00951C84">
      <w:pPr>
        <w:tabs>
          <w:tab w:val="center" w:pos="4568"/>
        </w:tabs>
        <w:ind w:right="-93"/>
      </w:pPr>
    </w:p>
    <w:p w14:paraId="473104BC" w14:textId="77777777" w:rsidR="00F660AE" w:rsidRPr="00951C84" w:rsidRDefault="00F660AE" w:rsidP="00951C84">
      <w:pPr>
        <w:tabs>
          <w:tab w:val="center" w:pos="4568"/>
        </w:tabs>
        <w:ind w:right="-93"/>
      </w:pPr>
    </w:p>
    <w:p w14:paraId="3E8F6B13" w14:textId="77777777" w:rsidR="00F660AE" w:rsidRPr="00951C84" w:rsidRDefault="00F660AE" w:rsidP="00951C84">
      <w:pPr>
        <w:tabs>
          <w:tab w:val="center" w:pos="4568"/>
        </w:tabs>
        <w:ind w:right="-93"/>
      </w:pPr>
    </w:p>
    <w:p w14:paraId="1F0B9C62" w14:textId="77777777" w:rsidR="00F660AE" w:rsidRPr="00951C84" w:rsidRDefault="00F660AE" w:rsidP="00951C84">
      <w:pPr>
        <w:tabs>
          <w:tab w:val="center" w:pos="4568"/>
        </w:tabs>
        <w:ind w:right="-93"/>
      </w:pPr>
    </w:p>
    <w:p w14:paraId="1B7B2555" w14:textId="77777777" w:rsidR="00F660AE" w:rsidRPr="00951C84" w:rsidRDefault="00F660AE" w:rsidP="00951C84">
      <w:pPr>
        <w:tabs>
          <w:tab w:val="center" w:pos="4568"/>
        </w:tabs>
        <w:ind w:right="-93"/>
      </w:pPr>
    </w:p>
    <w:p w14:paraId="5E53FD87" w14:textId="77777777" w:rsidR="00F660AE" w:rsidRPr="00951C84" w:rsidRDefault="00F660AE" w:rsidP="00951C84">
      <w:pPr>
        <w:tabs>
          <w:tab w:val="center" w:pos="4568"/>
        </w:tabs>
        <w:ind w:right="-93"/>
      </w:pPr>
    </w:p>
    <w:p w14:paraId="5732011A" w14:textId="77777777" w:rsidR="00F660AE" w:rsidRPr="00951C84" w:rsidRDefault="00F660AE" w:rsidP="00951C84">
      <w:pPr>
        <w:tabs>
          <w:tab w:val="center" w:pos="4568"/>
        </w:tabs>
        <w:ind w:right="-93"/>
      </w:pPr>
    </w:p>
    <w:p w14:paraId="34613337" w14:textId="77777777" w:rsidR="00F660AE" w:rsidRPr="00951C84" w:rsidRDefault="00F660AE" w:rsidP="00951C84">
      <w:pPr>
        <w:tabs>
          <w:tab w:val="center" w:pos="4568"/>
        </w:tabs>
        <w:ind w:right="-93"/>
      </w:pPr>
    </w:p>
    <w:p w14:paraId="0FF6869F" w14:textId="77777777" w:rsidR="00F660AE" w:rsidRPr="00951C84" w:rsidRDefault="00F660AE" w:rsidP="00951C84">
      <w:pPr>
        <w:tabs>
          <w:tab w:val="center" w:pos="4568"/>
        </w:tabs>
        <w:ind w:right="-93"/>
      </w:pPr>
    </w:p>
    <w:p w14:paraId="7504D57F" w14:textId="77777777" w:rsidR="00F660AE" w:rsidRPr="00951C84" w:rsidRDefault="00F660AE" w:rsidP="00951C84"/>
    <w:p w14:paraId="6EB8421B" w14:textId="77777777" w:rsidR="00BE16EE" w:rsidRPr="00951C84" w:rsidRDefault="00BE16EE" w:rsidP="00951C84"/>
    <w:sectPr w:rsidR="00BE16EE" w:rsidRPr="00951C84">
      <w:footerReference w:type="default" r:id="rId15"/>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AAAE3" w14:textId="77777777" w:rsidR="002B74B7" w:rsidRDefault="002B74B7">
      <w:pPr>
        <w:spacing w:line="240" w:lineRule="auto"/>
      </w:pPr>
      <w:r>
        <w:separator/>
      </w:r>
    </w:p>
  </w:endnote>
  <w:endnote w:type="continuationSeparator" w:id="0">
    <w:p w14:paraId="1F8968FE" w14:textId="77777777" w:rsidR="002B74B7" w:rsidRDefault="002B74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Himalaya">
    <w:panose1 w:val="01010100010101010101"/>
    <w:charset w:val="00"/>
    <w:family w:val="auto"/>
    <w:pitch w:val="variable"/>
    <w:sig w:usb0="80000003" w:usb1="00010000" w:usb2="0000004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Aptos Display">
    <w:altName w:val="Calibri"/>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00000001"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65427" w14:textId="77777777" w:rsidR="008D1F8E" w:rsidRDefault="008D1F8E">
    <w:pPr>
      <w:tabs>
        <w:tab w:val="center" w:pos="4550"/>
        <w:tab w:val="left" w:pos="5818"/>
      </w:tabs>
      <w:ind w:right="260"/>
      <w:jc w:val="right"/>
      <w:rPr>
        <w:color w:val="071320"/>
        <w:sz w:val="24"/>
        <w:szCs w:val="24"/>
      </w:rPr>
    </w:pPr>
  </w:p>
  <w:p w14:paraId="35272DD7" w14:textId="77777777" w:rsidR="008D1F8E" w:rsidRDefault="008D1F8E">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E97F5" w14:textId="77777777" w:rsidR="008D1F8E" w:rsidRDefault="008D1F8E">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D250EF">
      <w:rPr>
        <w:noProof/>
        <w:color w:val="0A1D30"/>
        <w:sz w:val="24"/>
        <w:szCs w:val="24"/>
      </w:rPr>
      <w:t>45</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D250EF">
      <w:rPr>
        <w:noProof/>
        <w:color w:val="0A1D30"/>
        <w:sz w:val="24"/>
        <w:szCs w:val="24"/>
      </w:rPr>
      <w:t>47</w:t>
    </w:r>
    <w:r>
      <w:rPr>
        <w:color w:val="0A1D30"/>
        <w:sz w:val="24"/>
        <w:szCs w:val="24"/>
      </w:rPr>
      <w:fldChar w:fldCharType="end"/>
    </w:r>
  </w:p>
  <w:p w14:paraId="7F187162" w14:textId="77777777" w:rsidR="008D1F8E" w:rsidRDefault="008D1F8E">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52E76" w14:textId="77777777" w:rsidR="002B74B7" w:rsidRDefault="002B74B7">
      <w:pPr>
        <w:spacing w:line="240" w:lineRule="auto"/>
      </w:pPr>
      <w:r>
        <w:separator/>
      </w:r>
    </w:p>
  </w:footnote>
  <w:footnote w:type="continuationSeparator" w:id="0">
    <w:p w14:paraId="6303C310" w14:textId="77777777" w:rsidR="002B74B7" w:rsidRDefault="002B74B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B2AE6" w14:textId="08E07B9F" w:rsidR="008D1F8E" w:rsidRDefault="008D1F8E">
    <w:pPr>
      <w:widowControl w:val="0"/>
      <w:pBdr>
        <w:top w:val="nil"/>
        <w:left w:val="nil"/>
        <w:bottom w:val="nil"/>
        <w:right w:val="nil"/>
        <w:between w:val="nil"/>
      </w:pBdr>
      <w:spacing w:line="276" w:lineRule="auto"/>
      <w:jc w:val="left"/>
    </w:pPr>
  </w:p>
  <w:tbl>
    <w:tblPr>
      <w:tblStyle w:val="a3"/>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8D1F8E" w14:paraId="2C4B9E2E" w14:textId="77777777">
      <w:trPr>
        <w:trHeight w:val="144"/>
        <w:jc w:val="right"/>
      </w:trPr>
      <w:tc>
        <w:tcPr>
          <w:tcW w:w="2727" w:type="dxa"/>
        </w:tcPr>
        <w:p w14:paraId="35995B33" w14:textId="77777777" w:rsidR="008D1F8E" w:rsidRDefault="008D1F8E">
          <w:pPr>
            <w:tabs>
              <w:tab w:val="right" w:pos="8838"/>
            </w:tabs>
            <w:ind w:left="-74" w:right="-105"/>
            <w:rPr>
              <w:b/>
            </w:rPr>
          </w:pPr>
          <w:r>
            <w:rPr>
              <w:b/>
            </w:rPr>
            <w:t>Recurso de Revisión:</w:t>
          </w:r>
        </w:p>
      </w:tc>
      <w:tc>
        <w:tcPr>
          <w:tcW w:w="3402" w:type="dxa"/>
        </w:tcPr>
        <w:p w14:paraId="574C7C5B" w14:textId="79BAF5A9" w:rsidR="008D1F8E" w:rsidRDefault="008D1F8E">
          <w:pPr>
            <w:tabs>
              <w:tab w:val="right" w:pos="8838"/>
            </w:tabs>
            <w:ind w:left="-74" w:right="-105"/>
          </w:pPr>
          <w:r>
            <w:t>01587</w:t>
          </w:r>
          <w:r w:rsidRPr="00B47845">
            <w:t>/INFOEM/IP/RR/2024</w:t>
          </w:r>
          <w:r>
            <w:t xml:space="preserve"> y acumulado.</w:t>
          </w:r>
        </w:p>
      </w:tc>
    </w:tr>
    <w:tr w:rsidR="008D1F8E" w14:paraId="7CD591C0" w14:textId="77777777">
      <w:trPr>
        <w:trHeight w:val="283"/>
        <w:jc w:val="right"/>
      </w:trPr>
      <w:tc>
        <w:tcPr>
          <w:tcW w:w="2727" w:type="dxa"/>
        </w:tcPr>
        <w:p w14:paraId="6C000C7F" w14:textId="77777777" w:rsidR="008D1F8E" w:rsidRDefault="008D1F8E">
          <w:pPr>
            <w:tabs>
              <w:tab w:val="right" w:pos="8838"/>
            </w:tabs>
            <w:ind w:left="-74" w:right="-105"/>
            <w:rPr>
              <w:b/>
            </w:rPr>
          </w:pPr>
          <w:r>
            <w:rPr>
              <w:b/>
            </w:rPr>
            <w:t>Sujeto Obligado:</w:t>
          </w:r>
        </w:p>
      </w:tc>
      <w:tc>
        <w:tcPr>
          <w:tcW w:w="3402" w:type="dxa"/>
        </w:tcPr>
        <w:p w14:paraId="58EC5068" w14:textId="01D5AB57" w:rsidR="008D1F8E" w:rsidRDefault="008D1F8E">
          <w:pPr>
            <w:tabs>
              <w:tab w:val="left" w:pos="2834"/>
              <w:tab w:val="right" w:pos="8838"/>
            </w:tabs>
            <w:ind w:left="-108" w:right="-105"/>
          </w:pPr>
          <w:r w:rsidRPr="005E3AB5">
            <w:t>Ayuntamiento de Tlalnepantla de Baz</w:t>
          </w:r>
        </w:p>
      </w:tc>
    </w:tr>
    <w:tr w:rsidR="008D1F8E" w14:paraId="543DC2C6" w14:textId="77777777">
      <w:trPr>
        <w:trHeight w:val="283"/>
        <w:jc w:val="right"/>
      </w:trPr>
      <w:tc>
        <w:tcPr>
          <w:tcW w:w="2727" w:type="dxa"/>
        </w:tcPr>
        <w:p w14:paraId="28456923" w14:textId="77777777" w:rsidR="008D1F8E" w:rsidRDefault="008D1F8E">
          <w:pPr>
            <w:tabs>
              <w:tab w:val="right" w:pos="8838"/>
            </w:tabs>
            <w:ind w:left="-74" w:right="-105"/>
            <w:rPr>
              <w:b/>
            </w:rPr>
          </w:pPr>
          <w:r>
            <w:rPr>
              <w:b/>
            </w:rPr>
            <w:t>Comisionada Ponente:</w:t>
          </w:r>
        </w:p>
      </w:tc>
      <w:tc>
        <w:tcPr>
          <w:tcW w:w="3402" w:type="dxa"/>
        </w:tcPr>
        <w:p w14:paraId="09DF3D42" w14:textId="77777777" w:rsidR="008D1F8E" w:rsidRDefault="008D1F8E">
          <w:pPr>
            <w:tabs>
              <w:tab w:val="right" w:pos="8838"/>
            </w:tabs>
            <w:ind w:left="-108" w:right="-105"/>
          </w:pPr>
          <w:r>
            <w:t>Sharon Cristina Morales Martínez</w:t>
          </w:r>
        </w:p>
      </w:tc>
    </w:tr>
  </w:tbl>
  <w:p w14:paraId="60660FCD" w14:textId="77777777" w:rsidR="008D1F8E" w:rsidRDefault="008D1F8E">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5CFF45D2" wp14:editId="48268359">
          <wp:simplePos x="0" y="0"/>
          <wp:positionH relativeFrom="margin">
            <wp:posOffset>-995044</wp:posOffset>
          </wp:positionH>
          <wp:positionV relativeFrom="margin">
            <wp:posOffset>-1782444</wp:posOffset>
          </wp:positionV>
          <wp:extent cx="8426450" cy="109728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0585C" w14:textId="77777777" w:rsidR="008D1F8E" w:rsidRDefault="008D1F8E">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4"/>
      <w:tblW w:w="6661" w:type="dxa"/>
      <w:tblInd w:w="2552" w:type="dxa"/>
      <w:tblLayout w:type="fixed"/>
      <w:tblLook w:val="0400" w:firstRow="0" w:lastRow="0" w:firstColumn="0" w:lastColumn="0" w:noHBand="0" w:noVBand="1"/>
    </w:tblPr>
    <w:tblGrid>
      <w:gridCol w:w="283"/>
      <w:gridCol w:w="6378"/>
    </w:tblGrid>
    <w:tr w:rsidR="008D1F8E" w14:paraId="4A2D4894" w14:textId="77777777">
      <w:trPr>
        <w:trHeight w:val="1435"/>
      </w:trPr>
      <w:tc>
        <w:tcPr>
          <w:tcW w:w="283" w:type="dxa"/>
          <w:shd w:val="clear" w:color="auto" w:fill="auto"/>
        </w:tcPr>
        <w:p w14:paraId="364AB38A" w14:textId="77777777" w:rsidR="008D1F8E" w:rsidRDefault="008D1F8E">
          <w:pPr>
            <w:tabs>
              <w:tab w:val="right" w:pos="4273"/>
            </w:tabs>
            <w:rPr>
              <w:rFonts w:ascii="Garamond" w:eastAsia="Garamond" w:hAnsi="Garamond" w:cs="Garamond"/>
            </w:rPr>
          </w:pPr>
        </w:p>
      </w:tc>
      <w:tc>
        <w:tcPr>
          <w:tcW w:w="6379" w:type="dxa"/>
          <w:shd w:val="clear" w:color="auto" w:fill="auto"/>
        </w:tcPr>
        <w:p w14:paraId="6AD6811C" w14:textId="77777777" w:rsidR="008D1F8E" w:rsidRDefault="008D1F8E">
          <w:pPr>
            <w:widowControl w:val="0"/>
            <w:pBdr>
              <w:top w:val="nil"/>
              <w:left w:val="nil"/>
              <w:bottom w:val="nil"/>
              <w:right w:val="nil"/>
              <w:between w:val="nil"/>
            </w:pBdr>
            <w:spacing w:line="276" w:lineRule="auto"/>
            <w:jc w:val="left"/>
            <w:rPr>
              <w:rFonts w:ascii="Garamond" w:eastAsia="Garamond" w:hAnsi="Garamond" w:cs="Garamond"/>
            </w:rPr>
          </w:pPr>
        </w:p>
        <w:tbl>
          <w:tblPr>
            <w:tblStyle w:val="a5"/>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8D1F8E" w14:paraId="04AFFD9D" w14:textId="77777777">
            <w:trPr>
              <w:trHeight w:val="144"/>
            </w:trPr>
            <w:tc>
              <w:tcPr>
                <w:tcW w:w="2727" w:type="dxa"/>
              </w:tcPr>
              <w:p w14:paraId="4223F00E" w14:textId="77777777" w:rsidR="008D1F8E" w:rsidRDefault="008D1F8E">
                <w:pPr>
                  <w:tabs>
                    <w:tab w:val="right" w:pos="8838"/>
                  </w:tabs>
                  <w:ind w:left="-74" w:right="-105"/>
                  <w:rPr>
                    <w:b/>
                  </w:rPr>
                </w:pPr>
                <w:bookmarkStart w:id="0" w:name="_heading=h.32hioqz" w:colFirst="0" w:colLast="0"/>
                <w:bookmarkEnd w:id="0"/>
                <w:r>
                  <w:rPr>
                    <w:b/>
                  </w:rPr>
                  <w:t>Recurso de Revisión:</w:t>
                </w:r>
              </w:p>
            </w:tc>
            <w:tc>
              <w:tcPr>
                <w:tcW w:w="3402" w:type="dxa"/>
              </w:tcPr>
              <w:p w14:paraId="77BD1DAD" w14:textId="2A9FE445" w:rsidR="008D1F8E" w:rsidRDefault="008D1F8E" w:rsidP="005E3AB5">
                <w:pPr>
                  <w:tabs>
                    <w:tab w:val="right" w:pos="8838"/>
                  </w:tabs>
                  <w:ind w:left="-74" w:right="-105"/>
                </w:pPr>
                <w:r>
                  <w:t>01587</w:t>
                </w:r>
                <w:r w:rsidRPr="00B47845">
                  <w:t>/INFOEM/IP/RR/2024</w:t>
                </w:r>
                <w:r>
                  <w:t xml:space="preserve"> y acumulado. </w:t>
                </w:r>
              </w:p>
            </w:tc>
            <w:tc>
              <w:tcPr>
                <w:tcW w:w="3402" w:type="dxa"/>
              </w:tcPr>
              <w:p w14:paraId="2D2878D3" w14:textId="77777777" w:rsidR="008D1F8E" w:rsidRDefault="008D1F8E">
                <w:pPr>
                  <w:tabs>
                    <w:tab w:val="right" w:pos="8838"/>
                  </w:tabs>
                  <w:ind w:left="-74" w:right="-105"/>
                </w:pPr>
              </w:p>
            </w:tc>
          </w:tr>
          <w:tr w:rsidR="008D1F8E" w14:paraId="63235672" w14:textId="77777777">
            <w:trPr>
              <w:trHeight w:val="144"/>
            </w:trPr>
            <w:tc>
              <w:tcPr>
                <w:tcW w:w="2727" w:type="dxa"/>
              </w:tcPr>
              <w:p w14:paraId="6EA12408" w14:textId="77777777" w:rsidR="008D1F8E" w:rsidRDefault="008D1F8E">
                <w:pPr>
                  <w:tabs>
                    <w:tab w:val="right" w:pos="8838"/>
                  </w:tabs>
                  <w:ind w:left="-74" w:right="-105"/>
                  <w:rPr>
                    <w:b/>
                  </w:rPr>
                </w:pPr>
                <w:bookmarkStart w:id="1" w:name="_heading=h.1hmsyys" w:colFirst="0" w:colLast="0"/>
                <w:bookmarkEnd w:id="1"/>
                <w:r>
                  <w:rPr>
                    <w:b/>
                  </w:rPr>
                  <w:t>Recurrente:</w:t>
                </w:r>
              </w:p>
            </w:tc>
            <w:tc>
              <w:tcPr>
                <w:tcW w:w="3402" w:type="dxa"/>
              </w:tcPr>
              <w:p w14:paraId="36F0495B" w14:textId="3DC6D197" w:rsidR="008D1F8E" w:rsidRDefault="008D1F8E">
                <w:pPr>
                  <w:tabs>
                    <w:tab w:val="left" w:pos="3122"/>
                    <w:tab w:val="right" w:pos="8838"/>
                  </w:tabs>
                  <w:ind w:left="-105" w:right="-105"/>
                </w:pPr>
                <w:r>
                  <w:t>XXXXXX XXX XXXXXXXXXX</w:t>
                </w:r>
              </w:p>
            </w:tc>
            <w:tc>
              <w:tcPr>
                <w:tcW w:w="3402" w:type="dxa"/>
              </w:tcPr>
              <w:p w14:paraId="3B3B0B0A" w14:textId="77777777" w:rsidR="008D1F8E" w:rsidRDefault="008D1F8E">
                <w:pPr>
                  <w:tabs>
                    <w:tab w:val="left" w:pos="3122"/>
                    <w:tab w:val="right" w:pos="8838"/>
                  </w:tabs>
                  <w:ind w:left="-105" w:right="-105"/>
                </w:pPr>
              </w:p>
            </w:tc>
          </w:tr>
          <w:tr w:rsidR="008D1F8E" w14:paraId="39718186" w14:textId="77777777">
            <w:trPr>
              <w:trHeight w:val="283"/>
            </w:trPr>
            <w:tc>
              <w:tcPr>
                <w:tcW w:w="2727" w:type="dxa"/>
              </w:tcPr>
              <w:p w14:paraId="5DB84F1F" w14:textId="77777777" w:rsidR="008D1F8E" w:rsidRDefault="008D1F8E">
                <w:pPr>
                  <w:tabs>
                    <w:tab w:val="right" w:pos="8838"/>
                  </w:tabs>
                  <w:ind w:left="-74" w:right="-105"/>
                  <w:rPr>
                    <w:b/>
                  </w:rPr>
                </w:pPr>
                <w:r>
                  <w:rPr>
                    <w:b/>
                  </w:rPr>
                  <w:t>Sujeto Obligado:</w:t>
                </w:r>
              </w:p>
            </w:tc>
            <w:tc>
              <w:tcPr>
                <w:tcW w:w="3402" w:type="dxa"/>
              </w:tcPr>
              <w:p w14:paraId="02C02DD5" w14:textId="553E484D" w:rsidR="008D1F8E" w:rsidRDefault="008D1F8E">
                <w:pPr>
                  <w:tabs>
                    <w:tab w:val="left" w:pos="2834"/>
                    <w:tab w:val="right" w:pos="8838"/>
                  </w:tabs>
                  <w:ind w:left="-108" w:right="-105"/>
                </w:pPr>
                <w:r w:rsidRPr="005E3AB5">
                  <w:t>Ayuntamiento de Tlalnepantla de Baz</w:t>
                </w:r>
              </w:p>
            </w:tc>
            <w:tc>
              <w:tcPr>
                <w:tcW w:w="3402" w:type="dxa"/>
              </w:tcPr>
              <w:p w14:paraId="21AB087E" w14:textId="77777777" w:rsidR="008D1F8E" w:rsidRDefault="008D1F8E">
                <w:pPr>
                  <w:tabs>
                    <w:tab w:val="left" w:pos="2834"/>
                    <w:tab w:val="right" w:pos="8838"/>
                  </w:tabs>
                  <w:ind w:left="-108" w:right="-105"/>
                </w:pPr>
              </w:p>
            </w:tc>
          </w:tr>
          <w:tr w:rsidR="008D1F8E" w14:paraId="65B4723A" w14:textId="77777777">
            <w:trPr>
              <w:trHeight w:val="283"/>
            </w:trPr>
            <w:tc>
              <w:tcPr>
                <w:tcW w:w="2727" w:type="dxa"/>
              </w:tcPr>
              <w:p w14:paraId="5282C18D" w14:textId="77777777" w:rsidR="008D1F8E" w:rsidRDefault="008D1F8E">
                <w:pPr>
                  <w:tabs>
                    <w:tab w:val="right" w:pos="8838"/>
                  </w:tabs>
                  <w:ind w:left="-74" w:right="-105"/>
                  <w:rPr>
                    <w:b/>
                  </w:rPr>
                </w:pPr>
                <w:r>
                  <w:rPr>
                    <w:b/>
                  </w:rPr>
                  <w:t>Comisionada Ponente:</w:t>
                </w:r>
              </w:p>
            </w:tc>
            <w:tc>
              <w:tcPr>
                <w:tcW w:w="3402" w:type="dxa"/>
              </w:tcPr>
              <w:p w14:paraId="7D48302F" w14:textId="77777777" w:rsidR="008D1F8E" w:rsidRDefault="008D1F8E">
                <w:pPr>
                  <w:tabs>
                    <w:tab w:val="right" w:pos="8838"/>
                  </w:tabs>
                  <w:ind w:left="-108" w:right="-105"/>
                </w:pPr>
                <w:r>
                  <w:t>Sharon Cristina Morales Martínez</w:t>
                </w:r>
              </w:p>
            </w:tc>
            <w:tc>
              <w:tcPr>
                <w:tcW w:w="3402" w:type="dxa"/>
              </w:tcPr>
              <w:p w14:paraId="556D85D7" w14:textId="77777777" w:rsidR="008D1F8E" w:rsidRDefault="008D1F8E">
                <w:pPr>
                  <w:tabs>
                    <w:tab w:val="right" w:pos="8838"/>
                  </w:tabs>
                  <w:ind w:left="-108" w:right="-105"/>
                </w:pPr>
              </w:p>
            </w:tc>
          </w:tr>
        </w:tbl>
        <w:p w14:paraId="568F1534" w14:textId="77777777" w:rsidR="008D1F8E" w:rsidRDefault="008D1F8E">
          <w:pPr>
            <w:tabs>
              <w:tab w:val="right" w:pos="8838"/>
            </w:tabs>
            <w:ind w:left="-28"/>
            <w:rPr>
              <w:rFonts w:ascii="Arial" w:eastAsia="Arial" w:hAnsi="Arial" w:cs="Arial"/>
              <w:b/>
            </w:rPr>
          </w:pPr>
        </w:p>
      </w:tc>
    </w:tr>
  </w:tbl>
  <w:p w14:paraId="464623B1" w14:textId="77777777" w:rsidR="008D1F8E" w:rsidRDefault="008D1F8E">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0889C3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2BA"/>
    <w:multiLevelType w:val="hybridMultilevel"/>
    <w:tmpl w:val="288850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897DD0"/>
    <w:multiLevelType w:val="multilevel"/>
    <w:tmpl w:val="C8805BDC"/>
    <w:lvl w:ilvl="0">
      <w:start w:val="1"/>
      <w:numFmt w:val="decimal"/>
      <w:lvlText w:val="%1."/>
      <w:lvlJc w:val="left"/>
      <w:pPr>
        <w:ind w:left="2204" w:hanging="360"/>
      </w:pPr>
      <w:rPr>
        <w:b/>
      </w:rPr>
    </w:lvl>
    <w:lvl w:ilvl="1">
      <w:start w:val="1"/>
      <w:numFmt w:val="lowerLetter"/>
      <w:lvlText w:val="%2."/>
      <w:lvlJc w:val="left"/>
      <w:pPr>
        <w:ind w:left="2924" w:hanging="360"/>
      </w:pPr>
    </w:lvl>
    <w:lvl w:ilvl="2">
      <w:start w:val="1"/>
      <w:numFmt w:val="lowerRoman"/>
      <w:lvlText w:val="%3."/>
      <w:lvlJc w:val="right"/>
      <w:pPr>
        <w:ind w:left="3644" w:hanging="180"/>
      </w:pPr>
    </w:lvl>
    <w:lvl w:ilvl="3">
      <w:start w:val="1"/>
      <w:numFmt w:val="decimal"/>
      <w:lvlText w:val="%4."/>
      <w:lvlJc w:val="left"/>
      <w:pPr>
        <w:ind w:left="4364" w:hanging="360"/>
      </w:pPr>
    </w:lvl>
    <w:lvl w:ilvl="4">
      <w:start w:val="1"/>
      <w:numFmt w:val="lowerLetter"/>
      <w:lvlText w:val="%5."/>
      <w:lvlJc w:val="left"/>
      <w:pPr>
        <w:ind w:left="5084" w:hanging="360"/>
      </w:pPr>
    </w:lvl>
    <w:lvl w:ilvl="5">
      <w:start w:val="1"/>
      <w:numFmt w:val="lowerRoman"/>
      <w:lvlText w:val="%6."/>
      <w:lvlJc w:val="right"/>
      <w:pPr>
        <w:ind w:left="5804" w:hanging="180"/>
      </w:pPr>
    </w:lvl>
    <w:lvl w:ilvl="6">
      <w:start w:val="1"/>
      <w:numFmt w:val="decimal"/>
      <w:lvlText w:val="%7."/>
      <w:lvlJc w:val="left"/>
      <w:pPr>
        <w:ind w:left="6524" w:hanging="360"/>
      </w:pPr>
    </w:lvl>
    <w:lvl w:ilvl="7">
      <w:start w:val="1"/>
      <w:numFmt w:val="lowerLetter"/>
      <w:lvlText w:val="%8."/>
      <w:lvlJc w:val="left"/>
      <w:pPr>
        <w:ind w:left="7244" w:hanging="360"/>
      </w:pPr>
    </w:lvl>
    <w:lvl w:ilvl="8">
      <w:start w:val="1"/>
      <w:numFmt w:val="lowerRoman"/>
      <w:lvlText w:val="%9."/>
      <w:lvlJc w:val="right"/>
      <w:pPr>
        <w:ind w:left="7964" w:hanging="180"/>
      </w:pPr>
    </w:lvl>
  </w:abstractNum>
  <w:abstractNum w:abstractNumId="2" w15:restartNumberingAfterBreak="0">
    <w:nsid w:val="02F402D8"/>
    <w:multiLevelType w:val="hybridMultilevel"/>
    <w:tmpl w:val="8F1A5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CA1A2C"/>
    <w:multiLevelType w:val="hybridMultilevel"/>
    <w:tmpl w:val="720CD3D6"/>
    <w:lvl w:ilvl="0" w:tplc="080A000F">
      <w:start w:val="1"/>
      <w:numFmt w:val="decimal"/>
      <w:lvlText w:val="%1."/>
      <w:lvlJc w:val="left"/>
      <w:pPr>
        <w:ind w:left="360" w:hanging="360"/>
      </w:pPr>
      <w:rPr>
        <w:rFonts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0B0D2638"/>
    <w:multiLevelType w:val="hybridMultilevel"/>
    <w:tmpl w:val="CC7AF9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910621"/>
    <w:multiLevelType w:val="hybridMultilevel"/>
    <w:tmpl w:val="79DA3A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E376E8"/>
    <w:multiLevelType w:val="hybridMultilevel"/>
    <w:tmpl w:val="11E0348A"/>
    <w:lvl w:ilvl="0" w:tplc="8B443E64">
      <w:start w:val="1"/>
      <w:numFmt w:val="bullet"/>
      <w:lvlText w:val="-"/>
      <w:lvlJc w:val="left"/>
      <w:pPr>
        <w:ind w:left="1440" w:hanging="360"/>
      </w:pPr>
      <w:rPr>
        <w:rFonts w:ascii="Microsoft Himalaya" w:hAnsi="Microsoft Himalaya"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1C6F7402"/>
    <w:multiLevelType w:val="hybridMultilevel"/>
    <w:tmpl w:val="857694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624FF2"/>
    <w:multiLevelType w:val="hybridMultilevel"/>
    <w:tmpl w:val="7458F0CE"/>
    <w:lvl w:ilvl="0" w:tplc="8B443E64">
      <w:start w:val="1"/>
      <w:numFmt w:val="bullet"/>
      <w:lvlText w:val="-"/>
      <w:lvlJc w:val="left"/>
      <w:pPr>
        <w:ind w:left="720" w:hanging="360"/>
      </w:pPr>
      <w:rPr>
        <w:rFonts w:ascii="Microsoft Himalaya" w:hAnsi="Microsoft Himalay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E200AE"/>
    <w:multiLevelType w:val="multilevel"/>
    <w:tmpl w:val="6E9CC4D0"/>
    <w:lvl w:ilvl="0">
      <w:start w:val="1"/>
      <w:numFmt w:val="decimal"/>
      <w:lvlText w:val="%1."/>
      <w:lvlJc w:val="left"/>
      <w:pPr>
        <w:ind w:left="720" w:hanging="360"/>
      </w:pPr>
      <w:rPr>
        <w:rFonts w:ascii="Palatino Linotype" w:eastAsia="Palatino Linotype" w:hAnsi="Palatino Linotype" w:cs="Palatino Linotype"/>
        <w:b/>
        <w:i w:val="0"/>
        <w:color w:val="000000"/>
        <w:sz w:val="24"/>
        <w:szCs w:val="24"/>
      </w:rPr>
    </w:lvl>
    <w:lvl w:ilvl="1">
      <w:start w:val="1"/>
      <w:numFmt w:val="upperRoman"/>
      <w:lvlText w:val="%2."/>
      <w:lvlJc w:val="righ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3663FF5"/>
    <w:multiLevelType w:val="hybridMultilevel"/>
    <w:tmpl w:val="B1B84C9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26ED1A0A"/>
    <w:multiLevelType w:val="hybridMultilevel"/>
    <w:tmpl w:val="857694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8F0485"/>
    <w:multiLevelType w:val="hybridMultilevel"/>
    <w:tmpl w:val="B7DCEBE6"/>
    <w:lvl w:ilvl="0" w:tplc="A1047D16">
      <w:numFmt w:val="bullet"/>
      <w:lvlText w:val="•"/>
      <w:lvlJc w:val="left"/>
      <w:pPr>
        <w:ind w:left="720" w:hanging="360"/>
      </w:pPr>
      <w:rPr>
        <w:rFonts w:ascii="Palatino Linotype" w:eastAsia="Calibr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0151D0"/>
    <w:multiLevelType w:val="hybridMultilevel"/>
    <w:tmpl w:val="8E5616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833115"/>
    <w:multiLevelType w:val="multilevel"/>
    <w:tmpl w:val="75F83DD2"/>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5" w15:restartNumberingAfterBreak="0">
    <w:nsid w:val="2DB64EA6"/>
    <w:multiLevelType w:val="hybridMultilevel"/>
    <w:tmpl w:val="D410FE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C6416F5"/>
    <w:multiLevelType w:val="hybridMultilevel"/>
    <w:tmpl w:val="1A708706"/>
    <w:lvl w:ilvl="0" w:tplc="A1047D16">
      <w:numFmt w:val="bullet"/>
      <w:lvlText w:val="•"/>
      <w:lvlJc w:val="left"/>
      <w:pPr>
        <w:ind w:left="720" w:hanging="360"/>
      </w:pPr>
      <w:rPr>
        <w:rFonts w:ascii="Palatino Linotype" w:eastAsia="Calibr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D786E28"/>
    <w:multiLevelType w:val="hybridMultilevel"/>
    <w:tmpl w:val="63FE9E48"/>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46C95B86"/>
    <w:multiLevelType w:val="hybridMultilevel"/>
    <w:tmpl w:val="96E20326"/>
    <w:lvl w:ilvl="0" w:tplc="8B443E64">
      <w:start w:val="1"/>
      <w:numFmt w:val="bullet"/>
      <w:lvlText w:val="-"/>
      <w:lvlJc w:val="left"/>
      <w:pPr>
        <w:ind w:left="1080" w:hanging="360"/>
      </w:pPr>
      <w:rPr>
        <w:rFonts w:ascii="Microsoft Himalaya" w:hAnsi="Microsoft Himalay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46F7378A"/>
    <w:multiLevelType w:val="hybridMultilevel"/>
    <w:tmpl w:val="9614E3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BB06C85"/>
    <w:multiLevelType w:val="hybridMultilevel"/>
    <w:tmpl w:val="F36E6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C9366BC"/>
    <w:multiLevelType w:val="hybridMultilevel"/>
    <w:tmpl w:val="32A434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6F12B9"/>
    <w:multiLevelType w:val="hybridMultilevel"/>
    <w:tmpl w:val="641E6846"/>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 w15:restartNumberingAfterBreak="0">
    <w:nsid w:val="537F7964"/>
    <w:multiLevelType w:val="hybridMultilevel"/>
    <w:tmpl w:val="FE627C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965488F"/>
    <w:multiLevelType w:val="hybridMultilevel"/>
    <w:tmpl w:val="B3C634A8"/>
    <w:lvl w:ilvl="0" w:tplc="8B443E64">
      <w:start w:val="1"/>
      <w:numFmt w:val="bullet"/>
      <w:lvlText w:val="-"/>
      <w:lvlJc w:val="left"/>
      <w:pPr>
        <w:ind w:left="1440" w:hanging="360"/>
      </w:pPr>
      <w:rPr>
        <w:rFonts w:ascii="Microsoft Himalaya" w:hAnsi="Microsoft Himalaya"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5A6E0041"/>
    <w:multiLevelType w:val="hybridMultilevel"/>
    <w:tmpl w:val="430A6066"/>
    <w:lvl w:ilvl="0" w:tplc="8B443E64">
      <w:start w:val="1"/>
      <w:numFmt w:val="bullet"/>
      <w:lvlText w:val="-"/>
      <w:lvlJc w:val="left"/>
      <w:pPr>
        <w:ind w:left="1440" w:hanging="360"/>
      </w:pPr>
      <w:rPr>
        <w:rFonts w:ascii="Microsoft Himalaya" w:hAnsi="Microsoft Himalaya"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5DED097E"/>
    <w:multiLevelType w:val="hybridMultilevel"/>
    <w:tmpl w:val="9620CA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0847B0C"/>
    <w:multiLevelType w:val="multilevel"/>
    <w:tmpl w:val="D3EA35A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9" w15:restartNumberingAfterBreak="0">
    <w:nsid w:val="61F963F0"/>
    <w:multiLevelType w:val="hybridMultilevel"/>
    <w:tmpl w:val="77DCC3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367309A"/>
    <w:multiLevelType w:val="hybridMultilevel"/>
    <w:tmpl w:val="A1EA1A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A4C3B6F"/>
    <w:multiLevelType w:val="hybridMultilevel"/>
    <w:tmpl w:val="C67658BA"/>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15:restartNumberingAfterBreak="0">
    <w:nsid w:val="6A673042"/>
    <w:multiLevelType w:val="hybridMultilevel"/>
    <w:tmpl w:val="288850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E184EC1"/>
    <w:multiLevelType w:val="hybridMultilevel"/>
    <w:tmpl w:val="2E7836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1D0135D"/>
    <w:multiLevelType w:val="hybridMultilevel"/>
    <w:tmpl w:val="08E6DB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9A8694F"/>
    <w:multiLevelType w:val="hybridMultilevel"/>
    <w:tmpl w:val="8E5616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A6D009E"/>
    <w:multiLevelType w:val="hybridMultilevel"/>
    <w:tmpl w:val="CC1A9E7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19"/>
  </w:num>
  <w:num w:numId="3">
    <w:abstractNumId w:val="33"/>
  </w:num>
  <w:num w:numId="4">
    <w:abstractNumId w:val="15"/>
  </w:num>
  <w:num w:numId="5">
    <w:abstractNumId w:val="36"/>
  </w:num>
  <w:num w:numId="6">
    <w:abstractNumId w:val="31"/>
  </w:num>
  <w:num w:numId="7">
    <w:abstractNumId w:val="1"/>
  </w:num>
  <w:num w:numId="8">
    <w:abstractNumId w:val="14"/>
  </w:num>
  <w:num w:numId="9">
    <w:abstractNumId w:val="4"/>
  </w:num>
  <w:num w:numId="10">
    <w:abstractNumId w:val="3"/>
  </w:num>
  <w:num w:numId="11">
    <w:abstractNumId w:val="16"/>
  </w:num>
  <w:num w:numId="12">
    <w:abstractNumId w:val="24"/>
  </w:num>
  <w:num w:numId="13">
    <w:abstractNumId w:val="12"/>
  </w:num>
  <w:num w:numId="14">
    <w:abstractNumId w:val="35"/>
  </w:num>
  <w:num w:numId="15">
    <w:abstractNumId w:val="13"/>
  </w:num>
  <w:num w:numId="16">
    <w:abstractNumId w:val="2"/>
  </w:num>
  <w:num w:numId="17">
    <w:abstractNumId w:val="5"/>
  </w:num>
  <w:num w:numId="18">
    <w:abstractNumId w:val="27"/>
  </w:num>
  <w:num w:numId="19">
    <w:abstractNumId w:val="8"/>
  </w:num>
  <w:num w:numId="20">
    <w:abstractNumId w:val="22"/>
  </w:num>
  <w:num w:numId="21">
    <w:abstractNumId w:val="30"/>
  </w:num>
  <w:num w:numId="22">
    <w:abstractNumId w:val="18"/>
  </w:num>
  <w:num w:numId="23">
    <w:abstractNumId w:val="26"/>
  </w:num>
  <w:num w:numId="24">
    <w:abstractNumId w:val="6"/>
  </w:num>
  <w:num w:numId="25">
    <w:abstractNumId w:val="25"/>
  </w:num>
  <w:num w:numId="26">
    <w:abstractNumId w:val="34"/>
  </w:num>
  <w:num w:numId="27">
    <w:abstractNumId w:val="9"/>
  </w:num>
  <w:num w:numId="28">
    <w:abstractNumId w:val="7"/>
  </w:num>
  <w:num w:numId="29">
    <w:abstractNumId w:val="11"/>
  </w:num>
  <w:num w:numId="30">
    <w:abstractNumId w:val="10"/>
  </w:num>
  <w:num w:numId="31">
    <w:abstractNumId w:val="0"/>
  </w:num>
  <w:num w:numId="32">
    <w:abstractNumId w:val="23"/>
  </w:num>
  <w:num w:numId="33">
    <w:abstractNumId w:val="20"/>
  </w:num>
  <w:num w:numId="34">
    <w:abstractNumId w:val="29"/>
  </w:num>
  <w:num w:numId="35">
    <w:abstractNumId w:val="32"/>
  </w:num>
  <w:num w:numId="36">
    <w:abstractNumId w:val="28"/>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0AE"/>
    <w:rsid w:val="00000ABA"/>
    <w:rsid w:val="0000173C"/>
    <w:rsid w:val="00003A2A"/>
    <w:rsid w:val="000079DC"/>
    <w:rsid w:val="00010688"/>
    <w:rsid w:val="00015D5A"/>
    <w:rsid w:val="00030AD7"/>
    <w:rsid w:val="0003119C"/>
    <w:rsid w:val="00040ED8"/>
    <w:rsid w:val="00041ABA"/>
    <w:rsid w:val="00043DD6"/>
    <w:rsid w:val="00053C1D"/>
    <w:rsid w:val="00054F72"/>
    <w:rsid w:val="00062817"/>
    <w:rsid w:val="00062AAE"/>
    <w:rsid w:val="000654CD"/>
    <w:rsid w:val="000A37E2"/>
    <w:rsid w:val="000B0A67"/>
    <w:rsid w:val="000B6093"/>
    <w:rsid w:val="000B75F1"/>
    <w:rsid w:val="000C2935"/>
    <w:rsid w:val="000D55C2"/>
    <w:rsid w:val="000D7A82"/>
    <w:rsid w:val="000E1F7F"/>
    <w:rsid w:val="000F1F8F"/>
    <w:rsid w:val="00102458"/>
    <w:rsid w:val="001102DB"/>
    <w:rsid w:val="00110BC2"/>
    <w:rsid w:val="00111E0D"/>
    <w:rsid w:val="0012515F"/>
    <w:rsid w:val="001325EC"/>
    <w:rsid w:val="00141AD8"/>
    <w:rsid w:val="0014506D"/>
    <w:rsid w:val="00151B0E"/>
    <w:rsid w:val="0015387C"/>
    <w:rsid w:val="00153CEB"/>
    <w:rsid w:val="001579A0"/>
    <w:rsid w:val="0016126D"/>
    <w:rsid w:val="001617F2"/>
    <w:rsid w:val="00165220"/>
    <w:rsid w:val="00166C11"/>
    <w:rsid w:val="00170DBE"/>
    <w:rsid w:val="00171F52"/>
    <w:rsid w:val="00175F93"/>
    <w:rsid w:val="00184D61"/>
    <w:rsid w:val="00186565"/>
    <w:rsid w:val="00194DB3"/>
    <w:rsid w:val="001A35F3"/>
    <w:rsid w:val="001B6786"/>
    <w:rsid w:val="001C0149"/>
    <w:rsid w:val="001C52A9"/>
    <w:rsid w:val="001D1503"/>
    <w:rsid w:val="001D3780"/>
    <w:rsid w:val="001E0E71"/>
    <w:rsid w:val="001E57E7"/>
    <w:rsid w:val="001E754B"/>
    <w:rsid w:val="001F11F4"/>
    <w:rsid w:val="001F3FF9"/>
    <w:rsid w:val="001F4EE6"/>
    <w:rsid w:val="00202845"/>
    <w:rsid w:val="002047E4"/>
    <w:rsid w:val="002100F3"/>
    <w:rsid w:val="00215DB5"/>
    <w:rsid w:val="00227B23"/>
    <w:rsid w:val="00227E85"/>
    <w:rsid w:val="00236328"/>
    <w:rsid w:val="0024439B"/>
    <w:rsid w:val="00244C16"/>
    <w:rsid w:val="002837BF"/>
    <w:rsid w:val="00284ADA"/>
    <w:rsid w:val="0028703A"/>
    <w:rsid w:val="002910D9"/>
    <w:rsid w:val="002A1273"/>
    <w:rsid w:val="002A5325"/>
    <w:rsid w:val="002B74B7"/>
    <w:rsid w:val="002C4B3A"/>
    <w:rsid w:val="002C7AE9"/>
    <w:rsid w:val="002D1F94"/>
    <w:rsid w:val="002D4279"/>
    <w:rsid w:val="002F6A5B"/>
    <w:rsid w:val="00300C03"/>
    <w:rsid w:val="00301A7B"/>
    <w:rsid w:val="00303672"/>
    <w:rsid w:val="00303B69"/>
    <w:rsid w:val="00311023"/>
    <w:rsid w:val="00353C9E"/>
    <w:rsid w:val="00360979"/>
    <w:rsid w:val="00361D3C"/>
    <w:rsid w:val="00364C97"/>
    <w:rsid w:val="00370E58"/>
    <w:rsid w:val="00371219"/>
    <w:rsid w:val="00374C62"/>
    <w:rsid w:val="00374F94"/>
    <w:rsid w:val="00393857"/>
    <w:rsid w:val="00394C41"/>
    <w:rsid w:val="00397156"/>
    <w:rsid w:val="003A5057"/>
    <w:rsid w:val="003B64A6"/>
    <w:rsid w:val="003C489D"/>
    <w:rsid w:val="003C5D3F"/>
    <w:rsid w:val="003C6FFF"/>
    <w:rsid w:val="003D01A9"/>
    <w:rsid w:val="003D3123"/>
    <w:rsid w:val="003D3827"/>
    <w:rsid w:val="003D7575"/>
    <w:rsid w:val="003E0E53"/>
    <w:rsid w:val="003F4B4E"/>
    <w:rsid w:val="003F6A92"/>
    <w:rsid w:val="003F6CFB"/>
    <w:rsid w:val="004066A4"/>
    <w:rsid w:val="0041328E"/>
    <w:rsid w:val="004227A9"/>
    <w:rsid w:val="004274D0"/>
    <w:rsid w:val="00430254"/>
    <w:rsid w:val="004349F5"/>
    <w:rsid w:val="0043524F"/>
    <w:rsid w:val="00436C2E"/>
    <w:rsid w:val="004378D2"/>
    <w:rsid w:val="0044008D"/>
    <w:rsid w:val="004468EE"/>
    <w:rsid w:val="004530B7"/>
    <w:rsid w:val="00485EC9"/>
    <w:rsid w:val="004877D9"/>
    <w:rsid w:val="004934B0"/>
    <w:rsid w:val="004946A2"/>
    <w:rsid w:val="004B297D"/>
    <w:rsid w:val="004C0E8B"/>
    <w:rsid w:val="004C2E8E"/>
    <w:rsid w:val="004C67F3"/>
    <w:rsid w:val="004D3D36"/>
    <w:rsid w:val="004F1D59"/>
    <w:rsid w:val="004F3802"/>
    <w:rsid w:val="004F521A"/>
    <w:rsid w:val="005059E5"/>
    <w:rsid w:val="00511A09"/>
    <w:rsid w:val="005133E9"/>
    <w:rsid w:val="00525B5A"/>
    <w:rsid w:val="00532D2A"/>
    <w:rsid w:val="00536CD2"/>
    <w:rsid w:val="00541580"/>
    <w:rsid w:val="00543357"/>
    <w:rsid w:val="00544368"/>
    <w:rsid w:val="00546695"/>
    <w:rsid w:val="00551504"/>
    <w:rsid w:val="005524A7"/>
    <w:rsid w:val="00557A56"/>
    <w:rsid w:val="005630B6"/>
    <w:rsid w:val="00571271"/>
    <w:rsid w:val="00572250"/>
    <w:rsid w:val="00575107"/>
    <w:rsid w:val="00591F6E"/>
    <w:rsid w:val="0059301B"/>
    <w:rsid w:val="00597E0C"/>
    <w:rsid w:val="005A0344"/>
    <w:rsid w:val="005A4397"/>
    <w:rsid w:val="005A63D1"/>
    <w:rsid w:val="005B0F57"/>
    <w:rsid w:val="005B2480"/>
    <w:rsid w:val="005B35F6"/>
    <w:rsid w:val="005C053E"/>
    <w:rsid w:val="005C3CFF"/>
    <w:rsid w:val="005C6FCF"/>
    <w:rsid w:val="005D3EEB"/>
    <w:rsid w:val="005E1E68"/>
    <w:rsid w:val="005E2C74"/>
    <w:rsid w:val="005E3AB5"/>
    <w:rsid w:val="005E48F5"/>
    <w:rsid w:val="006051C9"/>
    <w:rsid w:val="00606E28"/>
    <w:rsid w:val="0061168B"/>
    <w:rsid w:val="0063698F"/>
    <w:rsid w:val="0066155B"/>
    <w:rsid w:val="00661676"/>
    <w:rsid w:val="00661807"/>
    <w:rsid w:val="00674786"/>
    <w:rsid w:val="00684D0F"/>
    <w:rsid w:val="00686364"/>
    <w:rsid w:val="006A438C"/>
    <w:rsid w:val="006A492E"/>
    <w:rsid w:val="006A682D"/>
    <w:rsid w:val="006B63FD"/>
    <w:rsid w:val="006C0205"/>
    <w:rsid w:val="006C6A97"/>
    <w:rsid w:val="006D5CF6"/>
    <w:rsid w:val="006E26A1"/>
    <w:rsid w:val="006F1748"/>
    <w:rsid w:val="006F33F2"/>
    <w:rsid w:val="006F7AE8"/>
    <w:rsid w:val="0071120B"/>
    <w:rsid w:val="00711EF5"/>
    <w:rsid w:val="00712A39"/>
    <w:rsid w:val="00713216"/>
    <w:rsid w:val="007234CF"/>
    <w:rsid w:val="007238CF"/>
    <w:rsid w:val="00732F89"/>
    <w:rsid w:val="00744D91"/>
    <w:rsid w:val="00746F14"/>
    <w:rsid w:val="00747E8E"/>
    <w:rsid w:val="007500AB"/>
    <w:rsid w:val="007513B5"/>
    <w:rsid w:val="00753164"/>
    <w:rsid w:val="00757101"/>
    <w:rsid w:val="00757714"/>
    <w:rsid w:val="00762B3F"/>
    <w:rsid w:val="0077538C"/>
    <w:rsid w:val="00793CD8"/>
    <w:rsid w:val="007C3031"/>
    <w:rsid w:val="007C4088"/>
    <w:rsid w:val="007D0E20"/>
    <w:rsid w:val="007E0C37"/>
    <w:rsid w:val="007E27FB"/>
    <w:rsid w:val="00804423"/>
    <w:rsid w:val="008137DB"/>
    <w:rsid w:val="008226C4"/>
    <w:rsid w:val="00837583"/>
    <w:rsid w:val="00840367"/>
    <w:rsid w:val="0085142B"/>
    <w:rsid w:val="00852F14"/>
    <w:rsid w:val="00857484"/>
    <w:rsid w:val="00857CFC"/>
    <w:rsid w:val="008608EA"/>
    <w:rsid w:val="00863A42"/>
    <w:rsid w:val="008657D4"/>
    <w:rsid w:val="00884E31"/>
    <w:rsid w:val="00892E09"/>
    <w:rsid w:val="008A35B0"/>
    <w:rsid w:val="008A3E70"/>
    <w:rsid w:val="008B0E31"/>
    <w:rsid w:val="008C490E"/>
    <w:rsid w:val="008C4E7C"/>
    <w:rsid w:val="008D1F8E"/>
    <w:rsid w:val="008E0C4B"/>
    <w:rsid w:val="008E1EB2"/>
    <w:rsid w:val="008E2AB3"/>
    <w:rsid w:val="008E2B9C"/>
    <w:rsid w:val="008E73C3"/>
    <w:rsid w:val="008F3978"/>
    <w:rsid w:val="008F4244"/>
    <w:rsid w:val="008F5552"/>
    <w:rsid w:val="00904872"/>
    <w:rsid w:val="00926954"/>
    <w:rsid w:val="00926D5F"/>
    <w:rsid w:val="00940701"/>
    <w:rsid w:val="00945380"/>
    <w:rsid w:val="00950786"/>
    <w:rsid w:val="00951C84"/>
    <w:rsid w:val="009616F9"/>
    <w:rsid w:val="009653FA"/>
    <w:rsid w:val="00973432"/>
    <w:rsid w:val="00975A8D"/>
    <w:rsid w:val="009825BE"/>
    <w:rsid w:val="00983426"/>
    <w:rsid w:val="00991C88"/>
    <w:rsid w:val="00993199"/>
    <w:rsid w:val="00993CB5"/>
    <w:rsid w:val="0099653B"/>
    <w:rsid w:val="00996D4D"/>
    <w:rsid w:val="009A5CF8"/>
    <w:rsid w:val="009B4D11"/>
    <w:rsid w:val="009B645E"/>
    <w:rsid w:val="009B7903"/>
    <w:rsid w:val="009E0503"/>
    <w:rsid w:val="009E0BC5"/>
    <w:rsid w:val="009E5A4C"/>
    <w:rsid w:val="009E6C1B"/>
    <w:rsid w:val="00A06F79"/>
    <w:rsid w:val="00A14315"/>
    <w:rsid w:val="00A34BD8"/>
    <w:rsid w:val="00A45AB6"/>
    <w:rsid w:val="00A5070A"/>
    <w:rsid w:val="00A50A4D"/>
    <w:rsid w:val="00A52F77"/>
    <w:rsid w:val="00A623B4"/>
    <w:rsid w:val="00A66550"/>
    <w:rsid w:val="00A833F8"/>
    <w:rsid w:val="00A949A6"/>
    <w:rsid w:val="00AA62A1"/>
    <w:rsid w:val="00AA76B8"/>
    <w:rsid w:val="00AA7F84"/>
    <w:rsid w:val="00AC7098"/>
    <w:rsid w:val="00AE30F5"/>
    <w:rsid w:val="00AF3299"/>
    <w:rsid w:val="00AF7D30"/>
    <w:rsid w:val="00B03B59"/>
    <w:rsid w:val="00B131DF"/>
    <w:rsid w:val="00B13614"/>
    <w:rsid w:val="00B139A3"/>
    <w:rsid w:val="00B13DFF"/>
    <w:rsid w:val="00B15F1D"/>
    <w:rsid w:val="00B21059"/>
    <w:rsid w:val="00B25BDA"/>
    <w:rsid w:val="00B34FDE"/>
    <w:rsid w:val="00B47845"/>
    <w:rsid w:val="00B5598D"/>
    <w:rsid w:val="00B61EED"/>
    <w:rsid w:val="00B81AA0"/>
    <w:rsid w:val="00B82BFB"/>
    <w:rsid w:val="00B85AC9"/>
    <w:rsid w:val="00B9158C"/>
    <w:rsid w:val="00B92899"/>
    <w:rsid w:val="00B95B0A"/>
    <w:rsid w:val="00BA0BDC"/>
    <w:rsid w:val="00BB582D"/>
    <w:rsid w:val="00BB744C"/>
    <w:rsid w:val="00BB7512"/>
    <w:rsid w:val="00BC558B"/>
    <w:rsid w:val="00BD3AD8"/>
    <w:rsid w:val="00BD64F6"/>
    <w:rsid w:val="00BE16EE"/>
    <w:rsid w:val="00BE5E03"/>
    <w:rsid w:val="00BF49CB"/>
    <w:rsid w:val="00C00884"/>
    <w:rsid w:val="00C15B18"/>
    <w:rsid w:val="00C23B73"/>
    <w:rsid w:val="00C270DD"/>
    <w:rsid w:val="00C35803"/>
    <w:rsid w:val="00C37EF6"/>
    <w:rsid w:val="00C41539"/>
    <w:rsid w:val="00C502A5"/>
    <w:rsid w:val="00C55753"/>
    <w:rsid w:val="00C56CA5"/>
    <w:rsid w:val="00C67A10"/>
    <w:rsid w:val="00C72ED4"/>
    <w:rsid w:val="00C8004F"/>
    <w:rsid w:val="00C821EF"/>
    <w:rsid w:val="00C8631A"/>
    <w:rsid w:val="00C94F24"/>
    <w:rsid w:val="00CA11B3"/>
    <w:rsid w:val="00CA4291"/>
    <w:rsid w:val="00CA708D"/>
    <w:rsid w:val="00CB04ED"/>
    <w:rsid w:val="00CB129F"/>
    <w:rsid w:val="00CC125B"/>
    <w:rsid w:val="00CC4D33"/>
    <w:rsid w:val="00D024D5"/>
    <w:rsid w:val="00D0276B"/>
    <w:rsid w:val="00D05689"/>
    <w:rsid w:val="00D05F50"/>
    <w:rsid w:val="00D102A8"/>
    <w:rsid w:val="00D20BF8"/>
    <w:rsid w:val="00D21BB8"/>
    <w:rsid w:val="00D250EF"/>
    <w:rsid w:val="00D328B6"/>
    <w:rsid w:val="00D34D98"/>
    <w:rsid w:val="00D47E31"/>
    <w:rsid w:val="00D550BC"/>
    <w:rsid w:val="00D66C40"/>
    <w:rsid w:val="00D80F6A"/>
    <w:rsid w:val="00D820BA"/>
    <w:rsid w:val="00D84901"/>
    <w:rsid w:val="00D84C24"/>
    <w:rsid w:val="00D86414"/>
    <w:rsid w:val="00D97B51"/>
    <w:rsid w:val="00DA3163"/>
    <w:rsid w:val="00DA44ED"/>
    <w:rsid w:val="00DB1297"/>
    <w:rsid w:val="00DB1E06"/>
    <w:rsid w:val="00DC3EC4"/>
    <w:rsid w:val="00DD1F38"/>
    <w:rsid w:val="00DD3B68"/>
    <w:rsid w:val="00DD4377"/>
    <w:rsid w:val="00DE2C9C"/>
    <w:rsid w:val="00DF038D"/>
    <w:rsid w:val="00DF1B7B"/>
    <w:rsid w:val="00DF5353"/>
    <w:rsid w:val="00DF6591"/>
    <w:rsid w:val="00E01538"/>
    <w:rsid w:val="00E02822"/>
    <w:rsid w:val="00E037B0"/>
    <w:rsid w:val="00E13DCD"/>
    <w:rsid w:val="00E16A8C"/>
    <w:rsid w:val="00E20306"/>
    <w:rsid w:val="00E252BD"/>
    <w:rsid w:val="00E34294"/>
    <w:rsid w:val="00E36E33"/>
    <w:rsid w:val="00E37B56"/>
    <w:rsid w:val="00E44F88"/>
    <w:rsid w:val="00E54BB3"/>
    <w:rsid w:val="00E60156"/>
    <w:rsid w:val="00E608E0"/>
    <w:rsid w:val="00E645B5"/>
    <w:rsid w:val="00E66863"/>
    <w:rsid w:val="00E9191C"/>
    <w:rsid w:val="00E94194"/>
    <w:rsid w:val="00EA09DB"/>
    <w:rsid w:val="00EA1303"/>
    <w:rsid w:val="00EA49A8"/>
    <w:rsid w:val="00EB2D69"/>
    <w:rsid w:val="00EB455E"/>
    <w:rsid w:val="00EC08FB"/>
    <w:rsid w:val="00EC1BE6"/>
    <w:rsid w:val="00EC2551"/>
    <w:rsid w:val="00EC3873"/>
    <w:rsid w:val="00ED1117"/>
    <w:rsid w:val="00EE380E"/>
    <w:rsid w:val="00EE5372"/>
    <w:rsid w:val="00EE7D93"/>
    <w:rsid w:val="00EF297D"/>
    <w:rsid w:val="00F0310C"/>
    <w:rsid w:val="00F14922"/>
    <w:rsid w:val="00F33AA9"/>
    <w:rsid w:val="00F53BF0"/>
    <w:rsid w:val="00F60F1D"/>
    <w:rsid w:val="00F6510F"/>
    <w:rsid w:val="00F65702"/>
    <w:rsid w:val="00F660AE"/>
    <w:rsid w:val="00F706B0"/>
    <w:rsid w:val="00F7325A"/>
    <w:rsid w:val="00F76E92"/>
    <w:rsid w:val="00FA2F03"/>
    <w:rsid w:val="00FA5B9E"/>
    <w:rsid w:val="00FA77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C0AA70"/>
  <w15:docId w15:val="{16C15664-6E89-4483-A1AD-947870609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qFormat/>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customStyle="1" w:styleId="Default">
    <w:name w:val="Default"/>
    <w:rsid w:val="00EB4501"/>
    <w:pPr>
      <w:autoSpaceDE w:val="0"/>
      <w:autoSpaceDN w:val="0"/>
      <w:adjustRightInd w:val="0"/>
      <w:spacing w:line="240" w:lineRule="auto"/>
    </w:pPr>
    <w:rPr>
      <w:rFonts w:ascii="Arial" w:hAnsi="Arial" w:cs="Arial"/>
      <w:color w:val="000000"/>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pPr>
      <w:spacing w:line="240" w:lineRule="auto"/>
    </w:pPr>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line="240" w:lineRule="auto"/>
    </w:pPr>
    <w:tblPr>
      <w:tblStyleRowBandSize w:val="1"/>
      <w:tblStyleColBandSize w:val="1"/>
      <w:tblCellMar>
        <w:left w:w="108" w:type="dxa"/>
        <w:right w:w="108" w:type="dxa"/>
      </w:tblCellMar>
    </w:tblPr>
  </w:style>
  <w:style w:type="character" w:customStyle="1" w:styleId="SinespaciadoCar">
    <w:name w:val="Sin espaciado Car"/>
    <w:aliases w:val="Francesa Car,INAI Car"/>
    <w:link w:val="Sinespaciado"/>
    <w:uiPriority w:val="1"/>
    <w:locked/>
    <w:rsid w:val="002C4B3A"/>
    <w:rPr>
      <w:rFonts w:eastAsia="Times New Roman" w:cs="Times New Roman"/>
      <w:szCs w:val="20"/>
      <w:lang w:eastAsia="es-ES"/>
    </w:rPr>
  </w:style>
  <w:style w:type="character" w:customStyle="1" w:styleId="Mencinsinresolver1">
    <w:name w:val="Mención sin resolver1"/>
    <w:basedOn w:val="Fuentedeprrafopredeter"/>
    <w:uiPriority w:val="99"/>
    <w:semiHidden/>
    <w:unhideWhenUsed/>
    <w:rsid w:val="00393857"/>
    <w:rPr>
      <w:color w:val="605E5C"/>
      <w:shd w:val="clear" w:color="auto" w:fill="E1DFDD"/>
    </w:rPr>
  </w:style>
  <w:style w:type="character" w:styleId="Hipervnculovisitado">
    <w:name w:val="FollowedHyperlink"/>
    <w:basedOn w:val="Fuentedeprrafopredeter"/>
    <w:uiPriority w:val="99"/>
    <w:semiHidden/>
    <w:unhideWhenUsed/>
    <w:rsid w:val="00393857"/>
    <w:rPr>
      <w:color w:val="96607D" w:themeColor="followed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1168B"/>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1168B"/>
    <w:rPr>
      <w:rFonts w:eastAsia="Times New Roman" w:cs="Times New Roman"/>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61168B"/>
    <w:rPr>
      <w:vertAlign w:val="superscript"/>
    </w:rPr>
  </w:style>
  <w:style w:type="paragraph" w:customStyle="1" w:styleId="Citas">
    <w:name w:val="Citas"/>
    <w:basedOn w:val="Normal"/>
    <w:qFormat/>
    <w:rsid w:val="00D21BB8"/>
    <w:pPr>
      <w:spacing w:before="240" w:after="160"/>
      <w:ind w:left="851" w:right="851"/>
    </w:pPr>
    <w:rPr>
      <w:rFonts w:eastAsiaTheme="minorHAnsi" w:cs="Arial"/>
      <w:i/>
      <w:szCs w:val="22"/>
      <w:lang w:eastAsia="en-US"/>
    </w:rPr>
  </w:style>
  <w:style w:type="character" w:styleId="Textoennegrita">
    <w:name w:val="Strong"/>
    <w:uiPriority w:val="22"/>
    <w:qFormat/>
    <w:rsid w:val="00D21B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210218">
      <w:bodyDiv w:val="1"/>
      <w:marLeft w:val="0"/>
      <w:marRight w:val="0"/>
      <w:marTop w:val="0"/>
      <w:marBottom w:val="0"/>
      <w:divBdr>
        <w:top w:val="none" w:sz="0" w:space="0" w:color="auto"/>
        <w:left w:val="none" w:sz="0" w:space="0" w:color="auto"/>
        <w:bottom w:val="none" w:sz="0" w:space="0" w:color="auto"/>
        <w:right w:val="none" w:sz="0" w:space="0" w:color="auto"/>
      </w:divBdr>
    </w:div>
    <w:div w:id="277110006">
      <w:bodyDiv w:val="1"/>
      <w:marLeft w:val="0"/>
      <w:marRight w:val="0"/>
      <w:marTop w:val="0"/>
      <w:marBottom w:val="0"/>
      <w:divBdr>
        <w:top w:val="none" w:sz="0" w:space="0" w:color="auto"/>
        <w:left w:val="none" w:sz="0" w:space="0" w:color="auto"/>
        <w:bottom w:val="none" w:sz="0" w:space="0" w:color="auto"/>
        <w:right w:val="none" w:sz="0" w:space="0" w:color="auto"/>
      </w:divBdr>
    </w:div>
    <w:div w:id="386925943">
      <w:bodyDiv w:val="1"/>
      <w:marLeft w:val="0"/>
      <w:marRight w:val="0"/>
      <w:marTop w:val="0"/>
      <w:marBottom w:val="0"/>
      <w:divBdr>
        <w:top w:val="none" w:sz="0" w:space="0" w:color="auto"/>
        <w:left w:val="none" w:sz="0" w:space="0" w:color="auto"/>
        <w:bottom w:val="none" w:sz="0" w:space="0" w:color="auto"/>
        <w:right w:val="none" w:sz="0" w:space="0" w:color="auto"/>
      </w:divBdr>
    </w:div>
    <w:div w:id="514346033">
      <w:bodyDiv w:val="1"/>
      <w:marLeft w:val="0"/>
      <w:marRight w:val="0"/>
      <w:marTop w:val="0"/>
      <w:marBottom w:val="0"/>
      <w:divBdr>
        <w:top w:val="none" w:sz="0" w:space="0" w:color="auto"/>
        <w:left w:val="none" w:sz="0" w:space="0" w:color="auto"/>
        <w:bottom w:val="none" w:sz="0" w:space="0" w:color="auto"/>
        <w:right w:val="none" w:sz="0" w:space="0" w:color="auto"/>
      </w:divBdr>
    </w:div>
    <w:div w:id="617571084">
      <w:bodyDiv w:val="1"/>
      <w:marLeft w:val="0"/>
      <w:marRight w:val="0"/>
      <w:marTop w:val="0"/>
      <w:marBottom w:val="0"/>
      <w:divBdr>
        <w:top w:val="none" w:sz="0" w:space="0" w:color="auto"/>
        <w:left w:val="none" w:sz="0" w:space="0" w:color="auto"/>
        <w:bottom w:val="none" w:sz="0" w:space="0" w:color="auto"/>
        <w:right w:val="none" w:sz="0" w:space="0" w:color="auto"/>
      </w:divBdr>
      <w:divsChild>
        <w:div w:id="717124365">
          <w:marLeft w:val="0"/>
          <w:marRight w:val="0"/>
          <w:marTop w:val="15"/>
          <w:marBottom w:val="0"/>
          <w:divBdr>
            <w:top w:val="single" w:sz="48" w:space="0" w:color="auto"/>
            <w:left w:val="single" w:sz="48" w:space="0" w:color="auto"/>
            <w:bottom w:val="single" w:sz="48" w:space="0" w:color="auto"/>
            <w:right w:val="single" w:sz="48" w:space="0" w:color="auto"/>
          </w:divBdr>
          <w:divsChild>
            <w:div w:id="13964988">
              <w:marLeft w:val="0"/>
              <w:marRight w:val="0"/>
              <w:marTop w:val="0"/>
              <w:marBottom w:val="0"/>
              <w:divBdr>
                <w:top w:val="none" w:sz="0" w:space="0" w:color="auto"/>
                <w:left w:val="none" w:sz="0" w:space="0" w:color="auto"/>
                <w:bottom w:val="none" w:sz="0" w:space="0" w:color="auto"/>
                <w:right w:val="none" w:sz="0" w:space="0" w:color="auto"/>
              </w:divBdr>
              <w:divsChild>
                <w:div w:id="685443620">
                  <w:marLeft w:val="0"/>
                  <w:marRight w:val="0"/>
                  <w:marTop w:val="0"/>
                  <w:marBottom w:val="0"/>
                  <w:divBdr>
                    <w:top w:val="none" w:sz="0" w:space="0" w:color="auto"/>
                    <w:left w:val="none" w:sz="0" w:space="0" w:color="auto"/>
                    <w:bottom w:val="none" w:sz="0" w:space="0" w:color="auto"/>
                    <w:right w:val="none" w:sz="0" w:space="0" w:color="auto"/>
                  </w:divBdr>
                </w:div>
                <w:div w:id="337002615">
                  <w:marLeft w:val="0"/>
                  <w:marRight w:val="0"/>
                  <w:marTop w:val="0"/>
                  <w:marBottom w:val="0"/>
                  <w:divBdr>
                    <w:top w:val="none" w:sz="0" w:space="0" w:color="auto"/>
                    <w:left w:val="none" w:sz="0" w:space="0" w:color="auto"/>
                    <w:bottom w:val="none" w:sz="0" w:space="0" w:color="auto"/>
                    <w:right w:val="none" w:sz="0" w:space="0" w:color="auto"/>
                  </w:divBdr>
                </w:div>
                <w:div w:id="956252462">
                  <w:marLeft w:val="0"/>
                  <w:marRight w:val="0"/>
                  <w:marTop w:val="0"/>
                  <w:marBottom w:val="0"/>
                  <w:divBdr>
                    <w:top w:val="none" w:sz="0" w:space="0" w:color="auto"/>
                    <w:left w:val="none" w:sz="0" w:space="0" w:color="auto"/>
                    <w:bottom w:val="none" w:sz="0" w:space="0" w:color="auto"/>
                    <w:right w:val="none" w:sz="0" w:space="0" w:color="auto"/>
                  </w:divBdr>
                </w:div>
                <w:div w:id="634021717">
                  <w:marLeft w:val="0"/>
                  <w:marRight w:val="0"/>
                  <w:marTop w:val="0"/>
                  <w:marBottom w:val="0"/>
                  <w:divBdr>
                    <w:top w:val="none" w:sz="0" w:space="0" w:color="auto"/>
                    <w:left w:val="none" w:sz="0" w:space="0" w:color="auto"/>
                    <w:bottom w:val="none" w:sz="0" w:space="0" w:color="auto"/>
                    <w:right w:val="none" w:sz="0" w:space="0" w:color="auto"/>
                  </w:divBdr>
                </w:div>
                <w:div w:id="1108353063">
                  <w:marLeft w:val="0"/>
                  <w:marRight w:val="0"/>
                  <w:marTop w:val="0"/>
                  <w:marBottom w:val="0"/>
                  <w:divBdr>
                    <w:top w:val="none" w:sz="0" w:space="0" w:color="auto"/>
                    <w:left w:val="none" w:sz="0" w:space="0" w:color="auto"/>
                    <w:bottom w:val="none" w:sz="0" w:space="0" w:color="auto"/>
                    <w:right w:val="none" w:sz="0" w:space="0" w:color="auto"/>
                  </w:divBdr>
                </w:div>
                <w:div w:id="310327416">
                  <w:marLeft w:val="0"/>
                  <w:marRight w:val="0"/>
                  <w:marTop w:val="0"/>
                  <w:marBottom w:val="0"/>
                  <w:divBdr>
                    <w:top w:val="none" w:sz="0" w:space="0" w:color="auto"/>
                    <w:left w:val="none" w:sz="0" w:space="0" w:color="auto"/>
                    <w:bottom w:val="none" w:sz="0" w:space="0" w:color="auto"/>
                    <w:right w:val="none" w:sz="0" w:space="0" w:color="auto"/>
                  </w:divBdr>
                </w:div>
                <w:div w:id="1881629025">
                  <w:marLeft w:val="0"/>
                  <w:marRight w:val="0"/>
                  <w:marTop w:val="0"/>
                  <w:marBottom w:val="0"/>
                  <w:divBdr>
                    <w:top w:val="none" w:sz="0" w:space="0" w:color="auto"/>
                    <w:left w:val="none" w:sz="0" w:space="0" w:color="auto"/>
                    <w:bottom w:val="none" w:sz="0" w:space="0" w:color="auto"/>
                    <w:right w:val="none" w:sz="0" w:space="0" w:color="auto"/>
                  </w:divBdr>
                </w:div>
                <w:div w:id="1604534755">
                  <w:marLeft w:val="0"/>
                  <w:marRight w:val="0"/>
                  <w:marTop w:val="0"/>
                  <w:marBottom w:val="0"/>
                  <w:divBdr>
                    <w:top w:val="none" w:sz="0" w:space="0" w:color="auto"/>
                    <w:left w:val="none" w:sz="0" w:space="0" w:color="auto"/>
                    <w:bottom w:val="none" w:sz="0" w:space="0" w:color="auto"/>
                    <w:right w:val="none" w:sz="0" w:space="0" w:color="auto"/>
                  </w:divBdr>
                </w:div>
                <w:div w:id="1177040399">
                  <w:marLeft w:val="0"/>
                  <w:marRight w:val="0"/>
                  <w:marTop w:val="0"/>
                  <w:marBottom w:val="0"/>
                  <w:divBdr>
                    <w:top w:val="none" w:sz="0" w:space="0" w:color="auto"/>
                    <w:left w:val="none" w:sz="0" w:space="0" w:color="auto"/>
                    <w:bottom w:val="none" w:sz="0" w:space="0" w:color="auto"/>
                    <w:right w:val="none" w:sz="0" w:space="0" w:color="auto"/>
                  </w:divBdr>
                </w:div>
                <w:div w:id="1709791857">
                  <w:marLeft w:val="0"/>
                  <w:marRight w:val="0"/>
                  <w:marTop w:val="0"/>
                  <w:marBottom w:val="0"/>
                  <w:divBdr>
                    <w:top w:val="none" w:sz="0" w:space="0" w:color="auto"/>
                    <w:left w:val="none" w:sz="0" w:space="0" w:color="auto"/>
                    <w:bottom w:val="none" w:sz="0" w:space="0" w:color="auto"/>
                    <w:right w:val="none" w:sz="0" w:space="0" w:color="auto"/>
                  </w:divBdr>
                </w:div>
                <w:div w:id="1340546163">
                  <w:marLeft w:val="0"/>
                  <w:marRight w:val="0"/>
                  <w:marTop w:val="0"/>
                  <w:marBottom w:val="0"/>
                  <w:divBdr>
                    <w:top w:val="none" w:sz="0" w:space="0" w:color="auto"/>
                    <w:left w:val="none" w:sz="0" w:space="0" w:color="auto"/>
                    <w:bottom w:val="none" w:sz="0" w:space="0" w:color="auto"/>
                    <w:right w:val="none" w:sz="0" w:space="0" w:color="auto"/>
                  </w:divBdr>
                </w:div>
                <w:div w:id="1944805285">
                  <w:marLeft w:val="0"/>
                  <w:marRight w:val="0"/>
                  <w:marTop w:val="0"/>
                  <w:marBottom w:val="0"/>
                  <w:divBdr>
                    <w:top w:val="none" w:sz="0" w:space="0" w:color="auto"/>
                    <w:left w:val="none" w:sz="0" w:space="0" w:color="auto"/>
                    <w:bottom w:val="none" w:sz="0" w:space="0" w:color="auto"/>
                    <w:right w:val="none" w:sz="0" w:space="0" w:color="auto"/>
                  </w:divBdr>
                </w:div>
                <w:div w:id="1847935941">
                  <w:marLeft w:val="0"/>
                  <w:marRight w:val="0"/>
                  <w:marTop w:val="0"/>
                  <w:marBottom w:val="0"/>
                  <w:divBdr>
                    <w:top w:val="none" w:sz="0" w:space="0" w:color="auto"/>
                    <w:left w:val="none" w:sz="0" w:space="0" w:color="auto"/>
                    <w:bottom w:val="none" w:sz="0" w:space="0" w:color="auto"/>
                    <w:right w:val="none" w:sz="0" w:space="0" w:color="auto"/>
                  </w:divBdr>
                </w:div>
                <w:div w:id="4984960">
                  <w:marLeft w:val="0"/>
                  <w:marRight w:val="0"/>
                  <w:marTop w:val="0"/>
                  <w:marBottom w:val="0"/>
                  <w:divBdr>
                    <w:top w:val="none" w:sz="0" w:space="0" w:color="auto"/>
                    <w:left w:val="none" w:sz="0" w:space="0" w:color="auto"/>
                    <w:bottom w:val="none" w:sz="0" w:space="0" w:color="auto"/>
                    <w:right w:val="none" w:sz="0" w:space="0" w:color="auto"/>
                  </w:divBdr>
                </w:div>
                <w:div w:id="202594440">
                  <w:marLeft w:val="0"/>
                  <w:marRight w:val="0"/>
                  <w:marTop w:val="0"/>
                  <w:marBottom w:val="0"/>
                  <w:divBdr>
                    <w:top w:val="none" w:sz="0" w:space="0" w:color="auto"/>
                    <w:left w:val="none" w:sz="0" w:space="0" w:color="auto"/>
                    <w:bottom w:val="none" w:sz="0" w:space="0" w:color="auto"/>
                    <w:right w:val="none" w:sz="0" w:space="0" w:color="auto"/>
                  </w:divBdr>
                </w:div>
                <w:div w:id="1771585469">
                  <w:marLeft w:val="0"/>
                  <w:marRight w:val="0"/>
                  <w:marTop w:val="0"/>
                  <w:marBottom w:val="0"/>
                  <w:divBdr>
                    <w:top w:val="none" w:sz="0" w:space="0" w:color="auto"/>
                    <w:left w:val="none" w:sz="0" w:space="0" w:color="auto"/>
                    <w:bottom w:val="none" w:sz="0" w:space="0" w:color="auto"/>
                    <w:right w:val="none" w:sz="0" w:space="0" w:color="auto"/>
                  </w:divBdr>
                </w:div>
                <w:div w:id="1174883935">
                  <w:marLeft w:val="0"/>
                  <w:marRight w:val="0"/>
                  <w:marTop w:val="0"/>
                  <w:marBottom w:val="0"/>
                  <w:divBdr>
                    <w:top w:val="none" w:sz="0" w:space="0" w:color="auto"/>
                    <w:left w:val="none" w:sz="0" w:space="0" w:color="auto"/>
                    <w:bottom w:val="none" w:sz="0" w:space="0" w:color="auto"/>
                    <w:right w:val="none" w:sz="0" w:space="0" w:color="auto"/>
                  </w:divBdr>
                </w:div>
                <w:div w:id="864487513">
                  <w:marLeft w:val="0"/>
                  <w:marRight w:val="0"/>
                  <w:marTop w:val="0"/>
                  <w:marBottom w:val="0"/>
                  <w:divBdr>
                    <w:top w:val="none" w:sz="0" w:space="0" w:color="auto"/>
                    <w:left w:val="none" w:sz="0" w:space="0" w:color="auto"/>
                    <w:bottom w:val="none" w:sz="0" w:space="0" w:color="auto"/>
                    <w:right w:val="none" w:sz="0" w:space="0" w:color="auto"/>
                  </w:divBdr>
                </w:div>
                <w:div w:id="10632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8915">
          <w:marLeft w:val="0"/>
          <w:marRight w:val="0"/>
          <w:marTop w:val="15"/>
          <w:marBottom w:val="0"/>
          <w:divBdr>
            <w:top w:val="single" w:sz="48" w:space="0" w:color="auto"/>
            <w:left w:val="single" w:sz="48" w:space="0" w:color="auto"/>
            <w:bottom w:val="single" w:sz="48" w:space="0" w:color="auto"/>
            <w:right w:val="single" w:sz="48" w:space="0" w:color="auto"/>
          </w:divBdr>
          <w:divsChild>
            <w:div w:id="2102793421">
              <w:marLeft w:val="0"/>
              <w:marRight w:val="0"/>
              <w:marTop w:val="0"/>
              <w:marBottom w:val="0"/>
              <w:divBdr>
                <w:top w:val="none" w:sz="0" w:space="0" w:color="auto"/>
                <w:left w:val="none" w:sz="0" w:space="0" w:color="auto"/>
                <w:bottom w:val="none" w:sz="0" w:space="0" w:color="auto"/>
                <w:right w:val="none" w:sz="0" w:space="0" w:color="auto"/>
              </w:divBdr>
              <w:divsChild>
                <w:div w:id="1411392775">
                  <w:marLeft w:val="0"/>
                  <w:marRight w:val="0"/>
                  <w:marTop w:val="0"/>
                  <w:marBottom w:val="0"/>
                  <w:divBdr>
                    <w:top w:val="none" w:sz="0" w:space="0" w:color="auto"/>
                    <w:left w:val="none" w:sz="0" w:space="0" w:color="auto"/>
                    <w:bottom w:val="none" w:sz="0" w:space="0" w:color="auto"/>
                    <w:right w:val="none" w:sz="0" w:space="0" w:color="auto"/>
                  </w:divBdr>
                </w:div>
                <w:div w:id="535192487">
                  <w:marLeft w:val="0"/>
                  <w:marRight w:val="0"/>
                  <w:marTop w:val="0"/>
                  <w:marBottom w:val="0"/>
                  <w:divBdr>
                    <w:top w:val="none" w:sz="0" w:space="0" w:color="auto"/>
                    <w:left w:val="none" w:sz="0" w:space="0" w:color="auto"/>
                    <w:bottom w:val="none" w:sz="0" w:space="0" w:color="auto"/>
                    <w:right w:val="none" w:sz="0" w:space="0" w:color="auto"/>
                  </w:divBdr>
                </w:div>
                <w:div w:id="411242298">
                  <w:marLeft w:val="0"/>
                  <w:marRight w:val="0"/>
                  <w:marTop w:val="0"/>
                  <w:marBottom w:val="0"/>
                  <w:divBdr>
                    <w:top w:val="none" w:sz="0" w:space="0" w:color="auto"/>
                    <w:left w:val="none" w:sz="0" w:space="0" w:color="auto"/>
                    <w:bottom w:val="none" w:sz="0" w:space="0" w:color="auto"/>
                    <w:right w:val="none" w:sz="0" w:space="0" w:color="auto"/>
                  </w:divBdr>
                </w:div>
                <w:div w:id="588857616">
                  <w:marLeft w:val="0"/>
                  <w:marRight w:val="0"/>
                  <w:marTop w:val="0"/>
                  <w:marBottom w:val="0"/>
                  <w:divBdr>
                    <w:top w:val="none" w:sz="0" w:space="0" w:color="auto"/>
                    <w:left w:val="none" w:sz="0" w:space="0" w:color="auto"/>
                    <w:bottom w:val="none" w:sz="0" w:space="0" w:color="auto"/>
                    <w:right w:val="none" w:sz="0" w:space="0" w:color="auto"/>
                  </w:divBdr>
                </w:div>
                <w:div w:id="418529789">
                  <w:marLeft w:val="0"/>
                  <w:marRight w:val="0"/>
                  <w:marTop w:val="0"/>
                  <w:marBottom w:val="0"/>
                  <w:divBdr>
                    <w:top w:val="none" w:sz="0" w:space="0" w:color="auto"/>
                    <w:left w:val="none" w:sz="0" w:space="0" w:color="auto"/>
                    <w:bottom w:val="none" w:sz="0" w:space="0" w:color="auto"/>
                    <w:right w:val="none" w:sz="0" w:space="0" w:color="auto"/>
                  </w:divBdr>
                </w:div>
                <w:div w:id="299724532">
                  <w:marLeft w:val="0"/>
                  <w:marRight w:val="0"/>
                  <w:marTop w:val="0"/>
                  <w:marBottom w:val="0"/>
                  <w:divBdr>
                    <w:top w:val="none" w:sz="0" w:space="0" w:color="auto"/>
                    <w:left w:val="none" w:sz="0" w:space="0" w:color="auto"/>
                    <w:bottom w:val="none" w:sz="0" w:space="0" w:color="auto"/>
                    <w:right w:val="none" w:sz="0" w:space="0" w:color="auto"/>
                  </w:divBdr>
                </w:div>
                <w:div w:id="1000810911">
                  <w:marLeft w:val="0"/>
                  <w:marRight w:val="0"/>
                  <w:marTop w:val="0"/>
                  <w:marBottom w:val="0"/>
                  <w:divBdr>
                    <w:top w:val="none" w:sz="0" w:space="0" w:color="auto"/>
                    <w:left w:val="none" w:sz="0" w:space="0" w:color="auto"/>
                    <w:bottom w:val="none" w:sz="0" w:space="0" w:color="auto"/>
                    <w:right w:val="none" w:sz="0" w:space="0" w:color="auto"/>
                  </w:divBdr>
                </w:div>
                <w:div w:id="1343433894">
                  <w:marLeft w:val="0"/>
                  <w:marRight w:val="0"/>
                  <w:marTop w:val="0"/>
                  <w:marBottom w:val="0"/>
                  <w:divBdr>
                    <w:top w:val="none" w:sz="0" w:space="0" w:color="auto"/>
                    <w:left w:val="none" w:sz="0" w:space="0" w:color="auto"/>
                    <w:bottom w:val="none" w:sz="0" w:space="0" w:color="auto"/>
                    <w:right w:val="none" w:sz="0" w:space="0" w:color="auto"/>
                  </w:divBdr>
                </w:div>
                <w:div w:id="1799370550">
                  <w:marLeft w:val="0"/>
                  <w:marRight w:val="0"/>
                  <w:marTop w:val="0"/>
                  <w:marBottom w:val="0"/>
                  <w:divBdr>
                    <w:top w:val="none" w:sz="0" w:space="0" w:color="auto"/>
                    <w:left w:val="none" w:sz="0" w:space="0" w:color="auto"/>
                    <w:bottom w:val="none" w:sz="0" w:space="0" w:color="auto"/>
                    <w:right w:val="none" w:sz="0" w:space="0" w:color="auto"/>
                  </w:divBdr>
                </w:div>
                <w:div w:id="535655242">
                  <w:marLeft w:val="0"/>
                  <w:marRight w:val="0"/>
                  <w:marTop w:val="0"/>
                  <w:marBottom w:val="0"/>
                  <w:divBdr>
                    <w:top w:val="none" w:sz="0" w:space="0" w:color="auto"/>
                    <w:left w:val="none" w:sz="0" w:space="0" w:color="auto"/>
                    <w:bottom w:val="none" w:sz="0" w:space="0" w:color="auto"/>
                    <w:right w:val="none" w:sz="0" w:space="0" w:color="auto"/>
                  </w:divBdr>
                </w:div>
                <w:div w:id="134491017">
                  <w:marLeft w:val="0"/>
                  <w:marRight w:val="0"/>
                  <w:marTop w:val="0"/>
                  <w:marBottom w:val="0"/>
                  <w:divBdr>
                    <w:top w:val="none" w:sz="0" w:space="0" w:color="auto"/>
                    <w:left w:val="none" w:sz="0" w:space="0" w:color="auto"/>
                    <w:bottom w:val="none" w:sz="0" w:space="0" w:color="auto"/>
                    <w:right w:val="none" w:sz="0" w:space="0" w:color="auto"/>
                  </w:divBdr>
                </w:div>
                <w:div w:id="1180781796">
                  <w:marLeft w:val="0"/>
                  <w:marRight w:val="0"/>
                  <w:marTop w:val="0"/>
                  <w:marBottom w:val="0"/>
                  <w:divBdr>
                    <w:top w:val="none" w:sz="0" w:space="0" w:color="auto"/>
                    <w:left w:val="none" w:sz="0" w:space="0" w:color="auto"/>
                    <w:bottom w:val="none" w:sz="0" w:space="0" w:color="auto"/>
                    <w:right w:val="none" w:sz="0" w:space="0" w:color="auto"/>
                  </w:divBdr>
                </w:div>
                <w:div w:id="1715931048">
                  <w:marLeft w:val="0"/>
                  <w:marRight w:val="0"/>
                  <w:marTop w:val="0"/>
                  <w:marBottom w:val="0"/>
                  <w:divBdr>
                    <w:top w:val="none" w:sz="0" w:space="0" w:color="auto"/>
                    <w:left w:val="none" w:sz="0" w:space="0" w:color="auto"/>
                    <w:bottom w:val="none" w:sz="0" w:space="0" w:color="auto"/>
                    <w:right w:val="none" w:sz="0" w:space="0" w:color="auto"/>
                  </w:divBdr>
                </w:div>
                <w:div w:id="1150053794">
                  <w:marLeft w:val="0"/>
                  <w:marRight w:val="0"/>
                  <w:marTop w:val="0"/>
                  <w:marBottom w:val="0"/>
                  <w:divBdr>
                    <w:top w:val="none" w:sz="0" w:space="0" w:color="auto"/>
                    <w:left w:val="none" w:sz="0" w:space="0" w:color="auto"/>
                    <w:bottom w:val="none" w:sz="0" w:space="0" w:color="auto"/>
                    <w:right w:val="none" w:sz="0" w:space="0" w:color="auto"/>
                  </w:divBdr>
                </w:div>
                <w:div w:id="113451668">
                  <w:marLeft w:val="0"/>
                  <w:marRight w:val="0"/>
                  <w:marTop w:val="0"/>
                  <w:marBottom w:val="0"/>
                  <w:divBdr>
                    <w:top w:val="none" w:sz="0" w:space="0" w:color="auto"/>
                    <w:left w:val="none" w:sz="0" w:space="0" w:color="auto"/>
                    <w:bottom w:val="none" w:sz="0" w:space="0" w:color="auto"/>
                    <w:right w:val="none" w:sz="0" w:space="0" w:color="auto"/>
                  </w:divBdr>
                </w:div>
                <w:div w:id="356349704">
                  <w:marLeft w:val="0"/>
                  <w:marRight w:val="0"/>
                  <w:marTop w:val="0"/>
                  <w:marBottom w:val="0"/>
                  <w:divBdr>
                    <w:top w:val="none" w:sz="0" w:space="0" w:color="auto"/>
                    <w:left w:val="none" w:sz="0" w:space="0" w:color="auto"/>
                    <w:bottom w:val="none" w:sz="0" w:space="0" w:color="auto"/>
                    <w:right w:val="none" w:sz="0" w:space="0" w:color="auto"/>
                  </w:divBdr>
                </w:div>
                <w:div w:id="324558182">
                  <w:marLeft w:val="0"/>
                  <w:marRight w:val="0"/>
                  <w:marTop w:val="0"/>
                  <w:marBottom w:val="0"/>
                  <w:divBdr>
                    <w:top w:val="none" w:sz="0" w:space="0" w:color="auto"/>
                    <w:left w:val="none" w:sz="0" w:space="0" w:color="auto"/>
                    <w:bottom w:val="none" w:sz="0" w:space="0" w:color="auto"/>
                    <w:right w:val="none" w:sz="0" w:space="0" w:color="auto"/>
                  </w:divBdr>
                </w:div>
                <w:div w:id="830490113">
                  <w:marLeft w:val="0"/>
                  <w:marRight w:val="0"/>
                  <w:marTop w:val="0"/>
                  <w:marBottom w:val="0"/>
                  <w:divBdr>
                    <w:top w:val="none" w:sz="0" w:space="0" w:color="auto"/>
                    <w:left w:val="none" w:sz="0" w:space="0" w:color="auto"/>
                    <w:bottom w:val="none" w:sz="0" w:space="0" w:color="auto"/>
                    <w:right w:val="none" w:sz="0" w:space="0" w:color="auto"/>
                  </w:divBdr>
                </w:div>
                <w:div w:id="1025911241">
                  <w:marLeft w:val="0"/>
                  <w:marRight w:val="0"/>
                  <w:marTop w:val="0"/>
                  <w:marBottom w:val="0"/>
                  <w:divBdr>
                    <w:top w:val="none" w:sz="0" w:space="0" w:color="auto"/>
                    <w:left w:val="none" w:sz="0" w:space="0" w:color="auto"/>
                    <w:bottom w:val="none" w:sz="0" w:space="0" w:color="auto"/>
                    <w:right w:val="none" w:sz="0" w:space="0" w:color="auto"/>
                  </w:divBdr>
                </w:div>
                <w:div w:id="554702457">
                  <w:marLeft w:val="0"/>
                  <w:marRight w:val="0"/>
                  <w:marTop w:val="0"/>
                  <w:marBottom w:val="0"/>
                  <w:divBdr>
                    <w:top w:val="none" w:sz="0" w:space="0" w:color="auto"/>
                    <w:left w:val="none" w:sz="0" w:space="0" w:color="auto"/>
                    <w:bottom w:val="none" w:sz="0" w:space="0" w:color="auto"/>
                    <w:right w:val="none" w:sz="0" w:space="0" w:color="auto"/>
                  </w:divBdr>
                </w:div>
                <w:div w:id="586504474">
                  <w:marLeft w:val="0"/>
                  <w:marRight w:val="0"/>
                  <w:marTop w:val="0"/>
                  <w:marBottom w:val="0"/>
                  <w:divBdr>
                    <w:top w:val="none" w:sz="0" w:space="0" w:color="auto"/>
                    <w:left w:val="none" w:sz="0" w:space="0" w:color="auto"/>
                    <w:bottom w:val="none" w:sz="0" w:space="0" w:color="auto"/>
                    <w:right w:val="none" w:sz="0" w:space="0" w:color="auto"/>
                  </w:divBdr>
                </w:div>
                <w:div w:id="170093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53728">
      <w:bodyDiv w:val="1"/>
      <w:marLeft w:val="0"/>
      <w:marRight w:val="0"/>
      <w:marTop w:val="0"/>
      <w:marBottom w:val="0"/>
      <w:divBdr>
        <w:top w:val="none" w:sz="0" w:space="0" w:color="auto"/>
        <w:left w:val="none" w:sz="0" w:space="0" w:color="auto"/>
        <w:bottom w:val="none" w:sz="0" w:space="0" w:color="auto"/>
        <w:right w:val="none" w:sz="0" w:space="0" w:color="auto"/>
      </w:divBdr>
    </w:div>
    <w:div w:id="986057394">
      <w:bodyDiv w:val="1"/>
      <w:marLeft w:val="0"/>
      <w:marRight w:val="0"/>
      <w:marTop w:val="0"/>
      <w:marBottom w:val="0"/>
      <w:divBdr>
        <w:top w:val="none" w:sz="0" w:space="0" w:color="auto"/>
        <w:left w:val="none" w:sz="0" w:space="0" w:color="auto"/>
        <w:bottom w:val="none" w:sz="0" w:space="0" w:color="auto"/>
        <w:right w:val="none" w:sz="0" w:space="0" w:color="auto"/>
      </w:divBdr>
    </w:div>
    <w:div w:id="1459445169">
      <w:bodyDiv w:val="1"/>
      <w:marLeft w:val="0"/>
      <w:marRight w:val="0"/>
      <w:marTop w:val="0"/>
      <w:marBottom w:val="0"/>
      <w:divBdr>
        <w:top w:val="none" w:sz="0" w:space="0" w:color="auto"/>
        <w:left w:val="none" w:sz="0" w:space="0" w:color="auto"/>
        <w:bottom w:val="none" w:sz="0" w:space="0" w:color="auto"/>
        <w:right w:val="none" w:sz="0" w:space="0" w:color="auto"/>
      </w:divBdr>
      <w:divsChild>
        <w:div w:id="677541864">
          <w:marLeft w:val="0"/>
          <w:marRight w:val="0"/>
          <w:marTop w:val="15"/>
          <w:marBottom w:val="0"/>
          <w:divBdr>
            <w:top w:val="single" w:sz="48" w:space="0" w:color="auto"/>
            <w:left w:val="single" w:sz="48" w:space="0" w:color="auto"/>
            <w:bottom w:val="single" w:sz="48" w:space="0" w:color="auto"/>
            <w:right w:val="single" w:sz="48" w:space="0" w:color="auto"/>
          </w:divBdr>
          <w:divsChild>
            <w:div w:id="1555853518">
              <w:marLeft w:val="0"/>
              <w:marRight w:val="0"/>
              <w:marTop w:val="0"/>
              <w:marBottom w:val="0"/>
              <w:divBdr>
                <w:top w:val="none" w:sz="0" w:space="0" w:color="auto"/>
                <w:left w:val="none" w:sz="0" w:space="0" w:color="auto"/>
                <w:bottom w:val="none" w:sz="0" w:space="0" w:color="auto"/>
                <w:right w:val="none" w:sz="0" w:space="0" w:color="auto"/>
              </w:divBdr>
              <w:divsChild>
                <w:div w:id="1597519145">
                  <w:marLeft w:val="0"/>
                  <w:marRight w:val="0"/>
                  <w:marTop w:val="0"/>
                  <w:marBottom w:val="0"/>
                  <w:divBdr>
                    <w:top w:val="none" w:sz="0" w:space="0" w:color="auto"/>
                    <w:left w:val="none" w:sz="0" w:space="0" w:color="auto"/>
                    <w:bottom w:val="none" w:sz="0" w:space="0" w:color="auto"/>
                    <w:right w:val="none" w:sz="0" w:space="0" w:color="auto"/>
                  </w:divBdr>
                </w:div>
                <w:div w:id="81143463">
                  <w:marLeft w:val="0"/>
                  <w:marRight w:val="0"/>
                  <w:marTop w:val="0"/>
                  <w:marBottom w:val="0"/>
                  <w:divBdr>
                    <w:top w:val="none" w:sz="0" w:space="0" w:color="auto"/>
                    <w:left w:val="none" w:sz="0" w:space="0" w:color="auto"/>
                    <w:bottom w:val="none" w:sz="0" w:space="0" w:color="auto"/>
                    <w:right w:val="none" w:sz="0" w:space="0" w:color="auto"/>
                  </w:divBdr>
                </w:div>
                <w:div w:id="1638031914">
                  <w:marLeft w:val="0"/>
                  <w:marRight w:val="0"/>
                  <w:marTop w:val="0"/>
                  <w:marBottom w:val="0"/>
                  <w:divBdr>
                    <w:top w:val="none" w:sz="0" w:space="0" w:color="auto"/>
                    <w:left w:val="none" w:sz="0" w:space="0" w:color="auto"/>
                    <w:bottom w:val="none" w:sz="0" w:space="0" w:color="auto"/>
                    <w:right w:val="none" w:sz="0" w:space="0" w:color="auto"/>
                  </w:divBdr>
                </w:div>
                <w:div w:id="423962322">
                  <w:marLeft w:val="0"/>
                  <w:marRight w:val="0"/>
                  <w:marTop w:val="0"/>
                  <w:marBottom w:val="0"/>
                  <w:divBdr>
                    <w:top w:val="none" w:sz="0" w:space="0" w:color="auto"/>
                    <w:left w:val="none" w:sz="0" w:space="0" w:color="auto"/>
                    <w:bottom w:val="none" w:sz="0" w:space="0" w:color="auto"/>
                    <w:right w:val="none" w:sz="0" w:space="0" w:color="auto"/>
                  </w:divBdr>
                </w:div>
                <w:div w:id="1601796676">
                  <w:marLeft w:val="0"/>
                  <w:marRight w:val="0"/>
                  <w:marTop w:val="0"/>
                  <w:marBottom w:val="0"/>
                  <w:divBdr>
                    <w:top w:val="none" w:sz="0" w:space="0" w:color="auto"/>
                    <w:left w:val="none" w:sz="0" w:space="0" w:color="auto"/>
                    <w:bottom w:val="none" w:sz="0" w:space="0" w:color="auto"/>
                    <w:right w:val="none" w:sz="0" w:space="0" w:color="auto"/>
                  </w:divBdr>
                </w:div>
                <w:div w:id="912662338">
                  <w:marLeft w:val="0"/>
                  <w:marRight w:val="0"/>
                  <w:marTop w:val="0"/>
                  <w:marBottom w:val="0"/>
                  <w:divBdr>
                    <w:top w:val="none" w:sz="0" w:space="0" w:color="auto"/>
                    <w:left w:val="none" w:sz="0" w:space="0" w:color="auto"/>
                    <w:bottom w:val="none" w:sz="0" w:space="0" w:color="auto"/>
                    <w:right w:val="none" w:sz="0" w:space="0" w:color="auto"/>
                  </w:divBdr>
                </w:div>
                <w:div w:id="703485049">
                  <w:marLeft w:val="0"/>
                  <w:marRight w:val="0"/>
                  <w:marTop w:val="0"/>
                  <w:marBottom w:val="0"/>
                  <w:divBdr>
                    <w:top w:val="none" w:sz="0" w:space="0" w:color="auto"/>
                    <w:left w:val="none" w:sz="0" w:space="0" w:color="auto"/>
                    <w:bottom w:val="none" w:sz="0" w:space="0" w:color="auto"/>
                    <w:right w:val="none" w:sz="0" w:space="0" w:color="auto"/>
                  </w:divBdr>
                </w:div>
                <w:div w:id="1422068480">
                  <w:marLeft w:val="0"/>
                  <w:marRight w:val="0"/>
                  <w:marTop w:val="0"/>
                  <w:marBottom w:val="0"/>
                  <w:divBdr>
                    <w:top w:val="none" w:sz="0" w:space="0" w:color="auto"/>
                    <w:left w:val="none" w:sz="0" w:space="0" w:color="auto"/>
                    <w:bottom w:val="none" w:sz="0" w:space="0" w:color="auto"/>
                    <w:right w:val="none" w:sz="0" w:space="0" w:color="auto"/>
                  </w:divBdr>
                </w:div>
                <w:div w:id="327682351">
                  <w:marLeft w:val="0"/>
                  <w:marRight w:val="0"/>
                  <w:marTop w:val="0"/>
                  <w:marBottom w:val="0"/>
                  <w:divBdr>
                    <w:top w:val="none" w:sz="0" w:space="0" w:color="auto"/>
                    <w:left w:val="none" w:sz="0" w:space="0" w:color="auto"/>
                    <w:bottom w:val="none" w:sz="0" w:space="0" w:color="auto"/>
                    <w:right w:val="none" w:sz="0" w:space="0" w:color="auto"/>
                  </w:divBdr>
                </w:div>
                <w:div w:id="1299606171">
                  <w:marLeft w:val="0"/>
                  <w:marRight w:val="0"/>
                  <w:marTop w:val="0"/>
                  <w:marBottom w:val="0"/>
                  <w:divBdr>
                    <w:top w:val="none" w:sz="0" w:space="0" w:color="auto"/>
                    <w:left w:val="none" w:sz="0" w:space="0" w:color="auto"/>
                    <w:bottom w:val="none" w:sz="0" w:space="0" w:color="auto"/>
                    <w:right w:val="none" w:sz="0" w:space="0" w:color="auto"/>
                  </w:divBdr>
                </w:div>
                <w:div w:id="1729915334">
                  <w:marLeft w:val="0"/>
                  <w:marRight w:val="0"/>
                  <w:marTop w:val="0"/>
                  <w:marBottom w:val="0"/>
                  <w:divBdr>
                    <w:top w:val="none" w:sz="0" w:space="0" w:color="auto"/>
                    <w:left w:val="none" w:sz="0" w:space="0" w:color="auto"/>
                    <w:bottom w:val="none" w:sz="0" w:space="0" w:color="auto"/>
                    <w:right w:val="none" w:sz="0" w:space="0" w:color="auto"/>
                  </w:divBdr>
                </w:div>
                <w:div w:id="2001688331">
                  <w:marLeft w:val="0"/>
                  <w:marRight w:val="0"/>
                  <w:marTop w:val="0"/>
                  <w:marBottom w:val="0"/>
                  <w:divBdr>
                    <w:top w:val="none" w:sz="0" w:space="0" w:color="auto"/>
                    <w:left w:val="none" w:sz="0" w:space="0" w:color="auto"/>
                    <w:bottom w:val="none" w:sz="0" w:space="0" w:color="auto"/>
                    <w:right w:val="none" w:sz="0" w:space="0" w:color="auto"/>
                  </w:divBdr>
                </w:div>
                <w:div w:id="1672097553">
                  <w:marLeft w:val="0"/>
                  <w:marRight w:val="0"/>
                  <w:marTop w:val="0"/>
                  <w:marBottom w:val="0"/>
                  <w:divBdr>
                    <w:top w:val="none" w:sz="0" w:space="0" w:color="auto"/>
                    <w:left w:val="none" w:sz="0" w:space="0" w:color="auto"/>
                    <w:bottom w:val="none" w:sz="0" w:space="0" w:color="auto"/>
                    <w:right w:val="none" w:sz="0" w:space="0" w:color="auto"/>
                  </w:divBdr>
                </w:div>
                <w:div w:id="871116121">
                  <w:marLeft w:val="0"/>
                  <w:marRight w:val="0"/>
                  <w:marTop w:val="0"/>
                  <w:marBottom w:val="0"/>
                  <w:divBdr>
                    <w:top w:val="none" w:sz="0" w:space="0" w:color="auto"/>
                    <w:left w:val="none" w:sz="0" w:space="0" w:color="auto"/>
                    <w:bottom w:val="none" w:sz="0" w:space="0" w:color="auto"/>
                    <w:right w:val="none" w:sz="0" w:space="0" w:color="auto"/>
                  </w:divBdr>
                </w:div>
                <w:div w:id="970792243">
                  <w:marLeft w:val="0"/>
                  <w:marRight w:val="0"/>
                  <w:marTop w:val="0"/>
                  <w:marBottom w:val="0"/>
                  <w:divBdr>
                    <w:top w:val="none" w:sz="0" w:space="0" w:color="auto"/>
                    <w:left w:val="none" w:sz="0" w:space="0" w:color="auto"/>
                    <w:bottom w:val="none" w:sz="0" w:space="0" w:color="auto"/>
                    <w:right w:val="none" w:sz="0" w:space="0" w:color="auto"/>
                  </w:divBdr>
                </w:div>
                <w:div w:id="1049453999">
                  <w:marLeft w:val="0"/>
                  <w:marRight w:val="0"/>
                  <w:marTop w:val="0"/>
                  <w:marBottom w:val="0"/>
                  <w:divBdr>
                    <w:top w:val="none" w:sz="0" w:space="0" w:color="auto"/>
                    <w:left w:val="none" w:sz="0" w:space="0" w:color="auto"/>
                    <w:bottom w:val="none" w:sz="0" w:space="0" w:color="auto"/>
                    <w:right w:val="none" w:sz="0" w:space="0" w:color="auto"/>
                  </w:divBdr>
                </w:div>
                <w:div w:id="351542229">
                  <w:marLeft w:val="0"/>
                  <w:marRight w:val="0"/>
                  <w:marTop w:val="0"/>
                  <w:marBottom w:val="0"/>
                  <w:divBdr>
                    <w:top w:val="none" w:sz="0" w:space="0" w:color="auto"/>
                    <w:left w:val="none" w:sz="0" w:space="0" w:color="auto"/>
                    <w:bottom w:val="none" w:sz="0" w:space="0" w:color="auto"/>
                    <w:right w:val="none" w:sz="0" w:space="0" w:color="auto"/>
                  </w:divBdr>
                </w:div>
                <w:div w:id="996497745">
                  <w:marLeft w:val="0"/>
                  <w:marRight w:val="0"/>
                  <w:marTop w:val="0"/>
                  <w:marBottom w:val="0"/>
                  <w:divBdr>
                    <w:top w:val="none" w:sz="0" w:space="0" w:color="auto"/>
                    <w:left w:val="none" w:sz="0" w:space="0" w:color="auto"/>
                    <w:bottom w:val="none" w:sz="0" w:space="0" w:color="auto"/>
                    <w:right w:val="none" w:sz="0" w:space="0" w:color="auto"/>
                  </w:divBdr>
                </w:div>
                <w:div w:id="72326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3699">
          <w:marLeft w:val="0"/>
          <w:marRight w:val="0"/>
          <w:marTop w:val="15"/>
          <w:marBottom w:val="0"/>
          <w:divBdr>
            <w:top w:val="single" w:sz="48" w:space="0" w:color="auto"/>
            <w:left w:val="single" w:sz="48" w:space="0" w:color="auto"/>
            <w:bottom w:val="single" w:sz="48" w:space="0" w:color="auto"/>
            <w:right w:val="single" w:sz="48" w:space="0" w:color="auto"/>
          </w:divBdr>
          <w:divsChild>
            <w:div w:id="1117678062">
              <w:marLeft w:val="0"/>
              <w:marRight w:val="0"/>
              <w:marTop w:val="0"/>
              <w:marBottom w:val="0"/>
              <w:divBdr>
                <w:top w:val="none" w:sz="0" w:space="0" w:color="auto"/>
                <w:left w:val="none" w:sz="0" w:space="0" w:color="auto"/>
                <w:bottom w:val="none" w:sz="0" w:space="0" w:color="auto"/>
                <w:right w:val="none" w:sz="0" w:space="0" w:color="auto"/>
              </w:divBdr>
              <w:divsChild>
                <w:div w:id="406539424">
                  <w:marLeft w:val="0"/>
                  <w:marRight w:val="0"/>
                  <w:marTop w:val="0"/>
                  <w:marBottom w:val="0"/>
                  <w:divBdr>
                    <w:top w:val="none" w:sz="0" w:space="0" w:color="auto"/>
                    <w:left w:val="none" w:sz="0" w:space="0" w:color="auto"/>
                    <w:bottom w:val="none" w:sz="0" w:space="0" w:color="auto"/>
                    <w:right w:val="none" w:sz="0" w:space="0" w:color="auto"/>
                  </w:divBdr>
                </w:div>
                <w:div w:id="1010260835">
                  <w:marLeft w:val="0"/>
                  <w:marRight w:val="0"/>
                  <w:marTop w:val="0"/>
                  <w:marBottom w:val="0"/>
                  <w:divBdr>
                    <w:top w:val="none" w:sz="0" w:space="0" w:color="auto"/>
                    <w:left w:val="none" w:sz="0" w:space="0" w:color="auto"/>
                    <w:bottom w:val="none" w:sz="0" w:space="0" w:color="auto"/>
                    <w:right w:val="none" w:sz="0" w:space="0" w:color="auto"/>
                  </w:divBdr>
                </w:div>
                <w:div w:id="405418872">
                  <w:marLeft w:val="0"/>
                  <w:marRight w:val="0"/>
                  <w:marTop w:val="0"/>
                  <w:marBottom w:val="0"/>
                  <w:divBdr>
                    <w:top w:val="none" w:sz="0" w:space="0" w:color="auto"/>
                    <w:left w:val="none" w:sz="0" w:space="0" w:color="auto"/>
                    <w:bottom w:val="none" w:sz="0" w:space="0" w:color="auto"/>
                    <w:right w:val="none" w:sz="0" w:space="0" w:color="auto"/>
                  </w:divBdr>
                </w:div>
                <w:div w:id="132336661">
                  <w:marLeft w:val="0"/>
                  <w:marRight w:val="0"/>
                  <w:marTop w:val="0"/>
                  <w:marBottom w:val="0"/>
                  <w:divBdr>
                    <w:top w:val="none" w:sz="0" w:space="0" w:color="auto"/>
                    <w:left w:val="none" w:sz="0" w:space="0" w:color="auto"/>
                    <w:bottom w:val="none" w:sz="0" w:space="0" w:color="auto"/>
                    <w:right w:val="none" w:sz="0" w:space="0" w:color="auto"/>
                  </w:divBdr>
                </w:div>
                <w:div w:id="1890527850">
                  <w:marLeft w:val="0"/>
                  <w:marRight w:val="0"/>
                  <w:marTop w:val="0"/>
                  <w:marBottom w:val="0"/>
                  <w:divBdr>
                    <w:top w:val="none" w:sz="0" w:space="0" w:color="auto"/>
                    <w:left w:val="none" w:sz="0" w:space="0" w:color="auto"/>
                    <w:bottom w:val="none" w:sz="0" w:space="0" w:color="auto"/>
                    <w:right w:val="none" w:sz="0" w:space="0" w:color="auto"/>
                  </w:divBdr>
                </w:div>
                <w:div w:id="722484451">
                  <w:marLeft w:val="0"/>
                  <w:marRight w:val="0"/>
                  <w:marTop w:val="0"/>
                  <w:marBottom w:val="0"/>
                  <w:divBdr>
                    <w:top w:val="none" w:sz="0" w:space="0" w:color="auto"/>
                    <w:left w:val="none" w:sz="0" w:space="0" w:color="auto"/>
                    <w:bottom w:val="none" w:sz="0" w:space="0" w:color="auto"/>
                    <w:right w:val="none" w:sz="0" w:space="0" w:color="auto"/>
                  </w:divBdr>
                </w:div>
                <w:div w:id="1549292738">
                  <w:marLeft w:val="0"/>
                  <w:marRight w:val="0"/>
                  <w:marTop w:val="0"/>
                  <w:marBottom w:val="0"/>
                  <w:divBdr>
                    <w:top w:val="none" w:sz="0" w:space="0" w:color="auto"/>
                    <w:left w:val="none" w:sz="0" w:space="0" w:color="auto"/>
                    <w:bottom w:val="none" w:sz="0" w:space="0" w:color="auto"/>
                    <w:right w:val="none" w:sz="0" w:space="0" w:color="auto"/>
                  </w:divBdr>
                </w:div>
                <w:div w:id="696269785">
                  <w:marLeft w:val="0"/>
                  <w:marRight w:val="0"/>
                  <w:marTop w:val="0"/>
                  <w:marBottom w:val="0"/>
                  <w:divBdr>
                    <w:top w:val="none" w:sz="0" w:space="0" w:color="auto"/>
                    <w:left w:val="none" w:sz="0" w:space="0" w:color="auto"/>
                    <w:bottom w:val="none" w:sz="0" w:space="0" w:color="auto"/>
                    <w:right w:val="none" w:sz="0" w:space="0" w:color="auto"/>
                  </w:divBdr>
                </w:div>
                <w:div w:id="529609612">
                  <w:marLeft w:val="0"/>
                  <w:marRight w:val="0"/>
                  <w:marTop w:val="0"/>
                  <w:marBottom w:val="0"/>
                  <w:divBdr>
                    <w:top w:val="none" w:sz="0" w:space="0" w:color="auto"/>
                    <w:left w:val="none" w:sz="0" w:space="0" w:color="auto"/>
                    <w:bottom w:val="none" w:sz="0" w:space="0" w:color="auto"/>
                    <w:right w:val="none" w:sz="0" w:space="0" w:color="auto"/>
                  </w:divBdr>
                </w:div>
                <w:div w:id="440076275">
                  <w:marLeft w:val="0"/>
                  <w:marRight w:val="0"/>
                  <w:marTop w:val="0"/>
                  <w:marBottom w:val="0"/>
                  <w:divBdr>
                    <w:top w:val="none" w:sz="0" w:space="0" w:color="auto"/>
                    <w:left w:val="none" w:sz="0" w:space="0" w:color="auto"/>
                    <w:bottom w:val="none" w:sz="0" w:space="0" w:color="auto"/>
                    <w:right w:val="none" w:sz="0" w:space="0" w:color="auto"/>
                  </w:divBdr>
                </w:div>
                <w:div w:id="306132522">
                  <w:marLeft w:val="0"/>
                  <w:marRight w:val="0"/>
                  <w:marTop w:val="0"/>
                  <w:marBottom w:val="0"/>
                  <w:divBdr>
                    <w:top w:val="none" w:sz="0" w:space="0" w:color="auto"/>
                    <w:left w:val="none" w:sz="0" w:space="0" w:color="auto"/>
                    <w:bottom w:val="none" w:sz="0" w:space="0" w:color="auto"/>
                    <w:right w:val="none" w:sz="0" w:space="0" w:color="auto"/>
                  </w:divBdr>
                </w:div>
                <w:div w:id="1865288556">
                  <w:marLeft w:val="0"/>
                  <w:marRight w:val="0"/>
                  <w:marTop w:val="0"/>
                  <w:marBottom w:val="0"/>
                  <w:divBdr>
                    <w:top w:val="none" w:sz="0" w:space="0" w:color="auto"/>
                    <w:left w:val="none" w:sz="0" w:space="0" w:color="auto"/>
                    <w:bottom w:val="none" w:sz="0" w:space="0" w:color="auto"/>
                    <w:right w:val="none" w:sz="0" w:space="0" w:color="auto"/>
                  </w:divBdr>
                </w:div>
                <w:div w:id="889924543">
                  <w:marLeft w:val="0"/>
                  <w:marRight w:val="0"/>
                  <w:marTop w:val="0"/>
                  <w:marBottom w:val="0"/>
                  <w:divBdr>
                    <w:top w:val="none" w:sz="0" w:space="0" w:color="auto"/>
                    <w:left w:val="none" w:sz="0" w:space="0" w:color="auto"/>
                    <w:bottom w:val="none" w:sz="0" w:space="0" w:color="auto"/>
                    <w:right w:val="none" w:sz="0" w:space="0" w:color="auto"/>
                  </w:divBdr>
                </w:div>
                <w:div w:id="1400403821">
                  <w:marLeft w:val="0"/>
                  <w:marRight w:val="0"/>
                  <w:marTop w:val="0"/>
                  <w:marBottom w:val="0"/>
                  <w:divBdr>
                    <w:top w:val="none" w:sz="0" w:space="0" w:color="auto"/>
                    <w:left w:val="none" w:sz="0" w:space="0" w:color="auto"/>
                    <w:bottom w:val="none" w:sz="0" w:space="0" w:color="auto"/>
                    <w:right w:val="none" w:sz="0" w:space="0" w:color="auto"/>
                  </w:divBdr>
                </w:div>
                <w:div w:id="786390875">
                  <w:marLeft w:val="0"/>
                  <w:marRight w:val="0"/>
                  <w:marTop w:val="0"/>
                  <w:marBottom w:val="0"/>
                  <w:divBdr>
                    <w:top w:val="none" w:sz="0" w:space="0" w:color="auto"/>
                    <w:left w:val="none" w:sz="0" w:space="0" w:color="auto"/>
                    <w:bottom w:val="none" w:sz="0" w:space="0" w:color="auto"/>
                    <w:right w:val="none" w:sz="0" w:space="0" w:color="auto"/>
                  </w:divBdr>
                </w:div>
                <w:div w:id="1465003937">
                  <w:marLeft w:val="0"/>
                  <w:marRight w:val="0"/>
                  <w:marTop w:val="0"/>
                  <w:marBottom w:val="0"/>
                  <w:divBdr>
                    <w:top w:val="none" w:sz="0" w:space="0" w:color="auto"/>
                    <w:left w:val="none" w:sz="0" w:space="0" w:color="auto"/>
                    <w:bottom w:val="none" w:sz="0" w:space="0" w:color="auto"/>
                    <w:right w:val="none" w:sz="0" w:space="0" w:color="auto"/>
                  </w:divBdr>
                </w:div>
                <w:div w:id="1368068682">
                  <w:marLeft w:val="0"/>
                  <w:marRight w:val="0"/>
                  <w:marTop w:val="0"/>
                  <w:marBottom w:val="0"/>
                  <w:divBdr>
                    <w:top w:val="none" w:sz="0" w:space="0" w:color="auto"/>
                    <w:left w:val="none" w:sz="0" w:space="0" w:color="auto"/>
                    <w:bottom w:val="none" w:sz="0" w:space="0" w:color="auto"/>
                    <w:right w:val="none" w:sz="0" w:space="0" w:color="auto"/>
                  </w:divBdr>
                </w:div>
                <w:div w:id="541870423">
                  <w:marLeft w:val="0"/>
                  <w:marRight w:val="0"/>
                  <w:marTop w:val="0"/>
                  <w:marBottom w:val="0"/>
                  <w:divBdr>
                    <w:top w:val="none" w:sz="0" w:space="0" w:color="auto"/>
                    <w:left w:val="none" w:sz="0" w:space="0" w:color="auto"/>
                    <w:bottom w:val="none" w:sz="0" w:space="0" w:color="auto"/>
                    <w:right w:val="none" w:sz="0" w:space="0" w:color="auto"/>
                  </w:divBdr>
                </w:div>
                <w:div w:id="849761451">
                  <w:marLeft w:val="0"/>
                  <w:marRight w:val="0"/>
                  <w:marTop w:val="0"/>
                  <w:marBottom w:val="0"/>
                  <w:divBdr>
                    <w:top w:val="none" w:sz="0" w:space="0" w:color="auto"/>
                    <w:left w:val="none" w:sz="0" w:space="0" w:color="auto"/>
                    <w:bottom w:val="none" w:sz="0" w:space="0" w:color="auto"/>
                    <w:right w:val="none" w:sz="0" w:space="0" w:color="auto"/>
                  </w:divBdr>
                </w:div>
                <w:div w:id="1135758075">
                  <w:marLeft w:val="0"/>
                  <w:marRight w:val="0"/>
                  <w:marTop w:val="0"/>
                  <w:marBottom w:val="0"/>
                  <w:divBdr>
                    <w:top w:val="none" w:sz="0" w:space="0" w:color="auto"/>
                    <w:left w:val="none" w:sz="0" w:space="0" w:color="auto"/>
                    <w:bottom w:val="none" w:sz="0" w:space="0" w:color="auto"/>
                    <w:right w:val="none" w:sz="0" w:space="0" w:color="auto"/>
                  </w:divBdr>
                </w:div>
                <w:div w:id="790049152">
                  <w:marLeft w:val="0"/>
                  <w:marRight w:val="0"/>
                  <w:marTop w:val="0"/>
                  <w:marBottom w:val="0"/>
                  <w:divBdr>
                    <w:top w:val="none" w:sz="0" w:space="0" w:color="auto"/>
                    <w:left w:val="none" w:sz="0" w:space="0" w:color="auto"/>
                    <w:bottom w:val="none" w:sz="0" w:space="0" w:color="auto"/>
                    <w:right w:val="none" w:sz="0" w:space="0" w:color="auto"/>
                  </w:divBdr>
                </w:div>
                <w:div w:id="4618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546717">
      <w:bodyDiv w:val="1"/>
      <w:marLeft w:val="0"/>
      <w:marRight w:val="0"/>
      <w:marTop w:val="0"/>
      <w:marBottom w:val="0"/>
      <w:divBdr>
        <w:top w:val="none" w:sz="0" w:space="0" w:color="auto"/>
        <w:left w:val="none" w:sz="0" w:space="0" w:color="auto"/>
        <w:bottom w:val="none" w:sz="0" w:space="0" w:color="auto"/>
        <w:right w:val="none" w:sz="0" w:space="0" w:color="auto"/>
      </w:divBdr>
    </w:div>
    <w:div w:id="1569922671">
      <w:bodyDiv w:val="1"/>
      <w:marLeft w:val="0"/>
      <w:marRight w:val="0"/>
      <w:marTop w:val="0"/>
      <w:marBottom w:val="0"/>
      <w:divBdr>
        <w:top w:val="none" w:sz="0" w:space="0" w:color="auto"/>
        <w:left w:val="none" w:sz="0" w:space="0" w:color="auto"/>
        <w:bottom w:val="none" w:sz="0" w:space="0" w:color="auto"/>
        <w:right w:val="none" w:sz="0" w:space="0" w:color="auto"/>
      </w:divBdr>
    </w:div>
    <w:div w:id="1659459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sfem.gob.mx/informes/resultados/2022/municipios.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onac.gob.mx/work/models/CONAC/normatividad/NOR_01_02_006.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SfHA+AO+q7swwt8WU861zAzSJ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gAciExSDl0UWdlUVFIVld6OU5XY1NRMDBuNUxjYzZkTlRhYX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58B65D3-11DA-4858-AFF7-E4558E17D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47</Pages>
  <Words>11453</Words>
  <Characters>62996</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9</cp:revision>
  <cp:lastPrinted>2024-10-10T16:17:00Z</cp:lastPrinted>
  <dcterms:created xsi:type="dcterms:W3CDTF">2024-10-07T21:41:00Z</dcterms:created>
  <dcterms:modified xsi:type="dcterms:W3CDTF">2024-11-04T23:47:00Z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