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9C326C" w14:textId="119E13D4" w:rsidR="00942616" w:rsidRPr="00C00DCA" w:rsidRDefault="00942616" w:rsidP="000F30BC">
      <w:pPr>
        <w:tabs>
          <w:tab w:val="left" w:pos="3465"/>
        </w:tabs>
        <w:spacing w:line="360" w:lineRule="auto"/>
        <w:jc w:val="both"/>
        <w:rPr>
          <w:rFonts w:ascii="Palatino Linotype" w:hAnsi="Palatino Linotype"/>
        </w:rPr>
      </w:pPr>
      <w:r w:rsidRPr="00C00DCA">
        <w:rPr>
          <w:rFonts w:ascii="Palatino Linotype" w:hAnsi="Palatino Linotype"/>
        </w:rPr>
        <w:t xml:space="preserve">Resolución del Pleno del Instituto de Transparencia, Acceso a la Información Pública y Protección de Datos Personales del Estado de México y Municipios, con domicilio en Metepec, Estado de México; de fecha </w:t>
      </w:r>
      <w:r w:rsidR="00B03113" w:rsidRPr="00C00DCA">
        <w:rPr>
          <w:rFonts w:ascii="Palatino Linotype" w:hAnsi="Palatino Linotype"/>
        </w:rPr>
        <w:t xml:space="preserve">cuatro </w:t>
      </w:r>
      <w:r w:rsidR="00197701" w:rsidRPr="00C00DCA">
        <w:rPr>
          <w:rFonts w:ascii="Palatino Linotype" w:hAnsi="Palatino Linotype"/>
        </w:rPr>
        <w:t xml:space="preserve">(04) </w:t>
      </w:r>
      <w:r w:rsidR="00B03113" w:rsidRPr="00C00DCA">
        <w:rPr>
          <w:rFonts w:ascii="Palatino Linotype" w:hAnsi="Palatino Linotype"/>
        </w:rPr>
        <w:t>de diciembre</w:t>
      </w:r>
      <w:r w:rsidR="00844CA2" w:rsidRPr="00C00DCA">
        <w:rPr>
          <w:rFonts w:ascii="Palatino Linotype" w:hAnsi="Palatino Linotype"/>
        </w:rPr>
        <w:t xml:space="preserve"> </w:t>
      </w:r>
      <w:r w:rsidRPr="00C00DCA">
        <w:rPr>
          <w:rFonts w:ascii="Palatino Linotype" w:hAnsi="Palatino Linotype"/>
        </w:rPr>
        <w:t>de dos mil veinticuatro.</w:t>
      </w:r>
    </w:p>
    <w:p w14:paraId="7A47408F" w14:textId="77777777" w:rsidR="00942616" w:rsidRPr="00C00DCA" w:rsidRDefault="00942616" w:rsidP="000F30BC">
      <w:pPr>
        <w:tabs>
          <w:tab w:val="left" w:pos="3465"/>
        </w:tabs>
        <w:spacing w:line="360" w:lineRule="auto"/>
        <w:jc w:val="both"/>
        <w:rPr>
          <w:rFonts w:ascii="Palatino Linotype" w:hAnsi="Palatino Linotype"/>
        </w:rPr>
      </w:pPr>
    </w:p>
    <w:p w14:paraId="1A849A4C" w14:textId="59A09686" w:rsidR="00942616" w:rsidRPr="00C00DCA" w:rsidRDefault="001125D8" w:rsidP="000F30BC">
      <w:pPr>
        <w:spacing w:line="360" w:lineRule="auto"/>
        <w:jc w:val="both"/>
        <w:rPr>
          <w:rFonts w:ascii="Palatino Linotype" w:hAnsi="Palatino Linotype"/>
        </w:rPr>
      </w:pPr>
      <w:r w:rsidRPr="00C00DCA">
        <w:rPr>
          <w:rFonts w:ascii="Palatino Linotype" w:hAnsi="Palatino Linotype"/>
          <w:b/>
        </w:rPr>
        <w:t xml:space="preserve">VISTAS </w:t>
      </w:r>
      <w:r w:rsidRPr="00C00DCA">
        <w:rPr>
          <w:rFonts w:ascii="Palatino Linotype" w:hAnsi="Palatino Linotype"/>
        </w:rPr>
        <w:t>las constancias para resolver el recurso de revi</w:t>
      </w:r>
      <w:r w:rsidR="00D05A0E" w:rsidRPr="00C00DCA">
        <w:rPr>
          <w:rFonts w:ascii="Palatino Linotype" w:hAnsi="Palatino Linotype"/>
        </w:rPr>
        <w:t>sión</w:t>
      </w:r>
      <w:r w:rsidR="00197701" w:rsidRPr="00C00DCA">
        <w:rPr>
          <w:rFonts w:ascii="Palatino Linotype" w:hAnsi="Palatino Linotype"/>
        </w:rPr>
        <w:t xml:space="preserve"> </w:t>
      </w:r>
      <w:r w:rsidR="00197701" w:rsidRPr="00C00DCA">
        <w:rPr>
          <w:rFonts w:ascii="Palatino Linotype" w:hAnsi="Palatino Linotype" w:cs="Arial"/>
          <w:b/>
          <w:bCs/>
          <w:sz w:val="22"/>
          <w:szCs w:val="22"/>
          <w:lang w:eastAsia="es-MX"/>
        </w:rPr>
        <w:t>04573/INFOEM/IP/RR/2024,</w:t>
      </w:r>
      <w:r w:rsidR="00D05A0E" w:rsidRPr="00C00DCA">
        <w:rPr>
          <w:rFonts w:ascii="Palatino Linotype" w:hAnsi="Palatino Linotype"/>
        </w:rPr>
        <w:t xml:space="preserve"> presentado por una persona </w:t>
      </w:r>
      <w:r w:rsidR="00B03113" w:rsidRPr="00C00DCA">
        <w:rPr>
          <w:rFonts w:ascii="Palatino Linotype" w:hAnsi="Palatino Linotype"/>
        </w:rPr>
        <w:t xml:space="preserve">que no aportó datos de identificación </w:t>
      </w:r>
      <w:r w:rsidR="00D05A0E" w:rsidRPr="00C00DCA">
        <w:rPr>
          <w:rFonts w:ascii="Palatino Linotype" w:hAnsi="Palatino Linotype"/>
        </w:rPr>
        <w:t>en lo sucesivo el R</w:t>
      </w:r>
      <w:r w:rsidRPr="00C00DCA">
        <w:rPr>
          <w:rFonts w:ascii="Palatino Linotype" w:hAnsi="Palatino Linotype"/>
        </w:rPr>
        <w:t>ecurrente</w:t>
      </w:r>
      <w:r w:rsidR="00A731FE" w:rsidRPr="00C00DCA">
        <w:rPr>
          <w:rFonts w:ascii="Palatino Linotype" w:hAnsi="Palatino Linotype"/>
        </w:rPr>
        <w:t>, en contra de la respuesta otorgada a la solicitud de información</w:t>
      </w:r>
      <w:r w:rsidR="00F70101" w:rsidRPr="00C00DCA">
        <w:rPr>
          <w:rFonts w:ascii="Palatino Linotype" w:hAnsi="Palatino Linotype"/>
        </w:rPr>
        <w:t xml:space="preserve"> con </w:t>
      </w:r>
      <w:r w:rsidR="00566C95" w:rsidRPr="00C00DCA">
        <w:rPr>
          <w:rFonts w:ascii="Palatino Linotype" w:hAnsi="Palatino Linotype"/>
        </w:rPr>
        <w:t>número</w:t>
      </w:r>
      <w:r w:rsidR="00F70101" w:rsidRPr="00C00DCA">
        <w:rPr>
          <w:rFonts w:ascii="Palatino Linotype" w:hAnsi="Palatino Linotype"/>
        </w:rPr>
        <w:t xml:space="preserve"> de folio</w:t>
      </w:r>
      <w:r w:rsidR="00A731FE" w:rsidRPr="00C00DCA">
        <w:rPr>
          <w:rFonts w:ascii="Palatino Linotype" w:hAnsi="Palatino Linotype"/>
        </w:rPr>
        <w:t xml:space="preserve"> </w:t>
      </w:r>
      <w:r w:rsidR="00B03113" w:rsidRPr="00C00DCA">
        <w:rPr>
          <w:rFonts w:ascii="Palatino Linotype" w:hAnsi="Palatino Linotype" w:cs="Arial"/>
          <w:b/>
          <w:bCs/>
          <w:lang w:eastAsia="es-MX"/>
        </w:rPr>
        <w:t>00156/TEMAMATL/IP/2024</w:t>
      </w:r>
      <w:r w:rsidRPr="00C00DCA">
        <w:rPr>
          <w:rFonts w:ascii="Palatino Linotype" w:hAnsi="Palatino Linotype"/>
        </w:rPr>
        <w:t xml:space="preserve">, </w:t>
      </w:r>
      <w:r w:rsidR="00A731FE" w:rsidRPr="00C00DCA">
        <w:rPr>
          <w:rFonts w:ascii="Palatino Linotype" w:hAnsi="Palatino Linotype"/>
        </w:rPr>
        <w:t>por parte</w:t>
      </w:r>
      <w:r w:rsidRPr="00C00DCA">
        <w:rPr>
          <w:rFonts w:ascii="Palatino Linotype" w:hAnsi="Palatino Linotype"/>
        </w:rPr>
        <w:t xml:space="preserve"> de la </w:t>
      </w:r>
      <w:r w:rsidR="00B03113" w:rsidRPr="00C00DCA">
        <w:rPr>
          <w:rFonts w:ascii="Palatino Linotype" w:hAnsi="Palatino Linotype"/>
          <w:b/>
        </w:rPr>
        <w:t>Ayuntamiento de Temamatla</w:t>
      </w:r>
      <w:r w:rsidRPr="00C00DCA">
        <w:rPr>
          <w:rFonts w:ascii="Palatino Linotype" w:hAnsi="Palatino Linotype"/>
          <w:b/>
        </w:rPr>
        <w:t xml:space="preserve"> </w:t>
      </w:r>
      <w:r w:rsidRPr="00C00DCA">
        <w:rPr>
          <w:rFonts w:ascii="Palatino Linotype" w:hAnsi="Palatino Linotype"/>
        </w:rPr>
        <w:t>en adelante el Sujeto Obligado; Se emite la presente resolución</w:t>
      </w:r>
      <w:r w:rsidR="0074431C" w:rsidRPr="00C00DCA">
        <w:rPr>
          <w:rFonts w:ascii="Palatino Linotype" w:hAnsi="Palatino Linotype"/>
        </w:rPr>
        <w:t xml:space="preserve"> con base en los siguientes</w:t>
      </w:r>
      <w:r w:rsidRPr="00C00DCA">
        <w:rPr>
          <w:rFonts w:ascii="Palatino Linotype" w:hAnsi="Palatino Linotype"/>
        </w:rPr>
        <w:t>:</w:t>
      </w:r>
    </w:p>
    <w:p w14:paraId="3758320C" w14:textId="77777777" w:rsidR="00F70101" w:rsidRPr="00C00DCA" w:rsidRDefault="00F70101" w:rsidP="000F30BC">
      <w:pPr>
        <w:spacing w:line="360" w:lineRule="auto"/>
        <w:jc w:val="both"/>
        <w:rPr>
          <w:rFonts w:ascii="Palatino Linotype" w:hAnsi="Palatino Linotype"/>
        </w:rPr>
      </w:pPr>
    </w:p>
    <w:p w14:paraId="27CF3736" w14:textId="77777777" w:rsidR="00942616" w:rsidRPr="00C00DCA" w:rsidRDefault="00942616" w:rsidP="000F30BC">
      <w:pPr>
        <w:pStyle w:val="Ttulo1"/>
        <w:spacing w:before="0" w:line="360" w:lineRule="auto"/>
        <w:jc w:val="center"/>
        <w:rPr>
          <w:rFonts w:ascii="Palatino Linotype" w:hAnsi="Palatino Linotype"/>
          <w:b/>
          <w:color w:val="000000" w:themeColor="text1"/>
          <w:sz w:val="24"/>
          <w:szCs w:val="24"/>
        </w:rPr>
      </w:pPr>
      <w:bookmarkStart w:id="0" w:name="_Toc461555884"/>
      <w:bookmarkStart w:id="1" w:name="_Toc466371847"/>
      <w:bookmarkStart w:id="2" w:name="_Toc83128575"/>
      <w:r w:rsidRPr="00C00DCA">
        <w:rPr>
          <w:rFonts w:ascii="Palatino Linotype" w:hAnsi="Palatino Linotype"/>
          <w:b/>
          <w:color w:val="000000" w:themeColor="text1"/>
          <w:sz w:val="24"/>
          <w:szCs w:val="24"/>
        </w:rPr>
        <w:t>ANTECEDENTES</w:t>
      </w:r>
      <w:bookmarkEnd w:id="0"/>
      <w:bookmarkEnd w:id="1"/>
      <w:bookmarkEnd w:id="2"/>
    </w:p>
    <w:p w14:paraId="5385E88F" w14:textId="77777777" w:rsidR="00942616" w:rsidRPr="00C00DCA" w:rsidRDefault="00942616" w:rsidP="000F30BC">
      <w:pPr>
        <w:spacing w:line="360" w:lineRule="auto"/>
        <w:rPr>
          <w:rFonts w:ascii="Palatino Linotype" w:hAnsi="Palatino Linotype"/>
        </w:rPr>
      </w:pPr>
    </w:p>
    <w:p w14:paraId="0173BD2D" w14:textId="1B8B335E" w:rsidR="001125D8" w:rsidRPr="00C00DCA" w:rsidRDefault="000B03F3" w:rsidP="000F30BC">
      <w:pPr>
        <w:pStyle w:val="Prrafodelista"/>
        <w:numPr>
          <w:ilvl w:val="0"/>
          <w:numId w:val="19"/>
        </w:numPr>
        <w:spacing w:line="360" w:lineRule="auto"/>
        <w:jc w:val="both"/>
        <w:rPr>
          <w:rFonts w:ascii="Palatino Linotype" w:eastAsia="Calibri" w:hAnsi="Palatino Linotype" w:cs="Arial"/>
          <w:b/>
          <w:u w:val="single"/>
          <w:lang w:val="es-ES"/>
        </w:rPr>
      </w:pPr>
      <w:r w:rsidRPr="00C00DCA">
        <w:rPr>
          <w:rFonts w:ascii="Palatino Linotype" w:eastAsia="Calibri" w:hAnsi="Palatino Linotype" w:cs="Arial"/>
          <w:b/>
          <w:u w:val="single"/>
          <w:lang w:val="es-ES"/>
        </w:rPr>
        <w:t>Solicitud de acceso a la información pública.</w:t>
      </w:r>
    </w:p>
    <w:p w14:paraId="53379CE6" w14:textId="3DEAF945" w:rsidR="00942616" w:rsidRPr="00C00DCA" w:rsidRDefault="00942616" w:rsidP="000F30BC">
      <w:pPr>
        <w:pStyle w:val="Prrafodelista"/>
        <w:numPr>
          <w:ilvl w:val="0"/>
          <w:numId w:val="1"/>
        </w:numPr>
        <w:tabs>
          <w:tab w:val="left" w:pos="0"/>
        </w:tabs>
        <w:spacing w:line="360" w:lineRule="auto"/>
        <w:ind w:left="0" w:right="49" w:firstLine="0"/>
        <w:jc w:val="both"/>
        <w:rPr>
          <w:rFonts w:ascii="Palatino Linotype" w:eastAsia="Calibri" w:hAnsi="Palatino Linotype" w:cs="Arial"/>
          <w:lang w:val="es-ES"/>
        </w:rPr>
      </w:pPr>
      <w:r w:rsidRPr="00C00DCA">
        <w:rPr>
          <w:rFonts w:ascii="Palatino Linotype" w:eastAsia="Calibri" w:hAnsi="Palatino Linotype" w:cs="Arial"/>
          <w:lang w:val="es-ES"/>
        </w:rPr>
        <w:t>El día</w:t>
      </w:r>
      <w:r w:rsidR="00133699" w:rsidRPr="00C00DCA">
        <w:rPr>
          <w:rFonts w:ascii="Palatino Linotype" w:eastAsia="Calibri" w:hAnsi="Palatino Linotype" w:cs="Arial"/>
          <w:b/>
          <w:lang w:val="es-ES"/>
        </w:rPr>
        <w:t xml:space="preserve"> </w:t>
      </w:r>
      <w:r w:rsidR="00B03113" w:rsidRPr="00C00DCA">
        <w:rPr>
          <w:rFonts w:ascii="Palatino Linotype" w:eastAsia="Calibri" w:hAnsi="Palatino Linotype" w:cs="Arial"/>
          <w:b/>
          <w:lang w:val="es-ES"/>
        </w:rPr>
        <w:t>cinc</w:t>
      </w:r>
      <w:r w:rsidR="00112714" w:rsidRPr="00C00DCA">
        <w:rPr>
          <w:rFonts w:ascii="Palatino Linotype" w:eastAsia="Calibri" w:hAnsi="Palatino Linotype" w:cs="Arial"/>
          <w:b/>
          <w:lang w:val="es-ES"/>
        </w:rPr>
        <w:t xml:space="preserve">o de </w:t>
      </w:r>
      <w:r w:rsidR="00B03113" w:rsidRPr="00C00DCA">
        <w:rPr>
          <w:rFonts w:ascii="Palatino Linotype" w:eastAsia="Calibri" w:hAnsi="Palatino Linotype" w:cs="Arial"/>
          <w:b/>
          <w:lang w:val="es-ES"/>
        </w:rPr>
        <w:t>julio</w:t>
      </w:r>
      <w:r w:rsidR="001E27D8" w:rsidRPr="00C00DCA">
        <w:rPr>
          <w:rFonts w:ascii="Palatino Linotype" w:eastAsia="Calibri" w:hAnsi="Palatino Linotype" w:cs="Arial"/>
          <w:b/>
          <w:lang w:val="es-ES"/>
        </w:rPr>
        <w:t xml:space="preserve"> de dos mil </w:t>
      </w:r>
      <w:r w:rsidR="00112714" w:rsidRPr="00C00DCA">
        <w:rPr>
          <w:rFonts w:ascii="Palatino Linotype" w:eastAsia="Calibri" w:hAnsi="Palatino Linotype" w:cs="Arial"/>
          <w:b/>
          <w:lang w:val="es-ES"/>
        </w:rPr>
        <w:t>veinticuatro</w:t>
      </w:r>
      <w:r w:rsidRPr="00C00DCA">
        <w:rPr>
          <w:rFonts w:ascii="Palatino Linotype" w:hAnsi="Palatino Linotype"/>
        </w:rPr>
        <w:t>,</w:t>
      </w:r>
      <w:r w:rsidRPr="00C00DCA">
        <w:rPr>
          <w:rFonts w:ascii="Palatino Linotype" w:hAnsi="Palatino Linotype"/>
          <w:b/>
        </w:rPr>
        <w:t xml:space="preserve"> </w:t>
      </w:r>
      <w:r w:rsidRPr="00C00DCA">
        <w:rPr>
          <w:rFonts w:ascii="Palatino Linotype" w:eastAsia="Calibri" w:hAnsi="Palatino Linotype" w:cs="Arial"/>
          <w:lang w:val="es-ES"/>
        </w:rPr>
        <w:t xml:space="preserve">se presentó ante el </w:t>
      </w:r>
      <w:r w:rsidR="001125D8" w:rsidRPr="00C00DCA">
        <w:rPr>
          <w:rFonts w:ascii="Palatino Linotype" w:eastAsia="Calibri" w:hAnsi="Palatino Linotype" w:cs="Arial"/>
          <w:lang w:val="es-ES"/>
        </w:rPr>
        <w:t>Sujeto Obligado</w:t>
      </w:r>
      <w:r w:rsidR="001125D8" w:rsidRPr="00C00DCA">
        <w:rPr>
          <w:rFonts w:ascii="Palatino Linotype" w:eastAsia="Calibri" w:hAnsi="Palatino Linotype" w:cs="Arial"/>
        </w:rPr>
        <w:t xml:space="preserve"> </w:t>
      </w:r>
      <w:r w:rsidRPr="00C00DCA">
        <w:rPr>
          <w:rFonts w:ascii="Palatino Linotype" w:eastAsia="Calibri" w:hAnsi="Palatino Linotype" w:cs="Arial"/>
        </w:rPr>
        <w:t>vía</w:t>
      </w:r>
      <w:r w:rsidR="001125D8" w:rsidRPr="00C00DCA">
        <w:rPr>
          <w:rFonts w:ascii="Palatino Linotype" w:eastAsia="Calibri" w:hAnsi="Palatino Linotype" w:cs="Arial"/>
        </w:rPr>
        <w:t xml:space="preserve"> Sistema </w:t>
      </w:r>
      <w:r w:rsidR="001125D8" w:rsidRPr="00C00DCA">
        <w:rPr>
          <w:rFonts w:ascii="Palatino Linotype" w:eastAsia="Times New Roman" w:hAnsi="Palatino Linotype" w:cs="Arial"/>
          <w:color w:val="000000" w:themeColor="text1"/>
          <w:lang w:val="es-ES"/>
        </w:rPr>
        <w:t>de</w:t>
      </w:r>
      <w:r w:rsidR="001125D8" w:rsidRPr="00C00DCA">
        <w:rPr>
          <w:rFonts w:ascii="Palatino Linotype" w:eastAsia="Calibri" w:hAnsi="Palatino Linotype" w:cs="Arial"/>
        </w:rPr>
        <w:t xml:space="preserve"> Acceso a la Información Mexiquense</w:t>
      </w:r>
      <w:r w:rsidR="0074431C" w:rsidRPr="00C00DCA">
        <w:rPr>
          <w:rFonts w:ascii="Palatino Linotype" w:eastAsia="Calibri" w:hAnsi="Palatino Linotype" w:cs="Arial"/>
        </w:rPr>
        <w:t xml:space="preserve">, en adelante </w:t>
      </w:r>
      <w:r w:rsidRPr="00C00DCA">
        <w:rPr>
          <w:rFonts w:ascii="Palatino Linotype" w:eastAsia="Calibri" w:hAnsi="Palatino Linotype" w:cs="Arial"/>
          <w:lang w:val="es-ES"/>
        </w:rPr>
        <w:t xml:space="preserve">SAIMEX, la </w:t>
      </w:r>
      <w:r w:rsidR="001125D8" w:rsidRPr="00C00DCA">
        <w:rPr>
          <w:rFonts w:ascii="Palatino Linotype" w:eastAsia="Calibri" w:hAnsi="Palatino Linotype" w:cs="Arial"/>
          <w:lang w:val="es-ES"/>
        </w:rPr>
        <w:t xml:space="preserve">siguiente </w:t>
      </w:r>
      <w:r w:rsidRPr="00C00DCA">
        <w:rPr>
          <w:rFonts w:ascii="Palatino Linotype" w:eastAsia="Calibri" w:hAnsi="Palatino Linotype" w:cs="Arial"/>
          <w:lang w:val="es-ES"/>
        </w:rPr>
        <w:t>solicitud de información pública:</w:t>
      </w:r>
    </w:p>
    <w:p w14:paraId="178B136D" w14:textId="77777777" w:rsidR="00942616" w:rsidRPr="00C00DCA" w:rsidRDefault="00942616" w:rsidP="000F30BC">
      <w:pPr>
        <w:pStyle w:val="Prrafodelista"/>
        <w:spacing w:line="360" w:lineRule="auto"/>
        <w:ind w:left="0"/>
        <w:jc w:val="both"/>
        <w:rPr>
          <w:rFonts w:ascii="Palatino Linotype" w:eastAsia="Calibri" w:hAnsi="Palatino Linotype" w:cs="Arial"/>
          <w:lang w:val="es-ES"/>
        </w:rPr>
      </w:pPr>
    </w:p>
    <w:p w14:paraId="4D74F757" w14:textId="45D26FA8" w:rsidR="00942616" w:rsidRPr="00C00DCA" w:rsidRDefault="00942616" w:rsidP="000F30BC">
      <w:pPr>
        <w:pStyle w:val="Prrafodelista"/>
        <w:spacing w:line="360" w:lineRule="auto"/>
        <w:ind w:left="425" w:right="476"/>
        <w:jc w:val="both"/>
        <w:rPr>
          <w:rFonts w:ascii="Palatino Linotype" w:hAnsi="Palatino Linotype"/>
        </w:rPr>
      </w:pPr>
      <w:r w:rsidRPr="00C00DCA">
        <w:rPr>
          <w:rFonts w:ascii="Palatino Linotype" w:hAnsi="Palatino Linotype"/>
          <w:i/>
        </w:rPr>
        <w:t>“</w:t>
      </w:r>
      <w:r w:rsidR="00B03113" w:rsidRPr="00C00DCA">
        <w:rPr>
          <w:rFonts w:ascii="Palatino Linotype" w:hAnsi="Palatino Linotype"/>
          <w:i/>
        </w:rPr>
        <w:t xml:space="preserve">Solicito el padrón municipal de proveedores, así </w:t>
      </w:r>
      <w:proofErr w:type="spellStart"/>
      <w:r w:rsidR="00B03113" w:rsidRPr="00C00DCA">
        <w:rPr>
          <w:rFonts w:ascii="Palatino Linotype" w:hAnsi="Palatino Linotype"/>
          <w:i/>
        </w:rPr>
        <w:t>cómo</w:t>
      </w:r>
      <w:proofErr w:type="spellEnd"/>
      <w:r w:rsidR="00B03113" w:rsidRPr="00C00DCA">
        <w:rPr>
          <w:rFonts w:ascii="Palatino Linotype" w:hAnsi="Palatino Linotype"/>
          <w:i/>
        </w:rPr>
        <w:t xml:space="preserve"> todas las actas del comité de adquisiciones del año 2022,2023 y 2024</w:t>
      </w:r>
      <w:r w:rsidRPr="00C00DCA">
        <w:rPr>
          <w:rFonts w:ascii="Palatino Linotype" w:hAnsi="Palatino Linotype"/>
          <w:i/>
        </w:rPr>
        <w:t>”</w:t>
      </w:r>
    </w:p>
    <w:p w14:paraId="1B41AE08" w14:textId="77777777" w:rsidR="00942616" w:rsidRPr="00C00DCA" w:rsidRDefault="00942616" w:rsidP="000F30BC">
      <w:pPr>
        <w:pStyle w:val="Prrafodelista"/>
        <w:spacing w:line="360" w:lineRule="auto"/>
        <w:ind w:left="851" w:right="34"/>
        <w:jc w:val="both"/>
        <w:rPr>
          <w:rFonts w:ascii="Palatino Linotype" w:hAnsi="Palatino Linotype"/>
        </w:rPr>
      </w:pPr>
    </w:p>
    <w:p w14:paraId="41BE3230" w14:textId="0C4261CD" w:rsidR="00942616" w:rsidRPr="00C00DCA" w:rsidRDefault="00942616" w:rsidP="000F30BC">
      <w:pPr>
        <w:pStyle w:val="Prrafodelista"/>
        <w:numPr>
          <w:ilvl w:val="0"/>
          <w:numId w:val="23"/>
        </w:numPr>
        <w:tabs>
          <w:tab w:val="left" w:pos="0"/>
        </w:tabs>
        <w:spacing w:line="360" w:lineRule="auto"/>
        <w:ind w:left="709" w:right="51"/>
        <w:jc w:val="both"/>
        <w:rPr>
          <w:rFonts w:ascii="Palatino Linotype" w:hAnsi="Palatino Linotype"/>
        </w:rPr>
      </w:pPr>
      <w:r w:rsidRPr="00C00DCA">
        <w:rPr>
          <w:rFonts w:ascii="Palatino Linotype" w:eastAsia="Times New Roman" w:hAnsi="Palatino Linotype" w:cs="Arial"/>
          <w:lang w:val="es-ES"/>
        </w:rPr>
        <w:t xml:space="preserve">Se eligió como </w:t>
      </w:r>
      <w:r w:rsidRPr="00C00DCA">
        <w:rPr>
          <w:rFonts w:ascii="Palatino Linotype" w:hAnsi="Palatino Linotype"/>
        </w:rPr>
        <w:t>modalidad</w:t>
      </w:r>
      <w:r w:rsidRPr="00C00DCA">
        <w:rPr>
          <w:rFonts w:ascii="Palatino Linotype" w:eastAsia="Times New Roman" w:hAnsi="Palatino Linotype" w:cs="Arial"/>
          <w:lang w:val="es-ES"/>
        </w:rPr>
        <w:t xml:space="preserve"> de entrega de la información</w:t>
      </w:r>
      <w:r w:rsidRPr="00C00DCA">
        <w:rPr>
          <w:rFonts w:ascii="Palatino Linotype" w:hAnsi="Palatino Linotype"/>
        </w:rPr>
        <w:t>: A través del</w:t>
      </w:r>
      <w:r w:rsidR="00833269" w:rsidRPr="00C00DCA">
        <w:rPr>
          <w:rFonts w:ascii="Palatino Linotype" w:hAnsi="Palatino Linotype"/>
        </w:rPr>
        <w:t xml:space="preserve"> </w:t>
      </w:r>
      <w:r w:rsidRPr="00C00DCA">
        <w:rPr>
          <w:rFonts w:ascii="Palatino Linotype" w:hAnsi="Palatino Linotype"/>
          <w:b/>
        </w:rPr>
        <w:t>SAIMEX.</w:t>
      </w:r>
    </w:p>
    <w:p w14:paraId="6A37E7BA" w14:textId="77777777" w:rsidR="00F70101" w:rsidRPr="00C00DCA" w:rsidRDefault="00F70101" w:rsidP="000F30BC">
      <w:pPr>
        <w:pStyle w:val="Prrafodelista"/>
        <w:tabs>
          <w:tab w:val="left" w:pos="0"/>
        </w:tabs>
        <w:spacing w:line="360" w:lineRule="auto"/>
        <w:ind w:left="709" w:right="51"/>
        <w:jc w:val="both"/>
        <w:rPr>
          <w:rFonts w:ascii="Palatino Linotype" w:hAnsi="Palatino Linotype"/>
        </w:rPr>
      </w:pPr>
    </w:p>
    <w:p w14:paraId="72E3469D" w14:textId="22D59A2F" w:rsidR="001125D8" w:rsidRPr="00C00DCA" w:rsidRDefault="00E546EE" w:rsidP="000F30BC">
      <w:pPr>
        <w:pStyle w:val="Prrafodelista"/>
        <w:numPr>
          <w:ilvl w:val="0"/>
          <w:numId w:val="2"/>
        </w:numPr>
        <w:tabs>
          <w:tab w:val="left" w:pos="0"/>
        </w:tabs>
        <w:spacing w:line="360" w:lineRule="auto"/>
        <w:ind w:left="709" w:right="51"/>
        <w:jc w:val="both"/>
        <w:rPr>
          <w:rFonts w:ascii="Palatino Linotype" w:hAnsi="Palatino Linotype"/>
          <w:b/>
          <w:u w:val="single"/>
        </w:rPr>
      </w:pPr>
      <w:r w:rsidRPr="00C00DCA">
        <w:rPr>
          <w:rFonts w:ascii="Palatino Linotype" w:hAnsi="Palatino Linotype"/>
          <w:b/>
          <w:u w:val="single"/>
        </w:rPr>
        <w:t>R</w:t>
      </w:r>
      <w:r w:rsidR="00833269" w:rsidRPr="00C00DCA">
        <w:rPr>
          <w:rFonts w:ascii="Palatino Linotype" w:hAnsi="Palatino Linotype"/>
          <w:b/>
          <w:u w:val="single"/>
        </w:rPr>
        <w:t>espuesta</w:t>
      </w:r>
      <w:r w:rsidR="000B03F3" w:rsidRPr="00C00DCA">
        <w:rPr>
          <w:rFonts w:ascii="Palatino Linotype" w:hAnsi="Palatino Linotype"/>
          <w:b/>
          <w:u w:val="single"/>
        </w:rPr>
        <w:t xml:space="preserve"> del Sujeto Obligado</w:t>
      </w:r>
      <w:r w:rsidR="003C236F" w:rsidRPr="00C00DCA">
        <w:rPr>
          <w:rFonts w:ascii="Palatino Linotype" w:hAnsi="Palatino Linotype"/>
          <w:b/>
          <w:u w:val="single"/>
        </w:rPr>
        <w:t xml:space="preserve">. </w:t>
      </w:r>
    </w:p>
    <w:p w14:paraId="25112C50" w14:textId="1F5CEB46" w:rsidR="00844CA2" w:rsidRPr="00C00DCA" w:rsidRDefault="00833269" w:rsidP="002E6437">
      <w:pPr>
        <w:pStyle w:val="Prrafodelista"/>
        <w:numPr>
          <w:ilvl w:val="0"/>
          <w:numId w:val="1"/>
        </w:numPr>
        <w:tabs>
          <w:tab w:val="left" w:pos="0"/>
        </w:tabs>
        <w:spacing w:line="360" w:lineRule="auto"/>
        <w:ind w:left="0" w:right="49" w:firstLine="0"/>
        <w:jc w:val="both"/>
        <w:rPr>
          <w:rFonts w:ascii="Palatino Linotype" w:hAnsi="Palatino Linotype" w:cs="Arial"/>
          <w:color w:val="000000" w:themeColor="text1"/>
        </w:rPr>
      </w:pPr>
      <w:r w:rsidRPr="00C00DCA">
        <w:rPr>
          <w:rFonts w:ascii="Palatino Linotype" w:hAnsi="Palatino Linotype" w:cs="Arial"/>
          <w:color w:val="000000" w:themeColor="text1"/>
        </w:rPr>
        <w:t xml:space="preserve">El </w:t>
      </w:r>
      <w:r w:rsidR="00B03113" w:rsidRPr="00C00DCA">
        <w:rPr>
          <w:rFonts w:ascii="Palatino Linotype" w:hAnsi="Palatino Linotype" w:cs="Arial"/>
          <w:b/>
          <w:color w:val="000000" w:themeColor="text1"/>
        </w:rPr>
        <w:t>dieciséis de julio</w:t>
      </w:r>
      <w:r w:rsidR="00112714" w:rsidRPr="00C00DCA">
        <w:rPr>
          <w:rFonts w:ascii="Palatino Linotype" w:hAnsi="Palatino Linotype" w:cs="Arial"/>
          <w:b/>
          <w:color w:val="000000" w:themeColor="text1"/>
        </w:rPr>
        <w:t xml:space="preserve"> </w:t>
      </w:r>
      <w:r w:rsidRPr="00C00DCA">
        <w:rPr>
          <w:rFonts w:ascii="Palatino Linotype" w:hAnsi="Palatino Linotype" w:cs="Arial"/>
          <w:b/>
          <w:color w:val="000000" w:themeColor="text1"/>
        </w:rPr>
        <w:t>dos mil veinticuatro,</w:t>
      </w:r>
      <w:r w:rsidRPr="00C00DCA">
        <w:rPr>
          <w:rFonts w:ascii="Palatino Linotype" w:hAnsi="Palatino Linotype" w:cs="Arial"/>
          <w:color w:val="000000" w:themeColor="text1"/>
        </w:rPr>
        <w:t xml:space="preserve"> </w:t>
      </w:r>
      <w:r w:rsidR="00942616" w:rsidRPr="00C00DCA">
        <w:rPr>
          <w:rFonts w:ascii="Palatino Linotype" w:hAnsi="Palatino Linotype" w:cs="Arial"/>
          <w:color w:val="000000" w:themeColor="text1"/>
        </w:rPr>
        <w:t xml:space="preserve">el </w:t>
      </w:r>
      <w:r w:rsidR="001125D8" w:rsidRPr="00C00DCA">
        <w:rPr>
          <w:rFonts w:ascii="Palatino Linotype" w:hAnsi="Palatino Linotype" w:cs="Arial"/>
          <w:color w:val="000000" w:themeColor="text1"/>
        </w:rPr>
        <w:t>Sujeto Obligado</w:t>
      </w:r>
      <w:r w:rsidR="00942616" w:rsidRPr="00C00DCA">
        <w:rPr>
          <w:rFonts w:ascii="Palatino Linotype" w:hAnsi="Palatino Linotype" w:cs="Arial"/>
          <w:b/>
          <w:color w:val="000000" w:themeColor="text1"/>
        </w:rPr>
        <w:t>,</w:t>
      </w:r>
      <w:r w:rsidR="00942616" w:rsidRPr="00C00DCA">
        <w:rPr>
          <w:rFonts w:ascii="Palatino Linotype" w:hAnsi="Palatino Linotype" w:cs="Arial"/>
          <w:color w:val="000000" w:themeColor="text1"/>
        </w:rPr>
        <w:t xml:space="preserve"> dio respuesta a través </w:t>
      </w:r>
      <w:r w:rsidR="001125D8" w:rsidRPr="00C00DCA">
        <w:rPr>
          <w:rFonts w:ascii="Palatino Linotype" w:hAnsi="Palatino Linotype" w:cs="Arial"/>
          <w:color w:val="000000" w:themeColor="text1"/>
        </w:rPr>
        <w:t>de</w:t>
      </w:r>
      <w:r w:rsidR="00BD6261" w:rsidRPr="00C00DCA">
        <w:rPr>
          <w:rFonts w:ascii="Palatino Linotype" w:hAnsi="Palatino Linotype" w:cs="Arial"/>
          <w:color w:val="000000" w:themeColor="text1"/>
        </w:rPr>
        <w:t xml:space="preserve"> </w:t>
      </w:r>
      <w:r w:rsidR="001125D8" w:rsidRPr="00C00DCA">
        <w:rPr>
          <w:rFonts w:ascii="Palatino Linotype" w:hAnsi="Palatino Linotype" w:cs="Arial"/>
          <w:color w:val="000000" w:themeColor="text1"/>
        </w:rPr>
        <w:t>l</w:t>
      </w:r>
      <w:r w:rsidR="00BD6261" w:rsidRPr="00C00DCA">
        <w:rPr>
          <w:rFonts w:ascii="Palatino Linotype" w:hAnsi="Palatino Linotype" w:cs="Arial"/>
          <w:color w:val="000000" w:themeColor="text1"/>
        </w:rPr>
        <w:t>os</w:t>
      </w:r>
      <w:r w:rsidR="001125D8" w:rsidRPr="00C00DCA">
        <w:rPr>
          <w:rFonts w:ascii="Palatino Linotype" w:hAnsi="Palatino Linotype" w:cs="Arial"/>
          <w:color w:val="000000" w:themeColor="text1"/>
        </w:rPr>
        <w:t xml:space="preserve"> </w:t>
      </w:r>
      <w:r w:rsidR="001125D8" w:rsidRPr="00C00DCA">
        <w:rPr>
          <w:rFonts w:ascii="Palatino Linotype" w:eastAsia="Calibri" w:hAnsi="Palatino Linotype" w:cs="Arial"/>
          <w:lang w:val="es-ES"/>
        </w:rPr>
        <w:t>siguiente</w:t>
      </w:r>
      <w:r w:rsidR="00BD6261" w:rsidRPr="00C00DCA">
        <w:rPr>
          <w:rFonts w:ascii="Palatino Linotype" w:eastAsia="Calibri" w:hAnsi="Palatino Linotype" w:cs="Arial"/>
          <w:lang w:val="es-ES"/>
        </w:rPr>
        <w:t>s</w:t>
      </w:r>
      <w:r w:rsidR="001125D8" w:rsidRPr="00C00DCA">
        <w:rPr>
          <w:rFonts w:ascii="Palatino Linotype" w:hAnsi="Palatino Linotype" w:cs="Arial"/>
          <w:color w:val="000000" w:themeColor="text1"/>
        </w:rPr>
        <w:t xml:space="preserve"> </w:t>
      </w:r>
      <w:r w:rsidR="00B03113" w:rsidRPr="00C00DCA">
        <w:rPr>
          <w:rFonts w:ascii="Palatino Linotype" w:hAnsi="Palatino Linotype" w:cs="Arial"/>
          <w:color w:val="000000" w:themeColor="text1"/>
        </w:rPr>
        <w:t xml:space="preserve">dos </w:t>
      </w:r>
      <w:r w:rsidR="001125D8" w:rsidRPr="00C00DCA">
        <w:rPr>
          <w:rFonts w:ascii="Palatino Linotype" w:hAnsi="Palatino Linotype" w:cs="Arial"/>
          <w:color w:val="000000" w:themeColor="text1"/>
        </w:rPr>
        <w:t>archivo</w:t>
      </w:r>
      <w:r w:rsidR="00BD6261" w:rsidRPr="00C00DCA">
        <w:rPr>
          <w:rFonts w:ascii="Palatino Linotype" w:hAnsi="Palatino Linotype" w:cs="Arial"/>
          <w:color w:val="000000" w:themeColor="text1"/>
        </w:rPr>
        <w:t>s</w:t>
      </w:r>
      <w:r w:rsidR="001125D8" w:rsidRPr="00C00DCA">
        <w:rPr>
          <w:rFonts w:ascii="Palatino Linotype" w:hAnsi="Palatino Linotype" w:cs="Arial"/>
          <w:color w:val="000000" w:themeColor="text1"/>
        </w:rPr>
        <w:t xml:space="preserve"> electrónico</w:t>
      </w:r>
      <w:r w:rsidR="00BD6261" w:rsidRPr="00C00DCA">
        <w:rPr>
          <w:rFonts w:ascii="Palatino Linotype" w:hAnsi="Palatino Linotype" w:cs="Arial"/>
          <w:color w:val="000000" w:themeColor="text1"/>
        </w:rPr>
        <w:t>s</w:t>
      </w:r>
      <w:r w:rsidR="00844CA2" w:rsidRPr="00C00DCA">
        <w:rPr>
          <w:rFonts w:ascii="Palatino Linotype" w:hAnsi="Palatino Linotype" w:cs="Arial"/>
          <w:color w:val="000000" w:themeColor="text1"/>
        </w:rPr>
        <w:t xml:space="preserve">: </w:t>
      </w:r>
    </w:p>
    <w:p w14:paraId="4272B8E3" w14:textId="77777777" w:rsidR="001125D8" w:rsidRPr="00C00DCA" w:rsidRDefault="001125D8" w:rsidP="000F30BC">
      <w:pPr>
        <w:tabs>
          <w:tab w:val="left" w:pos="0"/>
        </w:tabs>
        <w:spacing w:line="360" w:lineRule="auto"/>
        <w:ind w:right="51"/>
        <w:jc w:val="both"/>
        <w:rPr>
          <w:rFonts w:ascii="Palatino Linotype" w:hAnsi="Palatino Linotype" w:cs="Arial"/>
          <w:i/>
          <w:color w:val="000000" w:themeColor="text1"/>
        </w:rPr>
      </w:pPr>
    </w:p>
    <w:p w14:paraId="5BED0D5D" w14:textId="1BED0823" w:rsidR="00942616" w:rsidRPr="00C00DCA" w:rsidRDefault="00B03113" w:rsidP="00335F33">
      <w:pPr>
        <w:pStyle w:val="Prrafodelista"/>
        <w:numPr>
          <w:ilvl w:val="0"/>
          <w:numId w:val="20"/>
        </w:numPr>
        <w:tabs>
          <w:tab w:val="left" w:pos="0"/>
        </w:tabs>
        <w:spacing w:line="360" w:lineRule="auto"/>
        <w:ind w:right="616"/>
        <w:jc w:val="both"/>
        <w:rPr>
          <w:rFonts w:ascii="Palatino Linotype" w:hAnsi="Palatino Linotype" w:cs="Arial"/>
          <w:color w:val="000000" w:themeColor="text1"/>
        </w:rPr>
      </w:pPr>
      <w:r w:rsidRPr="00C00DCA">
        <w:rPr>
          <w:rFonts w:ascii="Palatino Linotype" w:hAnsi="Palatino Linotype" w:cs="Arial"/>
          <w:b/>
          <w:color w:val="000000" w:themeColor="text1"/>
        </w:rPr>
        <w:t>00156-TEMAMATL-2024.pdf</w:t>
      </w:r>
      <w:r w:rsidR="00BD6261" w:rsidRPr="00C00DCA">
        <w:rPr>
          <w:rFonts w:ascii="Palatino Linotype" w:hAnsi="Palatino Linotype" w:cs="Arial"/>
          <w:color w:val="000000" w:themeColor="text1"/>
        </w:rPr>
        <w:t xml:space="preserve">: </w:t>
      </w:r>
      <w:r w:rsidR="00335F33" w:rsidRPr="00C00DCA">
        <w:rPr>
          <w:rFonts w:ascii="Palatino Linotype" w:hAnsi="Palatino Linotype" w:cs="Arial"/>
          <w:color w:val="000000" w:themeColor="text1"/>
        </w:rPr>
        <w:t>oficio suscrito por el Director de Administración, mediante el cual propone el cambio de modalidad a consulta directa por corresponde</w:t>
      </w:r>
      <w:r w:rsidR="00197701" w:rsidRPr="00C00DCA">
        <w:rPr>
          <w:rFonts w:ascii="Palatino Linotype" w:hAnsi="Palatino Linotype" w:cs="Arial"/>
          <w:color w:val="000000" w:themeColor="text1"/>
        </w:rPr>
        <w:t>r</w:t>
      </w:r>
      <w:r w:rsidR="00335F33" w:rsidRPr="00C00DCA">
        <w:rPr>
          <w:rFonts w:ascii="Palatino Linotype" w:hAnsi="Palatino Linotype" w:cs="Arial"/>
          <w:color w:val="000000" w:themeColor="text1"/>
        </w:rPr>
        <w:t xml:space="preserve"> a un volumen de información de 500 fojas teniendo un total</w:t>
      </w:r>
      <w:r w:rsidR="00197701" w:rsidRPr="00C00DCA">
        <w:rPr>
          <w:rFonts w:ascii="Palatino Linotype" w:hAnsi="Palatino Linotype" w:cs="Arial"/>
          <w:color w:val="000000" w:themeColor="text1"/>
        </w:rPr>
        <w:t xml:space="preserve"> de</w:t>
      </w:r>
      <w:r w:rsidR="00335F33" w:rsidRPr="00C00DCA">
        <w:rPr>
          <w:rFonts w:ascii="Palatino Linotype" w:hAnsi="Palatino Linotype" w:cs="Arial"/>
          <w:color w:val="000000" w:themeColor="text1"/>
        </w:rPr>
        <w:t xml:space="preserve"> </w:t>
      </w:r>
      <w:r w:rsidR="00197701" w:rsidRPr="00C00DCA">
        <w:rPr>
          <w:rFonts w:ascii="Palatino Linotype" w:hAnsi="Palatino Linotype" w:cs="Arial"/>
          <w:color w:val="000000" w:themeColor="text1"/>
        </w:rPr>
        <w:t>más</w:t>
      </w:r>
      <w:r w:rsidR="00335F33" w:rsidRPr="00C00DCA">
        <w:rPr>
          <w:rFonts w:ascii="Palatino Linotype" w:hAnsi="Palatino Linotype" w:cs="Arial"/>
          <w:color w:val="000000" w:themeColor="text1"/>
        </w:rPr>
        <w:t xml:space="preserve"> de 1000 fojas.</w:t>
      </w:r>
    </w:p>
    <w:p w14:paraId="7F7F4879" w14:textId="77777777" w:rsidR="00BD6261" w:rsidRPr="00C00DCA" w:rsidRDefault="00BD6261" w:rsidP="000F30BC">
      <w:pPr>
        <w:pStyle w:val="Prrafodelista"/>
        <w:tabs>
          <w:tab w:val="left" w:pos="0"/>
        </w:tabs>
        <w:spacing w:line="360" w:lineRule="auto"/>
        <w:ind w:left="0" w:right="616"/>
        <w:jc w:val="both"/>
        <w:rPr>
          <w:rFonts w:ascii="Palatino Linotype" w:hAnsi="Palatino Linotype" w:cs="Arial"/>
          <w:color w:val="000000" w:themeColor="text1"/>
        </w:rPr>
      </w:pPr>
    </w:p>
    <w:p w14:paraId="357C9377" w14:textId="075695FF" w:rsidR="00BD6261" w:rsidRPr="00C00DCA" w:rsidRDefault="00B03113" w:rsidP="00335F33">
      <w:pPr>
        <w:pStyle w:val="Prrafodelista"/>
        <w:numPr>
          <w:ilvl w:val="0"/>
          <w:numId w:val="20"/>
        </w:numPr>
        <w:tabs>
          <w:tab w:val="left" w:pos="0"/>
        </w:tabs>
        <w:spacing w:line="360" w:lineRule="auto"/>
        <w:ind w:right="616"/>
        <w:jc w:val="both"/>
        <w:rPr>
          <w:rFonts w:ascii="Palatino Linotype" w:hAnsi="Palatino Linotype" w:cs="Arial"/>
          <w:color w:val="000000" w:themeColor="text1"/>
        </w:rPr>
      </w:pPr>
      <w:r w:rsidRPr="00C00DCA">
        <w:rPr>
          <w:rFonts w:ascii="Palatino Linotype" w:hAnsi="Palatino Linotype" w:cs="Arial"/>
          <w:b/>
          <w:color w:val="000000" w:themeColor="text1"/>
        </w:rPr>
        <w:t>66 ORDINARIA.pdf</w:t>
      </w:r>
      <w:r w:rsidR="00BD6261" w:rsidRPr="00C00DCA">
        <w:rPr>
          <w:rFonts w:ascii="Palatino Linotype" w:hAnsi="Palatino Linotype" w:cs="Arial"/>
          <w:color w:val="000000" w:themeColor="text1"/>
        </w:rPr>
        <w:t xml:space="preserve">: </w:t>
      </w:r>
      <w:r w:rsidR="00335F33" w:rsidRPr="00C00DCA">
        <w:rPr>
          <w:rFonts w:ascii="Palatino Linotype" w:hAnsi="Palatino Linotype" w:cs="Arial"/>
          <w:color w:val="000000" w:themeColor="text1"/>
        </w:rPr>
        <w:t>acta de la Sexagésima Sexta Sesión Ordinaria del Comité de Transparencia, mediante el cual el Comité aprueba el cambio de modalidad a diversas solicitudes de información en consulta directa.</w:t>
      </w:r>
    </w:p>
    <w:p w14:paraId="71FCCE90" w14:textId="77777777" w:rsidR="007C50BE" w:rsidRPr="00C00DCA" w:rsidRDefault="007C50BE" w:rsidP="000F30BC">
      <w:pPr>
        <w:pStyle w:val="Prrafodelista"/>
        <w:tabs>
          <w:tab w:val="left" w:pos="0"/>
        </w:tabs>
        <w:spacing w:line="360" w:lineRule="auto"/>
        <w:ind w:left="709" w:right="51"/>
        <w:jc w:val="both"/>
        <w:rPr>
          <w:rFonts w:ascii="Palatino Linotype" w:hAnsi="Palatino Linotype" w:cs="Arial"/>
          <w:i/>
          <w:color w:val="000000" w:themeColor="text1"/>
        </w:rPr>
      </w:pPr>
    </w:p>
    <w:p w14:paraId="5949AA68" w14:textId="77777777" w:rsidR="000B03F3" w:rsidRPr="00C00DCA" w:rsidRDefault="000B03F3" w:rsidP="000F30BC">
      <w:pPr>
        <w:pStyle w:val="Prrafodelista"/>
        <w:numPr>
          <w:ilvl w:val="0"/>
          <w:numId w:val="21"/>
        </w:numPr>
        <w:tabs>
          <w:tab w:val="left" w:pos="0"/>
        </w:tabs>
        <w:spacing w:line="360" w:lineRule="auto"/>
        <w:ind w:left="709" w:right="49"/>
        <w:jc w:val="both"/>
        <w:rPr>
          <w:rFonts w:ascii="Palatino Linotype" w:hAnsi="Palatino Linotype" w:cs="Arial"/>
          <w:i/>
          <w:color w:val="000000" w:themeColor="text1"/>
          <w:u w:val="single"/>
        </w:rPr>
      </w:pPr>
      <w:r w:rsidRPr="00C00DCA">
        <w:rPr>
          <w:rFonts w:ascii="Palatino Linotype" w:hAnsi="Palatino Linotype"/>
          <w:b/>
          <w:u w:val="single"/>
        </w:rPr>
        <w:t>Recurso de Revisión (razones o motivos de inconformidad)</w:t>
      </w:r>
    </w:p>
    <w:p w14:paraId="30268E17" w14:textId="31C57F52" w:rsidR="00942616" w:rsidRPr="00C00DCA" w:rsidRDefault="00942616" w:rsidP="000F30BC">
      <w:pPr>
        <w:pStyle w:val="Prrafodelista"/>
        <w:numPr>
          <w:ilvl w:val="0"/>
          <w:numId w:val="1"/>
        </w:numPr>
        <w:tabs>
          <w:tab w:val="left" w:pos="0"/>
        </w:tabs>
        <w:spacing w:line="360" w:lineRule="auto"/>
        <w:ind w:left="0" w:right="49" w:firstLine="0"/>
        <w:jc w:val="both"/>
        <w:rPr>
          <w:rFonts w:ascii="Palatino Linotype" w:hAnsi="Palatino Linotype" w:cs="Arial"/>
          <w:i/>
          <w:color w:val="000000" w:themeColor="text1"/>
        </w:rPr>
      </w:pPr>
      <w:r w:rsidRPr="00C00DCA">
        <w:rPr>
          <w:rFonts w:ascii="Palatino Linotype" w:eastAsia="Times New Roman" w:hAnsi="Palatino Linotype" w:cs="Arial"/>
          <w:color w:val="000000" w:themeColor="text1"/>
          <w:lang w:val="es-ES"/>
        </w:rPr>
        <w:t>El</w:t>
      </w:r>
      <w:r w:rsidR="00FC725E" w:rsidRPr="00C00DCA">
        <w:rPr>
          <w:rFonts w:ascii="Palatino Linotype" w:eastAsia="Times New Roman" w:hAnsi="Palatino Linotype" w:cs="Arial"/>
          <w:color w:val="000000" w:themeColor="text1"/>
          <w:lang w:val="es-ES"/>
        </w:rPr>
        <w:t xml:space="preserve"> </w:t>
      </w:r>
      <w:r w:rsidR="00FC725E" w:rsidRPr="00C00DCA">
        <w:rPr>
          <w:rFonts w:ascii="Palatino Linotype" w:eastAsia="Times New Roman" w:hAnsi="Palatino Linotype" w:cs="Arial"/>
          <w:b/>
          <w:color w:val="000000" w:themeColor="text1"/>
          <w:lang w:val="es-ES"/>
        </w:rPr>
        <w:t>diecisiete</w:t>
      </w:r>
      <w:r w:rsidR="00233B83" w:rsidRPr="00C00DCA">
        <w:rPr>
          <w:rFonts w:ascii="Palatino Linotype" w:eastAsia="Times New Roman" w:hAnsi="Palatino Linotype" w:cs="Arial"/>
          <w:b/>
          <w:color w:val="000000" w:themeColor="text1"/>
          <w:lang w:val="es-ES"/>
        </w:rPr>
        <w:t xml:space="preserve"> de </w:t>
      </w:r>
      <w:r w:rsidR="00FC725E" w:rsidRPr="00C00DCA">
        <w:rPr>
          <w:rFonts w:ascii="Palatino Linotype" w:eastAsia="Times New Roman" w:hAnsi="Palatino Linotype" w:cs="Arial"/>
          <w:b/>
          <w:color w:val="000000" w:themeColor="text1"/>
          <w:lang w:val="es-ES"/>
        </w:rPr>
        <w:t>juli</w:t>
      </w:r>
      <w:r w:rsidR="00233B83" w:rsidRPr="00C00DCA">
        <w:rPr>
          <w:rFonts w:ascii="Palatino Linotype" w:eastAsia="Times New Roman" w:hAnsi="Palatino Linotype" w:cs="Arial"/>
          <w:b/>
          <w:color w:val="000000" w:themeColor="text1"/>
          <w:lang w:val="es-ES"/>
        </w:rPr>
        <w:t>o</w:t>
      </w:r>
      <w:r w:rsidR="001E27D8" w:rsidRPr="00C00DCA">
        <w:rPr>
          <w:rFonts w:ascii="Palatino Linotype" w:eastAsia="Times New Roman" w:hAnsi="Palatino Linotype" w:cs="Arial"/>
          <w:b/>
          <w:color w:val="000000" w:themeColor="text1"/>
          <w:lang w:val="es-ES"/>
        </w:rPr>
        <w:t xml:space="preserve"> de dos mil </w:t>
      </w:r>
      <w:r w:rsidR="00112714" w:rsidRPr="00C00DCA">
        <w:rPr>
          <w:rFonts w:ascii="Palatino Linotype" w:eastAsia="Times New Roman" w:hAnsi="Palatino Linotype" w:cs="Arial"/>
          <w:b/>
          <w:color w:val="000000" w:themeColor="text1"/>
          <w:lang w:val="es-ES"/>
        </w:rPr>
        <w:t>veinticuatro</w:t>
      </w:r>
      <w:r w:rsidRPr="00C00DCA">
        <w:rPr>
          <w:rFonts w:ascii="Palatino Linotype" w:eastAsia="Times New Roman" w:hAnsi="Palatino Linotype" w:cs="Arial"/>
          <w:color w:val="000000" w:themeColor="text1"/>
          <w:lang w:val="es-ES"/>
        </w:rPr>
        <w:t xml:space="preserve">, el particular interpuso el recurso de revisión en contra de la respuesta, </w:t>
      </w:r>
      <w:r w:rsidR="003C236F" w:rsidRPr="00C00DCA">
        <w:rPr>
          <w:rFonts w:ascii="Palatino Linotype" w:eastAsia="Times New Roman" w:hAnsi="Palatino Linotype" w:cs="Arial"/>
          <w:color w:val="000000" w:themeColor="text1"/>
          <w:lang w:val="es-ES"/>
        </w:rPr>
        <w:t>realizando las siguientes manifestaciones</w:t>
      </w:r>
      <w:r w:rsidRPr="00C00DCA">
        <w:rPr>
          <w:rFonts w:ascii="Palatino Linotype" w:eastAsia="Times New Roman" w:hAnsi="Palatino Linotype" w:cs="Arial"/>
          <w:color w:val="000000" w:themeColor="text1"/>
          <w:lang w:val="es-ES"/>
        </w:rPr>
        <w:t>:</w:t>
      </w:r>
    </w:p>
    <w:p w14:paraId="5225D202" w14:textId="77777777" w:rsidR="00942616" w:rsidRPr="00C00DCA" w:rsidRDefault="00942616" w:rsidP="000F30BC">
      <w:pPr>
        <w:pStyle w:val="Prrafodelista"/>
        <w:tabs>
          <w:tab w:val="left" w:pos="0"/>
        </w:tabs>
        <w:spacing w:line="360" w:lineRule="auto"/>
        <w:ind w:left="0" w:right="49"/>
        <w:jc w:val="both"/>
        <w:rPr>
          <w:rFonts w:ascii="Palatino Linotype" w:hAnsi="Palatino Linotype" w:cs="Arial"/>
          <w:i/>
          <w:color w:val="000000" w:themeColor="text1"/>
        </w:rPr>
      </w:pPr>
    </w:p>
    <w:p w14:paraId="0FF685C6" w14:textId="20EC242C" w:rsidR="00942616" w:rsidRPr="00C00DCA" w:rsidRDefault="00942616" w:rsidP="00FC725E">
      <w:pPr>
        <w:pStyle w:val="Prrafodelista"/>
        <w:numPr>
          <w:ilvl w:val="0"/>
          <w:numId w:val="20"/>
        </w:numPr>
        <w:spacing w:line="360" w:lineRule="auto"/>
        <w:jc w:val="both"/>
        <w:rPr>
          <w:rStyle w:val="Ttulo2Car"/>
          <w:rFonts w:ascii="Palatino Linotype" w:hAnsi="Palatino Linotype"/>
          <w:i/>
          <w:color w:val="000000" w:themeColor="text1"/>
          <w:sz w:val="24"/>
          <w:szCs w:val="24"/>
        </w:rPr>
      </w:pPr>
      <w:bookmarkStart w:id="3" w:name="_Toc466982514"/>
      <w:bookmarkStart w:id="4" w:name="_Toc51854302"/>
      <w:bookmarkStart w:id="5" w:name="_Toc53584976"/>
      <w:bookmarkStart w:id="6" w:name="_Toc60925403"/>
      <w:bookmarkStart w:id="7" w:name="_Toc81364833"/>
      <w:bookmarkStart w:id="8" w:name="_Toc81390610"/>
      <w:bookmarkStart w:id="9" w:name="_Toc82611033"/>
      <w:bookmarkStart w:id="10" w:name="_Toc83128576"/>
      <w:bookmarkStart w:id="11" w:name="_Toc27589208"/>
      <w:bookmarkStart w:id="12" w:name="_Toc29395022"/>
      <w:bookmarkStart w:id="13" w:name="_Toc29481467"/>
      <w:bookmarkStart w:id="14" w:name="_Toc33113911"/>
      <w:bookmarkStart w:id="15" w:name="_Toc33643059"/>
      <w:bookmarkStart w:id="16" w:name="_Toc33724991"/>
      <w:bookmarkStart w:id="17" w:name="_Toc33726434"/>
      <w:bookmarkStart w:id="18" w:name="_Toc34157662"/>
      <w:bookmarkStart w:id="19" w:name="_Toc35003615"/>
      <w:bookmarkStart w:id="20" w:name="_Toc35535691"/>
      <w:bookmarkStart w:id="21" w:name="_Toc51262525"/>
      <w:bookmarkStart w:id="22" w:name="_Toc471908126"/>
      <w:bookmarkStart w:id="23" w:name="_Toc491791300"/>
      <w:bookmarkStart w:id="24" w:name="_Toc496726170"/>
      <w:bookmarkStart w:id="25" w:name="_Toc497242134"/>
      <w:bookmarkStart w:id="26" w:name="_Toc497292517"/>
      <w:bookmarkStart w:id="27" w:name="_Toc498503716"/>
      <w:bookmarkStart w:id="28" w:name="_Toc499568660"/>
      <w:bookmarkStart w:id="29" w:name="_Toc499568693"/>
      <w:bookmarkStart w:id="30" w:name="_Toc499665452"/>
      <w:bookmarkStart w:id="31" w:name="_Toc499729819"/>
      <w:bookmarkStart w:id="32" w:name="_Toc499835024"/>
      <w:bookmarkStart w:id="33" w:name="_Toc499835835"/>
      <w:bookmarkStart w:id="34" w:name="_Toc499835858"/>
      <w:bookmarkStart w:id="35" w:name="_Toc500264537"/>
      <w:bookmarkStart w:id="36" w:name="_Toc503290275"/>
      <w:bookmarkStart w:id="37" w:name="_Toc524009637"/>
      <w:bookmarkStart w:id="38" w:name="_Toc524009672"/>
      <w:bookmarkStart w:id="39" w:name="_Toc524602720"/>
      <w:bookmarkStart w:id="40" w:name="_Toc526365279"/>
      <w:bookmarkStart w:id="41" w:name="_Toc526365337"/>
      <w:bookmarkStart w:id="42" w:name="_Toc530067664"/>
      <w:bookmarkStart w:id="43" w:name="_Toc530067692"/>
      <w:bookmarkStart w:id="44" w:name="_Toc530067939"/>
      <w:bookmarkStart w:id="45" w:name="_Toc530590420"/>
      <w:bookmarkStart w:id="46" w:name="_Toc530593951"/>
      <w:bookmarkStart w:id="47" w:name="_Toc531190248"/>
      <w:bookmarkStart w:id="48" w:name="_Toc531190295"/>
      <w:bookmarkStart w:id="49" w:name="_Toc534908208"/>
      <w:bookmarkStart w:id="50" w:name="_Toc534909344"/>
      <w:bookmarkStart w:id="51" w:name="_Toc535353305"/>
      <w:bookmarkStart w:id="52" w:name="_Toc535353791"/>
      <w:bookmarkStart w:id="53" w:name="_Toc18436351"/>
      <w:bookmarkStart w:id="54" w:name="_Toc18436385"/>
      <w:bookmarkStart w:id="55" w:name="_Toc18513477"/>
      <w:bookmarkStart w:id="56" w:name="_Toc18513503"/>
      <w:bookmarkStart w:id="57" w:name="_Toc18606801"/>
      <w:bookmarkStart w:id="58" w:name="_Toc19723536"/>
      <w:bookmarkStart w:id="59" w:name="_Toc20322795"/>
      <w:bookmarkStart w:id="60" w:name="_Toc20323052"/>
      <w:bookmarkStart w:id="61" w:name="_Toc20323181"/>
      <w:bookmarkStart w:id="62" w:name="_Toc20420591"/>
      <w:bookmarkStart w:id="63" w:name="_Toc20421579"/>
      <w:bookmarkStart w:id="64" w:name="_Toc21027316"/>
      <w:bookmarkStart w:id="65" w:name="_Toc22660652"/>
      <w:bookmarkStart w:id="66" w:name="_Toc22811623"/>
      <w:bookmarkStart w:id="67" w:name="_Toc26436015"/>
      <w:r w:rsidRPr="00C00DCA">
        <w:rPr>
          <w:rStyle w:val="Ttulo2Car"/>
          <w:rFonts w:ascii="Palatino Linotype" w:hAnsi="Palatino Linotype"/>
          <w:b/>
          <w:color w:val="auto"/>
          <w:sz w:val="24"/>
          <w:szCs w:val="24"/>
        </w:rPr>
        <w:t>Acto impugnado</w:t>
      </w:r>
      <w:bookmarkEnd w:id="3"/>
      <w:r w:rsidRPr="00C00DCA">
        <w:rPr>
          <w:rStyle w:val="Ttulo2Car"/>
          <w:rFonts w:ascii="Palatino Linotype" w:hAnsi="Palatino Linotype"/>
          <w:b/>
          <w:color w:val="000000" w:themeColor="text1"/>
          <w:sz w:val="24"/>
          <w:szCs w:val="24"/>
        </w:rPr>
        <w:t xml:space="preserve">: </w:t>
      </w:r>
      <w:bookmarkStart w:id="68" w:name="_Toc466982515"/>
      <w:bookmarkStart w:id="69" w:name="_Toc27589209"/>
      <w:bookmarkStart w:id="70" w:name="_Toc29395023"/>
      <w:bookmarkStart w:id="71" w:name="_Toc29481468"/>
      <w:bookmarkStart w:id="72" w:name="_Toc33113912"/>
      <w:bookmarkStart w:id="73" w:name="_Toc33643060"/>
      <w:bookmarkStart w:id="74" w:name="_Toc33724992"/>
      <w:bookmarkStart w:id="75" w:name="_Toc33726435"/>
      <w:bookmarkStart w:id="76" w:name="_Toc34157663"/>
      <w:bookmarkStart w:id="77" w:name="_Toc35003616"/>
      <w:bookmarkStart w:id="78" w:name="_Toc35535692"/>
      <w:bookmarkStart w:id="79" w:name="_Toc51262526"/>
      <w:bookmarkStart w:id="80" w:name="_Toc471908127"/>
      <w:bookmarkStart w:id="81" w:name="_Toc491791301"/>
      <w:bookmarkStart w:id="82" w:name="_Toc496726171"/>
      <w:bookmarkStart w:id="83" w:name="_Toc497242135"/>
      <w:bookmarkStart w:id="84" w:name="_Toc497292518"/>
      <w:bookmarkStart w:id="85" w:name="_Toc498503717"/>
      <w:bookmarkStart w:id="86" w:name="_Toc499568661"/>
      <w:bookmarkStart w:id="87" w:name="_Toc499568694"/>
      <w:bookmarkStart w:id="88" w:name="_Toc499665453"/>
      <w:bookmarkStart w:id="89" w:name="_Toc499729820"/>
      <w:bookmarkStart w:id="90" w:name="_Toc499835025"/>
      <w:bookmarkStart w:id="91" w:name="_Toc499835836"/>
      <w:bookmarkStart w:id="92" w:name="_Toc499835859"/>
      <w:bookmarkStart w:id="93" w:name="_Toc500264538"/>
      <w:bookmarkStart w:id="94" w:name="_Toc503290276"/>
      <w:bookmarkStart w:id="95" w:name="_Toc524009638"/>
      <w:bookmarkStart w:id="96" w:name="_Toc524009673"/>
      <w:bookmarkStart w:id="97" w:name="_Toc524602721"/>
      <w:bookmarkStart w:id="98" w:name="_Toc526365280"/>
      <w:bookmarkStart w:id="99" w:name="_Toc526365338"/>
      <w:bookmarkStart w:id="100" w:name="_Toc530067665"/>
      <w:bookmarkStart w:id="101" w:name="_Toc530067693"/>
      <w:bookmarkStart w:id="102" w:name="_Toc530067940"/>
      <w:bookmarkStart w:id="103" w:name="_Toc530590421"/>
      <w:bookmarkStart w:id="104" w:name="_Toc530593952"/>
      <w:bookmarkStart w:id="105" w:name="_Toc531190249"/>
      <w:bookmarkStart w:id="106" w:name="_Toc531190296"/>
      <w:bookmarkStart w:id="107" w:name="_Toc534908209"/>
      <w:bookmarkStart w:id="108" w:name="_Toc534909345"/>
      <w:bookmarkStart w:id="109" w:name="_Toc535353306"/>
      <w:bookmarkStart w:id="110" w:name="_Toc535353792"/>
      <w:bookmarkStart w:id="111" w:name="_Toc18436352"/>
      <w:bookmarkStart w:id="112" w:name="_Toc18436386"/>
      <w:bookmarkStart w:id="113" w:name="_Toc18513478"/>
      <w:bookmarkStart w:id="114" w:name="_Toc18513504"/>
      <w:bookmarkStart w:id="115" w:name="_Toc18606802"/>
      <w:bookmarkStart w:id="116" w:name="_Toc19723537"/>
      <w:bookmarkStart w:id="117" w:name="_Toc20322796"/>
      <w:bookmarkStart w:id="118" w:name="_Toc20323053"/>
      <w:bookmarkStart w:id="119" w:name="_Toc20323182"/>
      <w:bookmarkStart w:id="120" w:name="_Toc20420592"/>
      <w:bookmarkStart w:id="121" w:name="_Toc20421580"/>
      <w:bookmarkStart w:id="122" w:name="_Toc21027317"/>
      <w:bookmarkStart w:id="123" w:name="_Toc22660653"/>
      <w:bookmarkStart w:id="124" w:name="_Toc22811624"/>
      <w:bookmarkStart w:id="125" w:name="_Toc26436016"/>
      <w:bookmarkStart w:id="126" w:name="_Toc5185430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r w:rsidR="009304C1" w:rsidRPr="00C00DCA">
        <w:rPr>
          <w:rStyle w:val="Ttulo2Car"/>
          <w:rFonts w:ascii="Palatino Linotype" w:hAnsi="Palatino Linotype"/>
          <w:i/>
          <w:color w:val="000000" w:themeColor="text1"/>
          <w:sz w:val="24"/>
          <w:szCs w:val="24"/>
        </w:rPr>
        <w:t>“</w:t>
      </w:r>
      <w:r w:rsidR="00FC725E" w:rsidRPr="00C00DCA">
        <w:rPr>
          <w:rStyle w:val="Ttulo2Car"/>
          <w:rFonts w:ascii="Palatino Linotype" w:hAnsi="Palatino Linotype"/>
          <w:i/>
          <w:color w:val="000000" w:themeColor="text1"/>
          <w:sz w:val="24"/>
          <w:szCs w:val="24"/>
        </w:rPr>
        <w:t xml:space="preserve">Respuesta de </w:t>
      </w:r>
      <w:proofErr w:type="spellStart"/>
      <w:r w:rsidR="00FC725E" w:rsidRPr="00C00DCA">
        <w:rPr>
          <w:rStyle w:val="Ttulo2Car"/>
          <w:rFonts w:ascii="Palatino Linotype" w:hAnsi="Palatino Linotype"/>
          <w:i/>
          <w:color w:val="000000" w:themeColor="text1"/>
          <w:sz w:val="24"/>
          <w:szCs w:val="24"/>
        </w:rPr>
        <w:t>informacion</w:t>
      </w:r>
      <w:proofErr w:type="spellEnd"/>
      <w:r w:rsidR="00FC725E" w:rsidRPr="00C00DCA">
        <w:rPr>
          <w:rStyle w:val="Ttulo2Car"/>
          <w:rFonts w:ascii="Palatino Linotype" w:hAnsi="Palatino Linotype"/>
          <w:i/>
          <w:color w:val="000000" w:themeColor="text1"/>
          <w:sz w:val="24"/>
          <w:szCs w:val="24"/>
        </w:rPr>
        <w:t xml:space="preserve"> solicitada</w:t>
      </w:r>
      <w:r w:rsidR="009304C1" w:rsidRPr="00C00DCA">
        <w:rPr>
          <w:rStyle w:val="Ttulo2Car"/>
          <w:rFonts w:ascii="Palatino Linotype" w:hAnsi="Palatino Linotype"/>
          <w:i/>
          <w:color w:val="000000" w:themeColor="text1"/>
          <w:sz w:val="24"/>
          <w:szCs w:val="24"/>
        </w:rPr>
        <w:t>”</w:t>
      </w:r>
    </w:p>
    <w:p w14:paraId="7F76B7BF" w14:textId="03E2E620" w:rsidR="00942616" w:rsidRPr="00C00DCA" w:rsidRDefault="004F003E" w:rsidP="000F30BC">
      <w:pPr>
        <w:pStyle w:val="Prrafodelista"/>
        <w:tabs>
          <w:tab w:val="left" w:pos="7020"/>
        </w:tabs>
        <w:spacing w:line="360" w:lineRule="auto"/>
        <w:ind w:left="709"/>
        <w:jc w:val="both"/>
        <w:rPr>
          <w:rStyle w:val="Ttulo2Car"/>
          <w:rFonts w:ascii="Palatino Linotype" w:hAnsi="Palatino Linotype"/>
          <w:i/>
          <w:color w:val="000000" w:themeColor="text1"/>
          <w:sz w:val="24"/>
          <w:szCs w:val="24"/>
        </w:rPr>
      </w:pPr>
      <w:r w:rsidRPr="00C00DCA">
        <w:rPr>
          <w:rStyle w:val="Ttulo2Car"/>
          <w:rFonts w:ascii="Palatino Linotype" w:hAnsi="Palatino Linotype"/>
          <w:i/>
          <w:color w:val="000000" w:themeColor="text1"/>
          <w:sz w:val="24"/>
          <w:szCs w:val="24"/>
        </w:rPr>
        <w:tab/>
      </w:r>
    </w:p>
    <w:p w14:paraId="08740AC8" w14:textId="6570D7E1" w:rsidR="00942616" w:rsidRPr="00C00DCA" w:rsidRDefault="00942616" w:rsidP="00FC725E">
      <w:pPr>
        <w:pStyle w:val="Prrafodelista"/>
        <w:numPr>
          <w:ilvl w:val="0"/>
          <w:numId w:val="20"/>
        </w:numPr>
        <w:spacing w:line="360" w:lineRule="auto"/>
        <w:jc w:val="both"/>
        <w:rPr>
          <w:rFonts w:ascii="Palatino Linotype" w:hAnsi="Palatino Linotype"/>
          <w:i/>
          <w:color w:val="000000" w:themeColor="text1"/>
        </w:rPr>
      </w:pPr>
      <w:bookmarkStart w:id="127" w:name="_Toc53584977"/>
      <w:bookmarkStart w:id="128" w:name="_Toc60925404"/>
      <w:bookmarkStart w:id="129" w:name="_Toc81364834"/>
      <w:bookmarkStart w:id="130" w:name="_Toc81390611"/>
      <w:bookmarkStart w:id="131" w:name="_Toc82611034"/>
      <w:bookmarkStart w:id="132" w:name="_Toc83128577"/>
      <w:r w:rsidRPr="00C00DCA">
        <w:rPr>
          <w:rStyle w:val="Ttulo2Car"/>
          <w:rFonts w:ascii="Palatino Linotype" w:hAnsi="Palatino Linotype"/>
          <w:b/>
          <w:color w:val="000000" w:themeColor="text1"/>
          <w:sz w:val="24"/>
          <w:szCs w:val="24"/>
        </w:rPr>
        <w:t>Razones o Motivos de inconformidad:</w:t>
      </w:r>
      <w:bookmarkEnd w:id="68"/>
      <w:bookmarkEnd w:id="127"/>
      <w:bookmarkEnd w:id="128"/>
      <w:bookmarkEnd w:id="129"/>
      <w:bookmarkEnd w:id="130"/>
      <w:bookmarkEnd w:id="131"/>
      <w:bookmarkEnd w:id="132"/>
      <w:r w:rsidRPr="00C00DCA">
        <w:rPr>
          <w:rFonts w:ascii="Palatino Linotype" w:hAnsi="Palatino Linotype"/>
          <w:b/>
          <w:color w:val="000000" w:themeColor="text1"/>
        </w:rPr>
        <w:t xml:space="preserve"> </w:t>
      </w:r>
      <w:r w:rsidRPr="00C00DCA">
        <w:rPr>
          <w:rFonts w:ascii="Palatino Linotype" w:hAnsi="Palatino Linotype"/>
          <w:i/>
          <w:color w:val="000000" w:themeColor="text1"/>
        </w:rPr>
        <w:t>“</w:t>
      </w:r>
      <w:r w:rsidR="00FC725E" w:rsidRPr="00C00DCA">
        <w:rPr>
          <w:rFonts w:ascii="Palatino Linotype" w:hAnsi="Palatino Linotype"/>
          <w:i/>
          <w:color w:val="000000" w:themeColor="text1"/>
        </w:rPr>
        <w:t xml:space="preserve">Solicito la información solicitada sea entregada a través de </w:t>
      </w:r>
      <w:proofErr w:type="spellStart"/>
      <w:r w:rsidR="00FC725E" w:rsidRPr="00C00DCA">
        <w:rPr>
          <w:rFonts w:ascii="Palatino Linotype" w:hAnsi="Palatino Linotype"/>
          <w:i/>
          <w:color w:val="000000" w:themeColor="text1"/>
        </w:rPr>
        <w:t>la.plataforma</w:t>
      </w:r>
      <w:proofErr w:type="spellEnd"/>
      <w:r w:rsidR="00FC725E" w:rsidRPr="00C00DCA">
        <w:rPr>
          <w:rFonts w:ascii="Palatino Linotype" w:hAnsi="Palatino Linotype"/>
          <w:i/>
          <w:color w:val="000000" w:themeColor="text1"/>
        </w:rPr>
        <w:t xml:space="preserve"> </w:t>
      </w:r>
      <w:proofErr w:type="spellStart"/>
      <w:r w:rsidR="00FC725E" w:rsidRPr="00C00DCA">
        <w:rPr>
          <w:rFonts w:ascii="Palatino Linotype" w:hAnsi="Palatino Linotype"/>
          <w:i/>
          <w:color w:val="000000" w:themeColor="text1"/>
        </w:rPr>
        <w:t>saimex</w:t>
      </w:r>
      <w:proofErr w:type="spellEnd"/>
      <w:r w:rsidR="00FC725E" w:rsidRPr="00C00DCA">
        <w:rPr>
          <w:rFonts w:ascii="Palatino Linotype" w:hAnsi="Palatino Linotype"/>
          <w:i/>
          <w:color w:val="000000" w:themeColor="text1"/>
        </w:rPr>
        <w:t xml:space="preserve"> debido a que el sujeto obligado </w:t>
      </w:r>
      <w:r w:rsidR="00FC725E" w:rsidRPr="00C00DCA">
        <w:rPr>
          <w:rFonts w:ascii="Palatino Linotype" w:hAnsi="Palatino Linotype"/>
          <w:i/>
          <w:color w:val="000000" w:themeColor="text1"/>
        </w:rPr>
        <w:lastRenderedPageBreak/>
        <w:t>actuando de maneja por demás ventajosa y malintencionada, emite una respuesta el mismo día, y unos minutos antes del día que propone para realizar la consulta directa de la información solicitada, siendo esto un acto por demás deshonesto con el propósito de que el solicitante se encuentre imposibilitado de asistir a la revisión o consulta de la información</w:t>
      </w:r>
      <w:r w:rsidRPr="00C00DCA">
        <w:rPr>
          <w:rFonts w:ascii="Palatino Linotype" w:hAnsi="Palatino Linotype"/>
          <w:i/>
          <w:color w:val="000000" w:themeColor="text1"/>
        </w:rPr>
        <w:t>”</w:t>
      </w:r>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r w:rsidR="003C236F" w:rsidRPr="00C00DCA">
        <w:rPr>
          <w:rFonts w:ascii="Palatino Linotype" w:hAnsi="Palatino Linotype"/>
          <w:i/>
          <w:color w:val="000000" w:themeColor="text1"/>
        </w:rPr>
        <w:t xml:space="preserve"> </w:t>
      </w:r>
      <w:r w:rsidR="003C236F" w:rsidRPr="00C00DCA">
        <w:rPr>
          <w:rFonts w:ascii="Palatino Linotype" w:hAnsi="Palatino Linotype"/>
          <w:color w:val="000000" w:themeColor="text1"/>
        </w:rPr>
        <w:t>(Sic)</w:t>
      </w:r>
    </w:p>
    <w:p w14:paraId="3F211AAF" w14:textId="77777777" w:rsidR="000B03F3" w:rsidRPr="00C00DCA" w:rsidRDefault="000B03F3" w:rsidP="000F30BC">
      <w:pPr>
        <w:pStyle w:val="Prrafodelista"/>
        <w:spacing w:line="360" w:lineRule="auto"/>
        <w:rPr>
          <w:rFonts w:ascii="Palatino Linotype" w:hAnsi="Palatino Linotype"/>
          <w:i/>
          <w:color w:val="000000" w:themeColor="text1"/>
        </w:rPr>
      </w:pPr>
    </w:p>
    <w:p w14:paraId="6DB8725A" w14:textId="078F0360" w:rsidR="000B03F3" w:rsidRPr="00C00DCA" w:rsidRDefault="000B03F3" w:rsidP="000F30BC">
      <w:pPr>
        <w:pStyle w:val="Prrafodelista"/>
        <w:numPr>
          <w:ilvl w:val="0"/>
          <w:numId w:val="21"/>
        </w:numPr>
        <w:tabs>
          <w:tab w:val="left" w:pos="0"/>
        </w:tabs>
        <w:spacing w:line="360" w:lineRule="auto"/>
        <w:ind w:left="709" w:right="49"/>
        <w:jc w:val="both"/>
        <w:rPr>
          <w:rFonts w:ascii="Palatino Linotype" w:hAnsi="Palatino Linotype" w:cs="Arial"/>
          <w:i/>
          <w:color w:val="000000" w:themeColor="text1"/>
          <w:u w:val="single"/>
        </w:rPr>
      </w:pPr>
      <w:r w:rsidRPr="00C00DCA">
        <w:rPr>
          <w:rFonts w:ascii="Palatino Linotype" w:hAnsi="Palatino Linotype"/>
          <w:b/>
          <w:u w:val="single"/>
        </w:rPr>
        <w:t>Manifestaciones, alegatos y respuesta complementaría.</w:t>
      </w:r>
    </w:p>
    <w:p w14:paraId="163EA181" w14:textId="42F530C9" w:rsidR="00942616" w:rsidRPr="00C00DCA" w:rsidRDefault="000B03F3" w:rsidP="000F30BC">
      <w:pPr>
        <w:pStyle w:val="Prrafodelista"/>
        <w:numPr>
          <w:ilvl w:val="0"/>
          <w:numId w:val="1"/>
        </w:numPr>
        <w:spacing w:line="360" w:lineRule="auto"/>
        <w:ind w:left="0" w:firstLine="0"/>
        <w:jc w:val="both"/>
        <w:rPr>
          <w:rFonts w:ascii="Palatino Linotype" w:hAnsi="Palatino Linotype"/>
          <w:i/>
        </w:rPr>
      </w:pPr>
      <w:r w:rsidRPr="00C00DCA">
        <w:rPr>
          <w:rFonts w:ascii="Palatino Linotype" w:eastAsia="Calibri" w:hAnsi="Palatino Linotype" w:cs="Arial"/>
          <w:lang w:val="es-ES"/>
        </w:rPr>
        <w:t>C</w:t>
      </w:r>
      <w:r w:rsidR="00942616" w:rsidRPr="00C00DCA">
        <w:rPr>
          <w:rFonts w:ascii="Palatino Linotype" w:eastAsia="Calibri" w:hAnsi="Palatino Linotype" w:cs="Arial"/>
          <w:lang w:val="es-ES"/>
        </w:rPr>
        <w:t xml:space="preserve">on fundamento en lo dispuesto por el artículo 185 fracción II de la ley de la materia, </w:t>
      </w:r>
      <w:r w:rsidRPr="00C00DCA">
        <w:rPr>
          <w:rFonts w:ascii="Palatino Linotype" w:eastAsia="Calibri" w:hAnsi="Palatino Linotype" w:cs="Arial"/>
          <w:lang w:val="es-ES"/>
        </w:rPr>
        <w:t>se acordó a</w:t>
      </w:r>
      <w:r w:rsidR="00942616" w:rsidRPr="00C00DCA">
        <w:rPr>
          <w:rFonts w:ascii="Palatino Linotype" w:eastAsia="Calibri" w:hAnsi="Palatino Linotype" w:cs="Arial"/>
          <w:lang w:val="es-ES"/>
        </w:rPr>
        <w:t xml:space="preserve"> las partes a efecto de </w:t>
      </w:r>
      <w:proofErr w:type="gramStart"/>
      <w:r w:rsidR="00942616" w:rsidRPr="00C00DCA">
        <w:rPr>
          <w:rFonts w:ascii="Palatino Linotype" w:eastAsia="Calibri" w:hAnsi="Palatino Linotype" w:cs="Arial"/>
          <w:lang w:val="es-ES"/>
        </w:rPr>
        <w:t>que</w:t>
      </w:r>
      <w:proofErr w:type="gramEnd"/>
      <w:r w:rsidR="00942616" w:rsidRPr="00C00DCA">
        <w:rPr>
          <w:rFonts w:ascii="Palatino Linotype" w:eastAsia="Calibri" w:hAnsi="Palatino Linotype" w:cs="Arial"/>
          <w:lang w:val="es-ES"/>
        </w:rPr>
        <w:t xml:space="preserve"> e</w:t>
      </w:r>
      <w:r w:rsidRPr="00C00DCA">
        <w:rPr>
          <w:rFonts w:ascii="Palatino Linotype" w:eastAsia="Calibri" w:hAnsi="Palatino Linotype" w:cs="Arial"/>
          <w:lang w:val="es-ES"/>
        </w:rPr>
        <w:t xml:space="preserve">n un plazo máximo de siete días, el Recurrente </w:t>
      </w:r>
      <w:r w:rsidR="00942616" w:rsidRPr="00C00DCA">
        <w:rPr>
          <w:rFonts w:ascii="Palatino Linotype" w:eastAsia="Calibri" w:hAnsi="Palatino Linotype" w:cs="Arial"/>
          <w:lang w:val="es-ES"/>
        </w:rPr>
        <w:t xml:space="preserve">manifestara lo que a su derecho conviniera, ofrecieran pruebas y alegatos, y el </w:t>
      </w:r>
      <w:r w:rsidR="00D05A0E" w:rsidRPr="00C00DCA">
        <w:rPr>
          <w:rFonts w:ascii="Palatino Linotype" w:eastAsia="Calibri" w:hAnsi="Palatino Linotype" w:cs="Arial"/>
          <w:lang w:val="es-ES"/>
        </w:rPr>
        <w:t xml:space="preserve">Sujeto Obligado </w:t>
      </w:r>
      <w:r w:rsidR="00942616" w:rsidRPr="00C00DCA">
        <w:rPr>
          <w:rFonts w:ascii="Palatino Linotype" w:eastAsia="Calibri" w:hAnsi="Palatino Linotype" w:cs="Arial"/>
          <w:lang w:val="es-ES"/>
        </w:rPr>
        <w:t>pr</w:t>
      </w:r>
      <w:r w:rsidRPr="00C00DCA">
        <w:rPr>
          <w:rFonts w:ascii="Palatino Linotype" w:eastAsia="Calibri" w:hAnsi="Palatino Linotype" w:cs="Arial"/>
          <w:lang w:val="es-ES"/>
        </w:rPr>
        <w:t>esentará el Informe Justificado.</w:t>
      </w:r>
    </w:p>
    <w:p w14:paraId="33DDAC62" w14:textId="77777777" w:rsidR="00D05A0E" w:rsidRPr="00C00DCA" w:rsidRDefault="00D05A0E" w:rsidP="000F30BC">
      <w:pPr>
        <w:pStyle w:val="Prrafodelista"/>
        <w:spacing w:line="360" w:lineRule="auto"/>
        <w:ind w:left="0"/>
        <w:jc w:val="both"/>
        <w:rPr>
          <w:rFonts w:ascii="Palatino Linotype" w:hAnsi="Palatino Linotype"/>
          <w:i/>
        </w:rPr>
      </w:pPr>
    </w:p>
    <w:p w14:paraId="4571EE86" w14:textId="7EDF651E" w:rsidR="00FC725E" w:rsidRPr="00C00DCA" w:rsidRDefault="00D05A0E" w:rsidP="00FC725E">
      <w:pPr>
        <w:pStyle w:val="Prrafodelista"/>
        <w:numPr>
          <w:ilvl w:val="0"/>
          <w:numId w:val="1"/>
        </w:numPr>
        <w:spacing w:line="360" w:lineRule="auto"/>
        <w:ind w:left="0" w:firstLine="0"/>
        <w:jc w:val="both"/>
        <w:rPr>
          <w:rFonts w:ascii="Palatino Linotype" w:hAnsi="Palatino Linotype"/>
        </w:rPr>
      </w:pPr>
      <w:r w:rsidRPr="00C00DCA">
        <w:rPr>
          <w:rFonts w:ascii="Palatino Linotype" w:hAnsi="Palatino Linotype"/>
          <w:color w:val="000000"/>
        </w:rPr>
        <w:t>El Recurrente</w:t>
      </w:r>
      <w:r w:rsidRPr="00C00DCA">
        <w:rPr>
          <w:rFonts w:ascii="Palatino Linotype" w:hAnsi="Palatino Linotype"/>
          <w:b/>
          <w:color w:val="000000"/>
        </w:rPr>
        <w:t xml:space="preserve"> </w:t>
      </w:r>
      <w:r w:rsidRPr="00C00DCA">
        <w:rPr>
          <w:rFonts w:ascii="Palatino Linotype" w:hAnsi="Palatino Linotype"/>
          <w:color w:val="000000"/>
        </w:rPr>
        <w:t xml:space="preserve">dejó de realizar manifestaciones que a su derecho conviniera y asistiera. </w:t>
      </w:r>
      <w:r w:rsidR="000B03F3" w:rsidRPr="00C00DCA">
        <w:rPr>
          <w:rFonts w:ascii="Palatino Linotype" w:hAnsi="Palatino Linotype"/>
          <w:color w:val="000000"/>
        </w:rPr>
        <w:t>Por su parte</w:t>
      </w:r>
      <w:r w:rsidR="003E76A0" w:rsidRPr="00C00DCA">
        <w:rPr>
          <w:rFonts w:ascii="Palatino Linotype" w:hAnsi="Palatino Linotype"/>
          <w:color w:val="000000"/>
        </w:rPr>
        <w:t xml:space="preserve">, el </w:t>
      </w:r>
      <w:r w:rsidR="000B03F3" w:rsidRPr="00C00DCA">
        <w:rPr>
          <w:rFonts w:ascii="Palatino Linotype" w:hAnsi="Palatino Linotype"/>
          <w:color w:val="000000"/>
        </w:rPr>
        <w:t>Sujeto Obligado</w:t>
      </w:r>
      <w:r w:rsidR="00670DFC" w:rsidRPr="00C00DCA">
        <w:rPr>
          <w:rFonts w:ascii="Palatino Linotype" w:hAnsi="Palatino Linotype"/>
          <w:color w:val="000000"/>
        </w:rPr>
        <w:t>,</w:t>
      </w:r>
      <w:r w:rsidR="000B03F3" w:rsidRPr="00C00DCA">
        <w:rPr>
          <w:rFonts w:ascii="Palatino Linotype" w:hAnsi="Palatino Linotype"/>
          <w:b/>
          <w:color w:val="000000"/>
        </w:rPr>
        <w:t xml:space="preserve"> </w:t>
      </w:r>
      <w:r w:rsidR="00670DFC" w:rsidRPr="00C00DCA">
        <w:rPr>
          <w:rFonts w:ascii="Palatino Linotype" w:hAnsi="Palatino Linotype"/>
          <w:color w:val="000000"/>
        </w:rPr>
        <w:t>presentó</w:t>
      </w:r>
      <w:r w:rsidR="003E76A0" w:rsidRPr="00C00DCA">
        <w:rPr>
          <w:rFonts w:ascii="Palatino Linotype" w:hAnsi="Palatino Linotype"/>
          <w:color w:val="000000"/>
        </w:rPr>
        <w:t xml:space="preserve"> </w:t>
      </w:r>
      <w:r w:rsidR="003E76A0" w:rsidRPr="00C00DCA">
        <w:rPr>
          <w:rFonts w:ascii="Palatino Linotype" w:eastAsia="Calibri" w:hAnsi="Palatino Linotype" w:cs="Arial"/>
          <w:lang w:val="es-ES"/>
        </w:rPr>
        <w:t>informe</w:t>
      </w:r>
      <w:r w:rsidR="003E76A0" w:rsidRPr="00C00DCA">
        <w:rPr>
          <w:rFonts w:ascii="Palatino Linotype" w:hAnsi="Palatino Linotype"/>
          <w:color w:val="000000"/>
        </w:rPr>
        <w:t xml:space="preserve"> justificado</w:t>
      </w:r>
      <w:r w:rsidR="00FC725E" w:rsidRPr="00C00DCA">
        <w:rPr>
          <w:rFonts w:ascii="Palatino Linotype" w:hAnsi="Palatino Linotype"/>
          <w:color w:val="000000"/>
        </w:rPr>
        <w:t xml:space="preserve"> en fecha nueve de octubre del año en curso</w:t>
      </w:r>
      <w:r w:rsidR="003E76A0" w:rsidRPr="00C00DCA">
        <w:rPr>
          <w:rFonts w:ascii="Palatino Linotype" w:hAnsi="Palatino Linotype"/>
          <w:color w:val="000000"/>
        </w:rPr>
        <w:t>, cuyo</w:t>
      </w:r>
      <w:r w:rsidRPr="00C00DCA">
        <w:rPr>
          <w:rFonts w:ascii="Palatino Linotype" w:hAnsi="Palatino Linotype"/>
          <w:color w:val="000000"/>
        </w:rPr>
        <w:t xml:space="preserve"> contenido</w:t>
      </w:r>
      <w:r w:rsidR="003E76A0" w:rsidRPr="00C00DCA">
        <w:rPr>
          <w:rFonts w:ascii="Palatino Linotype" w:hAnsi="Palatino Linotype"/>
          <w:color w:val="000000"/>
        </w:rPr>
        <w:t xml:space="preserve"> </w:t>
      </w:r>
      <w:r w:rsidRPr="00C00DCA">
        <w:rPr>
          <w:rFonts w:ascii="Palatino Linotype" w:hAnsi="Palatino Linotype"/>
          <w:color w:val="000000"/>
        </w:rPr>
        <w:t xml:space="preserve">esencial </w:t>
      </w:r>
      <w:r w:rsidR="00FC725E" w:rsidRPr="00C00DCA">
        <w:rPr>
          <w:rFonts w:ascii="Palatino Linotype" w:hAnsi="Palatino Linotype"/>
          <w:color w:val="000000"/>
        </w:rPr>
        <w:t>corresponde a confirmar su respuesta inicial en virtud de considerar que fue emitida de manera fundada y motivada.</w:t>
      </w:r>
    </w:p>
    <w:p w14:paraId="7D69AF23" w14:textId="77777777" w:rsidR="002B540C" w:rsidRPr="00C00DCA" w:rsidRDefault="002B540C" w:rsidP="000F30BC">
      <w:pPr>
        <w:pStyle w:val="Prrafodelista"/>
        <w:spacing w:line="360" w:lineRule="auto"/>
        <w:ind w:left="360"/>
        <w:jc w:val="both"/>
        <w:rPr>
          <w:rFonts w:ascii="Palatino Linotype" w:hAnsi="Palatino Linotype"/>
        </w:rPr>
      </w:pPr>
    </w:p>
    <w:p w14:paraId="3C1D7401" w14:textId="3846B653" w:rsidR="00670DFC" w:rsidRPr="00C00DCA" w:rsidRDefault="00FC725E" w:rsidP="000F30BC">
      <w:pPr>
        <w:pStyle w:val="Prrafodelista"/>
        <w:numPr>
          <w:ilvl w:val="0"/>
          <w:numId w:val="21"/>
        </w:numPr>
        <w:tabs>
          <w:tab w:val="left" w:pos="0"/>
        </w:tabs>
        <w:spacing w:line="360" w:lineRule="auto"/>
        <w:ind w:left="709" w:right="49"/>
        <w:jc w:val="both"/>
        <w:rPr>
          <w:rFonts w:ascii="Palatino Linotype" w:hAnsi="Palatino Linotype" w:cs="Arial"/>
          <w:i/>
          <w:color w:val="000000" w:themeColor="text1"/>
          <w:u w:val="single"/>
        </w:rPr>
      </w:pPr>
      <w:r w:rsidRPr="00C00DCA">
        <w:rPr>
          <w:rFonts w:ascii="Palatino Linotype" w:hAnsi="Palatino Linotype"/>
          <w:b/>
          <w:u w:val="single"/>
        </w:rPr>
        <w:t>Ampliación de termino para resolver y c</w:t>
      </w:r>
      <w:r w:rsidR="00670DFC" w:rsidRPr="00C00DCA">
        <w:rPr>
          <w:rFonts w:ascii="Palatino Linotype" w:hAnsi="Palatino Linotype"/>
          <w:b/>
          <w:u w:val="single"/>
        </w:rPr>
        <w:t>ierre de instrucción.</w:t>
      </w:r>
    </w:p>
    <w:p w14:paraId="60CBF4AC" w14:textId="77777777" w:rsidR="00FC725E" w:rsidRPr="00C00DCA" w:rsidRDefault="006B0428"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hAnsi="Palatino Linotype"/>
        </w:rPr>
        <w:t>Al no existir diligencias o prueba alguna por desahogar, e</w:t>
      </w:r>
      <w:r w:rsidR="003D7FD3" w:rsidRPr="00C00DCA">
        <w:rPr>
          <w:rFonts w:ascii="Palatino Linotype" w:hAnsi="Palatino Linotype"/>
        </w:rPr>
        <w:t>n</w:t>
      </w:r>
      <w:r w:rsidR="00942616" w:rsidRPr="00C00DCA">
        <w:rPr>
          <w:rFonts w:ascii="Palatino Linotype" w:hAnsi="Palatino Linotype"/>
        </w:rPr>
        <w:t xml:space="preserve"> fecha </w:t>
      </w:r>
      <w:r w:rsidR="00FC725E" w:rsidRPr="00C00DCA">
        <w:rPr>
          <w:rFonts w:ascii="Palatino Linotype" w:hAnsi="Palatino Linotype"/>
          <w:b/>
        </w:rPr>
        <w:t>veintiocho</w:t>
      </w:r>
      <w:r w:rsidR="00341F6F" w:rsidRPr="00C00DCA">
        <w:rPr>
          <w:rFonts w:ascii="Palatino Linotype" w:hAnsi="Palatino Linotype"/>
          <w:b/>
        </w:rPr>
        <w:t xml:space="preserve"> de noviembre</w:t>
      </w:r>
      <w:r w:rsidR="002B540C" w:rsidRPr="00C00DCA">
        <w:rPr>
          <w:rFonts w:ascii="Palatino Linotype" w:hAnsi="Palatino Linotype"/>
          <w:b/>
        </w:rPr>
        <w:t xml:space="preserve"> </w:t>
      </w:r>
      <w:r w:rsidR="00923E55" w:rsidRPr="00C00DCA">
        <w:rPr>
          <w:rFonts w:ascii="Palatino Linotype" w:hAnsi="Palatino Linotype"/>
          <w:b/>
        </w:rPr>
        <w:t>de dos mil veinticuatro</w:t>
      </w:r>
      <w:r w:rsidR="003D7FD3" w:rsidRPr="00C00DCA">
        <w:rPr>
          <w:rFonts w:ascii="Palatino Linotype" w:hAnsi="Palatino Linotype"/>
        </w:rPr>
        <w:t>,</w:t>
      </w:r>
      <w:r w:rsidR="00923E55" w:rsidRPr="00C00DCA">
        <w:rPr>
          <w:rFonts w:ascii="Palatino Linotype" w:hAnsi="Palatino Linotype"/>
        </w:rPr>
        <w:t xml:space="preserve"> </w:t>
      </w:r>
      <w:bookmarkStart w:id="133" w:name="_Toc491791302"/>
      <w:bookmarkStart w:id="134" w:name="_Toc83128578"/>
      <w:r w:rsidR="003D7FD3" w:rsidRPr="00C00DCA">
        <w:rPr>
          <w:rFonts w:ascii="Palatino Linotype" w:hAnsi="Palatino Linotype"/>
        </w:rPr>
        <w:t>la Comisionada Ponente</w:t>
      </w:r>
      <w:r w:rsidR="00FC725E" w:rsidRPr="00C00DCA">
        <w:rPr>
          <w:rFonts w:ascii="Palatino Linotype" w:hAnsi="Palatino Linotype"/>
        </w:rPr>
        <w:t xml:space="preserve"> amplió el término para resolver. </w:t>
      </w:r>
      <w:r w:rsidR="00FC725E" w:rsidRPr="00C00DCA">
        <w:rPr>
          <w:rFonts w:ascii="Palatino Linotype" w:eastAsia="Palatino Linotype" w:hAnsi="Palatino Linotype" w:cs="Palatino Linotype"/>
          <w:color w:val="000000" w:themeColor="text1"/>
        </w:rPr>
        <w:t xml:space="preserve">Al respecto este Organismo Garante no pasa por alto justificar, que el plazo para emitir la resolución en el presente asunto encuentra justificación en el alto número de recursos de revisión recibidos, circunstancia atípica que ha rebasado </w:t>
      </w:r>
      <w:r w:rsidR="00FC725E" w:rsidRPr="00C00DCA">
        <w:rPr>
          <w:rFonts w:ascii="Palatino Linotype" w:eastAsia="Palatino Linotype" w:hAnsi="Palatino Linotype" w:cs="Palatino Linotype"/>
          <w:color w:val="000000" w:themeColor="text1"/>
        </w:rPr>
        <w:lastRenderedPageBreak/>
        <w:t xml:space="preserve">las capacidades técnicas y humanas del personal encargado de la proyección de las resoluciones a dichos medios de impugnación. </w:t>
      </w:r>
    </w:p>
    <w:p w14:paraId="0B764F57" w14:textId="77777777" w:rsidR="00FC725E" w:rsidRPr="00C00DCA" w:rsidRDefault="00FC725E" w:rsidP="00FC725E">
      <w:pPr>
        <w:pStyle w:val="Prrafodelista"/>
        <w:spacing w:line="360" w:lineRule="auto"/>
        <w:ind w:left="0"/>
        <w:jc w:val="both"/>
        <w:rPr>
          <w:rFonts w:ascii="Palatino Linotype" w:eastAsia="Palatino Linotype" w:hAnsi="Palatino Linotype" w:cs="Palatino Linotype"/>
          <w:color w:val="000000" w:themeColor="text1"/>
        </w:rPr>
      </w:pPr>
    </w:p>
    <w:p w14:paraId="54CE82D0" w14:textId="77777777"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Por ello, es menester precisar que, si bien se ha excedido el plazo para resolver el presente medio de impugnación, de conformidad con la ley de la materia, el plazo</w:t>
      </w:r>
      <w:r w:rsidRPr="00C00DCA">
        <w:rPr>
          <w:rFonts w:ascii="Palatino Linotype" w:hAnsi="Palatino Linotype"/>
          <w:color w:val="000000" w:themeColor="text1"/>
        </w:rPr>
        <w:t xml:space="preserve"> </w:t>
      </w:r>
      <w:r w:rsidRPr="00C00DCA">
        <w:rPr>
          <w:rFonts w:ascii="Palatino Linotype" w:eastAsia="Palatino Linotype" w:hAnsi="Palatino Linotype" w:cs="Palatino Linotype"/>
          <w:color w:val="000000" w:themeColor="text1"/>
        </w:rPr>
        <w:t xml:space="preserve">para emitir la resolución se encuentra justificado en los elementos para medir la razonabilidad de asuntos conforme a los parámetros establecidos por diversos órganos jurisdiccionales federales, aplicables también en procedimientos análogos, como el que nos ocupa. </w:t>
      </w:r>
    </w:p>
    <w:p w14:paraId="117D46F9" w14:textId="77777777" w:rsidR="00FC725E" w:rsidRPr="00C00DCA" w:rsidRDefault="00FC725E" w:rsidP="00FC725E">
      <w:pPr>
        <w:spacing w:line="360" w:lineRule="auto"/>
        <w:jc w:val="both"/>
        <w:rPr>
          <w:rFonts w:ascii="Palatino Linotype" w:eastAsia="Palatino Linotype" w:hAnsi="Palatino Linotype" w:cs="Palatino Linotype"/>
          <w:color w:val="000000" w:themeColor="text1"/>
        </w:rPr>
      </w:pPr>
    </w:p>
    <w:p w14:paraId="0E187708" w14:textId="77777777"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 xml:space="preserve">Así, en términos de lo que establecen los artículos 8.1 y 25 de la Convención Americana sobre Derechos Humanos, los recursos deben ser sencillos y resolverse en el menor tiempo posible, tomando en consideración la dilación total del procedimiento; esto es, en un plazo razonable. </w:t>
      </w:r>
    </w:p>
    <w:p w14:paraId="5B9B26B3" w14:textId="77777777" w:rsidR="00FC725E" w:rsidRPr="00C00DCA" w:rsidRDefault="00FC725E" w:rsidP="00FC725E">
      <w:pPr>
        <w:pStyle w:val="Prrafodelista"/>
        <w:spacing w:line="360" w:lineRule="auto"/>
        <w:rPr>
          <w:rFonts w:ascii="Palatino Linotype" w:eastAsia="Palatino Linotype" w:hAnsi="Palatino Linotype" w:cs="Palatino Linotype"/>
          <w:color w:val="000000" w:themeColor="text1"/>
        </w:rPr>
      </w:pPr>
    </w:p>
    <w:p w14:paraId="6A289517" w14:textId="3985CC7F"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w:t>
      </w:r>
    </w:p>
    <w:p w14:paraId="57ED04F2" w14:textId="77777777" w:rsidR="00FC725E" w:rsidRPr="00C00DCA" w:rsidRDefault="00FC725E" w:rsidP="00FC725E">
      <w:pPr>
        <w:pStyle w:val="Prrafodelista"/>
        <w:rPr>
          <w:rFonts w:ascii="Palatino Linotype" w:eastAsia="Palatino Linotype" w:hAnsi="Palatino Linotype" w:cs="Palatino Linotype"/>
          <w:color w:val="000000" w:themeColor="text1"/>
        </w:rPr>
      </w:pPr>
    </w:p>
    <w:p w14:paraId="31EC7B0F" w14:textId="77777777"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 xml:space="preserve">Por ello, excepcionalmente, si un asunto es resuelto con posterioridad a los plazos señalados por la norma debe analizarse la razonabilidad del tiempo necesario para su resolución, atentos a los siguientes criterios: </w:t>
      </w:r>
    </w:p>
    <w:p w14:paraId="5839B0E9" w14:textId="77777777" w:rsidR="00FC725E" w:rsidRPr="00C00DCA" w:rsidRDefault="00FC725E" w:rsidP="00FC725E">
      <w:pPr>
        <w:spacing w:line="360" w:lineRule="auto"/>
        <w:jc w:val="both"/>
        <w:rPr>
          <w:rFonts w:ascii="Palatino Linotype" w:eastAsia="Palatino Linotype" w:hAnsi="Palatino Linotype" w:cs="Palatino Linotype"/>
          <w:color w:val="000000" w:themeColor="text1"/>
        </w:rPr>
      </w:pPr>
    </w:p>
    <w:p w14:paraId="3844B8E8" w14:textId="77777777" w:rsidR="00FC725E" w:rsidRPr="00C00DCA" w:rsidRDefault="00FC725E" w:rsidP="00FC725E">
      <w:pPr>
        <w:spacing w:line="360" w:lineRule="auto"/>
        <w:ind w:left="708"/>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lastRenderedPageBreak/>
        <w:t xml:space="preserve">a) Complejidad del Asunto: La complejidad de la prueba, la pluralidad de sujetos procesales, el tiempo transcurrido, las características y contexto del recurso. </w:t>
      </w:r>
    </w:p>
    <w:p w14:paraId="3F766317" w14:textId="77777777" w:rsidR="00FC725E" w:rsidRPr="00C00DCA" w:rsidRDefault="00FC725E" w:rsidP="00FC725E">
      <w:pPr>
        <w:spacing w:line="360" w:lineRule="auto"/>
        <w:ind w:left="708"/>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b) Actividad Procesal del interesado. Acciones u omisiones del interesado.</w:t>
      </w:r>
    </w:p>
    <w:p w14:paraId="3BC435C8" w14:textId="77777777" w:rsidR="00FC725E" w:rsidRPr="00C00DCA" w:rsidRDefault="00FC725E" w:rsidP="00FC725E">
      <w:pPr>
        <w:spacing w:line="360" w:lineRule="auto"/>
        <w:ind w:left="708"/>
        <w:jc w:val="both"/>
        <w:rPr>
          <w:rFonts w:ascii="Palatino Linotype" w:eastAsia="Palatino Linotype" w:hAnsi="Palatino Linotype" w:cs="Palatino Linotype"/>
          <w:color w:val="000000" w:themeColor="text1"/>
        </w:rPr>
      </w:pPr>
    </w:p>
    <w:p w14:paraId="71501DFC" w14:textId="77777777" w:rsidR="00FC725E" w:rsidRPr="00C00DCA" w:rsidRDefault="00FC725E" w:rsidP="00FC725E">
      <w:pPr>
        <w:spacing w:line="360" w:lineRule="auto"/>
        <w:ind w:left="708"/>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 xml:space="preserve">c) Conducta de la Autoridad: Las Acciones u omisiones realizadas en el procedimiento. Así como si la autoridad actuó con la debida diligencia. </w:t>
      </w:r>
    </w:p>
    <w:p w14:paraId="299B2EB4" w14:textId="77777777" w:rsidR="00FC725E" w:rsidRPr="00C00DCA" w:rsidRDefault="00FC725E" w:rsidP="00FC725E">
      <w:pPr>
        <w:spacing w:line="360" w:lineRule="auto"/>
        <w:ind w:left="708"/>
        <w:jc w:val="both"/>
        <w:rPr>
          <w:rFonts w:ascii="Palatino Linotype" w:eastAsia="Palatino Linotype" w:hAnsi="Palatino Linotype" w:cs="Palatino Linotype"/>
          <w:color w:val="000000" w:themeColor="text1"/>
        </w:rPr>
      </w:pPr>
    </w:p>
    <w:p w14:paraId="415B876E" w14:textId="77777777" w:rsidR="00FC725E" w:rsidRPr="00C00DCA" w:rsidRDefault="00FC725E" w:rsidP="00FC725E">
      <w:pPr>
        <w:spacing w:line="360" w:lineRule="auto"/>
        <w:ind w:left="708"/>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 xml:space="preserve">d) La afectación generada en la situación jurídica de la persona involucrada en el proceso: Violación a sus derechos humanos. </w:t>
      </w:r>
    </w:p>
    <w:p w14:paraId="6F677135" w14:textId="77777777" w:rsidR="00FC725E" w:rsidRPr="00C00DCA" w:rsidRDefault="00FC725E" w:rsidP="00FC725E">
      <w:pPr>
        <w:spacing w:line="360" w:lineRule="auto"/>
        <w:jc w:val="both"/>
        <w:rPr>
          <w:rFonts w:ascii="Palatino Linotype" w:eastAsia="Palatino Linotype" w:hAnsi="Palatino Linotype" w:cs="Palatino Linotype"/>
          <w:color w:val="000000" w:themeColor="text1"/>
        </w:rPr>
      </w:pPr>
    </w:p>
    <w:p w14:paraId="6E6EEDD2" w14:textId="77777777"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 xml:space="preserve">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 </w:t>
      </w:r>
    </w:p>
    <w:p w14:paraId="30A67CF6" w14:textId="77777777" w:rsidR="00FC725E" w:rsidRPr="00C00DCA" w:rsidRDefault="00FC725E" w:rsidP="00FC725E">
      <w:pPr>
        <w:spacing w:line="360" w:lineRule="auto"/>
        <w:jc w:val="both"/>
        <w:rPr>
          <w:rFonts w:ascii="Palatino Linotype" w:eastAsia="Palatino Linotype" w:hAnsi="Palatino Linotype" w:cs="Palatino Linotype"/>
          <w:color w:val="000000" w:themeColor="text1"/>
        </w:rPr>
      </w:pPr>
    </w:p>
    <w:p w14:paraId="7E14C3F4" w14:textId="77777777"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 xml:space="preserve">Argumento que encuentra sustento en la jurisprudencia P./J. 32/92 emitida por el Pleno de la Suprema Corte de Justicia de la Nación de rubro “TÉRMINOS PROCESALES. PARA DETERMINAR SI UN FUNCIONARIO JUDICIAL ACTUÓ INDEBIDAMENTE POR NO RESPETARLOS SE DEBE ATENDER AL PRESUPUESTO QUE CONSIDERÓ EL LEGISLADOR AL FIJARLOS Y LAS </w:t>
      </w:r>
      <w:r w:rsidRPr="00C00DCA">
        <w:rPr>
          <w:rFonts w:ascii="Palatino Linotype" w:eastAsia="Palatino Linotype" w:hAnsi="Palatino Linotype" w:cs="Palatino Linotype"/>
          <w:color w:val="000000" w:themeColor="text1"/>
        </w:rPr>
        <w:lastRenderedPageBreak/>
        <w:t xml:space="preserve">CARACTERÍSTICAS DEL CASO.”, visible en la Gaceta del Seminario Judicial de la Federación con el registro digital 205635. </w:t>
      </w:r>
    </w:p>
    <w:p w14:paraId="7DAE58A1" w14:textId="77777777" w:rsidR="00FC725E" w:rsidRPr="00C00DCA" w:rsidRDefault="00FC725E" w:rsidP="00FC725E">
      <w:pPr>
        <w:spacing w:line="360" w:lineRule="auto"/>
        <w:jc w:val="both"/>
        <w:rPr>
          <w:rFonts w:ascii="Palatino Linotype" w:eastAsia="Palatino Linotype" w:hAnsi="Palatino Linotype" w:cs="Palatino Linotype"/>
          <w:color w:val="000000" w:themeColor="text1"/>
        </w:rPr>
      </w:pPr>
    </w:p>
    <w:p w14:paraId="248B1565" w14:textId="77777777"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w:t>
      </w:r>
      <w:r w:rsidRPr="00C00DCA">
        <w:rPr>
          <w:rFonts w:ascii="Palatino Linotype" w:hAnsi="Palatino Linotype"/>
          <w:color w:val="000000" w:themeColor="text1"/>
        </w:rPr>
        <w:t xml:space="preserve"> </w:t>
      </w:r>
      <w:r w:rsidRPr="00C00DCA">
        <w:rPr>
          <w:rFonts w:ascii="Palatino Linotype" w:eastAsia="Palatino Linotype" w:hAnsi="Palatino Linotype" w:cs="Palatino Linotype"/>
          <w:color w:val="000000" w:themeColor="text1"/>
        </w:rPr>
        <w:t xml:space="preserve">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 </w:t>
      </w:r>
    </w:p>
    <w:p w14:paraId="06C095BE" w14:textId="77777777" w:rsidR="00FC725E" w:rsidRPr="00C00DCA" w:rsidRDefault="00FC725E" w:rsidP="00FC725E">
      <w:pPr>
        <w:spacing w:line="360" w:lineRule="auto"/>
        <w:jc w:val="both"/>
        <w:rPr>
          <w:rFonts w:ascii="Palatino Linotype" w:eastAsia="Palatino Linotype" w:hAnsi="Palatino Linotype" w:cs="Palatino Linotype"/>
          <w:color w:val="000000" w:themeColor="text1"/>
        </w:rPr>
      </w:pPr>
    </w:p>
    <w:p w14:paraId="253D4988" w14:textId="77777777"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Al respecto, también son de considerar los criterios sostenidos por el Cuarto Tribunal Colegiado en Materia Administrativa del Primer Circuito, cuyos rubros y datos de identificación son los siguientes:</w:t>
      </w:r>
    </w:p>
    <w:p w14:paraId="3B3AA007" w14:textId="77777777" w:rsidR="00FC725E" w:rsidRPr="00C00DCA" w:rsidRDefault="00FC725E" w:rsidP="00FC725E">
      <w:pPr>
        <w:pStyle w:val="Prrafodelista"/>
        <w:spacing w:line="360" w:lineRule="auto"/>
        <w:rPr>
          <w:rFonts w:ascii="Palatino Linotype" w:eastAsia="Palatino Linotype" w:hAnsi="Palatino Linotype" w:cs="Palatino Linotype"/>
          <w:color w:val="000000" w:themeColor="text1"/>
        </w:rPr>
      </w:pPr>
    </w:p>
    <w:p w14:paraId="5319FA2B" w14:textId="77777777" w:rsidR="00FC725E" w:rsidRPr="00C00DCA" w:rsidRDefault="00FC725E" w:rsidP="00FC725E">
      <w:pPr>
        <w:pStyle w:val="Prrafodelista"/>
        <w:spacing w:line="360" w:lineRule="auto"/>
        <w:ind w:left="425" w:right="474"/>
        <w:jc w:val="both"/>
        <w:rPr>
          <w:rFonts w:ascii="Palatino Linotype" w:eastAsia="Palatino Linotype" w:hAnsi="Palatino Linotype" w:cs="Palatino Linotype"/>
          <w:i/>
          <w:color w:val="000000" w:themeColor="text1"/>
        </w:rPr>
      </w:pPr>
      <w:r w:rsidRPr="00C00DCA">
        <w:rPr>
          <w:rFonts w:ascii="Palatino Linotype" w:eastAsia="Palatino Linotype" w:hAnsi="Palatino Linotype" w:cs="Palatino Linotype"/>
          <w:i/>
          <w:color w:val="000000" w:themeColor="text1"/>
        </w:rPr>
        <w:t xml:space="preserve">“PLAZO RAZONABLE PARA RESOLVER. DIMENSIÓN Y EFECTOS DE ESTE CONCEPTO CUANDO SE ADUCE EXCESIVA CARGA DE TRABAJO.” consultable en el Seminario Judicial de la Federación y su gaceta, con el registro digital 2002351. </w:t>
      </w:r>
    </w:p>
    <w:p w14:paraId="269F245B" w14:textId="77777777" w:rsidR="00FC725E" w:rsidRPr="00C00DCA" w:rsidRDefault="00FC725E" w:rsidP="00FC725E">
      <w:pPr>
        <w:spacing w:line="360" w:lineRule="auto"/>
        <w:ind w:left="567"/>
        <w:jc w:val="both"/>
        <w:rPr>
          <w:rFonts w:ascii="Palatino Linotype" w:eastAsia="Palatino Linotype" w:hAnsi="Palatino Linotype" w:cs="Palatino Linotype"/>
          <w:i/>
          <w:color w:val="000000" w:themeColor="text1"/>
        </w:rPr>
      </w:pPr>
    </w:p>
    <w:p w14:paraId="42427DA4" w14:textId="77777777" w:rsidR="00FC725E" w:rsidRPr="00C00DCA" w:rsidRDefault="00FC725E" w:rsidP="00FC725E">
      <w:pPr>
        <w:pStyle w:val="Prrafodelista"/>
        <w:spacing w:line="360" w:lineRule="auto"/>
        <w:ind w:left="425" w:right="474"/>
        <w:jc w:val="both"/>
        <w:rPr>
          <w:rFonts w:ascii="Palatino Linotype" w:eastAsia="Palatino Linotype" w:hAnsi="Palatino Linotype" w:cs="Palatino Linotype"/>
          <w:i/>
          <w:color w:val="000000" w:themeColor="text1"/>
        </w:rPr>
      </w:pPr>
      <w:r w:rsidRPr="00C00DCA">
        <w:rPr>
          <w:rFonts w:ascii="Palatino Linotype" w:eastAsia="Palatino Linotype" w:hAnsi="Palatino Linotype" w:cs="Palatino Linotype"/>
          <w:i/>
          <w:color w:val="000000" w:themeColor="text1"/>
        </w:rPr>
        <w:lastRenderedPageBreak/>
        <w:t xml:space="preserve">“PLAZO RAZONABLE PARA RESOLVER. CONCEPTO Y ELEMENTOS QUE LO INTEGRAN A LA LUZ DEL DERECHO INTERNACIONAL DE LOS DERECHOS HUMANOS.”, visible en el Seminario Judicial de la Federación y su gaceta, con el registro digital 2002350. </w:t>
      </w:r>
    </w:p>
    <w:p w14:paraId="0BDADA77" w14:textId="77777777" w:rsidR="00FC725E" w:rsidRPr="00C00DCA" w:rsidRDefault="00FC725E" w:rsidP="00FC725E">
      <w:pPr>
        <w:spacing w:line="360" w:lineRule="auto"/>
        <w:ind w:left="567"/>
        <w:jc w:val="both"/>
        <w:rPr>
          <w:rFonts w:ascii="Palatino Linotype" w:eastAsia="Palatino Linotype" w:hAnsi="Palatino Linotype" w:cs="Palatino Linotype"/>
          <w:i/>
          <w:color w:val="000000" w:themeColor="text1"/>
        </w:rPr>
      </w:pPr>
    </w:p>
    <w:p w14:paraId="65FBD18F" w14:textId="77777777" w:rsidR="00FC725E" w:rsidRPr="00C00DCA" w:rsidRDefault="00FC725E" w:rsidP="00FC725E">
      <w:pPr>
        <w:pStyle w:val="Prrafodelista"/>
        <w:numPr>
          <w:ilvl w:val="0"/>
          <w:numId w:val="1"/>
        </w:numPr>
        <w:spacing w:line="360" w:lineRule="auto"/>
        <w:ind w:left="0" w:firstLine="0"/>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color w:val="000000" w:themeColor="text1"/>
        </w:rPr>
        <w:t xml:space="preserve">Por ello, este Organismo Garante comprometido con la tutela de los derechos humanos confiados, señala que este exceso del plazo legal para resolver el presente asunto, resulta de carácter excepcional. </w:t>
      </w:r>
    </w:p>
    <w:p w14:paraId="08A33BFC" w14:textId="77777777" w:rsidR="00FC725E" w:rsidRPr="00C00DCA" w:rsidRDefault="00FC725E" w:rsidP="00FC725E">
      <w:pPr>
        <w:pStyle w:val="Prrafodelista"/>
        <w:spacing w:line="360" w:lineRule="auto"/>
        <w:rPr>
          <w:rFonts w:ascii="Palatino Linotype" w:hAnsi="Palatino Linotype"/>
        </w:rPr>
      </w:pPr>
    </w:p>
    <w:p w14:paraId="0A60B96A" w14:textId="7368F59B" w:rsidR="00942616" w:rsidRPr="00C00DCA" w:rsidRDefault="00FC725E" w:rsidP="002E6437">
      <w:pPr>
        <w:pStyle w:val="Prrafodelista"/>
        <w:numPr>
          <w:ilvl w:val="0"/>
          <w:numId w:val="1"/>
        </w:numPr>
        <w:spacing w:line="360" w:lineRule="auto"/>
        <w:ind w:left="0" w:firstLine="0"/>
        <w:jc w:val="both"/>
        <w:rPr>
          <w:rFonts w:ascii="Palatino Linotype" w:hAnsi="Palatino Linotype"/>
          <w:b/>
          <w:color w:val="000000" w:themeColor="text1"/>
        </w:rPr>
      </w:pPr>
      <w:r w:rsidRPr="00C00DCA">
        <w:rPr>
          <w:rFonts w:ascii="Palatino Linotype" w:hAnsi="Palatino Linotype"/>
        </w:rPr>
        <w:t>Seguidamente, en fecha en misma fecha, se</w:t>
      </w:r>
      <w:r w:rsidR="003D7FD3" w:rsidRPr="00C00DCA">
        <w:rPr>
          <w:rFonts w:ascii="Palatino Linotype" w:hAnsi="Palatino Linotype"/>
        </w:rPr>
        <w:t xml:space="preserve"> dictó el cierre del periodo de </w:t>
      </w:r>
      <w:r w:rsidR="003D7FD3" w:rsidRPr="00C00DCA">
        <w:rPr>
          <w:rFonts w:ascii="Palatino Linotype" w:hAnsi="Palatino Linotype"/>
          <w:color w:val="000000" w:themeColor="text1"/>
        </w:rPr>
        <w:t>instrucción</w:t>
      </w:r>
      <w:r w:rsidR="003D7FD3" w:rsidRPr="00C00DCA">
        <w:rPr>
          <w:rFonts w:ascii="Palatino Linotype" w:hAnsi="Palatino Linotype"/>
        </w:rPr>
        <w:t xml:space="preserve"> y, ordenó la resolución que conforme a Derecho proceda, de </w:t>
      </w:r>
      <w:r w:rsidR="00E9244F" w:rsidRPr="00C00DCA">
        <w:rPr>
          <w:rFonts w:ascii="Palatino Linotype" w:hAnsi="Palatino Linotype"/>
        </w:rPr>
        <w:t>acuerdo a la</w:t>
      </w:r>
      <w:r w:rsidR="003D7FD3" w:rsidRPr="00C00DCA">
        <w:rPr>
          <w:rFonts w:ascii="Palatino Linotype" w:hAnsi="Palatino Linotype"/>
        </w:rPr>
        <w:t>s siguientes:</w:t>
      </w:r>
    </w:p>
    <w:p w14:paraId="5A5E011F" w14:textId="77777777" w:rsidR="007C50BE" w:rsidRPr="00C00DCA" w:rsidRDefault="007C50BE" w:rsidP="000F30BC">
      <w:pPr>
        <w:pStyle w:val="Prrafodelista"/>
        <w:spacing w:line="360" w:lineRule="auto"/>
        <w:ind w:left="0"/>
        <w:jc w:val="center"/>
        <w:rPr>
          <w:rFonts w:ascii="Palatino Linotype" w:hAnsi="Palatino Linotype"/>
          <w:b/>
          <w:color w:val="000000" w:themeColor="text1"/>
        </w:rPr>
      </w:pPr>
    </w:p>
    <w:p w14:paraId="3BB5D241" w14:textId="545DFCFA" w:rsidR="00942616" w:rsidRPr="00C00DCA" w:rsidRDefault="00942616" w:rsidP="000F30BC">
      <w:pPr>
        <w:pStyle w:val="Prrafodelista"/>
        <w:spacing w:line="360" w:lineRule="auto"/>
        <w:ind w:left="0"/>
        <w:jc w:val="center"/>
        <w:rPr>
          <w:rFonts w:ascii="Palatino Linotype" w:hAnsi="Palatino Linotype"/>
          <w:b/>
          <w:color w:val="000000" w:themeColor="text1"/>
        </w:rPr>
      </w:pPr>
      <w:r w:rsidRPr="00C00DCA">
        <w:rPr>
          <w:rFonts w:ascii="Palatino Linotype" w:hAnsi="Palatino Linotype"/>
          <w:b/>
          <w:color w:val="000000" w:themeColor="text1"/>
        </w:rPr>
        <w:t>C</w:t>
      </w:r>
      <w:r w:rsidR="003D7FD3" w:rsidRPr="00C00DCA">
        <w:rPr>
          <w:rFonts w:ascii="Palatino Linotype" w:hAnsi="Palatino Linotype"/>
          <w:b/>
          <w:color w:val="000000" w:themeColor="text1"/>
        </w:rPr>
        <w:t xml:space="preserve"> </w:t>
      </w:r>
      <w:r w:rsidRPr="00C00DCA">
        <w:rPr>
          <w:rFonts w:ascii="Palatino Linotype" w:hAnsi="Palatino Linotype"/>
          <w:b/>
          <w:color w:val="000000" w:themeColor="text1"/>
        </w:rPr>
        <w:t>O</w:t>
      </w:r>
      <w:r w:rsidR="003D7FD3" w:rsidRPr="00C00DCA">
        <w:rPr>
          <w:rFonts w:ascii="Palatino Linotype" w:hAnsi="Palatino Linotype"/>
          <w:b/>
          <w:color w:val="000000" w:themeColor="text1"/>
        </w:rPr>
        <w:t xml:space="preserve"> </w:t>
      </w:r>
      <w:r w:rsidRPr="00C00DCA">
        <w:rPr>
          <w:rFonts w:ascii="Palatino Linotype" w:hAnsi="Palatino Linotype"/>
          <w:b/>
          <w:color w:val="000000" w:themeColor="text1"/>
        </w:rPr>
        <w:t>N</w:t>
      </w:r>
      <w:r w:rsidR="003D7FD3" w:rsidRPr="00C00DCA">
        <w:rPr>
          <w:rFonts w:ascii="Palatino Linotype" w:hAnsi="Palatino Linotype"/>
          <w:b/>
          <w:color w:val="000000" w:themeColor="text1"/>
        </w:rPr>
        <w:t xml:space="preserve"> </w:t>
      </w:r>
      <w:r w:rsidRPr="00C00DCA">
        <w:rPr>
          <w:rFonts w:ascii="Palatino Linotype" w:hAnsi="Palatino Linotype"/>
          <w:b/>
          <w:color w:val="000000" w:themeColor="text1"/>
        </w:rPr>
        <w:t>S</w:t>
      </w:r>
      <w:r w:rsidR="003D7FD3" w:rsidRPr="00C00DCA">
        <w:rPr>
          <w:rFonts w:ascii="Palatino Linotype" w:hAnsi="Palatino Linotype"/>
          <w:b/>
          <w:color w:val="000000" w:themeColor="text1"/>
        </w:rPr>
        <w:t xml:space="preserve"> </w:t>
      </w:r>
      <w:r w:rsidRPr="00C00DCA">
        <w:rPr>
          <w:rFonts w:ascii="Palatino Linotype" w:hAnsi="Palatino Linotype"/>
          <w:b/>
          <w:color w:val="000000" w:themeColor="text1"/>
        </w:rPr>
        <w:t>I</w:t>
      </w:r>
      <w:r w:rsidR="003D7FD3" w:rsidRPr="00C00DCA">
        <w:rPr>
          <w:rFonts w:ascii="Palatino Linotype" w:hAnsi="Palatino Linotype"/>
          <w:b/>
          <w:color w:val="000000" w:themeColor="text1"/>
        </w:rPr>
        <w:t xml:space="preserve"> </w:t>
      </w:r>
      <w:r w:rsidRPr="00C00DCA">
        <w:rPr>
          <w:rFonts w:ascii="Palatino Linotype" w:hAnsi="Palatino Linotype"/>
          <w:b/>
          <w:color w:val="000000" w:themeColor="text1"/>
        </w:rPr>
        <w:t>D</w:t>
      </w:r>
      <w:r w:rsidR="003D7FD3" w:rsidRPr="00C00DCA">
        <w:rPr>
          <w:rFonts w:ascii="Palatino Linotype" w:hAnsi="Palatino Linotype"/>
          <w:b/>
          <w:color w:val="000000" w:themeColor="text1"/>
        </w:rPr>
        <w:t xml:space="preserve"> </w:t>
      </w:r>
      <w:r w:rsidRPr="00C00DCA">
        <w:rPr>
          <w:rFonts w:ascii="Palatino Linotype" w:hAnsi="Palatino Linotype"/>
          <w:b/>
          <w:color w:val="000000" w:themeColor="text1"/>
        </w:rPr>
        <w:t>E</w:t>
      </w:r>
      <w:r w:rsidR="003D7FD3" w:rsidRPr="00C00DCA">
        <w:rPr>
          <w:rFonts w:ascii="Palatino Linotype" w:hAnsi="Palatino Linotype"/>
          <w:b/>
          <w:color w:val="000000" w:themeColor="text1"/>
        </w:rPr>
        <w:t xml:space="preserve"> </w:t>
      </w:r>
      <w:r w:rsidRPr="00C00DCA">
        <w:rPr>
          <w:rFonts w:ascii="Palatino Linotype" w:hAnsi="Palatino Linotype"/>
          <w:b/>
          <w:color w:val="000000" w:themeColor="text1"/>
        </w:rPr>
        <w:t>R</w:t>
      </w:r>
      <w:r w:rsidR="003D7FD3" w:rsidRPr="00C00DCA">
        <w:rPr>
          <w:rFonts w:ascii="Palatino Linotype" w:hAnsi="Palatino Linotype"/>
          <w:b/>
          <w:color w:val="000000" w:themeColor="text1"/>
        </w:rPr>
        <w:t xml:space="preserve"> </w:t>
      </w:r>
      <w:r w:rsidRPr="00C00DCA">
        <w:rPr>
          <w:rFonts w:ascii="Palatino Linotype" w:hAnsi="Palatino Linotype"/>
          <w:b/>
          <w:color w:val="000000" w:themeColor="text1"/>
        </w:rPr>
        <w:t>A</w:t>
      </w:r>
      <w:bookmarkEnd w:id="133"/>
      <w:bookmarkEnd w:id="134"/>
      <w:r w:rsidR="003D7FD3" w:rsidRPr="00C00DCA">
        <w:rPr>
          <w:rFonts w:ascii="Palatino Linotype" w:hAnsi="Palatino Linotype"/>
          <w:b/>
          <w:color w:val="000000" w:themeColor="text1"/>
        </w:rPr>
        <w:t xml:space="preserve"> C I O N E S</w:t>
      </w:r>
    </w:p>
    <w:p w14:paraId="494FCAAD" w14:textId="77777777" w:rsidR="00942616" w:rsidRPr="00C00DCA" w:rsidRDefault="00942616" w:rsidP="000F30BC">
      <w:pPr>
        <w:pStyle w:val="Prrafodelista"/>
        <w:spacing w:line="360" w:lineRule="auto"/>
        <w:ind w:left="0"/>
        <w:jc w:val="center"/>
        <w:rPr>
          <w:rFonts w:ascii="Palatino Linotype" w:hAnsi="Palatino Linotype"/>
          <w:b/>
          <w:color w:val="000000" w:themeColor="text1"/>
        </w:rPr>
      </w:pPr>
    </w:p>
    <w:p w14:paraId="151F1821" w14:textId="76D68414" w:rsidR="00942616" w:rsidRPr="00C00DCA" w:rsidRDefault="003D7FD3" w:rsidP="000F30BC">
      <w:pPr>
        <w:pStyle w:val="Ttulo2"/>
        <w:spacing w:before="0" w:line="360" w:lineRule="auto"/>
        <w:rPr>
          <w:rFonts w:ascii="Palatino Linotype" w:hAnsi="Palatino Linotype"/>
          <w:b/>
          <w:color w:val="auto"/>
          <w:sz w:val="24"/>
          <w:szCs w:val="24"/>
        </w:rPr>
      </w:pPr>
      <w:bookmarkStart w:id="135" w:name="_Toc491791303"/>
      <w:bookmarkStart w:id="136" w:name="_Toc83128579"/>
      <w:r w:rsidRPr="00C00DCA">
        <w:rPr>
          <w:rFonts w:ascii="Palatino Linotype" w:hAnsi="Palatino Linotype"/>
          <w:b/>
          <w:color w:val="auto"/>
          <w:sz w:val="24"/>
          <w:szCs w:val="24"/>
        </w:rPr>
        <w:t>PRIMERA. C</w:t>
      </w:r>
      <w:r w:rsidR="00942616" w:rsidRPr="00C00DCA">
        <w:rPr>
          <w:rFonts w:ascii="Palatino Linotype" w:hAnsi="Palatino Linotype"/>
          <w:b/>
          <w:color w:val="auto"/>
          <w:sz w:val="24"/>
          <w:szCs w:val="24"/>
        </w:rPr>
        <w:t>ompetencia</w:t>
      </w:r>
      <w:bookmarkEnd w:id="135"/>
      <w:bookmarkEnd w:id="136"/>
    </w:p>
    <w:p w14:paraId="0216B23E" w14:textId="77777777" w:rsidR="00952475" w:rsidRPr="00C00DCA" w:rsidRDefault="00952475" w:rsidP="000F30BC">
      <w:pPr>
        <w:pStyle w:val="Prrafodelista"/>
        <w:numPr>
          <w:ilvl w:val="0"/>
          <w:numId w:val="1"/>
        </w:numPr>
        <w:spacing w:line="360" w:lineRule="auto"/>
        <w:ind w:left="0" w:firstLine="0"/>
        <w:jc w:val="both"/>
        <w:rPr>
          <w:rFonts w:ascii="Palatino Linotype" w:hAnsi="Palatino Linotype" w:cs="Tahoma"/>
        </w:rPr>
      </w:pPr>
      <w:r w:rsidRPr="00C00DCA">
        <w:rPr>
          <w:rFonts w:ascii="Palatino Linotype" w:hAnsi="Palatino Linotype" w:cs="Tahoma"/>
        </w:rPr>
        <w:t xml:space="preserve">El Instituto de Transparencia, Acceso a la Información Pública y Protección de Datos Personales del </w:t>
      </w:r>
      <w:r w:rsidRPr="00C00DCA">
        <w:rPr>
          <w:rFonts w:ascii="Palatino Linotype" w:hAnsi="Palatino Linotype"/>
        </w:rPr>
        <w:t>Estado</w:t>
      </w:r>
      <w:r w:rsidRPr="00C00DCA">
        <w:rPr>
          <w:rFonts w:ascii="Palatino Linotype" w:hAnsi="Palatino Linotype" w:cs="Tahoma"/>
        </w:rPr>
        <w:t xml:space="preserve">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 II, III, IV y V de la Constitución Política del Estado Libre y Soberano de México; 1°, 8°, 9°, 10, 37 y 42, fracciones I, II y III, de la Ley General de Transparencia y Acceso a la Información Pública; 1°, 2°, fracciones II y </w:t>
      </w:r>
      <w:r w:rsidRPr="00C00DCA">
        <w:rPr>
          <w:rFonts w:ascii="Palatino Linotype" w:hAnsi="Palatino Linotype" w:cs="Tahoma"/>
        </w:rPr>
        <w:lastRenderedPageBreak/>
        <w:t>IV; 13, 29, 36, fracciones I y II; 176, 178, 179, 181 párrafo tercero, 185, 188 y 189 de la Ley Transparencia y Acceso a la Información Pública del Estado de México y Municipios; 7°, 9°, fracciones I y XXIII, y 11 del Reglamento Interior del Instituto de Transparencia, Acceso a la Información Pública y Protección de Datos Personales del Estado de México y Municipios.</w:t>
      </w:r>
    </w:p>
    <w:p w14:paraId="07C14A3B" w14:textId="77777777" w:rsidR="00942616" w:rsidRPr="00C00DCA" w:rsidRDefault="00942616" w:rsidP="000F30BC">
      <w:pPr>
        <w:pStyle w:val="Prrafodelista"/>
        <w:spacing w:line="360" w:lineRule="auto"/>
        <w:ind w:left="0"/>
        <w:jc w:val="both"/>
        <w:rPr>
          <w:rFonts w:ascii="Palatino Linotype" w:eastAsia="Calibri" w:hAnsi="Palatino Linotype" w:cs="Times New Roman"/>
          <w:b/>
          <w:lang w:val="es-ES"/>
        </w:rPr>
      </w:pPr>
    </w:p>
    <w:p w14:paraId="1D4969D7" w14:textId="7E24C419" w:rsidR="00942616" w:rsidRPr="00C00DCA" w:rsidRDefault="00952475" w:rsidP="000F30BC">
      <w:pPr>
        <w:pStyle w:val="Ttulo2"/>
        <w:spacing w:before="0" w:line="360" w:lineRule="auto"/>
        <w:rPr>
          <w:rFonts w:ascii="Palatino Linotype" w:hAnsi="Palatino Linotype"/>
          <w:b/>
          <w:color w:val="auto"/>
          <w:sz w:val="24"/>
          <w:szCs w:val="24"/>
        </w:rPr>
      </w:pPr>
      <w:bookmarkStart w:id="137" w:name="_Toc491791304"/>
      <w:bookmarkStart w:id="138" w:name="_Toc83128580"/>
      <w:r w:rsidRPr="00C00DCA">
        <w:rPr>
          <w:rFonts w:ascii="Palatino Linotype" w:hAnsi="Palatino Linotype"/>
          <w:b/>
          <w:color w:val="auto"/>
          <w:sz w:val="24"/>
          <w:szCs w:val="24"/>
        </w:rPr>
        <w:t>SEGUNDA</w:t>
      </w:r>
      <w:r w:rsidR="00942616" w:rsidRPr="00C00DCA">
        <w:rPr>
          <w:rFonts w:ascii="Palatino Linotype" w:hAnsi="Palatino Linotype"/>
          <w:b/>
          <w:color w:val="auto"/>
          <w:sz w:val="24"/>
          <w:szCs w:val="24"/>
        </w:rPr>
        <w:t xml:space="preserve">. </w:t>
      </w:r>
      <w:r w:rsidRPr="00C00DCA">
        <w:rPr>
          <w:rFonts w:ascii="Palatino Linotype" w:hAnsi="Palatino Linotype"/>
          <w:b/>
          <w:color w:val="auto"/>
          <w:sz w:val="24"/>
          <w:szCs w:val="24"/>
        </w:rPr>
        <w:t>P</w:t>
      </w:r>
      <w:r w:rsidR="00942616" w:rsidRPr="00C00DCA">
        <w:rPr>
          <w:rFonts w:ascii="Palatino Linotype" w:hAnsi="Palatino Linotype"/>
          <w:b/>
          <w:color w:val="auto"/>
          <w:sz w:val="24"/>
          <w:szCs w:val="24"/>
        </w:rPr>
        <w:t>rocedencia.</w:t>
      </w:r>
      <w:bookmarkEnd w:id="137"/>
      <w:bookmarkEnd w:id="138"/>
    </w:p>
    <w:p w14:paraId="2F731F4D" w14:textId="763D8618" w:rsidR="00942616" w:rsidRPr="00C00DCA" w:rsidRDefault="00952475" w:rsidP="000F30BC">
      <w:pPr>
        <w:numPr>
          <w:ilvl w:val="0"/>
          <w:numId w:val="1"/>
        </w:numPr>
        <w:spacing w:line="360" w:lineRule="auto"/>
        <w:ind w:left="0" w:firstLine="0"/>
        <w:contextualSpacing/>
        <w:jc w:val="both"/>
        <w:rPr>
          <w:rFonts w:ascii="Palatino Linotype" w:hAnsi="Palatino Linotype"/>
        </w:rPr>
      </w:pPr>
      <w:r w:rsidRPr="00C00DCA">
        <w:rPr>
          <w:rFonts w:ascii="Palatino Linotype" w:eastAsia="Calibri" w:hAnsi="Palatino Linotype" w:cs="Arial"/>
        </w:rPr>
        <w:t xml:space="preserve">Este Órgano Garante considera que el medio de impugnación reúne los requisitos de procedencia </w:t>
      </w:r>
      <w:r w:rsidRPr="00C00DCA">
        <w:rPr>
          <w:rFonts w:ascii="Palatino Linotype" w:eastAsia="Calibri" w:hAnsi="Palatino Linotype" w:cs="Tahoma"/>
          <w:color w:val="000000"/>
          <w:lang w:eastAsia="es-MX"/>
        </w:rPr>
        <w:t xml:space="preserve">toda vez que: el recurso fue presentado dentro del plazo establecido en el artículo 178 de la Ley de Transparencia y Acceso a la Información Pública del Estado de México y Municipios; asimismo </w:t>
      </w:r>
      <w:r w:rsidR="00E9244F" w:rsidRPr="00C00DCA">
        <w:rPr>
          <w:rFonts w:ascii="Palatino Linotype" w:eastAsia="Calibri" w:hAnsi="Palatino Linotype" w:cs="Tahoma"/>
          <w:color w:val="000000"/>
          <w:lang w:eastAsia="es-MX"/>
        </w:rPr>
        <w:t xml:space="preserve">no se tiene </w:t>
      </w:r>
      <w:r w:rsidRPr="00C00DCA">
        <w:rPr>
          <w:rFonts w:ascii="Palatino Linotype" w:eastAsia="Calibri" w:hAnsi="Palatino Linotype" w:cs="Tahoma"/>
          <w:color w:val="000000"/>
          <w:lang w:eastAsia="es-MX"/>
        </w:rPr>
        <w:t>conocimiento de que se encuentre en trámite algún medio de defensa presentado por el Recurrente ante otra instancia.</w:t>
      </w:r>
    </w:p>
    <w:p w14:paraId="368851DF" w14:textId="77777777" w:rsidR="00341F6F" w:rsidRPr="00C00DCA" w:rsidRDefault="00341F6F" w:rsidP="000F30BC">
      <w:pPr>
        <w:spacing w:line="360" w:lineRule="auto"/>
        <w:contextualSpacing/>
        <w:jc w:val="both"/>
        <w:rPr>
          <w:rFonts w:ascii="Palatino Linotype" w:hAnsi="Palatino Linotype"/>
        </w:rPr>
      </w:pPr>
    </w:p>
    <w:p w14:paraId="70B1788E" w14:textId="66F76B5E" w:rsidR="00942616" w:rsidRPr="00C00DCA" w:rsidRDefault="00952475" w:rsidP="000F30BC">
      <w:pPr>
        <w:numPr>
          <w:ilvl w:val="0"/>
          <w:numId w:val="1"/>
        </w:numPr>
        <w:spacing w:line="360" w:lineRule="auto"/>
        <w:ind w:left="0" w:firstLine="0"/>
        <w:contextualSpacing/>
        <w:jc w:val="both"/>
        <w:rPr>
          <w:rFonts w:ascii="Palatino Linotype" w:eastAsia="Calibri" w:hAnsi="Palatino Linotype" w:cs="Arial"/>
        </w:rPr>
      </w:pPr>
      <w:r w:rsidRPr="00C00DCA">
        <w:rPr>
          <w:rFonts w:ascii="Palatino Linotype" w:eastAsia="Calibri" w:hAnsi="Palatino Linotype" w:cs="Arial"/>
        </w:rPr>
        <w:t>Por otro lado</w:t>
      </w:r>
      <w:r w:rsidR="00942616" w:rsidRPr="00C00DCA">
        <w:rPr>
          <w:rFonts w:ascii="Palatino Linotype" w:eastAsia="Calibri" w:hAnsi="Palatino Linotype" w:cs="Arial"/>
        </w:rPr>
        <w:t xml:space="preserve">, el escrito contiene las formalidades previstas por el artículo 180 último párrafo de la </w:t>
      </w:r>
      <w:r w:rsidR="00066953" w:rsidRPr="00C00DCA">
        <w:rPr>
          <w:rFonts w:ascii="Palatino Linotype" w:eastAsia="Calibri" w:hAnsi="Palatino Linotype" w:cs="Arial"/>
        </w:rPr>
        <w:t xml:space="preserve">citada </w:t>
      </w:r>
      <w:r w:rsidR="00942616" w:rsidRPr="00C00DCA">
        <w:rPr>
          <w:rFonts w:ascii="Palatino Linotype" w:eastAsia="Calibri" w:hAnsi="Palatino Linotype" w:cs="Arial"/>
        </w:rPr>
        <w:t>Ley de la materia, por lo que es procedente que este Instituto conozca y resuelva el presente recurso.</w:t>
      </w:r>
    </w:p>
    <w:p w14:paraId="636AC809" w14:textId="77777777" w:rsidR="00942616" w:rsidRPr="00C00DCA" w:rsidRDefault="00942616" w:rsidP="000F30BC">
      <w:pPr>
        <w:pStyle w:val="Prrafodelista"/>
        <w:spacing w:line="360" w:lineRule="auto"/>
        <w:ind w:left="0"/>
        <w:rPr>
          <w:rFonts w:ascii="Palatino Linotype" w:eastAsia="Calibri" w:hAnsi="Palatino Linotype" w:cs="Arial"/>
        </w:rPr>
      </w:pPr>
    </w:p>
    <w:p w14:paraId="1288E334" w14:textId="0CED6418" w:rsidR="00942616" w:rsidRPr="00C00DCA" w:rsidRDefault="00942616" w:rsidP="000F30BC">
      <w:pPr>
        <w:pStyle w:val="Ttulo1"/>
        <w:spacing w:before="0" w:line="360" w:lineRule="auto"/>
        <w:rPr>
          <w:rFonts w:ascii="Palatino Linotype" w:hAnsi="Palatino Linotype"/>
          <w:b/>
          <w:color w:val="000000" w:themeColor="text1"/>
          <w:sz w:val="24"/>
          <w:szCs w:val="24"/>
        </w:rPr>
      </w:pPr>
      <w:bookmarkStart w:id="139" w:name="_Toc66998086"/>
      <w:bookmarkStart w:id="140" w:name="_Toc70526130"/>
      <w:r w:rsidRPr="00C00DCA">
        <w:rPr>
          <w:rFonts w:ascii="Palatino Linotype" w:hAnsi="Palatino Linotype"/>
          <w:b/>
          <w:color w:val="auto"/>
          <w:sz w:val="24"/>
          <w:szCs w:val="24"/>
        </w:rPr>
        <w:t>TERCER</w:t>
      </w:r>
      <w:r w:rsidR="00952475" w:rsidRPr="00C00DCA">
        <w:rPr>
          <w:rFonts w:ascii="Palatino Linotype" w:hAnsi="Palatino Linotype"/>
          <w:b/>
          <w:color w:val="auto"/>
          <w:sz w:val="24"/>
          <w:szCs w:val="24"/>
        </w:rPr>
        <w:t>A</w:t>
      </w:r>
      <w:r w:rsidRPr="00C00DCA">
        <w:rPr>
          <w:rFonts w:ascii="Palatino Linotype" w:hAnsi="Palatino Linotype"/>
          <w:b/>
          <w:color w:val="auto"/>
          <w:sz w:val="24"/>
          <w:szCs w:val="24"/>
        </w:rPr>
        <w:t xml:space="preserve">. </w:t>
      </w:r>
      <w:bookmarkStart w:id="141" w:name="_Toc34246179"/>
      <w:bookmarkStart w:id="142" w:name="_Toc50033991"/>
      <w:bookmarkStart w:id="143" w:name="_Toc51259588"/>
      <w:bookmarkStart w:id="144" w:name="_Toc83128581"/>
      <w:bookmarkStart w:id="145" w:name="_Toc501021589"/>
      <w:bookmarkEnd w:id="139"/>
      <w:bookmarkEnd w:id="140"/>
      <w:r w:rsidR="00952475" w:rsidRPr="00C00DCA">
        <w:rPr>
          <w:rFonts w:ascii="Palatino Linotype" w:hAnsi="Palatino Linotype"/>
          <w:b/>
          <w:color w:val="000000" w:themeColor="text1"/>
          <w:sz w:val="24"/>
          <w:szCs w:val="24"/>
        </w:rPr>
        <w:t>Descripción de hechos y planteamiento de la controversia.</w:t>
      </w:r>
      <w:bookmarkEnd w:id="141"/>
      <w:bookmarkEnd w:id="142"/>
      <w:bookmarkEnd w:id="143"/>
      <w:bookmarkEnd w:id="144"/>
      <w:bookmarkEnd w:id="145"/>
    </w:p>
    <w:p w14:paraId="3ED8DC57" w14:textId="77777777" w:rsidR="00192968" w:rsidRPr="00C00DCA" w:rsidRDefault="00192968" w:rsidP="00192968">
      <w:pPr>
        <w:rPr>
          <w:rFonts w:ascii="Palatino Linotype" w:hAnsi="Palatino Linotype"/>
        </w:rPr>
      </w:pPr>
    </w:p>
    <w:p w14:paraId="78A4EE0C" w14:textId="03F18131" w:rsidR="00942616" w:rsidRPr="00C00DCA" w:rsidRDefault="00942616" w:rsidP="000F30BC">
      <w:pPr>
        <w:pStyle w:val="Prrafodelista"/>
        <w:numPr>
          <w:ilvl w:val="0"/>
          <w:numId w:val="1"/>
        </w:numPr>
        <w:spacing w:line="360" w:lineRule="auto"/>
        <w:ind w:left="0" w:firstLine="0"/>
        <w:jc w:val="both"/>
        <w:rPr>
          <w:rFonts w:ascii="Palatino Linotype" w:hAnsi="Palatino Linotype" w:cs="Arial"/>
        </w:rPr>
      </w:pPr>
      <w:r w:rsidRPr="00C00DCA">
        <w:rPr>
          <w:rFonts w:ascii="Palatino Linotype" w:hAnsi="Palatino Linotype" w:cs="Arial"/>
        </w:rPr>
        <w:t xml:space="preserve">Se </w:t>
      </w:r>
      <w:r w:rsidRPr="00C00DCA">
        <w:rPr>
          <w:rFonts w:ascii="Palatino Linotype" w:eastAsia="Calibri" w:hAnsi="Palatino Linotype" w:cs="Arial"/>
        </w:rPr>
        <w:t>solicitó</w:t>
      </w:r>
      <w:r w:rsidRPr="00C00DCA">
        <w:rPr>
          <w:rFonts w:ascii="Palatino Linotype" w:hAnsi="Palatino Linotype" w:cs="Arial"/>
        </w:rPr>
        <w:t xml:space="preserve"> tener acceso, a la información que a continuación se </w:t>
      </w:r>
      <w:r w:rsidR="00E9244F" w:rsidRPr="00C00DCA">
        <w:rPr>
          <w:rFonts w:ascii="Palatino Linotype" w:hAnsi="Palatino Linotype" w:cs="Arial"/>
        </w:rPr>
        <w:t>simplifica</w:t>
      </w:r>
      <w:r w:rsidRPr="00C00DCA">
        <w:rPr>
          <w:rFonts w:ascii="Palatino Linotype" w:hAnsi="Palatino Linotype" w:cs="Arial"/>
        </w:rPr>
        <w:t>:</w:t>
      </w:r>
    </w:p>
    <w:p w14:paraId="6A4D390B" w14:textId="2C66B45E" w:rsidR="00942616" w:rsidRPr="00C00DCA" w:rsidRDefault="00942616" w:rsidP="000F30BC">
      <w:pPr>
        <w:spacing w:line="360" w:lineRule="auto"/>
        <w:jc w:val="both"/>
        <w:rPr>
          <w:rFonts w:ascii="Palatino Linotype" w:hAnsi="Palatino Linotype" w:cs="Arial"/>
          <w:b/>
        </w:rPr>
      </w:pPr>
    </w:p>
    <w:p w14:paraId="0D0BF414" w14:textId="77777777" w:rsidR="00FC725E" w:rsidRPr="00C00DCA" w:rsidRDefault="00FC725E" w:rsidP="00FC725E">
      <w:pPr>
        <w:pStyle w:val="Prrafodelista"/>
        <w:numPr>
          <w:ilvl w:val="0"/>
          <w:numId w:val="6"/>
        </w:numPr>
        <w:spacing w:line="360" w:lineRule="auto"/>
        <w:jc w:val="both"/>
        <w:rPr>
          <w:rFonts w:ascii="Palatino Linotype" w:hAnsi="Palatino Linotype" w:cs="Arial"/>
          <w:b/>
        </w:rPr>
      </w:pPr>
      <w:r w:rsidRPr="00C00DCA">
        <w:rPr>
          <w:rFonts w:ascii="Palatino Linotype" w:hAnsi="Palatino Linotype" w:cs="Arial"/>
          <w:b/>
        </w:rPr>
        <w:t>Padrón municipal de proveedores; y</w:t>
      </w:r>
    </w:p>
    <w:p w14:paraId="7934BD20" w14:textId="57BF338A" w:rsidR="00341F6F" w:rsidRPr="00C00DCA" w:rsidRDefault="00FC725E" w:rsidP="00FC725E">
      <w:pPr>
        <w:pStyle w:val="Prrafodelista"/>
        <w:numPr>
          <w:ilvl w:val="0"/>
          <w:numId w:val="6"/>
        </w:numPr>
        <w:spacing w:line="360" w:lineRule="auto"/>
        <w:jc w:val="both"/>
        <w:rPr>
          <w:rFonts w:ascii="Palatino Linotype" w:hAnsi="Palatino Linotype" w:cs="Arial"/>
          <w:b/>
        </w:rPr>
      </w:pPr>
      <w:r w:rsidRPr="00C00DCA">
        <w:rPr>
          <w:rFonts w:ascii="Palatino Linotype" w:hAnsi="Palatino Linotype" w:cs="Arial"/>
          <w:b/>
        </w:rPr>
        <w:t xml:space="preserve">Actas del Comité de Adquisiciones de los años 2022, 2023 y del 1 de enero </w:t>
      </w:r>
      <w:proofErr w:type="gramStart"/>
      <w:r w:rsidRPr="00C00DCA">
        <w:rPr>
          <w:rFonts w:ascii="Palatino Linotype" w:hAnsi="Palatino Linotype" w:cs="Arial"/>
          <w:b/>
        </w:rPr>
        <w:t>al  5</w:t>
      </w:r>
      <w:proofErr w:type="gramEnd"/>
      <w:r w:rsidRPr="00C00DCA">
        <w:rPr>
          <w:rFonts w:ascii="Palatino Linotype" w:hAnsi="Palatino Linotype" w:cs="Arial"/>
          <w:b/>
        </w:rPr>
        <w:t xml:space="preserve"> de julio de 2024.</w:t>
      </w:r>
    </w:p>
    <w:p w14:paraId="59F937B2" w14:textId="05584191" w:rsidR="001A1023" w:rsidRPr="00C00DCA" w:rsidRDefault="00942616" w:rsidP="000F30BC">
      <w:pPr>
        <w:numPr>
          <w:ilvl w:val="0"/>
          <w:numId w:val="1"/>
        </w:numPr>
        <w:spacing w:line="360" w:lineRule="auto"/>
        <w:ind w:left="0" w:firstLine="0"/>
        <w:contextualSpacing/>
        <w:jc w:val="both"/>
        <w:rPr>
          <w:rFonts w:ascii="Palatino Linotype" w:hAnsi="Palatino Linotype" w:cs="Arial"/>
        </w:rPr>
      </w:pPr>
      <w:r w:rsidRPr="00C00DCA">
        <w:rPr>
          <w:rFonts w:ascii="Palatino Linotype" w:hAnsi="Palatino Linotype" w:cs="Arial"/>
        </w:rPr>
        <w:lastRenderedPageBreak/>
        <w:t xml:space="preserve">En </w:t>
      </w:r>
      <w:r w:rsidRPr="00C00DCA">
        <w:rPr>
          <w:rFonts w:ascii="Palatino Linotype" w:eastAsia="Calibri" w:hAnsi="Palatino Linotype" w:cs="Arial"/>
        </w:rPr>
        <w:t>respuesta</w:t>
      </w:r>
      <w:r w:rsidRPr="00C00DCA">
        <w:rPr>
          <w:rFonts w:ascii="Palatino Linotype" w:hAnsi="Palatino Linotype" w:cs="Arial"/>
        </w:rPr>
        <w:t xml:space="preserve">, el </w:t>
      </w:r>
      <w:r w:rsidR="00066953" w:rsidRPr="00C00DCA">
        <w:rPr>
          <w:rFonts w:ascii="Palatino Linotype" w:hAnsi="Palatino Linotype" w:cs="Arial"/>
        </w:rPr>
        <w:t>Sujeto Obligado</w:t>
      </w:r>
      <w:r w:rsidR="00066953" w:rsidRPr="00C00DCA">
        <w:rPr>
          <w:rFonts w:ascii="Palatino Linotype" w:hAnsi="Palatino Linotype" w:cs="Arial"/>
          <w:b/>
        </w:rPr>
        <w:t xml:space="preserve"> </w:t>
      </w:r>
      <w:r w:rsidRPr="00C00DCA">
        <w:rPr>
          <w:rFonts w:ascii="Palatino Linotype" w:hAnsi="Palatino Linotype" w:cs="Arial"/>
        </w:rPr>
        <w:t>remitió</w:t>
      </w:r>
      <w:r w:rsidR="00EE5D31" w:rsidRPr="00C00DCA">
        <w:rPr>
          <w:rFonts w:ascii="Palatino Linotype" w:hAnsi="Palatino Linotype" w:cs="Arial"/>
        </w:rPr>
        <w:t xml:space="preserve"> </w:t>
      </w:r>
      <w:r w:rsidR="00E813E5" w:rsidRPr="00C00DCA">
        <w:rPr>
          <w:rFonts w:ascii="Palatino Linotype" w:hAnsi="Palatino Linotype" w:cs="Arial"/>
        </w:rPr>
        <w:t>dos</w:t>
      </w:r>
      <w:r w:rsidR="00A5352D" w:rsidRPr="00C00DCA">
        <w:rPr>
          <w:rFonts w:ascii="Palatino Linotype" w:hAnsi="Palatino Linotype" w:cs="Arial"/>
        </w:rPr>
        <w:t xml:space="preserve"> archivo</w:t>
      </w:r>
      <w:r w:rsidR="00E813E5" w:rsidRPr="00C00DCA">
        <w:rPr>
          <w:rFonts w:ascii="Palatino Linotype" w:hAnsi="Palatino Linotype" w:cs="Arial"/>
        </w:rPr>
        <w:t>s</w:t>
      </w:r>
      <w:r w:rsidR="00A5352D" w:rsidRPr="00C00DCA">
        <w:rPr>
          <w:rFonts w:ascii="Palatino Linotype" w:hAnsi="Palatino Linotype" w:cs="Arial"/>
        </w:rPr>
        <w:t xml:space="preserve"> ya descrito</w:t>
      </w:r>
      <w:r w:rsidR="00E813E5" w:rsidRPr="00C00DCA">
        <w:rPr>
          <w:rFonts w:ascii="Palatino Linotype" w:hAnsi="Palatino Linotype" w:cs="Arial"/>
        </w:rPr>
        <w:t>s</w:t>
      </w:r>
      <w:r w:rsidR="00A5352D" w:rsidRPr="00C00DCA">
        <w:rPr>
          <w:rFonts w:ascii="Palatino Linotype" w:hAnsi="Palatino Linotype" w:cs="Arial"/>
        </w:rPr>
        <w:t xml:space="preserve"> en el anterior Párrafo 2. Inconforme con la respuesta, se interpuso recurso de revisión argumentando sustancialmente </w:t>
      </w:r>
      <w:r w:rsidR="00947D1F" w:rsidRPr="00C00DCA">
        <w:rPr>
          <w:rFonts w:ascii="Palatino Linotype" w:hAnsi="Palatino Linotype" w:cs="Arial"/>
        </w:rPr>
        <w:t xml:space="preserve">la negativa de la entrega de la información por </w:t>
      </w:r>
      <w:r w:rsidR="00341F6F" w:rsidRPr="00C00DCA">
        <w:rPr>
          <w:rFonts w:ascii="Palatino Linotype" w:hAnsi="Palatino Linotype" w:cs="Arial"/>
        </w:rPr>
        <w:t>la respuesta formulada.</w:t>
      </w:r>
    </w:p>
    <w:p w14:paraId="4697688D" w14:textId="77777777" w:rsidR="00066B5D" w:rsidRPr="00C00DCA" w:rsidRDefault="00066B5D" w:rsidP="000F30BC">
      <w:pPr>
        <w:spacing w:line="360" w:lineRule="auto"/>
        <w:contextualSpacing/>
        <w:jc w:val="both"/>
        <w:rPr>
          <w:rFonts w:ascii="Palatino Linotype" w:hAnsi="Palatino Linotype" w:cs="Arial"/>
          <w:i/>
          <w:color w:val="000000" w:themeColor="text1"/>
        </w:rPr>
      </w:pPr>
    </w:p>
    <w:p w14:paraId="5AA4EABD" w14:textId="5168812A" w:rsidR="00942616" w:rsidRPr="00C00DCA" w:rsidRDefault="00942616" w:rsidP="00E813E5">
      <w:pPr>
        <w:numPr>
          <w:ilvl w:val="0"/>
          <w:numId w:val="1"/>
        </w:numPr>
        <w:spacing w:line="360" w:lineRule="auto"/>
        <w:ind w:left="0" w:firstLine="0"/>
        <w:contextualSpacing/>
        <w:jc w:val="both"/>
        <w:rPr>
          <w:rFonts w:ascii="Palatino Linotype" w:eastAsia="MS Mincho" w:hAnsi="Palatino Linotype" w:cs="Arial"/>
        </w:rPr>
      </w:pPr>
      <w:r w:rsidRPr="00C00DCA">
        <w:rPr>
          <w:rFonts w:ascii="Palatino Linotype" w:eastAsia="MS Mincho" w:hAnsi="Palatino Linotype" w:cs="Arial"/>
        </w:rPr>
        <w:t xml:space="preserve">En </w:t>
      </w:r>
      <w:r w:rsidRPr="00C00DCA">
        <w:rPr>
          <w:rFonts w:ascii="Palatino Linotype" w:hAnsi="Palatino Linotype" w:cs="Arial"/>
          <w:lang w:eastAsia="es-MX"/>
        </w:rPr>
        <w:t>dichas</w:t>
      </w:r>
      <w:r w:rsidRPr="00C00DCA">
        <w:rPr>
          <w:rFonts w:ascii="Palatino Linotype" w:eastAsia="Times New Roman" w:hAnsi="Palatino Linotype" w:cs="Arial"/>
        </w:rPr>
        <w:t xml:space="preserve"> condiciones, la </w:t>
      </w:r>
      <w:r w:rsidR="00A5352D" w:rsidRPr="00C00DCA">
        <w:rPr>
          <w:rFonts w:ascii="Palatino Linotype" w:eastAsia="Times New Roman" w:hAnsi="Palatino Linotype" w:cs="Arial"/>
        </w:rPr>
        <w:t>controversia</w:t>
      </w:r>
      <w:r w:rsidRPr="00C00DCA">
        <w:rPr>
          <w:rFonts w:ascii="Palatino Linotype" w:eastAsia="Times New Roman" w:hAnsi="Palatino Linotype" w:cs="Arial"/>
        </w:rPr>
        <w:t xml:space="preserve"> a resolver en </w:t>
      </w:r>
      <w:r w:rsidR="00A5352D" w:rsidRPr="00C00DCA">
        <w:rPr>
          <w:rFonts w:ascii="Palatino Linotype" w:eastAsia="Times New Roman" w:hAnsi="Palatino Linotype" w:cs="Arial"/>
        </w:rPr>
        <w:t>el presente</w:t>
      </w:r>
      <w:r w:rsidRPr="00C00DCA">
        <w:rPr>
          <w:rFonts w:ascii="Palatino Linotype" w:eastAsia="Times New Roman" w:hAnsi="Palatino Linotype" w:cs="Arial"/>
        </w:rPr>
        <w:t xml:space="preserve"> </w:t>
      </w:r>
      <w:r w:rsidR="00A5352D" w:rsidRPr="00C00DCA">
        <w:rPr>
          <w:rFonts w:ascii="Palatino Linotype" w:eastAsia="Times New Roman" w:hAnsi="Palatino Linotype" w:cs="Arial"/>
        </w:rPr>
        <w:t>proveído</w:t>
      </w:r>
      <w:r w:rsidR="00866A8C" w:rsidRPr="00C00DCA">
        <w:rPr>
          <w:rFonts w:ascii="Palatino Linotype" w:eastAsia="Times New Roman" w:hAnsi="Palatino Linotype" w:cs="Arial"/>
        </w:rPr>
        <w:t>,</w:t>
      </w:r>
      <w:r w:rsidRPr="00C00DCA">
        <w:rPr>
          <w:rFonts w:ascii="Palatino Linotype" w:eastAsia="Times New Roman" w:hAnsi="Palatino Linotype" w:cs="Arial"/>
        </w:rPr>
        <w:t xml:space="preserve"> </w:t>
      </w:r>
      <w:r w:rsidR="00866A8C" w:rsidRPr="00C00DCA">
        <w:rPr>
          <w:rFonts w:ascii="Palatino Linotype" w:hAnsi="Palatino Linotype" w:cs="Arial"/>
        </w:rPr>
        <w:t>corresponde</w:t>
      </w:r>
      <w:r w:rsidRPr="00C00DCA">
        <w:rPr>
          <w:rFonts w:ascii="Palatino Linotype" w:eastAsia="Times New Roman" w:hAnsi="Palatino Linotype" w:cs="Arial"/>
        </w:rPr>
        <w:t xml:space="preserve"> a determinar si </w:t>
      </w:r>
      <w:r w:rsidRPr="00C00DCA">
        <w:rPr>
          <w:rFonts w:ascii="Palatino Linotype" w:eastAsia="MS Mincho" w:hAnsi="Palatino Linotype" w:cs="Arial"/>
        </w:rPr>
        <w:t xml:space="preserve">se actualiza la causal de procedencia prevista en el artículo 179, </w:t>
      </w:r>
      <w:r w:rsidR="00E813E5" w:rsidRPr="00C00DCA">
        <w:rPr>
          <w:rFonts w:ascii="Palatino Linotype" w:eastAsia="MS Mincho" w:hAnsi="Palatino Linotype" w:cs="Arial"/>
        </w:rPr>
        <w:t>fracción VIII</w:t>
      </w:r>
      <w:r w:rsidRPr="00C00DCA">
        <w:rPr>
          <w:rFonts w:ascii="Palatino Linotype" w:eastAsia="MS Mincho" w:hAnsi="Palatino Linotype" w:cs="Arial"/>
          <w:b/>
        </w:rPr>
        <w:t xml:space="preserve"> </w:t>
      </w:r>
      <w:r w:rsidRPr="00C00DCA">
        <w:rPr>
          <w:rFonts w:ascii="Palatino Linotype" w:eastAsia="MS Mincho" w:hAnsi="Palatino Linotype" w:cs="Arial"/>
        </w:rPr>
        <w:t>de la Ley de Transparencia y Acceso a la Información Pública del Estado de</w:t>
      </w:r>
      <w:r w:rsidRPr="00C00DCA">
        <w:rPr>
          <w:rFonts w:ascii="Palatino Linotype" w:eastAsia="MS Mincho" w:hAnsi="Palatino Linotype" w:cs="Arial"/>
          <w:b/>
        </w:rPr>
        <w:t xml:space="preserve"> </w:t>
      </w:r>
      <w:r w:rsidRPr="00C00DCA">
        <w:rPr>
          <w:rFonts w:ascii="Palatino Linotype" w:hAnsi="Palatino Linotype" w:cs="Arial"/>
        </w:rPr>
        <w:t>México</w:t>
      </w:r>
      <w:r w:rsidRPr="00C00DCA">
        <w:rPr>
          <w:rFonts w:ascii="Palatino Linotype" w:eastAsia="MS Mincho" w:hAnsi="Palatino Linotype" w:cs="Arial"/>
          <w:b/>
        </w:rPr>
        <w:t xml:space="preserve"> </w:t>
      </w:r>
      <w:r w:rsidRPr="00C00DCA">
        <w:rPr>
          <w:rFonts w:ascii="Palatino Linotype" w:eastAsia="MS Mincho" w:hAnsi="Palatino Linotype" w:cs="Arial"/>
        </w:rPr>
        <w:t>y</w:t>
      </w:r>
      <w:r w:rsidRPr="00C00DCA">
        <w:rPr>
          <w:rFonts w:ascii="Palatino Linotype" w:eastAsia="MS Mincho" w:hAnsi="Palatino Linotype" w:cs="Arial"/>
          <w:b/>
        </w:rPr>
        <w:t xml:space="preserve"> </w:t>
      </w:r>
      <w:r w:rsidRPr="00C00DCA">
        <w:rPr>
          <w:rFonts w:ascii="Palatino Linotype" w:hAnsi="Palatino Linotype" w:cs="Arial"/>
        </w:rPr>
        <w:t>Municipios</w:t>
      </w:r>
      <w:r w:rsidRPr="00C00DCA">
        <w:rPr>
          <w:rFonts w:ascii="Palatino Linotype" w:eastAsia="MS Mincho" w:hAnsi="Palatino Linotype" w:cs="Arial"/>
        </w:rPr>
        <w:t xml:space="preserve">; </w:t>
      </w:r>
      <w:r w:rsidRPr="00C00DCA">
        <w:rPr>
          <w:rFonts w:ascii="Palatino Linotype" w:eastAsia="Times New Roman" w:hAnsi="Palatino Linotype" w:cs="Arial"/>
          <w:color w:val="000000" w:themeColor="text1"/>
          <w:lang w:val="es-ES" w:eastAsia="es-MX"/>
        </w:rPr>
        <w:t xml:space="preserve">fracción que determina la hipótesis relativa a </w:t>
      </w:r>
      <w:r w:rsidR="00E813E5" w:rsidRPr="00C00DCA">
        <w:rPr>
          <w:rFonts w:ascii="Palatino Linotype" w:eastAsia="Times New Roman" w:hAnsi="Palatino Linotype" w:cs="Arial"/>
          <w:color w:val="000000" w:themeColor="text1"/>
          <w:lang w:val="es-ES" w:eastAsia="es-MX"/>
        </w:rPr>
        <w:t>la notificación, entrega o puesta a disposición de información en una modalidad o formato distinto al solicitado</w:t>
      </w:r>
      <w:r w:rsidRPr="00C00DCA">
        <w:rPr>
          <w:rFonts w:ascii="Palatino Linotype" w:eastAsia="Times New Roman" w:hAnsi="Palatino Linotype" w:cs="Arial"/>
          <w:color w:val="000000" w:themeColor="text1"/>
          <w:lang w:val="es-ES" w:eastAsia="es-MX"/>
        </w:rPr>
        <w:t xml:space="preserve">; </w:t>
      </w:r>
      <w:r w:rsidRPr="00C00DCA">
        <w:rPr>
          <w:rFonts w:ascii="Palatino Linotype" w:eastAsia="MS Mincho" w:hAnsi="Palatino Linotype" w:cs="Arial"/>
        </w:rPr>
        <w:t>contexto del cual se dolió</w:t>
      </w:r>
      <w:r w:rsidR="00A5352D" w:rsidRPr="00C00DCA">
        <w:rPr>
          <w:rFonts w:ascii="Palatino Linotype" w:eastAsia="MS Mincho" w:hAnsi="Palatino Linotype" w:cs="Arial"/>
        </w:rPr>
        <w:t xml:space="preserve"> el Recurrente</w:t>
      </w:r>
      <w:r w:rsidRPr="00C00DCA">
        <w:rPr>
          <w:rFonts w:ascii="Palatino Linotype" w:eastAsia="MS Mincho" w:hAnsi="Palatino Linotype" w:cs="Arial"/>
        </w:rPr>
        <w:t xml:space="preserve"> al momento de interponer su inconformidad.</w:t>
      </w:r>
      <w:r w:rsidRPr="00C00DCA">
        <w:rPr>
          <w:rFonts w:ascii="Palatino Linotype" w:eastAsia="Times New Roman" w:hAnsi="Palatino Linotype" w:cs="Arial"/>
          <w:color w:val="000000" w:themeColor="text1"/>
          <w:lang w:val="es-ES" w:eastAsia="es-MX"/>
        </w:rPr>
        <w:t xml:space="preserve"> De modo tal </w:t>
      </w:r>
      <w:r w:rsidRPr="00C00DCA">
        <w:rPr>
          <w:rFonts w:ascii="Palatino Linotype" w:hAnsi="Palatino Linotype" w:cs="Arial"/>
          <w:color w:val="000000" w:themeColor="text1"/>
        </w:rPr>
        <w:t xml:space="preserve">que el presente recurso de revisión se abocara en determinar si el </w:t>
      </w:r>
      <w:r w:rsidR="00A5352D" w:rsidRPr="00C00DCA">
        <w:rPr>
          <w:rFonts w:ascii="Palatino Linotype" w:hAnsi="Palatino Linotype" w:cs="Arial"/>
          <w:color w:val="000000" w:themeColor="text1"/>
        </w:rPr>
        <w:t xml:space="preserve">Sujeto Obligado </w:t>
      </w:r>
      <w:r w:rsidRPr="00C00DCA">
        <w:rPr>
          <w:rFonts w:ascii="Palatino Linotype" w:hAnsi="Palatino Linotype" w:cs="Arial"/>
          <w:color w:val="000000" w:themeColor="text1"/>
        </w:rPr>
        <w:t xml:space="preserve">con su respuesta ciertamente </w:t>
      </w:r>
      <w:r w:rsidRPr="00C00DCA">
        <w:rPr>
          <w:rFonts w:ascii="Palatino Linotype" w:eastAsia="Times New Roman" w:hAnsi="Palatino Linotype"/>
          <w:color w:val="000000" w:themeColor="text1"/>
        </w:rPr>
        <w:t>actualiza la causal de procedencia</w:t>
      </w:r>
      <w:r w:rsidRPr="00C00DCA">
        <w:rPr>
          <w:rFonts w:ascii="Palatino Linotype" w:eastAsia="Times New Roman" w:hAnsi="Palatino Linotype"/>
          <w:b/>
          <w:color w:val="000000" w:themeColor="text1"/>
        </w:rPr>
        <w:t xml:space="preserve"> </w:t>
      </w:r>
      <w:r w:rsidRPr="00C00DCA">
        <w:rPr>
          <w:rFonts w:ascii="Palatino Linotype" w:eastAsia="Times New Roman" w:hAnsi="Palatino Linotype" w:cs="Arial"/>
          <w:color w:val="000000" w:themeColor="text1"/>
          <w:lang w:eastAsia="es-MX"/>
        </w:rPr>
        <w:t xml:space="preserve">señalada. </w:t>
      </w:r>
    </w:p>
    <w:p w14:paraId="03CE46EE" w14:textId="77777777" w:rsidR="00942616" w:rsidRPr="00C00DCA" w:rsidRDefault="00942616" w:rsidP="000F30BC">
      <w:pPr>
        <w:spacing w:line="360" w:lineRule="auto"/>
        <w:rPr>
          <w:rFonts w:ascii="Palatino Linotype" w:eastAsia="MS Mincho" w:hAnsi="Palatino Linotype" w:cs="Arial"/>
        </w:rPr>
      </w:pPr>
    </w:p>
    <w:p w14:paraId="1B83CC04" w14:textId="18FE58A6" w:rsidR="00942616" w:rsidRPr="00C00DCA" w:rsidRDefault="00A5352D" w:rsidP="000F30BC">
      <w:pPr>
        <w:pStyle w:val="Ttulo2"/>
        <w:spacing w:before="0" w:line="360" w:lineRule="auto"/>
        <w:rPr>
          <w:rFonts w:ascii="Palatino Linotype" w:hAnsi="Palatino Linotype"/>
          <w:b/>
          <w:color w:val="000000" w:themeColor="text1"/>
          <w:sz w:val="24"/>
          <w:szCs w:val="24"/>
        </w:rPr>
      </w:pPr>
      <w:bookmarkStart w:id="146" w:name="_Toc495427545"/>
      <w:bookmarkStart w:id="147" w:name="_Toc23414596"/>
      <w:bookmarkStart w:id="148" w:name="_Toc34819433"/>
      <w:bookmarkStart w:id="149" w:name="_Toc51259589"/>
      <w:bookmarkStart w:id="150" w:name="_Toc83128582"/>
      <w:r w:rsidRPr="00C00DCA">
        <w:rPr>
          <w:rFonts w:ascii="Palatino Linotype" w:hAnsi="Palatino Linotype"/>
          <w:b/>
          <w:color w:val="000000" w:themeColor="text1"/>
          <w:sz w:val="24"/>
          <w:szCs w:val="24"/>
        </w:rPr>
        <w:t>CUARTA</w:t>
      </w:r>
      <w:r w:rsidR="00942616" w:rsidRPr="00C00DCA">
        <w:rPr>
          <w:rFonts w:ascii="Palatino Linotype" w:hAnsi="Palatino Linotype"/>
          <w:b/>
          <w:color w:val="000000" w:themeColor="text1"/>
          <w:sz w:val="24"/>
          <w:szCs w:val="24"/>
        </w:rPr>
        <w:t xml:space="preserve">. </w:t>
      </w:r>
      <w:bookmarkEnd w:id="146"/>
      <w:bookmarkEnd w:id="147"/>
      <w:bookmarkEnd w:id="148"/>
      <w:bookmarkEnd w:id="149"/>
      <w:bookmarkEnd w:id="150"/>
      <w:r w:rsidRPr="00C00DCA">
        <w:rPr>
          <w:rFonts w:ascii="Palatino Linotype" w:hAnsi="Palatino Linotype"/>
          <w:b/>
          <w:color w:val="000000" w:themeColor="text1"/>
          <w:sz w:val="24"/>
          <w:szCs w:val="24"/>
        </w:rPr>
        <w:t>Estudio de la controversia.</w:t>
      </w:r>
    </w:p>
    <w:p w14:paraId="16A88284" w14:textId="1E801916" w:rsidR="00E120A9" w:rsidRPr="00C00DCA" w:rsidRDefault="00866A8C" w:rsidP="000F30BC">
      <w:pPr>
        <w:numPr>
          <w:ilvl w:val="0"/>
          <w:numId w:val="1"/>
        </w:numPr>
        <w:spacing w:line="360" w:lineRule="auto"/>
        <w:ind w:left="0" w:firstLine="0"/>
        <w:contextualSpacing/>
        <w:jc w:val="both"/>
        <w:rPr>
          <w:rFonts w:ascii="Palatino Linotype" w:hAnsi="Palatino Linotype" w:cs="Tahoma"/>
          <w:bCs/>
          <w:iCs/>
        </w:rPr>
      </w:pPr>
      <w:r w:rsidRPr="00C00DCA">
        <w:rPr>
          <w:rFonts w:ascii="Palatino Linotype" w:eastAsia="MS Mincho" w:hAnsi="Palatino Linotype" w:cs="Arial"/>
        </w:rPr>
        <w:t>Determinado lo anterior; revisaremos la atención otorgada por el Sujeto Obligado a la solicitud</w:t>
      </w:r>
      <w:r w:rsidR="00570E37" w:rsidRPr="00C00DCA">
        <w:rPr>
          <w:rFonts w:ascii="Palatino Linotype" w:eastAsia="MS Mincho" w:hAnsi="Palatino Linotype" w:cs="Arial"/>
        </w:rPr>
        <w:t xml:space="preserve"> que dio origen a este recurso, considerando </w:t>
      </w:r>
      <w:r w:rsidRPr="00C00DCA">
        <w:rPr>
          <w:rFonts w:ascii="Palatino Linotype" w:eastAsia="MS Mincho" w:hAnsi="Palatino Linotype" w:cs="Arial"/>
        </w:rPr>
        <w:t xml:space="preserve">imprescindible establecer lo que la regulación determina, por ello, en primer lugar, vamos a revisar lo que mandata nuestra Ley de Transparencia local, en </w:t>
      </w:r>
      <w:r w:rsidR="00E120A9" w:rsidRPr="00C00DCA">
        <w:rPr>
          <w:rFonts w:ascii="Palatino Linotype" w:eastAsia="MS Mincho" w:hAnsi="Palatino Linotype" w:cs="Arial"/>
        </w:rPr>
        <w:t xml:space="preserve">su artículo </w:t>
      </w:r>
      <w:r w:rsidR="00E120A9" w:rsidRPr="00C00DCA">
        <w:rPr>
          <w:rFonts w:ascii="Palatino Linotype" w:hAnsi="Palatino Linotype" w:cs="Tahoma"/>
          <w:bCs/>
          <w:iCs/>
        </w:rPr>
        <w:t xml:space="preserve">12, el cual establece que quienes generen, recopilen, administren, manejen, procesen, archiven o conserven información pública serán responsables de la misma, del mismo modo, el artículo 18 establece que los Sujetos Obligados deberán documentar todo acto que </w:t>
      </w:r>
      <w:r w:rsidR="00E120A9" w:rsidRPr="00C00DCA">
        <w:rPr>
          <w:rFonts w:ascii="Palatino Linotype" w:hAnsi="Palatino Linotype" w:cs="Tahoma"/>
          <w:bCs/>
          <w:iCs/>
        </w:rPr>
        <w:lastRenderedPageBreak/>
        <w:t>derive del ejercicio de sus facultades, competencias o funciones desde su origen la eventual publicidad y reutilización de la información que generen.</w:t>
      </w:r>
    </w:p>
    <w:p w14:paraId="1A1A9EB3" w14:textId="77777777" w:rsidR="00E813E5" w:rsidRPr="00C00DCA" w:rsidRDefault="00E813E5" w:rsidP="00E813E5">
      <w:pPr>
        <w:spacing w:line="360" w:lineRule="auto"/>
        <w:contextualSpacing/>
        <w:jc w:val="both"/>
        <w:rPr>
          <w:rFonts w:ascii="Palatino Linotype" w:hAnsi="Palatino Linotype" w:cs="Tahoma"/>
          <w:bCs/>
          <w:iCs/>
        </w:rPr>
      </w:pPr>
    </w:p>
    <w:p w14:paraId="7A45B9AE" w14:textId="732B23FC" w:rsidR="00E120A9" w:rsidRPr="00C00DCA" w:rsidRDefault="00570E37" w:rsidP="000F30BC">
      <w:pPr>
        <w:numPr>
          <w:ilvl w:val="0"/>
          <w:numId w:val="1"/>
        </w:numPr>
        <w:spacing w:line="360" w:lineRule="auto"/>
        <w:ind w:left="0" w:firstLine="0"/>
        <w:contextualSpacing/>
        <w:jc w:val="both"/>
        <w:rPr>
          <w:rFonts w:ascii="Palatino Linotype" w:hAnsi="Palatino Linotype" w:cs="Tahoma"/>
          <w:bCs/>
          <w:iCs/>
        </w:rPr>
      </w:pPr>
      <w:r w:rsidRPr="00C00DCA">
        <w:rPr>
          <w:rFonts w:ascii="Palatino Linotype" w:hAnsi="Palatino Linotype" w:cs="Tahoma"/>
          <w:bCs/>
          <w:iCs/>
        </w:rPr>
        <w:t>Asimismo</w:t>
      </w:r>
      <w:r w:rsidR="00E120A9" w:rsidRPr="00C00DCA">
        <w:rPr>
          <w:rFonts w:ascii="Palatino Linotype" w:hAnsi="Palatino Linotype" w:cs="Tahoma"/>
          <w:bCs/>
          <w:iCs/>
        </w:rPr>
        <w:t>, es relevante mencionar que el artículo 19 del ordenamiento local de la materia señala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07825CC3" w14:textId="77777777" w:rsidR="00E120A9" w:rsidRPr="00C00DCA" w:rsidRDefault="00E120A9" w:rsidP="000F30BC">
      <w:pPr>
        <w:pStyle w:val="Prrafodelista"/>
        <w:spacing w:line="360" w:lineRule="auto"/>
        <w:rPr>
          <w:rFonts w:ascii="Palatino Linotype" w:hAnsi="Palatino Linotype" w:cs="Tahoma"/>
          <w:bCs/>
          <w:iCs/>
        </w:rPr>
      </w:pPr>
    </w:p>
    <w:p w14:paraId="14E74658" w14:textId="5C392385" w:rsidR="00E120A9" w:rsidRPr="00C00DCA" w:rsidRDefault="00570E37" w:rsidP="000F30BC">
      <w:pPr>
        <w:numPr>
          <w:ilvl w:val="0"/>
          <w:numId w:val="1"/>
        </w:numPr>
        <w:spacing w:line="360" w:lineRule="auto"/>
        <w:ind w:left="0" w:firstLine="0"/>
        <w:contextualSpacing/>
        <w:jc w:val="both"/>
        <w:rPr>
          <w:rFonts w:ascii="Palatino Linotype" w:hAnsi="Palatino Linotype" w:cs="Tahoma"/>
          <w:bCs/>
          <w:iCs/>
        </w:rPr>
      </w:pPr>
      <w:r w:rsidRPr="00C00DCA">
        <w:rPr>
          <w:rFonts w:ascii="Palatino Linotype" w:hAnsi="Palatino Linotype" w:cs="Tahoma"/>
          <w:bCs/>
          <w:iCs/>
        </w:rPr>
        <w:t>Los artículos antes citados, refieren que el derecho de acceso a la información pública es un derecho humano que abarca el solicitar, investigar, difundir y buscar información que se encuentre en los archivos de los sujetos obligados, ya sea porque estos las generaron o la poseen en atención a sus funciones, por lo que se le considera un bien común de dominio público, toda vez que al tratarse de acciones ejercidas por un servidor público, este lo hace en representación del Estado, por lo que le pertenece a todos y debe ser accesible a cualquier persona, ya sea que los particulares la puedan consultar por encontrarse publicada en cualquier medio de difusión o porque la requieren a través de una solicitud de acceso a la información, siempre y cuando no encuadre en una de las excepciones contempladas por la ley.</w:t>
      </w:r>
    </w:p>
    <w:p w14:paraId="0F89125C" w14:textId="77777777" w:rsidR="00570E37" w:rsidRPr="00C00DCA" w:rsidRDefault="00570E37" w:rsidP="000F30BC">
      <w:pPr>
        <w:pStyle w:val="Prrafodelista"/>
        <w:spacing w:line="360" w:lineRule="auto"/>
        <w:rPr>
          <w:rFonts w:ascii="Palatino Linotype" w:hAnsi="Palatino Linotype" w:cs="Tahoma"/>
          <w:bCs/>
          <w:iCs/>
        </w:rPr>
      </w:pPr>
    </w:p>
    <w:p w14:paraId="596C282B" w14:textId="3A1A14F9" w:rsidR="006548AD" w:rsidRPr="00C00DCA" w:rsidRDefault="006548AD" w:rsidP="000F30BC">
      <w:pPr>
        <w:pStyle w:val="Prrafodelista"/>
        <w:numPr>
          <w:ilvl w:val="0"/>
          <w:numId w:val="6"/>
        </w:numPr>
        <w:spacing w:line="360" w:lineRule="auto"/>
        <w:rPr>
          <w:rFonts w:ascii="Palatino Linotype" w:hAnsi="Palatino Linotype" w:cs="Tahoma"/>
          <w:b/>
          <w:bCs/>
          <w:iCs/>
        </w:rPr>
      </w:pPr>
      <w:r w:rsidRPr="00C00DCA">
        <w:rPr>
          <w:rFonts w:ascii="Palatino Linotype" w:hAnsi="Palatino Linotype" w:cs="Tahoma"/>
          <w:b/>
          <w:bCs/>
          <w:iCs/>
        </w:rPr>
        <w:t>De la respuesta</w:t>
      </w:r>
    </w:p>
    <w:p w14:paraId="6D3C3611" w14:textId="41653EBB" w:rsidR="00462801" w:rsidRPr="00C00DCA" w:rsidRDefault="00462801" w:rsidP="000F30BC">
      <w:pPr>
        <w:numPr>
          <w:ilvl w:val="0"/>
          <w:numId w:val="1"/>
        </w:numPr>
        <w:spacing w:line="360" w:lineRule="auto"/>
        <w:ind w:left="0" w:firstLine="0"/>
        <w:contextualSpacing/>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rPr>
        <w:lastRenderedPageBreak/>
        <w:t xml:space="preserve">Una vez conocidas las respuestas, </w:t>
      </w:r>
      <w:r w:rsidRPr="00C00DCA">
        <w:rPr>
          <w:rFonts w:ascii="Palatino Linotype" w:eastAsia="Palatino Linotype" w:hAnsi="Palatino Linotype" w:cs="Palatino Linotype"/>
          <w:b/>
        </w:rPr>
        <w:t>la parte Recurrente</w:t>
      </w:r>
      <w:r w:rsidRPr="00C00DCA">
        <w:rPr>
          <w:rFonts w:ascii="Palatino Linotype" w:eastAsia="Palatino Linotype" w:hAnsi="Palatino Linotype" w:cs="Palatino Linotype"/>
        </w:rPr>
        <w:t xml:space="preserve"> interpuso los recursos de revisión que nos </w:t>
      </w:r>
      <w:r w:rsidRPr="00C00DCA">
        <w:rPr>
          <w:rFonts w:ascii="Palatino Linotype" w:hAnsi="Palatino Linotype" w:cs="Tahoma"/>
          <w:bCs/>
          <w:iCs/>
        </w:rPr>
        <w:t>ocupan</w:t>
      </w:r>
      <w:r w:rsidRPr="00C00DCA">
        <w:rPr>
          <w:rFonts w:ascii="Palatino Linotype" w:eastAsia="Palatino Linotype" w:hAnsi="Palatino Linotype" w:cs="Palatino Linotype"/>
        </w:rPr>
        <w:t xml:space="preserve">, inconformándose medularmente por </w:t>
      </w:r>
      <w:r w:rsidR="002E6437" w:rsidRPr="00C00DCA">
        <w:rPr>
          <w:rFonts w:ascii="Palatino Linotype" w:eastAsia="Palatino Linotype" w:hAnsi="Palatino Linotype" w:cs="Palatino Linotype"/>
        </w:rPr>
        <w:t>el cambio de modalidad.</w:t>
      </w:r>
    </w:p>
    <w:p w14:paraId="22B4982B" w14:textId="77777777" w:rsidR="002E6437" w:rsidRPr="00C00DCA" w:rsidRDefault="002E6437" w:rsidP="002E6437">
      <w:pPr>
        <w:spacing w:line="360" w:lineRule="auto"/>
        <w:contextualSpacing/>
        <w:jc w:val="both"/>
        <w:rPr>
          <w:rFonts w:ascii="Palatino Linotype" w:eastAsia="Palatino Linotype" w:hAnsi="Palatino Linotype" w:cs="Palatino Linotype"/>
          <w:color w:val="000000" w:themeColor="text1"/>
        </w:rPr>
      </w:pPr>
    </w:p>
    <w:p w14:paraId="1E8EBD90" w14:textId="207C82C8" w:rsidR="002E6437" w:rsidRPr="00C00DCA" w:rsidRDefault="002E6437" w:rsidP="002E6437">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 xml:space="preserve">Acotado lo anterior, es dable primeramente señalar que el </w:t>
      </w:r>
      <w:r w:rsidRPr="00C00DCA">
        <w:rPr>
          <w:rFonts w:ascii="Palatino Linotype" w:eastAsia="Palatino Linotype" w:hAnsi="Palatino Linotype" w:cs="Palatino Linotype"/>
          <w:b/>
        </w:rPr>
        <w:t>Sujeto Obligado</w:t>
      </w:r>
      <w:r w:rsidRPr="00C00DCA">
        <w:rPr>
          <w:rFonts w:ascii="Palatino Linotype" w:eastAsia="Palatino Linotype" w:hAnsi="Palatino Linotype" w:cs="Palatino Linotype"/>
        </w:rPr>
        <w:t xml:space="preserve"> a través de su respuesta </w:t>
      </w:r>
      <w:r w:rsidRPr="00C00DCA">
        <w:rPr>
          <w:rFonts w:ascii="Palatino Linotype" w:eastAsia="Palatino Linotype" w:hAnsi="Palatino Linotype" w:cs="Palatino Linotype"/>
          <w:b/>
          <w:u w:val="single"/>
        </w:rPr>
        <w:t>asumió la existencia de la información peticionada</w:t>
      </w:r>
      <w:r w:rsidRPr="00C00DCA">
        <w:rPr>
          <w:rFonts w:ascii="Palatino Linotype" w:eastAsia="Palatino Linotype" w:hAnsi="Palatino Linotype" w:cs="Palatino Linotype"/>
        </w:rPr>
        <w:t xml:space="preserve"> tan es así que solicitó la presencia del particular para entregar información en consulta directa, previa identificación; en consecuencia, se asume que cuenta con la información y por ende se obvia el análisis de las atribuciones del Sujeto Obligado para contar con la misma.</w:t>
      </w:r>
    </w:p>
    <w:p w14:paraId="1546395D" w14:textId="77777777" w:rsidR="002E6437" w:rsidRPr="00C00DCA" w:rsidRDefault="002E6437" w:rsidP="002E6437">
      <w:pPr>
        <w:pStyle w:val="Prrafodelista"/>
        <w:rPr>
          <w:rFonts w:ascii="Palatino Linotype" w:eastAsia="Palatino Linotype" w:hAnsi="Palatino Linotype" w:cs="Palatino Linotype"/>
        </w:rPr>
      </w:pPr>
    </w:p>
    <w:p w14:paraId="650B0BC3" w14:textId="77777777" w:rsidR="002E6437" w:rsidRPr="00C00DCA" w:rsidRDefault="002E6437" w:rsidP="002E6437">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Ahora bien, de la solicitud de información se desprende que el particular requirió como modalidad de entrega de la información el SAIMEX, sistema que tiene como propósito facilitar en la entidad el ejercicio del derecho humano de acceso a la información pública, de forma sencilla y gratuita.</w:t>
      </w:r>
    </w:p>
    <w:p w14:paraId="74445947" w14:textId="77777777" w:rsidR="002E6437" w:rsidRPr="00C00DCA" w:rsidRDefault="002E6437" w:rsidP="002E6437">
      <w:pPr>
        <w:pStyle w:val="Prrafodelista"/>
        <w:rPr>
          <w:rFonts w:ascii="Palatino Linotype" w:eastAsia="Palatino Linotype" w:hAnsi="Palatino Linotype" w:cs="Palatino Linotype"/>
        </w:rPr>
      </w:pPr>
    </w:p>
    <w:p w14:paraId="73CF187F" w14:textId="77777777" w:rsidR="002E6437" w:rsidRPr="00C00DCA" w:rsidRDefault="002E6437" w:rsidP="002E6437">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Así, la Ley de Transparencia y Acceso a la Información Pública del Estado de México y Municipios, privilegia el uso de las tecnologías por medios electrónicos, dando preferencia al uso de sistemas computacionales y las nuevas tecnologías en el afán de transitar hacia la modernización de los procesos, según se puede leer en el precepto legal que se inserta enseguida:</w:t>
      </w:r>
    </w:p>
    <w:p w14:paraId="6AEBA61D" w14:textId="77777777" w:rsidR="002E6437" w:rsidRPr="00C00DCA" w:rsidRDefault="002E6437" w:rsidP="002E6437">
      <w:pPr>
        <w:spacing w:after="120"/>
        <w:ind w:left="851" w:right="902"/>
        <w:jc w:val="both"/>
        <w:rPr>
          <w:rFonts w:ascii="Palatino Linotype" w:eastAsia="Palatino Linotype" w:hAnsi="Palatino Linotype" w:cs="Palatino Linotype"/>
          <w:i/>
        </w:rPr>
      </w:pPr>
      <w:r w:rsidRPr="00C00DCA">
        <w:rPr>
          <w:rFonts w:ascii="Palatino Linotype" w:eastAsia="Palatino Linotype" w:hAnsi="Palatino Linotype" w:cs="Palatino Linotype"/>
          <w:b/>
          <w:i/>
        </w:rPr>
        <w:t>“Artículo 88.</w:t>
      </w:r>
      <w:r w:rsidRPr="00C00DCA">
        <w:rPr>
          <w:rFonts w:ascii="Palatino Linotype" w:eastAsia="Palatino Linotype" w:hAnsi="Palatino Linotype" w:cs="Palatino Linotype"/>
          <w:i/>
        </w:rPr>
        <w:t xml:space="preserve"> La información referente a las obligaciones de transparencia será puesta a disposición de los particulares por cualquier medio que facilite su acceso, dando preferencia al uso de sistemas computacionales y las nuevas tecnologías de información.”</w:t>
      </w:r>
    </w:p>
    <w:p w14:paraId="642475E1" w14:textId="77777777" w:rsidR="002E6437" w:rsidRPr="00C00DCA" w:rsidRDefault="002E6437" w:rsidP="002E6437">
      <w:pPr>
        <w:spacing w:line="360" w:lineRule="auto"/>
        <w:contextualSpacing/>
        <w:jc w:val="both"/>
        <w:rPr>
          <w:rFonts w:ascii="Palatino Linotype" w:eastAsia="Palatino Linotype" w:hAnsi="Palatino Linotype" w:cs="Palatino Linotype"/>
        </w:rPr>
      </w:pPr>
    </w:p>
    <w:p w14:paraId="28F7FE6D" w14:textId="77777777" w:rsidR="002019D0"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lastRenderedPageBreak/>
        <w:t xml:space="preserve">Bajo ese contexto la Ley de Transparencia y Acceso a la Información Pública del Estado de México y Municipios, el artículo 155 fracción V, dispone que para presentar solicitud de acceso a la información, se deberá atender lo dispuesto en el mismo, resaltando que deberá indicarse la modalidad en la que prefiere se otorgue la información, la cual podrá ser verbal, siempre y cuando sea para fines de orientación, mediante consulta directa, mediante la expedición de copias simples o certificadas o la reproducción en cualquier otro medio, incluidos los electrónicos, que en el caso, en la entidad, el Órgano Garante determinó en el formato de solicitud, que podría ser SAIMEX, </w:t>
      </w:r>
      <w:proofErr w:type="spellStart"/>
      <w:r w:rsidRPr="00C00DCA">
        <w:rPr>
          <w:rFonts w:ascii="Palatino Linotype" w:eastAsia="Palatino Linotype" w:hAnsi="Palatino Linotype" w:cs="Palatino Linotype"/>
        </w:rPr>
        <w:t>CD-Rom</w:t>
      </w:r>
      <w:proofErr w:type="spellEnd"/>
      <w:r w:rsidRPr="00C00DCA">
        <w:rPr>
          <w:rFonts w:ascii="Palatino Linotype" w:eastAsia="Palatino Linotype" w:hAnsi="Palatino Linotype" w:cs="Palatino Linotype"/>
        </w:rPr>
        <w:t xml:space="preserve"> (con costo), copias simples (con costo), copias certificadas (con costo), consulta directa (sin costo), o bien, cualquier otro que determine el particular.</w:t>
      </w:r>
    </w:p>
    <w:p w14:paraId="4A0C7F36" w14:textId="77777777" w:rsidR="002019D0" w:rsidRPr="00C00DCA" w:rsidRDefault="002019D0" w:rsidP="002019D0">
      <w:pPr>
        <w:spacing w:line="360" w:lineRule="auto"/>
        <w:contextualSpacing/>
        <w:jc w:val="both"/>
        <w:rPr>
          <w:rFonts w:ascii="Palatino Linotype" w:eastAsia="Palatino Linotype" w:hAnsi="Palatino Linotype" w:cs="Palatino Linotype"/>
        </w:rPr>
      </w:pPr>
    </w:p>
    <w:p w14:paraId="4CE853CB" w14:textId="5C791654" w:rsidR="002019D0"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De modo que el acceso a la información debe darse en la modalidad de entrega elegida por el solicitante, y sólo para los casos en que se encuentren impedidos los sujetos obligados podrán ofrecer otra u otras modalidades debiendo fundar y motivar adecuadamente el cambio de modalidad en la entrega de la información</w:t>
      </w:r>
      <w:r w:rsidRPr="00C00DCA">
        <w:rPr>
          <w:rFonts w:ascii="Palatino Linotype" w:eastAsia="Palatino Linotype" w:hAnsi="Palatino Linotype" w:cs="Palatino Linotype"/>
          <w:vertAlign w:val="superscript"/>
        </w:rPr>
        <w:t xml:space="preserve"> </w:t>
      </w:r>
      <w:r w:rsidRPr="00C00DCA">
        <w:rPr>
          <w:rFonts w:ascii="Palatino Linotype" w:eastAsia="Palatino Linotype" w:hAnsi="Palatino Linotype" w:cs="Palatino Linotype"/>
          <w:vertAlign w:val="superscript"/>
        </w:rPr>
        <w:footnoteReference w:id="1"/>
      </w:r>
      <w:r w:rsidRPr="00C00DCA">
        <w:rPr>
          <w:rFonts w:ascii="Palatino Linotype" w:eastAsia="Palatino Linotype" w:hAnsi="Palatino Linotype" w:cs="Palatino Linotype"/>
        </w:rPr>
        <w:t xml:space="preserve">, en términos de lo dispuesto en el artículo 16 de la Constitución Política de los Estados Unidos Mexicanos, el cual, exige que todo acto de autoridad debe de estar debidamente fundado y motivado, en el que se exprese el precepto legal aplicable al caso, además de señalarse las circunstancias, razones particulares o causas inmediatas que se hayan tenido en cuenta para la emisión del acto, según se </w:t>
      </w:r>
      <w:r w:rsidRPr="00C00DCA">
        <w:rPr>
          <w:rFonts w:ascii="Palatino Linotype" w:eastAsia="Palatino Linotype" w:hAnsi="Palatino Linotype" w:cs="Palatino Linotype"/>
        </w:rPr>
        <w:lastRenderedPageBreak/>
        <w:t>puede leer en la jurisprudencia del texto y rubro que inserta enseguida para mayor referencia:</w:t>
      </w:r>
    </w:p>
    <w:p w14:paraId="07E3756E" w14:textId="77777777" w:rsidR="002019D0" w:rsidRPr="00C00DCA" w:rsidRDefault="002019D0" w:rsidP="002019D0">
      <w:pPr>
        <w:ind w:left="851" w:right="851"/>
        <w:jc w:val="both"/>
        <w:rPr>
          <w:rFonts w:ascii="Palatino Linotype" w:eastAsia="Palatino Linotype" w:hAnsi="Palatino Linotype" w:cs="Palatino Linotype"/>
          <w:i/>
        </w:rPr>
      </w:pPr>
      <w:r w:rsidRPr="00C00DCA">
        <w:rPr>
          <w:rFonts w:ascii="Palatino Linotype" w:eastAsia="Palatino Linotype" w:hAnsi="Palatino Linotype" w:cs="Palatino Linotype"/>
          <w:b/>
          <w:i/>
        </w:rPr>
        <w:t>“FUNDAMENTACIÓN Y MOTIVACIÓN DE LOS ACTOS ADMINISTRATIVOS</w:t>
      </w:r>
      <w:r w:rsidRPr="00C00DCA">
        <w:rPr>
          <w:rFonts w:ascii="Palatino Linotype" w:eastAsia="Palatino Linotype" w:hAnsi="Palatino Linotype" w:cs="Palatino Linotype"/>
          <w:i/>
        </w:rPr>
        <w:t xml:space="preserve">. De acuerdo con  el artículo 16 constitucional, todo acto de autoridad debe estar suficientemente fundado y motivado, entendiéndose por lo primero que han de expresarse con precisión el precepto legal aplicable al caso y por lo segundo, que también deben señalarse con precisión, las circunstancias especiales, razones particulares o causas inmediatas que se hayan tenido en consideración para la emisión del acto, siendo necesario además, que exista adecuación entre los motivos aducidos y las normas aplicables, es decir, que en el caso concreto se configure la hipótesis normativa. Esto es, que cuando el precepto en comento previene que nadie puede ser molestado en su persona, propiedades o derechos sino en virtud de mandamiento escrito de autoridad competente que funde y motive la causa legal del procedimiento, está exigiendo a todas las autoridades que apeguen sus actos a la ley, expresando de que ley se trata y los preceptos de ella que sirvan de apoyo al mandamiento relativo. En materia administrativa, específicamente, para poder considerar un acto autoritario como correctamente fundado, es necesario que en él se citen: a).- Los cuerpos legales y preceptos que se estén aplicando al caso concreto, es decir, los supuestos normativos en que se encuadra la conducta del gobernado para que esté obligado al pago, que serán señalados con toda exactitud, precisándose los incisos, </w:t>
      </w:r>
      <w:proofErr w:type="spellStart"/>
      <w:r w:rsidRPr="00C00DCA">
        <w:rPr>
          <w:rFonts w:ascii="Palatino Linotype" w:eastAsia="Palatino Linotype" w:hAnsi="Palatino Linotype" w:cs="Palatino Linotype"/>
          <w:i/>
        </w:rPr>
        <w:t>subincisos</w:t>
      </w:r>
      <w:proofErr w:type="spellEnd"/>
      <w:r w:rsidRPr="00C00DCA">
        <w:rPr>
          <w:rFonts w:ascii="Palatino Linotype" w:eastAsia="Palatino Linotype" w:hAnsi="Palatino Linotype" w:cs="Palatino Linotype"/>
          <w:i/>
        </w:rPr>
        <w:t>, fracciones y preceptos aplicable, y b).- Los cuerpos legales y preceptos que otorgan competencia o facultades a las autoridades para emitir el acto en agravio del gobernado.”</w:t>
      </w:r>
    </w:p>
    <w:p w14:paraId="6768DEF4" w14:textId="77777777" w:rsidR="002019D0" w:rsidRPr="00C00DCA" w:rsidRDefault="002019D0" w:rsidP="002019D0">
      <w:pPr>
        <w:ind w:left="851" w:right="851"/>
        <w:jc w:val="both"/>
        <w:rPr>
          <w:rFonts w:ascii="Palatino Linotype" w:eastAsia="Palatino Linotype" w:hAnsi="Palatino Linotype" w:cs="Palatino Linotype"/>
          <w:i/>
        </w:rPr>
      </w:pPr>
    </w:p>
    <w:p w14:paraId="3C1CB8E7" w14:textId="77777777" w:rsidR="002019D0"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En añadidura, el artículo 158 de la Ley de Transparencia y Acceso a la Información Pública del Estado de México y Municipios, establecen lo que es de la literalidad siguiente:</w:t>
      </w:r>
    </w:p>
    <w:p w14:paraId="34EE5BBF" w14:textId="77777777" w:rsidR="002019D0" w:rsidRPr="00C00DCA" w:rsidRDefault="002019D0" w:rsidP="002019D0">
      <w:pPr>
        <w:ind w:left="851" w:right="900"/>
        <w:jc w:val="both"/>
        <w:rPr>
          <w:rFonts w:ascii="Palatino Linotype" w:eastAsia="Palatino Linotype" w:hAnsi="Palatino Linotype" w:cs="Palatino Linotype"/>
          <w:i/>
        </w:rPr>
      </w:pPr>
      <w:r w:rsidRPr="00C00DCA">
        <w:rPr>
          <w:rFonts w:ascii="Palatino Linotype" w:eastAsia="Palatino Linotype" w:hAnsi="Palatino Linotype" w:cs="Palatino Linotype"/>
          <w:b/>
          <w:i/>
        </w:rPr>
        <w:t xml:space="preserve"> “Artículo 158. </w:t>
      </w:r>
      <w:r w:rsidRPr="00C00DCA">
        <w:rPr>
          <w:rFonts w:ascii="Palatino Linotype" w:eastAsia="Palatino Linotype" w:hAnsi="Palatino Linotype" w:cs="Palatino Linotype"/>
          <w:i/>
        </w:rPr>
        <w:t xml:space="preserve">De manera excepcional, cuando de forma fundada y motivada así lo determine el sujeto obligado, en aquellos casos en que la información solicitada que ya se encuentre en su posesión implique análisis, estudio o procesamiento de </w:t>
      </w:r>
      <w:r w:rsidRPr="00C00DCA">
        <w:rPr>
          <w:rFonts w:ascii="Palatino Linotype" w:eastAsia="Palatino Linotype" w:hAnsi="Palatino Linotype" w:cs="Palatino Linotype"/>
          <w:b/>
          <w:i/>
        </w:rPr>
        <w:t xml:space="preserve">documentos cuya entrega o reproducción sobrepase las capacidades técnicas administrativas y </w:t>
      </w:r>
      <w:r w:rsidRPr="00C00DCA">
        <w:rPr>
          <w:rFonts w:ascii="Palatino Linotype" w:eastAsia="Palatino Linotype" w:hAnsi="Palatino Linotype" w:cs="Palatino Linotype"/>
          <w:b/>
          <w:i/>
        </w:rPr>
        <w:lastRenderedPageBreak/>
        <w:t>humana</w:t>
      </w:r>
      <w:r w:rsidRPr="00C00DCA">
        <w:rPr>
          <w:rFonts w:ascii="Palatino Linotype" w:eastAsia="Palatino Linotype" w:hAnsi="Palatino Linotype" w:cs="Palatino Linotype"/>
          <w:i/>
        </w:rPr>
        <w:t>s del sujeto obligado para cumplir con la solicitud, en los plazos establecidos para dichos efectos, se podrá poner a disposición del solicitante los documentos en consulta directa, salvo la información clasificada.</w:t>
      </w:r>
    </w:p>
    <w:p w14:paraId="37428275" w14:textId="77777777" w:rsidR="002019D0" w:rsidRPr="00C00DCA" w:rsidRDefault="002019D0" w:rsidP="002019D0">
      <w:pPr>
        <w:spacing w:before="120"/>
        <w:ind w:left="851" w:right="902"/>
        <w:jc w:val="both"/>
        <w:rPr>
          <w:rFonts w:ascii="Palatino Linotype" w:eastAsia="Palatino Linotype" w:hAnsi="Palatino Linotype" w:cs="Palatino Linotype"/>
          <w:b/>
          <w:i/>
        </w:rPr>
      </w:pPr>
      <w:r w:rsidRPr="00C00DCA">
        <w:rPr>
          <w:rFonts w:ascii="Palatino Linotype" w:eastAsia="Palatino Linotype" w:hAnsi="Palatino Linotype" w:cs="Palatino Linotype"/>
          <w:i/>
        </w:rPr>
        <w:t>En todo caso, se facilitará su copia simple o certificada, así como su reproducción por cualquier medio disponible en las instalaciones del sujeto obligado o que, en su caso, aporte el solicitante.</w:t>
      </w:r>
      <w:r w:rsidRPr="00C00DCA">
        <w:rPr>
          <w:rFonts w:ascii="Palatino Linotype" w:eastAsia="Palatino Linotype" w:hAnsi="Palatino Linotype" w:cs="Palatino Linotype"/>
          <w:b/>
          <w:i/>
        </w:rPr>
        <w:t>”</w:t>
      </w:r>
    </w:p>
    <w:p w14:paraId="7614DB88" w14:textId="77777777" w:rsidR="002019D0" w:rsidRPr="00C00DCA" w:rsidRDefault="002019D0" w:rsidP="002019D0">
      <w:pPr>
        <w:spacing w:before="120"/>
        <w:ind w:left="851" w:right="902"/>
        <w:jc w:val="both"/>
        <w:rPr>
          <w:rFonts w:ascii="Palatino Linotype" w:eastAsia="Palatino Linotype" w:hAnsi="Palatino Linotype" w:cs="Palatino Linotype"/>
          <w:b/>
          <w:i/>
        </w:rPr>
      </w:pPr>
    </w:p>
    <w:p w14:paraId="0D9394B4" w14:textId="77777777" w:rsidR="002019D0"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En ese entendido, según lo dispuesto en los artículos 160 y 164 de la Ley en cita, los Sujetos Obligados deben otorgar acceso a los documentos que se encuentren en sus archivos o que estén obligados a documentar de acuerdo con sus facultades, competencias o funciones en el formato que el solicitante manifieste, debiendo dar el acceso a la información en la modalidad de entrega solicitada, empero en caso de ofrecer otra u otras modalidades de entrega deberá fundar y motivar su respuesta, a saber:</w:t>
      </w:r>
    </w:p>
    <w:p w14:paraId="71BC7AD4" w14:textId="77777777" w:rsidR="002019D0" w:rsidRPr="00C00DCA" w:rsidRDefault="002019D0" w:rsidP="002019D0">
      <w:pPr>
        <w:spacing w:after="120"/>
        <w:ind w:left="851" w:right="851"/>
        <w:jc w:val="both"/>
        <w:rPr>
          <w:rFonts w:ascii="Palatino Linotype" w:eastAsia="Palatino Linotype" w:hAnsi="Palatino Linotype" w:cs="Palatino Linotype"/>
          <w:i/>
        </w:rPr>
      </w:pPr>
      <w:r w:rsidRPr="00C00DCA">
        <w:rPr>
          <w:rFonts w:ascii="Palatino Linotype" w:eastAsia="Palatino Linotype" w:hAnsi="Palatino Linotype" w:cs="Palatino Linotype"/>
          <w:b/>
          <w:i/>
        </w:rPr>
        <w:t xml:space="preserve"> “Artículo 160.</w:t>
      </w:r>
      <w:r w:rsidRPr="00C00DCA">
        <w:rPr>
          <w:rFonts w:ascii="Palatino Linotype" w:eastAsia="Palatino Linotype" w:hAnsi="Palatino Linotype" w:cs="Palatino Linotype"/>
          <w:i/>
        </w:rPr>
        <w:t xml:space="preserve"> Los sujetos obligados deberán otorgar acceso a los documentos que se encuentren en sus archivos o que estén obligados a documentar de acuerdo con sus facultades, competencias o funciones en el formato que el solicitante manifieste, de entre aquellos formatos existentes, conforme a las características físicas de la información o del lugar donde se encuentre así lo permita.</w:t>
      </w:r>
    </w:p>
    <w:p w14:paraId="66C1151E" w14:textId="4ED50DB9" w:rsidR="002019D0" w:rsidRPr="00C00DCA" w:rsidRDefault="002019D0" w:rsidP="002019D0">
      <w:pPr>
        <w:spacing w:after="120"/>
        <w:ind w:left="851" w:right="851"/>
        <w:jc w:val="both"/>
        <w:rPr>
          <w:rFonts w:ascii="Palatino Linotype" w:eastAsia="Palatino Linotype" w:hAnsi="Palatino Linotype" w:cs="Palatino Linotype"/>
          <w:i/>
        </w:rPr>
      </w:pPr>
      <w:r w:rsidRPr="00C00DCA">
        <w:rPr>
          <w:rFonts w:ascii="Palatino Linotype" w:eastAsia="Palatino Linotype" w:hAnsi="Palatino Linotype" w:cs="Palatino Linotype"/>
          <w:b/>
          <w:i/>
        </w:rPr>
        <w:t>Artículo 164.</w:t>
      </w:r>
      <w:r w:rsidRPr="00C00DCA">
        <w:rPr>
          <w:rFonts w:ascii="Palatino Linotype" w:eastAsia="Palatino Linotype" w:hAnsi="Palatino Linotype" w:cs="Palatino Linotype"/>
          <w:i/>
        </w:rPr>
        <w:t xml:space="preserve"> El acceso se dará en la modalidad de entrega y, en su caso, de envío elegidos por el solicitante. Cuando la información no pueda entregarse o enviarse en la modalidad solicitada, el sujeto obligado deberá ofrecer otra u otras modalidades de entrega. En cualquier caso, se deberá fundar y motivar la necesidad de ofrecer otras modalidades.” </w:t>
      </w:r>
    </w:p>
    <w:p w14:paraId="5E7C532A" w14:textId="77777777" w:rsidR="002019D0" w:rsidRPr="00C00DCA" w:rsidRDefault="002019D0" w:rsidP="002019D0">
      <w:pPr>
        <w:spacing w:after="120"/>
        <w:ind w:left="851" w:right="851"/>
        <w:jc w:val="both"/>
        <w:rPr>
          <w:rFonts w:ascii="Palatino Linotype" w:eastAsia="Palatino Linotype" w:hAnsi="Palatino Linotype" w:cs="Palatino Linotype"/>
          <w:i/>
        </w:rPr>
      </w:pPr>
    </w:p>
    <w:p w14:paraId="185414B7" w14:textId="77777777" w:rsidR="002019D0"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 xml:space="preserve">Por lo cual, los Sujetos Obligados podrán poner a disposición de los particulares, los documentos solicitados, en todo caso, por cualquier medio disponible en sus instalaciones, cuando de forma fundada y motivada se determine </w:t>
      </w:r>
      <w:r w:rsidRPr="00C00DCA">
        <w:rPr>
          <w:rFonts w:ascii="Palatino Linotype" w:eastAsia="Palatino Linotype" w:hAnsi="Palatino Linotype" w:cs="Palatino Linotype"/>
        </w:rPr>
        <w:lastRenderedPageBreak/>
        <w:t>que implica un análisis, estudio o procesamiento, cuya entrega o reproducción sobrepase las capacidades técnicas administrativas y humanas.</w:t>
      </w:r>
    </w:p>
    <w:p w14:paraId="628F4DBE" w14:textId="77777777" w:rsidR="002019D0" w:rsidRPr="00C00DCA" w:rsidRDefault="002019D0" w:rsidP="002019D0">
      <w:pPr>
        <w:spacing w:line="360" w:lineRule="auto"/>
        <w:contextualSpacing/>
        <w:jc w:val="both"/>
        <w:rPr>
          <w:rFonts w:ascii="Palatino Linotype" w:eastAsia="Palatino Linotype" w:hAnsi="Palatino Linotype" w:cs="Palatino Linotype"/>
        </w:rPr>
      </w:pPr>
    </w:p>
    <w:p w14:paraId="6CAB6AC6" w14:textId="77777777" w:rsidR="002019D0"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 xml:space="preserve">Así, cuando se justifique el impedimento, </w:t>
      </w:r>
      <w:r w:rsidRPr="00C00DCA">
        <w:rPr>
          <w:rFonts w:ascii="Palatino Linotype" w:eastAsia="Palatino Linotype" w:hAnsi="Palatino Linotype" w:cs="Palatino Linotype"/>
          <w:b/>
        </w:rPr>
        <w:t>los Sujetos Obligados deberán ofrecer al particular otras modalidades de entrega que permita la información</w:t>
      </w:r>
      <w:r w:rsidRPr="00C00DCA">
        <w:rPr>
          <w:rFonts w:ascii="Palatino Linotype" w:eastAsia="Palatino Linotype" w:hAnsi="Palatino Linotype" w:cs="Palatino Linotype"/>
        </w:rPr>
        <w:t>, como consulta directa en las oficinas de la Unidad de Transparencia, lo que se robustece con el criterio 08/17, emitido por el Pleno del Instituto Nacional de Transparencia, Acceso a la Información y Protección de Datos Personales, el cual establece lo siguiente:</w:t>
      </w:r>
    </w:p>
    <w:p w14:paraId="072C13E9" w14:textId="77777777" w:rsidR="002019D0" w:rsidRPr="00C00DCA" w:rsidRDefault="002019D0" w:rsidP="002019D0">
      <w:pPr>
        <w:spacing w:before="120" w:after="120"/>
        <w:ind w:left="851" w:right="900"/>
        <w:jc w:val="both"/>
        <w:rPr>
          <w:rFonts w:ascii="Palatino Linotype" w:eastAsia="Palatino Linotype" w:hAnsi="Palatino Linotype" w:cs="Palatino Linotype"/>
          <w:i/>
        </w:rPr>
      </w:pPr>
      <w:r w:rsidRPr="00C00DCA">
        <w:rPr>
          <w:rFonts w:ascii="Palatino Linotype" w:eastAsia="Palatino Linotype" w:hAnsi="Palatino Linotype" w:cs="Palatino Linotype"/>
          <w:b/>
          <w:i/>
        </w:rPr>
        <w:t>“Modalidad de entrega. Procedencia de proporcionar la información solicitada en una diversa a la elegida por el solicitante.</w:t>
      </w:r>
      <w:r w:rsidRPr="00C00DCA">
        <w:rPr>
          <w:rFonts w:ascii="Palatino Linotype" w:eastAsia="Palatino Linotype" w:hAnsi="Palatino Linotype" w:cs="Palatino Linotype"/>
          <w:i/>
        </w:rPr>
        <w:t xml:space="preserve"> De una interpretación a los artículos 133 de la Ley General de Transparencia y Acceso a la Información Pública y 136 de la Ley Federal de Transparencia y Acceso a la Información Pública, cuando no sea posible atender la modalidad elegida, la obligación de acceso a la información se tendrá por cumplida cuando el sujeto obligado: a) justifique el impedimento para atender la misma y b) se notifique al particular la disposición de la información en todas las modalidades que permita el documento de que se trate, procurando reducir, en todo momento, los costos de entrega.”</w:t>
      </w:r>
    </w:p>
    <w:p w14:paraId="22AF8418" w14:textId="77777777" w:rsidR="002019D0" w:rsidRPr="00C00DCA" w:rsidRDefault="002019D0" w:rsidP="002019D0">
      <w:pPr>
        <w:spacing w:before="120" w:after="120"/>
        <w:ind w:left="851" w:right="900"/>
        <w:jc w:val="both"/>
        <w:rPr>
          <w:rFonts w:ascii="Palatino Linotype" w:eastAsia="Palatino Linotype" w:hAnsi="Palatino Linotype" w:cs="Palatino Linotype"/>
          <w:i/>
        </w:rPr>
      </w:pPr>
    </w:p>
    <w:p w14:paraId="41048D5D" w14:textId="77777777" w:rsidR="002019D0"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b/>
        </w:rPr>
      </w:pPr>
      <w:r w:rsidRPr="00C00DCA">
        <w:rPr>
          <w:rFonts w:ascii="Palatino Linotype" w:eastAsia="Palatino Linotype" w:hAnsi="Palatino Linotype" w:cs="Palatino Linotype"/>
        </w:rPr>
        <w:t xml:space="preserve">Del citado criterio, se desprende que cuando no sea posible atender la modalidad elegida por los solicitantes, la obligación de acceso a la información se tendrá por cumplida cuando el Sujeto Obligado justifique el impedimento para atender la misma y se notifique al particular la puesta a disposición de la </w:t>
      </w:r>
      <w:r w:rsidRPr="00C00DCA">
        <w:rPr>
          <w:rFonts w:ascii="Palatino Linotype" w:eastAsia="Palatino Linotype" w:hAnsi="Palatino Linotype" w:cs="Palatino Linotype"/>
          <w:b/>
        </w:rPr>
        <w:t>información en todas las modalidades que lo permitan, procurando reducir los costos de entrega.</w:t>
      </w:r>
    </w:p>
    <w:p w14:paraId="66AFF9B5" w14:textId="77777777" w:rsidR="002019D0"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lastRenderedPageBreak/>
        <w:t>Aunado a lo anterior, Calero, Natalia (2016), en la “Ley General de Transparencia y Acceso a la Información Pública Comentada” (pág. 401), cuando los Sujetos Obligados ofrezcan como modalidad de entrega de la información, consulta directa, estos deberán fundar y motivar las razones por las cuales no es posible otorgar el acceso a los documentos de otra forma; además que se deberá explicar de manera detallada lo siguiente:</w:t>
      </w:r>
    </w:p>
    <w:p w14:paraId="080B7531" w14:textId="77777777" w:rsidR="002019D0" w:rsidRPr="00C00DCA" w:rsidRDefault="002019D0" w:rsidP="002019D0">
      <w:pPr>
        <w:numPr>
          <w:ilvl w:val="0"/>
          <w:numId w:val="43"/>
        </w:numPr>
        <w:spacing w:before="240" w:after="240" w:line="360" w:lineRule="auto"/>
        <w:jc w:val="both"/>
        <w:rPr>
          <w:rFonts w:ascii="Palatino Linotype" w:eastAsia="Palatino Linotype" w:hAnsi="Palatino Linotype" w:cs="Palatino Linotype"/>
        </w:rPr>
      </w:pPr>
      <w:r w:rsidRPr="00C00DCA">
        <w:rPr>
          <w:rFonts w:ascii="Palatino Linotype" w:eastAsia="Palatino Linotype" w:hAnsi="Palatino Linotype" w:cs="Palatino Linotype"/>
        </w:rPr>
        <w:t>Las razones por las cuales la información implicaba un análisis, estudio o procesamiento de datos;</w:t>
      </w:r>
    </w:p>
    <w:p w14:paraId="0C75AFDA" w14:textId="77777777" w:rsidR="002019D0" w:rsidRPr="00C00DCA" w:rsidRDefault="002019D0" w:rsidP="00A020F0">
      <w:pPr>
        <w:numPr>
          <w:ilvl w:val="0"/>
          <w:numId w:val="43"/>
        </w:numPr>
        <w:spacing w:before="240" w:after="240" w:line="360" w:lineRule="auto"/>
        <w:jc w:val="both"/>
        <w:rPr>
          <w:rFonts w:ascii="Palatino Linotype" w:eastAsia="Palatino Linotype" w:hAnsi="Palatino Linotype" w:cs="Palatino Linotype"/>
        </w:rPr>
      </w:pPr>
      <w:r w:rsidRPr="00C00DCA">
        <w:rPr>
          <w:rFonts w:ascii="Palatino Linotype" w:eastAsia="Palatino Linotype" w:hAnsi="Palatino Linotype" w:cs="Palatino Linotype"/>
        </w:rPr>
        <w:t>Por qué motivo el tiempo, que se le otorga al Sujeto Obligado para dar respuesta, en la modalidad elegida a la solicitud de información, no le es suficiente, y</w:t>
      </w:r>
    </w:p>
    <w:p w14:paraId="7B110098" w14:textId="19E7F75E" w:rsidR="002019D0" w:rsidRPr="00C00DCA" w:rsidRDefault="002019D0" w:rsidP="00A020F0">
      <w:pPr>
        <w:numPr>
          <w:ilvl w:val="0"/>
          <w:numId w:val="43"/>
        </w:numPr>
        <w:spacing w:before="240" w:after="240" w:line="360" w:lineRule="auto"/>
        <w:jc w:val="both"/>
        <w:rPr>
          <w:rFonts w:ascii="Palatino Linotype" w:eastAsia="Palatino Linotype" w:hAnsi="Palatino Linotype" w:cs="Palatino Linotype"/>
        </w:rPr>
      </w:pPr>
      <w:r w:rsidRPr="00C00DCA">
        <w:rPr>
          <w:rFonts w:ascii="Palatino Linotype" w:eastAsia="Palatino Linotype" w:hAnsi="Palatino Linotype" w:cs="Palatino Linotype"/>
        </w:rPr>
        <w:t>La cantidad de recursos humanos y materiales con los que cuenta el Sujeto Obligado son insuficientes.</w:t>
      </w:r>
    </w:p>
    <w:p w14:paraId="65CB32CB" w14:textId="2F9458DE" w:rsidR="002E6437" w:rsidRPr="00C00DCA" w:rsidRDefault="002019D0" w:rsidP="002019D0">
      <w:pPr>
        <w:numPr>
          <w:ilvl w:val="0"/>
          <w:numId w:val="1"/>
        </w:numPr>
        <w:spacing w:line="360" w:lineRule="auto"/>
        <w:ind w:left="0" w:firstLine="0"/>
        <w:contextualSpacing/>
        <w:jc w:val="both"/>
        <w:rPr>
          <w:rFonts w:ascii="Palatino Linotype" w:eastAsia="Palatino Linotype" w:hAnsi="Palatino Linotype" w:cs="Palatino Linotype"/>
          <w:color w:val="000000" w:themeColor="text1"/>
        </w:rPr>
      </w:pPr>
      <w:r w:rsidRPr="00C00DCA">
        <w:rPr>
          <w:rFonts w:ascii="Palatino Linotype" w:eastAsia="Palatino Linotype" w:hAnsi="Palatino Linotype" w:cs="Palatino Linotype"/>
        </w:rPr>
        <w:t xml:space="preserve">En ese contexto, es de señalar que el </w:t>
      </w:r>
      <w:r w:rsidRPr="00C00DCA">
        <w:rPr>
          <w:rFonts w:ascii="Palatino Linotype" w:eastAsia="Palatino Linotype" w:hAnsi="Palatino Linotype" w:cs="Palatino Linotype"/>
          <w:b/>
        </w:rPr>
        <w:t>SUJETO OBLIGADO</w:t>
      </w:r>
      <w:r w:rsidRPr="00C00DCA">
        <w:rPr>
          <w:rFonts w:ascii="Palatino Linotype" w:eastAsia="Palatino Linotype" w:hAnsi="Palatino Linotype" w:cs="Palatino Linotype"/>
        </w:rPr>
        <w:t xml:space="preserve"> no acredita el cambio de modalidad; toda vez que de manera inicial informa que es un volumen de aproximadamente 500 fojas y posteriormente informa de un adicional de 1000, lo que genera falta de certeza, si el volumen de información es de 500 o 1000; o bien la suma de ambas cifras. Pero con independencia de ello, se desestima el pretendido cambio de modalidad, toda vez </w:t>
      </w:r>
      <w:r w:rsidR="007F0C12" w:rsidRPr="00C00DCA">
        <w:rPr>
          <w:rFonts w:ascii="Palatino Linotype" w:eastAsia="Palatino Linotype" w:hAnsi="Palatino Linotype" w:cs="Palatino Linotype"/>
        </w:rPr>
        <w:t>que</w:t>
      </w:r>
      <w:r w:rsidRPr="00C00DCA">
        <w:rPr>
          <w:rFonts w:ascii="Palatino Linotype" w:eastAsia="Palatino Linotype" w:hAnsi="Palatino Linotype" w:cs="Palatino Linotype"/>
        </w:rPr>
        <w:t xml:space="preserve"> el SAIMEX tiene el soporte tecnológico para que se puedan adjuntar archivos con un peso </w:t>
      </w:r>
      <w:r w:rsidR="00205D9F" w:rsidRPr="00C00DCA">
        <w:rPr>
          <w:rFonts w:ascii="Palatino Linotype" w:eastAsia="Palatino Linotype" w:hAnsi="Palatino Linotype" w:cs="Palatino Linotype"/>
        </w:rPr>
        <w:t>aproximado</w:t>
      </w:r>
      <w:r w:rsidRPr="00C00DCA">
        <w:rPr>
          <w:rFonts w:ascii="Palatino Linotype" w:eastAsia="Palatino Linotype" w:hAnsi="Palatino Linotype" w:cs="Palatino Linotype"/>
        </w:rPr>
        <w:t xml:space="preserve"> de hasta 500Mb o un equivalente de hasta </w:t>
      </w:r>
      <w:r w:rsidR="007F0C12" w:rsidRPr="00C00DCA">
        <w:rPr>
          <w:rFonts w:ascii="Palatino Linotype" w:eastAsia="Palatino Linotype" w:hAnsi="Palatino Linotype" w:cs="Palatino Linotype"/>
        </w:rPr>
        <w:t>8,000 hojas, garantizando que los</w:t>
      </w:r>
      <w:r w:rsidRPr="00C00DCA">
        <w:rPr>
          <w:rFonts w:ascii="Palatino Linotype" w:eastAsia="Palatino Linotype" w:hAnsi="Palatino Linotype" w:cs="Palatino Linotype"/>
        </w:rPr>
        <w:t xml:space="preserve"> </w:t>
      </w:r>
      <w:r w:rsidR="007F0C12" w:rsidRPr="00C00DCA">
        <w:rPr>
          <w:rFonts w:ascii="Palatino Linotype" w:eastAsia="Palatino Linotype" w:hAnsi="Palatino Linotype" w:cs="Palatino Linotype"/>
        </w:rPr>
        <w:t>usuarios</w:t>
      </w:r>
      <w:r w:rsidRPr="00C00DCA">
        <w:rPr>
          <w:rFonts w:ascii="Palatino Linotype" w:eastAsia="Palatino Linotype" w:hAnsi="Palatino Linotype" w:cs="Palatino Linotype"/>
        </w:rPr>
        <w:t xml:space="preserve"> no tenga problemas en la descarga de la información usando conexiones a internet convencionales bajo </w:t>
      </w:r>
      <w:r w:rsidRPr="00C00DCA">
        <w:rPr>
          <w:rFonts w:ascii="Palatino Linotype" w:eastAsia="Palatino Linotype" w:hAnsi="Palatino Linotype" w:cs="Palatino Linotype"/>
        </w:rPr>
        <w:lastRenderedPageBreak/>
        <w:t>parámetros de escaneo en resolución máxima de 150Dpi's, escala de grises y formato "PDF" extraído directamente del escáner.</w:t>
      </w:r>
    </w:p>
    <w:p w14:paraId="66C18429" w14:textId="77777777" w:rsidR="002019D0" w:rsidRPr="00C00DCA" w:rsidRDefault="002019D0" w:rsidP="002019D0">
      <w:pPr>
        <w:rPr>
          <w:rFonts w:ascii="Palatino Linotype" w:eastAsia="Palatino Linotype" w:hAnsi="Palatino Linotype" w:cs="Palatino Linotype"/>
          <w:color w:val="000000" w:themeColor="text1"/>
        </w:rPr>
      </w:pPr>
    </w:p>
    <w:p w14:paraId="3F6891D4" w14:textId="4288273C" w:rsidR="002E6437" w:rsidRPr="00C00DCA" w:rsidRDefault="007F0C12" w:rsidP="007F0C12">
      <w:pPr>
        <w:numPr>
          <w:ilvl w:val="0"/>
          <w:numId w:val="1"/>
        </w:numPr>
        <w:spacing w:line="360" w:lineRule="auto"/>
        <w:ind w:left="0" w:firstLine="0"/>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rPr>
        <w:t>A más de lo anterior, se desestima, toda vez que tratándose de información pública de oficio, es improcedente el cambio de modalidad, en virtud que la información pública de oficio es aquella que los sujetos obligados están legalmente comprometidos a divulgar de manera proactiva, sin necesidad de que los ciudadanos la soliciten. Su propósito es garantizar la transparencia en la gestión pública y facilitar el acceso a información relevante para la sociedad, de la que se encuentra al caso concreto, la siguiente información:</w:t>
      </w:r>
    </w:p>
    <w:p w14:paraId="0A345E74" w14:textId="77777777" w:rsidR="007F0C12" w:rsidRPr="00C00DCA" w:rsidRDefault="007F0C12" w:rsidP="007F0C12">
      <w:pPr>
        <w:pStyle w:val="Prrafodelista"/>
        <w:rPr>
          <w:rFonts w:ascii="Palatino Linotype" w:eastAsia="Palatino Linotype" w:hAnsi="Palatino Linotype" w:cs="Palatino Linotype"/>
        </w:rPr>
      </w:pPr>
    </w:p>
    <w:p w14:paraId="4BEB81BE" w14:textId="76719F52" w:rsidR="007F0C12" w:rsidRPr="00C00DCA" w:rsidRDefault="007F0C12" w:rsidP="007F0C12">
      <w:pPr>
        <w:spacing w:line="360" w:lineRule="auto"/>
        <w:ind w:left="426" w:right="474"/>
        <w:contextualSpacing/>
        <w:jc w:val="both"/>
        <w:rPr>
          <w:rFonts w:ascii="Palatino Linotype" w:eastAsia="Palatino Linotype" w:hAnsi="Palatino Linotype" w:cs="Palatino Linotype"/>
          <w:i/>
        </w:rPr>
      </w:pPr>
      <w:r w:rsidRPr="00C00DCA">
        <w:rPr>
          <w:rFonts w:ascii="Palatino Linotype" w:eastAsia="Palatino Linotype" w:hAnsi="Palatino Linotype" w:cs="Palatino Linotype"/>
          <w:i/>
        </w:rPr>
        <w:t xml:space="preserve">“Artículo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 </w:t>
      </w:r>
    </w:p>
    <w:p w14:paraId="24DD2F6A" w14:textId="77777777" w:rsidR="007F0C12" w:rsidRPr="00C00DCA" w:rsidRDefault="007F0C12" w:rsidP="007F0C12">
      <w:pPr>
        <w:spacing w:line="360" w:lineRule="auto"/>
        <w:ind w:left="426" w:right="474"/>
        <w:contextualSpacing/>
        <w:jc w:val="both"/>
        <w:rPr>
          <w:rFonts w:ascii="Palatino Linotype" w:eastAsia="Palatino Linotype" w:hAnsi="Palatino Linotype" w:cs="Palatino Linotype"/>
          <w:i/>
        </w:rPr>
      </w:pPr>
    </w:p>
    <w:p w14:paraId="5470C3BB" w14:textId="77777777" w:rsidR="007F0C12" w:rsidRPr="00C00DCA" w:rsidRDefault="007F0C12" w:rsidP="007F0C12">
      <w:pPr>
        <w:spacing w:line="360" w:lineRule="auto"/>
        <w:ind w:left="426" w:right="474"/>
        <w:contextualSpacing/>
        <w:jc w:val="both"/>
        <w:rPr>
          <w:rFonts w:ascii="Palatino Linotype" w:eastAsia="Palatino Linotype" w:hAnsi="Palatino Linotype" w:cs="Palatino Linotype"/>
          <w:i/>
        </w:rPr>
      </w:pPr>
      <w:r w:rsidRPr="00C00DCA">
        <w:rPr>
          <w:rFonts w:ascii="Palatino Linotype" w:eastAsia="Palatino Linotype" w:hAnsi="Palatino Linotype" w:cs="Palatino Linotype"/>
          <w:i/>
        </w:rPr>
        <w:t>XXIX. La información sobre los procesos y resultados sobre procedimientos de adjudicación directa, invitación restringida y licitación de cualquier naturaleza, incluyendo la versión pública del expediente respectivo y de los contratos celebrados, que deberán contener, por los menos, lo siguiente:</w:t>
      </w:r>
    </w:p>
    <w:p w14:paraId="0511CF0E" w14:textId="77777777" w:rsidR="007F0C12" w:rsidRPr="00C00DCA" w:rsidRDefault="007F0C12" w:rsidP="007F0C12">
      <w:pPr>
        <w:spacing w:line="360" w:lineRule="auto"/>
        <w:ind w:left="426" w:right="474"/>
        <w:contextualSpacing/>
        <w:jc w:val="both"/>
        <w:rPr>
          <w:rFonts w:ascii="Palatino Linotype" w:eastAsia="Palatino Linotype" w:hAnsi="Palatino Linotype" w:cs="Palatino Linotype"/>
          <w:i/>
        </w:rPr>
      </w:pPr>
      <w:r w:rsidRPr="00C00DCA">
        <w:rPr>
          <w:rFonts w:ascii="Palatino Linotype" w:eastAsia="Palatino Linotype" w:hAnsi="Palatino Linotype" w:cs="Palatino Linotype"/>
          <w:i/>
        </w:rPr>
        <w:t>….</w:t>
      </w:r>
    </w:p>
    <w:p w14:paraId="7C55FF69" w14:textId="1E05D4C9" w:rsidR="007F0C12" w:rsidRPr="00C00DCA" w:rsidRDefault="007F0C12" w:rsidP="007F0C12">
      <w:pPr>
        <w:spacing w:line="360" w:lineRule="auto"/>
        <w:ind w:left="426" w:right="474"/>
        <w:contextualSpacing/>
        <w:jc w:val="both"/>
        <w:rPr>
          <w:rFonts w:ascii="Palatino Linotype" w:eastAsia="Palatino Linotype" w:hAnsi="Palatino Linotype" w:cs="Palatino Linotype"/>
          <w:i/>
        </w:rPr>
      </w:pPr>
      <w:r w:rsidRPr="00C00DCA">
        <w:rPr>
          <w:rFonts w:ascii="Palatino Linotype" w:eastAsia="Palatino Linotype" w:hAnsi="Palatino Linotype" w:cs="Palatino Linotype"/>
          <w:i/>
        </w:rPr>
        <w:t>XXXVI. Padrón de proveedores y contratistas;”</w:t>
      </w:r>
    </w:p>
    <w:p w14:paraId="16182CA2" w14:textId="77777777" w:rsidR="007F0C12" w:rsidRPr="00C00DCA" w:rsidRDefault="007F0C12" w:rsidP="007F0C12">
      <w:pPr>
        <w:spacing w:line="360" w:lineRule="auto"/>
        <w:contextualSpacing/>
        <w:jc w:val="both"/>
        <w:rPr>
          <w:rFonts w:ascii="Palatino Linotype" w:eastAsia="Palatino Linotype" w:hAnsi="Palatino Linotype" w:cs="Palatino Linotype"/>
        </w:rPr>
      </w:pPr>
    </w:p>
    <w:p w14:paraId="025B1D3E" w14:textId="64CE8BD1" w:rsidR="009A19FA" w:rsidRPr="00C00DCA" w:rsidRDefault="007F0C12" w:rsidP="004971A4">
      <w:pPr>
        <w:numPr>
          <w:ilvl w:val="0"/>
          <w:numId w:val="1"/>
        </w:numPr>
        <w:spacing w:line="360" w:lineRule="auto"/>
        <w:ind w:left="0" w:firstLine="0"/>
        <w:contextualSpacing/>
        <w:jc w:val="both"/>
        <w:rPr>
          <w:rFonts w:ascii="Palatino Linotype" w:hAnsi="Palatino Linotype"/>
          <w:lang w:val="es-MX"/>
        </w:rPr>
      </w:pPr>
      <w:r w:rsidRPr="00C00DCA">
        <w:rPr>
          <w:rFonts w:ascii="Palatino Linotype" w:eastAsia="Palatino Linotype" w:hAnsi="Palatino Linotype" w:cs="Palatino Linotype"/>
        </w:rPr>
        <w:lastRenderedPageBreak/>
        <w:t xml:space="preserve">Por otro </w:t>
      </w:r>
      <w:proofErr w:type="gramStart"/>
      <w:r w:rsidRPr="00C00DCA">
        <w:rPr>
          <w:rFonts w:ascii="Palatino Linotype" w:eastAsia="Palatino Linotype" w:hAnsi="Palatino Linotype" w:cs="Palatino Linotype"/>
        </w:rPr>
        <w:t>lado</w:t>
      </w:r>
      <w:proofErr w:type="gramEnd"/>
      <w:r w:rsidRPr="00C00DCA">
        <w:rPr>
          <w:rFonts w:ascii="Palatino Linotype" w:eastAsia="Palatino Linotype" w:hAnsi="Palatino Linotype" w:cs="Palatino Linotype"/>
        </w:rPr>
        <w:t xml:space="preserve"> no sobra mencionar que si bien asume la información solicitada, no es óbice para señalar </w:t>
      </w:r>
      <w:r w:rsidR="004971A4" w:rsidRPr="00C00DCA">
        <w:rPr>
          <w:rFonts w:ascii="Palatino Linotype" w:eastAsia="Palatino Linotype" w:hAnsi="Palatino Linotype" w:cs="Palatino Linotype"/>
        </w:rPr>
        <w:t>lo siguiente</w:t>
      </w:r>
      <w:r w:rsidRPr="00C00DCA">
        <w:rPr>
          <w:rFonts w:ascii="Palatino Linotype" w:eastAsia="Palatino Linotype" w:hAnsi="Palatino Linotype" w:cs="Palatino Linotype"/>
        </w:rPr>
        <w:t xml:space="preserve"> respecto de las actas </w:t>
      </w:r>
      <w:r w:rsidR="009A19FA" w:rsidRPr="00C00DCA">
        <w:rPr>
          <w:rFonts w:ascii="Palatino Linotype" w:eastAsia="Palatino Linotype" w:hAnsi="Palatino Linotype" w:cs="Palatino Linotype"/>
        </w:rPr>
        <w:t xml:space="preserve">del comité de adquisiciones; el cual de acuerdo a la estructura del </w:t>
      </w:r>
      <w:r w:rsidR="00E30243" w:rsidRPr="00C00DCA">
        <w:rPr>
          <w:rFonts w:ascii="Palatino Linotype" w:eastAsia="Palatino Linotype" w:hAnsi="Palatino Linotype" w:cs="Palatino Linotype"/>
        </w:rPr>
        <w:t xml:space="preserve">vigente </w:t>
      </w:r>
      <w:r w:rsidR="009A19FA" w:rsidRPr="00C00DCA">
        <w:rPr>
          <w:rFonts w:ascii="Palatino Linotype" w:eastAsia="Palatino Linotype" w:hAnsi="Palatino Linotype" w:cs="Palatino Linotype"/>
        </w:rPr>
        <w:t>Bando Munic</w:t>
      </w:r>
      <w:r w:rsidR="00E30243" w:rsidRPr="00C00DCA">
        <w:rPr>
          <w:rFonts w:ascii="Palatino Linotype" w:eastAsia="Palatino Linotype" w:hAnsi="Palatino Linotype" w:cs="Palatino Linotype"/>
        </w:rPr>
        <w:t>ipal, detenta la siguiente denominación:</w:t>
      </w:r>
    </w:p>
    <w:p w14:paraId="77185804" w14:textId="77777777" w:rsidR="009A19FA" w:rsidRPr="00C00DCA" w:rsidRDefault="009A19FA" w:rsidP="009A19FA">
      <w:pPr>
        <w:spacing w:line="360" w:lineRule="auto"/>
        <w:contextualSpacing/>
        <w:jc w:val="both"/>
        <w:rPr>
          <w:rFonts w:ascii="Palatino Linotype" w:hAnsi="Palatino Linotype"/>
          <w:lang w:val="es-MX"/>
        </w:rPr>
      </w:pPr>
    </w:p>
    <w:p w14:paraId="6CAAAC0D" w14:textId="4AFBC9CE" w:rsidR="00E30243" w:rsidRPr="00C00DCA" w:rsidRDefault="00E30243" w:rsidP="00E30243">
      <w:pPr>
        <w:spacing w:line="360" w:lineRule="auto"/>
        <w:ind w:left="284" w:right="474"/>
        <w:contextualSpacing/>
        <w:jc w:val="both"/>
        <w:rPr>
          <w:rFonts w:ascii="Palatino Linotype" w:hAnsi="Palatino Linotype"/>
          <w:i/>
          <w:lang w:val="es-MX"/>
        </w:rPr>
      </w:pPr>
      <w:r w:rsidRPr="00C00DCA">
        <w:rPr>
          <w:rFonts w:ascii="Palatino Linotype" w:hAnsi="Palatino Linotype"/>
          <w:i/>
          <w:lang w:val="es-MX"/>
        </w:rPr>
        <w:t>“Artículo 73.- Los Órganos Auxiliares del Ayuntamiento de manera enunciativa sin limitación, son, de entre otros:</w:t>
      </w:r>
    </w:p>
    <w:p w14:paraId="6A97615C" w14:textId="77777777" w:rsidR="00E30243" w:rsidRPr="00C00DCA" w:rsidRDefault="00E30243" w:rsidP="00E30243">
      <w:pPr>
        <w:spacing w:line="360" w:lineRule="auto"/>
        <w:ind w:left="284" w:right="474"/>
        <w:contextualSpacing/>
        <w:jc w:val="both"/>
        <w:rPr>
          <w:rFonts w:ascii="Palatino Linotype" w:hAnsi="Palatino Linotype"/>
          <w:i/>
          <w:lang w:val="es-MX"/>
        </w:rPr>
      </w:pPr>
      <w:r w:rsidRPr="00C00DCA">
        <w:rPr>
          <w:rFonts w:ascii="Palatino Linotype" w:hAnsi="Palatino Linotype"/>
          <w:i/>
          <w:lang w:val="es-MX"/>
        </w:rPr>
        <w:t>..</w:t>
      </w:r>
    </w:p>
    <w:p w14:paraId="4C7F0354" w14:textId="77777777" w:rsidR="00E30243" w:rsidRPr="00C00DCA" w:rsidRDefault="00E30243" w:rsidP="00E30243">
      <w:pPr>
        <w:spacing w:line="360" w:lineRule="auto"/>
        <w:ind w:left="284" w:right="474"/>
        <w:contextualSpacing/>
        <w:jc w:val="both"/>
        <w:rPr>
          <w:rFonts w:ascii="Palatino Linotype" w:hAnsi="Palatino Linotype"/>
          <w:i/>
          <w:lang w:val="es-MX"/>
        </w:rPr>
      </w:pPr>
      <w:r w:rsidRPr="00C00DCA">
        <w:rPr>
          <w:rFonts w:ascii="Palatino Linotype" w:hAnsi="Palatino Linotype"/>
          <w:i/>
          <w:lang w:val="es-MX"/>
        </w:rPr>
        <w:t xml:space="preserve">VI. </w:t>
      </w:r>
      <w:r w:rsidRPr="00C00DCA">
        <w:rPr>
          <w:rFonts w:ascii="Palatino Linotype" w:hAnsi="Palatino Linotype"/>
          <w:b/>
          <w:i/>
          <w:lang w:val="es-MX"/>
        </w:rPr>
        <w:t>Comité de Adquisiciones, Enajenaciones, Arrendamientos y Servicios</w:t>
      </w:r>
      <w:r w:rsidRPr="00C00DCA">
        <w:rPr>
          <w:rFonts w:ascii="Palatino Linotype" w:hAnsi="Palatino Linotype"/>
          <w:i/>
          <w:lang w:val="es-MX"/>
        </w:rPr>
        <w:t>;</w:t>
      </w:r>
    </w:p>
    <w:p w14:paraId="63F129E0" w14:textId="300E1317" w:rsidR="00E30243" w:rsidRPr="00C00DCA" w:rsidRDefault="00E30243" w:rsidP="00E30243">
      <w:pPr>
        <w:spacing w:line="360" w:lineRule="auto"/>
        <w:ind w:left="284" w:right="474"/>
        <w:contextualSpacing/>
        <w:jc w:val="both"/>
        <w:rPr>
          <w:rFonts w:ascii="Palatino Linotype" w:hAnsi="Palatino Linotype"/>
          <w:i/>
          <w:lang w:val="es-MX"/>
        </w:rPr>
      </w:pPr>
      <w:r w:rsidRPr="00C00DCA">
        <w:rPr>
          <w:rFonts w:ascii="Palatino Linotype" w:hAnsi="Palatino Linotype"/>
          <w:i/>
          <w:lang w:val="es-MX"/>
        </w:rPr>
        <w:t>...”</w:t>
      </w:r>
    </w:p>
    <w:p w14:paraId="62D6C284" w14:textId="77777777" w:rsidR="00E30243" w:rsidRPr="00C00DCA" w:rsidRDefault="00E30243" w:rsidP="009A19FA">
      <w:pPr>
        <w:spacing w:line="360" w:lineRule="auto"/>
        <w:contextualSpacing/>
        <w:jc w:val="both"/>
        <w:rPr>
          <w:rFonts w:ascii="Palatino Linotype" w:hAnsi="Palatino Linotype"/>
          <w:lang w:val="es-MX"/>
        </w:rPr>
      </w:pPr>
    </w:p>
    <w:p w14:paraId="07E55485" w14:textId="4CEA6331" w:rsidR="004971A4" w:rsidRPr="00C00DCA" w:rsidRDefault="00E30243" w:rsidP="004971A4">
      <w:pPr>
        <w:numPr>
          <w:ilvl w:val="0"/>
          <w:numId w:val="1"/>
        </w:numPr>
        <w:spacing w:line="360" w:lineRule="auto"/>
        <w:ind w:left="0" w:firstLine="0"/>
        <w:contextualSpacing/>
        <w:jc w:val="both"/>
        <w:rPr>
          <w:rFonts w:ascii="Palatino Linotype" w:hAnsi="Palatino Linotype"/>
          <w:lang w:val="es-MX"/>
        </w:rPr>
      </w:pPr>
      <w:r w:rsidRPr="00C00DCA">
        <w:rPr>
          <w:rFonts w:ascii="Palatino Linotype" w:hAnsi="Palatino Linotype"/>
          <w:lang w:val="es-MX"/>
        </w:rPr>
        <w:t>A</w:t>
      </w:r>
      <w:r w:rsidR="004971A4" w:rsidRPr="00C00DCA">
        <w:rPr>
          <w:rFonts w:ascii="Palatino Linotype" w:hAnsi="Palatino Linotype"/>
          <w:lang w:val="es-MX"/>
        </w:rPr>
        <w:t xml:space="preserve"> efecto de delimitar esferas competenciales; es necesario traer a colación los artículos 22, 23, 24 y 25 de la Ley de Contratación Pública del Estado de México y Municipios, mismos que establecen que todo Ayuntamiento contará con un Comité de Adquisiciones y servicios, así como las funciones de dicho Comité, acotando su intervención en la participación en los procedimientos adquisitivos, normatividad que establece a la literalidad siguiente:</w:t>
      </w:r>
    </w:p>
    <w:p w14:paraId="03E8317C" w14:textId="77777777" w:rsidR="004971A4" w:rsidRPr="00C00DCA" w:rsidRDefault="004971A4" w:rsidP="004971A4">
      <w:pPr>
        <w:pStyle w:val="Citas"/>
        <w:jc w:val="center"/>
        <w:rPr>
          <w:b/>
          <w:sz w:val="24"/>
          <w:szCs w:val="24"/>
        </w:rPr>
      </w:pPr>
      <w:r w:rsidRPr="00C00DCA">
        <w:rPr>
          <w:b/>
          <w:sz w:val="24"/>
          <w:szCs w:val="24"/>
        </w:rPr>
        <w:t>CAPÍTULO QUINTO</w:t>
      </w:r>
    </w:p>
    <w:p w14:paraId="7DBF1A3D" w14:textId="77777777" w:rsidR="004971A4" w:rsidRPr="00C00DCA" w:rsidRDefault="004971A4" w:rsidP="004971A4">
      <w:pPr>
        <w:pStyle w:val="Citas"/>
        <w:jc w:val="center"/>
        <w:rPr>
          <w:b/>
          <w:sz w:val="24"/>
          <w:szCs w:val="24"/>
        </w:rPr>
      </w:pPr>
      <w:r w:rsidRPr="00C00DCA">
        <w:rPr>
          <w:b/>
          <w:sz w:val="24"/>
          <w:szCs w:val="24"/>
        </w:rPr>
        <w:t>DE LA INTEGRACIÓN Y FUNCIONES DE LOS COMITÉS</w:t>
      </w:r>
    </w:p>
    <w:p w14:paraId="275E9F35" w14:textId="77777777" w:rsidR="004971A4" w:rsidRPr="00C00DCA" w:rsidRDefault="004971A4" w:rsidP="004971A4">
      <w:pPr>
        <w:pStyle w:val="Citas"/>
        <w:rPr>
          <w:sz w:val="24"/>
          <w:szCs w:val="24"/>
        </w:rPr>
      </w:pPr>
      <w:r w:rsidRPr="00C00DCA">
        <w:rPr>
          <w:b/>
          <w:sz w:val="24"/>
          <w:szCs w:val="24"/>
        </w:rPr>
        <w:t>Artículo 22.-</w:t>
      </w:r>
      <w:r w:rsidRPr="00C00DCA">
        <w:rPr>
          <w:sz w:val="24"/>
          <w:szCs w:val="24"/>
        </w:rPr>
        <w:t xml:space="preserve"> </w:t>
      </w:r>
      <w:r w:rsidRPr="00C00DCA">
        <w:rPr>
          <w:b/>
          <w:sz w:val="24"/>
          <w:szCs w:val="24"/>
          <w:u w:val="single"/>
        </w:rPr>
        <w:t xml:space="preserve">Los comités son órganos colegiados con facultades de opinión, que tienen por objeto auxiliar a </w:t>
      </w:r>
      <w:r w:rsidRPr="00C00DCA">
        <w:rPr>
          <w:sz w:val="24"/>
          <w:szCs w:val="24"/>
        </w:rPr>
        <w:t xml:space="preserve">la Secretaría, entidades, tribunales administrativos y </w:t>
      </w:r>
      <w:r w:rsidRPr="00C00DCA">
        <w:rPr>
          <w:b/>
          <w:sz w:val="24"/>
          <w:szCs w:val="24"/>
          <w:u w:val="single"/>
        </w:rPr>
        <w:t>ayuntamientos</w:t>
      </w:r>
      <w:r w:rsidRPr="00C00DCA">
        <w:rPr>
          <w:sz w:val="24"/>
          <w:szCs w:val="24"/>
        </w:rPr>
        <w:t xml:space="preserve">, en la substanciación de los </w:t>
      </w:r>
      <w:r w:rsidRPr="00C00DCA">
        <w:rPr>
          <w:sz w:val="24"/>
          <w:szCs w:val="24"/>
        </w:rPr>
        <w:lastRenderedPageBreak/>
        <w:t xml:space="preserve">procedimientos de adquisiciones y de servicios, de conformidad con el Reglamento y los manuales de operación. </w:t>
      </w:r>
    </w:p>
    <w:p w14:paraId="740E7045" w14:textId="77777777" w:rsidR="004971A4" w:rsidRPr="00C00DCA" w:rsidRDefault="004971A4" w:rsidP="004971A4">
      <w:pPr>
        <w:pStyle w:val="Citas"/>
        <w:rPr>
          <w:b/>
          <w:sz w:val="24"/>
          <w:szCs w:val="24"/>
          <w:u w:val="single"/>
        </w:rPr>
      </w:pPr>
      <w:r w:rsidRPr="00C00DCA">
        <w:rPr>
          <w:sz w:val="24"/>
          <w:szCs w:val="24"/>
        </w:rPr>
        <w:t xml:space="preserve">En la Secretaría, en cada entidad, tribunal administrativo y </w:t>
      </w:r>
      <w:r w:rsidRPr="00C00DCA">
        <w:rPr>
          <w:b/>
          <w:sz w:val="24"/>
          <w:szCs w:val="24"/>
          <w:u w:val="single"/>
        </w:rPr>
        <w:t xml:space="preserve">ayuntamiento se constituirá un comité de adquisiciones y servicios. </w:t>
      </w:r>
    </w:p>
    <w:p w14:paraId="68F5F3DC" w14:textId="77777777" w:rsidR="004971A4" w:rsidRPr="00C00DCA" w:rsidRDefault="004971A4" w:rsidP="004971A4">
      <w:pPr>
        <w:pStyle w:val="Citas"/>
        <w:rPr>
          <w:b/>
          <w:sz w:val="24"/>
          <w:szCs w:val="24"/>
          <w:u w:val="single"/>
        </w:rPr>
      </w:pPr>
      <w:r w:rsidRPr="00C00DCA">
        <w:rPr>
          <w:sz w:val="24"/>
          <w:szCs w:val="24"/>
        </w:rPr>
        <w:t xml:space="preserve">La Secretaría, las entidades, los tribunales administrativos y los </w:t>
      </w:r>
      <w:r w:rsidRPr="00C00DCA">
        <w:rPr>
          <w:b/>
          <w:sz w:val="24"/>
          <w:szCs w:val="24"/>
          <w:u w:val="single"/>
        </w:rPr>
        <w:t xml:space="preserve">ayuntamientos se auxiliarán de un comité de arrendamientos, adquisiciones de inmuebles y enajenaciones. </w:t>
      </w:r>
    </w:p>
    <w:p w14:paraId="3E99353C" w14:textId="77777777" w:rsidR="004971A4" w:rsidRPr="00C00DCA" w:rsidRDefault="004971A4" w:rsidP="004971A4">
      <w:pPr>
        <w:pStyle w:val="Citas"/>
        <w:rPr>
          <w:b/>
          <w:sz w:val="24"/>
          <w:szCs w:val="24"/>
          <w:u w:val="single"/>
        </w:rPr>
      </w:pPr>
      <w:r w:rsidRPr="00C00DCA">
        <w:rPr>
          <w:b/>
          <w:sz w:val="24"/>
          <w:szCs w:val="24"/>
        </w:rPr>
        <w:t>Artículo 23.-</w:t>
      </w:r>
      <w:r w:rsidRPr="00C00DCA">
        <w:rPr>
          <w:sz w:val="24"/>
          <w:szCs w:val="24"/>
        </w:rPr>
        <w:t xml:space="preserve"> </w:t>
      </w:r>
      <w:r w:rsidRPr="00C00DCA">
        <w:rPr>
          <w:b/>
          <w:sz w:val="24"/>
          <w:szCs w:val="24"/>
          <w:u w:val="single"/>
        </w:rPr>
        <w:t xml:space="preserve">Los comités de adquisiciones y de servicios tendrán las funciones siguientes: </w:t>
      </w:r>
    </w:p>
    <w:p w14:paraId="169C115F" w14:textId="77777777" w:rsidR="004971A4" w:rsidRPr="00C00DCA" w:rsidRDefault="004971A4" w:rsidP="004971A4">
      <w:pPr>
        <w:pStyle w:val="Citas"/>
        <w:numPr>
          <w:ilvl w:val="0"/>
          <w:numId w:val="44"/>
        </w:numPr>
        <w:rPr>
          <w:sz w:val="24"/>
          <w:szCs w:val="24"/>
        </w:rPr>
      </w:pPr>
      <w:r w:rsidRPr="00C00DCA">
        <w:rPr>
          <w:sz w:val="24"/>
          <w:szCs w:val="24"/>
        </w:rPr>
        <w:t xml:space="preserve">Dictaminar sobre la procedencia de los casos de excepción al procedimiento de licitación pública. </w:t>
      </w:r>
    </w:p>
    <w:p w14:paraId="7C53236E" w14:textId="77777777" w:rsidR="004971A4" w:rsidRPr="00C00DCA" w:rsidRDefault="004971A4" w:rsidP="004971A4">
      <w:pPr>
        <w:pStyle w:val="Citas"/>
        <w:numPr>
          <w:ilvl w:val="0"/>
          <w:numId w:val="44"/>
        </w:numPr>
        <w:rPr>
          <w:sz w:val="24"/>
          <w:szCs w:val="24"/>
        </w:rPr>
      </w:pPr>
      <w:r w:rsidRPr="00C00DCA">
        <w:rPr>
          <w:sz w:val="24"/>
          <w:szCs w:val="24"/>
        </w:rPr>
        <w:t xml:space="preserve">Participar en los procedimientos de licitación, invitación restringida y adjudicación directa, hasta dejarlos en estado de dictar el fallo correspondiente, incluidos los que tengan que desahogarse bajo la modalidad de subasta inversa. </w:t>
      </w:r>
    </w:p>
    <w:p w14:paraId="1C831C76" w14:textId="77777777" w:rsidR="004971A4" w:rsidRPr="00C00DCA" w:rsidRDefault="004971A4" w:rsidP="004971A4">
      <w:pPr>
        <w:pStyle w:val="Citas"/>
        <w:numPr>
          <w:ilvl w:val="0"/>
          <w:numId w:val="44"/>
        </w:numPr>
        <w:rPr>
          <w:sz w:val="24"/>
          <w:szCs w:val="24"/>
        </w:rPr>
      </w:pPr>
      <w:r w:rsidRPr="00C00DCA">
        <w:rPr>
          <w:sz w:val="24"/>
          <w:szCs w:val="24"/>
        </w:rPr>
        <w:t xml:space="preserve">Emitir los dictámenes de adjudicación. </w:t>
      </w:r>
    </w:p>
    <w:p w14:paraId="6CE7AB1D" w14:textId="77777777" w:rsidR="004971A4" w:rsidRPr="00C00DCA" w:rsidRDefault="004971A4" w:rsidP="004971A4">
      <w:pPr>
        <w:pStyle w:val="Citas"/>
        <w:numPr>
          <w:ilvl w:val="0"/>
          <w:numId w:val="44"/>
        </w:numPr>
        <w:rPr>
          <w:sz w:val="24"/>
          <w:szCs w:val="24"/>
        </w:rPr>
      </w:pPr>
      <w:r w:rsidRPr="00C00DCA">
        <w:rPr>
          <w:sz w:val="24"/>
          <w:szCs w:val="24"/>
        </w:rPr>
        <w:t xml:space="preserve">Las demás que establezca el reglamento de esta Ley. </w:t>
      </w:r>
    </w:p>
    <w:p w14:paraId="0E9C65FC" w14:textId="77777777" w:rsidR="004971A4" w:rsidRPr="00C00DCA" w:rsidRDefault="004971A4" w:rsidP="004971A4">
      <w:pPr>
        <w:spacing w:line="360" w:lineRule="auto"/>
        <w:jc w:val="both"/>
        <w:rPr>
          <w:rFonts w:ascii="Palatino Linotype" w:hAnsi="Palatino Linotype"/>
          <w:lang w:val="es-MX"/>
        </w:rPr>
      </w:pPr>
    </w:p>
    <w:p w14:paraId="21011E22"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lang w:val="es-MX"/>
        </w:rPr>
      </w:pPr>
      <w:r w:rsidRPr="00C00DCA">
        <w:rPr>
          <w:rFonts w:ascii="Palatino Linotype" w:hAnsi="Palatino Linotype"/>
          <w:lang w:val="es-MX"/>
        </w:rPr>
        <w:t xml:space="preserve">Por otro lado, el Reglamento de la Ley de Ley de Contratación Pública del Estado de México y </w:t>
      </w:r>
      <w:r w:rsidRPr="00C00DCA">
        <w:rPr>
          <w:rFonts w:ascii="Palatino Linotype" w:eastAsia="Palatino Linotype" w:hAnsi="Palatino Linotype" w:cs="Palatino Linotype"/>
        </w:rPr>
        <w:t>Municipios</w:t>
      </w:r>
      <w:r w:rsidRPr="00C00DCA">
        <w:rPr>
          <w:rFonts w:ascii="Palatino Linotype" w:hAnsi="Palatino Linotype"/>
          <w:lang w:val="es-MX"/>
        </w:rPr>
        <w:t xml:space="preserve">, establece lo siguiente: </w:t>
      </w:r>
    </w:p>
    <w:p w14:paraId="42EDD0EC" w14:textId="77777777" w:rsidR="004971A4" w:rsidRPr="00C00DCA" w:rsidRDefault="004971A4" w:rsidP="004971A4">
      <w:pPr>
        <w:pStyle w:val="Citas"/>
        <w:jc w:val="center"/>
        <w:rPr>
          <w:b/>
          <w:sz w:val="24"/>
          <w:szCs w:val="24"/>
        </w:rPr>
      </w:pPr>
      <w:r w:rsidRPr="00C00DCA">
        <w:rPr>
          <w:b/>
          <w:sz w:val="24"/>
          <w:szCs w:val="24"/>
        </w:rPr>
        <w:lastRenderedPageBreak/>
        <w:t>CAPÍTULO PRIMERO</w:t>
      </w:r>
    </w:p>
    <w:p w14:paraId="3874CE05" w14:textId="77777777" w:rsidR="004971A4" w:rsidRPr="00C00DCA" w:rsidRDefault="004971A4" w:rsidP="004971A4">
      <w:pPr>
        <w:pStyle w:val="Citas"/>
        <w:jc w:val="center"/>
        <w:rPr>
          <w:b/>
          <w:sz w:val="24"/>
          <w:szCs w:val="24"/>
        </w:rPr>
      </w:pPr>
      <w:r w:rsidRPr="00C00DCA">
        <w:rPr>
          <w:b/>
          <w:sz w:val="24"/>
          <w:szCs w:val="24"/>
        </w:rPr>
        <w:t>DEL COMITÉ DE ADQUISICIONES Y SERVICIOS</w:t>
      </w:r>
    </w:p>
    <w:p w14:paraId="741058F3" w14:textId="77777777" w:rsidR="004971A4" w:rsidRPr="00C00DCA" w:rsidRDefault="004971A4" w:rsidP="004971A4">
      <w:pPr>
        <w:pStyle w:val="Citas"/>
        <w:rPr>
          <w:sz w:val="24"/>
          <w:szCs w:val="24"/>
        </w:rPr>
      </w:pPr>
      <w:r w:rsidRPr="00C00DCA">
        <w:rPr>
          <w:b/>
          <w:sz w:val="24"/>
          <w:szCs w:val="24"/>
        </w:rPr>
        <w:t>Artículo 43.-</w:t>
      </w:r>
      <w:r w:rsidRPr="00C00DCA">
        <w:rPr>
          <w:sz w:val="24"/>
          <w:szCs w:val="24"/>
        </w:rPr>
        <w:t xml:space="preserve"> La Secretaría, organismos auxiliares, tribunales administrativos y </w:t>
      </w:r>
      <w:r w:rsidRPr="00C00DCA">
        <w:rPr>
          <w:b/>
          <w:sz w:val="24"/>
          <w:szCs w:val="24"/>
          <w:u w:val="single"/>
        </w:rPr>
        <w:t>municipios, se auxiliarán de un Comité de Adquisiciones y Servicios, para la substanciación de los procedimientos de adquisición</w:t>
      </w:r>
      <w:r w:rsidRPr="00C00DCA">
        <w:rPr>
          <w:sz w:val="24"/>
          <w:szCs w:val="24"/>
        </w:rPr>
        <w:t xml:space="preserve"> regulados en la Ley. </w:t>
      </w:r>
    </w:p>
    <w:p w14:paraId="323158E4" w14:textId="77777777" w:rsidR="004971A4" w:rsidRPr="00C00DCA" w:rsidRDefault="004971A4" w:rsidP="004971A4">
      <w:pPr>
        <w:pStyle w:val="Citas"/>
        <w:rPr>
          <w:sz w:val="24"/>
          <w:szCs w:val="24"/>
        </w:rPr>
      </w:pPr>
      <w:r w:rsidRPr="00C00DCA">
        <w:rPr>
          <w:b/>
          <w:sz w:val="24"/>
          <w:szCs w:val="24"/>
        </w:rPr>
        <w:t>Artículo 44.-</w:t>
      </w:r>
      <w:r w:rsidRPr="00C00DCA">
        <w:rPr>
          <w:sz w:val="24"/>
          <w:szCs w:val="24"/>
        </w:rPr>
        <w:t xml:space="preserve"> El Comité de Adquisiciones y Servicios se integrará por: </w:t>
      </w:r>
    </w:p>
    <w:p w14:paraId="2A2BEAFC" w14:textId="77777777" w:rsidR="004971A4" w:rsidRPr="00C00DCA" w:rsidRDefault="004971A4" w:rsidP="004971A4">
      <w:pPr>
        <w:pStyle w:val="Citas"/>
        <w:numPr>
          <w:ilvl w:val="0"/>
          <w:numId w:val="45"/>
        </w:numPr>
        <w:rPr>
          <w:sz w:val="24"/>
          <w:szCs w:val="24"/>
        </w:rPr>
      </w:pPr>
      <w:r w:rsidRPr="00C00DCA">
        <w:rPr>
          <w:sz w:val="24"/>
          <w:szCs w:val="24"/>
        </w:rPr>
        <w:t xml:space="preserve">En la Secretaría, por el titular del área encargada de operar el sistema de adquisiciones de las dependencias del Poder Ejecutivo, y en los organismos auxiliares, tribunales administrativos y municipios, por el titular de la unidad administrativa, quien fungirá como presidente; </w:t>
      </w:r>
    </w:p>
    <w:p w14:paraId="71E29C50" w14:textId="77777777" w:rsidR="004971A4" w:rsidRPr="00C00DCA" w:rsidRDefault="004971A4" w:rsidP="004971A4">
      <w:pPr>
        <w:pStyle w:val="Citas"/>
        <w:numPr>
          <w:ilvl w:val="0"/>
          <w:numId w:val="45"/>
        </w:numPr>
        <w:rPr>
          <w:sz w:val="24"/>
          <w:szCs w:val="24"/>
        </w:rPr>
      </w:pPr>
      <w:r w:rsidRPr="00C00DCA">
        <w:rPr>
          <w:sz w:val="24"/>
          <w:szCs w:val="24"/>
        </w:rPr>
        <w:t xml:space="preserve">Un representante del área financiera de la Secretaría, entidad, tribunal administrativo o municipio, con función de vocal; </w:t>
      </w:r>
    </w:p>
    <w:p w14:paraId="1D938FF1" w14:textId="77777777" w:rsidR="004971A4" w:rsidRPr="00C00DCA" w:rsidRDefault="004971A4" w:rsidP="004971A4">
      <w:pPr>
        <w:pStyle w:val="Citas"/>
        <w:numPr>
          <w:ilvl w:val="0"/>
          <w:numId w:val="45"/>
        </w:numPr>
        <w:rPr>
          <w:sz w:val="24"/>
          <w:szCs w:val="24"/>
        </w:rPr>
      </w:pPr>
      <w:r w:rsidRPr="00C00DCA">
        <w:rPr>
          <w:sz w:val="24"/>
          <w:szCs w:val="24"/>
        </w:rPr>
        <w:t>Un representante de cada dependencia o unidad administrativa interesada en la adquisición de los bienes o contratación del servicio, con función de vocal;</w:t>
      </w:r>
    </w:p>
    <w:p w14:paraId="4105D32A" w14:textId="77777777" w:rsidR="004971A4" w:rsidRPr="00C00DCA" w:rsidRDefault="004971A4" w:rsidP="004971A4">
      <w:pPr>
        <w:pStyle w:val="Citas"/>
        <w:numPr>
          <w:ilvl w:val="0"/>
          <w:numId w:val="45"/>
        </w:numPr>
        <w:rPr>
          <w:sz w:val="24"/>
          <w:szCs w:val="24"/>
        </w:rPr>
      </w:pPr>
      <w:r w:rsidRPr="00C00DCA">
        <w:rPr>
          <w:sz w:val="24"/>
          <w:szCs w:val="24"/>
        </w:rPr>
        <w:t>Un representante de la Consejería Jurídica o del área jurídica respectiva o quien lleve a cabo las funciones de esta naturaleza, con función de vocal;</w:t>
      </w:r>
    </w:p>
    <w:p w14:paraId="1782B818" w14:textId="77777777" w:rsidR="004971A4" w:rsidRPr="00C00DCA" w:rsidRDefault="004971A4" w:rsidP="004971A4">
      <w:pPr>
        <w:pStyle w:val="Citas"/>
        <w:numPr>
          <w:ilvl w:val="0"/>
          <w:numId w:val="45"/>
        </w:numPr>
        <w:rPr>
          <w:sz w:val="24"/>
          <w:szCs w:val="24"/>
        </w:rPr>
      </w:pPr>
      <w:r w:rsidRPr="00C00DCA">
        <w:rPr>
          <w:sz w:val="24"/>
          <w:szCs w:val="24"/>
        </w:rPr>
        <w:lastRenderedPageBreak/>
        <w:t>Un representante del Órgano de Control, con función de vocal; y</w:t>
      </w:r>
    </w:p>
    <w:p w14:paraId="0CDD2F4A" w14:textId="77777777" w:rsidR="004971A4" w:rsidRPr="00C00DCA" w:rsidRDefault="004971A4" w:rsidP="004971A4">
      <w:pPr>
        <w:pStyle w:val="Citas"/>
        <w:numPr>
          <w:ilvl w:val="0"/>
          <w:numId w:val="45"/>
        </w:numPr>
        <w:rPr>
          <w:sz w:val="24"/>
          <w:szCs w:val="24"/>
        </w:rPr>
      </w:pPr>
      <w:r w:rsidRPr="00C00DCA">
        <w:rPr>
          <w:sz w:val="24"/>
          <w:szCs w:val="24"/>
        </w:rPr>
        <w:t xml:space="preserve">Un secretario ejecutivo, que será designado por el presidente. </w:t>
      </w:r>
    </w:p>
    <w:p w14:paraId="1C6BD0B3" w14:textId="77777777" w:rsidR="004971A4" w:rsidRPr="00C00DCA" w:rsidRDefault="004971A4" w:rsidP="004971A4">
      <w:pPr>
        <w:pStyle w:val="Citas"/>
        <w:rPr>
          <w:sz w:val="24"/>
          <w:szCs w:val="24"/>
        </w:rPr>
      </w:pPr>
      <w:r w:rsidRPr="00C00DCA">
        <w:rPr>
          <w:sz w:val="24"/>
          <w:szCs w:val="24"/>
        </w:rPr>
        <w:t xml:space="preserve">Los organismos auxiliares y tribunales administrativos que no cuenten con unidades administrativas con funciones de contraloría y jurídico, corresponderá a los titulares designar a los servidores públicos que por su perfil realicen las funciones de jurídico, y a la Contraloría, designar al servidor público que fungirá como su representante. </w:t>
      </w:r>
    </w:p>
    <w:p w14:paraId="6F3219F2" w14:textId="77777777" w:rsidR="004971A4" w:rsidRPr="00C00DCA" w:rsidRDefault="004971A4" w:rsidP="004971A4">
      <w:pPr>
        <w:pStyle w:val="Citas"/>
        <w:rPr>
          <w:sz w:val="24"/>
          <w:szCs w:val="24"/>
          <w:lang w:val="es-ES"/>
        </w:rPr>
      </w:pPr>
      <w:r w:rsidRPr="00C00DCA">
        <w:rPr>
          <w:sz w:val="24"/>
          <w:szCs w:val="24"/>
        </w:rPr>
        <w:t xml:space="preserve">Los integrantes del comité tendrán derecho a voz y voto a excepción de los indicados en las fracciones V y VI, quienes sólo participarán con voz, debiendo fundamentar y motivar el sentido de su opinión, a </w:t>
      </w:r>
      <w:r w:rsidRPr="00C00DCA">
        <w:rPr>
          <w:sz w:val="24"/>
          <w:szCs w:val="24"/>
          <w:lang w:val="es-ES"/>
        </w:rPr>
        <w:t xml:space="preserve">efecto de que sea incluida en el acta correspondiente. En caso de empate, el presidente tendrá voto de calidad. </w:t>
      </w:r>
    </w:p>
    <w:p w14:paraId="701A5E95" w14:textId="77777777" w:rsidR="004971A4" w:rsidRPr="00C00DCA" w:rsidRDefault="004971A4" w:rsidP="004971A4">
      <w:pPr>
        <w:pStyle w:val="Citas"/>
        <w:rPr>
          <w:sz w:val="24"/>
          <w:szCs w:val="24"/>
          <w:lang w:val="es-ES"/>
        </w:rPr>
      </w:pPr>
      <w:r w:rsidRPr="00C00DCA">
        <w:rPr>
          <w:sz w:val="24"/>
          <w:szCs w:val="24"/>
          <w:lang w:val="es-ES"/>
        </w:rPr>
        <w:t xml:space="preserve">A las sesiones del comité podrá invitarse a cualquier persona cuya intervención se considere necesaria por el secretario ejecutivo, para aclarar aspectos técnicos o administrativos relacionados con los asuntos sometidos al comité. </w:t>
      </w:r>
    </w:p>
    <w:p w14:paraId="3EAB7C21" w14:textId="77777777" w:rsidR="004971A4" w:rsidRPr="00C00DCA" w:rsidRDefault="004971A4" w:rsidP="004971A4">
      <w:pPr>
        <w:pStyle w:val="Citas"/>
        <w:rPr>
          <w:sz w:val="24"/>
          <w:szCs w:val="24"/>
          <w:lang w:val="es-ES"/>
        </w:rPr>
      </w:pPr>
      <w:r w:rsidRPr="00C00DCA">
        <w:rPr>
          <w:sz w:val="24"/>
          <w:szCs w:val="24"/>
          <w:lang w:val="es-ES"/>
        </w:rPr>
        <w:t>Los integrantes del comité designarán por escrito a sus respectivos suplentes, y sólo participarán en ausencia del titular. Los cargos de los integrantes del comité serán honoríficos.</w:t>
      </w:r>
    </w:p>
    <w:p w14:paraId="53C5DD85" w14:textId="77777777" w:rsidR="004971A4" w:rsidRPr="00C00DCA" w:rsidRDefault="004971A4" w:rsidP="004971A4">
      <w:pPr>
        <w:pStyle w:val="Citas"/>
        <w:rPr>
          <w:sz w:val="24"/>
          <w:szCs w:val="24"/>
          <w:lang w:val="es-ES"/>
        </w:rPr>
      </w:pPr>
      <w:r w:rsidRPr="00C00DCA">
        <w:rPr>
          <w:b/>
          <w:sz w:val="24"/>
          <w:szCs w:val="24"/>
          <w:lang w:val="es-ES"/>
        </w:rPr>
        <w:t>Artículo 45.-</w:t>
      </w:r>
      <w:r w:rsidRPr="00C00DCA">
        <w:rPr>
          <w:sz w:val="24"/>
          <w:szCs w:val="24"/>
          <w:lang w:val="es-ES"/>
        </w:rPr>
        <w:t xml:space="preserve"> Además de las señaladas en la Ley, el comité tendrá las funciones siguientes: </w:t>
      </w:r>
    </w:p>
    <w:p w14:paraId="68D027DB" w14:textId="77777777" w:rsidR="004971A4" w:rsidRPr="00C00DCA" w:rsidRDefault="004971A4" w:rsidP="004971A4">
      <w:pPr>
        <w:pStyle w:val="Citas"/>
        <w:numPr>
          <w:ilvl w:val="0"/>
          <w:numId w:val="46"/>
        </w:numPr>
        <w:rPr>
          <w:sz w:val="24"/>
          <w:szCs w:val="24"/>
          <w:lang w:val="es-ES"/>
        </w:rPr>
      </w:pPr>
      <w:r w:rsidRPr="00C00DCA">
        <w:rPr>
          <w:sz w:val="24"/>
          <w:szCs w:val="24"/>
          <w:lang w:val="es-ES"/>
        </w:rPr>
        <w:lastRenderedPageBreak/>
        <w:t>Expedir su manual de operación;</w:t>
      </w:r>
    </w:p>
    <w:p w14:paraId="1495F605" w14:textId="77777777" w:rsidR="004971A4" w:rsidRPr="00C00DCA" w:rsidRDefault="004971A4" w:rsidP="004971A4">
      <w:pPr>
        <w:pStyle w:val="Citas"/>
        <w:numPr>
          <w:ilvl w:val="0"/>
          <w:numId w:val="46"/>
        </w:numPr>
        <w:rPr>
          <w:sz w:val="24"/>
          <w:szCs w:val="24"/>
        </w:rPr>
      </w:pPr>
      <w:r w:rsidRPr="00C00DCA">
        <w:rPr>
          <w:sz w:val="24"/>
          <w:szCs w:val="24"/>
          <w:lang w:val="es-ES"/>
        </w:rPr>
        <w:t>Analizar y evaluar las propuestas técnicas y económicas presentadas dentro del procedimiento de adquisición;</w:t>
      </w:r>
    </w:p>
    <w:p w14:paraId="580BE226" w14:textId="77777777" w:rsidR="004971A4" w:rsidRPr="00C00DCA" w:rsidRDefault="004971A4" w:rsidP="004971A4">
      <w:pPr>
        <w:pStyle w:val="Citas"/>
        <w:numPr>
          <w:ilvl w:val="0"/>
          <w:numId w:val="46"/>
        </w:numPr>
        <w:rPr>
          <w:sz w:val="24"/>
          <w:szCs w:val="24"/>
        </w:rPr>
      </w:pPr>
      <w:r w:rsidRPr="00C00DCA">
        <w:rPr>
          <w:sz w:val="24"/>
          <w:szCs w:val="24"/>
          <w:lang w:val="es-ES"/>
        </w:rPr>
        <w:t xml:space="preserve">Solicitar asesoría técnica cuando así se requiera, a las cámaras de comercio, de industria, de servicios o de las confederaciones que las agrupan, colegios profesionales, instituciones de investigación o entidades similares; </w:t>
      </w:r>
    </w:p>
    <w:p w14:paraId="5AEFBED1" w14:textId="77777777" w:rsidR="004971A4" w:rsidRPr="00C00DCA" w:rsidRDefault="004971A4" w:rsidP="004971A4">
      <w:pPr>
        <w:pStyle w:val="Citas"/>
        <w:numPr>
          <w:ilvl w:val="0"/>
          <w:numId w:val="46"/>
        </w:numPr>
        <w:rPr>
          <w:sz w:val="24"/>
          <w:szCs w:val="24"/>
        </w:rPr>
      </w:pPr>
      <w:r w:rsidRPr="00C00DCA">
        <w:rPr>
          <w:sz w:val="24"/>
          <w:szCs w:val="24"/>
          <w:lang w:val="es-ES"/>
        </w:rPr>
        <w:t xml:space="preserve">Implementar acciones que considere necesarias para el mejoramiento del procedimiento de adquisición; </w:t>
      </w:r>
    </w:p>
    <w:p w14:paraId="3A785129" w14:textId="77777777" w:rsidR="004971A4" w:rsidRPr="00C00DCA" w:rsidRDefault="004971A4" w:rsidP="004971A4">
      <w:pPr>
        <w:pStyle w:val="Citas"/>
        <w:numPr>
          <w:ilvl w:val="0"/>
          <w:numId w:val="46"/>
        </w:numPr>
        <w:rPr>
          <w:sz w:val="24"/>
          <w:szCs w:val="24"/>
        </w:rPr>
      </w:pPr>
      <w:r w:rsidRPr="00C00DCA">
        <w:rPr>
          <w:sz w:val="24"/>
          <w:szCs w:val="24"/>
          <w:lang w:val="es-ES"/>
        </w:rPr>
        <w:t xml:space="preserve">Emitir el dictamen de adjudicación; </w:t>
      </w:r>
    </w:p>
    <w:p w14:paraId="34CE67B0" w14:textId="77777777" w:rsidR="004971A4" w:rsidRPr="00C00DCA" w:rsidRDefault="004971A4" w:rsidP="004971A4">
      <w:pPr>
        <w:pStyle w:val="Citas"/>
        <w:numPr>
          <w:ilvl w:val="0"/>
          <w:numId w:val="46"/>
        </w:numPr>
        <w:rPr>
          <w:sz w:val="24"/>
          <w:szCs w:val="24"/>
        </w:rPr>
      </w:pPr>
      <w:r w:rsidRPr="00C00DCA">
        <w:rPr>
          <w:sz w:val="24"/>
          <w:szCs w:val="24"/>
          <w:lang w:val="es-ES"/>
        </w:rPr>
        <w:t xml:space="preserve"> Crear subcomités y grupos de trabajo de orden administrativo y técnico que considere necesarios para el desarrollo de sus funciones; y </w:t>
      </w:r>
    </w:p>
    <w:p w14:paraId="6D6CA3F3" w14:textId="77777777" w:rsidR="004971A4" w:rsidRPr="00C00DCA" w:rsidRDefault="004971A4" w:rsidP="004971A4">
      <w:pPr>
        <w:pStyle w:val="Citas"/>
        <w:numPr>
          <w:ilvl w:val="0"/>
          <w:numId w:val="46"/>
        </w:numPr>
        <w:rPr>
          <w:sz w:val="24"/>
          <w:szCs w:val="24"/>
        </w:rPr>
      </w:pPr>
      <w:r w:rsidRPr="00C00DCA">
        <w:rPr>
          <w:sz w:val="24"/>
          <w:szCs w:val="24"/>
          <w:lang w:val="es-ES"/>
        </w:rPr>
        <w:t xml:space="preserve">Las demás que sean necesarias para el cumplimiento de sus funciones. </w:t>
      </w:r>
    </w:p>
    <w:p w14:paraId="7BDA9962" w14:textId="77777777" w:rsidR="004971A4" w:rsidRPr="00C00DCA" w:rsidRDefault="004971A4" w:rsidP="004971A4">
      <w:pPr>
        <w:pStyle w:val="Citas"/>
        <w:rPr>
          <w:sz w:val="24"/>
          <w:szCs w:val="24"/>
          <w:lang w:val="es-ES"/>
        </w:rPr>
      </w:pPr>
      <w:r w:rsidRPr="00C00DCA">
        <w:rPr>
          <w:b/>
          <w:sz w:val="24"/>
          <w:szCs w:val="24"/>
          <w:lang w:val="es-ES"/>
        </w:rPr>
        <w:t>Artículo 46.-</w:t>
      </w:r>
      <w:r w:rsidRPr="00C00DCA">
        <w:rPr>
          <w:sz w:val="24"/>
          <w:szCs w:val="24"/>
          <w:lang w:val="es-ES"/>
        </w:rPr>
        <w:t xml:space="preserve"> Los integrantes del comité tendrán las siguientes funciones: </w:t>
      </w:r>
    </w:p>
    <w:p w14:paraId="0C3B4B67" w14:textId="77777777" w:rsidR="004971A4" w:rsidRPr="00C00DCA" w:rsidRDefault="004971A4" w:rsidP="004971A4">
      <w:pPr>
        <w:pStyle w:val="Citas"/>
        <w:numPr>
          <w:ilvl w:val="0"/>
          <w:numId w:val="47"/>
        </w:numPr>
        <w:rPr>
          <w:sz w:val="24"/>
          <w:szCs w:val="24"/>
          <w:lang w:val="es-ES"/>
        </w:rPr>
      </w:pPr>
      <w:r w:rsidRPr="00C00DCA">
        <w:rPr>
          <w:sz w:val="24"/>
          <w:szCs w:val="24"/>
          <w:lang w:val="es-ES"/>
        </w:rPr>
        <w:t xml:space="preserve">Presidente: Representar legalmente al comité, autorizar la convocatoria y el orden del día de las sesiones; convocar a sus integrantes cuando sea necesario y emitir su voto, así como firmar las actas de los actos en los que haya participado; </w:t>
      </w:r>
    </w:p>
    <w:p w14:paraId="59C85933" w14:textId="77777777" w:rsidR="004971A4" w:rsidRPr="00C00DCA" w:rsidRDefault="004971A4" w:rsidP="004971A4">
      <w:pPr>
        <w:pStyle w:val="Citas"/>
        <w:numPr>
          <w:ilvl w:val="0"/>
          <w:numId w:val="47"/>
        </w:numPr>
        <w:rPr>
          <w:sz w:val="24"/>
          <w:szCs w:val="24"/>
        </w:rPr>
      </w:pPr>
      <w:r w:rsidRPr="00C00DCA">
        <w:rPr>
          <w:sz w:val="24"/>
          <w:szCs w:val="24"/>
          <w:lang w:val="es-ES"/>
        </w:rPr>
        <w:lastRenderedPageBreak/>
        <w:t xml:space="preserve">Secretario ejecutivo: Vigilar la elaboración y expedición de la convocatoria a sesión, orden del día y de los listados de los asuntos que se tratarán, integrando, de ser el caso, los soportes documentales necesarios, así como remitirlos a cada integrante del comité. Estará facultado para tomar las medidas necesarias para el cumplimiento de los acuerdos del comité, informando el seguimiento de los asuntos en trámite; levantar acta de cada una de las sesiones, asentando los acuerdos del comité, asegurándose que el archivo de documentos se integre y se mantenga actualizado, así como firmar las actas de los actos en los que haya participado; y </w:t>
      </w:r>
    </w:p>
    <w:p w14:paraId="7612EEDD" w14:textId="77777777" w:rsidR="004971A4" w:rsidRPr="00C00DCA" w:rsidRDefault="004971A4" w:rsidP="004971A4">
      <w:pPr>
        <w:pStyle w:val="Citas"/>
        <w:numPr>
          <w:ilvl w:val="0"/>
          <w:numId w:val="47"/>
        </w:numPr>
        <w:rPr>
          <w:sz w:val="24"/>
          <w:szCs w:val="24"/>
        </w:rPr>
      </w:pPr>
      <w:r w:rsidRPr="00C00DCA">
        <w:rPr>
          <w:sz w:val="24"/>
          <w:szCs w:val="24"/>
          <w:lang w:val="es-ES"/>
        </w:rPr>
        <w:t>Vocales: Remitir al secretario ejecutivo antes de la sesión, los documentos relativos a los asuntos que se deban someter a la consideración del comité; analizar el orden del día y los asuntos a tratar, emitir los comentarios fundados y motivados que estimen pertinentes, y emitir su voto quienes tengan derecho a ello, así como firmar las actas de los actos en los que haya participado.</w:t>
      </w:r>
    </w:p>
    <w:p w14:paraId="4F627F5B" w14:textId="77777777" w:rsidR="004971A4" w:rsidRPr="00C00DCA" w:rsidRDefault="004971A4" w:rsidP="004971A4">
      <w:pPr>
        <w:pStyle w:val="Citas"/>
        <w:rPr>
          <w:sz w:val="24"/>
          <w:szCs w:val="24"/>
          <w:lang w:val="es-ES"/>
        </w:rPr>
      </w:pPr>
      <w:r w:rsidRPr="00C00DCA">
        <w:rPr>
          <w:sz w:val="24"/>
          <w:szCs w:val="24"/>
          <w:lang w:val="es-ES"/>
        </w:rPr>
        <w:t>El comité, para el mejor desempeño de sus funciones, podrá asistirse de asesores, a fin de allegarse de la información necesaria sobre la materia de los asuntos que se traten al seno del mismo.</w:t>
      </w:r>
    </w:p>
    <w:p w14:paraId="10BCB5A1" w14:textId="77777777" w:rsidR="004971A4" w:rsidRPr="00C00DCA" w:rsidRDefault="004971A4" w:rsidP="004971A4">
      <w:pPr>
        <w:pStyle w:val="Citas"/>
        <w:rPr>
          <w:sz w:val="24"/>
          <w:szCs w:val="24"/>
          <w:lang w:val="es-ES"/>
        </w:rPr>
      </w:pPr>
      <w:r w:rsidRPr="00C00DCA">
        <w:rPr>
          <w:b/>
          <w:sz w:val="24"/>
          <w:szCs w:val="24"/>
          <w:lang w:val="es-ES"/>
        </w:rPr>
        <w:t>Artículo 47.-</w:t>
      </w:r>
      <w:r w:rsidRPr="00C00DCA">
        <w:rPr>
          <w:sz w:val="24"/>
          <w:szCs w:val="24"/>
          <w:lang w:val="es-ES"/>
        </w:rPr>
        <w:t xml:space="preserve"> </w:t>
      </w:r>
      <w:r w:rsidRPr="00C00DCA">
        <w:rPr>
          <w:b/>
          <w:sz w:val="24"/>
          <w:szCs w:val="24"/>
          <w:u w:val="single"/>
          <w:lang w:val="es-ES"/>
        </w:rPr>
        <w:t>El comité sesionará cuando sea convocado por el presidente</w:t>
      </w:r>
      <w:r w:rsidRPr="00C00DCA">
        <w:rPr>
          <w:sz w:val="24"/>
          <w:szCs w:val="24"/>
          <w:lang w:val="es-ES"/>
        </w:rPr>
        <w:t>, o cuando lo solicite alguno de sus integrantes.</w:t>
      </w:r>
    </w:p>
    <w:p w14:paraId="3290A6B9" w14:textId="77777777" w:rsidR="004971A4" w:rsidRPr="00C00DCA" w:rsidRDefault="004971A4" w:rsidP="004971A4">
      <w:pPr>
        <w:pStyle w:val="Citas"/>
        <w:rPr>
          <w:b/>
          <w:sz w:val="24"/>
          <w:szCs w:val="24"/>
          <w:u w:val="single"/>
        </w:rPr>
      </w:pPr>
      <w:r w:rsidRPr="00C00DCA">
        <w:rPr>
          <w:b/>
          <w:sz w:val="24"/>
          <w:szCs w:val="24"/>
          <w:u w:val="single"/>
        </w:rPr>
        <w:lastRenderedPageBreak/>
        <w:t xml:space="preserve">Artículo 48.- Las sesiones del comité se desarrollarán de la siguiente forma: </w:t>
      </w:r>
    </w:p>
    <w:p w14:paraId="7258DAC0" w14:textId="77777777" w:rsidR="004971A4" w:rsidRPr="00C00DCA" w:rsidRDefault="004971A4" w:rsidP="004971A4">
      <w:pPr>
        <w:pStyle w:val="Citas"/>
        <w:numPr>
          <w:ilvl w:val="0"/>
          <w:numId w:val="48"/>
        </w:numPr>
        <w:rPr>
          <w:sz w:val="24"/>
          <w:szCs w:val="24"/>
          <w:lang w:val="es-ES"/>
        </w:rPr>
      </w:pPr>
      <w:r w:rsidRPr="00C00DCA">
        <w:rPr>
          <w:b/>
          <w:sz w:val="24"/>
          <w:szCs w:val="24"/>
          <w:u w:val="single"/>
          <w:lang w:val="es-ES"/>
        </w:rPr>
        <w:t>Ordinarias, por lo menos cada quince días,</w:t>
      </w:r>
      <w:r w:rsidRPr="00C00DCA">
        <w:rPr>
          <w:sz w:val="24"/>
          <w:szCs w:val="24"/>
          <w:lang w:val="es-ES"/>
        </w:rPr>
        <w:t xml:space="preserve"> salvo que no existan asuntos por tratar; </w:t>
      </w:r>
    </w:p>
    <w:p w14:paraId="55CCE5E5" w14:textId="77777777" w:rsidR="004971A4" w:rsidRPr="00C00DCA" w:rsidRDefault="004971A4" w:rsidP="004971A4">
      <w:pPr>
        <w:pStyle w:val="Citas"/>
        <w:numPr>
          <w:ilvl w:val="0"/>
          <w:numId w:val="48"/>
        </w:numPr>
        <w:rPr>
          <w:b/>
          <w:sz w:val="24"/>
          <w:szCs w:val="24"/>
          <w:u w:val="single"/>
        </w:rPr>
      </w:pPr>
      <w:r w:rsidRPr="00C00DCA">
        <w:rPr>
          <w:b/>
          <w:sz w:val="24"/>
          <w:szCs w:val="24"/>
          <w:u w:val="single"/>
          <w:lang w:val="es-ES"/>
        </w:rPr>
        <w:t xml:space="preserve">Extraordinarias, cuando se requieran; </w:t>
      </w:r>
    </w:p>
    <w:p w14:paraId="309C5CA2" w14:textId="77777777" w:rsidR="004971A4" w:rsidRPr="00C00DCA" w:rsidRDefault="004971A4" w:rsidP="004971A4">
      <w:pPr>
        <w:pStyle w:val="Citas"/>
        <w:numPr>
          <w:ilvl w:val="0"/>
          <w:numId w:val="48"/>
        </w:numPr>
        <w:rPr>
          <w:sz w:val="24"/>
          <w:szCs w:val="24"/>
        </w:rPr>
      </w:pPr>
      <w:r w:rsidRPr="00C00DCA">
        <w:rPr>
          <w:sz w:val="24"/>
          <w:szCs w:val="24"/>
          <w:lang w:val="es-ES"/>
        </w:rPr>
        <w:t xml:space="preserve">Se celebrarán cuando asista la mayoría de los integrantes con derecho a voto. En ausencia del presidente o de su suplente, las sesiones no podrán llevarse a cabo; </w:t>
      </w:r>
    </w:p>
    <w:p w14:paraId="799A6F8A" w14:textId="77777777" w:rsidR="004971A4" w:rsidRPr="00C00DCA" w:rsidRDefault="004971A4" w:rsidP="004971A4">
      <w:pPr>
        <w:pStyle w:val="Citas"/>
        <w:numPr>
          <w:ilvl w:val="0"/>
          <w:numId w:val="48"/>
        </w:numPr>
        <w:rPr>
          <w:sz w:val="24"/>
          <w:szCs w:val="24"/>
        </w:rPr>
      </w:pPr>
      <w:r w:rsidRPr="00C00DCA">
        <w:rPr>
          <w:sz w:val="24"/>
          <w:szCs w:val="24"/>
          <w:lang w:val="es-ES"/>
        </w:rPr>
        <w:t xml:space="preserve">Se realizarán previa convocatoria y se desarrollarán conforme al orden del día enviado a los integrantes del comité. Sus acuerdos se tomarán por mayoría de votos o unanimidad. En caso de empate el presidente tendrá voto de calidad. Los documentos correspondientes de cada sesión, se entregarán previamente a los integrantes del comité conjuntamente con el orden del día, con una anticipación de al menos tres días para las ordinarias y un día para las extraordinarias; V. </w:t>
      </w:r>
    </w:p>
    <w:p w14:paraId="34B60648" w14:textId="77777777" w:rsidR="004971A4" w:rsidRPr="00C00DCA" w:rsidRDefault="004971A4" w:rsidP="004971A4">
      <w:pPr>
        <w:pStyle w:val="Citas"/>
        <w:numPr>
          <w:ilvl w:val="0"/>
          <w:numId w:val="48"/>
        </w:numPr>
        <w:rPr>
          <w:sz w:val="24"/>
          <w:szCs w:val="24"/>
        </w:rPr>
      </w:pPr>
      <w:r w:rsidRPr="00C00DCA">
        <w:rPr>
          <w:b/>
          <w:sz w:val="24"/>
          <w:szCs w:val="24"/>
          <w:u w:val="single"/>
          <w:lang w:val="es-ES"/>
        </w:rPr>
        <w:t>Al término de cada sesión se levantará acta que será firmada por los integrantes del comité que hubieran asistido a la sesión. En dicha acta se deberá señalar el sentido del acuerdo tomado por los integrantes y los comentarios fundados y motivados relevantes de cada caso.</w:t>
      </w:r>
      <w:r w:rsidRPr="00C00DCA">
        <w:rPr>
          <w:sz w:val="24"/>
          <w:szCs w:val="24"/>
          <w:lang w:val="es-ES"/>
        </w:rPr>
        <w:t xml:space="preserve"> Los asesores y los invitados firmarán el acta como constancia de su participación; </w:t>
      </w:r>
    </w:p>
    <w:p w14:paraId="461BC974" w14:textId="77777777" w:rsidR="004971A4" w:rsidRPr="00C00DCA" w:rsidRDefault="004971A4" w:rsidP="004971A4">
      <w:pPr>
        <w:pStyle w:val="Citas"/>
        <w:numPr>
          <w:ilvl w:val="0"/>
          <w:numId w:val="48"/>
        </w:numPr>
        <w:rPr>
          <w:sz w:val="24"/>
          <w:szCs w:val="24"/>
        </w:rPr>
      </w:pPr>
      <w:r w:rsidRPr="00C00DCA">
        <w:rPr>
          <w:sz w:val="24"/>
          <w:szCs w:val="24"/>
          <w:lang w:val="es-ES"/>
        </w:rPr>
        <w:lastRenderedPageBreak/>
        <w:t xml:space="preserve">En las sesiones ordinarias deberá incluirse dentro del orden del día, un punto relacionado con el seguimiento de acuerdos anteriores y uno correspondiente a asuntos generales en el que sólo podrán incluirse asuntos de carácter informativo; y </w:t>
      </w:r>
    </w:p>
    <w:p w14:paraId="330C440E" w14:textId="77777777" w:rsidR="004971A4" w:rsidRPr="00C00DCA" w:rsidRDefault="004971A4" w:rsidP="004971A4">
      <w:pPr>
        <w:pStyle w:val="Citas"/>
        <w:numPr>
          <w:ilvl w:val="0"/>
          <w:numId w:val="48"/>
        </w:numPr>
        <w:rPr>
          <w:b/>
          <w:sz w:val="24"/>
          <w:szCs w:val="24"/>
          <w:u w:val="single"/>
        </w:rPr>
      </w:pPr>
      <w:r w:rsidRPr="00C00DCA">
        <w:rPr>
          <w:b/>
          <w:sz w:val="24"/>
          <w:szCs w:val="24"/>
          <w:u w:val="single"/>
          <w:lang w:val="es-ES"/>
        </w:rPr>
        <w:t>En la primera sesión de cada ejercicio fiscal el secretario ejecutivo presentará a la consideración de los integrantes del comité el calendario de sesiones ordinarias; así como el volumen o importe anual autorizado para la adquisición de bienes y contratación de servicios.</w:t>
      </w:r>
    </w:p>
    <w:p w14:paraId="789B898D" w14:textId="77777777" w:rsidR="004971A4" w:rsidRPr="00C00DCA" w:rsidRDefault="004971A4" w:rsidP="004971A4">
      <w:pPr>
        <w:pStyle w:val="Citas"/>
        <w:rPr>
          <w:sz w:val="24"/>
          <w:szCs w:val="24"/>
        </w:rPr>
      </w:pPr>
      <w:r w:rsidRPr="00C00DCA">
        <w:rPr>
          <w:b/>
          <w:sz w:val="24"/>
          <w:szCs w:val="24"/>
        </w:rPr>
        <w:t>Artículo 49.-</w:t>
      </w:r>
      <w:r w:rsidRPr="00C00DCA">
        <w:rPr>
          <w:sz w:val="24"/>
          <w:szCs w:val="24"/>
        </w:rPr>
        <w:t xml:space="preserve"> La información y documentación que se presente para la instauración y substanciación del procedimiento de adquisición de que se trate, será responsabilidad de quien la emita.</w:t>
      </w:r>
    </w:p>
    <w:p w14:paraId="01F8D678" w14:textId="45A2A7E1" w:rsidR="004971A4" w:rsidRPr="00C00DCA" w:rsidRDefault="004971A4" w:rsidP="004971A4">
      <w:pPr>
        <w:numPr>
          <w:ilvl w:val="0"/>
          <w:numId w:val="1"/>
        </w:numPr>
        <w:spacing w:line="360" w:lineRule="auto"/>
        <w:ind w:left="0" w:firstLine="0"/>
        <w:contextualSpacing/>
        <w:jc w:val="both"/>
        <w:rPr>
          <w:rFonts w:ascii="Palatino Linotype" w:hAnsi="Palatino Linotype"/>
          <w:i/>
        </w:rPr>
      </w:pPr>
      <w:r w:rsidRPr="00C00DCA">
        <w:rPr>
          <w:rFonts w:ascii="Palatino Linotype" w:hAnsi="Palatino Linotype"/>
        </w:rPr>
        <w:t xml:space="preserve">En conclusión, a todo lo antes expuesto, se colige que la respuesta del Sujeto </w:t>
      </w:r>
      <w:r w:rsidRPr="00C00DCA">
        <w:rPr>
          <w:rFonts w:ascii="Palatino Linotype" w:hAnsi="Palatino Linotype"/>
          <w:lang w:val="es-MX"/>
        </w:rPr>
        <w:t>Obligado</w:t>
      </w:r>
      <w:r w:rsidRPr="00C00DCA">
        <w:rPr>
          <w:rFonts w:ascii="Palatino Linotype" w:hAnsi="Palatino Linotype"/>
        </w:rPr>
        <w:t xml:space="preserve"> no satisface el derecho de acceso a la información, por ello resulta procedente determinar que el motivo de agravio hecho valer por la parte Recurrente resulta </w:t>
      </w:r>
      <w:r w:rsidRPr="00C00DCA">
        <w:rPr>
          <w:rFonts w:ascii="Palatino Linotype" w:hAnsi="Palatino Linotype"/>
          <w:b/>
        </w:rPr>
        <w:t>FUNDADO</w:t>
      </w:r>
      <w:r w:rsidRPr="00C00DCA">
        <w:rPr>
          <w:rFonts w:ascii="Palatino Linotype" w:hAnsi="Palatino Linotype"/>
        </w:rPr>
        <w:t xml:space="preserve"> y ordenar la entrega de la información, ya que tampoco </w:t>
      </w:r>
      <w:r w:rsidRPr="00C00DCA">
        <w:rPr>
          <w:rFonts w:ascii="Palatino Linotype" w:eastAsia="Palatino Linotype" w:hAnsi="Palatino Linotype" w:cs="Palatino Linotype"/>
        </w:rPr>
        <w:t xml:space="preserve">el </w:t>
      </w:r>
      <w:r w:rsidRPr="00C00DCA">
        <w:rPr>
          <w:rFonts w:ascii="Palatino Linotype" w:eastAsia="Palatino Linotype" w:hAnsi="Palatino Linotype" w:cs="Palatino Linotype"/>
          <w:b/>
        </w:rPr>
        <w:t>Sujeto Obligado</w:t>
      </w:r>
      <w:r w:rsidRPr="00C00DCA">
        <w:rPr>
          <w:rFonts w:ascii="Palatino Linotype" w:eastAsia="Palatino Linotype" w:hAnsi="Palatino Linotype" w:cs="Palatino Linotype"/>
        </w:rPr>
        <w:t xml:space="preserve"> justificó el impedimento para remitir la información solicitada vía SAIMEX, al no haberse acreditado de manera fehaciente la imposibilidad humana, técnica y administrativa, establecida en el artículo 158 de la Ley de Transparencia y Acceso a la Información Pública del Estado de México y Municipios, para validar el cambio de modalidad a consulta directa, los agravios de la parte </w:t>
      </w:r>
      <w:r w:rsidRPr="00C00DCA">
        <w:rPr>
          <w:rFonts w:ascii="Palatino Linotype" w:eastAsia="Palatino Linotype" w:hAnsi="Palatino Linotype" w:cs="Palatino Linotype"/>
          <w:b/>
        </w:rPr>
        <w:t>Recurrente.</w:t>
      </w:r>
    </w:p>
    <w:p w14:paraId="1BBC6C09" w14:textId="77777777" w:rsidR="000F30BC" w:rsidRPr="00C00DCA" w:rsidRDefault="000F30BC" w:rsidP="000F30BC">
      <w:pPr>
        <w:keepNext/>
        <w:keepLines/>
        <w:spacing w:line="360" w:lineRule="auto"/>
        <w:rPr>
          <w:rFonts w:ascii="Palatino Linotype" w:eastAsia="Calibri" w:hAnsi="Palatino Linotype" w:cs="Arial"/>
        </w:rPr>
      </w:pPr>
    </w:p>
    <w:p w14:paraId="379CB22F" w14:textId="77777777" w:rsidR="006B0428" w:rsidRPr="00C00DCA" w:rsidRDefault="006B0428" w:rsidP="000F30BC">
      <w:pPr>
        <w:keepNext/>
        <w:keepLines/>
        <w:spacing w:line="360" w:lineRule="auto"/>
        <w:rPr>
          <w:rFonts w:ascii="Palatino Linotype" w:eastAsia="Palatino Linotype" w:hAnsi="Palatino Linotype" w:cs="Palatino Linotype"/>
          <w:b/>
          <w:color w:val="000000"/>
        </w:rPr>
      </w:pPr>
      <w:r w:rsidRPr="00C00DCA">
        <w:rPr>
          <w:rFonts w:ascii="Palatino Linotype" w:eastAsia="Palatino Linotype" w:hAnsi="Palatino Linotype" w:cs="Palatino Linotype"/>
          <w:b/>
          <w:color w:val="000000"/>
        </w:rPr>
        <w:t>QUINTO. De la versión pública.</w:t>
      </w:r>
    </w:p>
    <w:p w14:paraId="45AC943C" w14:textId="77777777" w:rsidR="004971A4" w:rsidRPr="00C00DCA" w:rsidRDefault="004971A4" w:rsidP="004971A4">
      <w:pPr>
        <w:numPr>
          <w:ilvl w:val="0"/>
          <w:numId w:val="1"/>
        </w:numPr>
        <w:spacing w:line="360" w:lineRule="auto"/>
        <w:ind w:left="0" w:firstLine="0"/>
        <w:contextualSpacing/>
        <w:jc w:val="both"/>
        <w:rPr>
          <w:rFonts w:ascii="Palatino Linotype" w:eastAsia="Arial Unicode MS" w:hAnsi="Palatino Linotype" w:cs="Arial"/>
        </w:rPr>
      </w:pPr>
      <w:bookmarkStart w:id="151" w:name="_heading=h.17dp8vu" w:colFirst="0" w:colLast="0"/>
      <w:bookmarkEnd w:id="151"/>
      <w:r w:rsidRPr="00C00DCA">
        <w:rPr>
          <w:rFonts w:ascii="Palatino Linotype" w:eastAsia="Arial Unicode MS" w:hAnsi="Palatino Linotype" w:cs="Arial"/>
        </w:rPr>
        <w:t xml:space="preserve">No pasa desapercibido que la información podría contener información susceptible de </w:t>
      </w:r>
      <w:r w:rsidRPr="00C00DCA">
        <w:rPr>
          <w:rFonts w:ascii="Palatino Linotype" w:hAnsi="Palatino Linotype"/>
        </w:rPr>
        <w:t>clasificar</w:t>
      </w:r>
      <w:r w:rsidRPr="00C00DCA">
        <w:rPr>
          <w:rFonts w:ascii="Palatino Linotype" w:eastAsia="Arial Unicode MS" w:hAnsi="Palatino Linotype" w:cs="Arial"/>
        </w:rPr>
        <w:t>, por lo cual, dicha información debe ser clasificada para no vulnerar un derecho intangible. Aunado a que de ser en caso de contar con otra información consistente en datos personales, deberá generarse una versión pública, tal excepción a la publicidad, atiende a la coexistencia de datos públicos e información que tenga el carácter de confidencial (datos personales) o reservada, por lo que debe privilegiarse el acceso a la información bajo el principio de máxima divulgación, empero sin violar el derecho a la protección de datos personales, cuyo fundamento legal aplicable se encuentra inmerso en los numerales de la Ley de la materia, que a la letra esgrimen:</w:t>
      </w:r>
    </w:p>
    <w:p w14:paraId="08BF9173" w14:textId="77777777" w:rsidR="004971A4" w:rsidRPr="00C00DCA" w:rsidRDefault="004971A4" w:rsidP="004971A4">
      <w:pPr>
        <w:spacing w:before="240" w:line="360" w:lineRule="auto"/>
        <w:ind w:left="851" w:right="851"/>
        <w:jc w:val="both"/>
        <w:rPr>
          <w:rFonts w:ascii="Palatino Linotype" w:hAnsi="Palatino Linotype" w:cs="Arial"/>
          <w:i/>
        </w:rPr>
      </w:pPr>
      <w:r w:rsidRPr="00C00DCA">
        <w:rPr>
          <w:rFonts w:ascii="Palatino Linotype" w:hAnsi="Palatino Linotype" w:cs="Arial"/>
          <w:i/>
        </w:rPr>
        <w:t>“Artículo 3. Para los efectos de la presente Ley se entenderá por:</w:t>
      </w:r>
    </w:p>
    <w:p w14:paraId="383B9F7A" w14:textId="77777777" w:rsidR="004971A4" w:rsidRPr="00C00DCA" w:rsidRDefault="004971A4" w:rsidP="004971A4">
      <w:pPr>
        <w:spacing w:before="240" w:line="360" w:lineRule="auto"/>
        <w:ind w:left="851" w:right="851"/>
        <w:jc w:val="both"/>
        <w:rPr>
          <w:rFonts w:ascii="Palatino Linotype" w:hAnsi="Palatino Linotype" w:cs="Arial"/>
          <w:i/>
        </w:rPr>
      </w:pPr>
      <w:r w:rsidRPr="00C00DCA">
        <w:rPr>
          <w:rFonts w:ascii="Palatino Linotype" w:hAnsi="Palatino Linotype" w:cs="Arial"/>
          <w:i/>
        </w:rPr>
        <w:t>(…)</w:t>
      </w:r>
    </w:p>
    <w:p w14:paraId="6261D5B9" w14:textId="77777777" w:rsidR="004971A4" w:rsidRPr="00C00DCA" w:rsidRDefault="004971A4" w:rsidP="004971A4">
      <w:pPr>
        <w:spacing w:before="240" w:line="360" w:lineRule="auto"/>
        <w:ind w:left="851" w:right="851"/>
        <w:jc w:val="both"/>
        <w:rPr>
          <w:rFonts w:ascii="Palatino Linotype" w:hAnsi="Palatino Linotype" w:cs="Arial"/>
          <w:b/>
          <w:i/>
        </w:rPr>
      </w:pPr>
      <w:r w:rsidRPr="00C00DCA">
        <w:rPr>
          <w:rFonts w:ascii="Palatino Linotype" w:hAnsi="Palatino Linotype" w:cs="Arial"/>
          <w:b/>
          <w:i/>
          <w:u w:val="single"/>
        </w:rPr>
        <w:t>IX. Datos personales:</w:t>
      </w:r>
      <w:r w:rsidRPr="00C00DCA">
        <w:rPr>
          <w:rFonts w:ascii="Palatino Linotype" w:hAnsi="Palatino Linotype" w:cs="Arial"/>
          <w:b/>
          <w:i/>
        </w:rPr>
        <w:t xml:space="preserve"> </w:t>
      </w:r>
      <w:r w:rsidRPr="00C00DCA">
        <w:rPr>
          <w:rFonts w:ascii="Palatino Linotype" w:hAnsi="Palatino Linotype" w:cs="Arial"/>
          <w:i/>
        </w:rPr>
        <w:t>La información concerniente a una persona, identificada o identificable según lo dispuesto por la Ley de Protección de Datos Personales del Estado de México;</w:t>
      </w:r>
    </w:p>
    <w:p w14:paraId="5E510235" w14:textId="77777777" w:rsidR="004971A4" w:rsidRPr="00C00DCA" w:rsidRDefault="004971A4" w:rsidP="004971A4">
      <w:pPr>
        <w:spacing w:before="240" w:line="360" w:lineRule="auto"/>
        <w:ind w:left="851" w:right="851"/>
        <w:jc w:val="both"/>
        <w:rPr>
          <w:rFonts w:ascii="Palatino Linotype" w:hAnsi="Palatino Linotype" w:cs="Arial"/>
          <w:b/>
          <w:i/>
        </w:rPr>
      </w:pPr>
      <w:r w:rsidRPr="00C00DCA">
        <w:rPr>
          <w:rFonts w:ascii="Palatino Linotype" w:hAnsi="Palatino Linotype" w:cs="Arial"/>
          <w:b/>
          <w:i/>
        </w:rPr>
        <w:t>(…)</w:t>
      </w:r>
    </w:p>
    <w:p w14:paraId="64CE8996" w14:textId="77777777" w:rsidR="004971A4" w:rsidRPr="00C00DCA" w:rsidRDefault="004971A4" w:rsidP="004971A4">
      <w:pPr>
        <w:spacing w:before="240" w:line="360" w:lineRule="auto"/>
        <w:ind w:left="851" w:right="851"/>
        <w:jc w:val="both"/>
        <w:rPr>
          <w:rFonts w:ascii="Palatino Linotype" w:hAnsi="Palatino Linotype" w:cs="Arial"/>
          <w:b/>
          <w:i/>
        </w:rPr>
      </w:pPr>
      <w:r w:rsidRPr="00C00DCA">
        <w:rPr>
          <w:rFonts w:ascii="Palatino Linotype" w:hAnsi="Palatino Linotype" w:cs="Arial"/>
          <w:b/>
          <w:i/>
          <w:u w:val="single"/>
        </w:rPr>
        <w:t>XLV. Versión pública:</w:t>
      </w:r>
      <w:r w:rsidRPr="00C00DCA">
        <w:rPr>
          <w:rFonts w:ascii="Palatino Linotype" w:hAnsi="Palatino Linotype" w:cs="Arial"/>
          <w:b/>
          <w:i/>
        </w:rPr>
        <w:t xml:space="preserve"> </w:t>
      </w:r>
      <w:r w:rsidRPr="00C00DCA">
        <w:rPr>
          <w:rFonts w:ascii="Palatino Linotype" w:hAnsi="Palatino Linotype" w:cs="Arial"/>
          <w:i/>
        </w:rPr>
        <w:t>Documento en el que se elimine, suprime o borra la información clasificada como reservada o confidencial para permitir su acceso.</w:t>
      </w:r>
    </w:p>
    <w:p w14:paraId="628133A1" w14:textId="77777777" w:rsidR="004971A4" w:rsidRPr="00C00DCA" w:rsidRDefault="004971A4" w:rsidP="004971A4">
      <w:pPr>
        <w:spacing w:before="240" w:line="360" w:lineRule="auto"/>
        <w:ind w:left="851" w:right="851"/>
        <w:jc w:val="both"/>
        <w:rPr>
          <w:rFonts w:ascii="Palatino Linotype" w:hAnsi="Palatino Linotype" w:cs="Arial"/>
          <w:b/>
          <w:i/>
        </w:rPr>
      </w:pPr>
      <w:r w:rsidRPr="00C00DCA">
        <w:rPr>
          <w:rFonts w:ascii="Palatino Linotype" w:hAnsi="Palatino Linotype" w:cs="Arial"/>
          <w:i/>
        </w:rPr>
        <w:lastRenderedPageBreak/>
        <w:t xml:space="preserve">Artículo 122. </w:t>
      </w:r>
      <w:r w:rsidRPr="00C00DCA">
        <w:rPr>
          <w:rFonts w:ascii="Palatino Linotype" w:hAnsi="Palatino Linotype" w:cs="Arial"/>
          <w:b/>
          <w:i/>
          <w:u w:val="single"/>
        </w:rPr>
        <w:t xml:space="preserve">La clasificación es el proceso mediante el cual el sujeto obligado determina que la información en su poder </w:t>
      </w:r>
      <w:proofErr w:type="spellStart"/>
      <w:r w:rsidRPr="00C00DCA">
        <w:rPr>
          <w:rFonts w:ascii="Palatino Linotype" w:hAnsi="Palatino Linotype" w:cs="Arial"/>
          <w:b/>
          <w:i/>
          <w:u w:val="single"/>
        </w:rPr>
        <w:t>actualiza</w:t>
      </w:r>
      <w:proofErr w:type="spellEnd"/>
      <w:r w:rsidRPr="00C00DCA">
        <w:rPr>
          <w:rFonts w:ascii="Palatino Linotype" w:hAnsi="Palatino Linotype" w:cs="Arial"/>
          <w:b/>
          <w:i/>
          <w:u w:val="single"/>
        </w:rPr>
        <w:t xml:space="preserve"> alguno de los supuestos de reserva o confidencialidad, de conformidad con lo dispuesto en el presente título.</w:t>
      </w:r>
    </w:p>
    <w:p w14:paraId="11A69629" w14:textId="77777777" w:rsidR="004971A4" w:rsidRPr="00C00DCA" w:rsidRDefault="004971A4" w:rsidP="004971A4">
      <w:pPr>
        <w:spacing w:before="240" w:line="360" w:lineRule="auto"/>
        <w:ind w:left="851" w:right="851"/>
        <w:jc w:val="both"/>
        <w:rPr>
          <w:rFonts w:ascii="Palatino Linotype" w:hAnsi="Palatino Linotype" w:cs="Arial"/>
          <w:i/>
        </w:rPr>
      </w:pPr>
      <w:r w:rsidRPr="00C00DCA">
        <w:rPr>
          <w:rFonts w:ascii="Palatino Linotype" w:hAnsi="Palatino Linotype" w:cs="Arial"/>
          <w:i/>
        </w:rPr>
        <w:t>[…]</w:t>
      </w:r>
    </w:p>
    <w:p w14:paraId="3EDB613C" w14:textId="77777777" w:rsidR="004971A4" w:rsidRPr="00C00DCA" w:rsidRDefault="004971A4" w:rsidP="004971A4">
      <w:pPr>
        <w:spacing w:before="240" w:line="360" w:lineRule="auto"/>
        <w:ind w:left="851" w:right="851"/>
        <w:jc w:val="both"/>
        <w:rPr>
          <w:rFonts w:ascii="Palatino Linotype" w:hAnsi="Palatino Linotype" w:cs="Arial"/>
          <w:i/>
        </w:rPr>
      </w:pPr>
      <w:r w:rsidRPr="00C00DCA">
        <w:rPr>
          <w:rFonts w:ascii="Palatino Linotype" w:hAnsi="Palatino Linotype" w:cs="Arial"/>
          <w:i/>
        </w:rPr>
        <w:t>Artículo 132. La clasificación de la información se llevará a cabo en el momento en que:</w:t>
      </w:r>
    </w:p>
    <w:p w14:paraId="012E196F" w14:textId="77777777" w:rsidR="004971A4" w:rsidRPr="00C00DCA" w:rsidRDefault="004971A4" w:rsidP="004971A4">
      <w:pPr>
        <w:spacing w:before="240" w:line="360" w:lineRule="auto"/>
        <w:ind w:left="851" w:right="851"/>
        <w:jc w:val="both"/>
        <w:rPr>
          <w:rFonts w:ascii="Palatino Linotype" w:hAnsi="Palatino Linotype" w:cs="Arial"/>
          <w:i/>
        </w:rPr>
      </w:pPr>
      <w:r w:rsidRPr="00C00DCA">
        <w:rPr>
          <w:rFonts w:ascii="Palatino Linotype" w:hAnsi="Palatino Linotype" w:cs="Arial"/>
          <w:i/>
        </w:rPr>
        <w:t>[…]</w:t>
      </w:r>
    </w:p>
    <w:p w14:paraId="60927A9C" w14:textId="77777777" w:rsidR="004971A4" w:rsidRPr="00C00DCA" w:rsidRDefault="004971A4" w:rsidP="004971A4">
      <w:pPr>
        <w:spacing w:before="240" w:line="360" w:lineRule="auto"/>
        <w:ind w:left="851" w:right="851"/>
        <w:jc w:val="both"/>
        <w:rPr>
          <w:rFonts w:ascii="Palatino Linotype" w:hAnsi="Palatino Linotype" w:cs="Arial"/>
          <w:b/>
          <w:i/>
          <w:u w:val="single"/>
        </w:rPr>
      </w:pPr>
      <w:r w:rsidRPr="00C00DCA">
        <w:rPr>
          <w:rFonts w:ascii="Palatino Linotype" w:hAnsi="Palatino Linotype" w:cs="Arial"/>
          <w:b/>
          <w:i/>
          <w:u w:val="single"/>
        </w:rPr>
        <w:t>II. Se determine mediante resolución de autoridad competente; o</w:t>
      </w:r>
    </w:p>
    <w:p w14:paraId="6E7690DB" w14:textId="77777777" w:rsidR="004971A4" w:rsidRPr="00C00DCA" w:rsidRDefault="004971A4" w:rsidP="004971A4">
      <w:pPr>
        <w:spacing w:before="240" w:line="360" w:lineRule="auto"/>
        <w:ind w:left="851" w:right="851"/>
        <w:jc w:val="both"/>
        <w:rPr>
          <w:rFonts w:ascii="Palatino Linotype" w:hAnsi="Palatino Linotype" w:cs="Arial"/>
          <w:b/>
          <w:i/>
        </w:rPr>
      </w:pPr>
      <w:r w:rsidRPr="00C00DCA">
        <w:rPr>
          <w:rFonts w:ascii="Palatino Linotype" w:hAnsi="Palatino Linotype" w:cs="Arial"/>
          <w:b/>
          <w:i/>
        </w:rPr>
        <w:t>(…)</w:t>
      </w:r>
    </w:p>
    <w:p w14:paraId="55A01339" w14:textId="77777777" w:rsidR="004971A4" w:rsidRPr="00C00DCA" w:rsidRDefault="004971A4" w:rsidP="004971A4">
      <w:pPr>
        <w:spacing w:before="240" w:line="360" w:lineRule="auto"/>
        <w:ind w:left="851" w:right="851"/>
        <w:jc w:val="both"/>
        <w:rPr>
          <w:rFonts w:ascii="Palatino Linotype" w:hAnsi="Palatino Linotype" w:cs="Arial"/>
          <w:b/>
          <w:i/>
        </w:rPr>
      </w:pPr>
      <w:r w:rsidRPr="00C00DCA">
        <w:rPr>
          <w:rFonts w:ascii="Palatino Linotype" w:hAnsi="Palatino Linotype" w:cs="Arial"/>
          <w:i/>
        </w:rPr>
        <w:t>Artículo 137.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w:t>
      </w:r>
      <w:r w:rsidRPr="00C00DCA">
        <w:rPr>
          <w:rFonts w:ascii="Palatino Linotype" w:hAnsi="Palatino Linotype" w:cs="Arial"/>
          <w:b/>
          <w:i/>
        </w:rPr>
        <w:t xml:space="preserve"> </w:t>
      </w:r>
      <w:r w:rsidRPr="00C00DCA">
        <w:rPr>
          <w:rFonts w:ascii="Palatino Linotype" w:hAnsi="Palatino Linotype" w:cs="Arial"/>
          <w:b/>
          <w:i/>
          <w:u w:val="single"/>
        </w:rPr>
        <w:t xml:space="preserve">de manera genérica y fundando y motivando su clasificación.” </w:t>
      </w:r>
      <w:r w:rsidRPr="00C00DCA">
        <w:rPr>
          <w:rFonts w:ascii="Palatino Linotype" w:hAnsi="Palatino Linotype" w:cs="Arial"/>
          <w:b/>
          <w:i/>
        </w:rPr>
        <w:t>[Sic]</w:t>
      </w:r>
    </w:p>
    <w:p w14:paraId="790E60AC" w14:textId="77777777" w:rsidR="004971A4" w:rsidRPr="00C00DCA" w:rsidRDefault="004971A4" w:rsidP="004971A4">
      <w:pPr>
        <w:spacing w:line="360" w:lineRule="auto"/>
        <w:ind w:right="51"/>
        <w:jc w:val="both"/>
        <w:rPr>
          <w:rFonts w:ascii="Palatino Linotype" w:eastAsia="Arial Unicode MS" w:hAnsi="Palatino Linotype" w:cs="Arial"/>
        </w:rPr>
      </w:pPr>
    </w:p>
    <w:p w14:paraId="379FA710"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rPr>
      </w:pPr>
      <w:r w:rsidRPr="00C00DCA">
        <w:rPr>
          <w:rFonts w:ascii="Palatino Linotype" w:eastAsia="Arial Unicode MS" w:hAnsi="Palatino Linotype" w:cs="Arial"/>
        </w:rPr>
        <w:t xml:space="preserve">Verbigracia, previo a poner a disposición la información correspondiente debe considerarse que tiene carácter de confidencial </w:t>
      </w:r>
      <w:r w:rsidRPr="00C00DCA">
        <w:rPr>
          <w:rFonts w:ascii="Palatino Linotype" w:hAnsi="Palatino Linotype" w:cs="Arial"/>
        </w:rPr>
        <w:t xml:space="preserve">el Registro Federal de Contribuyentes </w:t>
      </w:r>
      <w:r w:rsidRPr="00C00DCA">
        <w:rPr>
          <w:rFonts w:ascii="Palatino Linotype" w:hAnsi="Palatino Linotype" w:cs="Arial"/>
          <w:b/>
          <w:bCs/>
          <w:u w:val="single"/>
        </w:rPr>
        <w:t>(RFC) que no sean de proveedores,</w:t>
      </w:r>
      <w:r w:rsidRPr="00C00DCA">
        <w:rPr>
          <w:rFonts w:ascii="Palatino Linotype" w:hAnsi="Palatino Linotype" w:cs="Arial"/>
        </w:rPr>
        <w:t xml:space="preserve"> cuenta bancaria, la Clave Única de Registro de Población (CURP), domicilio particular, teléfono particular, el </w:t>
      </w:r>
      <w:r w:rsidRPr="00C00DCA">
        <w:rPr>
          <w:rFonts w:ascii="Palatino Linotype" w:hAnsi="Palatino Linotype" w:cs="Arial"/>
        </w:rPr>
        <w:lastRenderedPageBreak/>
        <w:t>nombre de las personas físicas que no tengan la calidad de servidor público  o aquellos que no reciban recursos públicos, entre otros considerados como datos personales en términos de la normatividad aplicable.</w:t>
      </w:r>
    </w:p>
    <w:p w14:paraId="0149A2D2" w14:textId="77777777" w:rsidR="004971A4" w:rsidRPr="00C00DCA" w:rsidRDefault="004971A4" w:rsidP="004971A4">
      <w:pPr>
        <w:spacing w:line="360" w:lineRule="auto"/>
        <w:contextualSpacing/>
        <w:jc w:val="both"/>
        <w:rPr>
          <w:rFonts w:ascii="Palatino Linotype" w:hAnsi="Palatino Linotype" w:cs="Arial"/>
        </w:rPr>
      </w:pPr>
    </w:p>
    <w:p w14:paraId="02D8DEF7"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lang w:eastAsia="es-MX"/>
        </w:rPr>
      </w:pPr>
      <w:r w:rsidRPr="00C00DCA">
        <w:rPr>
          <w:rFonts w:ascii="Palatino Linotype" w:hAnsi="Palatino Linotype" w:cs="Arial"/>
          <w:lang w:eastAsia="es-MX"/>
        </w:rPr>
        <w:t xml:space="preserve">En cuanto al Registro Federal de Contribuyentes de las personas físicas constituye un dato </w:t>
      </w:r>
      <w:r w:rsidRPr="00C00DCA">
        <w:rPr>
          <w:rFonts w:ascii="Palatino Linotype" w:eastAsia="Arial Unicode MS" w:hAnsi="Palatino Linotype" w:cs="Arial"/>
        </w:rPr>
        <w:t>personal</w:t>
      </w:r>
      <w:r w:rsidRPr="00C00DCA">
        <w:rPr>
          <w:rFonts w:ascii="Palatino Linotype" w:hAnsi="Palatino Linotype" w:cs="Arial"/>
          <w:lang w:eastAsia="es-MX"/>
        </w:rPr>
        <w:t>, ya que para su obtención es necesario acreditar ante la autoridad fiscal previamente la identidad de la persona, su fecha de nacimiento, entre otros aspectos.</w:t>
      </w:r>
    </w:p>
    <w:p w14:paraId="5B25F2A4" w14:textId="77777777" w:rsidR="004971A4" w:rsidRPr="00C00DCA" w:rsidRDefault="004971A4" w:rsidP="004971A4">
      <w:pPr>
        <w:pStyle w:val="Prrafodelista"/>
        <w:rPr>
          <w:rFonts w:ascii="Palatino Linotype" w:hAnsi="Palatino Linotype" w:cs="Arial"/>
          <w:lang w:eastAsia="es-MX"/>
        </w:rPr>
      </w:pPr>
    </w:p>
    <w:p w14:paraId="54EE6E84"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lang w:eastAsia="es-MX"/>
        </w:rPr>
      </w:pPr>
      <w:r w:rsidRPr="00C00DCA">
        <w:rPr>
          <w:rFonts w:ascii="Palatino Linotype" w:hAnsi="Palatino Linotype" w:cs="Arial"/>
          <w:lang w:eastAsia="es-MX"/>
        </w:rPr>
        <w:t>Ahora bien, las personas físicas tramitan su inscripción en el registro con el propósito de realizar —mediante esa clave de identificación— operaciones o actividades de naturaleza fiscal, la cual, les permite hacer identificable respecto de una situación fiscal determinada.</w:t>
      </w:r>
    </w:p>
    <w:p w14:paraId="5A128E0D"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lang w:eastAsia="es-MX"/>
        </w:rPr>
      </w:pPr>
      <w:r w:rsidRPr="00C00DCA">
        <w:rPr>
          <w:rFonts w:ascii="Palatino Linotype" w:hAnsi="Palatino Linotype" w:cs="Arial"/>
          <w:lang w:eastAsia="es-MX"/>
        </w:rPr>
        <w:t xml:space="preserve">Lo anterior es compartido por el ahora </w:t>
      </w:r>
      <w:r w:rsidRPr="00C00DCA">
        <w:rPr>
          <w:rFonts w:ascii="Palatino Linotype" w:hAnsi="Palatino Linotype" w:cs="Arial"/>
          <w:b/>
          <w:bCs/>
          <w:lang w:eastAsia="es-MX"/>
        </w:rPr>
        <w:t xml:space="preserve">Instituto Nacional de Transparencia, Acceso a la </w:t>
      </w:r>
      <w:r w:rsidRPr="00C00DCA">
        <w:rPr>
          <w:rFonts w:ascii="Palatino Linotype" w:hAnsi="Palatino Linotype" w:cs="Arial"/>
          <w:lang w:eastAsia="es-MX"/>
        </w:rPr>
        <w:t>Información</w:t>
      </w:r>
      <w:r w:rsidRPr="00C00DCA">
        <w:rPr>
          <w:rFonts w:ascii="Palatino Linotype" w:hAnsi="Palatino Linotype" w:cs="Arial"/>
          <w:b/>
          <w:bCs/>
          <w:lang w:eastAsia="es-MX"/>
        </w:rPr>
        <w:t xml:space="preserve"> y Protección de Datos Personales</w:t>
      </w:r>
      <w:r w:rsidRPr="00C00DCA">
        <w:rPr>
          <w:rFonts w:ascii="Palatino Linotype" w:hAnsi="Palatino Linotype" w:cs="Arial"/>
          <w:lang w:eastAsia="es-MX"/>
        </w:rPr>
        <w:t xml:space="preserve"> (INAI), conforme al criterio </w:t>
      </w:r>
      <w:r w:rsidRPr="00C00DCA">
        <w:rPr>
          <w:rFonts w:ascii="Palatino Linotype" w:hAnsi="Palatino Linotype" w:cs="Arial"/>
          <w:b/>
          <w:lang w:eastAsia="es-MX"/>
        </w:rPr>
        <w:t>19/17,</w:t>
      </w:r>
      <w:r w:rsidRPr="00C00DCA">
        <w:rPr>
          <w:rFonts w:ascii="Palatino Linotype" w:hAnsi="Palatino Linotype" w:cs="Arial"/>
          <w:lang w:eastAsia="es-MX"/>
        </w:rPr>
        <w:t xml:space="preserve"> el cual es del tenor literal siguiente:</w:t>
      </w:r>
    </w:p>
    <w:p w14:paraId="14E0803C" w14:textId="77777777" w:rsidR="004971A4" w:rsidRPr="00C00DCA" w:rsidRDefault="004971A4" w:rsidP="004971A4">
      <w:pPr>
        <w:autoSpaceDE w:val="0"/>
        <w:autoSpaceDN w:val="0"/>
        <w:adjustRightInd w:val="0"/>
        <w:spacing w:before="240" w:line="360" w:lineRule="auto"/>
        <w:ind w:left="851" w:right="851"/>
        <w:jc w:val="center"/>
        <w:rPr>
          <w:rFonts w:ascii="Palatino Linotype" w:hAnsi="Palatino Linotype" w:cs="Arial"/>
          <w:b/>
          <w:bCs/>
          <w:i/>
        </w:rPr>
      </w:pPr>
      <w:r w:rsidRPr="00C00DCA">
        <w:rPr>
          <w:rFonts w:ascii="Palatino Linotype" w:hAnsi="Palatino Linotype" w:cs="Arial"/>
          <w:bCs/>
          <w:i/>
        </w:rPr>
        <w:t>“</w:t>
      </w:r>
      <w:r w:rsidRPr="00C00DCA">
        <w:rPr>
          <w:rFonts w:ascii="Palatino Linotype" w:hAnsi="Palatino Linotype" w:cs="Arial"/>
          <w:b/>
          <w:bCs/>
          <w:i/>
        </w:rPr>
        <w:t>REGISTRO FEDERAL DE CONTRIBUYENTES (RFC) DE PERSONAS FÍSICAS.</w:t>
      </w:r>
    </w:p>
    <w:p w14:paraId="03A44CC6" w14:textId="57F8B772" w:rsidR="004971A4" w:rsidRPr="00C00DCA" w:rsidRDefault="004971A4" w:rsidP="004971A4">
      <w:pPr>
        <w:autoSpaceDE w:val="0"/>
        <w:autoSpaceDN w:val="0"/>
        <w:adjustRightInd w:val="0"/>
        <w:spacing w:before="240" w:line="360" w:lineRule="auto"/>
        <w:ind w:left="851" w:right="851"/>
        <w:jc w:val="both"/>
        <w:rPr>
          <w:rFonts w:ascii="Palatino Linotype" w:hAnsi="Palatino Linotype" w:cs="Arial"/>
          <w:bCs/>
          <w:i/>
        </w:rPr>
      </w:pPr>
      <w:r w:rsidRPr="00C00DCA">
        <w:rPr>
          <w:rFonts w:ascii="Palatino Linotype" w:hAnsi="Palatino Linotype" w:cs="Arial"/>
          <w:bCs/>
          <w:i/>
        </w:rPr>
        <w:t>El RFC es una clave de carácter fiscal, única e irrepetible, que permite identificar al titular, su edad y fecha de nacimiento, por lo que es un dato personal de carácter confidencial.”</w:t>
      </w:r>
    </w:p>
    <w:p w14:paraId="5EBAE579" w14:textId="77777777" w:rsidR="004971A4" w:rsidRPr="00C00DCA" w:rsidRDefault="004971A4" w:rsidP="004971A4">
      <w:pPr>
        <w:autoSpaceDE w:val="0"/>
        <w:autoSpaceDN w:val="0"/>
        <w:adjustRightInd w:val="0"/>
        <w:spacing w:before="120" w:after="120"/>
        <w:ind w:right="850"/>
        <w:jc w:val="both"/>
        <w:rPr>
          <w:rFonts w:ascii="Palatino Linotype" w:hAnsi="Palatino Linotype" w:cs="Arial"/>
          <w:i/>
        </w:rPr>
      </w:pPr>
    </w:p>
    <w:p w14:paraId="430230C4"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lang w:eastAsia="es-MX"/>
        </w:rPr>
      </w:pPr>
      <w:r w:rsidRPr="00C00DCA">
        <w:rPr>
          <w:rFonts w:ascii="Palatino Linotype" w:hAnsi="Palatino Linotype" w:cs="Arial"/>
          <w:lang w:eastAsia="es-MX"/>
        </w:rPr>
        <w:lastRenderedPageBreak/>
        <w:t xml:space="preserve">Así, el RFC se vincula al nombre de su titular, permite identificar la edad de la persona, su fecha de nacimiento, así como su </w:t>
      </w:r>
      <w:proofErr w:type="spellStart"/>
      <w:r w:rsidRPr="00C00DCA">
        <w:rPr>
          <w:rFonts w:ascii="Palatino Linotype" w:hAnsi="Palatino Linotype" w:cs="Arial"/>
          <w:lang w:eastAsia="es-MX"/>
        </w:rPr>
        <w:t>homoclave</w:t>
      </w:r>
      <w:proofErr w:type="spellEnd"/>
      <w:r w:rsidRPr="00C00DCA">
        <w:rPr>
          <w:rFonts w:ascii="Palatino Linotype" w:hAnsi="Palatino Linotype" w:cs="Arial"/>
          <w:lang w:eastAsia="es-MX"/>
        </w:rPr>
        <w:t>, la cual es única e irrepetible y determina justamente la identificación de dicha persona para efectos fiscales, por lo éste constituye un dato personal que concierne a una persona física identificada e identificable.</w:t>
      </w:r>
    </w:p>
    <w:p w14:paraId="664B7643" w14:textId="77777777" w:rsidR="009A19FA" w:rsidRPr="00C00DCA" w:rsidRDefault="009A19FA" w:rsidP="009A19FA">
      <w:pPr>
        <w:spacing w:line="360" w:lineRule="auto"/>
        <w:contextualSpacing/>
        <w:jc w:val="both"/>
        <w:rPr>
          <w:rFonts w:ascii="Palatino Linotype" w:hAnsi="Palatino Linotype" w:cs="Arial"/>
          <w:lang w:eastAsia="es-MX"/>
        </w:rPr>
      </w:pPr>
    </w:p>
    <w:p w14:paraId="4615B8ED"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lang w:eastAsia="es-MX"/>
        </w:rPr>
      </w:pPr>
      <w:r w:rsidRPr="00C00DCA">
        <w:rPr>
          <w:rFonts w:ascii="Palatino Linotype" w:hAnsi="Palatino Linotype" w:cs="Arial"/>
          <w:lang w:eastAsia="es-MX"/>
        </w:rPr>
        <w:t xml:space="preserve">No obstante, el Registro Federal de Contribuyentes tratándose de proveedores o contratistas encuadra dentro de las fronteras conceptuales del interés general y el alcance público, al tratarse de un elemento que, en el caso en particular abona a la transparencia y rendición de cuentas. </w:t>
      </w:r>
    </w:p>
    <w:p w14:paraId="02165B4B" w14:textId="77777777" w:rsidR="004971A4" w:rsidRPr="00C00DCA" w:rsidRDefault="004971A4" w:rsidP="004971A4">
      <w:pPr>
        <w:spacing w:line="360" w:lineRule="auto"/>
        <w:contextualSpacing/>
        <w:jc w:val="both"/>
        <w:rPr>
          <w:rFonts w:ascii="Palatino Linotype" w:hAnsi="Palatino Linotype" w:cs="Arial"/>
          <w:lang w:eastAsia="es-MX"/>
        </w:rPr>
      </w:pPr>
    </w:p>
    <w:p w14:paraId="4A644140"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lang w:eastAsia="es-MX"/>
        </w:rPr>
      </w:pPr>
      <w:r w:rsidRPr="00C00DCA">
        <w:rPr>
          <w:rFonts w:ascii="Palatino Linotype" w:hAnsi="Palatino Linotype" w:cs="Arial"/>
          <w:lang w:eastAsia="es-MX"/>
        </w:rPr>
        <w:t xml:space="preserve">Robustece lo anterior, el criterio </w:t>
      </w:r>
      <w:r w:rsidRPr="00C00DCA">
        <w:rPr>
          <w:rFonts w:ascii="Palatino Linotype" w:hAnsi="Palatino Linotype" w:cs="Arial"/>
          <w:b/>
          <w:bCs/>
          <w:lang w:eastAsia="es-MX"/>
        </w:rPr>
        <w:t xml:space="preserve">04/21 </w:t>
      </w:r>
      <w:r w:rsidRPr="00C00DCA">
        <w:rPr>
          <w:rFonts w:ascii="Palatino Linotype" w:hAnsi="Palatino Linotype" w:cs="Arial"/>
          <w:lang w:eastAsia="es-MX"/>
        </w:rPr>
        <w:t xml:space="preserve">emitido por el Órgano Garante Nacional, cuyo rubro y texto disponen a la literalidad lo siguiente: </w:t>
      </w:r>
    </w:p>
    <w:p w14:paraId="03281656" w14:textId="77777777" w:rsidR="004971A4" w:rsidRPr="00C00DCA" w:rsidRDefault="004971A4" w:rsidP="004971A4">
      <w:pPr>
        <w:pStyle w:val="Citas"/>
        <w:rPr>
          <w:b/>
          <w:sz w:val="24"/>
          <w:szCs w:val="24"/>
        </w:rPr>
      </w:pPr>
      <w:r w:rsidRPr="00C00DCA">
        <w:rPr>
          <w:b/>
          <w:sz w:val="24"/>
          <w:szCs w:val="24"/>
        </w:rPr>
        <w:t xml:space="preserve">“REGISTRO FEDERAL DE CONTRIBUYENTES (RFC) DE PERSONAS FÍSICAS PROVEEDORES O CONTRATISTAS. </w:t>
      </w:r>
    </w:p>
    <w:p w14:paraId="33ED8BCD" w14:textId="77777777" w:rsidR="004971A4" w:rsidRPr="00C00DCA" w:rsidRDefault="004971A4" w:rsidP="004971A4">
      <w:pPr>
        <w:pStyle w:val="Citas"/>
        <w:rPr>
          <w:color w:val="000000"/>
        </w:rPr>
      </w:pPr>
      <w:r w:rsidRPr="00C00DCA">
        <w:t xml:space="preserve">El RFC de contratistas o proveedores de sujetos obligados debe ser público, </w:t>
      </w:r>
      <w:proofErr w:type="gramStart"/>
      <w:r w:rsidRPr="00C00DCA">
        <w:t>ya que</w:t>
      </w:r>
      <w:proofErr w:type="gramEnd"/>
      <w:r w:rsidRPr="00C00DCA">
        <w:t xml:space="preserve"> al tratarse de personas relacionadas con contrataciones públicas, su difusión favorece la transparencia con la que deben administrarse los recursos públicos, en términos del artículo 134 de la Constitución Política de los Estados Unidos Mexicanos. </w:t>
      </w:r>
    </w:p>
    <w:p w14:paraId="66B10243" w14:textId="77777777" w:rsidR="004971A4" w:rsidRPr="00C00DCA" w:rsidRDefault="004971A4" w:rsidP="004971A4">
      <w:pPr>
        <w:numPr>
          <w:ilvl w:val="0"/>
          <w:numId w:val="1"/>
        </w:numPr>
        <w:spacing w:line="360" w:lineRule="auto"/>
        <w:ind w:left="0" w:firstLine="0"/>
        <w:contextualSpacing/>
        <w:jc w:val="both"/>
        <w:rPr>
          <w:rFonts w:ascii="Palatino Linotype" w:eastAsia="Calibri" w:hAnsi="Palatino Linotype" w:cs="Arial"/>
          <w:lang w:eastAsia="es-MX"/>
        </w:rPr>
      </w:pPr>
      <w:r w:rsidRPr="00C00DCA">
        <w:rPr>
          <w:rFonts w:ascii="Palatino Linotype" w:hAnsi="Palatino Linotype" w:cs="Arial"/>
          <w:lang w:eastAsia="es-MX"/>
        </w:rPr>
        <w:t xml:space="preserve">En cuanto a la </w:t>
      </w:r>
      <w:r w:rsidRPr="00C00DCA">
        <w:rPr>
          <w:rFonts w:ascii="Palatino Linotype" w:hAnsi="Palatino Linotype" w:cs="Arial"/>
        </w:rPr>
        <w:t xml:space="preserve">Clave Única de Registro de Población (CURP) en virtud de que éste se </w:t>
      </w:r>
      <w:r w:rsidRPr="00C00DCA">
        <w:rPr>
          <w:rFonts w:ascii="Palatino Linotype" w:eastAsia="Calibri" w:hAnsi="Palatino Linotype" w:cs="Arial"/>
          <w:lang w:eastAsia="es-MX"/>
        </w:rPr>
        <w:t xml:space="preserve">integra por </w:t>
      </w:r>
      <w:r w:rsidRPr="00C00DCA">
        <w:rPr>
          <w:rFonts w:ascii="Palatino Linotype" w:hAnsi="Palatino Linotype" w:cs="Arial"/>
          <w:lang w:eastAsia="es-MX"/>
        </w:rPr>
        <w:t>datos</w:t>
      </w:r>
      <w:r w:rsidRPr="00C00DCA">
        <w:rPr>
          <w:rFonts w:ascii="Palatino Linotype" w:eastAsia="Calibri" w:hAnsi="Palatino Linotype" w:cs="Arial"/>
          <w:lang w:eastAsia="es-MX"/>
        </w:rPr>
        <w:t xml:space="preserve"> personales que únicamente le conciernen a un particular como son su fecha de nacimiento, su nombre, sus apellidos y su lugar de nacimiento; </w:t>
      </w:r>
      <w:r w:rsidRPr="00C00DCA">
        <w:rPr>
          <w:rFonts w:ascii="Palatino Linotype" w:eastAsia="Calibri" w:hAnsi="Palatino Linotype" w:cs="Arial"/>
          <w:lang w:eastAsia="es-MX"/>
        </w:rPr>
        <w:lastRenderedPageBreak/>
        <w:t>información que permite distinguirlo del resto de los habitantes, se considera que es de carácter confidencial.</w:t>
      </w:r>
    </w:p>
    <w:p w14:paraId="35727773" w14:textId="77777777" w:rsidR="004971A4" w:rsidRPr="00C00DCA" w:rsidRDefault="004971A4" w:rsidP="004971A4">
      <w:pPr>
        <w:spacing w:line="360" w:lineRule="auto"/>
        <w:contextualSpacing/>
        <w:jc w:val="both"/>
        <w:rPr>
          <w:rFonts w:ascii="Palatino Linotype" w:eastAsia="Calibri" w:hAnsi="Palatino Linotype" w:cs="Arial"/>
          <w:lang w:eastAsia="es-MX"/>
        </w:rPr>
      </w:pPr>
    </w:p>
    <w:p w14:paraId="2FB0C2AC"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rPr>
      </w:pPr>
      <w:r w:rsidRPr="00C00DCA">
        <w:rPr>
          <w:rFonts w:ascii="Palatino Linotype" w:hAnsi="Palatino Linotype" w:cs="Arial"/>
        </w:rPr>
        <w:t xml:space="preserve">Argumento </w:t>
      </w:r>
      <w:r w:rsidRPr="00C00DCA">
        <w:rPr>
          <w:rFonts w:ascii="Palatino Linotype" w:hAnsi="Palatino Linotype" w:cs="Arial"/>
          <w:lang w:eastAsia="es-MX"/>
        </w:rPr>
        <w:t>que</w:t>
      </w:r>
      <w:r w:rsidRPr="00C00DCA">
        <w:rPr>
          <w:rFonts w:ascii="Palatino Linotype" w:hAnsi="Palatino Linotype" w:cs="Arial"/>
        </w:rPr>
        <w:t xml:space="preserve"> es compartido por el </w:t>
      </w:r>
      <w:r w:rsidRPr="00C00DCA">
        <w:rPr>
          <w:rStyle w:val="Textoennegrita"/>
          <w:rFonts w:ascii="Palatino Linotype" w:hAnsi="Palatino Linotype" w:cs="Arial"/>
        </w:rPr>
        <w:t xml:space="preserve">Instituto Nacional de Transparencia, Acceso a la Información y Protección de Datos Personales, conforme al </w:t>
      </w:r>
      <w:r w:rsidRPr="00C00DCA">
        <w:rPr>
          <w:rFonts w:ascii="Palatino Linotype" w:hAnsi="Palatino Linotype" w:cs="Arial"/>
        </w:rPr>
        <w:t xml:space="preserve">criterio número 18/17 el cual refiere: </w:t>
      </w:r>
    </w:p>
    <w:p w14:paraId="2B28FD67" w14:textId="77777777" w:rsidR="004971A4" w:rsidRPr="00C00DCA" w:rsidRDefault="004971A4" w:rsidP="004971A4">
      <w:pPr>
        <w:autoSpaceDE w:val="0"/>
        <w:autoSpaceDN w:val="0"/>
        <w:adjustRightInd w:val="0"/>
        <w:spacing w:before="240" w:line="360" w:lineRule="auto"/>
        <w:ind w:left="851" w:right="851"/>
        <w:jc w:val="center"/>
        <w:rPr>
          <w:rFonts w:ascii="Palatino Linotype" w:hAnsi="Palatino Linotype" w:cs="Arial"/>
          <w:b/>
          <w:bCs/>
          <w:i/>
          <w:lang w:eastAsia="es-MX"/>
        </w:rPr>
      </w:pPr>
      <w:r w:rsidRPr="00C00DCA">
        <w:rPr>
          <w:rFonts w:ascii="Palatino Linotype" w:hAnsi="Palatino Linotype" w:cs="Arial"/>
          <w:bCs/>
          <w:i/>
          <w:lang w:eastAsia="es-MX"/>
        </w:rPr>
        <w:t>“</w:t>
      </w:r>
      <w:r w:rsidRPr="00C00DCA">
        <w:rPr>
          <w:rFonts w:ascii="Palatino Linotype" w:hAnsi="Palatino Linotype" w:cs="Arial"/>
          <w:b/>
          <w:bCs/>
          <w:i/>
          <w:lang w:eastAsia="es-MX"/>
        </w:rPr>
        <w:t>CLAVE ÚNICA DE REGISTRO DE POBLACIÓN (CURP).</w:t>
      </w:r>
    </w:p>
    <w:p w14:paraId="5E8E25BE" w14:textId="77777777" w:rsidR="004971A4" w:rsidRPr="00C00DCA" w:rsidRDefault="004971A4" w:rsidP="004971A4">
      <w:pPr>
        <w:autoSpaceDE w:val="0"/>
        <w:autoSpaceDN w:val="0"/>
        <w:adjustRightInd w:val="0"/>
        <w:spacing w:before="240" w:line="360" w:lineRule="auto"/>
        <w:ind w:left="851" w:right="851"/>
        <w:jc w:val="both"/>
        <w:rPr>
          <w:rFonts w:ascii="Palatino Linotype" w:hAnsi="Palatino Linotype" w:cs="Arial"/>
          <w:b/>
          <w:bCs/>
          <w:i/>
          <w:lang w:eastAsia="es-MX"/>
        </w:rPr>
      </w:pPr>
      <w:r w:rsidRPr="00C00DCA">
        <w:rPr>
          <w:rFonts w:ascii="Palatino Linotype" w:hAnsi="Palatino Linotype" w:cs="Arial"/>
          <w:bCs/>
          <w:i/>
          <w:lang w:eastAsia="es-MX"/>
        </w:rPr>
        <w:t xml:space="preserve">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 </w:t>
      </w:r>
    </w:p>
    <w:p w14:paraId="4FEA7B78" w14:textId="77777777" w:rsidR="004971A4" w:rsidRPr="00C00DCA" w:rsidRDefault="004971A4" w:rsidP="004971A4">
      <w:pPr>
        <w:spacing w:line="360" w:lineRule="auto"/>
        <w:contextualSpacing/>
        <w:jc w:val="both"/>
        <w:rPr>
          <w:rFonts w:ascii="Palatino Linotype" w:hAnsi="Palatino Linotype" w:cs="Arial"/>
        </w:rPr>
      </w:pPr>
    </w:p>
    <w:p w14:paraId="040F4EBC" w14:textId="77777777" w:rsidR="004971A4" w:rsidRPr="00C00DCA" w:rsidRDefault="004971A4" w:rsidP="004971A4">
      <w:pPr>
        <w:numPr>
          <w:ilvl w:val="0"/>
          <w:numId w:val="1"/>
        </w:numPr>
        <w:spacing w:line="360" w:lineRule="auto"/>
        <w:ind w:left="0" w:firstLine="0"/>
        <w:contextualSpacing/>
        <w:jc w:val="both"/>
        <w:rPr>
          <w:rFonts w:ascii="Palatino Linotype" w:hAnsi="Palatino Linotype" w:cs="Arial"/>
        </w:rPr>
      </w:pPr>
      <w:r w:rsidRPr="00C00DCA">
        <w:rPr>
          <w:rFonts w:ascii="Palatino Linotype" w:hAnsi="Palatino Linotype" w:cs="Arial"/>
        </w:rPr>
        <w:t xml:space="preserve">Lo anterior, sólo en caso de advertir información susceptible de clasificar, por ende, resulta necesario que el Comité de Transparencia del Sujeto Obligado emita el Acuerdo de Clasificación correspondiente que sustente la versión pública, el cual deberá cumplir cabalmente las formalidades previstas en el artículo 137 de la Ley de Transparencia y Acceso a la Información Pública del Estado de México y Municipios, así como los numerales aplicables de los </w:t>
      </w:r>
      <w:r w:rsidRPr="00C00DCA">
        <w:rPr>
          <w:rFonts w:ascii="Palatino Linotype" w:hAnsi="Palatino Linotype" w:cs="Arial"/>
          <w:b/>
        </w:rPr>
        <w:t>LINEAMIENTOS GENERALES EN MATERIA DE CLASIFICACIÓN Y DESCLASIFICACIÓN DE LA INFORMACIÓN, ASÍ COMO PARA LA ELABORACIÓN DE VERSIONES PÚBLICAS,</w:t>
      </w:r>
      <w:r w:rsidRPr="00C00DCA">
        <w:rPr>
          <w:rFonts w:ascii="Palatino Linotype" w:hAnsi="Palatino Linotype" w:cs="Arial"/>
        </w:rPr>
        <w:t xml:space="preserve"> publicados en el Diario Oficial de la Federación en fecha quince de abril </w:t>
      </w:r>
      <w:r w:rsidRPr="00C00DCA">
        <w:rPr>
          <w:rFonts w:ascii="Palatino Linotype" w:hAnsi="Palatino Linotype" w:cs="Arial"/>
        </w:rPr>
        <w:lastRenderedPageBreak/>
        <w:t xml:space="preserve">de dos mil dieciséis, mediante Acuerdo del Consejo Nacional del Sistema Nacional de Transparencia, Acceso a la Información Pública y Protección de Datos Personales. </w:t>
      </w:r>
    </w:p>
    <w:p w14:paraId="525A4792" w14:textId="77777777" w:rsidR="006B0428" w:rsidRPr="00C00DCA" w:rsidRDefault="006B0428" w:rsidP="000F30BC">
      <w:pPr>
        <w:tabs>
          <w:tab w:val="left" w:pos="0"/>
          <w:tab w:val="left" w:pos="284"/>
        </w:tabs>
        <w:spacing w:line="360" w:lineRule="auto"/>
        <w:ind w:right="49"/>
        <w:jc w:val="both"/>
        <w:rPr>
          <w:rFonts w:ascii="Palatino Linotype" w:eastAsia="Palatino Linotype" w:hAnsi="Palatino Linotype" w:cs="Palatino Linotype"/>
        </w:rPr>
      </w:pPr>
    </w:p>
    <w:p w14:paraId="6C788F2B" w14:textId="4E36DCDF" w:rsidR="006B0428" w:rsidRPr="00C00DCA" w:rsidRDefault="006B0428" w:rsidP="000F30BC">
      <w:pPr>
        <w:numPr>
          <w:ilvl w:val="0"/>
          <w:numId w:val="1"/>
        </w:numPr>
        <w:spacing w:line="360" w:lineRule="auto"/>
        <w:ind w:left="0" w:firstLine="0"/>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Cabe destacar que, para la realización de la clasificación de la información, se deben seguir una serie de pasos y procedimientos, por lo que es menester reiterar los mismos:</w:t>
      </w:r>
    </w:p>
    <w:p w14:paraId="68194A5F" w14:textId="77777777" w:rsidR="006B0428" w:rsidRPr="00C00DCA" w:rsidRDefault="006B0428" w:rsidP="000F30BC">
      <w:pPr>
        <w:tabs>
          <w:tab w:val="left" w:pos="284"/>
        </w:tabs>
        <w:spacing w:line="360" w:lineRule="auto"/>
        <w:ind w:right="49"/>
        <w:jc w:val="both"/>
        <w:rPr>
          <w:rFonts w:ascii="Palatino Linotype" w:eastAsia="Palatino Linotype" w:hAnsi="Palatino Linotype" w:cs="Palatino Linotype"/>
          <w:color w:val="000000"/>
        </w:rPr>
      </w:pPr>
    </w:p>
    <w:tbl>
      <w:tblPr>
        <w:tblW w:w="920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2689"/>
        <w:gridCol w:w="6520"/>
      </w:tblGrid>
      <w:tr w:rsidR="006B0428" w:rsidRPr="00C00DCA" w14:paraId="5707E024" w14:textId="77777777" w:rsidTr="00786A35">
        <w:tc>
          <w:tcPr>
            <w:tcW w:w="2689" w:type="dxa"/>
          </w:tcPr>
          <w:p w14:paraId="2D471221" w14:textId="77777777" w:rsidR="006B0428" w:rsidRPr="00C00DCA" w:rsidRDefault="006B0428" w:rsidP="000F30BC">
            <w:pPr>
              <w:tabs>
                <w:tab w:val="left" w:pos="284"/>
              </w:tabs>
              <w:spacing w:line="360" w:lineRule="auto"/>
              <w:contextualSpacing/>
              <w:rPr>
                <w:rFonts w:ascii="Palatino Linotype" w:eastAsia="Palatino Linotype" w:hAnsi="Palatino Linotype" w:cs="Palatino Linotype"/>
                <w:b/>
              </w:rPr>
            </w:pPr>
            <w:r w:rsidRPr="00C00DCA">
              <w:rPr>
                <w:rFonts w:ascii="Palatino Linotype" w:eastAsia="Palatino Linotype" w:hAnsi="Palatino Linotype" w:cs="Palatino Linotype"/>
                <w:b/>
              </w:rPr>
              <w:t>a) Requisitos previos.</w:t>
            </w:r>
          </w:p>
        </w:tc>
        <w:tc>
          <w:tcPr>
            <w:tcW w:w="6520" w:type="dxa"/>
          </w:tcPr>
          <w:p w14:paraId="160664DF" w14:textId="77777777" w:rsidR="00F17CD9"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Los artículos 100 y 122 de la Ley Estatal y de la Ley General, respectivamente, señalan </w:t>
            </w:r>
            <w:proofErr w:type="gramStart"/>
            <w:r w:rsidRPr="00C00DCA">
              <w:rPr>
                <w:rFonts w:ascii="Palatino Linotype" w:eastAsia="Palatino Linotype" w:hAnsi="Palatino Linotype" w:cs="Palatino Linotype"/>
                <w:color w:val="000000"/>
              </w:rPr>
              <w:t>que</w:t>
            </w:r>
            <w:proofErr w:type="gramEnd"/>
            <w:r w:rsidRPr="00C00DCA">
              <w:rPr>
                <w:rFonts w:ascii="Palatino Linotype" w:eastAsia="Palatino Linotype" w:hAnsi="Palatino Linotype" w:cs="Palatino Linotype"/>
                <w:color w:val="000000"/>
              </w:rPr>
              <w:t xml:space="preserve"> si los Sujetos Obligados determinan que la información actualiza alguno de los supuestos de clasificación, es deber de los titulares de las áreas proponer su clasificación y no del Comité de Transparencia. </w:t>
            </w:r>
          </w:p>
          <w:p w14:paraId="72C2705B"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03AC47EE" w14:textId="0E587663"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Al hacerlo tienen que precisar de qué información se trata, señalando el supuesto de clasificación (confidencialidad o reserva).</w:t>
            </w:r>
          </w:p>
          <w:p w14:paraId="03502B1D"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Además, se debe señalar el procedimiento, de los tres que establecen los artículos 132 y 106 de la Ley Estatal y General, respectivamente.</w:t>
            </w:r>
          </w:p>
          <w:p w14:paraId="285D3C56"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53F6D30C" w14:textId="77777777" w:rsidR="006B0428" w:rsidRPr="00C00DCA" w:rsidRDefault="006B0428" w:rsidP="000F30BC">
            <w:pPr>
              <w:tabs>
                <w:tab w:val="left" w:pos="284"/>
              </w:tabs>
              <w:spacing w:line="360" w:lineRule="auto"/>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El último de estos requisitos previos consiste en que no se pueden emitir acuerdos de carácter general ni particular, esto es, </w:t>
            </w:r>
            <w:r w:rsidRPr="00C00DCA">
              <w:rPr>
                <w:rFonts w:ascii="Palatino Linotype" w:eastAsia="Palatino Linotype" w:hAnsi="Palatino Linotype" w:cs="Palatino Linotype"/>
                <w:color w:val="000000"/>
                <w:u w:val="single"/>
              </w:rPr>
              <w:t xml:space="preserve">no se puede hacer un acuerdo para clasificar de </w:t>
            </w:r>
            <w:r w:rsidRPr="00C00DCA">
              <w:rPr>
                <w:rFonts w:ascii="Palatino Linotype" w:eastAsia="Palatino Linotype" w:hAnsi="Palatino Linotype" w:cs="Palatino Linotype"/>
                <w:color w:val="000000"/>
                <w:u w:val="single"/>
              </w:rPr>
              <w:lastRenderedPageBreak/>
              <w:t>manera general todos los documentos de un expediente o área, sin</w:t>
            </w:r>
            <w:r w:rsidRPr="00C00DCA">
              <w:rPr>
                <w:rFonts w:ascii="Palatino Linotype" w:eastAsia="Palatino Linotype" w:hAnsi="Palatino Linotype" w:cs="Palatino Linotype"/>
                <w:color w:val="000000"/>
              </w:rPr>
              <w:t xml:space="preserve"> individualizar su análisis y tampoco se puede hacer un acuerdo por cada dato que se vaya a clasificar dentro de un documento con diez datos, por ejemplo, susceptibles de ser clasificados.</w:t>
            </w:r>
          </w:p>
          <w:p w14:paraId="3592AD1C" w14:textId="77777777" w:rsidR="006548AD" w:rsidRPr="00C00DCA" w:rsidRDefault="006548AD" w:rsidP="000F30BC">
            <w:pPr>
              <w:tabs>
                <w:tab w:val="left" w:pos="284"/>
              </w:tabs>
              <w:spacing w:line="360" w:lineRule="auto"/>
              <w:contextualSpacing/>
              <w:jc w:val="both"/>
              <w:rPr>
                <w:rFonts w:ascii="Palatino Linotype" w:eastAsia="Palatino Linotype" w:hAnsi="Palatino Linotype" w:cs="Palatino Linotype"/>
              </w:rPr>
            </w:pPr>
          </w:p>
        </w:tc>
      </w:tr>
      <w:tr w:rsidR="006B0428" w:rsidRPr="00C00DCA" w14:paraId="37D435E4" w14:textId="77777777" w:rsidTr="00786A35">
        <w:tc>
          <w:tcPr>
            <w:tcW w:w="2689" w:type="dxa"/>
          </w:tcPr>
          <w:p w14:paraId="642EB52B" w14:textId="77777777" w:rsidR="006B0428" w:rsidRPr="00C00DCA" w:rsidRDefault="006B0428" w:rsidP="000F30BC">
            <w:pPr>
              <w:tabs>
                <w:tab w:val="left" w:pos="284"/>
              </w:tabs>
              <w:spacing w:line="360" w:lineRule="auto"/>
              <w:contextualSpacing/>
              <w:rPr>
                <w:rFonts w:ascii="Palatino Linotype" w:eastAsia="Palatino Linotype" w:hAnsi="Palatino Linotype" w:cs="Palatino Linotype"/>
                <w:b/>
              </w:rPr>
            </w:pPr>
            <w:r w:rsidRPr="00C00DCA">
              <w:rPr>
                <w:rFonts w:ascii="Palatino Linotype" w:eastAsia="Palatino Linotype" w:hAnsi="Palatino Linotype" w:cs="Palatino Linotype"/>
                <w:b/>
              </w:rPr>
              <w:lastRenderedPageBreak/>
              <w:t>b) Supuestos de clasificación.</w:t>
            </w:r>
          </w:p>
        </w:tc>
        <w:tc>
          <w:tcPr>
            <w:tcW w:w="6520" w:type="dxa"/>
          </w:tcPr>
          <w:p w14:paraId="6EE928A1"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Las disposiciones constitucionales y legales en la materia establecen los dos supuestos generales para clasificar la información: por reserva y por confidencialidad.</w:t>
            </w:r>
          </w:p>
          <w:p w14:paraId="1BE06AAA"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01C8ABEB"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debe acreditarse que se cumple con esta condición y no se pueden ampliar las excepciones o supuestos de clasificación aduciendo analogía o mayoría de razón.</w:t>
            </w:r>
          </w:p>
          <w:p w14:paraId="0B68B0D0"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3F0B6387" w14:textId="77777777" w:rsidR="006B0428" w:rsidRPr="00C00DCA" w:rsidRDefault="006B0428" w:rsidP="000F30BC">
            <w:pPr>
              <w:tabs>
                <w:tab w:val="left" w:pos="284"/>
              </w:tabs>
              <w:spacing w:line="360" w:lineRule="auto"/>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El </w:t>
            </w:r>
            <w:r w:rsidRPr="00C00DCA">
              <w:rPr>
                <w:rFonts w:ascii="Palatino Linotype" w:eastAsia="Palatino Linotype" w:hAnsi="Palatino Linotype" w:cs="Palatino Linotype"/>
                <w:b/>
                <w:color w:val="000000"/>
              </w:rPr>
              <w:t>Sujeto Obligado</w:t>
            </w:r>
            <w:r w:rsidRPr="00C00DCA">
              <w:rPr>
                <w:rFonts w:ascii="Palatino Linotype" w:eastAsia="Palatino Linotype" w:hAnsi="Palatino Linotype" w:cs="Palatino Linotype"/>
                <w:color w:val="000000"/>
              </w:rPr>
              <w:t xml:space="preserve"> debe identificar claramente el tipo de información y hacer un juicio de subsunción o encaje para acreditar que el supuesto de hecho corresponde </w:t>
            </w:r>
            <w:r w:rsidRPr="00C00DCA">
              <w:rPr>
                <w:rFonts w:ascii="Palatino Linotype" w:eastAsia="Palatino Linotype" w:hAnsi="Palatino Linotype" w:cs="Palatino Linotype"/>
                <w:color w:val="000000"/>
              </w:rPr>
              <w:lastRenderedPageBreak/>
              <w:t>estrictamente con la hipótesis jurídica. Esto también lo debe de realizar el servidor público habilitado y el titular del área que administra la información.</w:t>
            </w:r>
          </w:p>
          <w:p w14:paraId="0A77FA91" w14:textId="77777777" w:rsidR="006548AD" w:rsidRPr="00C00DCA" w:rsidRDefault="006548AD" w:rsidP="000F30BC">
            <w:pPr>
              <w:tabs>
                <w:tab w:val="left" w:pos="284"/>
              </w:tabs>
              <w:spacing w:line="360" w:lineRule="auto"/>
              <w:contextualSpacing/>
              <w:jc w:val="both"/>
              <w:rPr>
                <w:rFonts w:ascii="Palatino Linotype" w:eastAsia="Palatino Linotype" w:hAnsi="Palatino Linotype" w:cs="Palatino Linotype"/>
              </w:rPr>
            </w:pPr>
          </w:p>
        </w:tc>
      </w:tr>
      <w:tr w:rsidR="006B0428" w:rsidRPr="00C00DCA" w14:paraId="4F977BF4" w14:textId="77777777" w:rsidTr="00786A35">
        <w:tc>
          <w:tcPr>
            <w:tcW w:w="2689" w:type="dxa"/>
          </w:tcPr>
          <w:p w14:paraId="6324328D" w14:textId="77777777" w:rsidR="006B0428" w:rsidRPr="00C00DCA" w:rsidRDefault="006B0428" w:rsidP="000F30BC">
            <w:pPr>
              <w:tabs>
                <w:tab w:val="left" w:pos="284"/>
              </w:tabs>
              <w:spacing w:line="360" w:lineRule="auto"/>
              <w:contextualSpacing/>
              <w:rPr>
                <w:rFonts w:ascii="Palatino Linotype" w:eastAsia="Palatino Linotype" w:hAnsi="Palatino Linotype" w:cs="Palatino Linotype"/>
                <w:b/>
              </w:rPr>
            </w:pPr>
            <w:r w:rsidRPr="00C00DCA">
              <w:rPr>
                <w:rFonts w:ascii="Palatino Linotype" w:eastAsia="Palatino Linotype" w:hAnsi="Palatino Linotype" w:cs="Palatino Linotype"/>
                <w:b/>
              </w:rPr>
              <w:lastRenderedPageBreak/>
              <w:t>c) Formalidades para emitir el acuerdo de clasificación.</w:t>
            </w:r>
          </w:p>
        </w:tc>
        <w:tc>
          <w:tcPr>
            <w:tcW w:w="6520" w:type="dxa"/>
          </w:tcPr>
          <w:p w14:paraId="7EB427C1"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El Comité de Transparencia, según lo dispuesto en los artículos cuenta con las facultades para aprobar, modificar o revocar la clasificación de la información que haya propuesto. </w:t>
            </w:r>
          </w:p>
          <w:p w14:paraId="4A53BFC1"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606623D4"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Es necesario que </w:t>
            </w:r>
            <w:r w:rsidRPr="00C00DCA">
              <w:rPr>
                <w:rFonts w:ascii="Palatino Linotype" w:eastAsia="Palatino Linotype" w:hAnsi="Palatino Linotype" w:cs="Palatino Linotype"/>
                <w:b/>
                <w:color w:val="000000"/>
                <w:u w:val="single"/>
              </w:rPr>
              <w:t>el acto reúna con los requisitos elementales</w:t>
            </w:r>
            <w:r w:rsidRPr="00C00DCA">
              <w:rPr>
                <w:rFonts w:ascii="Palatino Linotype" w:eastAsia="Palatino Linotype" w:hAnsi="Palatino Linotype" w:cs="Palatino Linotype"/>
                <w:color w:val="000000"/>
              </w:rPr>
              <w:t>, entre ellos, que la autoridad que va a emitir el acto de autoridad sea la legalmente facultada para ello.</w:t>
            </w:r>
          </w:p>
          <w:p w14:paraId="32F608A9" w14:textId="77777777" w:rsidR="006B0428" w:rsidRPr="00C00DCA" w:rsidRDefault="006B0428" w:rsidP="000F30BC">
            <w:pPr>
              <w:tabs>
                <w:tab w:val="left" w:pos="284"/>
              </w:tabs>
              <w:spacing w:line="360" w:lineRule="auto"/>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áreas y que son sujetas a control, en primera instancia, por el Comité de Transparencia.</w:t>
            </w:r>
          </w:p>
          <w:p w14:paraId="49795AA6" w14:textId="77777777" w:rsidR="006548AD" w:rsidRPr="00C00DCA" w:rsidRDefault="006548AD" w:rsidP="000F30BC">
            <w:pPr>
              <w:tabs>
                <w:tab w:val="left" w:pos="284"/>
              </w:tabs>
              <w:spacing w:line="360" w:lineRule="auto"/>
              <w:contextualSpacing/>
              <w:jc w:val="both"/>
              <w:rPr>
                <w:rFonts w:ascii="Palatino Linotype" w:eastAsia="Palatino Linotype" w:hAnsi="Palatino Linotype" w:cs="Palatino Linotype"/>
              </w:rPr>
            </w:pPr>
          </w:p>
        </w:tc>
      </w:tr>
      <w:tr w:rsidR="006B0428" w:rsidRPr="00C00DCA" w14:paraId="6B55CD3A" w14:textId="77777777" w:rsidTr="00786A35">
        <w:tc>
          <w:tcPr>
            <w:tcW w:w="2689" w:type="dxa"/>
          </w:tcPr>
          <w:p w14:paraId="017B1DD4" w14:textId="77777777" w:rsidR="006B0428" w:rsidRPr="00C00DCA" w:rsidRDefault="006B0428" w:rsidP="000F30BC">
            <w:pPr>
              <w:tabs>
                <w:tab w:val="left" w:pos="284"/>
              </w:tabs>
              <w:spacing w:line="360" w:lineRule="auto"/>
              <w:contextualSpacing/>
              <w:rPr>
                <w:rFonts w:ascii="Palatino Linotype" w:eastAsia="Palatino Linotype" w:hAnsi="Palatino Linotype" w:cs="Palatino Linotype"/>
                <w:b/>
              </w:rPr>
            </w:pPr>
          </w:p>
          <w:p w14:paraId="6B340DDA" w14:textId="77777777" w:rsidR="006B0428" w:rsidRPr="00C00DCA" w:rsidRDefault="006B0428" w:rsidP="000F30BC">
            <w:pPr>
              <w:tabs>
                <w:tab w:val="left" w:pos="284"/>
              </w:tabs>
              <w:spacing w:line="360" w:lineRule="auto"/>
              <w:contextualSpacing/>
              <w:jc w:val="both"/>
              <w:rPr>
                <w:rFonts w:ascii="Palatino Linotype" w:eastAsia="Palatino Linotype" w:hAnsi="Palatino Linotype" w:cs="Palatino Linotype"/>
                <w:b/>
              </w:rPr>
            </w:pPr>
            <w:r w:rsidRPr="00C00DCA">
              <w:rPr>
                <w:rFonts w:ascii="Palatino Linotype" w:eastAsia="Palatino Linotype" w:hAnsi="Palatino Linotype" w:cs="Palatino Linotype"/>
                <w:b/>
                <w:color w:val="000000"/>
              </w:rPr>
              <w:lastRenderedPageBreak/>
              <w:t xml:space="preserve">d) Requisitos de fondo del acuerdo de clasificación. </w:t>
            </w:r>
          </w:p>
        </w:tc>
        <w:tc>
          <w:tcPr>
            <w:tcW w:w="6520" w:type="dxa"/>
          </w:tcPr>
          <w:p w14:paraId="47045B1C"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lastRenderedPageBreak/>
              <w:t xml:space="preserve">Como se ha señalado antes, al hacer el juicio de subsunción o encaje entre el supuesto de hecho y la hipótesis jurídica, </w:t>
            </w:r>
            <w:r w:rsidRPr="00C00DCA">
              <w:rPr>
                <w:rFonts w:ascii="Palatino Linotype" w:eastAsia="Palatino Linotype" w:hAnsi="Palatino Linotype" w:cs="Palatino Linotype"/>
                <w:color w:val="000000"/>
              </w:rPr>
              <w:lastRenderedPageBreak/>
              <w:t xml:space="preserve">se debe acreditar la estricta correspondencia entre un elemento y otro. Ahora, en esta parte del procedimiento, que se desahoga en sede del Comité de Transparencia, la ley señala que la carga de la prueba, para justificar las restricciones, corresponde a los </w:t>
            </w:r>
            <w:r w:rsidRPr="00C00DCA">
              <w:rPr>
                <w:rFonts w:ascii="Palatino Linotype" w:eastAsia="Palatino Linotype" w:hAnsi="Palatino Linotype" w:cs="Palatino Linotype"/>
                <w:b/>
                <w:color w:val="000000"/>
              </w:rPr>
              <w:t>Sujetos Obligados</w:t>
            </w:r>
            <w:r w:rsidRPr="00C00DCA">
              <w:rPr>
                <w:rFonts w:ascii="Palatino Linotype" w:eastAsia="Palatino Linotype" w:hAnsi="Palatino Linotype" w:cs="Palatino Linotype"/>
                <w:color w:val="000000"/>
              </w:rPr>
              <w:t xml:space="preserve">, por lo que deberán fundar y motivar debidamente la clasificación. </w:t>
            </w:r>
          </w:p>
          <w:p w14:paraId="0D280A61"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De lo anterior, se desprende </w:t>
            </w:r>
            <w:proofErr w:type="gramStart"/>
            <w:r w:rsidRPr="00C00DCA">
              <w:rPr>
                <w:rFonts w:ascii="Palatino Linotype" w:eastAsia="Palatino Linotype" w:hAnsi="Palatino Linotype" w:cs="Palatino Linotype"/>
                <w:color w:val="000000"/>
              </w:rPr>
              <w:t>que</w:t>
            </w:r>
            <w:proofErr w:type="gramEnd"/>
            <w:r w:rsidRPr="00C00DCA">
              <w:rPr>
                <w:rFonts w:ascii="Palatino Linotype" w:eastAsia="Palatino Linotype" w:hAnsi="Palatino Linotype" w:cs="Palatino Linotype"/>
                <w:color w:val="000000"/>
              </w:rPr>
              <w:t xml:space="preserve"> para una correcta </w:t>
            </w:r>
            <w:r w:rsidRPr="00C00DCA">
              <w:rPr>
                <w:rFonts w:ascii="Palatino Linotype" w:eastAsia="Palatino Linotype" w:hAnsi="Palatino Linotype" w:cs="Palatino Linotype"/>
                <w:b/>
                <w:color w:val="000000"/>
              </w:rPr>
              <w:t>clasificación total o parcial</w:t>
            </w:r>
            <w:r w:rsidRPr="00C00DCA">
              <w:rPr>
                <w:rFonts w:ascii="Palatino Linotype" w:eastAsia="Palatino Linotype" w:hAnsi="Palatino Linotype" w:cs="Palatino Linotype"/>
                <w:color w:val="000000"/>
              </w:rPr>
              <w:t>, esto es determinar los datos 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14:paraId="09F01EB1"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3FFE2D6E" w14:textId="77777777" w:rsidR="00F17CD9"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De este modo, la persona que se sienta afectada pueda impugnar la decisión, permitiéndole una real y auténtica defensa.</w:t>
            </w:r>
          </w:p>
          <w:p w14:paraId="4A4CA859"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5B702580" w14:textId="1521BC9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lastRenderedPageBreak/>
              <w:t>En ese mismo sentido, el numeral trigésimo tercero fracción V de los Lineamientos Generales, precisa que para motivar la clasificación se deben acreditar las circunstancias de tiempo, modo y lugar.</w:t>
            </w:r>
          </w:p>
          <w:p w14:paraId="79E340B6"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23B71456"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Ahora bien, </w:t>
            </w:r>
            <w:r w:rsidRPr="00C00DCA">
              <w:rPr>
                <w:rFonts w:ascii="Palatino Linotype" w:eastAsia="Palatino Linotype" w:hAnsi="Palatino Linotype" w:cs="Palatino Linotype"/>
                <w:b/>
                <w:color w:val="000000"/>
                <w:u w:val="single"/>
              </w:rPr>
              <w:t>para cada caso además de fundar y motivar</w:t>
            </w:r>
            <w:r w:rsidRPr="00C00DCA">
              <w:rPr>
                <w:rFonts w:ascii="Palatino Linotype" w:eastAsia="Palatino Linotype" w:hAnsi="Palatino Linotype" w:cs="Palatino Linotype"/>
                <w:color w:val="000000"/>
              </w:rPr>
              <w:t>, se debe identificar con claridad que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p w14:paraId="785B8DA4" w14:textId="77777777" w:rsidR="006548AD" w:rsidRPr="00C00DCA" w:rsidRDefault="006548AD" w:rsidP="000F30BC">
            <w:pPr>
              <w:tabs>
                <w:tab w:val="left" w:pos="284"/>
              </w:tabs>
              <w:spacing w:line="360" w:lineRule="auto"/>
              <w:ind w:right="49"/>
              <w:contextualSpacing/>
              <w:jc w:val="both"/>
              <w:rPr>
                <w:rFonts w:ascii="Palatino Linotype" w:eastAsia="Palatino Linotype" w:hAnsi="Palatino Linotype" w:cs="Palatino Linotype"/>
                <w:color w:val="000000"/>
              </w:rPr>
            </w:pPr>
          </w:p>
        </w:tc>
      </w:tr>
      <w:tr w:rsidR="006B0428" w:rsidRPr="00C00DCA" w14:paraId="7270232B" w14:textId="77777777" w:rsidTr="00786A35">
        <w:tc>
          <w:tcPr>
            <w:tcW w:w="2689" w:type="dxa"/>
          </w:tcPr>
          <w:p w14:paraId="55AF25A0"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b/>
              </w:rPr>
            </w:pPr>
            <w:r w:rsidRPr="00C00DCA">
              <w:rPr>
                <w:rFonts w:ascii="Palatino Linotype" w:eastAsia="Palatino Linotype" w:hAnsi="Palatino Linotype" w:cs="Palatino Linotype"/>
                <w:b/>
              </w:rPr>
              <w:lastRenderedPageBreak/>
              <w:t xml:space="preserve">e) Condiciones especiales de la clasificación de la información como confidencial. </w:t>
            </w:r>
          </w:p>
        </w:tc>
        <w:tc>
          <w:tcPr>
            <w:tcW w:w="6520" w:type="dxa"/>
          </w:tcPr>
          <w:p w14:paraId="3B435932"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Los artículos 148 y 120 de la Ley Estatal y de la Ley General, respectivamente, establecen </w:t>
            </w:r>
            <w:proofErr w:type="gramStart"/>
            <w:r w:rsidRPr="00C00DCA">
              <w:rPr>
                <w:rFonts w:ascii="Palatino Linotype" w:eastAsia="Palatino Linotype" w:hAnsi="Palatino Linotype" w:cs="Palatino Linotype"/>
                <w:color w:val="000000"/>
              </w:rPr>
              <w:t>que</w:t>
            </w:r>
            <w:proofErr w:type="gramEnd"/>
            <w:r w:rsidRPr="00C00DCA">
              <w:rPr>
                <w:rFonts w:ascii="Palatino Linotype" w:eastAsia="Palatino Linotype" w:hAnsi="Palatino Linotype" w:cs="Palatino Linotype"/>
                <w:color w:val="000000"/>
              </w:rPr>
              <w:t xml:space="preserve"> aun tratándose de datos personales, se podrán proporcionar, incluso sin solicitar el consentimiento de su titular. </w:t>
            </w:r>
          </w:p>
          <w:p w14:paraId="1E3672EA"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21C1A67D" w14:textId="77777777" w:rsidR="006B0428" w:rsidRPr="00C00DCA" w:rsidRDefault="006B0428" w:rsidP="000F30BC">
            <w:pPr>
              <w:tabs>
                <w:tab w:val="left" w:pos="284"/>
              </w:tabs>
              <w:spacing w:line="360" w:lineRule="auto"/>
              <w:ind w:right="49"/>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color w:val="000000"/>
              </w:rPr>
              <w:t xml:space="preserve">En el caso de lo señalado en la fracción IV, será el Instituto quien deba aplicar la prueba de interés público, considerando también que como recientemente ha discutido la Suprema Corte de Justicia de la Nación, los </w:t>
            </w:r>
            <w:r w:rsidRPr="00C00DCA">
              <w:rPr>
                <w:rFonts w:ascii="Palatino Linotype" w:eastAsia="Palatino Linotype" w:hAnsi="Palatino Linotype" w:cs="Palatino Linotype"/>
                <w:color w:val="000000"/>
              </w:rPr>
              <w:lastRenderedPageBreak/>
              <w:t xml:space="preserve">servidores públicos nos encontramos sujetos a un régimen menor de protección. </w:t>
            </w:r>
          </w:p>
          <w:p w14:paraId="29E34AF5" w14:textId="77777777" w:rsidR="00F17CD9" w:rsidRPr="00C00DCA" w:rsidRDefault="00F17CD9" w:rsidP="000F30BC">
            <w:pPr>
              <w:tabs>
                <w:tab w:val="left" w:pos="284"/>
              </w:tabs>
              <w:spacing w:line="360" w:lineRule="auto"/>
              <w:ind w:right="49"/>
              <w:contextualSpacing/>
              <w:jc w:val="both"/>
              <w:rPr>
                <w:rFonts w:ascii="Palatino Linotype" w:eastAsia="Palatino Linotype" w:hAnsi="Palatino Linotype" w:cs="Palatino Linotype"/>
                <w:color w:val="000000"/>
              </w:rPr>
            </w:pPr>
          </w:p>
          <w:p w14:paraId="1D1CBC4A" w14:textId="77777777" w:rsidR="006B0428" w:rsidRPr="00C00DCA" w:rsidRDefault="006B0428" w:rsidP="000F30BC">
            <w:pPr>
              <w:tabs>
                <w:tab w:val="left" w:pos="284"/>
              </w:tabs>
              <w:spacing w:line="360" w:lineRule="auto"/>
              <w:contextualSpacing/>
              <w:jc w:val="both"/>
              <w:rPr>
                <w:rFonts w:ascii="Palatino Linotype" w:eastAsia="Palatino Linotype" w:hAnsi="Palatino Linotype" w:cs="Palatino Linotype"/>
              </w:rPr>
            </w:pPr>
            <w:r w:rsidRPr="00C00DCA">
              <w:rPr>
                <w:rFonts w:ascii="Palatino Linotype" w:eastAsia="Palatino Linotype" w:hAnsi="Palatino Linotype" w:cs="Palatino Linotype"/>
                <w:color w:val="000000"/>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14:paraId="3254A56B" w14:textId="77777777" w:rsidR="004971A4" w:rsidRPr="00C00DCA" w:rsidRDefault="004971A4" w:rsidP="004971A4">
      <w:pPr>
        <w:spacing w:line="360" w:lineRule="auto"/>
        <w:contextualSpacing/>
        <w:jc w:val="both"/>
        <w:rPr>
          <w:rFonts w:ascii="Palatino Linotype" w:eastAsia="Palatino Linotype" w:hAnsi="Palatino Linotype" w:cs="Palatino Linotype"/>
          <w:color w:val="000000"/>
        </w:rPr>
      </w:pPr>
    </w:p>
    <w:p w14:paraId="1404C27D" w14:textId="77777777" w:rsidR="006B0428" w:rsidRPr="00C00DCA" w:rsidRDefault="006B0428" w:rsidP="000F30BC">
      <w:pPr>
        <w:numPr>
          <w:ilvl w:val="0"/>
          <w:numId w:val="1"/>
        </w:numPr>
        <w:spacing w:line="360" w:lineRule="auto"/>
        <w:ind w:left="0" w:firstLine="0"/>
        <w:contextualSpacing/>
        <w:jc w:val="both"/>
        <w:rPr>
          <w:rFonts w:ascii="Palatino Linotype" w:eastAsia="Palatino Linotype" w:hAnsi="Palatino Linotype" w:cs="Palatino Linotype"/>
          <w:color w:val="000000"/>
        </w:rPr>
      </w:pPr>
      <w:r w:rsidRPr="00C00DCA">
        <w:rPr>
          <w:rFonts w:ascii="Palatino Linotype" w:eastAsia="Palatino Linotype" w:hAnsi="Palatino Linotype" w:cs="Palatino Linotype"/>
        </w:rPr>
        <w:t xml:space="preserve">Si el </w:t>
      </w:r>
      <w:r w:rsidRPr="00C00DCA">
        <w:rPr>
          <w:rFonts w:ascii="Palatino Linotype" w:eastAsia="Palatino Linotype" w:hAnsi="Palatino Linotype" w:cs="Palatino Linotype"/>
          <w:color w:val="000000"/>
        </w:rPr>
        <w:t>servidor</w:t>
      </w:r>
      <w:r w:rsidRPr="00C00DCA">
        <w:rPr>
          <w:rFonts w:ascii="Palatino Linotype" w:eastAsia="Palatino Linotype" w:hAnsi="Palatino Linotype" w:cs="Palatino Linotype"/>
        </w:rPr>
        <w:t xml:space="preserve"> público incumple con estas formalidades y entrega la información sin </w:t>
      </w:r>
      <w:r w:rsidRPr="00C00DCA">
        <w:rPr>
          <w:rFonts w:ascii="Palatino Linotype" w:eastAsia="Palatino Linotype" w:hAnsi="Palatino Linotype" w:cs="Palatino Linotype"/>
          <w:color w:val="000000"/>
        </w:rPr>
        <w:t>proteger</w:t>
      </w:r>
      <w:r w:rsidRPr="00C00DCA">
        <w:rPr>
          <w:rFonts w:ascii="Palatino Linotype" w:eastAsia="Palatino Linotype" w:hAnsi="Palatino Linotype" w:cs="Palatino Linotype"/>
        </w:rPr>
        <w:t xml:space="preserve"> los datos personales incumple con lo que estipula las disposiciones legales </w:t>
      </w:r>
      <w:r w:rsidRPr="00C00DCA">
        <w:rPr>
          <w:rFonts w:ascii="Palatino Linotype" w:eastAsia="Palatino Linotype" w:hAnsi="Palatino Linotype" w:cs="Palatino Linotype"/>
          <w:color w:val="000000"/>
        </w:rPr>
        <w:t>establecidas</w:t>
      </w:r>
      <w:r w:rsidRPr="00C00DCA">
        <w:rPr>
          <w:rFonts w:ascii="Palatino Linotype" w:eastAsia="Palatino Linotype" w:hAnsi="Palatino Linotype" w:cs="Palatino Linotype"/>
        </w:rPr>
        <w:t>, asimismo que si entrega un documento testado sin el debido acuerdo de clasificación.</w:t>
      </w:r>
    </w:p>
    <w:p w14:paraId="15A5FDF2" w14:textId="77777777" w:rsidR="006B0428" w:rsidRPr="00C00DCA" w:rsidRDefault="006B0428" w:rsidP="000F30BC">
      <w:pPr>
        <w:pStyle w:val="Prrafodelista"/>
        <w:spacing w:line="360" w:lineRule="auto"/>
        <w:ind w:left="0"/>
        <w:jc w:val="both"/>
        <w:rPr>
          <w:rFonts w:ascii="Palatino Linotype" w:eastAsia="Palatino Linotype" w:hAnsi="Palatino Linotype" w:cs="Palatino Linotype"/>
          <w:color w:val="000000"/>
        </w:rPr>
      </w:pPr>
    </w:p>
    <w:p w14:paraId="1C0BD9CC" w14:textId="77777777" w:rsidR="006B0428" w:rsidRPr="00C00DCA" w:rsidRDefault="006B0428" w:rsidP="000F30BC">
      <w:pPr>
        <w:numPr>
          <w:ilvl w:val="0"/>
          <w:numId w:val="1"/>
        </w:numPr>
        <w:spacing w:line="360" w:lineRule="auto"/>
        <w:ind w:left="0" w:firstLine="0"/>
        <w:contextualSpacing/>
        <w:jc w:val="both"/>
        <w:rPr>
          <w:rFonts w:ascii="Palatino Linotype" w:eastAsia="Calibri" w:hAnsi="Palatino Linotype" w:cs="Arial"/>
        </w:rPr>
      </w:pPr>
      <w:r w:rsidRPr="00C00DCA">
        <w:rPr>
          <w:rFonts w:ascii="Palatino Linotype" w:hAnsi="Palatino Linotype" w:cs="Arial"/>
          <w:color w:val="222222"/>
        </w:rPr>
        <w:t xml:space="preserve">Por lo anteriormente expuesto y fundado, este </w:t>
      </w:r>
      <w:r w:rsidRPr="00C00DCA">
        <w:rPr>
          <w:rFonts w:ascii="Palatino Linotype" w:hAnsi="Palatino Linotype" w:cs="Arial"/>
          <w:b/>
          <w:bCs/>
          <w:color w:val="222222"/>
        </w:rPr>
        <w:t>ÓRGANO GARANTE</w:t>
      </w:r>
      <w:r w:rsidRPr="00C00DCA">
        <w:rPr>
          <w:rFonts w:ascii="Palatino Linotype" w:hAnsi="Palatino Linotype" w:cs="Arial"/>
          <w:color w:val="222222"/>
        </w:rPr>
        <w:t xml:space="preserve"> emite los siguientes:</w:t>
      </w:r>
    </w:p>
    <w:p w14:paraId="52AAF95C" w14:textId="77777777" w:rsidR="00AC5C39" w:rsidRPr="00C00DCA" w:rsidRDefault="00AC5C39" w:rsidP="000F30BC">
      <w:pPr>
        <w:keepNext/>
        <w:keepLines/>
        <w:spacing w:line="360" w:lineRule="auto"/>
        <w:jc w:val="center"/>
        <w:outlineLvl w:val="0"/>
        <w:rPr>
          <w:rFonts w:ascii="Palatino Linotype" w:eastAsiaTheme="majorEastAsia" w:hAnsi="Palatino Linotype" w:cstheme="majorBidi"/>
          <w:b/>
          <w:color w:val="000000" w:themeColor="text1"/>
          <w:lang w:eastAsia="en-US"/>
        </w:rPr>
      </w:pPr>
      <w:r w:rsidRPr="00C00DCA">
        <w:rPr>
          <w:rFonts w:ascii="Palatino Linotype" w:eastAsiaTheme="majorEastAsia" w:hAnsi="Palatino Linotype" w:cstheme="majorBidi"/>
          <w:b/>
          <w:color w:val="000000" w:themeColor="text1"/>
          <w:lang w:eastAsia="en-US"/>
        </w:rPr>
        <w:t>R E S O L U T I V O S</w:t>
      </w:r>
    </w:p>
    <w:p w14:paraId="042D2B13" w14:textId="77777777" w:rsidR="00AC5C39" w:rsidRPr="00C00DCA" w:rsidRDefault="00AC5C39" w:rsidP="000F30BC">
      <w:pPr>
        <w:spacing w:line="360" w:lineRule="auto"/>
        <w:ind w:right="48"/>
        <w:jc w:val="both"/>
        <w:rPr>
          <w:rFonts w:ascii="Palatino Linotype" w:hAnsi="Palatino Linotype" w:cs="Arial"/>
          <w:b/>
        </w:rPr>
      </w:pPr>
    </w:p>
    <w:p w14:paraId="28DE6322" w14:textId="5D1704C6" w:rsidR="00F9477D" w:rsidRPr="00C00DCA" w:rsidRDefault="00F9477D" w:rsidP="000F30BC">
      <w:pPr>
        <w:spacing w:line="360" w:lineRule="auto"/>
        <w:jc w:val="both"/>
        <w:rPr>
          <w:rFonts w:ascii="Palatino Linotype" w:eastAsia="Times New Roman" w:hAnsi="Palatino Linotype" w:cs="Arial"/>
          <w:lang w:val="es-ES"/>
        </w:rPr>
      </w:pPr>
      <w:r w:rsidRPr="00C00DCA">
        <w:rPr>
          <w:rFonts w:ascii="Palatino Linotype" w:eastAsia="Times New Roman" w:hAnsi="Palatino Linotype" w:cs="Arial"/>
          <w:b/>
        </w:rPr>
        <w:t>PRIMERO</w:t>
      </w:r>
      <w:r w:rsidRPr="00C00DCA">
        <w:rPr>
          <w:rFonts w:ascii="Palatino Linotype" w:eastAsia="Times New Roman" w:hAnsi="Palatino Linotype" w:cs="Arial"/>
          <w:lang w:val="es-ES"/>
        </w:rPr>
        <w:t>. Resultan</w:t>
      </w:r>
      <w:r w:rsidR="00192968" w:rsidRPr="00C00DCA">
        <w:rPr>
          <w:rFonts w:ascii="Palatino Linotype" w:eastAsia="Times New Roman" w:hAnsi="Palatino Linotype" w:cs="Arial"/>
          <w:lang w:val="es-ES"/>
        </w:rPr>
        <w:t xml:space="preserve"> parcialmente</w:t>
      </w:r>
      <w:r w:rsidRPr="00C00DCA">
        <w:rPr>
          <w:rFonts w:ascii="Palatino Linotype" w:eastAsia="Times New Roman" w:hAnsi="Palatino Linotype" w:cs="Arial"/>
          <w:lang w:val="es-ES"/>
        </w:rPr>
        <w:t xml:space="preserve"> fundadas las razones o motivos de inconformidad hechos valer en el Recurso de Revisión </w:t>
      </w:r>
      <w:r w:rsidR="004971A4" w:rsidRPr="00C00DCA">
        <w:rPr>
          <w:rFonts w:ascii="Palatino Linotype" w:hAnsi="Palatino Linotype" w:cs="Arial"/>
          <w:b/>
          <w:bCs/>
          <w:lang w:eastAsia="es-MX"/>
        </w:rPr>
        <w:t>045</w:t>
      </w:r>
      <w:r w:rsidR="003B7DE2" w:rsidRPr="00C00DCA">
        <w:rPr>
          <w:rFonts w:ascii="Palatino Linotype" w:hAnsi="Palatino Linotype" w:cs="Arial"/>
          <w:b/>
          <w:bCs/>
          <w:lang w:eastAsia="es-MX"/>
        </w:rPr>
        <w:t>7</w:t>
      </w:r>
      <w:r w:rsidR="00F17CD9" w:rsidRPr="00C00DCA">
        <w:rPr>
          <w:rFonts w:ascii="Palatino Linotype" w:hAnsi="Palatino Linotype" w:cs="Arial"/>
          <w:b/>
          <w:bCs/>
          <w:lang w:eastAsia="es-MX"/>
        </w:rPr>
        <w:t>3/INFOEM/IP/RR/2024</w:t>
      </w:r>
      <w:r w:rsidRPr="00C00DCA">
        <w:rPr>
          <w:rFonts w:ascii="Palatino Linotype" w:hAnsi="Palatino Linotype"/>
        </w:rPr>
        <w:t>,</w:t>
      </w:r>
      <w:r w:rsidRPr="00C00DCA">
        <w:rPr>
          <w:rFonts w:ascii="Palatino Linotype" w:eastAsia="Times New Roman" w:hAnsi="Palatino Linotype" w:cs="Arial"/>
          <w:b/>
          <w:lang w:val="es-ES"/>
        </w:rPr>
        <w:t xml:space="preserve"> </w:t>
      </w:r>
      <w:r w:rsidRPr="00C00DCA">
        <w:rPr>
          <w:rFonts w:ascii="Palatino Linotype" w:eastAsia="Times New Roman" w:hAnsi="Palatino Linotype" w:cs="Arial"/>
          <w:lang w:val="es-ES"/>
        </w:rPr>
        <w:t>en términos de</w:t>
      </w:r>
      <w:r w:rsidR="003B7DE2" w:rsidRPr="00C00DCA">
        <w:rPr>
          <w:rFonts w:ascii="Palatino Linotype" w:eastAsia="Times New Roman" w:hAnsi="Palatino Linotype" w:cs="Arial"/>
          <w:lang w:val="es-ES"/>
        </w:rPr>
        <w:t xml:space="preserve"> </w:t>
      </w:r>
      <w:r w:rsidRPr="00C00DCA">
        <w:rPr>
          <w:rFonts w:ascii="Palatino Linotype" w:eastAsia="Times New Roman" w:hAnsi="Palatino Linotype" w:cs="Arial"/>
          <w:lang w:val="es-ES"/>
        </w:rPr>
        <w:t>l</w:t>
      </w:r>
      <w:r w:rsidR="003B7DE2" w:rsidRPr="00C00DCA">
        <w:rPr>
          <w:rFonts w:ascii="Palatino Linotype" w:eastAsia="Times New Roman" w:hAnsi="Palatino Linotype" w:cs="Arial"/>
          <w:lang w:val="es-ES"/>
        </w:rPr>
        <w:t>os</w:t>
      </w:r>
      <w:r w:rsidRPr="00C00DCA">
        <w:rPr>
          <w:rFonts w:ascii="Palatino Linotype" w:eastAsia="Times New Roman" w:hAnsi="Palatino Linotype" w:cs="Arial"/>
          <w:lang w:val="es-ES"/>
        </w:rPr>
        <w:t xml:space="preserve"> Considerando</w:t>
      </w:r>
      <w:r w:rsidR="003B7DE2" w:rsidRPr="00C00DCA">
        <w:rPr>
          <w:rFonts w:ascii="Palatino Linotype" w:eastAsia="Times New Roman" w:hAnsi="Palatino Linotype" w:cs="Arial"/>
          <w:lang w:val="es-ES"/>
        </w:rPr>
        <w:t>s</w:t>
      </w:r>
      <w:r w:rsidRPr="00C00DCA">
        <w:rPr>
          <w:rFonts w:ascii="Palatino Linotype" w:eastAsia="Times New Roman" w:hAnsi="Palatino Linotype" w:cs="Arial"/>
          <w:lang w:val="es-ES"/>
        </w:rPr>
        <w:t xml:space="preserve"> </w:t>
      </w:r>
      <w:r w:rsidRPr="00C00DCA">
        <w:rPr>
          <w:rFonts w:ascii="Palatino Linotype" w:eastAsia="Times New Roman" w:hAnsi="Palatino Linotype" w:cs="Arial"/>
          <w:b/>
          <w:lang w:val="es-ES"/>
        </w:rPr>
        <w:t>Cuarto</w:t>
      </w:r>
      <w:r w:rsidR="003B7DE2" w:rsidRPr="00C00DCA">
        <w:rPr>
          <w:rFonts w:ascii="Palatino Linotype" w:eastAsia="Times New Roman" w:hAnsi="Palatino Linotype" w:cs="Arial"/>
          <w:b/>
          <w:lang w:val="es-ES"/>
        </w:rPr>
        <w:t xml:space="preserve"> </w:t>
      </w:r>
      <w:r w:rsidR="003B7DE2" w:rsidRPr="00C00DCA">
        <w:rPr>
          <w:rFonts w:ascii="Palatino Linotype" w:eastAsia="Times New Roman" w:hAnsi="Palatino Linotype" w:cs="Arial"/>
          <w:lang w:val="es-ES"/>
        </w:rPr>
        <w:t>y</w:t>
      </w:r>
      <w:r w:rsidR="003B7DE2" w:rsidRPr="00C00DCA">
        <w:rPr>
          <w:rFonts w:ascii="Palatino Linotype" w:eastAsia="Times New Roman" w:hAnsi="Palatino Linotype" w:cs="Arial"/>
          <w:b/>
          <w:lang w:val="es-ES"/>
        </w:rPr>
        <w:t xml:space="preserve"> Quinto</w:t>
      </w:r>
      <w:r w:rsidRPr="00C00DCA">
        <w:rPr>
          <w:rFonts w:ascii="Palatino Linotype" w:eastAsia="Times New Roman" w:hAnsi="Palatino Linotype" w:cs="Arial"/>
          <w:b/>
          <w:lang w:val="es-ES"/>
        </w:rPr>
        <w:t xml:space="preserve"> </w:t>
      </w:r>
      <w:r w:rsidR="003B7DE2" w:rsidRPr="00C00DCA">
        <w:rPr>
          <w:rFonts w:ascii="Palatino Linotype" w:eastAsia="Times New Roman" w:hAnsi="Palatino Linotype" w:cs="Arial"/>
          <w:lang w:val="es-ES"/>
        </w:rPr>
        <w:t>de la presente R</w:t>
      </w:r>
      <w:r w:rsidRPr="00C00DCA">
        <w:rPr>
          <w:rFonts w:ascii="Palatino Linotype" w:eastAsia="Times New Roman" w:hAnsi="Palatino Linotype" w:cs="Arial"/>
          <w:lang w:val="es-ES"/>
        </w:rPr>
        <w:t xml:space="preserve">esolución. </w:t>
      </w:r>
    </w:p>
    <w:p w14:paraId="768DDA94" w14:textId="77777777" w:rsidR="00F9477D" w:rsidRPr="00C00DCA" w:rsidRDefault="00F9477D" w:rsidP="000F30BC">
      <w:pPr>
        <w:spacing w:line="360" w:lineRule="auto"/>
        <w:jc w:val="both"/>
        <w:rPr>
          <w:rFonts w:ascii="Palatino Linotype" w:eastAsia="Times New Roman" w:hAnsi="Palatino Linotype" w:cs="Arial"/>
          <w:lang w:val="es-ES"/>
        </w:rPr>
      </w:pPr>
    </w:p>
    <w:p w14:paraId="3B0747B1" w14:textId="61C454D4" w:rsidR="00F9477D" w:rsidRPr="00C00DCA" w:rsidRDefault="00F9477D" w:rsidP="000F30BC">
      <w:pPr>
        <w:spacing w:line="360" w:lineRule="auto"/>
        <w:jc w:val="both"/>
        <w:rPr>
          <w:rFonts w:ascii="Palatino Linotype" w:hAnsi="Palatino Linotype" w:cs="Arial"/>
        </w:rPr>
      </w:pPr>
      <w:bookmarkStart w:id="152" w:name="_Toc503891607"/>
      <w:bookmarkStart w:id="153" w:name="_Toc511647757"/>
      <w:bookmarkStart w:id="154" w:name="_Toc511647818"/>
      <w:bookmarkStart w:id="155" w:name="_Toc477891768"/>
      <w:bookmarkStart w:id="156" w:name="_Toc477891858"/>
      <w:bookmarkStart w:id="157" w:name="_Toc481576259"/>
      <w:bookmarkStart w:id="158" w:name="_Toc492590391"/>
      <w:bookmarkStart w:id="159" w:name="_Toc462653937"/>
      <w:bookmarkStart w:id="160" w:name="_Toc453696502"/>
      <w:bookmarkStart w:id="161" w:name="_Toc454301155"/>
      <w:r w:rsidRPr="00C00DCA">
        <w:rPr>
          <w:rFonts w:ascii="Palatino Linotype" w:eastAsia="Times New Roman" w:hAnsi="Palatino Linotype" w:cs="Times New Roman"/>
          <w:b/>
        </w:rPr>
        <w:lastRenderedPageBreak/>
        <w:t>SEGUNDO.</w:t>
      </w:r>
      <w:bookmarkEnd w:id="152"/>
      <w:bookmarkEnd w:id="153"/>
      <w:bookmarkEnd w:id="154"/>
      <w:r w:rsidRPr="00C00DCA">
        <w:rPr>
          <w:rFonts w:ascii="Palatino Linotype" w:eastAsia="Times New Roman" w:hAnsi="Palatino Linotype" w:cs="Times New Roman"/>
          <w:b/>
        </w:rPr>
        <w:t xml:space="preserve"> </w:t>
      </w:r>
      <w:bookmarkEnd w:id="155"/>
      <w:bookmarkEnd w:id="156"/>
      <w:bookmarkEnd w:id="157"/>
      <w:bookmarkEnd w:id="158"/>
      <w:bookmarkEnd w:id="159"/>
      <w:bookmarkEnd w:id="160"/>
      <w:bookmarkEnd w:id="161"/>
      <w:r w:rsidRPr="00C00DCA">
        <w:rPr>
          <w:rFonts w:ascii="Palatino Linotype" w:eastAsia="MS Mincho" w:hAnsi="Palatino Linotype" w:cs="Times New Roman"/>
          <w:color w:val="000000" w:themeColor="text1"/>
        </w:rPr>
        <w:t xml:space="preserve">Se </w:t>
      </w:r>
      <w:r w:rsidR="00F17CD9" w:rsidRPr="00C00DCA">
        <w:rPr>
          <w:rFonts w:ascii="Palatino Linotype" w:eastAsia="MS Mincho" w:hAnsi="Palatino Linotype" w:cs="Times New Roman"/>
          <w:b/>
          <w:color w:val="000000" w:themeColor="text1"/>
        </w:rPr>
        <w:t>REVO</w:t>
      </w:r>
      <w:r w:rsidRPr="00C00DCA">
        <w:rPr>
          <w:rFonts w:ascii="Palatino Linotype" w:eastAsia="MS Mincho" w:hAnsi="Palatino Linotype" w:cs="Times New Roman"/>
          <w:b/>
          <w:color w:val="000000" w:themeColor="text1"/>
        </w:rPr>
        <w:t xml:space="preserve">CA </w:t>
      </w:r>
      <w:r w:rsidRPr="00C00DCA">
        <w:rPr>
          <w:rFonts w:ascii="Palatino Linotype" w:eastAsia="MS Mincho" w:hAnsi="Palatino Linotype" w:cs="Times New Roman"/>
          <w:color w:val="000000" w:themeColor="text1"/>
        </w:rPr>
        <w:t xml:space="preserve">la respuesta emitida por el </w:t>
      </w:r>
      <w:r w:rsidR="00B03113" w:rsidRPr="00C00DCA">
        <w:rPr>
          <w:rFonts w:ascii="Palatino Linotype" w:hAnsi="Palatino Linotype"/>
          <w:b/>
          <w:bCs/>
          <w:color w:val="000000"/>
        </w:rPr>
        <w:t>Ayuntamiento de Temamatla</w:t>
      </w:r>
      <w:r w:rsidRPr="00C00DCA">
        <w:rPr>
          <w:rFonts w:ascii="Palatino Linotype" w:eastAsia="MS Mincho" w:hAnsi="Palatino Linotype" w:cs="Times New Roman"/>
          <w:b/>
          <w:color w:val="000000" w:themeColor="text1"/>
        </w:rPr>
        <w:t xml:space="preserve"> </w:t>
      </w:r>
      <w:r w:rsidRPr="00C00DCA">
        <w:rPr>
          <w:rFonts w:ascii="Palatino Linotype" w:eastAsia="MS Mincho" w:hAnsi="Palatino Linotype" w:cs="Times New Roman"/>
          <w:color w:val="000000" w:themeColor="text1"/>
        </w:rPr>
        <w:t xml:space="preserve">y se </w:t>
      </w:r>
      <w:r w:rsidRPr="00C00DCA">
        <w:rPr>
          <w:rFonts w:ascii="Palatino Linotype" w:eastAsia="MS Mincho" w:hAnsi="Palatino Linotype" w:cs="Times New Roman"/>
          <w:b/>
          <w:color w:val="000000" w:themeColor="text1"/>
        </w:rPr>
        <w:t>ORDENA</w:t>
      </w:r>
      <w:r w:rsidRPr="00C00DCA">
        <w:rPr>
          <w:rFonts w:ascii="Palatino Linotype" w:eastAsia="MS Mincho" w:hAnsi="Palatino Linotype" w:cs="Times New Roman"/>
          <w:color w:val="000000" w:themeColor="text1"/>
        </w:rPr>
        <w:t xml:space="preserve"> </w:t>
      </w:r>
      <w:bookmarkStart w:id="162" w:name="_Toc503891610"/>
      <w:bookmarkStart w:id="163" w:name="_Toc453696503"/>
      <w:bookmarkStart w:id="164" w:name="_Toc454301156"/>
      <w:bookmarkStart w:id="165" w:name="_Toc462653938"/>
      <w:bookmarkStart w:id="166" w:name="_Toc477891769"/>
      <w:bookmarkStart w:id="167" w:name="_Toc477891859"/>
      <w:bookmarkStart w:id="168" w:name="_Toc481576260"/>
      <w:bookmarkStart w:id="169" w:name="_Toc492590392"/>
      <w:r w:rsidRPr="00C00DCA">
        <w:rPr>
          <w:rFonts w:ascii="Palatino Linotype" w:eastAsia="MS Mincho" w:hAnsi="Palatino Linotype" w:cs="Times New Roman"/>
          <w:color w:val="000000" w:themeColor="text1"/>
        </w:rPr>
        <w:t>entregar a través del Sistema de Acceso a la Información Mexiquense (SAIMEX), la siguiente información</w:t>
      </w:r>
      <w:r w:rsidR="00487F31" w:rsidRPr="00C00DCA">
        <w:rPr>
          <w:rFonts w:ascii="Palatino Linotype" w:eastAsia="MS Mincho" w:hAnsi="Palatino Linotype" w:cs="Times New Roman"/>
          <w:color w:val="000000" w:themeColor="text1"/>
        </w:rPr>
        <w:t xml:space="preserve"> de los años </w:t>
      </w:r>
      <w:r w:rsidR="002043C6" w:rsidRPr="00C00DCA">
        <w:rPr>
          <w:rFonts w:ascii="Palatino Linotype" w:hAnsi="Palatino Linotype" w:cs="Arial"/>
          <w:b/>
        </w:rPr>
        <w:t>2022, 2023 y del 1 de enero al 5 de julio de 2024</w:t>
      </w:r>
      <w:r w:rsidR="003B7DE2" w:rsidRPr="00C00DCA">
        <w:rPr>
          <w:rFonts w:ascii="Palatino Linotype" w:eastAsia="MS Mincho" w:hAnsi="Palatino Linotype" w:cs="Times New Roman"/>
          <w:color w:val="000000" w:themeColor="text1"/>
        </w:rPr>
        <w:t xml:space="preserve">, </w:t>
      </w:r>
      <w:r w:rsidR="00F17CD9" w:rsidRPr="00C00DCA">
        <w:rPr>
          <w:rFonts w:ascii="Palatino Linotype" w:eastAsia="MS Mincho" w:hAnsi="Palatino Linotype" w:cs="Times New Roman"/>
          <w:color w:val="000000" w:themeColor="text1"/>
        </w:rPr>
        <w:t>en versión pública</w:t>
      </w:r>
      <w:r w:rsidRPr="00C00DCA">
        <w:rPr>
          <w:rFonts w:ascii="Palatino Linotype" w:hAnsi="Palatino Linotype" w:cs="Arial"/>
        </w:rPr>
        <w:t>:</w:t>
      </w:r>
    </w:p>
    <w:p w14:paraId="731E96FB" w14:textId="77777777" w:rsidR="00F9477D" w:rsidRPr="00C00DCA" w:rsidRDefault="00F9477D" w:rsidP="000F30BC">
      <w:pPr>
        <w:spacing w:line="360" w:lineRule="auto"/>
        <w:jc w:val="both"/>
        <w:rPr>
          <w:rFonts w:ascii="Palatino Linotype" w:hAnsi="Palatino Linotype" w:cs="Arial"/>
          <w:b/>
        </w:rPr>
      </w:pPr>
    </w:p>
    <w:p w14:paraId="779253A7" w14:textId="77777777" w:rsidR="002043C6" w:rsidRPr="00C00DCA" w:rsidRDefault="002043C6" w:rsidP="003B7DE2">
      <w:pPr>
        <w:pStyle w:val="Prrafodelista"/>
        <w:numPr>
          <w:ilvl w:val="0"/>
          <w:numId w:val="34"/>
        </w:numPr>
        <w:spacing w:line="360" w:lineRule="auto"/>
        <w:ind w:left="993" w:right="284"/>
        <w:jc w:val="both"/>
        <w:rPr>
          <w:rFonts w:ascii="Palatino Linotype" w:hAnsi="Palatino Linotype"/>
          <w:b/>
        </w:rPr>
      </w:pPr>
      <w:r w:rsidRPr="00C00DCA">
        <w:rPr>
          <w:rFonts w:ascii="Palatino Linotype" w:hAnsi="Palatino Linotype"/>
          <w:b/>
        </w:rPr>
        <w:t>P</w:t>
      </w:r>
      <w:r w:rsidR="00487F31" w:rsidRPr="00C00DCA">
        <w:rPr>
          <w:rFonts w:ascii="Palatino Linotype" w:hAnsi="Palatino Linotype"/>
          <w:b/>
        </w:rPr>
        <w:t xml:space="preserve">adrón </w:t>
      </w:r>
      <w:r w:rsidRPr="00C00DCA">
        <w:rPr>
          <w:rFonts w:ascii="Palatino Linotype" w:hAnsi="Palatino Linotype"/>
          <w:b/>
        </w:rPr>
        <w:t>de proveedores; y</w:t>
      </w:r>
    </w:p>
    <w:p w14:paraId="022E8889" w14:textId="26B58FCE" w:rsidR="003B7DE2" w:rsidRPr="00C00DCA" w:rsidRDefault="002043C6" w:rsidP="002043C6">
      <w:pPr>
        <w:pStyle w:val="Prrafodelista"/>
        <w:numPr>
          <w:ilvl w:val="0"/>
          <w:numId w:val="34"/>
        </w:numPr>
        <w:spacing w:line="360" w:lineRule="auto"/>
        <w:ind w:left="993" w:right="284"/>
        <w:jc w:val="both"/>
        <w:rPr>
          <w:rFonts w:ascii="Palatino Linotype" w:hAnsi="Palatino Linotype"/>
          <w:b/>
        </w:rPr>
      </w:pPr>
      <w:r w:rsidRPr="00C00DCA">
        <w:rPr>
          <w:rFonts w:ascii="Palatino Linotype" w:hAnsi="Palatino Linotype"/>
          <w:b/>
        </w:rPr>
        <w:t>Actas del Comité de Adquisiciones, Enajenaciones, Arrendamientos y Servicios</w:t>
      </w:r>
      <w:r w:rsidR="009A19FA" w:rsidRPr="00C00DCA">
        <w:rPr>
          <w:rFonts w:ascii="Palatino Linotype" w:hAnsi="Palatino Linotype"/>
          <w:b/>
        </w:rPr>
        <w:t>.</w:t>
      </w:r>
    </w:p>
    <w:p w14:paraId="4E38B1C8" w14:textId="77777777" w:rsidR="003B7DE2" w:rsidRPr="00C00DCA" w:rsidRDefault="003B7DE2" w:rsidP="003B7DE2">
      <w:pPr>
        <w:pStyle w:val="Prrafodelista"/>
        <w:spacing w:line="360" w:lineRule="auto"/>
        <w:ind w:left="993" w:right="284"/>
        <w:jc w:val="both"/>
        <w:rPr>
          <w:rFonts w:ascii="Palatino Linotype" w:hAnsi="Palatino Linotype"/>
          <w:b/>
        </w:rPr>
      </w:pPr>
    </w:p>
    <w:p w14:paraId="0FA66B42" w14:textId="39930D25" w:rsidR="006548AD" w:rsidRPr="00C00DCA" w:rsidRDefault="006548AD" w:rsidP="000F30BC">
      <w:pPr>
        <w:spacing w:line="360" w:lineRule="auto"/>
        <w:jc w:val="both"/>
        <w:rPr>
          <w:rFonts w:ascii="Palatino Linotype" w:eastAsia="Calibri" w:hAnsi="Palatino Linotype" w:cs="Arial"/>
          <w:color w:val="000000" w:themeColor="text1"/>
        </w:rPr>
      </w:pPr>
      <w:r w:rsidRPr="00C00DCA">
        <w:rPr>
          <w:rFonts w:ascii="Palatino Linotype" w:eastAsia="Calibri" w:hAnsi="Palatino Linotype" w:cs="Arial"/>
          <w:color w:val="000000" w:themeColor="text1"/>
        </w:rPr>
        <w:t>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del</w:t>
      </w:r>
      <w:r w:rsidRPr="00C00DCA">
        <w:rPr>
          <w:rFonts w:ascii="Palatino Linotype" w:eastAsia="Calibri" w:hAnsi="Palatino Linotype" w:cs="Arial"/>
          <w:b/>
          <w:color w:val="000000" w:themeColor="text1"/>
        </w:rPr>
        <w:t xml:space="preserve"> Recurrente</w:t>
      </w:r>
      <w:r w:rsidRPr="00C00DCA">
        <w:rPr>
          <w:rFonts w:ascii="Palatino Linotype" w:eastAsia="Calibri" w:hAnsi="Palatino Linotype" w:cs="Arial"/>
          <w:color w:val="000000" w:themeColor="text1"/>
        </w:rPr>
        <w:t>.</w:t>
      </w:r>
    </w:p>
    <w:p w14:paraId="786B5526" w14:textId="77777777" w:rsidR="00197701" w:rsidRPr="00C00DCA" w:rsidRDefault="00197701" w:rsidP="000F30BC">
      <w:pPr>
        <w:spacing w:line="360" w:lineRule="auto"/>
        <w:jc w:val="both"/>
        <w:rPr>
          <w:rFonts w:ascii="Palatino Linotype" w:eastAsia="Calibri" w:hAnsi="Palatino Linotype" w:cs="Arial"/>
          <w:color w:val="000000" w:themeColor="text1"/>
        </w:rPr>
      </w:pPr>
    </w:p>
    <w:bookmarkEnd w:id="162"/>
    <w:bookmarkEnd w:id="163"/>
    <w:bookmarkEnd w:id="164"/>
    <w:bookmarkEnd w:id="165"/>
    <w:bookmarkEnd w:id="166"/>
    <w:bookmarkEnd w:id="167"/>
    <w:bookmarkEnd w:id="168"/>
    <w:bookmarkEnd w:id="169"/>
    <w:p w14:paraId="3B64C3A4" w14:textId="77777777" w:rsidR="00F9477D" w:rsidRPr="00C00DCA" w:rsidRDefault="00F9477D" w:rsidP="000F30BC">
      <w:pPr>
        <w:spacing w:line="360" w:lineRule="auto"/>
        <w:jc w:val="both"/>
        <w:rPr>
          <w:rFonts w:ascii="Palatino Linotype" w:eastAsia="Times New Roman" w:hAnsi="Palatino Linotype" w:cs="Times New Roman"/>
          <w:lang w:val="es-MX"/>
        </w:rPr>
      </w:pPr>
      <w:r w:rsidRPr="00C00DCA">
        <w:rPr>
          <w:rFonts w:ascii="Palatino Linotype" w:eastAsia="Times New Roman" w:hAnsi="Palatino Linotype" w:cs="Arial"/>
          <w:b/>
          <w:bCs/>
          <w:lang w:val="es-MX"/>
        </w:rPr>
        <w:t>TERCERO</w:t>
      </w:r>
      <w:r w:rsidRPr="00C00DCA">
        <w:rPr>
          <w:rFonts w:ascii="Palatino Linotype" w:eastAsia="Times New Roman" w:hAnsi="Palatino Linotype" w:cs="Arial"/>
          <w:b/>
          <w:lang w:val="es-MX"/>
        </w:rPr>
        <w:t>.</w:t>
      </w:r>
      <w:r w:rsidRPr="00C00DCA">
        <w:rPr>
          <w:rFonts w:ascii="Palatino Linotype" w:eastAsia="Palatino Linotype" w:hAnsi="Palatino Linotype" w:cs="Palatino Linotype"/>
          <w:b/>
          <w:lang w:val="es-MX"/>
        </w:rPr>
        <w:t xml:space="preserve"> </w:t>
      </w:r>
      <w:r w:rsidRPr="00C00DCA">
        <w:rPr>
          <w:rFonts w:ascii="Palatino Linotype" w:eastAsia="Times New Roman" w:hAnsi="Palatino Linotype" w:cs="Times New Roman"/>
          <w:b/>
          <w:lang w:val="es-MX"/>
        </w:rPr>
        <w:t xml:space="preserve">Notifíquese </w:t>
      </w:r>
      <w:r w:rsidRPr="00C00DCA">
        <w:rPr>
          <w:rFonts w:ascii="Palatino Linotype" w:eastAsia="Times New Roman" w:hAnsi="Palatino Linotype" w:cs="Times New Roman"/>
          <w:lang w:val="es-MX"/>
        </w:rPr>
        <w:t xml:space="preserve">la presente resolución al Titular de la Unidad de Transparencia del Sujeto Obligado, vía SAIMEX,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w:t>
      </w:r>
      <w:r w:rsidRPr="00C00DCA">
        <w:rPr>
          <w:rFonts w:ascii="Palatino Linotype" w:eastAsia="Times New Roman" w:hAnsi="Palatino Linotype" w:cs="Times New Roman"/>
          <w:lang w:val="es-MX"/>
        </w:rPr>
        <w:lastRenderedPageBreak/>
        <w:t>previsto en los artículos 198, 200, fracción III; 214, 215 y 216 de la Ley  de Transparencia y Acceso a la Información Pública del Estado de México y Municipios.</w:t>
      </w:r>
    </w:p>
    <w:p w14:paraId="23B22CD1" w14:textId="77777777" w:rsidR="00F9477D" w:rsidRPr="00C00DCA" w:rsidRDefault="00F9477D" w:rsidP="000F30BC">
      <w:pPr>
        <w:spacing w:line="360" w:lineRule="auto"/>
        <w:jc w:val="both"/>
        <w:rPr>
          <w:rFonts w:ascii="Palatino Linotype" w:eastAsia="Times New Roman" w:hAnsi="Palatino Linotype" w:cs="Times New Roman"/>
          <w:lang w:val="es-MX"/>
        </w:rPr>
      </w:pPr>
    </w:p>
    <w:p w14:paraId="056E22C0" w14:textId="2C525D72" w:rsidR="00F9477D" w:rsidRPr="00C00DCA" w:rsidRDefault="00F9477D" w:rsidP="000F30BC">
      <w:pPr>
        <w:spacing w:line="360" w:lineRule="auto"/>
        <w:jc w:val="both"/>
        <w:rPr>
          <w:rFonts w:ascii="Palatino Linotype" w:eastAsia="Calibri" w:hAnsi="Palatino Linotype" w:cs="Arial"/>
          <w:bCs/>
        </w:rPr>
      </w:pPr>
      <w:r w:rsidRPr="00C00DCA">
        <w:rPr>
          <w:rFonts w:ascii="Palatino Linotype" w:hAnsi="Palatino Linotype" w:cs="Arial"/>
          <w:b/>
        </w:rPr>
        <w:t xml:space="preserve">CUARTO. </w:t>
      </w:r>
      <w:r w:rsidRPr="00C00DCA">
        <w:rPr>
          <w:rFonts w:ascii="Palatino Linotype" w:eastAsia="Calibri" w:hAnsi="Palatino Linotype" w:cs="Arial"/>
          <w:bCs/>
        </w:rPr>
        <w:t xml:space="preserve">De conformidad con el artículo 198 de la Ley de Transparencia y Acceso a la Información Pública del Estado de México y Municipios, de considerarlo procedente, el </w:t>
      </w:r>
      <w:r w:rsidR="004F097D" w:rsidRPr="00C00DCA">
        <w:rPr>
          <w:rFonts w:ascii="Palatino Linotype" w:eastAsia="Calibri" w:hAnsi="Palatino Linotype" w:cs="Arial"/>
          <w:b/>
          <w:bCs/>
        </w:rPr>
        <w:t>Sujeto Obligado</w:t>
      </w:r>
      <w:r w:rsidR="004F097D" w:rsidRPr="00C00DCA">
        <w:rPr>
          <w:rFonts w:ascii="Palatino Linotype" w:eastAsia="Calibri" w:hAnsi="Palatino Linotype" w:cs="Arial"/>
          <w:bCs/>
        </w:rPr>
        <w:t xml:space="preserve"> </w:t>
      </w:r>
      <w:r w:rsidRPr="00C00DCA">
        <w:rPr>
          <w:rFonts w:ascii="Palatino Linotype" w:eastAsia="Calibri" w:hAnsi="Palatino Linotype" w:cs="Arial"/>
          <w:bCs/>
        </w:rPr>
        <w:t xml:space="preserve">de manera fundada y motivada, podrá solicitar una ampliación de plazo para </w:t>
      </w:r>
      <w:r w:rsidR="002043C6" w:rsidRPr="00C00DCA">
        <w:rPr>
          <w:rFonts w:ascii="Palatino Linotype" w:eastAsia="Calibri" w:hAnsi="Palatino Linotype" w:cs="Arial"/>
          <w:bCs/>
        </w:rPr>
        <w:t>el cumplimiento de la presente R</w:t>
      </w:r>
      <w:r w:rsidRPr="00C00DCA">
        <w:rPr>
          <w:rFonts w:ascii="Palatino Linotype" w:eastAsia="Calibri" w:hAnsi="Palatino Linotype" w:cs="Arial"/>
          <w:bCs/>
        </w:rPr>
        <w:t>esolución.</w:t>
      </w:r>
    </w:p>
    <w:p w14:paraId="6D37C48A" w14:textId="77777777" w:rsidR="00F9477D" w:rsidRPr="00C00DCA" w:rsidRDefault="00F9477D" w:rsidP="000F30BC">
      <w:pPr>
        <w:spacing w:line="360" w:lineRule="auto"/>
        <w:jc w:val="both"/>
        <w:rPr>
          <w:rFonts w:ascii="Palatino Linotype" w:eastAsia="Calibri" w:hAnsi="Palatino Linotype" w:cs="Arial"/>
          <w:bCs/>
        </w:rPr>
      </w:pPr>
    </w:p>
    <w:p w14:paraId="0F7BC318" w14:textId="137AD2B1" w:rsidR="00F9477D" w:rsidRPr="00C00DCA" w:rsidRDefault="00F9477D" w:rsidP="000F30BC">
      <w:pPr>
        <w:tabs>
          <w:tab w:val="left" w:pos="8080"/>
        </w:tabs>
        <w:spacing w:line="360" w:lineRule="auto"/>
        <w:ind w:right="49"/>
        <w:jc w:val="both"/>
        <w:rPr>
          <w:rFonts w:ascii="Palatino Linotype" w:eastAsia="Times New Roman" w:hAnsi="Palatino Linotype" w:cs="Times New Roman"/>
          <w:lang w:val="es-ES" w:eastAsia="es-MX"/>
        </w:rPr>
      </w:pPr>
      <w:bookmarkStart w:id="170" w:name="_Toc492590393"/>
      <w:bookmarkStart w:id="171" w:name="_Toc503891611"/>
      <w:bookmarkStart w:id="172" w:name="_Toc511647759"/>
      <w:bookmarkStart w:id="173" w:name="_Toc511647820"/>
      <w:r w:rsidRPr="00C00DCA">
        <w:rPr>
          <w:rFonts w:ascii="Palatino Linotype" w:eastAsia="Times New Roman" w:hAnsi="Palatino Linotype" w:cs="Times New Roman"/>
          <w:b/>
        </w:rPr>
        <w:t xml:space="preserve">QUINTO. </w:t>
      </w:r>
      <w:r w:rsidRPr="00C00DCA">
        <w:rPr>
          <w:rFonts w:ascii="Palatino Linotype" w:eastAsia="Times New Roman" w:hAnsi="Palatino Linotype" w:cs="Times New Roman"/>
        </w:rPr>
        <w:t>Notifíquese</w:t>
      </w:r>
      <w:bookmarkEnd w:id="170"/>
      <w:bookmarkEnd w:id="171"/>
      <w:bookmarkEnd w:id="172"/>
      <w:bookmarkEnd w:id="173"/>
      <w:r w:rsidRPr="00C00DCA">
        <w:rPr>
          <w:rFonts w:ascii="Palatino Linotype" w:eastAsia="Times New Roman" w:hAnsi="Palatino Linotype" w:cs="Times New Roman"/>
        </w:rPr>
        <w:t xml:space="preserve"> </w:t>
      </w:r>
      <w:r w:rsidR="004F097D" w:rsidRPr="00C00DCA">
        <w:rPr>
          <w:rFonts w:ascii="Palatino Linotype" w:eastAsia="Times New Roman" w:hAnsi="Palatino Linotype" w:cs="Times New Roman"/>
        </w:rPr>
        <w:t>al Recurrente</w:t>
      </w:r>
      <w:r w:rsidRPr="00C00DCA">
        <w:rPr>
          <w:rFonts w:ascii="Palatino Linotype" w:eastAsia="Times New Roman" w:hAnsi="Palatino Linotype" w:cs="Times New Roman"/>
        </w:rPr>
        <w:t xml:space="preserve"> la presente</w:t>
      </w:r>
      <w:r w:rsidRPr="00C00DCA">
        <w:rPr>
          <w:rFonts w:ascii="Palatino Linotype" w:eastAsia="Times New Roman" w:hAnsi="Palatino Linotype" w:cs="Times New Roman"/>
          <w:lang w:val="es-ES" w:eastAsia="es-MX"/>
        </w:rPr>
        <w:t xml:space="preserve"> resolución, vía </w:t>
      </w:r>
      <w:r w:rsidRPr="00C00DCA">
        <w:rPr>
          <w:rFonts w:ascii="Palatino Linotype" w:eastAsia="Times New Roman" w:hAnsi="Palatino Linotype" w:cs="Times New Roman"/>
          <w:b/>
          <w:lang w:val="es-ES" w:eastAsia="es-MX"/>
        </w:rPr>
        <w:t>SAIMEX</w:t>
      </w:r>
      <w:r w:rsidRPr="00C00DCA">
        <w:rPr>
          <w:rFonts w:ascii="Palatino Linotype" w:eastAsia="Times New Roman" w:hAnsi="Palatino Linotype" w:cs="Times New Roman"/>
          <w:lang w:val="es-ES" w:eastAsia="es-MX"/>
        </w:rPr>
        <w:t>.</w:t>
      </w:r>
    </w:p>
    <w:p w14:paraId="4A71FEEB" w14:textId="77777777" w:rsidR="003B7DE2" w:rsidRPr="00C00DCA" w:rsidRDefault="003B7DE2" w:rsidP="000F30BC">
      <w:pPr>
        <w:tabs>
          <w:tab w:val="left" w:pos="8080"/>
        </w:tabs>
        <w:spacing w:line="360" w:lineRule="auto"/>
        <w:ind w:right="49"/>
        <w:jc w:val="both"/>
        <w:rPr>
          <w:rFonts w:ascii="Palatino Linotype" w:eastAsia="Times New Roman" w:hAnsi="Palatino Linotype" w:cs="Times New Roman"/>
          <w:lang w:val="es-ES" w:eastAsia="es-MX"/>
        </w:rPr>
      </w:pPr>
    </w:p>
    <w:p w14:paraId="5FB003BB" w14:textId="49D8B160" w:rsidR="00F9477D" w:rsidRPr="00C00DCA" w:rsidRDefault="00F9477D" w:rsidP="000F30BC">
      <w:pPr>
        <w:shd w:val="clear" w:color="auto" w:fill="FFFFFF"/>
        <w:spacing w:line="360" w:lineRule="auto"/>
        <w:jc w:val="both"/>
        <w:rPr>
          <w:rFonts w:ascii="Palatino Linotype" w:eastAsia="Calibri" w:hAnsi="Palatino Linotype"/>
          <w:lang w:val="es-MX" w:eastAsia="en-US"/>
        </w:rPr>
      </w:pPr>
      <w:r w:rsidRPr="00C00DCA">
        <w:rPr>
          <w:rFonts w:ascii="Palatino Linotype" w:eastAsia="Calibri" w:hAnsi="Palatino Linotype"/>
          <w:b/>
          <w:lang w:eastAsia="en-US"/>
        </w:rPr>
        <w:t xml:space="preserve">SEXTO. </w:t>
      </w:r>
      <w:r w:rsidR="004F097D" w:rsidRPr="00C00DCA">
        <w:rPr>
          <w:rFonts w:ascii="Palatino Linotype" w:eastAsia="Calibri" w:hAnsi="Palatino Linotype"/>
          <w:lang w:eastAsia="en-US"/>
        </w:rPr>
        <w:t>Se hace del conocimiento del</w:t>
      </w:r>
      <w:r w:rsidR="004F097D" w:rsidRPr="00C00DCA">
        <w:rPr>
          <w:rFonts w:ascii="Palatino Linotype" w:eastAsia="Calibri" w:hAnsi="Palatino Linotype"/>
          <w:b/>
          <w:lang w:eastAsia="en-US"/>
        </w:rPr>
        <w:t xml:space="preserve"> Recurrente </w:t>
      </w:r>
      <w:r w:rsidRPr="00C00DCA">
        <w:rPr>
          <w:rFonts w:ascii="Palatino Linotype" w:eastAsia="Calibri" w:hAnsi="Palatino Linotype"/>
          <w:lang w:eastAsia="en-US"/>
        </w:rPr>
        <w:t>que, de conformidad con lo establecido en el artículo 196 de la Ley de Transparencia y Acceso a la Información Pública del Estado de México y Municipios, en caso de que considere que la resolución le cause algún perjuicio podrá impugnarla vía juicio de amparo en los términos de las leyes aplicables.</w:t>
      </w:r>
    </w:p>
    <w:p w14:paraId="0BC13C14" w14:textId="77777777" w:rsidR="00F231CC" w:rsidRPr="00C00DCA" w:rsidRDefault="00F231CC" w:rsidP="000F30BC">
      <w:pPr>
        <w:shd w:val="clear" w:color="auto" w:fill="FFFFFF"/>
        <w:spacing w:line="360" w:lineRule="auto"/>
        <w:jc w:val="both"/>
        <w:rPr>
          <w:rFonts w:ascii="Palatino Linotype" w:eastAsia="MS Mincho" w:hAnsi="Palatino Linotype"/>
          <w:lang w:val="es-ES"/>
        </w:rPr>
      </w:pPr>
    </w:p>
    <w:p w14:paraId="478AF513" w14:textId="77777777" w:rsidR="00197701" w:rsidRPr="003C7186" w:rsidRDefault="00197701" w:rsidP="00197701">
      <w:pPr>
        <w:spacing w:line="360" w:lineRule="auto"/>
        <w:ind w:left="-142" w:right="-234" w:firstLine="1"/>
        <w:jc w:val="both"/>
        <w:rPr>
          <w:rFonts w:ascii="Palatino Linotype" w:hAnsi="Palatino Linotype"/>
        </w:rPr>
      </w:pPr>
      <w:r w:rsidRPr="00C00DCA">
        <w:rPr>
          <w:rFonts w:ascii="Palatino Linotype" w:hAnsi="Palatino Linotype"/>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SEGUNDA SESIÓN ORDINARIA CELEBRADA EL CUATRO (04) DE DICIEMBRE DE </w:t>
      </w:r>
      <w:r w:rsidRPr="00C00DCA">
        <w:rPr>
          <w:rFonts w:ascii="Palatino Linotype" w:hAnsi="Palatino Linotype"/>
        </w:rPr>
        <w:lastRenderedPageBreak/>
        <w:t>DOS MIL VEINTICUATRO, ANTE EL SECRETARIO TÉCNICO DEL PLENO ALEXIS TAPIA RAMÍREZ.</w:t>
      </w:r>
      <w:bookmarkStart w:id="174" w:name="_GoBack"/>
      <w:bookmarkEnd w:id="174"/>
      <w:r w:rsidRPr="003C7186">
        <w:rPr>
          <w:rFonts w:ascii="Palatino Linotype" w:hAnsi="Palatino Linotype"/>
        </w:rPr>
        <w:t xml:space="preserve"> </w:t>
      </w:r>
    </w:p>
    <w:p w14:paraId="3584962A" w14:textId="77777777" w:rsidR="00942616" w:rsidRPr="004971A4" w:rsidRDefault="00942616" w:rsidP="000F30BC">
      <w:pPr>
        <w:spacing w:line="360" w:lineRule="auto"/>
        <w:rPr>
          <w:rFonts w:ascii="Palatino Linotype" w:hAnsi="Palatino Linotype"/>
        </w:rPr>
      </w:pPr>
    </w:p>
    <w:p w14:paraId="3A818EB8" w14:textId="77777777" w:rsidR="00942616" w:rsidRPr="004971A4" w:rsidRDefault="00942616" w:rsidP="000F30BC">
      <w:pPr>
        <w:spacing w:line="360" w:lineRule="auto"/>
        <w:rPr>
          <w:rFonts w:ascii="Palatino Linotype" w:hAnsi="Palatino Linotype"/>
        </w:rPr>
      </w:pPr>
    </w:p>
    <w:p w14:paraId="174CEAEF" w14:textId="77777777" w:rsidR="00942616" w:rsidRPr="004971A4" w:rsidRDefault="00942616" w:rsidP="000F30BC">
      <w:pPr>
        <w:spacing w:line="360" w:lineRule="auto"/>
        <w:rPr>
          <w:rFonts w:ascii="Palatino Linotype" w:hAnsi="Palatino Linotype"/>
        </w:rPr>
      </w:pPr>
    </w:p>
    <w:p w14:paraId="7CDD8E3D" w14:textId="77777777" w:rsidR="00942616" w:rsidRPr="004971A4" w:rsidRDefault="00942616" w:rsidP="000F30BC">
      <w:pPr>
        <w:spacing w:line="360" w:lineRule="auto"/>
        <w:rPr>
          <w:rFonts w:ascii="Palatino Linotype" w:hAnsi="Palatino Linotype"/>
        </w:rPr>
      </w:pPr>
    </w:p>
    <w:p w14:paraId="5AA6BBEF" w14:textId="77777777" w:rsidR="00942616" w:rsidRPr="004971A4" w:rsidRDefault="00942616" w:rsidP="000F30BC">
      <w:pPr>
        <w:spacing w:line="360" w:lineRule="auto"/>
        <w:rPr>
          <w:rFonts w:ascii="Palatino Linotype" w:hAnsi="Palatino Linotype"/>
        </w:rPr>
      </w:pPr>
    </w:p>
    <w:p w14:paraId="4984B0BE" w14:textId="77777777" w:rsidR="00942616" w:rsidRPr="004971A4" w:rsidRDefault="00942616" w:rsidP="000F30BC">
      <w:pPr>
        <w:spacing w:line="360" w:lineRule="auto"/>
        <w:rPr>
          <w:rFonts w:ascii="Palatino Linotype" w:hAnsi="Palatino Linotype"/>
        </w:rPr>
      </w:pPr>
    </w:p>
    <w:p w14:paraId="027D389A" w14:textId="77777777" w:rsidR="00942616" w:rsidRPr="004971A4" w:rsidRDefault="00942616" w:rsidP="000F30BC">
      <w:pPr>
        <w:tabs>
          <w:tab w:val="left" w:pos="3374"/>
        </w:tabs>
        <w:spacing w:line="360" w:lineRule="auto"/>
        <w:rPr>
          <w:rFonts w:ascii="Palatino Linotype" w:hAnsi="Palatino Linotype"/>
        </w:rPr>
      </w:pPr>
      <w:r w:rsidRPr="004971A4">
        <w:rPr>
          <w:rFonts w:ascii="Palatino Linotype" w:hAnsi="Palatino Linotype"/>
        </w:rPr>
        <w:tab/>
      </w:r>
    </w:p>
    <w:p w14:paraId="18F11BAD" w14:textId="77777777" w:rsidR="00942616" w:rsidRPr="004971A4" w:rsidRDefault="00942616" w:rsidP="000F30BC">
      <w:pPr>
        <w:tabs>
          <w:tab w:val="left" w:pos="3374"/>
        </w:tabs>
        <w:spacing w:line="360" w:lineRule="auto"/>
        <w:rPr>
          <w:rFonts w:ascii="Palatino Linotype" w:hAnsi="Palatino Linotype"/>
        </w:rPr>
      </w:pPr>
    </w:p>
    <w:p w14:paraId="74BF8A5F" w14:textId="77777777" w:rsidR="00942616" w:rsidRPr="004971A4" w:rsidRDefault="00942616" w:rsidP="000F30BC">
      <w:pPr>
        <w:tabs>
          <w:tab w:val="left" w:pos="3374"/>
        </w:tabs>
        <w:spacing w:line="360" w:lineRule="auto"/>
        <w:rPr>
          <w:rFonts w:ascii="Palatino Linotype" w:hAnsi="Palatino Linotype"/>
        </w:rPr>
      </w:pPr>
    </w:p>
    <w:p w14:paraId="732C5D23" w14:textId="77777777" w:rsidR="00942616" w:rsidRPr="004971A4" w:rsidRDefault="00942616" w:rsidP="000F30BC">
      <w:pPr>
        <w:tabs>
          <w:tab w:val="left" w:pos="3374"/>
        </w:tabs>
        <w:spacing w:line="360" w:lineRule="auto"/>
        <w:rPr>
          <w:rFonts w:ascii="Palatino Linotype" w:hAnsi="Palatino Linotype"/>
        </w:rPr>
      </w:pPr>
    </w:p>
    <w:p w14:paraId="07FE0706" w14:textId="77777777" w:rsidR="00942616" w:rsidRPr="004971A4" w:rsidRDefault="00942616" w:rsidP="000F30BC">
      <w:pPr>
        <w:tabs>
          <w:tab w:val="left" w:pos="3374"/>
        </w:tabs>
        <w:spacing w:line="360" w:lineRule="auto"/>
        <w:rPr>
          <w:rFonts w:ascii="Palatino Linotype" w:hAnsi="Palatino Linotype"/>
        </w:rPr>
      </w:pPr>
    </w:p>
    <w:p w14:paraId="376015AC" w14:textId="77777777" w:rsidR="00942616" w:rsidRPr="004971A4" w:rsidRDefault="00942616" w:rsidP="000F30BC">
      <w:pPr>
        <w:tabs>
          <w:tab w:val="left" w:pos="3374"/>
        </w:tabs>
        <w:spacing w:line="360" w:lineRule="auto"/>
        <w:rPr>
          <w:rFonts w:ascii="Palatino Linotype" w:hAnsi="Palatino Linotype"/>
        </w:rPr>
      </w:pPr>
    </w:p>
    <w:p w14:paraId="7C2C2C91" w14:textId="77777777" w:rsidR="00942616" w:rsidRPr="004971A4" w:rsidRDefault="00942616" w:rsidP="000F30BC">
      <w:pPr>
        <w:tabs>
          <w:tab w:val="left" w:pos="3374"/>
        </w:tabs>
        <w:spacing w:line="360" w:lineRule="auto"/>
        <w:rPr>
          <w:rFonts w:ascii="Palatino Linotype" w:hAnsi="Palatino Linotype"/>
        </w:rPr>
      </w:pPr>
    </w:p>
    <w:p w14:paraId="45B6A2A6" w14:textId="77777777" w:rsidR="00942616" w:rsidRPr="004971A4" w:rsidRDefault="00942616" w:rsidP="000F30BC">
      <w:pPr>
        <w:tabs>
          <w:tab w:val="left" w:pos="3374"/>
        </w:tabs>
        <w:spacing w:line="360" w:lineRule="auto"/>
        <w:rPr>
          <w:rFonts w:ascii="Palatino Linotype" w:hAnsi="Palatino Linotype"/>
        </w:rPr>
      </w:pPr>
    </w:p>
    <w:p w14:paraId="0A8A8A68" w14:textId="77777777" w:rsidR="00942616" w:rsidRPr="004971A4" w:rsidRDefault="00942616" w:rsidP="000F30BC">
      <w:pPr>
        <w:tabs>
          <w:tab w:val="left" w:pos="3374"/>
        </w:tabs>
        <w:spacing w:line="360" w:lineRule="auto"/>
        <w:rPr>
          <w:rFonts w:ascii="Palatino Linotype" w:hAnsi="Palatino Linotype"/>
        </w:rPr>
      </w:pPr>
    </w:p>
    <w:p w14:paraId="7FEC71EC" w14:textId="77777777" w:rsidR="00942616" w:rsidRPr="004971A4" w:rsidRDefault="00942616" w:rsidP="000F30BC">
      <w:pPr>
        <w:tabs>
          <w:tab w:val="left" w:pos="3374"/>
        </w:tabs>
        <w:spacing w:line="360" w:lineRule="auto"/>
        <w:rPr>
          <w:rFonts w:ascii="Palatino Linotype" w:hAnsi="Palatino Linotype"/>
        </w:rPr>
      </w:pPr>
    </w:p>
    <w:p w14:paraId="2CDB6924" w14:textId="77777777" w:rsidR="00942616" w:rsidRPr="004971A4" w:rsidRDefault="00942616" w:rsidP="000F30BC">
      <w:pPr>
        <w:tabs>
          <w:tab w:val="left" w:pos="3374"/>
        </w:tabs>
        <w:spacing w:line="360" w:lineRule="auto"/>
        <w:rPr>
          <w:rFonts w:ascii="Palatino Linotype" w:hAnsi="Palatino Linotype"/>
        </w:rPr>
      </w:pPr>
    </w:p>
    <w:p w14:paraId="785D4E09" w14:textId="77777777" w:rsidR="00942616" w:rsidRPr="004971A4" w:rsidRDefault="00942616" w:rsidP="000F30BC">
      <w:pPr>
        <w:tabs>
          <w:tab w:val="left" w:pos="3374"/>
        </w:tabs>
        <w:spacing w:line="360" w:lineRule="auto"/>
        <w:rPr>
          <w:rFonts w:ascii="Palatino Linotype" w:hAnsi="Palatino Linotype"/>
        </w:rPr>
      </w:pPr>
    </w:p>
    <w:p w14:paraId="2E87A5CF" w14:textId="77777777" w:rsidR="00942616" w:rsidRPr="004971A4" w:rsidRDefault="00942616" w:rsidP="000F30BC">
      <w:pPr>
        <w:tabs>
          <w:tab w:val="left" w:pos="3374"/>
        </w:tabs>
        <w:spacing w:line="360" w:lineRule="auto"/>
        <w:rPr>
          <w:rFonts w:ascii="Palatino Linotype" w:hAnsi="Palatino Linotype"/>
        </w:rPr>
      </w:pPr>
    </w:p>
    <w:p w14:paraId="24F0B777" w14:textId="77777777" w:rsidR="00942616" w:rsidRPr="004971A4" w:rsidRDefault="00942616" w:rsidP="000F30BC">
      <w:pPr>
        <w:tabs>
          <w:tab w:val="left" w:pos="3374"/>
        </w:tabs>
        <w:spacing w:line="360" w:lineRule="auto"/>
        <w:rPr>
          <w:rFonts w:ascii="Palatino Linotype" w:hAnsi="Palatino Linotype"/>
        </w:rPr>
      </w:pPr>
    </w:p>
    <w:p w14:paraId="41BB0BB9" w14:textId="77777777" w:rsidR="00942616" w:rsidRPr="004971A4" w:rsidRDefault="00942616" w:rsidP="000F30BC">
      <w:pPr>
        <w:tabs>
          <w:tab w:val="left" w:pos="3374"/>
        </w:tabs>
        <w:spacing w:line="360" w:lineRule="auto"/>
        <w:rPr>
          <w:rFonts w:ascii="Palatino Linotype" w:hAnsi="Palatino Linotype"/>
        </w:rPr>
      </w:pPr>
    </w:p>
    <w:p w14:paraId="3FBD9A97" w14:textId="77777777" w:rsidR="00942616" w:rsidRPr="004971A4" w:rsidRDefault="00942616" w:rsidP="000F30BC">
      <w:pPr>
        <w:tabs>
          <w:tab w:val="left" w:pos="3374"/>
        </w:tabs>
        <w:spacing w:line="360" w:lineRule="auto"/>
        <w:rPr>
          <w:rFonts w:ascii="Palatino Linotype" w:hAnsi="Palatino Linotype"/>
        </w:rPr>
      </w:pPr>
    </w:p>
    <w:p w14:paraId="67E05949" w14:textId="77777777" w:rsidR="00942616" w:rsidRPr="004971A4" w:rsidRDefault="00942616" w:rsidP="000F30BC">
      <w:pPr>
        <w:tabs>
          <w:tab w:val="left" w:pos="3374"/>
        </w:tabs>
        <w:spacing w:line="360" w:lineRule="auto"/>
        <w:rPr>
          <w:rFonts w:ascii="Palatino Linotype" w:hAnsi="Palatino Linotype"/>
        </w:rPr>
      </w:pPr>
    </w:p>
    <w:p w14:paraId="24CE3BD5" w14:textId="77777777" w:rsidR="00942616" w:rsidRPr="004971A4" w:rsidRDefault="00942616" w:rsidP="000F30BC">
      <w:pPr>
        <w:tabs>
          <w:tab w:val="left" w:pos="3374"/>
        </w:tabs>
        <w:spacing w:line="360" w:lineRule="auto"/>
        <w:rPr>
          <w:rFonts w:ascii="Palatino Linotype" w:hAnsi="Palatino Linotype"/>
        </w:rPr>
      </w:pPr>
    </w:p>
    <w:p w14:paraId="16DA2CF4" w14:textId="77777777" w:rsidR="00942616" w:rsidRPr="004971A4" w:rsidRDefault="00942616" w:rsidP="000F30BC">
      <w:pPr>
        <w:tabs>
          <w:tab w:val="left" w:pos="3374"/>
        </w:tabs>
        <w:spacing w:line="360" w:lineRule="auto"/>
        <w:rPr>
          <w:rFonts w:ascii="Palatino Linotype" w:hAnsi="Palatino Linotype"/>
        </w:rPr>
      </w:pPr>
    </w:p>
    <w:p w14:paraId="4AFB468F" w14:textId="77777777" w:rsidR="00942616" w:rsidRPr="004971A4" w:rsidRDefault="00942616" w:rsidP="000F30BC">
      <w:pPr>
        <w:tabs>
          <w:tab w:val="left" w:pos="3374"/>
        </w:tabs>
        <w:spacing w:line="360" w:lineRule="auto"/>
        <w:rPr>
          <w:rFonts w:ascii="Palatino Linotype" w:hAnsi="Palatino Linotype"/>
        </w:rPr>
      </w:pPr>
    </w:p>
    <w:p w14:paraId="0EDC4D44" w14:textId="77777777" w:rsidR="006603F1" w:rsidRPr="004971A4" w:rsidRDefault="006603F1" w:rsidP="000F30BC">
      <w:pPr>
        <w:spacing w:line="360" w:lineRule="auto"/>
        <w:rPr>
          <w:rFonts w:ascii="Palatino Linotype" w:hAnsi="Palatino Linotype"/>
        </w:rPr>
      </w:pPr>
    </w:p>
    <w:sectPr w:rsidR="006603F1" w:rsidRPr="004971A4" w:rsidSect="00537651">
      <w:headerReference w:type="even" r:id="rId8"/>
      <w:headerReference w:type="default" r:id="rId9"/>
      <w:footerReference w:type="default" r:id="rId10"/>
      <w:headerReference w:type="first" r:id="rId11"/>
      <w:footerReference w:type="first" r:id="rId12"/>
      <w:pgSz w:w="12240" w:h="15840"/>
      <w:pgMar w:top="2268" w:right="1701" w:bottom="1702"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952BCE" w14:textId="77777777" w:rsidR="00A3269B" w:rsidRDefault="00A3269B" w:rsidP="00942616">
      <w:r>
        <w:separator/>
      </w:r>
    </w:p>
  </w:endnote>
  <w:endnote w:type="continuationSeparator" w:id="0">
    <w:p w14:paraId="0699EFF0" w14:textId="77777777" w:rsidR="00A3269B" w:rsidRDefault="00A3269B" w:rsidP="00942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Yu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77456943"/>
      <w:docPartObj>
        <w:docPartGallery w:val="Page Numbers (Bottom of Page)"/>
        <w:docPartUnique/>
      </w:docPartObj>
    </w:sdtPr>
    <w:sdtEndPr/>
    <w:sdtContent>
      <w:sdt>
        <w:sdtPr>
          <w:id w:val="-1769616900"/>
          <w:docPartObj>
            <w:docPartGallery w:val="Page Numbers (Top of Page)"/>
            <w:docPartUnique/>
          </w:docPartObj>
        </w:sdtPr>
        <w:sdtEndPr/>
        <w:sdtContent>
          <w:p w14:paraId="4705F95D" w14:textId="77777777" w:rsidR="002E6437" w:rsidRPr="002D6DD8" w:rsidRDefault="002E6437" w:rsidP="00B5153D">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197701">
              <w:rPr>
                <w:rFonts w:ascii="Palatino Linotype" w:hAnsi="Palatino Linotype"/>
                <w:bCs/>
                <w:noProof/>
                <w:sz w:val="20"/>
              </w:rPr>
              <w:t>39</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197701">
              <w:rPr>
                <w:rFonts w:ascii="Palatino Linotype" w:hAnsi="Palatino Linotype"/>
                <w:bCs/>
                <w:noProof/>
                <w:sz w:val="20"/>
              </w:rPr>
              <w:t>40</w:t>
            </w:r>
            <w:r>
              <w:rPr>
                <w:rFonts w:ascii="Palatino Linotype" w:hAnsi="Palatino Linotype"/>
                <w:bCs/>
                <w:noProof/>
                <w:sz w:val="20"/>
              </w:rPr>
              <w:fldChar w:fldCharType="end"/>
            </w:r>
          </w:p>
        </w:sdtContent>
      </w:sdt>
    </w:sdtContent>
  </w:sdt>
  <w:p w14:paraId="4B3C5062" w14:textId="77777777" w:rsidR="002E6437" w:rsidRDefault="002E643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855357" w14:textId="77777777" w:rsidR="002E6437" w:rsidRPr="000B69FA" w:rsidRDefault="002E6437" w:rsidP="00B5153D">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197701">
      <w:rPr>
        <w:rFonts w:ascii="Palatino Linotype" w:hAnsi="Palatino Linotype"/>
        <w:bCs/>
        <w:noProof/>
        <w:sz w:val="20"/>
      </w:rPr>
      <w:t>1</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197701">
      <w:rPr>
        <w:rFonts w:ascii="Palatino Linotype" w:hAnsi="Palatino Linotype"/>
        <w:bCs/>
        <w:noProof/>
        <w:sz w:val="20"/>
      </w:rPr>
      <w:t>40</w:t>
    </w:r>
    <w:r>
      <w:rPr>
        <w:rFonts w:ascii="Palatino Linotype" w:hAnsi="Palatino Linotype"/>
        <w:bCs/>
        <w:noProof/>
        <w:sz w:val="20"/>
      </w:rPr>
      <w:fldChar w:fldCharType="end"/>
    </w:r>
  </w:p>
  <w:p w14:paraId="5FDB238B" w14:textId="77777777" w:rsidR="002E6437" w:rsidRDefault="002E643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2EBFBC" w14:textId="77777777" w:rsidR="00A3269B" w:rsidRDefault="00A3269B" w:rsidP="00942616">
      <w:r>
        <w:separator/>
      </w:r>
    </w:p>
  </w:footnote>
  <w:footnote w:type="continuationSeparator" w:id="0">
    <w:p w14:paraId="654698E0" w14:textId="77777777" w:rsidR="00A3269B" w:rsidRDefault="00A3269B" w:rsidP="00942616">
      <w:r>
        <w:continuationSeparator/>
      </w:r>
    </w:p>
  </w:footnote>
  <w:footnote w:id="1">
    <w:p w14:paraId="7172C943" w14:textId="77777777" w:rsidR="002019D0" w:rsidRDefault="002019D0" w:rsidP="002019D0">
      <w:pPr>
        <w:pBdr>
          <w:top w:val="nil"/>
          <w:left w:val="nil"/>
          <w:bottom w:val="nil"/>
          <w:right w:val="nil"/>
          <w:between w:val="nil"/>
        </w:pBdr>
        <w:jc w:val="both"/>
        <w:rPr>
          <w:rFonts w:ascii="Palatino Linotype" w:eastAsia="Palatino Linotype" w:hAnsi="Palatino Linotype" w:cs="Palatino Linotype"/>
          <w:i/>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i/>
          <w:color w:val="000000"/>
          <w:sz w:val="16"/>
          <w:szCs w:val="16"/>
        </w:rPr>
        <w:t>Artículo 164. El acceso se dará en la modalidad de entrega y, en su caso, de envío elegidos por el solicitante. Cuando la información no pueda entregarse o enviarse en la modalidad solicitada, el sujeto obligado deberá ofrecer otra u otras modalidades de entrega. En cualquier caso, se deberá fundar y motivar la necesidad de ofrecer otras modalidades.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62B7E9" w14:textId="77777777" w:rsidR="002E6437" w:rsidRDefault="00A3269B">
    <w:pPr>
      <w:pStyle w:val="Encabezado"/>
    </w:pPr>
    <w:r>
      <w:rPr>
        <w:noProof/>
        <w:lang w:eastAsia="es-MX"/>
      </w:rPr>
      <w:pict w14:anchorId="63136A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8" o:spid="_x0000_s2049" type="#_x0000_t75" style="position:absolute;margin-left:0;margin-top:0;width:609.4pt;height:793.75pt;z-index:-251657216;mso-position-horizontal:center;mso-position-horizontal-relative:margin;mso-position-vertical:center;mso-position-vertical-relative:margin" o:allowincell="f">
          <v:imagedata r:id="rId1" o:title="logo infoem (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6519" w:type="dxa"/>
      <w:tblInd w:w="2694" w:type="dxa"/>
      <w:tblCellMar>
        <w:left w:w="70" w:type="dxa"/>
        <w:right w:w="70" w:type="dxa"/>
      </w:tblCellMar>
      <w:tblLook w:val="04A0" w:firstRow="1" w:lastRow="0" w:firstColumn="1" w:lastColumn="0" w:noHBand="0" w:noVBand="1"/>
    </w:tblPr>
    <w:tblGrid>
      <w:gridCol w:w="2976"/>
      <w:gridCol w:w="3543"/>
    </w:tblGrid>
    <w:tr w:rsidR="002E6437" w14:paraId="6291E73B" w14:textId="77777777" w:rsidTr="00B5153D">
      <w:trPr>
        <w:trHeight w:val="227"/>
      </w:trPr>
      <w:tc>
        <w:tcPr>
          <w:tcW w:w="2976" w:type="dxa"/>
          <w:vAlign w:val="center"/>
          <w:hideMark/>
        </w:tcPr>
        <w:p w14:paraId="785910C1" w14:textId="77777777" w:rsidR="002E6437" w:rsidRPr="00674A46" w:rsidRDefault="002E6437" w:rsidP="00B5153D">
          <w:pPr>
            <w:ind w:right="34"/>
            <w:jc w:val="right"/>
            <w:rPr>
              <w:rFonts w:ascii="Palatino Linotype" w:hAnsi="Palatino Linotype"/>
              <w:b/>
              <w:sz w:val="22"/>
              <w:szCs w:val="22"/>
            </w:rPr>
          </w:pPr>
          <w:r w:rsidRPr="00674A46">
            <w:rPr>
              <w:rFonts w:ascii="Palatino Linotype" w:hAnsi="Palatino Linotype"/>
              <w:b/>
              <w:sz w:val="22"/>
              <w:szCs w:val="22"/>
            </w:rPr>
            <w:t xml:space="preserve">Recurso </w:t>
          </w:r>
          <w:r>
            <w:rPr>
              <w:rFonts w:ascii="Palatino Linotype" w:hAnsi="Palatino Linotype"/>
              <w:b/>
              <w:sz w:val="22"/>
              <w:szCs w:val="22"/>
            </w:rPr>
            <w:t>d</w:t>
          </w:r>
          <w:r w:rsidRPr="00674A46">
            <w:rPr>
              <w:rFonts w:ascii="Palatino Linotype" w:hAnsi="Palatino Linotype"/>
              <w:b/>
              <w:sz w:val="22"/>
              <w:szCs w:val="22"/>
            </w:rPr>
            <w:t>e Revisión:</w:t>
          </w:r>
        </w:p>
      </w:tc>
      <w:tc>
        <w:tcPr>
          <w:tcW w:w="3543" w:type="dxa"/>
          <w:vAlign w:val="center"/>
          <w:hideMark/>
        </w:tcPr>
        <w:p w14:paraId="0BE4C623" w14:textId="61BA158F" w:rsidR="002E6437" w:rsidRPr="009304C1" w:rsidRDefault="002E6437" w:rsidP="00833269">
          <w:pPr>
            <w:pStyle w:val="Encabezado"/>
            <w:rPr>
              <w:rFonts w:ascii="Palatino Linotype" w:hAnsi="Palatino Linotype"/>
              <w:b/>
              <w:sz w:val="22"/>
              <w:szCs w:val="22"/>
              <w:highlight w:val="green"/>
            </w:rPr>
          </w:pPr>
          <w:r>
            <w:rPr>
              <w:rFonts w:ascii="Palatino Linotype" w:hAnsi="Palatino Linotype" w:cs="Arial"/>
              <w:b/>
              <w:bCs/>
              <w:sz w:val="22"/>
              <w:szCs w:val="22"/>
              <w:lang w:eastAsia="es-MX"/>
            </w:rPr>
            <w:t>04573/INFOEM/IP/RR/2024</w:t>
          </w:r>
        </w:p>
      </w:tc>
    </w:tr>
    <w:tr w:rsidR="002E6437" w14:paraId="0495579F" w14:textId="77777777" w:rsidTr="00B5153D">
      <w:trPr>
        <w:trHeight w:val="242"/>
      </w:trPr>
      <w:tc>
        <w:tcPr>
          <w:tcW w:w="2976" w:type="dxa"/>
          <w:vAlign w:val="center"/>
          <w:hideMark/>
        </w:tcPr>
        <w:p w14:paraId="1260BD52" w14:textId="77777777" w:rsidR="002E6437" w:rsidRPr="00674A46" w:rsidRDefault="002E6437" w:rsidP="00B5153D">
          <w:pPr>
            <w:ind w:right="34"/>
            <w:jc w:val="right"/>
            <w:rPr>
              <w:rFonts w:ascii="Palatino Linotype" w:hAnsi="Palatino Linotype"/>
              <w:b/>
              <w:sz w:val="22"/>
              <w:szCs w:val="22"/>
            </w:rPr>
          </w:pPr>
          <w:r w:rsidRPr="00674A46">
            <w:rPr>
              <w:rFonts w:ascii="Palatino Linotype" w:hAnsi="Palatino Linotype"/>
              <w:b/>
              <w:sz w:val="22"/>
              <w:szCs w:val="22"/>
            </w:rPr>
            <w:t>Sujeto Obligado:</w:t>
          </w:r>
        </w:p>
      </w:tc>
      <w:tc>
        <w:tcPr>
          <w:tcW w:w="3543" w:type="dxa"/>
          <w:vAlign w:val="center"/>
          <w:hideMark/>
        </w:tcPr>
        <w:p w14:paraId="244BA212" w14:textId="37C20C56" w:rsidR="002E6437" w:rsidRPr="009304C1" w:rsidRDefault="002E6437" w:rsidP="00833269">
          <w:pPr>
            <w:pStyle w:val="Encabezado"/>
            <w:jc w:val="both"/>
            <w:rPr>
              <w:rFonts w:ascii="Palatino Linotype" w:hAnsi="Palatino Linotype"/>
              <w:b/>
              <w:bCs/>
              <w:color w:val="000000"/>
              <w:sz w:val="22"/>
              <w:szCs w:val="22"/>
              <w:highlight w:val="green"/>
            </w:rPr>
          </w:pPr>
          <w:r w:rsidRPr="00F70101">
            <w:rPr>
              <w:rFonts w:ascii="Palatino Linotype" w:hAnsi="Palatino Linotype"/>
              <w:b/>
              <w:bCs/>
              <w:color w:val="000000"/>
              <w:sz w:val="22"/>
              <w:szCs w:val="22"/>
            </w:rPr>
            <w:t xml:space="preserve">Ayuntamiento de </w:t>
          </w:r>
          <w:r w:rsidR="004971A4">
            <w:rPr>
              <w:rFonts w:ascii="Palatino Linotype" w:hAnsi="Palatino Linotype"/>
              <w:b/>
              <w:bCs/>
              <w:color w:val="000000"/>
              <w:sz w:val="22"/>
              <w:szCs w:val="22"/>
            </w:rPr>
            <w:t>Temamatla</w:t>
          </w:r>
        </w:p>
      </w:tc>
    </w:tr>
    <w:tr w:rsidR="002E6437" w14:paraId="094D4B8E" w14:textId="77777777" w:rsidTr="00B5153D">
      <w:trPr>
        <w:trHeight w:val="342"/>
      </w:trPr>
      <w:tc>
        <w:tcPr>
          <w:tcW w:w="2976" w:type="dxa"/>
          <w:vAlign w:val="center"/>
          <w:hideMark/>
        </w:tcPr>
        <w:p w14:paraId="704F2262" w14:textId="77777777" w:rsidR="002E6437" w:rsidRPr="00674A46" w:rsidRDefault="002E6437" w:rsidP="00B5153D">
          <w:pPr>
            <w:ind w:right="34"/>
            <w:jc w:val="right"/>
            <w:rPr>
              <w:rFonts w:ascii="Palatino Linotype" w:hAnsi="Palatino Linotype"/>
              <w:b/>
              <w:sz w:val="22"/>
              <w:szCs w:val="22"/>
            </w:rPr>
          </w:pPr>
          <w:r>
            <w:rPr>
              <w:rFonts w:ascii="Palatino Linotype" w:hAnsi="Palatino Linotype"/>
              <w:b/>
              <w:sz w:val="22"/>
              <w:szCs w:val="22"/>
            </w:rPr>
            <w:t>Comisionada</w:t>
          </w:r>
          <w:r w:rsidRPr="00674A46">
            <w:rPr>
              <w:rFonts w:ascii="Palatino Linotype" w:hAnsi="Palatino Linotype"/>
              <w:b/>
              <w:sz w:val="22"/>
              <w:szCs w:val="22"/>
            </w:rPr>
            <w:t xml:space="preserve"> Ponente:</w:t>
          </w:r>
        </w:p>
      </w:tc>
      <w:tc>
        <w:tcPr>
          <w:tcW w:w="3543" w:type="dxa"/>
          <w:vAlign w:val="center"/>
          <w:hideMark/>
        </w:tcPr>
        <w:p w14:paraId="26E70F93" w14:textId="77777777" w:rsidR="002E6437" w:rsidRPr="00485ED8" w:rsidRDefault="002E6437" w:rsidP="00B5153D">
          <w:pPr>
            <w:pStyle w:val="Encabezado"/>
            <w:rPr>
              <w:rFonts w:ascii="Palatino Linotype" w:hAnsi="Palatino Linotype"/>
              <w:b/>
              <w:sz w:val="22"/>
              <w:szCs w:val="22"/>
            </w:rPr>
          </w:pPr>
          <w:r w:rsidRPr="00485ED8">
            <w:rPr>
              <w:rFonts w:ascii="Palatino Linotype" w:hAnsi="Palatino Linotype"/>
              <w:b/>
              <w:sz w:val="22"/>
              <w:szCs w:val="22"/>
            </w:rPr>
            <w:t>María del Rosario Mejía Ayala</w:t>
          </w:r>
        </w:p>
      </w:tc>
    </w:tr>
  </w:tbl>
  <w:p w14:paraId="75582F32" w14:textId="77777777" w:rsidR="002E6437" w:rsidRPr="00AE046A" w:rsidRDefault="00A3269B" w:rsidP="00B5153D">
    <w:pPr>
      <w:pStyle w:val="Encabezado"/>
      <w:tabs>
        <w:tab w:val="clear" w:pos="4419"/>
        <w:tab w:val="clear" w:pos="8838"/>
        <w:tab w:val="left" w:pos="6005"/>
      </w:tabs>
      <w:rPr>
        <w:sz w:val="14"/>
      </w:rPr>
    </w:pPr>
    <w:r>
      <w:rPr>
        <w:noProof/>
        <w:sz w:val="14"/>
        <w:lang w:eastAsia="es-MX"/>
      </w:rPr>
      <w:pict w14:anchorId="7AF2FF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9" o:spid="_x0000_s2050" type="#_x0000_t75" style="position:absolute;margin-left:-82.3pt;margin-top:-110.1pt;width:609.4pt;height:793.75pt;z-index:-251656192;mso-position-horizontal-relative:margin;mso-position-vertical-relative:margin" o:allowincell="f">
          <v:imagedata r:id="rId1" o:title="logo infoem (1)"/>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6661" w:type="dxa"/>
      <w:tblInd w:w="2552" w:type="dxa"/>
      <w:tblCellMar>
        <w:left w:w="70" w:type="dxa"/>
        <w:right w:w="70" w:type="dxa"/>
      </w:tblCellMar>
      <w:tblLook w:val="04A0" w:firstRow="1" w:lastRow="0" w:firstColumn="1" w:lastColumn="0" w:noHBand="0" w:noVBand="1"/>
    </w:tblPr>
    <w:tblGrid>
      <w:gridCol w:w="2977"/>
      <w:gridCol w:w="3684"/>
    </w:tblGrid>
    <w:tr w:rsidR="002E6437" w14:paraId="109D31C7" w14:textId="77777777" w:rsidTr="00B5153D">
      <w:trPr>
        <w:trHeight w:val="227"/>
      </w:trPr>
      <w:tc>
        <w:tcPr>
          <w:tcW w:w="2977" w:type="dxa"/>
          <w:vAlign w:val="center"/>
          <w:hideMark/>
        </w:tcPr>
        <w:p w14:paraId="52EDE096" w14:textId="77777777" w:rsidR="002E6437" w:rsidRPr="00674A46" w:rsidRDefault="002E6437" w:rsidP="00B5153D">
          <w:pPr>
            <w:jc w:val="right"/>
            <w:rPr>
              <w:rFonts w:ascii="Palatino Linotype" w:hAnsi="Palatino Linotype"/>
              <w:b/>
              <w:sz w:val="22"/>
              <w:szCs w:val="22"/>
            </w:rPr>
          </w:pPr>
          <w:r>
            <w:rPr>
              <w:rFonts w:ascii="Palatino Linotype" w:hAnsi="Palatino Linotype"/>
              <w:b/>
              <w:sz w:val="22"/>
              <w:szCs w:val="22"/>
            </w:rPr>
            <w:t>Recurso d</w:t>
          </w:r>
          <w:r w:rsidRPr="00674A46">
            <w:rPr>
              <w:rFonts w:ascii="Palatino Linotype" w:hAnsi="Palatino Linotype"/>
              <w:b/>
              <w:sz w:val="22"/>
              <w:szCs w:val="22"/>
            </w:rPr>
            <w:t>e Revisión:</w:t>
          </w:r>
        </w:p>
      </w:tc>
      <w:tc>
        <w:tcPr>
          <w:tcW w:w="3684" w:type="dxa"/>
          <w:vAlign w:val="center"/>
          <w:hideMark/>
        </w:tcPr>
        <w:p w14:paraId="0ACDB4C9" w14:textId="4A5F42C5" w:rsidR="002E6437" w:rsidRPr="00361600" w:rsidRDefault="002E6437" w:rsidP="00B03113">
          <w:pPr>
            <w:pStyle w:val="Encabezado"/>
            <w:rPr>
              <w:rFonts w:ascii="Palatino Linotype" w:hAnsi="Palatino Linotype"/>
              <w:b/>
              <w:sz w:val="22"/>
              <w:szCs w:val="22"/>
              <w:highlight w:val="green"/>
            </w:rPr>
          </w:pPr>
          <w:r>
            <w:rPr>
              <w:rFonts w:ascii="Palatino Linotype" w:hAnsi="Palatino Linotype" w:cs="Arial"/>
              <w:b/>
              <w:bCs/>
              <w:sz w:val="22"/>
              <w:szCs w:val="22"/>
              <w:lang w:eastAsia="es-MX"/>
            </w:rPr>
            <w:t>04573/INFOEM/IP/RR/2024</w:t>
          </w:r>
        </w:p>
      </w:tc>
    </w:tr>
    <w:tr w:rsidR="002E6437" w14:paraId="0AB7C776" w14:textId="77777777" w:rsidTr="00B5153D">
      <w:trPr>
        <w:trHeight w:val="242"/>
      </w:trPr>
      <w:tc>
        <w:tcPr>
          <w:tcW w:w="2977" w:type="dxa"/>
          <w:vAlign w:val="center"/>
          <w:hideMark/>
        </w:tcPr>
        <w:p w14:paraId="798B5FF4" w14:textId="77777777" w:rsidR="002E6437" w:rsidRPr="00674A46" w:rsidRDefault="002E6437" w:rsidP="00B5153D">
          <w:pPr>
            <w:jc w:val="right"/>
            <w:rPr>
              <w:rFonts w:ascii="Palatino Linotype" w:hAnsi="Palatino Linotype"/>
              <w:b/>
              <w:sz w:val="22"/>
              <w:szCs w:val="22"/>
            </w:rPr>
          </w:pPr>
          <w:r w:rsidRPr="00674A46">
            <w:rPr>
              <w:rFonts w:ascii="Palatino Linotype" w:hAnsi="Palatino Linotype"/>
              <w:b/>
              <w:sz w:val="22"/>
              <w:szCs w:val="22"/>
            </w:rPr>
            <w:t>Recurrente:</w:t>
          </w:r>
        </w:p>
      </w:tc>
      <w:tc>
        <w:tcPr>
          <w:tcW w:w="3684" w:type="dxa"/>
        </w:tcPr>
        <w:p w14:paraId="72ED0A79" w14:textId="68E5D4EE" w:rsidR="002E6437" w:rsidRPr="00361600" w:rsidRDefault="002E6437" w:rsidP="00B5153D">
          <w:pPr>
            <w:pStyle w:val="Encabezado"/>
            <w:tabs>
              <w:tab w:val="left" w:pos="521"/>
            </w:tabs>
            <w:rPr>
              <w:rFonts w:ascii="Palatino Linotype" w:hAnsi="Palatino Linotype"/>
              <w:b/>
              <w:sz w:val="22"/>
              <w:szCs w:val="22"/>
              <w:highlight w:val="green"/>
            </w:rPr>
          </w:pPr>
        </w:p>
      </w:tc>
    </w:tr>
    <w:tr w:rsidR="002E6437" w14:paraId="36334B37" w14:textId="77777777" w:rsidTr="00B5153D">
      <w:trPr>
        <w:trHeight w:val="342"/>
      </w:trPr>
      <w:tc>
        <w:tcPr>
          <w:tcW w:w="2977" w:type="dxa"/>
          <w:vAlign w:val="center"/>
        </w:tcPr>
        <w:p w14:paraId="476BA4F3" w14:textId="77777777" w:rsidR="002E6437" w:rsidRPr="00674A46" w:rsidRDefault="002E6437" w:rsidP="00B5153D">
          <w:pPr>
            <w:jc w:val="right"/>
            <w:rPr>
              <w:rFonts w:ascii="Palatino Linotype" w:hAnsi="Palatino Linotype"/>
              <w:b/>
              <w:sz w:val="22"/>
              <w:szCs w:val="22"/>
            </w:rPr>
          </w:pPr>
          <w:r w:rsidRPr="00674A46">
            <w:rPr>
              <w:rFonts w:ascii="Palatino Linotype" w:hAnsi="Palatino Linotype"/>
              <w:b/>
              <w:sz w:val="22"/>
              <w:szCs w:val="22"/>
            </w:rPr>
            <w:t>Sujeto Obligado:</w:t>
          </w:r>
        </w:p>
      </w:tc>
      <w:tc>
        <w:tcPr>
          <w:tcW w:w="3684" w:type="dxa"/>
          <w:vAlign w:val="center"/>
        </w:tcPr>
        <w:p w14:paraId="07A3E921" w14:textId="67BA5235" w:rsidR="002E6437" w:rsidRPr="00361600" w:rsidRDefault="002E6437" w:rsidP="00833269">
          <w:pPr>
            <w:pStyle w:val="Encabezado"/>
            <w:jc w:val="both"/>
            <w:rPr>
              <w:rFonts w:ascii="Palatino Linotype" w:hAnsi="Palatino Linotype"/>
              <w:b/>
              <w:sz w:val="22"/>
              <w:szCs w:val="22"/>
              <w:highlight w:val="green"/>
            </w:rPr>
          </w:pPr>
          <w:r w:rsidRPr="00B03113">
            <w:rPr>
              <w:rFonts w:ascii="Palatino Linotype" w:hAnsi="Palatino Linotype"/>
              <w:b/>
              <w:bCs/>
              <w:color w:val="000000"/>
              <w:sz w:val="22"/>
              <w:szCs w:val="22"/>
            </w:rPr>
            <w:t>Ayuntamiento de Temamatla</w:t>
          </w:r>
        </w:p>
      </w:tc>
    </w:tr>
    <w:tr w:rsidR="002E6437" w14:paraId="0C6AC9F5" w14:textId="77777777" w:rsidTr="00B5153D">
      <w:trPr>
        <w:trHeight w:val="342"/>
      </w:trPr>
      <w:tc>
        <w:tcPr>
          <w:tcW w:w="2977" w:type="dxa"/>
          <w:vAlign w:val="center"/>
        </w:tcPr>
        <w:p w14:paraId="68D9479B" w14:textId="77777777" w:rsidR="002E6437" w:rsidRPr="00674A46" w:rsidRDefault="002E6437" w:rsidP="00B5153D">
          <w:pPr>
            <w:jc w:val="right"/>
            <w:rPr>
              <w:rFonts w:ascii="Palatino Linotype" w:hAnsi="Palatino Linotype"/>
              <w:b/>
              <w:sz w:val="22"/>
              <w:szCs w:val="22"/>
            </w:rPr>
          </w:pPr>
          <w:r w:rsidRPr="00674A46">
            <w:rPr>
              <w:rFonts w:ascii="Palatino Linotype" w:hAnsi="Palatino Linotype"/>
              <w:b/>
              <w:sz w:val="22"/>
              <w:szCs w:val="22"/>
            </w:rPr>
            <w:t>Comisionad</w:t>
          </w:r>
          <w:r>
            <w:rPr>
              <w:rFonts w:ascii="Palatino Linotype" w:hAnsi="Palatino Linotype"/>
              <w:b/>
              <w:sz w:val="22"/>
              <w:szCs w:val="22"/>
            </w:rPr>
            <w:t>a</w:t>
          </w:r>
          <w:r w:rsidRPr="00674A46">
            <w:rPr>
              <w:rFonts w:ascii="Palatino Linotype" w:hAnsi="Palatino Linotype"/>
              <w:b/>
              <w:sz w:val="22"/>
              <w:szCs w:val="22"/>
            </w:rPr>
            <w:t xml:space="preserve"> Ponente:</w:t>
          </w:r>
        </w:p>
      </w:tc>
      <w:tc>
        <w:tcPr>
          <w:tcW w:w="3684" w:type="dxa"/>
          <w:vAlign w:val="center"/>
        </w:tcPr>
        <w:p w14:paraId="729D0236" w14:textId="77777777" w:rsidR="002E6437" w:rsidRPr="00674A46" w:rsidRDefault="002E6437" w:rsidP="00B5153D">
          <w:pPr>
            <w:pStyle w:val="Encabezado"/>
            <w:rPr>
              <w:rFonts w:ascii="Palatino Linotype" w:hAnsi="Palatino Linotype"/>
              <w:b/>
              <w:sz w:val="22"/>
              <w:szCs w:val="22"/>
            </w:rPr>
          </w:pPr>
          <w:r w:rsidRPr="00116201">
            <w:rPr>
              <w:rFonts w:ascii="Palatino Linotype" w:hAnsi="Palatino Linotype"/>
              <w:b/>
              <w:sz w:val="22"/>
              <w:szCs w:val="21"/>
            </w:rPr>
            <w:t>María del Rosario Mejía Ayala</w:t>
          </w:r>
        </w:p>
      </w:tc>
    </w:tr>
  </w:tbl>
  <w:p w14:paraId="77D264B0" w14:textId="77777777" w:rsidR="002E6437" w:rsidRPr="00C222C0" w:rsidRDefault="00A3269B">
    <w:pPr>
      <w:pStyle w:val="Encabezado"/>
      <w:rPr>
        <w:sz w:val="16"/>
      </w:rPr>
    </w:pPr>
    <w:r>
      <w:rPr>
        <w:noProof/>
        <w:sz w:val="16"/>
        <w:lang w:eastAsia="es-MX"/>
      </w:rPr>
      <w:pict w14:anchorId="572F4B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9434187" o:spid="_x0000_s2051" type="#_x0000_t75" style="position:absolute;margin-left:-84.55pt;margin-top:-132.2pt;width:609.4pt;height:793.75pt;z-index:-251655168;mso-position-horizontal-relative:margin;mso-position-vertical-relative:margin" o:allowincell="f">
          <v:imagedata r:id="rId1" o:title="logo infoem (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04693"/>
    <w:multiLevelType w:val="hybridMultilevel"/>
    <w:tmpl w:val="10003FE4"/>
    <w:lvl w:ilvl="0" w:tplc="2D2EBEE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06E368E"/>
    <w:multiLevelType w:val="hybridMultilevel"/>
    <w:tmpl w:val="590A6FC8"/>
    <w:lvl w:ilvl="0" w:tplc="E2BE5898">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2" w15:restartNumberingAfterBreak="0">
    <w:nsid w:val="108C79F4"/>
    <w:multiLevelType w:val="hybridMultilevel"/>
    <w:tmpl w:val="6966DE1E"/>
    <w:lvl w:ilvl="0" w:tplc="1DEE904E">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3" w15:restartNumberingAfterBreak="0">
    <w:nsid w:val="118F57E5"/>
    <w:multiLevelType w:val="hybridMultilevel"/>
    <w:tmpl w:val="A7E4770A"/>
    <w:lvl w:ilvl="0" w:tplc="8976ECCA">
      <w:start w:val="1"/>
      <w:numFmt w:val="upperRoman"/>
      <w:lvlText w:val="%1."/>
      <w:lvlJc w:val="left"/>
      <w:pPr>
        <w:ind w:left="1080" w:hanging="720"/>
      </w:pPr>
      <w:rPr>
        <w:rFonts w:cs="Times New Roman"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2046725"/>
    <w:multiLevelType w:val="hybridMultilevel"/>
    <w:tmpl w:val="CEBC7D7C"/>
    <w:lvl w:ilvl="0" w:tplc="55D4FA3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5520FD6"/>
    <w:multiLevelType w:val="hybridMultilevel"/>
    <w:tmpl w:val="53206A08"/>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6" w15:restartNumberingAfterBreak="0">
    <w:nsid w:val="1A7116F6"/>
    <w:multiLevelType w:val="hybridMultilevel"/>
    <w:tmpl w:val="01B6F2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E4A3521"/>
    <w:multiLevelType w:val="hybridMultilevel"/>
    <w:tmpl w:val="63A4F56E"/>
    <w:lvl w:ilvl="0" w:tplc="F4BA1888">
      <w:start w:val="1"/>
      <w:numFmt w:val="upperRoman"/>
      <w:lvlText w:val="%1."/>
      <w:lvlJc w:val="left"/>
      <w:pPr>
        <w:ind w:left="780" w:hanging="72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8" w15:restartNumberingAfterBreak="0">
    <w:nsid w:val="1EB1312A"/>
    <w:multiLevelType w:val="hybridMultilevel"/>
    <w:tmpl w:val="C3D69894"/>
    <w:lvl w:ilvl="0" w:tplc="080A0001">
      <w:start w:val="1"/>
      <w:numFmt w:val="bullet"/>
      <w:lvlText w:val=""/>
      <w:lvlJc w:val="left"/>
      <w:pPr>
        <w:ind w:left="1069" w:hanging="360"/>
      </w:pPr>
      <w:rPr>
        <w:rFonts w:ascii="Symbol" w:hAnsi="Symbol" w:hint="default"/>
      </w:rPr>
    </w:lvl>
    <w:lvl w:ilvl="1" w:tplc="080A0003" w:tentative="1">
      <w:start w:val="1"/>
      <w:numFmt w:val="bullet"/>
      <w:lvlText w:val="o"/>
      <w:lvlJc w:val="left"/>
      <w:pPr>
        <w:ind w:left="1789" w:hanging="360"/>
      </w:pPr>
      <w:rPr>
        <w:rFonts w:ascii="Courier New" w:hAnsi="Courier New" w:cs="Courier New" w:hint="default"/>
      </w:rPr>
    </w:lvl>
    <w:lvl w:ilvl="2" w:tplc="080A0005" w:tentative="1">
      <w:start w:val="1"/>
      <w:numFmt w:val="bullet"/>
      <w:lvlText w:val=""/>
      <w:lvlJc w:val="left"/>
      <w:pPr>
        <w:ind w:left="2509" w:hanging="360"/>
      </w:pPr>
      <w:rPr>
        <w:rFonts w:ascii="Wingdings" w:hAnsi="Wingdings" w:hint="default"/>
      </w:rPr>
    </w:lvl>
    <w:lvl w:ilvl="3" w:tplc="080A0001" w:tentative="1">
      <w:start w:val="1"/>
      <w:numFmt w:val="bullet"/>
      <w:lvlText w:val=""/>
      <w:lvlJc w:val="left"/>
      <w:pPr>
        <w:ind w:left="3229" w:hanging="360"/>
      </w:pPr>
      <w:rPr>
        <w:rFonts w:ascii="Symbol" w:hAnsi="Symbol" w:hint="default"/>
      </w:rPr>
    </w:lvl>
    <w:lvl w:ilvl="4" w:tplc="080A0003" w:tentative="1">
      <w:start w:val="1"/>
      <w:numFmt w:val="bullet"/>
      <w:lvlText w:val="o"/>
      <w:lvlJc w:val="left"/>
      <w:pPr>
        <w:ind w:left="3949" w:hanging="360"/>
      </w:pPr>
      <w:rPr>
        <w:rFonts w:ascii="Courier New" w:hAnsi="Courier New" w:cs="Courier New" w:hint="default"/>
      </w:rPr>
    </w:lvl>
    <w:lvl w:ilvl="5" w:tplc="080A0005" w:tentative="1">
      <w:start w:val="1"/>
      <w:numFmt w:val="bullet"/>
      <w:lvlText w:val=""/>
      <w:lvlJc w:val="left"/>
      <w:pPr>
        <w:ind w:left="4669" w:hanging="360"/>
      </w:pPr>
      <w:rPr>
        <w:rFonts w:ascii="Wingdings" w:hAnsi="Wingdings" w:hint="default"/>
      </w:rPr>
    </w:lvl>
    <w:lvl w:ilvl="6" w:tplc="080A0001" w:tentative="1">
      <w:start w:val="1"/>
      <w:numFmt w:val="bullet"/>
      <w:lvlText w:val=""/>
      <w:lvlJc w:val="left"/>
      <w:pPr>
        <w:ind w:left="5389" w:hanging="360"/>
      </w:pPr>
      <w:rPr>
        <w:rFonts w:ascii="Symbol" w:hAnsi="Symbol" w:hint="default"/>
      </w:rPr>
    </w:lvl>
    <w:lvl w:ilvl="7" w:tplc="080A0003" w:tentative="1">
      <w:start w:val="1"/>
      <w:numFmt w:val="bullet"/>
      <w:lvlText w:val="o"/>
      <w:lvlJc w:val="left"/>
      <w:pPr>
        <w:ind w:left="6109" w:hanging="360"/>
      </w:pPr>
      <w:rPr>
        <w:rFonts w:ascii="Courier New" w:hAnsi="Courier New" w:cs="Courier New" w:hint="default"/>
      </w:rPr>
    </w:lvl>
    <w:lvl w:ilvl="8" w:tplc="080A0005" w:tentative="1">
      <w:start w:val="1"/>
      <w:numFmt w:val="bullet"/>
      <w:lvlText w:val=""/>
      <w:lvlJc w:val="left"/>
      <w:pPr>
        <w:ind w:left="6829" w:hanging="360"/>
      </w:pPr>
      <w:rPr>
        <w:rFonts w:ascii="Wingdings" w:hAnsi="Wingdings" w:hint="default"/>
      </w:rPr>
    </w:lvl>
  </w:abstractNum>
  <w:abstractNum w:abstractNumId="9" w15:restartNumberingAfterBreak="0">
    <w:nsid w:val="1F232A4A"/>
    <w:multiLevelType w:val="multilevel"/>
    <w:tmpl w:val="4D82DE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11731ED"/>
    <w:multiLevelType w:val="hybridMultilevel"/>
    <w:tmpl w:val="38464766"/>
    <w:lvl w:ilvl="0" w:tplc="03D8E83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1777E39"/>
    <w:multiLevelType w:val="hybridMultilevel"/>
    <w:tmpl w:val="11EE41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6F96B37"/>
    <w:multiLevelType w:val="multilevel"/>
    <w:tmpl w:val="E212764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2CCF36A8"/>
    <w:multiLevelType w:val="hybridMultilevel"/>
    <w:tmpl w:val="F000D552"/>
    <w:lvl w:ilvl="0" w:tplc="1E560E0A">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14" w15:restartNumberingAfterBreak="0">
    <w:nsid w:val="2EA40F37"/>
    <w:multiLevelType w:val="hybridMultilevel"/>
    <w:tmpl w:val="D89C6D80"/>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15" w15:restartNumberingAfterBreak="0">
    <w:nsid w:val="33D4052F"/>
    <w:multiLevelType w:val="hybridMultilevel"/>
    <w:tmpl w:val="75721612"/>
    <w:lvl w:ilvl="0" w:tplc="BE900C6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34317490"/>
    <w:multiLevelType w:val="hybridMultilevel"/>
    <w:tmpl w:val="02EC67D8"/>
    <w:lvl w:ilvl="0" w:tplc="F5C4018E">
      <w:start w:val="1"/>
      <w:numFmt w:val="decimal"/>
      <w:lvlText w:val="%1."/>
      <w:lvlJc w:val="left"/>
      <w:pPr>
        <w:ind w:left="360" w:hanging="360"/>
      </w:pPr>
      <w:rPr>
        <w:rFonts w:ascii="Palatino Linotype" w:hAnsi="Palatino Linotype" w:hint="default"/>
        <w:b/>
        <w:i w:val="0"/>
        <w:color w:val="auto"/>
        <w:sz w:val="24"/>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4ED313E"/>
    <w:multiLevelType w:val="hybridMultilevel"/>
    <w:tmpl w:val="5ECAD50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15:restartNumberingAfterBreak="0">
    <w:nsid w:val="39A402DE"/>
    <w:multiLevelType w:val="hybridMultilevel"/>
    <w:tmpl w:val="7F1CCE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AD8321B"/>
    <w:multiLevelType w:val="hybridMultilevel"/>
    <w:tmpl w:val="5846EA66"/>
    <w:lvl w:ilvl="0" w:tplc="E16EFDF6">
      <w:start w:val="29"/>
      <w:numFmt w:val="decimal"/>
      <w:lvlText w:val="%1."/>
      <w:lvlJc w:val="left"/>
      <w:pPr>
        <w:ind w:left="502" w:hanging="360"/>
      </w:pPr>
      <w:rPr>
        <w:rFonts w:cs="Times New Roman" w:hint="default"/>
        <w:b/>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20" w15:restartNumberingAfterBreak="0">
    <w:nsid w:val="3D9F2F66"/>
    <w:multiLevelType w:val="hybridMultilevel"/>
    <w:tmpl w:val="309A14EC"/>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21" w15:restartNumberingAfterBreak="0">
    <w:nsid w:val="42810E34"/>
    <w:multiLevelType w:val="hybridMultilevel"/>
    <w:tmpl w:val="11D43D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9C01006"/>
    <w:multiLevelType w:val="multilevel"/>
    <w:tmpl w:val="E7BEFB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502C6DF9"/>
    <w:multiLevelType w:val="hybridMultilevel"/>
    <w:tmpl w:val="8472951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37455DD"/>
    <w:multiLevelType w:val="hybridMultilevel"/>
    <w:tmpl w:val="ADECEC4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3E53666"/>
    <w:multiLevelType w:val="hybridMultilevel"/>
    <w:tmpl w:val="29BC6AE2"/>
    <w:lvl w:ilvl="0" w:tplc="9C18C788">
      <w:start w:val="1"/>
      <w:numFmt w:val="lowerLetter"/>
      <w:lvlText w:val="%1)"/>
      <w:lvlJc w:val="left"/>
      <w:pPr>
        <w:ind w:left="709" w:hanging="42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5823442"/>
    <w:multiLevelType w:val="multilevel"/>
    <w:tmpl w:val="12884836"/>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60839D1"/>
    <w:multiLevelType w:val="hybridMultilevel"/>
    <w:tmpl w:val="334C5C00"/>
    <w:lvl w:ilvl="0" w:tplc="C302A056">
      <w:start w:val="1"/>
      <w:numFmt w:val="decimal"/>
      <w:lvlText w:val="%1."/>
      <w:lvlJc w:val="left"/>
      <w:pPr>
        <w:ind w:left="928" w:hanging="360"/>
      </w:pPr>
      <w:rPr>
        <w:b/>
        <w:i w:val="0"/>
        <w:color w:val="000000" w:themeColor="text1"/>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62F1B34"/>
    <w:multiLevelType w:val="hybridMultilevel"/>
    <w:tmpl w:val="2B46736C"/>
    <w:lvl w:ilvl="0" w:tplc="080A0001">
      <w:start w:val="1"/>
      <w:numFmt w:val="bullet"/>
      <w:lvlText w:val=""/>
      <w:lvlJc w:val="left"/>
      <w:pPr>
        <w:ind w:left="778" w:hanging="360"/>
      </w:pPr>
      <w:rPr>
        <w:rFonts w:ascii="Symbol" w:hAnsi="Symbol" w:hint="default"/>
      </w:rPr>
    </w:lvl>
    <w:lvl w:ilvl="1" w:tplc="080A0003" w:tentative="1">
      <w:start w:val="1"/>
      <w:numFmt w:val="bullet"/>
      <w:lvlText w:val="o"/>
      <w:lvlJc w:val="left"/>
      <w:pPr>
        <w:ind w:left="1498" w:hanging="360"/>
      </w:pPr>
      <w:rPr>
        <w:rFonts w:ascii="Courier New" w:hAnsi="Courier New" w:cs="Courier New" w:hint="default"/>
      </w:rPr>
    </w:lvl>
    <w:lvl w:ilvl="2" w:tplc="080A0005" w:tentative="1">
      <w:start w:val="1"/>
      <w:numFmt w:val="bullet"/>
      <w:lvlText w:val=""/>
      <w:lvlJc w:val="left"/>
      <w:pPr>
        <w:ind w:left="2218" w:hanging="360"/>
      </w:pPr>
      <w:rPr>
        <w:rFonts w:ascii="Wingdings" w:hAnsi="Wingdings" w:hint="default"/>
      </w:rPr>
    </w:lvl>
    <w:lvl w:ilvl="3" w:tplc="080A0001" w:tentative="1">
      <w:start w:val="1"/>
      <w:numFmt w:val="bullet"/>
      <w:lvlText w:val=""/>
      <w:lvlJc w:val="left"/>
      <w:pPr>
        <w:ind w:left="2938" w:hanging="360"/>
      </w:pPr>
      <w:rPr>
        <w:rFonts w:ascii="Symbol" w:hAnsi="Symbol" w:hint="default"/>
      </w:rPr>
    </w:lvl>
    <w:lvl w:ilvl="4" w:tplc="080A0003" w:tentative="1">
      <w:start w:val="1"/>
      <w:numFmt w:val="bullet"/>
      <w:lvlText w:val="o"/>
      <w:lvlJc w:val="left"/>
      <w:pPr>
        <w:ind w:left="3658" w:hanging="360"/>
      </w:pPr>
      <w:rPr>
        <w:rFonts w:ascii="Courier New" w:hAnsi="Courier New" w:cs="Courier New" w:hint="default"/>
      </w:rPr>
    </w:lvl>
    <w:lvl w:ilvl="5" w:tplc="080A0005" w:tentative="1">
      <w:start w:val="1"/>
      <w:numFmt w:val="bullet"/>
      <w:lvlText w:val=""/>
      <w:lvlJc w:val="left"/>
      <w:pPr>
        <w:ind w:left="4378" w:hanging="360"/>
      </w:pPr>
      <w:rPr>
        <w:rFonts w:ascii="Wingdings" w:hAnsi="Wingdings" w:hint="default"/>
      </w:rPr>
    </w:lvl>
    <w:lvl w:ilvl="6" w:tplc="080A0001" w:tentative="1">
      <w:start w:val="1"/>
      <w:numFmt w:val="bullet"/>
      <w:lvlText w:val=""/>
      <w:lvlJc w:val="left"/>
      <w:pPr>
        <w:ind w:left="5098" w:hanging="360"/>
      </w:pPr>
      <w:rPr>
        <w:rFonts w:ascii="Symbol" w:hAnsi="Symbol" w:hint="default"/>
      </w:rPr>
    </w:lvl>
    <w:lvl w:ilvl="7" w:tplc="080A0003" w:tentative="1">
      <w:start w:val="1"/>
      <w:numFmt w:val="bullet"/>
      <w:lvlText w:val="o"/>
      <w:lvlJc w:val="left"/>
      <w:pPr>
        <w:ind w:left="5818" w:hanging="360"/>
      </w:pPr>
      <w:rPr>
        <w:rFonts w:ascii="Courier New" w:hAnsi="Courier New" w:cs="Courier New" w:hint="default"/>
      </w:rPr>
    </w:lvl>
    <w:lvl w:ilvl="8" w:tplc="080A0005" w:tentative="1">
      <w:start w:val="1"/>
      <w:numFmt w:val="bullet"/>
      <w:lvlText w:val=""/>
      <w:lvlJc w:val="left"/>
      <w:pPr>
        <w:ind w:left="6538" w:hanging="360"/>
      </w:pPr>
      <w:rPr>
        <w:rFonts w:ascii="Wingdings" w:hAnsi="Wingdings" w:hint="default"/>
      </w:rPr>
    </w:lvl>
  </w:abstractNum>
  <w:abstractNum w:abstractNumId="29" w15:restartNumberingAfterBreak="0">
    <w:nsid w:val="5D43183F"/>
    <w:multiLevelType w:val="hybridMultilevel"/>
    <w:tmpl w:val="3C804CF6"/>
    <w:lvl w:ilvl="0" w:tplc="C18C92C0">
      <w:start w:val="1"/>
      <w:numFmt w:val="lowerLetter"/>
      <w:lvlText w:val="%1)"/>
      <w:lvlJc w:val="left"/>
      <w:pPr>
        <w:ind w:left="709" w:hanging="42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FD07F9E"/>
    <w:multiLevelType w:val="hybridMultilevel"/>
    <w:tmpl w:val="262A7B0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1" w15:restartNumberingAfterBreak="0">
    <w:nsid w:val="606E1E4E"/>
    <w:multiLevelType w:val="hybridMultilevel"/>
    <w:tmpl w:val="BBE4AB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0DB781E"/>
    <w:multiLevelType w:val="hybridMultilevel"/>
    <w:tmpl w:val="1518774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2C32BA5"/>
    <w:multiLevelType w:val="hybridMultilevel"/>
    <w:tmpl w:val="C73E0DA0"/>
    <w:lvl w:ilvl="0" w:tplc="24149676">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34" w15:restartNumberingAfterBreak="0">
    <w:nsid w:val="660C33EC"/>
    <w:multiLevelType w:val="hybridMultilevel"/>
    <w:tmpl w:val="303A8CA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78E75C8"/>
    <w:multiLevelType w:val="hybridMultilevel"/>
    <w:tmpl w:val="882C86D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CB076DB"/>
    <w:multiLevelType w:val="hybridMultilevel"/>
    <w:tmpl w:val="05DC4AD0"/>
    <w:lvl w:ilvl="0" w:tplc="7FA8DEDA">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37" w15:restartNumberingAfterBreak="0">
    <w:nsid w:val="70B94BB0"/>
    <w:multiLevelType w:val="hybridMultilevel"/>
    <w:tmpl w:val="1E620F1C"/>
    <w:lvl w:ilvl="0" w:tplc="FA7AA882">
      <w:start w:val="27"/>
      <w:numFmt w:val="decimal"/>
      <w:lvlText w:val="%1"/>
      <w:lvlJc w:val="left"/>
      <w:pPr>
        <w:ind w:left="502" w:hanging="360"/>
      </w:pPr>
      <w:rPr>
        <w:rFonts w:cs="Times New Roman" w:hint="default"/>
        <w:b/>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38" w15:restartNumberingAfterBreak="0">
    <w:nsid w:val="70C6305A"/>
    <w:multiLevelType w:val="multilevel"/>
    <w:tmpl w:val="3FD2D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1EB0D53"/>
    <w:multiLevelType w:val="hybridMultilevel"/>
    <w:tmpl w:val="10784592"/>
    <w:lvl w:ilvl="0" w:tplc="080A000B">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40" w15:restartNumberingAfterBreak="0">
    <w:nsid w:val="76A13E2C"/>
    <w:multiLevelType w:val="hybridMultilevel"/>
    <w:tmpl w:val="F71C8E2C"/>
    <w:lvl w:ilvl="0" w:tplc="44C23830">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41" w15:restartNumberingAfterBreak="0">
    <w:nsid w:val="770136A0"/>
    <w:multiLevelType w:val="hybridMultilevel"/>
    <w:tmpl w:val="E8964A2C"/>
    <w:lvl w:ilvl="0" w:tplc="0F74318E">
      <w:start w:val="1"/>
      <w:numFmt w:val="decimal"/>
      <w:lvlText w:val="%1."/>
      <w:lvlJc w:val="left"/>
      <w:pPr>
        <w:ind w:left="8582" w:hanging="360"/>
      </w:pPr>
      <w:rPr>
        <w:rFonts w:ascii="Palatino Linotype" w:hAnsi="Palatino Linotype" w:hint="default"/>
        <w:b/>
        <w:i w:val="0"/>
        <w:color w:val="000000" w:themeColor="text1"/>
        <w:sz w:val="24"/>
      </w:rPr>
    </w:lvl>
    <w:lvl w:ilvl="1" w:tplc="080A0019">
      <w:start w:val="1"/>
      <w:numFmt w:val="lowerLetter"/>
      <w:lvlText w:val="%2."/>
      <w:lvlJc w:val="left"/>
      <w:pPr>
        <w:ind w:left="1440" w:hanging="360"/>
      </w:pPr>
    </w:lvl>
    <w:lvl w:ilvl="2" w:tplc="41A230E4">
      <w:start w:val="1"/>
      <w:numFmt w:val="upperRoman"/>
      <w:lvlText w:val="%3."/>
      <w:lvlJc w:val="left"/>
      <w:pPr>
        <w:ind w:left="2700" w:hanging="720"/>
      </w:pPr>
      <w:rPr>
        <w:rFonts w:hint="default"/>
      </w:rPr>
    </w:lvl>
    <w:lvl w:ilvl="3" w:tplc="E5D851DA">
      <w:start w:val="1"/>
      <w:numFmt w:val="lowerLetter"/>
      <w:lvlText w:val="%4)"/>
      <w:lvlJc w:val="left"/>
      <w:pPr>
        <w:ind w:left="2895" w:hanging="375"/>
      </w:pPr>
      <w:rPr>
        <w:rFonts w:ascii="Palatino Linotype" w:eastAsiaTheme="minorEastAsia" w:hAnsi="Palatino Linotype" w:cstheme="minorBidi"/>
        <w:color w:val="auto"/>
        <w:sz w:val="24"/>
      </w:r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77AC5DA7"/>
    <w:multiLevelType w:val="hybridMultilevel"/>
    <w:tmpl w:val="B1D25BEE"/>
    <w:lvl w:ilvl="0" w:tplc="BC8AB2B0">
      <w:start w:val="1"/>
      <w:numFmt w:val="upperRoman"/>
      <w:lvlText w:val="%1."/>
      <w:lvlJc w:val="left"/>
      <w:pPr>
        <w:ind w:left="780" w:hanging="72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43" w15:restartNumberingAfterBreak="0">
    <w:nsid w:val="7A914D4F"/>
    <w:multiLevelType w:val="hybridMultilevel"/>
    <w:tmpl w:val="4E768EAC"/>
    <w:lvl w:ilvl="0" w:tplc="080A0017">
      <w:start w:val="1"/>
      <w:numFmt w:val="lowerLetter"/>
      <w:lvlText w:val="%1)"/>
      <w:lvlJc w:val="left"/>
      <w:pPr>
        <w:ind w:left="1713" w:hanging="360"/>
      </w:pPr>
    </w:lvl>
    <w:lvl w:ilvl="1" w:tplc="080A0019" w:tentative="1">
      <w:start w:val="1"/>
      <w:numFmt w:val="lowerLetter"/>
      <w:lvlText w:val="%2."/>
      <w:lvlJc w:val="left"/>
      <w:pPr>
        <w:ind w:left="2433" w:hanging="360"/>
      </w:pPr>
    </w:lvl>
    <w:lvl w:ilvl="2" w:tplc="080A001B" w:tentative="1">
      <w:start w:val="1"/>
      <w:numFmt w:val="lowerRoman"/>
      <w:lvlText w:val="%3."/>
      <w:lvlJc w:val="right"/>
      <w:pPr>
        <w:ind w:left="3153" w:hanging="180"/>
      </w:pPr>
    </w:lvl>
    <w:lvl w:ilvl="3" w:tplc="080A000F" w:tentative="1">
      <w:start w:val="1"/>
      <w:numFmt w:val="decimal"/>
      <w:lvlText w:val="%4."/>
      <w:lvlJc w:val="left"/>
      <w:pPr>
        <w:ind w:left="3873" w:hanging="360"/>
      </w:pPr>
    </w:lvl>
    <w:lvl w:ilvl="4" w:tplc="080A0019" w:tentative="1">
      <w:start w:val="1"/>
      <w:numFmt w:val="lowerLetter"/>
      <w:lvlText w:val="%5."/>
      <w:lvlJc w:val="left"/>
      <w:pPr>
        <w:ind w:left="4593" w:hanging="360"/>
      </w:pPr>
    </w:lvl>
    <w:lvl w:ilvl="5" w:tplc="080A001B" w:tentative="1">
      <w:start w:val="1"/>
      <w:numFmt w:val="lowerRoman"/>
      <w:lvlText w:val="%6."/>
      <w:lvlJc w:val="right"/>
      <w:pPr>
        <w:ind w:left="5313" w:hanging="180"/>
      </w:pPr>
    </w:lvl>
    <w:lvl w:ilvl="6" w:tplc="080A000F" w:tentative="1">
      <w:start w:val="1"/>
      <w:numFmt w:val="decimal"/>
      <w:lvlText w:val="%7."/>
      <w:lvlJc w:val="left"/>
      <w:pPr>
        <w:ind w:left="6033" w:hanging="360"/>
      </w:pPr>
    </w:lvl>
    <w:lvl w:ilvl="7" w:tplc="080A0019" w:tentative="1">
      <w:start w:val="1"/>
      <w:numFmt w:val="lowerLetter"/>
      <w:lvlText w:val="%8."/>
      <w:lvlJc w:val="left"/>
      <w:pPr>
        <w:ind w:left="6753" w:hanging="360"/>
      </w:pPr>
    </w:lvl>
    <w:lvl w:ilvl="8" w:tplc="080A001B" w:tentative="1">
      <w:start w:val="1"/>
      <w:numFmt w:val="lowerRoman"/>
      <w:lvlText w:val="%9."/>
      <w:lvlJc w:val="right"/>
      <w:pPr>
        <w:ind w:left="7473" w:hanging="180"/>
      </w:pPr>
    </w:lvl>
  </w:abstractNum>
  <w:abstractNum w:abstractNumId="44" w15:restartNumberingAfterBreak="0">
    <w:nsid w:val="7BAF3DB4"/>
    <w:multiLevelType w:val="hybridMultilevel"/>
    <w:tmpl w:val="E2D0DFFE"/>
    <w:lvl w:ilvl="0" w:tplc="080A000B">
      <w:start w:val="1"/>
      <w:numFmt w:val="bullet"/>
      <w:lvlText w:val=""/>
      <w:lvlJc w:val="left"/>
      <w:pPr>
        <w:ind w:left="1724" w:hanging="360"/>
      </w:pPr>
      <w:rPr>
        <w:rFonts w:ascii="Wingdings" w:hAnsi="Wingdings" w:hint="default"/>
      </w:rPr>
    </w:lvl>
    <w:lvl w:ilvl="1" w:tplc="080A0003" w:tentative="1">
      <w:start w:val="1"/>
      <w:numFmt w:val="bullet"/>
      <w:lvlText w:val="o"/>
      <w:lvlJc w:val="left"/>
      <w:pPr>
        <w:ind w:left="2444" w:hanging="360"/>
      </w:pPr>
      <w:rPr>
        <w:rFonts w:ascii="Courier New" w:hAnsi="Courier New" w:cs="Courier New" w:hint="default"/>
      </w:rPr>
    </w:lvl>
    <w:lvl w:ilvl="2" w:tplc="080A0005" w:tentative="1">
      <w:start w:val="1"/>
      <w:numFmt w:val="bullet"/>
      <w:lvlText w:val=""/>
      <w:lvlJc w:val="left"/>
      <w:pPr>
        <w:ind w:left="3164" w:hanging="360"/>
      </w:pPr>
      <w:rPr>
        <w:rFonts w:ascii="Wingdings" w:hAnsi="Wingdings" w:hint="default"/>
      </w:rPr>
    </w:lvl>
    <w:lvl w:ilvl="3" w:tplc="080A0001" w:tentative="1">
      <w:start w:val="1"/>
      <w:numFmt w:val="bullet"/>
      <w:lvlText w:val=""/>
      <w:lvlJc w:val="left"/>
      <w:pPr>
        <w:ind w:left="3884" w:hanging="360"/>
      </w:pPr>
      <w:rPr>
        <w:rFonts w:ascii="Symbol" w:hAnsi="Symbol" w:hint="default"/>
      </w:rPr>
    </w:lvl>
    <w:lvl w:ilvl="4" w:tplc="080A0003" w:tentative="1">
      <w:start w:val="1"/>
      <w:numFmt w:val="bullet"/>
      <w:lvlText w:val="o"/>
      <w:lvlJc w:val="left"/>
      <w:pPr>
        <w:ind w:left="4604" w:hanging="360"/>
      </w:pPr>
      <w:rPr>
        <w:rFonts w:ascii="Courier New" w:hAnsi="Courier New" w:cs="Courier New" w:hint="default"/>
      </w:rPr>
    </w:lvl>
    <w:lvl w:ilvl="5" w:tplc="080A0005" w:tentative="1">
      <w:start w:val="1"/>
      <w:numFmt w:val="bullet"/>
      <w:lvlText w:val=""/>
      <w:lvlJc w:val="left"/>
      <w:pPr>
        <w:ind w:left="5324" w:hanging="360"/>
      </w:pPr>
      <w:rPr>
        <w:rFonts w:ascii="Wingdings" w:hAnsi="Wingdings" w:hint="default"/>
      </w:rPr>
    </w:lvl>
    <w:lvl w:ilvl="6" w:tplc="080A0001" w:tentative="1">
      <w:start w:val="1"/>
      <w:numFmt w:val="bullet"/>
      <w:lvlText w:val=""/>
      <w:lvlJc w:val="left"/>
      <w:pPr>
        <w:ind w:left="6044" w:hanging="360"/>
      </w:pPr>
      <w:rPr>
        <w:rFonts w:ascii="Symbol" w:hAnsi="Symbol" w:hint="default"/>
      </w:rPr>
    </w:lvl>
    <w:lvl w:ilvl="7" w:tplc="080A0003" w:tentative="1">
      <w:start w:val="1"/>
      <w:numFmt w:val="bullet"/>
      <w:lvlText w:val="o"/>
      <w:lvlJc w:val="left"/>
      <w:pPr>
        <w:ind w:left="6764" w:hanging="360"/>
      </w:pPr>
      <w:rPr>
        <w:rFonts w:ascii="Courier New" w:hAnsi="Courier New" w:cs="Courier New" w:hint="default"/>
      </w:rPr>
    </w:lvl>
    <w:lvl w:ilvl="8" w:tplc="080A0005" w:tentative="1">
      <w:start w:val="1"/>
      <w:numFmt w:val="bullet"/>
      <w:lvlText w:val=""/>
      <w:lvlJc w:val="left"/>
      <w:pPr>
        <w:ind w:left="7484" w:hanging="360"/>
      </w:pPr>
      <w:rPr>
        <w:rFonts w:ascii="Wingdings" w:hAnsi="Wingdings" w:hint="default"/>
      </w:rPr>
    </w:lvl>
  </w:abstractNum>
  <w:abstractNum w:abstractNumId="45" w15:restartNumberingAfterBreak="0">
    <w:nsid w:val="7CBA354C"/>
    <w:multiLevelType w:val="hybridMultilevel"/>
    <w:tmpl w:val="CCEC28A2"/>
    <w:lvl w:ilvl="0" w:tplc="080A0001">
      <w:start w:val="1"/>
      <w:numFmt w:val="bullet"/>
      <w:lvlText w:val=""/>
      <w:lvlJc w:val="left"/>
      <w:pPr>
        <w:ind w:left="2382" w:hanging="360"/>
      </w:pPr>
      <w:rPr>
        <w:rFonts w:ascii="Symbol" w:hAnsi="Symbol" w:hint="default"/>
      </w:rPr>
    </w:lvl>
    <w:lvl w:ilvl="1" w:tplc="080A0003" w:tentative="1">
      <w:start w:val="1"/>
      <w:numFmt w:val="bullet"/>
      <w:lvlText w:val="o"/>
      <w:lvlJc w:val="left"/>
      <w:pPr>
        <w:ind w:left="3102" w:hanging="360"/>
      </w:pPr>
      <w:rPr>
        <w:rFonts w:ascii="Courier New" w:hAnsi="Courier New" w:cs="Courier New" w:hint="default"/>
      </w:rPr>
    </w:lvl>
    <w:lvl w:ilvl="2" w:tplc="080A0005" w:tentative="1">
      <w:start w:val="1"/>
      <w:numFmt w:val="bullet"/>
      <w:lvlText w:val=""/>
      <w:lvlJc w:val="left"/>
      <w:pPr>
        <w:ind w:left="3822" w:hanging="360"/>
      </w:pPr>
      <w:rPr>
        <w:rFonts w:ascii="Wingdings" w:hAnsi="Wingdings" w:hint="default"/>
      </w:rPr>
    </w:lvl>
    <w:lvl w:ilvl="3" w:tplc="080A0001" w:tentative="1">
      <w:start w:val="1"/>
      <w:numFmt w:val="bullet"/>
      <w:lvlText w:val=""/>
      <w:lvlJc w:val="left"/>
      <w:pPr>
        <w:ind w:left="4542" w:hanging="360"/>
      </w:pPr>
      <w:rPr>
        <w:rFonts w:ascii="Symbol" w:hAnsi="Symbol" w:hint="default"/>
      </w:rPr>
    </w:lvl>
    <w:lvl w:ilvl="4" w:tplc="080A0003" w:tentative="1">
      <w:start w:val="1"/>
      <w:numFmt w:val="bullet"/>
      <w:lvlText w:val="o"/>
      <w:lvlJc w:val="left"/>
      <w:pPr>
        <w:ind w:left="5262" w:hanging="360"/>
      </w:pPr>
      <w:rPr>
        <w:rFonts w:ascii="Courier New" w:hAnsi="Courier New" w:cs="Courier New" w:hint="default"/>
      </w:rPr>
    </w:lvl>
    <w:lvl w:ilvl="5" w:tplc="080A0005" w:tentative="1">
      <w:start w:val="1"/>
      <w:numFmt w:val="bullet"/>
      <w:lvlText w:val=""/>
      <w:lvlJc w:val="left"/>
      <w:pPr>
        <w:ind w:left="5982" w:hanging="360"/>
      </w:pPr>
      <w:rPr>
        <w:rFonts w:ascii="Wingdings" w:hAnsi="Wingdings" w:hint="default"/>
      </w:rPr>
    </w:lvl>
    <w:lvl w:ilvl="6" w:tplc="080A0001" w:tentative="1">
      <w:start w:val="1"/>
      <w:numFmt w:val="bullet"/>
      <w:lvlText w:val=""/>
      <w:lvlJc w:val="left"/>
      <w:pPr>
        <w:ind w:left="6702" w:hanging="360"/>
      </w:pPr>
      <w:rPr>
        <w:rFonts w:ascii="Symbol" w:hAnsi="Symbol" w:hint="default"/>
      </w:rPr>
    </w:lvl>
    <w:lvl w:ilvl="7" w:tplc="080A0003" w:tentative="1">
      <w:start w:val="1"/>
      <w:numFmt w:val="bullet"/>
      <w:lvlText w:val="o"/>
      <w:lvlJc w:val="left"/>
      <w:pPr>
        <w:ind w:left="7422" w:hanging="360"/>
      </w:pPr>
      <w:rPr>
        <w:rFonts w:ascii="Courier New" w:hAnsi="Courier New" w:cs="Courier New" w:hint="default"/>
      </w:rPr>
    </w:lvl>
    <w:lvl w:ilvl="8" w:tplc="080A0005" w:tentative="1">
      <w:start w:val="1"/>
      <w:numFmt w:val="bullet"/>
      <w:lvlText w:val=""/>
      <w:lvlJc w:val="left"/>
      <w:pPr>
        <w:ind w:left="8142" w:hanging="360"/>
      </w:pPr>
      <w:rPr>
        <w:rFonts w:ascii="Wingdings" w:hAnsi="Wingdings" w:hint="default"/>
      </w:rPr>
    </w:lvl>
  </w:abstractNum>
  <w:abstractNum w:abstractNumId="46" w15:restartNumberingAfterBreak="0">
    <w:nsid w:val="7FCB5368"/>
    <w:multiLevelType w:val="hybridMultilevel"/>
    <w:tmpl w:val="E2EADFB2"/>
    <w:lvl w:ilvl="0" w:tplc="5A1A0B60">
      <w:start w:val="1"/>
      <w:numFmt w:val="lowerLetter"/>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num w:numId="1">
    <w:abstractNumId w:val="16"/>
  </w:num>
  <w:num w:numId="2">
    <w:abstractNumId w:val="44"/>
  </w:num>
  <w:num w:numId="3">
    <w:abstractNumId w:val="46"/>
  </w:num>
  <w:num w:numId="4">
    <w:abstractNumId w:val="3"/>
  </w:num>
  <w:num w:numId="5">
    <w:abstractNumId w:val="1"/>
  </w:num>
  <w:num w:numId="6">
    <w:abstractNumId w:val="28"/>
  </w:num>
  <w:num w:numId="7">
    <w:abstractNumId w:val="10"/>
  </w:num>
  <w:num w:numId="8">
    <w:abstractNumId w:val="7"/>
  </w:num>
  <w:num w:numId="9">
    <w:abstractNumId w:val="15"/>
  </w:num>
  <w:num w:numId="10">
    <w:abstractNumId w:val="0"/>
  </w:num>
  <w:num w:numId="11">
    <w:abstractNumId w:val="42"/>
  </w:num>
  <w:num w:numId="12">
    <w:abstractNumId w:val="6"/>
  </w:num>
  <w:num w:numId="13">
    <w:abstractNumId w:val="21"/>
  </w:num>
  <w:num w:numId="14">
    <w:abstractNumId w:val="11"/>
  </w:num>
  <w:num w:numId="15">
    <w:abstractNumId w:val="32"/>
  </w:num>
  <w:num w:numId="16">
    <w:abstractNumId w:val="31"/>
  </w:num>
  <w:num w:numId="17">
    <w:abstractNumId w:val="4"/>
  </w:num>
  <w:num w:numId="18">
    <w:abstractNumId w:val="23"/>
  </w:num>
  <w:num w:numId="19">
    <w:abstractNumId w:val="24"/>
  </w:num>
  <w:num w:numId="20">
    <w:abstractNumId w:val="17"/>
  </w:num>
  <w:num w:numId="21">
    <w:abstractNumId w:val="39"/>
  </w:num>
  <w:num w:numId="22">
    <w:abstractNumId w:val="30"/>
  </w:num>
  <w:num w:numId="23">
    <w:abstractNumId w:val="8"/>
  </w:num>
  <w:num w:numId="24">
    <w:abstractNumId w:val="35"/>
  </w:num>
  <w:num w:numId="25">
    <w:abstractNumId w:val="41"/>
  </w:num>
  <w:num w:numId="26">
    <w:abstractNumId w:val="25"/>
  </w:num>
  <w:num w:numId="27">
    <w:abstractNumId w:val="29"/>
  </w:num>
  <w:num w:numId="28">
    <w:abstractNumId w:val="45"/>
  </w:num>
  <w:num w:numId="29">
    <w:abstractNumId w:val="14"/>
  </w:num>
  <w:num w:numId="30">
    <w:abstractNumId w:val="37"/>
  </w:num>
  <w:num w:numId="31">
    <w:abstractNumId w:val="19"/>
  </w:num>
  <w:num w:numId="32">
    <w:abstractNumId w:val="16"/>
    <w:lvlOverride w:ilvl="0">
      <w:startOverride w:val="1"/>
    </w:lvlOverride>
    <w:lvlOverride w:ilvl="1">
      <w:startOverride w:val="1"/>
    </w:lvlOverride>
    <w:lvlOverride w:ilvl="2">
      <w:startOverride w:val="4"/>
    </w:lvlOverride>
    <w:lvlOverride w:ilvl="3">
      <w:startOverride w:val="1"/>
    </w:lvlOverride>
    <w:lvlOverride w:ilvl="4">
      <w:startOverride w:val="104"/>
    </w:lvlOverride>
    <w:lvlOverride w:ilvl="5">
      <w:startOverride w:val="1"/>
    </w:lvlOverride>
    <w:lvlOverride w:ilvl="6">
      <w:startOverride w:val="1"/>
    </w:lvlOverride>
    <w:lvlOverride w:ilvl="7">
      <w:startOverride w:val="1"/>
    </w:lvlOverride>
    <w:lvlOverride w:ilvl="8">
      <w:startOverride w:val="1"/>
    </w:lvlOverride>
  </w:num>
  <w:num w:numId="33">
    <w:abstractNumId w:val="20"/>
  </w:num>
  <w:num w:numId="34">
    <w:abstractNumId w:val="43"/>
  </w:num>
  <w:num w:numId="35">
    <w:abstractNumId w:val="27"/>
  </w:num>
  <w:num w:numId="36">
    <w:abstractNumId w:val="34"/>
  </w:num>
  <w:num w:numId="37">
    <w:abstractNumId w:val="26"/>
  </w:num>
  <w:num w:numId="38">
    <w:abstractNumId w:val="9"/>
  </w:num>
  <w:num w:numId="39">
    <w:abstractNumId w:val="22"/>
  </w:num>
  <w:num w:numId="40">
    <w:abstractNumId w:val="18"/>
  </w:num>
  <w:num w:numId="41">
    <w:abstractNumId w:val="38"/>
  </w:num>
  <w:num w:numId="4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2"/>
  </w:num>
  <w:num w:numId="44">
    <w:abstractNumId w:val="36"/>
  </w:num>
  <w:num w:numId="45">
    <w:abstractNumId w:val="40"/>
  </w:num>
  <w:num w:numId="46">
    <w:abstractNumId w:val="33"/>
  </w:num>
  <w:num w:numId="47">
    <w:abstractNumId w:val="2"/>
  </w:num>
  <w:num w:numId="48">
    <w:abstractNumId w:val="13"/>
  </w:num>
  <w:num w:numId="4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2616"/>
    <w:rsid w:val="00010A78"/>
    <w:rsid w:val="00040E54"/>
    <w:rsid w:val="00052F1C"/>
    <w:rsid w:val="000624A9"/>
    <w:rsid w:val="00064325"/>
    <w:rsid w:val="00066953"/>
    <w:rsid w:val="00066B5D"/>
    <w:rsid w:val="000A6F69"/>
    <w:rsid w:val="000B03F3"/>
    <w:rsid w:val="000D2DAF"/>
    <w:rsid w:val="000D662C"/>
    <w:rsid w:val="000D6692"/>
    <w:rsid w:val="000F29F0"/>
    <w:rsid w:val="000F30BC"/>
    <w:rsid w:val="000F78C3"/>
    <w:rsid w:val="001125D8"/>
    <w:rsid w:val="00112714"/>
    <w:rsid w:val="00113410"/>
    <w:rsid w:val="00117DAF"/>
    <w:rsid w:val="00133699"/>
    <w:rsid w:val="001367AD"/>
    <w:rsid w:val="001546F8"/>
    <w:rsid w:val="001752AE"/>
    <w:rsid w:val="00177927"/>
    <w:rsid w:val="0018393D"/>
    <w:rsid w:val="0018456D"/>
    <w:rsid w:val="00192968"/>
    <w:rsid w:val="00197701"/>
    <w:rsid w:val="001A1023"/>
    <w:rsid w:val="001B24AC"/>
    <w:rsid w:val="001D39F6"/>
    <w:rsid w:val="001E27D8"/>
    <w:rsid w:val="001E7732"/>
    <w:rsid w:val="001F3DF0"/>
    <w:rsid w:val="002019D0"/>
    <w:rsid w:val="002043C6"/>
    <w:rsid w:val="00205D9F"/>
    <w:rsid w:val="00217A91"/>
    <w:rsid w:val="00222293"/>
    <w:rsid w:val="0022467E"/>
    <w:rsid w:val="00233B83"/>
    <w:rsid w:val="00262C1E"/>
    <w:rsid w:val="00264692"/>
    <w:rsid w:val="00270BB6"/>
    <w:rsid w:val="002765D6"/>
    <w:rsid w:val="00282598"/>
    <w:rsid w:val="002847CD"/>
    <w:rsid w:val="00292ACC"/>
    <w:rsid w:val="002943FC"/>
    <w:rsid w:val="002A1DCF"/>
    <w:rsid w:val="002B540C"/>
    <w:rsid w:val="002D653D"/>
    <w:rsid w:val="002E6437"/>
    <w:rsid w:val="00324823"/>
    <w:rsid w:val="00335F33"/>
    <w:rsid w:val="00341F6F"/>
    <w:rsid w:val="003441EF"/>
    <w:rsid w:val="00361600"/>
    <w:rsid w:val="003B7DE2"/>
    <w:rsid w:val="003C236F"/>
    <w:rsid w:val="003D26D9"/>
    <w:rsid w:val="003D649A"/>
    <w:rsid w:val="003D7FD3"/>
    <w:rsid w:val="003E76A0"/>
    <w:rsid w:val="00411EE1"/>
    <w:rsid w:val="004278C7"/>
    <w:rsid w:val="00432766"/>
    <w:rsid w:val="00437A3C"/>
    <w:rsid w:val="00462801"/>
    <w:rsid w:val="00470EDD"/>
    <w:rsid w:val="00487F31"/>
    <w:rsid w:val="004968BD"/>
    <w:rsid w:val="004971A4"/>
    <w:rsid w:val="004B07FE"/>
    <w:rsid w:val="004B65C0"/>
    <w:rsid w:val="004C67A5"/>
    <w:rsid w:val="004D1B9C"/>
    <w:rsid w:val="004D3CDC"/>
    <w:rsid w:val="004F003E"/>
    <w:rsid w:val="004F097D"/>
    <w:rsid w:val="00522F39"/>
    <w:rsid w:val="00527700"/>
    <w:rsid w:val="00535787"/>
    <w:rsid w:val="00537651"/>
    <w:rsid w:val="005432BF"/>
    <w:rsid w:val="00566C95"/>
    <w:rsid w:val="00570E37"/>
    <w:rsid w:val="005B0B59"/>
    <w:rsid w:val="005D63E1"/>
    <w:rsid w:val="00626E5B"/>
    <w:rsid w:val="006373D0"/>
    <w:rsid w:val="00644735"/>
    <w:rsid w:val="006548AD"/>
    <w:rsid w:val="006603F1"/>
    <w:rsid w:val="00670DFC"/>
    <w:rsid w:val="0067244C"/>
    <w:rsid w:val="0069334B"/>
    <w:rsid w:val="006977CD"/>
    <w:rsid w:val="006B0428"/>
    <w:rsid w:val="006B70B1"/>
    <w:rsid w:val="006C5DB2"/>
    <w:rsid w:val="006C770E"/>
    <w:rsid w:val="006D1AEA"/>
    <w:rsid w:val="006D5102"/>
    <w:rsid w:val="006E6FFC"/>
    <w:rsid w:val="006E76C7"/>
    <w:rsid w:val="006F3B6A"/>
    <w:rsid w:val="006F7D26"/>
    <w:rsid w:val="007154C4"/>
    <w:rsid w:val="00722086"/>
    <w:rsid w:val="00727550"/>
    <w:rsid w:val="0074082A"/>
    <w:rsid w:val="0074431C"/>
    <w:rsid w:val="007505E5"/>
    <w:rsid w:val="00754944"/>
    <w:rsid w:val="007563F2"/>
    <w:rsid w:val="00786A35"/>
    <w:rsid w:val="00790E1F"/>
    <w:rsid w:val="007B21AE"/>
    <w:rsid w:val="007C0931"/>
    <w:rsid w:val="007C50BE"/>
    <w:rsid w:val="007D2D12"/>
    <w:rsid w:val="007E0F24"/>
    <w:rsid w:val="007E4599"/>
    <w:rsid w:val="007F0C12"/>
    <w:rsid w:val="00833269"/>
    <w:rsid w:val="00836515"/>
    <w:rsid w:val="0084030D"/>
    <w:rsid w:val="00844CA2"/>
    <w:rsid w:val="00852DB7"/>
    <w:rsid w:val="00866A8C"/>
    <w:rsid w:val="008A7701"/>
    <w:rsid w:val="008E2610"/>
    <w:rsid w:val="008E52E6"/>
    <w:rsid w:val="008E5CCE"/>
    <w:rsid w:val="009123F1"/>
    <w:rsid w:val="00923E55"/>
    <w:rsid w:val="009240E8"/>
    <w:rsid w:val="009304C1"/>
    <w:rsid w:val="009330EC"/>
    <w:rsid w:val="00937641"/>
    <w:rsid w:val="00942616"/>
    <w:rsid w:val="00947D1F"/>
    <w:rsid w:val="00952475"/>
    <w:rsid w:val="0098690D"/>
    <w:rsid w:val="009A19FA"/>
    <w:rsid w:val="009D2E60"/>
    <w:rsid w:val="009D694F"/>
    <w:rsid w:val="009E6AAA"/>
    <w:rsid w:val="009E6CAC"/>
    <w:rsid w:val="00A03370"/>
    <w:rsid w:val="00A23C77"/>
    <w:rsid w:val="00A3269B"/>
    <w:rsid w:val="00A5352D"/>
    <w:rsid w:val="00A60C3E"/>
    <w:rsid w:val="00A6168B"/>
    <w:rsid w:val="00A727B4"/>
    <w:rsid w:val="00A731FE"/>
    <w:rsid w:val="00A742BF"/>
    <w:rsid w:val="00A81EAE"/>
    <w:rsid w:val="00AA409D"/>
    <w:rsid w:val="00AC5C39"/>
    <w:rsid w:val="00AD44A3"/>
    <w:rsid w:val="00AF6678"/>
    <w:rsid w:val="00B03113"/>
    <w:rsid w:val="00B26740"/>
    <w:rsid w:val="00B461E4"/>
    <w:rsid w:val="00B5153D"/>
    <w:rsid w:val="00B65A03"/>
    <w:rsid w:val="00B722DF"/>
    <w:rsid w:val="00B96015"/>
    <w:rsid w:val="00BC1A99"/>
    <w:rsid w:val="00BC614A"/>
    <w:rsid w:val="00BD6261"/>
    <w:rsid w:val="00C00DCA"/>
    <w:rsid w:val="00C16196"/>
    <w:rsid w:val="00C259CE"/>
    <w:rsid w:val="00C36675"/>
    <w:rsid w:val="00C455AB"/>
    <w:rsid w:val="00C479BF"/>
    <w:rsid w:val="00C92688"/>
    <w:rsid w:val="00CA3460"/>
    <w:rsid w:val="00CB3AAC"/>
    <w:rsid w:val="00CC56ED"/>
    <w:rsid w:val="00CC57A5"/>
    <w:rsid w:val="00CD40B6"/>
    <w:rsid w:val="00CF6FE8"/>
    <w:rsid w:val="00D00D74"/>
    <w:rsid w:val="00D02172"/>
    <w:rsid w:val="00D05A0E"/>
    <w:rsid w:val="00D23459"/>
    <w:rsid w:val="00D45631"/>
    <w:rsid w:val="00D543AC"/>
    <w:rsid w:val="00D62586"/>
    <w:rsid w:val="00D7279B"/>
    <w:rsid w:val="00D77A40"/>
    <w:rsid w:val="00D806CA"/>
    <w:rsid w:val="00D97091"/>
    <w:rsid w:val="00DB3F48"/>
    <w:rsid w:val="00E06F7D"/>
    <w:rsid w:val="00E120A9"/>
    <w:rsid w:val="00E30243"/>
    <w:rsid w:val="00E43724"/>
    <w:rsid w:val="00E43DBB"/>
    <w:rsid w:val="00E546EE"/>
    <w:rsid w:val="00E620F7"/>
    <w:rsid w:val="00E626A4"/>
    <w:rsid w:val="00E813E5"/>
    <w:rsid w:val="00E82518"/>
    <w:rsid w:val="00E91E53"/>
    <w:rsid w:val="00E9244F"/>
    <w:rsid w:val="00E929D5"/>
    <w:rsid w:val="00E96B5C"/>
    <w:rsid w:val="00E9762F"/>
    <w:rsid w:val="00EB377D"/>
    <w:rsid w:val="00EE5D31"/>
    <w:rsid w:val="00F01855"/>
    <w:rsid w:val="00F103AC"/>
    <w:rsid w:val="00F17CD9"/>
    <w:rsid w:val="00F231CC"/>
    <w:rsid w:val="00F321A7"/>
    <w:rsid w:val="00F3329F"/>
    <w:rsid w:val="00F37AFB"/>
    <w:rsid w:val="00F405F2"/>
    <w:rsid w:val="00F50589"/>
    <w:rsid w:val="00F626F3"/>
    <w:rsid w:val="00F66E32"/>
    <w:rsid w:val="00F70101"/>
    <w:rsid w:val="00F85628"/>
    <w:rsid w:val="00F9477D"/>
    <w:rsid w:val="00FB2B34"/>
    <w:rsid w:val="00FC662C"/>
    <w:rsid w:val="00FC725E"/>
    <w:rsid w:val="00FD0263"/>
    <w:rsid w:val="00FE655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39FFB547"/>
  <w15:chartTrackingRefBased/>
  <w15:docId w15:val="{F5D181A3-6C16-4468-B66B-4E40976C9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42616"/>
    <w:pPr>
      <w:spacing w:after="0" w:line="240" w:lineRule="auto"/>
    </w:pPr>
    <w:rPr>
      <w:rFonts w:eastAsiaTheme="minorEastAsia"/>
      <w:sz w:val="24"/>
      <w:szCs w:val="24"/>
      <w:lang w:val="es-ES_tradnl" w:eastAsia="es-ES"/>
    </w:rPr>
  </w:style>
  <w:style w:type="paragraph" w:styleId="Ttulo1">
    <w:name w:val="heading 1"/>
    <w:basedOn w:val="Normal"/>
    <w:next w:val="Normal"/>
    <w:link w:val="Ttulo1Car"/>
    <w:uiPriority w:val="9"/>
    <w:qFormat/>
    <w:rsid w:val="0094261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94261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42616"/>
    <w:rPr>
      <w:rFonts w:asciiTheme="majorHAnsi" w:eastAsiaTheme="majorEastAsia" w:hAnsiTheme="majorHAnsi" w:cstheme="majorBidi"/>
      <w:color w:val="2F5496" w:themeColor="accent1" w:themeShade="BF"/>
      <w:sz w:val="32"/>
      <w:szCs w:val="32"/>
      <w:lang w:val="es-ES_tradnl" w:eastAsia="es-ES"/>
    </w:rPr>
  </w:style>
  <w:style w:type="character" w:customStyle="1" w:styleId="Ttulo2Car">
    <w:name w:val="Título 2 Car"/>
    <w:basedOn w:val="Fuentedeprrafopredeter"/>
    <w:link w:val="Ttulo2"/>
    <w:uiPriority w:val="9"/>
    <w:rsid w:val="00942616"/>
    <w:rPr>
      <w:rFonts w:asciiTheme="majorHAnsi" w:eastAsiaTheme="majorEastAsia" w:hAnsiTheme="majorHAnsi" w:cstheme="majorBidi"/>
      <w:color w:val="2F5496" w:themeColor="accent1" w:themeShade="BF"/>
      <w:sz w:val="26"/>
      <w:szCs w:val="26"/>
      <w:lang w:val="es-ES_tradnl" w:eastAsia="es-ES"/>
    </w:rPr>
  </w:style>
  <w:style w:type="paragraph" w:styleId="Encabezado">
    <w:name w:val="header"/>
    <w:basedOn w:val="Normal"/>
    <w:link w:val="EncabezadoCar"/>
    <w:uiPriority w:val="99"/>
    <w:unhideWhenUsed/>
    <w:rsid w:val="00942616"/>
    <w:pPr>
      <w:tabs>
        <w:tab w:val="center" w:pos="4419"/>
        <w:tab w:val="right" w:pos="8838"/>
      </w:tabs>
    </w:pPr>
  </w:style>
  <w:style w:type="character" w:customStyle="1" w:styleId="EncabezadoCar">
    <w:name w:val="Encabezado Car"/>
    <w:basedOn w:val="Fuentedeprrafopredeter"/>
    <w:link w:val="Encabezado"/>
    <w:uiPriority w:val="99"/>
    <w:rsid w:val="00942616"/>
    <w:rPr>
      <w:rFonts w:eastAsiaTheme="minorEastAsia"/>
      <w:sz w:val="24"/>
      <w:szCs w:val="24"/>
      <w:lang w:val="es-ES_tradnl" w:eastAsia="es-ES"/>
    </w:rPr>
  </w:style>
  <w:style w:type="paragraph" w:styleId="Piedepgina">
    <w:name w:val="footer"/>
    <w:basedOn w:val="Normal"/>
    <w:link w:val="PiedepginaCar"/>
    <w:uiPriority w:val="99"/>
    <w:unhideWhenUsed/>
    <w:rsid w:val="00942616"/>
    <w:pPr>
      <w:tabs>
        <w:tab w:val="center" w:pos="4419"/>
        <w:tab w:val="right" w:pos="8838"/>
      </w:tabs>
    </w:pPr>
  </w:style>
  <w:style w:type="character" w:customStyle="1" w:styleId="PiedepginaCar">
    <w:name w:val="Pie de página Car"/>
    <w:basedOn w:val="Fuentedeprrafopredeter"/>
    <w:link w:val="Piedepgina"/>
    <w:uiPriority w:val="99"/>
    <w:rsid w:val="00942616"/>
    <w:rPr>
      <w:rFonts w:eastAsiaTheme="minorEastAsia"/>
      <w:sz w:val="24"/>
      <w:szCs w:val="24"/>
      <w:lang w:val="es-ES_tradnl" w:eastAsia="es-E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locked/>
    <w:rsid w:val="00942616"/>
    <w:rPr>
      <w:sz w:val="20"/>
      <w:szCs w:val="20"/>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942616"/>
    <w:rPr>
      <w:rFonts w:eastAsiaTheme="minorHAnsi"/>
      <w:sz w:val="20"/>
      <w:szCs w:val="20"/>
      <w:lang w:val="es-MX" w:eastAsia="en-US"/>
    </w:rPr>
  </w:style>
  <w:style w:type="character" w:customStyle="1" w:styleId="TextonotapieCar1">
    <w:name w:val="Texto nota pie Car1"/>
    <w:basedOn w:val="Fuentedeprrafopredeter"/>
    <w:uiPriority w:val="99"/>
    <w:semiHidden/>
    <w:rsid w:val="00942616"/>
    <w:rPr>
      <w:rFonts w:eastAsiaTheme="minorEastAsia"/>
      <w:sz w:val="20"/>
      <w:szCs w:val="20"/>
      <w:lang w:val="es-ES_tradnl" w:eastAsia="es-E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942616"/>
    <w:rPr>
      <w:vertAlign w:val="superscript"/>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942616"/>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942616"/>
    <w:rPr>
      <w:rFonts w:eastAsiaTheme="minorEastAsia"/>
      <w:sz w:val="24"/>
      <w:szCs w:val="24"/>
      <w:lang w:val="es-ES_tradnl" w:eastAsia="es-ES"/>
    </w:rPr>
  </w:style>
  <w:style w:type="table" w:styleId="Tablanormal1">
    <w:name w:val="Plain Table 1"/>
    <w:basedOn w:val="Tablanormal"/>
    <w:uiPriority w:val="41"/>
    <w:rsid w:val="0094261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ipervnculo">
    <w:name w:val="Hyperlink"/>
    <w:aliases w:val="Hipervínculo1,Hipervínculo11,Hipervínculo12,Hipervínculo13,Hipervínculo14,Hipervínculo15"/>
    <w:basedOn w:val="Fuentedeprrafopredeter"/>
    <w:uiPriority w:val="99"/>
    <w:unhideWhenUsed/>
    <w:qFormat/>
    <w:rsid w:val="004D1B9C"/>
    <w:rPr>
      <w:color w:val="0563C1" w:themeColor="hyperlink"/>
      <w:u w:val="single"/>
    </w:rPr>
  </w:style>
  <w:style w:type="table" w:styleId="Tablaconcuadrcula">
    <w:name w:val="Table Grid"/>
    <w:basedOn w:val="Tablanormal"/>
    <w:uiPriority w:val="39"/>
    <w:rsid w:val="002847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aliases w:val="Francesa,Fundamentos,INAI"/>
    <w:link w:val="SinespaciadoCar"/>
    <w:uiPriority w:val="1"/>
    <w:qFormat/>
    <w:rsid w:val="0069334B"/>
    <w:pPr>
      <w:spacing w:after="0" w:line="240" w:lineRule="auto"/>
    </w:pPr>
    <w:rPr>
      <w:rFonts w:eastAsiaTheme="minorEastAsia"/>
      <w:sz w:val="24"/>
      <w:szCs w:val="24"/>
      <w:lang w:val="es-ES_tradnl" w:eastAsia="es-ES"/>
    </w:rPr>
  </w:style>
  <w:style w:type="character" w:customStyle="1" w:styleId="SinespaciadoCar">
    <w:name w:val="Sin espaciado Car"/>
    <w:aliases w:val="Francesa Car,Fundamentos Car,INAI Car"/>
    <w:link w:val="Sinespaciado"/>
    <w:uiPriority w:val="1"/>
    <w:qFormat/>
    <w:locked/>
    <w:rsid w:val="0069334B"/>
    <w:rPr>
      <w:rFonts w:eastAsiaTheme="minorEastAsia"/>
      <w:sz w:val="24"/>
      <w:szCs w:val="24"/>
      <w:lang w:val="es-ES_tradnl" w:eastAsia="es-ES"/>
    </w:rPr>
  </w:style>
  <w:style w:type="paragraph" w:customStyle="1" w:styleId="Default">
    <w:name w:val="Default"/>
    <w:qFormat/>
    <w:rsid w:val="00AC5C39"/>
    <w:pPr>
      <w:autoSpaceDE w:val="0"/>
      <w:autoSpaceDN w:val="0"/>
      <w:adjustRightInd w:val="0"/>
      <w:spacing w:after="0" w:line="240" w:lineRule="auto"/>
    </w:pPr>
    <w:rPr>
      <w:rFonts w:ascii="Arial" w:hAnsi="Arial" w:cs="Arial"/>
      <w:color w:val="000000"/>
      <w:sz w:val="24"/>
      <w:szCs w:val="24"/>
    </w:rPr>
  </w:style>
  <w:style w:type="character" w:styleId="nfasis">
    <w:name w:val="Emphasis"/>
    <w:basedOn w:val="Fuentedeprrafopredeter"/>
    <w:uiPriority w:val="20"/>
    <w:qFormat/>
    <w:rsid w:val="006B0428"/>
    <w:rPr>
      <w:i/>
      <w:iCs/>
    </w:rPr>
  </w:style>
  <w:style w:type="paragraph" w:styleId="NormalWeb">
    <w:name w:val="Normal (Web)"/>
    <w:basedOn w:val="Normal"/>
    <w:uiPriority w:val="99"/>
    <w:rsid w:val="000F30BC"/>
    <w:pPr>
      <w:spacing w:before="100" w:beforeAutospacing="1" w:after="100" w:afterAutospacing="1"/>
    </w:pPr>
    <w:rPr>
      <w:rFonts w:ascii="Times New Roman" w:eastAsia="Times New Roman" w:hAnsi="Times New Roman" w:cs="Times New Roman"/>
      <w:lang w:val="es-ES" w:eastAsia="es-MX"/>
    </w:rPr>
  </w:style>
  <w:style w:type="character" w:styleId="Textoennegrita">
    <w:name w:val="Strong"/>
    <w:basedOn w:val="Fuentedeprrafopredeter"/>
    <w:uiPriority w:val="22"/>
    <w:qFormat/>
    <w:rsid w:val="00DB3F48"/>
    <w:rPr>
      <w:b/>
      <w:bCs/>
    </w:rPr>
  </w:style>
  <w:style w:type="paragraph" w:customStyle="1" w:styleId="Citas">
    <w:name w:val="Citas"/>
    <w:basedOn w:val="Normal"/>
    <w:qFormat/>
    <w:rsid w:val="004971A4"/>
    <w:pPr>
      <w:spacing w:before="240" w:after="160" w:line="360" w:lineRule="auto"/>
      <w:ind w:left="851" w:right="851"/>
      <w:jc w:val="both"/>
    </w:pPr>
    <w:rPr>
      <w:rFonts w:ascii="Palatino Linotype" w:eastAsiaTheme="minorHAnsi" w:hAnsi="Palatino Linotype" w:cs="Arial"/>
      <w:i/>
      <w:sz w:val="22"/>
      <w:szCs w:val="22"/>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9806685">
      <w:bodyDiv w:val="1"/>
      <w:marLeft w:val="0"/>
      <w:marRight w:val="0"/>
      <w:marTop w:val="0"/>
      <w:marBottom w:val="0"/>
      <w:divBdr>
        <w:top w:val="none" w:sz="0" w:space="0" w:color="auto"/>
        <w:left w:val="none" w:sz="0" w:space="0" w:color="auto"/>
        <w:bottom w:val="none" w:sz="0" w:space="0" w:color="auto"/>
        <w:right w:val="none" w:sz="0" w:space="0" w:color="auto"/>
      </w:divBdr>
    </w:div>
    <w:div w:id="1201897373">
      <w:bodyDiv w:val="1"/>
      <w:marLeft w:val="0"/>
      <w:marRight w:val="0"/>
      <w:marTop w:val="0"/>
      <w:marBottom w:val="0"/>
      <w:divBdr>
        <w:top w:val="none" w:sz="0" w:space="0" w:color="auto"/>
        <w:left w:val="none" w:sz="0" w:space="0" w:color="auto"/>
        <w:bottom w:val="none" w:sz="0" w:space="0" w:color="auto"/>
        <w:right w:val="none" w:sz="0" w:space="0" w:color="auto"/>
      </w:divBdr>
    </w:div>
    <w:div w:id="2141414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0B9FEE-6E1B-402C-AA75-D3C60635C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40</Pages>
  <Words>7806</Words>
  <Characters>42937</Characters>
  <Application>Microsoft Office Word</Application>
  <DocSecurity>0</DocSecurity>
  <Lines>357</Lines>
  <Paragraphs>101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Belen Sanchez Estrada</dc:creator>
  <cp:keywords/>
  <dc:description/>
  <cp:lastModifiedBy>Lennon Ruiz</cp:lastModifiedBy>
  <cp:revision>6</cp:revision>
  <cp:lastPrinted>2024-12-05T21:30:00Z</cp:lastPrinted>
  <dcterms:created xsi:type="dcterms:W3CDTF">2024-12-03T00:54:00Z</dcterms:created>
  <dcterms:modified xsi:type="dcterms:W3CDTF">2024-12-05T21:31:00Z</dcterms:modified>
</cp:coreProperties>
</file>