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7E88" w14:textId="25BF4291"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Pr="006F000C">
        <w:rPr>
          <w:rFonts w:eastAsia="Palatino Linotype" w:cs="Palatino Linotype"/>
          <w:color w:val="000000"/>
          <w:szCs w:val="24"/>
        </w:rPr>
        <w:t>México, a</w:t>
      </w:r>
      <w:r w:rsidR="00877DE0">
        <w:rPr>
          <w:rFonts w:eastAsia="Palatino Linotype" w:cs="Palatino Linotype"/>
          <w:color w:val="000000"/>
          <w:szCs w:val="24"/>
        </w:rPr>
        <w:t xml:space="preserve"> </w:t>
      </w:r>
      <w:r w:rsidR="00555EE4">
        <w:rPr>
          <w:rFonts w:eastAsia="Palatino Linotype" w:cs="Palatino Linotype"/>
          <w:color w:val="000000"/>
          <w:szCs w:val="24"/>
        </w:rPr>
        <w:t xml:space="preserve">diecisiete </w:t>
      </w:r>
      <w:r w:rsidR="00877DE0">
        <w:rPr>
          <w:rFonts w:eastAsia="Palatino Linotype" w:cs="Palatino Linotype"/>
          <w:color w:val="000000"/>
          <w:szCs w:val="24"/>
        </w:rPr>
        <w:t>de enero de dos mil veinticuatro</w:t>
      </w:r>
      <w:r w:rsidRPr="00875B7E">
        <w:rPr>
          <w:rFonts w:eastAsia="Palatino Linotype" w:cs="Palatino Linotype"/>
          <w:color w:val="000000"/>
          <w:szCs w:val="24"/>
        </w:rPr>
        <w:t>.</w:t>
      </w:r>
    </w:p>
    <w:p w14:paraId="418D0092"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595BC0B9" w14:textId="2A4F26B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w:t>
      </w:r>
      <w:r w:rsidR="000D47BE">
        <w:rPr>
          <w:rFonts w:eastAsia="Palatino Linotype" w:cs="Palatino Linotype"/>
          <w:b/>
          <w:color w:val="000000"/>
          <w:szCs w:val="24"/>
        </w:rPr>
        <w:t>8090</w:t>
      </w:r>
      <w:r>
        <w:rPr>
          <w:rFonts w:eastAsia="Palatino Linotype" w:cs="Palatino Linotype"/>
          <w:b/>
          <w:color w:val="000000"/>
          <w:szCs w:val="24"/>
        </w:rPr>
        <w:t>/</w:t>
      </w:r>
      <w:proofErr w:type="spellStart"/>
      <w:r w:rsidRPr="00875B7E">
        <w:rPr>
          <w:rFonts w:eastAsia="Palatino Linotype" w:cs="Palatino Linotype"/>
          <w:b/>
          <w:color w:val="000000"/>
          <w:szCs w:val="24"/>
        </w:rPr>
        <w:t>INFOEM</w:t>
      </w:r>
      <w:proofErr w:type="spellEnd"/>
      <w:r w:rsidRPr="00875B7E">
        <w:rPr>
          <w:rFonts w:eastAsia="Palatino Linotype" w:cs="Palatino Linotype"/>
          <w:b/>
          <w:color w:val="000000"/>
          <w:szCs w:val="24"/>
        </w:rPr>
        <w:t>/IP/</w:t>
      </w:r>
      <w:proofErr w:type="spellStart"/>
      <w:r w:rsidRPr="00875B7E">
        <w:rPr>
          <w:rFonts w:eastAsia="Palatino Linotype" w:cs="Palatino Linotype"/>
          <w:b/>
          <w:color w:val="000000"/>
          <w:szCs w:val="24"/>
        </w:rPr>
        <w:t>RR</w:t>
      </w:r>
      <w:proofErr w:type="spellEnd"/>
      <w:r w:rsidRPr="00875B7E">
        <w:rPr>
          <w:rFonts w:eastAsia="Palatino Linotype" w:cs="Palatino Linotype"/>
          <w:b/>
          <w:color w:val="000000"/>
          <w:szCs w:val="24"/>
        </w:rPr>
        <w:t>/202</w:t>
      </w:r>
      <w:r>
        <w:rPr>
          <w:rFonts w:eastAsia="Palatino Linotype" w:cs="Palatino Linotype"/>
          <w:b/>
          <w:color w:val="000000"/>
          <w:szCs w:val="24"/>
        </w:rPr>
        <w:t>3</w:t>
      </w:r>
      <w:r w:rsidRPr="00875B7E">
        <w:rPr>
          <w:rFonts w:eastAsia="Palatino Linotype" w:cs="Palatino Linotype"/>
          <w:color w:val="000000"/>
          <w:szCs w:val="24"/>
        </w:rPr>
        <w:t>, interpuesto por</w:t>
      </w:r>
      <w:r w:rsidR="000814EB">
        <w:rPr>
          <w:rFonts w:eastAsia="Palatino Linotype" w:cs="Palatino Linotype"/>
          <w:color w:val="000000"/>
          <w:szCs w:val="24"/>
        </w:rPr>
        <w:t xml:space="preserve"> </w:t>
      </w:r>
      <w:proofErr w:type="spellStart"/>
      <w:r w:rsidR="00C72291">
        <w:rPr>
          <w:rFonts w:eastAsia="Palatino Linotype" w:cs="Palatino Linotype"/>
          <w:b/>
          <w:color w:val="000000"/>
          <w:szCs w:val="24"/>
        </w:rPr>
        <w:t>XXXXXXXXXXXXX</w:t>
      </w:r>
      <w:proofErr w:type="spellEnd"/>
      <w:r>
        <w:rPr>
          <w:rFonts w:cs="Arial"/>
          <w:szCs w:val="24"/>
        </w:rPr>
        <w:t xml:space="preserve">, </w:t>
      </w:r>
      <w:r w:rsidRPr="00875B7E">
        <w:rPr>
          <w:rFonts w:eastAsia="Palatino Linotype" w:cs="Palatino Linotype"/>
          <w:color w:val="000000"/>
          <w:szCs w:val="24"/>
        </w:rPr>
        <w:t xml:space="preserve">en lo sucesivo el </w:t>
      </w:r>
      <w:r w:rsidRPr="00875B7E">
        <w:rPr>
          <w:rFonts w:eastAsia="Palatino Linotype" w:cs="Palatino Linotype"/>
          <w:b/>
          <w:color w:val="000000"/>
          <w:szCs w:val="24"/>
        </w:rPr>
        <w:t>Recurrente</w:t>
      </w:r>
      <w:r w:rsidRPr="00875B7E">
        <w:rPr>
          <w:rFonts w:eastAsia="Palatino Linotype" w:cs="Palatino Linotype"/>
          <w:color w:val="000000"/>
          <w:szCs w:val="24"/>
        </w:rPr>
        <w:t xml:space="preserve">, en contra de la respuesta del </w:t>
      </w:r>
      <w:r>
        <w:rPr>
          <w:rFonts w:eastAsia="Palatino Linotype" w:cs="Palatino Linotype"/>
          <w:b/>
          <w:color w:val="000000"/>
          <w:szCs w:val="24"/>
        </w:rPr>
        <w:t>Ayuntamiento de</w:t>
      </w:r>
      <w:r w:rsidR="000814EB">
        <w:rPr>
          <w:rFonts w:eastAsia="Palatino Linotype" w:cs="Palatino Linotype"/>
          <w:b/>
          <w:color w:val="000000"/>
          <w:szCs w:val="24"/>
        </w:rPr>
        <w:t xml:space="preserve"> Tecámac</w:t>
      </w:r>
      <w:r w:rsidRPr="00875B7E">
        <w:rPr>
          <w:rFonts w:eastAsia="Palatino Linotype" w:cs="Palatino Linotype"/>
          <w:color w:val="000000"/>
          <w:szCs w:val="24"/>
        </w:rPr>
        <w:t>, 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FFD5153"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2425A802" w14:textId="77777777" w:rsidR="0018777B" w:rsidRPr="006922F5" w:rsidRDefault="0018777B" w:rsidP="0018777B">
      <w:pPr>
        <w:pStyle w:val="Ttulo1"/>
        <w:rPr>
          <w:rFonts w:eastAsia="Palatino Linotype"/>
          <w:lang w:val="es-ES_tradnl"/>
        </w:rPr>
      </w:pPr>
      <w:r w:rsidRPr="006922F5">
        <w:rPr>
          <w:rFonts w:eastAsia="Palatino Linotype"/>
          <w:lang w:val="es-ES_tradnl"/>
        </w:rPr>
        <w:t>A N T E C E D E N T E S</w:t>
      </w:r>
    </w:p>
    <w:p w14:paraId="53AB19CF"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660A062B" w14:textId="77777777" w:rsidR="0018777B" w:rsidRPr="006922F5" w:rsidRDefault="0018777B" w:rsidP="0018777B">
      <w:pPr>
        <w:pStyle w:val="Ttulo2"/>
        <w:rPr>
          <w:rFonts w:eastAsia="Palatino Linotype"/>
        </w:rPr>
      </w:pPr>
      <w:r w:rsidRPr="006922F5">
        <w:rPr>
          <w:rFonts w:eastAsia="Palatino Linotype"/>
        </w:rPr>
        <w:t>PRIMERO. De la Solicitud de Información.</w:t>
      </w:r>
    </w:p>
    <w:p w14:paraId="299B9602" w14:textId="37A804A9"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Pr>
          <w:rFonts w:eastAsia="Palatino Linotype" w:cs="Palatino Linotype"/>
          <w:color w:val="000000"/>
          <w:szCs w:val="24"/>
        </w:rPr>
        <w:t xml:space="preserve"> </w:t>
      </w:r>
      <w:r w:rsidR="008C192B">
        <w:rPr>
          <w:rFonts w:eastAsia="Palatino Linotype" w:cs="Palatino Linotype"/>
          <w:color w:val="000000"/>
          <w:szCs w:val="24"/>
        </w:rPr>
        <w:t xml:space="preserve">treinta de octubre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Recurrente presentó mediante el Sistema de Acceso a la Información Mexiquense (SAIMEX), solicitud de información registrada con el número de </w:t>
      </w:r>
      <w:r w:rsidRPr="000147D3">
        <w:rPr>
          <w:rFonts w:eastAsia="Palatino Linotype" w:cs="Palatino Linotype"/>
          <w:szCs w:val="24"/>
        </w:rPr>
        <w:t>expediente</w:t>
      </w:r>
      <w:r>
        <w:rPr>
          <w:rFonts w:ascii="Verdana" w:hAnsi="Verdana"/>
          <w:b/>
          <w:bCs/>
          <w:color w:val="FF0000"/>
        </w:rPr>
        <w:t> </w:t>
      </w:r>
      <w:r w:rsidR="0075106A" w:rsidRPr="0075106A">
        <w:rPr>
          <w:b/>
          <w:bCs/>
        </w:rPr>
        <w:t>00364/TECAMAC/IP/2023</w:t>
      </w:r>
      <w:r w:rsidRPr="00802B59">
        <w:rPr>
          <w:rFonts w:eastAsia="Palatino Linotype" w:cs="Palatino Linotype"/>
          <w:szCs w:val="24"/>
        </w:rPr>
        <w:t>,</w:t>
      </w:r>
      <w:r w:rsidRPr="00802B59">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50D6A444" w14:textId="77777777" w:rsidR="0018777B" w:rsidRPr="00875B7E" w:rsidRDefault="0018777B" w:rsidP="0018777B">
      <w:pPr>
        <w:pBdr>
          <w:top w:val="nil"/>
          <w:left w:val="nil"/>
          <w:bottom w:val="nil"/>
          <w:right w:val="nil"/>
          <w:between w:val="nil"/>
        </w:pBdr>
        <w:contextualSpacing/>
        <w:rPr>
          <w:rFonts w:eastAsia="Palatino Linotype" w:cs="Palatino Linotype"/>
          <w:color w:val="000000"/>
          <w:szCs w:val="24"/>
        </w:rPr>
      </w:pPr>
    </w:p>
    <w:p w14:paraId="5568A0DD" w14:textId="76BC2092" w:rsidR="0018777B" w:rsidRPr="006922F5" w:rsidRDefault="0018777B" w:rsidP="0018777B">
      <w:pPr>
        <w:pStyle w:val="Fundamentos"/>
      </w:pPr>
      <w:r w:rsidRPr="0018777B">
        <w:rPr>
          <w:szCs w:val="22"/>
        </w:rPr>
        <w:t>“</w:t>
      </w:r>
      <w:r w:rsidR="0075106A" w:rsidRPr="0075106A">
        <w:rPr>
          <w:color w:val="auto"/>
          <w:sz w:val="24"/>
        </w:rPr>
        <w:t xml:space="preserve">consultar el código reglamentario vigente 2023, ya que la </w:t>
      </w:r>
      <w:proofErr w:type="spellStart"/>
      <w:r w:rsidR="0075106A" w:rsidRPr="0075106A">
        <w:rPr>
          <w:color w:val="auto"/>
          <w:sz w:val="24"/>
        </w:rPr>
        <w:t>ultima</w:t>
      </w:r>
      <w:proofErr w:type="spellEnd"/>
      <w:r w:rsidR="0075106A" w:rsidRPr="0075106A">
        <w:rPr>
          <w:color w:val="auto"/>
          <w:sz w:val="24"/>
        </w:rPr>
        <w:t xml:space="preserve"> ocasión me proporcionaron el del año 2022, y en este ya no existe la figura de Estado Mayor</w:t>
      </w:r>
      <w:r w:rsidR="0075106A">
        <w:rPr>
          <w:rFonts w:ascii="Verdana" w:hAnsi="Verdana"/>
          <w:sz w:val="14"/>
          <w:szCs w:val="14"/>
        </w:rPr>
        <w:t>.</w:t>
      </w:r>
      <w:r w:rsidRPr="0018777B">
        <w:rPr>
          <w:szCs w:val="22"/>
        </w:rPr>
        <w:t>”</w:t>
      </w:r>
      <w:r>
        <w:rPr>
          <w:rFonts w:ascii="Verdana" w:hAnsi="Verdana"/>
          <w:sz w:val="14"/>
          <w:szCs w:val="14"/>
        </w:rPr>
        <w:t xml:space="preserve"> </w:t>
      </w:r>
      <w:r>
        <w:t xml:space="preserve"> </w:t>
      </w:r>
      <w:r w:rsidRPr="006922F5">
        <w:t>(Sic)</w:t>
      </w:r>
    </w:p>
    <w:p w14:paraId="29F02829" w14:textId="77777777" w:rsidR="0018777B" w:rsidRPr="00875B7E" w:rsidRDefault="0018777B" w:rsidP="004C52D8">
      <w:pPr>
        <w:pBdr>
          <w:top w:val="nil"/>
          <w:left w:val="nil"/>
          <w:bottom w:val="nil"/>
          <w:right w:val="nil"/>
          <w:between w:val="nil"/>
        </w:pBdr>
        <w:contextualSpacing/>
        <w:rPr>
          <w:rFonts w:eastAsia="Palatino Linotype" w:cs="Palatino Linotype"/>
          <w:color w:val="000000"/>
          <w:szCs w:val="24"/>
        </w:rPr>
      </w:pPr>
    </w:p>
    <w:p w14:paraId="7D41799E" w14:textId="77777777" w:rsidR="0018777B" w:rsidRPr="006922F5" w:rsidRDefault="0018777B" w:rsidP="004C52D8">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53E3A29A" w14:textId="77777777" w:rsidR="0018777B" w:rsidRDefault="0018777B" w:rsidP="004C52D8">
      <w:pPr>
        <w:pBdr>
          <w:top w:val="nil"/>
          <w:left w:val="nil"/>
          <w:bottom w:val="nil"/>
          <w:right w:val="nil"/>
          <w:between w:val="nil"/>
        </w:pBdr>
        <w:contextualSpacing/>
        <w:rPr>
          <w:rFonts w:eastAsia="Palatino Linotype" w:cs="Palatino Linotype"/>
          <w:color w:val="000000"/>
          <w:szCs w:val="24"/>
        </w:rPr>
      </w:pPr>
    </w:p>
    <w:p w14:paraId="0B74892C" w14:textId="35E7CF27" w:rsidR="0018777B" w:rsidRPr="0018777B" w:rsidRDefault="0018777B" w:rsidP="0018777B">
      <w:pPr>
        <w:pStyle w:val="Ttulo2"/>
        <w:rPr>
          <w:rFonts w:eastAsia="Palatino Linotype"/>
        </w:rPr>
      </w:pPr>
      <w:r>
        <w:rPr>
          <w:rFonts w:eastAsia="Palatino Linotype"/>
        </w:rPr>
        <w:lastRenderedPageBreak/>
        <w:t>SEGUNDO</w:t>
      </w:r>
      <w:r w:rsidRPr="006922F5">
        <w:rPr>
          <w:rFonts w:eastAsia="Palatino Linotype"/>
        </w:rPr>
        <w:t>. De la respuesta del Sujeto Obligado.</w:t>
      </w:r>
    </w:p>
    <w:p w14:paraId="10BF2598" w14:textId="2575E40F" w:rsidR="0018777B" w:rsidRPr="008B6A8F"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De las constancias que obran en el expediente electrónico, se observa que el </w:t>
      </w:r>
      <w:r>
        <w:rPr>
          <w:rFonts w:eastAsia="Palatino Linotype" w:cs="Palatino Linotype"/>
          <w:color w:val="000000"/>
          <w:szCs w:val="24"/>
        </w:rPr>
        <w:t xml:space="preserve">día </w:t>
      </w:r>
      <w:r w:rsidR="00BA5B2A">
        <w:rPr>
          <w:rFonts w:eastAsia="Palatino Linotype" w:cs="Palatino Linotype"/>
          <w:color w:val="000000"/>
          <w:szCs w:val="24"/>
        </w:rPr>
        <w:t xml:space="preserve">veintidós de noviembre </w:t>
      </w:r>
      <w:r>
        <w:rPr>
          <w:rFonts w:eastAsia="Palatino Linotype" w:cs="Palatino Linotype"/>
          <w:color w:val="000000"/>
          <w:szCs w:val="24"/>
        </w:rPr>
        <w:t>de dos mil veintitrés</w:t>
      </w:r>
      <w:r w:rsidRPr="006922F5">
        <w:rPr>
          <w:rFonts w:eastAsia="Palatino Linotype" w:cs="Palatino Linotype"/>
          <w:color w:val="000000"/>
          <w:szCs w:val="24"/>
        </w:rPr>
        <w:t>, el Sujeto Obligado dio respuesta a la solicitud de información manifestando lo siguiente:</w:t>
      </w:r>
    </w:p>
    <w:tbl>
      <w:tblPr>
        <w:tblW w:w="8719" w:type="dxa"/>
        <w:jc w:val="center"/>
        <w:tblCellSpacing w:w="0" w:type="dxa"/>
        <w:tblCellMar>
          <w:left w:w="0" w:type="dxa"/>
          <w:right w:w="0" w:type="dxa"/>
        </w:tblCellMar>
        <w:tblLook w:val="04A0" w:firstRow="1" w:lastRow="0" w:firstColumn="1" w:lastColumn="0" w:noHBand="0" w:noVBand="1"/>
      </w:tblPr>
      <w:tblGrid>
        <w:gridCol w:w="8719"/>
      </w:tblGrid>
      <w:tr w:rsidR="00BA5B2A" w:rsidRPr="00BA5B2A" w14:paraId="2D73D7F1" w14:textId="77777777" w:rsidTr="00BA5B2A">
        <w:trPr>
          <w:trHeight w:val="286"/>
          <w:tblCellSpacing w:w="0" w:type="dxa"/>
          <w:jc w:val="center"/>
        </w:trPr>
        <w:tc>
          <w:tcPr>
            <w:tcW w:w="0" w:type="auto"/>
            <w:vAlign w:val="center"/>
            <w:hideMark/>
          </w:tcPr>
          <w:p w14:paraId="5F327308" w14:textId="77777777" w:rsidR="00BA5B2A" w:rsidRPr="00BA5B2A" w:rsidRDefault="00BA5B2A" w:rsidP="00BA5B2A">
            <w:pPr>
              <w:spacing w:line="240" w:lineRule="auto"/>
              <w:jc w:val="right"/>
              <w:rPr>
                <w:rFonts w:eastAsia="Times New Roman" w:cs="Times New Roman"/>
                <w:i/>
                <w:iCs/>
                <w:sz w:val="22"/>
                <w:lang w:val="es-MX"/>
              </w:rPr>
            </w:pPr>
            <w:r w:rsidRPr="00BA5B2A">
              <w:rPr>
                <w:rFonts w:eastAsia="Times New Roman" w:cs="Times New Roman"/>
                <w:i/>
                <w:iCs/>
                <w:sz w:val="22"/>
                <w:lang w:val="es-MX"/>
              </w:rPr>
              <w:t>Tecámac, México a 22 de Noviembre de 2023</w:t>
            </w:r>
          </w:p>
        </w:tc>
      </w:tr>
      <w:tr w:rsidR="00BA5B2A" w:rsidRPr="00BA5B2A" w14:paraId="5F01FAB7" w14:textId="77777777" w:rsidTr="00BA5B2A">
        <w:trPr>
          <w:trHeight w:val="286"/>
          <w:tblCellSpacing w:w="0" w:type="dxa"/>
          <w:jc w:val="center"/>
        </w:trPr>
        <w:tc>
          <w:tcPr>
            <w:tcW w:w="0" w:type="auto"/>
            <w:vAlign w:val="center"/>
            <w:hideMark/>
          </w:tcPr>
          <w:p w14:paraId="503010D1" w14:textId="77777777" w:rsidR="00BA5B2A" w:rsidRPr="00BA5B2A" w:rsidRDefault="00BA5B2A" w:rsidP="00BA5B2A">
            <w:pPr>
              <w:spacing w:line="240" w:lineRule="auto"/>
              <w:jc w:val="right"/>
              <w:rPr>
                <w:rFonts w:eastAsia="Times New Roman" w:cs="Times New Roman"/>
                <w:i/>
                <w:iCs/>
                <w:sz w:val="22"/>
                <w:lang w:val="es-MX"/>
              </w:rPr>
            </w:pPr>
            <w:r w:rsidRPr="00BA5B2A">
              <w:rPr>
                <w:rFonts w:eastAsia="Times New Roman" w:cs="Times New Roman"/>
                <w:i/>
                <w:iCs/>
                <w:sz w:val="22"/>
                <w:lang w:val="es-MX"/>
              </w:rPr>
              <w:t>Nombre del solicitante: C. Solicitante</w:t>
            </w:r>
          </w:p>
        </w:tc>
      </w:tr>
      <w:tr w:rsidR="00BA5B2A" w:rsidRPr="00BA5B2A" w14:paraId="08A5234D" w14:textId="77777777" w:rsidTr="00BA5B2A">
        <w:trPr>
          <w:trHeight w:val="286"/>
          <w:tblCellSpacing w:w="0" w:type="dxa"/>
          <w:jc w:val="center"/>
        </w:trPr>
        <w:tc>
          <w:tcPr>
            <w:tcW w:w="0" w:type="auto"/>
            <w:vAlign w:val="center"/>
            <w:hideMark/>
          </w:tcPr>
          <w:p w14:paraId="69FC21AF" w14:textId="77777777" w:rsidR="00BA5B2A" w:rsidRPr="00BA5B2A" w:rsidRDefault="00BA5B2A" w:rsidP="00BA5B2A">
            <w:pPr>
              <w:spacing w:line="240" w:lineRule="auto"/>
              <w:jc w:val="right"/>
              <w:rPr>
                <w:rFonts w:eastAsia="Times New Roman" w:cs="Times New Roman"/>
                <w:i/>
                <w:iCs/>
                <w:sz w:val="22"/>
                <w:lang w:val="es-MX"/>
              </w:rPr>
            </w:pPr>
            <w:r w:rsidRPr="00BA5B2A">
              <w:rPr>
                <w:rFonts w:eastAsia="Times New Roman" w:cs="Times New Roman"/>
                <w:i/>
                <w:iCs/>
                <w:sz w:val="22"/>
                <w:lang w:val="es-MX"/>
              </w:rPr>
              <w:t>Folio de la solicitud: 00364/TECAMAC/IP/2023</w:t>
            </w:r>
          </w:p>
        </w:tc>
      </w:tr>
      <w:tr w:rsidR="00BA5B2A" w:rsidRPr="00BA5B2A" w14:paraId="5AF2EE8C" w14:textId="77777777" w:rsidTr="00BA5B2A">
        <w:trPr>
          <w:trHeight w:val="430"/>
          <w:tblCellSpacing w:w="0" w:type="dxa"/>
          <w:jc w:val="center"/>
        </w:trPr>
        <w:tc>
          <w:tcPr>
            <w:tcW w:w="0" w:type="auto"/>
            <w:vAlign w:val="center"/>
            <w:hideMark/>
          </w:tcPr>
          <w:p w14:paraId="4247E397" w14:textId="77777777" w:rsidR="00BA5B2A" w:rsidRPr="00BA5B2A" w:rsidRDefault="00BA5B2A" w:rsidP="00BA5B2A">
            <w:pPr>
              <w:spacing w:line="240" w:lineRule="auto"/>
              <w:jc w:val="right"/>
              <w:rPr>
                <w:rFonts w:eastAsia="Times New Roman" w:cs="Times New Roman"/>
                <w:i/>
                <w:iCs/>
                <w:sz w:val="22"/>
                <w:lang w:val="es-MX"/>
              </w:rPr>
            </w:pPr>
          </w:p>
        </w:tc>
      </w:tr>
      <w:tr w:rsidR="00BA5B2A" w:rsidRPr="00BA5B2A" w14:paraId="51455C39" w14:textId="77777777" w:rsidTr="00BA5B2A">
        <w:trPr>
          <w:trHeight w:val="143"/>
          <w:tblCellSpacing w:w="0" w:type="dxa"/>
          <w:jc w:val="center"/>
        </w:trPr>
        <w:tc>
          <w:tcPr>
            <w:tcW w:w="0" w:type="auto"/>
            <w:vAlign w:val="center"/>
            <w:hideMark/>
          </w:tcPr>
          <w:p w14:paraId="34B650C5" w14:textId="77777777" w:rsidR="00BA5B2A" w:rsidRPr="00BA5B2A" w:rsidRDefault="00BA5B2A" w:rsidP="00BA5B2A">
            <w:pPr>
              <w:spacing w:line="240" w:lineRule="auto"/>
              <w:rPr>
                <w:rFonts w:eastAsia="Times New Roman" w:cs="Times New Roman"/>
                <w:i/>
                <w:iCs/>
                <w:sz w:val="22"/>
                <w:lang w:val="es-MX"/>
              </w:rPr>
            </w:pPr>
            <w:r w:rsidRPr="00BA5B2A">
              <w:rPr>
                <w:rFonts w:eastAsia="Times New Roman" w:cs="Times New Roman"/>
                <w:i/>
                <w:iCs/>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A5B2A" w:rsidRPr="00BA5B2A" w14:paraId="48C6E985" w14:textId="77777777" w:rsidTr="00BA5B2A">
        <w:trPr>
          <w:trHeight w:val="358"/>
          <w:tblCellSpacing w:w="0" w:type="dxa"/>
          <w:jc w:val="center"/>
        </w:trPr>
        <w:tc>
          <w:tcPr>
            <w:tcW w:w="0" w:type="auto"/>
            <w:vAlign w:val="center"/>
            <w:hideMark/>
          </w:tcPr>
          <w:p w14:paraId="6CEFDB8F" w14:textId="77777777" w:rsidR="00BA5B2A" w:rsidRPr="00BA5B2A" w:rsidRDefault="00BA5B2A" w:rsidP="00BA5B2A">
            <w:pPr>
              <w:spacing w:line="240" w:lineRule="auto"/>
              <w:jc w:val="left"/>
              <w:rPr>
                <w:rFonts w:eastAsia="Times New Roman" w:cs="Times New Roman"/>
                <w:i/>
                <w:iCs/>
                <w:sz w:val="22"/>
                <w:lang w:val="es-MX"/>
              </w:rPr>
            </w:pPr>
          </w:p>
        </w:tc>
      </w:tr>
      <w:tr w:rsidR="00BA5B2A" w:rsidRPr="00BA5B2A" w14:paraId="2A029C03" w14:textId="77777777" w:rsidTr="00BA5B2A">
        <w:trPr>
          <w:trHeight w:val="72"/>
          <w:tblCellSpacing w:w="0" w:type="dxa"/>
          <w:jc w:val="center"/>
        </w:trPr>
        <w:tc>
          <w:tcPr>
            <w:tcW w:w="0" w:type="auto"/>
            <w:vAlign w:val="center"/>
            <w:hideMark/>
          </w:tcPr>
          <w:p w14:paraId="11F974CD" w14:textId="77777777" w:rsidR="00BA5B2A" w:rsidRPr="00BA5B2A" w:rsidRDefault="00BA5B2A" w:rsidP="00BA5B2A">
            <w:pPr>
              <w:spacing w:line="240" w:lineRule="auto"/>
              <w:jc w:val="left"/>
              <w:rPr>
                <w:rFonts w:eastAsia="Times New Roman" w:cs="Times New Roman"/>
                <w:i/>
                <w:iCs/>
                <w:sz w:val="22"/>
                <w:lang w:val="es-MX"/>
              </w:rPr>
            </w:pPr>
            <w:r w:rsidRPr="00BA5B2A">
              <w:rPr>
                <w:rFonts w:eastAsia="Times New Roman" w:cs="Times New Roman"/>
                <w:i/>
                <w:iCs/>
                <w:sz w:val="22"/>
                <w:lang w:val="es-MX"/>
              </w:rPr>
              <w:t>Se hace entrega de la respuesta a la solicitud de información pública 00364/TECAMAC/IP/2023</w:t>
            </w:r>
          </w:p>
        </w:tc>
      </w:tr>
    </w:tbl>
    <w:p w14:paraId="73C81B77" w14:textId="77777777" w:rsidR="00BA5B2A" w:rsidRDefault="00BA5B2A" w:rsidP="0018777B">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 </w:t>
      </w:r>
    </w:p>
    <w:p w14:paraId="500B5B05" w14:textId="0E24083F" w:rsidR="0018777B" w:rsidRPr="00C0188E" w:rsidRDefault="0018777B" w:rsidP="0018777B">
      <w:pPr>
        <w:pBdr>
          <w:top w:val="nil"/>
          <w:left w:val="nil"/>
          <w:bottom w:val="nil"/>
          <w:right w:val="nil"/>
          <w:between w:val="nil"/>
        </w:pBdr>
        <w:contextualSpacing/>
        <w:rPr>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el documento denominado </w:t>
      </w:r>
      <w:r>
        <w:rPr>
          <w:rFonts w:eastAsia="Palatino Linotype" w:cs="Palatino Linotype"/>
          <w:b/>
          <w:bCs/>
          <w:color w:val="000000"/>
          <w:szCs w:val="24"/>
        </w:rPr>
        <w:t>“</w:t>
      </w:r>
      <w:hyperlink r:id="rId7" w:tgtFrame="_blank" w:history="1">
        <w:r w:rsidR="00C0188E" w:rsidRPr="00C0188E">
          <w:rPr>
            <w:rStyle w:val="Hipervnculo"/>
            <w:rFonts w:cs="Arial"/>
            <w:b/>
            <w:bCs/>
            <w:color w:val="auto"/>
            <w:szCs w:val="24"/>
          </w:rPr>
          <w:t>Código Reglamentario de Tecámac, México (5).</w:t>
        </w:r>
        <w:proofErr w:type="spellStart"/>
        <w:r w:rsidR="00C0188E" w:rsidRPr="00C0188E">
          <w:rPr>
            <w:rStyle w:val="Hipervnculo"/>
            <w:rFonts w:cs="Arial"/>
            <w:b/>
            <w:bCs/>
            <w:color w:val="auto"/>
            <w:szCs w:val="24"/>
          </w:rPr>
          <w:t>pdf</w:t>
        </w:r>
        <w:proofErr w:type="spellEnd"/>
      </w:hyperlink>
      <w:r w:rsidR="00C0188E">
        <w:rPr>
          <w:szCs w:val="24"/>
        </w:rPr>
        <w:t>” y “</w:t>
      </w:r>
      <w:hyperlink r:id="rId8" w:tgtFrame="_blank" w:history="1">
        <w:r w:rsidR="00C0188E" w:rsidRPr="00C0188E">
          <w:rPr>
            <w:rStyle w:val="Hipervnculo"/>
            <w:rFonts w:cs="Arial"/>
            <w:b/>
            <w:bCs/>
            <w:color w:val="auto"/>
            <w:szCs w:val="24"/>
          </w:rPr>
          <w:t>SOLICITUD 364.pdf</w:t>
        </w:r>
      </w:hyperlink>
      <w:hyperlink r:id="rId9" w:tgtFrame="_blank" w:history="1"/>
      <w:r w:rsidRPr="007A5B0F">
        <w:rPr>
          <w:i/>
          <w:szCs w:val="24"/>
        </w:rPr>
        <w:t>”</w:t>
      </w:r>
      <w:r w:rsidRPr="007A5B0F">
        <w:rPr>
          <w:rFonts w:eastAsia="Palatino Linotype" w:cs="Palatino Linotype"/>
          <w:szCs w:val="24"/>
        </w:rPr>
        <w:t>,</w:t>
      </w:r>
      <w:r w:rsidRPr="00802B59">
        <w:rPr>
          <w:rFonts w:eastAsia="Palatino Linotype" w:cs="Palatino Linotype"/>
          <w:szCs w:val="24"/>
        </w:rPr>
        <w:t xml:space="preserve"> </w:t>
      </w:r>
      <w:r>
        <w:rPr>
          <w:rFonts w:eastAsia="Palatino Linotype" w:cs="Palatino Linotype"/>
          <w:color w:val="000000"/>
          <w:szCs w:val="24"/>
        </w:rPr>
        <w:t>el cual no se reproduce por ser del conocimiento de las partes; no obstante, su contenido será motivo de análisis en el estudio correspondiente.</w:t>
      </w:r>
    </w:p>
    <w:p w14:paraId="5EAFA176" w14:textId="77777777" w:rsidR="0018777B" w:rsidRPr="0037112D" w:rsidRDefault="0018777B" w:rsidP="0018777B">
      <w:pPr>
        <w:pBdr>
          <w:top w:val="nil"/>
          <w:left w:val="nil"/>
          <w:bottom w:val="nil"/>
          <w:right w:val="nil"/>
          <w:between w:val="nil"/>
        </w:pBdr>
        <w:contextualSpacing/>
        <w:rPr>
          <w:rFonts w:eastAsia="Palatino Linotype" w:cs="Palatino Linotype"/>
          <w:color w:val="000000"/>
          <w:szCs w:val="24"/>
        </w:rPr>
      </w:pPr>
    </w:p>
    <w:p w14:paraId="12D2131F" w14:textId="77777777" w:rsidR="0018777B" w:rsidRPr="006922F5" w:rsidRDefault="0018777B" w:rsidP="0018777B">
      <w:pPr>
        <w:pStyle w:val="Ttulo2"/>
        <w:rPr>
          <w:rFonts w:eastAsia="Palatino Linotype"/>
        </w:rPr>
      </w:pPr>
      <w:r>
        <w:rPr>
          <w:rFonts w:eastAsia="Palatino Linotype"/>
        </w:rPr>
        <w:t>TERCERO</w:t>
      </w:r>
      <w:r w:rsidRPr="006922F5">
        <w:rPr>
          <w:rFonts w:eastAsia="Palatino Linotype"/>
        </w:rPr>
        <w:t>. Del recurso de revisión.</w:t>
      </w:r>
    </w:p>
    <w:p w14:paraId="20344B47" w14:textId="43D48C51"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Inconforme con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el </w:t>
      </w:r>
      <w:r>
        <w:rPr>
          <w:rFonts w:eastAsia="Palatino Linotype" w:cs="Palatino Linotype"/>
          <w:color w:val="000000"/>
          <w:szCs w:val="24"/>
        </w:rPr>
        <w:t xml:space="preserve">día </w:t>
      </w:r>
      <w:r w:rsidR="00E7193A">
        <w:rPr>
          <w:rFonts w:eastAsia="Palatino Linotype" w:cs="Palatino Linotype"/>
          <w:color w:val="000000"/>
          <w:szCs w:val="24"/>
        </w:rPr>
        <w:t xml:space="preserve">veintidós de noviembre </w:t>
      </w:r>
      <w:r>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Pr>
          <w:rFonts w:eastAsia="Palatino Linotype" w:cs="Palatino Linotype"/>
          <w:b/>
          <w:color w:val="000000"/>
          <w:szCs w:val="24"/>
        </w:rPr>
        <w:t>0</w:t>
      </w:r>
      <w:r w:rsidR="00E7193A">
        <w:rPr>
          <w:rFonts w:eastAsia="Palatino Linotype" w:cs="Palatino Linotype"/>
          <w:b/>
          <w:color w:val="000000"/>
          <w:szCs w:val="24"/>
        </w:rPr>
        <w:t>8090</w:t>
      </w:r>
      <w:r>
        <w:rPr>
          <w:rFonts w:eastAsia="Palatino Linotype" w:cs="Palatino Linotype"/>
          <w:b/>
          <w:color w:val="000000"/>
          <w:szCs w:val="24"/>
        </w:rPr>
        <w:t>/INFOEM/IP/RR/2023</w:t>
      </w:r>
      <w:r w:rsidRPr="006922F5">
        <w:rPr>
          <w:rFonts w:eastAsia="Palatino Linotype" w:cs="Palatino Linotype"/>
          <w:color w:val="000000"/>
          <w:szCs w:val="24"/>
        </w:rPr>
        <w:t>, manifestando lo siguiente:</w:t>
      </w:r>
    </w:p>
    <w:p w14:paraId="1138B36B"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4747D46E" w14:textId="77777777" w:rsidR="0018777B" w:rsidRPr="006922F5" w:rsidRDefault="0018777B" w:rsidP="0018777B">
      <w:pPr>
        <w:contextualSpacing/>
        <w:rPr>
          <w:rFonts w:eastAsia="Palatino Linotype" w:cs="Palatino Linotype"/>
          <w:b/>
        </w:rPr>
      </w:pPr>
      <w:r w:rsidRPr="006922F5">
        <w:rPr>
          <w:rFonts w:eastAsia="Palatino Linotype" w:cs="Palatino Linotype"/>
          <w:b/>
        </w:rPr>
        <w:t xml:space="preserve">Acto Impugnado: </w:t>
      </w:r>
    </w:p>
    <w:p w14:paraId="29AD6185" w14:textId="210DD808" w:rsidR="0018777B" w:rsidRPr="00C47FB8" w:rsidRDefault="0018777B" w:rsidP="0018777B">
      <w:pPr>
        <w:pStyle w:val="Fundamentos"/>
        <w:rPr>
          <w:b/>
          <w:szCs w:val="22"/>
        </w:rPr>
      </w:pPr>
      <w:r w:rsidRPr="00C47FB8">
        <w:rPr>
          <w:szCs w:val="22"/>
        </w:rPr>
        <w:t>“</w:t>
      </w:r>
      <w:r w:rsidR="00D36EDA" w:rsidRPr="00D36EDA">
        <w:rPr>
          <w:color w:val="auto"/>
          <w:szCs w:val="22"/>
        </w:rPr>
        <w:t>código reglamentario no se encuentra vigente</w:t>
      </w:r>
      <w:r w:rsidRPr="00C47FB8">
        <w:rPr>
          <w:szCs w:val="22"/>
        </w:rPr>
        <w:t>” Sic)</w:t>
      </w:r>
    </w:p>
    <w:p w14:paraId="7B82F1D2" w14:textId="77777777" w:rsidR="0018777B" w:rsidRPr="006922F5" w:rsidRDefault="0018777B" w:rsidP="0018777B">
      <w:pPr>
        <w:contextualSpacing/>
        <w:rPr>
          <w:rFonts w:eastAsia="Palatino Linotype" w:cs="Palatino Linotype"/>
          <w:iCs/>
          <w:szCs w:val="24"/>
        </w:rPr>
      </w:pPr>
    </w:p>
    <w:p w14:paraId="69840291" w14:textId="77777777" w:rsidR="0018777B" w:rsidRPr="006922F5" w:rsidRDefault="0018777B" w:rsidP="0018777B">
      <w:pPr>
        <w:contextualSpacing/>
        <w:rPr>
          <w:rFonts w:eastAsia="Palatino Linotype" w:cs="Palatino Linotype"/>
        </w:rPr>
      </w:pPr>
      <w:r w:rsidRPr="006922F5">
        <w:rPr>
          <w:rFonts w:eastAsia="Palatino Linotype" w:cs="Palatino Linotype"/>
          <w:b/>
        </w:rPr>
        <w:t>Razones o Motivos de Inconformidad</w:t>
      </w:r>
      <w:r w:rsidRPr="006922F5">
        <w:rPr>
          <w:rFonts w:eastAsia="Palatino Linotype" w:cs="Palatino Linotype"/>
        </w:rPr>
        <w:t>:</w:t>
      </w:r>
    </w:p>
    <w:p w14:paraId="0863697E" w14:textId="4305974E" w:rsidR="0018777B" w:rsidRPr="00951868" w:rsidRDefault="0018777B" w:rsidP="0018777B">
      <w:pPr>
        <w:pStyle w:val="Fundamentos"/>
        <w:rPr>
          <w:sz w:val="24"/>
        </w:rPr>
      </w:pPr>
      <w:r w:rsidRPr="00C47FB8">
        <w:rPr>
          <w:szCs w:val="22"/>
        </w:rPr>
        <w:t>“</w:t>
      </w:r>
      <w:r w:rsidR="00D36EDA" w:rsidRPr="00D36EDA">
        <w:rPr>
          <w:color w:val="auto"/>
          <w:szCs w:val="22"/>
        </w:rPr>
        <w:t xml:space="preserve">porque sigue vigente la oficina del Estado Mayor Policial, si en su organigrama ya no se encuentra vigente así como como la Unidad de Intervención Táctica, que ahora se llama Subdirección de intervención Táctica, y no lo digo yo si no que en el mes de julio hubo una reforma en el </w:t>
      </w:r>
      <w:proofErr w:type="spellStart"/>
      <w:r w:rsidR="00D36EDA" w:rsidRPr="00D36EDA">
        <w:rPr>
          <w:color w:val="auto"/>
          <w:szCs w:val="22"/>
        </w:rPr>
        <w:t>articulo</w:t>
      </w:r>
      <w:proofErr w:type="spellEnd"/>
      <w:r w:rsidR="00D36EDA" w:rsidRPr="00D36EDA">
        <w:rPr>
          <w:color w:val="auto"/>
          <w:szCs w:val="22"/>
        </w:rPr>
        <w:t xml:space="preserve"> 47 del bando municipal donde desaparece el estado mayor y la unidad de intervención táctica, en la décima séptima sesión ordinaria</w:t>
      </w:r>
      <w:r w:rsidR="00D36EDA">
        <w:rPr>
          <w:rFonts w:ascii="Verdana" w:hAnsi="Verdana"/>
          <w:sz w:val="14"/>
          <w:szCs w:val="14"/>
        </w:rPr>
        <w:t>.</w:t>
      </w:r>
      <w:r w:rsidRPr="00C47FB8">
        <w:rPr>
          <w:szCs w:val="22"/>
        </w:rPr>
        <w:t xml:space="preserve">” </w:t>
      </w:r>
      <w:r w:rsidRPr="00951868">
        <w:rPr>
          <w:sz w:val="24"/>
        </w:rPr>
        <w:t>(Sic)</w:t>
      </w:r>
    </w:p>
    <w:p w14:paraId="68D2C111"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78458F26" w14:textId="77777777" w:rsidR="0018777B" w:rsidRPr="006922F5" w:rsidRDefault="0018777B" w:rsidP="0018777B">
      <w:pPr>
        <w:pStyle w:val="Ttulo2"/>
        <w:rPr>
          <w:rFonts w:eastAsia="Palatino Linotype"/>
        </w:rPr>
      </w:pPr>
      <w:r>
        <w:rPr>
          <w:rFonts w:eastAsia="Palatino Linotype"/>
        </w:rPr>
        <w:t>CUARTO</w:t>
      </w:r>
      <w:r w:rsidRPr="006922F5">
        <w:rPr>
          <w:rFonts w:eastAsia="Palatino Linotype"/>
        </w:rPr>
        <w:t>. Del turno y admisión del recurso de revisión.</w:t>
      </w:r>
    </w:p>
    <w:p w14:paraId="1F91AD2D" w14:textId="53505E78"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Comisionado Presidente 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Pr>
          <w:rFonts w:eastAsia="Palatino Linotype" w:cs="Palatino Linotype"/>
          <w:color w:val="000000"/>
          <w:szCs w:val="24"/>
        </w:rPr>
        <w:t xml:space="preserve"> </w:t>
      </w:r>
      <w:r>
        <w:rPr>
          <w:rFonts w:eastAsia="Palatino Linotype" w:cs="Palatino Linotype"/>
          <w:b/>
          <w:color w:val="000000"/>
          <w:szCs w:val="24"/>
        </w:rPr>
        <w:t xml:space="preserve">veintitrés de noviembre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32AD614E"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407AAB87" w14:textId="77777777" w:rsidR="0018777B" w:rsidRPr="006922F5" w:rsidRDefault="0018777B" w:rsidP="0018777B">
      <w:pPr>
        <w:pStyle w:val="Ttulo2"/>
        <w:rPr>
          <w:rFonts w:eastAsia="Palatino Linotype"/>
        </w:rPr>
      </w:pPr>
      <w:r>
        <w:rPr>
          <w:rFonts w:eastAsia="Palatino Linotype"/>
        </w:rPr>
        <w:t>QUINTO</w:t>
      </w:r>
      <w:r w:rsidRPr="006922F5">
        <w:rPr>
          <w:rFonts w:eastAsia="Palatino Linotype"/>
        </w:rPr>
        <w:t>. De la etapa de instrucción.</w:t>
      </w:r>
    </w:p>
    <w:p w14:paraId="3D132ABE" w14:textId="307058F5" w:rsidR="0018777B" w:rsidRPr="009849E0" w:rsidRDefault="0018777B" w:rsidP="0018777B">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w:t>
      </w:r>
      <w:r>
        <w:rPr>
          <w:rFonts w:eastAsia="Palatino Linotype" w:cs="Palatino Linotype"/>
          <w:color w:val="000000"/>
          <w:szCs w:val="24"/>
        </w:rPr>
        <w:t xml:space="preserve">bierta la etapa de instrucción, el Sujeto Obligado </w:t>
      </w:r>
      <w:r w:rsidR="004377D6">
        <w:rPr>
          <w:rFonts w:eastAsia="Palatino Linotype" w:cs="Palatino Linotype"/>
          <w:color w:val="000000"/>
          <w:szCs w:val="24"/>
        </w:rPr>
        <w:t>fue omiso al rendir</w:t>
      </w:r>
      <w:r>
        <w:rPr>
          <w:rFonts w:eastAsia="Palatino Linotype" w:cs="Palatino Linotype"/>
          <w:color w:val="000000"/>
          <w:szCs w:val="24"/>
        </w:rPr>
        <w:t xml:space="preserve"> </w:t>
      </w:r>
      <w:r w:rsidRPr="006F65AC">
        <w:rPr>
          <w:rFonts w:eastAsia="Palatino Linotype" w:cs="Palatino Linotype"/>
          <w:color w:val="000000"/>
          <w:szCs w:val="24"/>
        </w:rPr>
        <w:t>su Informe Justificado</w:t>
      </w:r>
      <w:r>
        <w:rPr>
          <w:rFonts w:eastAsia="Palatino Linotype" w:cs="Palatino Linotype"/>
          <w:color w:val="000000"/>
          <w:szCs w:val="24"/>
        </w:rPr>
        <w:t>. Por su</w:t>
      </w:r>
      <w:r w:rsidRPr="006F65AC">
        <w:rPr>
          <w:rFonts w:eastAsia="Palatino Linotype" w:cs="Palatino Linotype"/>
          <w:color w:val="000000"/>
          <w:szCs w:val="24"/>
        </w:rPr>
        <w:t xml:space="preserve"> parte, </w:t>
      </w:r>
      <w:r>
        <w:rPr>
          <w:rFonts w:eastAsia="Palatino Linotype" w:cs="Palatino Linotype"/>
          <w:color w:val="000000"/>
          <w:szCs w:val="24"/>
        </w:rPr>
        <w:t xml:space="preserve">el Recurrente no realizó manifestaciones, vertió alegatos ni presentó pruebas que a su derecho convinieran. </w:t>
      </w:r>
    </w:p>
    <w:p w14:paraId="235B868E"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0945ACA9" w14:textId="77777777" w:rsidR="0018777B" w:rsidRPr="006922F5" w:rsidRDefault="0018777B" w:rsidP="0018777B">
      <w:pPr>
        <w:pStyle w:val="Ttulo2"/>
        <w:rPr>
          <w:rFonts w:eastAsia="Palatino Linotype"/>
        </w:rPr>
      </w:pPr>
      <w:r w:rsidRPr="006922F5">
        <w:rPr>
          <w:rFonts w:eastAsia="Palatino Linotype"/>
        </w:rPr>
        <w:t>S</w:t>
      </w:r>
      <w:r>
        <w:rPr>
          <w:rFonts w:eastAsia="Palatino Linotype"/>
        </w:rPr>
        <w:t>EXTO</w:t>
      </w:r>
      <w:r w:rsidRPr="006922F5">
        <w:rPr>
          <w:rFonts w:eastAsia="Palatino Linotype"/>
        </w:rPr>
        <w:t>. Del cierre de instrucción.</w:t>
      </w:r>
    </w:p>
    <w:p w14:paraId="56319239" w14:textId="00E5F62E" w:rsidR="0018777B" w:rsidRPr="00576D4E"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 en fecha</w:t>
      </w:r>
      <w:r>
        <w:rPr>
          <w:rFonts w:eastAsia="Palatino Linotype" w:cs="Palatino Linotype"/>
          <w:color w:val="000000"/>
          <w:szCs w:val="24"/>
        </w:rPr>
        <w:t xml:space="preserve"> </w:t>
      </w:r>
      <w:r w:rsidR="00576D4E">
        <w:rPr>
          <w:rFonts w:eastAsia="Palatino Linotype" w:cs="Palatino Linotype"/>
          <w:b/>
          <w:color w:val="000000"/>
          <w:szCs w:val="24"/>
        </w:rPr>
        <w:t>cinco</w:t>
      </w:r>
      <w:r>
        <w:rPr>
          <w:rFonts w:eastAsia="Palatino Linotype" w:cs="Palatino Linotype"/>
          <w:b/>
          <w:color w:val="000000"/>
          <w:szCs w:val="24"/>
        </w:rPr>
        <w:t xml:space="preserve"> de diciembre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6C36807" w14:textId="77777777" w:rsidR="0018777B" w:rsidRPr="006922F5" w:rsidRDefault="0018777B" w:rsidP="0018777B">
      <w:pPr>
        <w:pStyle w:val="Ttulo1"/>
        <w:rPr>
          <w:rFonts w:eastAsia="Palatino Linotype"/>
          <w:lang w:val="es-ES_tradnl"/>
        </w:rPr>
      </w:pPr>
      <w:r w:rsidRPr="006922F5">
        <w:rPr>
          <w:rFonts w:eastAsia="Palatino Linotype"/>
          <w:lang w:val="es-ES_tradnl"/>
        </w:rPr>
        <w:lastRenderedPageBreak/>
        <w:t>C O N S I D E R A N D O</w:t>
      </w:r>
    </w:p>
    <w:p w14:paraId="517AADC8"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6A69B84E" w14:textId="77777777" w:rsidR="0018777B" w:rsidRPr="006922F5" w:rsidRDefault="0018777B" w:rsidP="0018777B">
      <w:pPr>
        <w:pStyle w:val="Ttulo2"/>
        <w:rPr>
          <w:rFonts w:eastAsia="Palatino Linotype"/>
        </w:rPr>
      </w:pPr>
      <w:r w:rsidRPr="006922F5">
        <w:rPr>
          <w:rFonts w:eastAsia="Palatino Linotype"/>
        </w:rPr>
        <w:t>PRIMERO. De la competencia.</w:t>
      </w:r>
    </w:p>
    <w:p w14:paraId="74D082B1"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E32B1E3"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79DF5FC0" w14:textId="77777777" w:rsidR="0018777B" w:rsidRPr="006922F5" w:rsidRDefault="0018777B" w:rsidP="0018777B">
      <w:pPr>
        <w:pStyle w:val="Ttulo2"/>
        <w:rPr>
          <w:rFonts w:eastAsia="Palatino Linotype"/>
        </w:rPr>
      </w:pPr>
      <w:r w:rsidRPr="006922F5">
        <w:rPr>
          <w:rFonts w:eastAsia="Palatino Linotype"/>
        </w:rPr>
        <w:t xml:space="preserve">SEGUNDO. Sobre los alcances del recurso de revisión. </w:t>
      </w:r>
    </w:p>
    <w:p w14:paraId="0969468F" w14:textId="77777777" w:rsidR="0018777B" w:rsidRDefault="0018777B" w:rsidP="0018777B">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C48E87" w14:textId="77777777" w:rsidR="0018777B" w:rsidRDefault="0018777B" w:rsidP="0018777B"/>
    <w:p w14:paraId="1C2ECA21" w14:textId="79FBC7B7" w:rsidR="0018777B" w:rsidRPr="00CA1D2B" w:rsidRDefault="0018777B" w:rsidP="00576D4E">
      <w:pPr>
        <w:pStyle w:val="Prrafodelista"/>
        <w:autoSpaceDE w:val="0"/>
        <w:autoSpaceDN w:val="0"/>
        <w:adjustRightInd w:val="0"/>
        <w:spacing w:before="240" w:after="160"/>
        <w:ind w:left="0"/>
        <w:rPr>
          <w:rFonts w:cs="Arial"/>
          <w:b/>
          <w:sz w:val="28"/>
        </w:rPr>
      </w:pPr>
      <w:r>
        <w:rPr>
          <w:rFonts w:cs="Arial"/>
          <w:b/>
          <w:sz w:val="28"/>
        </w:rPr>
        <w:lastRenderedPageBreak/>
        <w:t xml:space="preserve">TERCERO. </w:t>
      </w:r>
      <w:r w:rsidRPr="00CA1D2B">
        <w:rPr>
          <w:rFonts w:cs="Arial"/>
          <w:b/>
          <w:sz w:val="28"/>
        </w:rPr>
        <w:t>De las causas de improcedencia.</w:t>
      </w:r>
    </w:p>
    <w:p w14:paraId="4A0D0FA2" w14:textId="77777777" w:rsidR="0018777B" w:rsidRDefault="0018777B" w:rsidP="0018777B">
      <w:pPr>
        <w:pStyle w:val="Prrafodelista"/>
        <w:autoSpaceDE w:val="0"/>
        <w:autoSpaceDN w:val="0"/>
        <w:adjustRightInd w:val="0"/>
        <w:ind w:left="0"/>
        <w:rPr>
          <w:rFonts w:cs="Arial"/>
        </w:rPr>
      </w:pPr>
      <w:r w:rsidRPr="00CA1D2B">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1D83CE" w14:textId="77777777" w:rsidR="0018777B" w:rsidRPr="00CA1D2B" w:rsidRDefault="0018777B" w:rsidP="0018777B">
      <w:pPr>
        <w:pStyle w:val="Prrafodelista"/>
        <w:autoSpaceDE w:val="0"/>
        <w:autoSpaceDN w:val="0"/>
        <w:adjustRightInd w:val="0"/>
        <w:ind w:left="0"/>
        <w:rPr>
          <w:rFonts w:cs="Arial"/>
        </w:rPr>
      </w:pPr>
    </w:p>
    <w:p w14:paraId="71565A63" w14:textId="77777777" w:rsidR="0018777B" w:rsidRPr="00CA1D2B" w:rsidRDefault="0018777B" w:rsidP="0018777B">
      <w:pPr>
        <w:pStyle w:val="Prrafodelista"/>
        <w:autoSpaceDE w:val="0"/>
        <w:autoSpaceDN w:val="0"/>
        <w:adjustRightInd w:val="0"/>
        <w:ind w:left="0"/>
        <w:rPr>
          <w:rFonts w:cs="Arial"/>
        </w:rPr>
      </w:pPr>
      <w:r w:rsidRPr="00CA1D2B">
        <w:rPr>
          <w:rFonts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A1D2B">
        <w:rPr>
          <w:rStyle w:val="Refdenotaalpie"/>
          <w:rFonts w:cs="Arial"/>
        </w:rPr>
        <w:footnoteReference w:id="1"/>
      </w:r>
      <w:r w:rsidRPr="00CA1D2B">
        <w:rPr>
          <w:rFonts w:cs="Arial"/>
        </w:rPr>
        <w:t>.</w:t>
      </w:r>
    </w:p>
    <w:p w14:paraId="18D67F2E" w14:textId="77777777" w:rsidR="0018777B" w:rsidRPr="00CA1D2B" w:rsidRDefault="0018777B" w:rsidP="0018777B">
      <w:pPr>
        <w:pStyle w:val="Prrafodelista"/>
        <w:autoSpaceDE w:val="0"/>
        <w:autoSpaceDN w:val="0"/>
        <w:adjustRightInd w:val="0"/>
        <w:ind w:left="0"/>
        <w:rPr>
          <w:rFonts w:cs="Arial"/>
        </w:rPr>
      </w:pPr>
    </w:p>
    <w:p w14:paraId="76E372A0" w14:textId="55D86C4C" w:rsidR="0018777B" w:rsidRDefault="0018777B" w:rsidP="0018777B">
      <w:pPr>
        <w:pStyle w:val="Prrafodelista"/>
        <w:autoSpaceDE w:val="0"/>
        <w:autoSpaceDN w:val="0"/>
        <w:adjustRightInd w:val="0"/>
        <w:ind w:left="0"/>
        <w:rPr>
          <w:rFonts w:cs="Arial"/>
        </w:rPr>
      </w:pPr>
      <w:r w:rsidRPr="00CA1D2B">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024311E" w14:textId="77777777" w:rsidR="00231378" w:rsidRPr="00231378" w:rsidRDefault="00231378" w:rsidP="0018777B">
      <w:pPr>
        <w:pStyle w:val="Prrafodelista"/>
        <w:autoSpaceDE w:val="0"/>
        <w:autoSpaceDN w:val="0"/>
        <w:adjustRightInd w:val="0"/>
        <w:ind w:left="0"/>
        <w:rPr>
          <w:rFonts w:cs="Arial"/>
        </w:rPr>
      </w:pPr>
    </w:p>
    <w:p w14:paraId="0EB14E27" w14:textId="61824A01" w:rsidR="0018777B" w:rsidRDefault="00576D4E" w:rsidP="0018777B">
      <w:pPr>
        <w:pStyle w:val="Ttulo2"/>
        <w:rPr>
          <w:rFonts w:eastAsia="Palatino Linotype"/>
        </w:rPr>
      </w:pPr>
      <w:r>
        <w:rPr>
          <w:rFonts w:eastAsia="Palatino Linotype"/>
        </w:rPr>
        <w:t>CUARTO</w:t>
      </w:r>
      <w:r w:rsidR="0018777B">
        <w:rPr>
          <w:rFonts w:eastAsia="Palatino Linotype"/>
        </w:rPr>
        <w:t xml:space="preserve">. </w:t>
      </w:r>
      <w:r w:rsidR="0018777B" w:rsidRPr="006922F5">
        <w:rPr>
          <w:rFonts w:eastAsia="Palatino Linotype"/>
        </w:rPr>
        <w:t>Estudio y resolución del asunto.</w:t>
      </w:r>
    </w:p>
    <w:p w14:paraId="3A876E05" w14:textId="77777777" w:rsidR="00231378" w:rsidRPr="00231378" w:rsidRDefault="00231378" w:rsidP="00231378"/>
    <w:p w14:paraId="430FE28B"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372C70F" w14:textId="77777777" w:rsidR="0018777B" w:rsidRPr="006922F5" w:rsidRDefault="0018777B" w:rsidP="0018777B">
      <w:pPr>
        <w:pBdr>
          <w:top w:val="nil"/>
          <w:left w:val="nil"/>
          <w:bottom w:val="nil"/>
          <w:right w:val="nil"/>
          <w:between w:val="nil"/>
        </w:pBdr>
        <w:contextualSpacing/>
        <w:rPr>
          <w:rFonts w:eastAsia="Palatino Linotype" w:cs="Palatino Linotype"/>
          <w:color w:val="000000"/>
          <w:szCs w:val="24"/>
        </w:rPr>
      </w:pPr>
    </w:p>
    <w:p w14:paraId="754B7F1C"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Por tanto, es conveniente recordar que </w:t>
      </w:r>
      <w:r>
        <w:rPr>
          <w:rFonts w:eastAsia="Palatino Linotype" w:cs="Palatino Linotype"/>
          <w:color w:val="000000"/>
          <w:szCs w:val="24"/>
        </w:rPr>
        <w:t>el</w:t>
      </w:r>
      <w:r w:rsidRPr="006922F5">
        <w:rPr>
          <w:rFonts w:eastAsia="Palatino Linotype" w:cs="Palatino Linotype"/>
          <w:color w:val="000000"/>
          <w:szCs w:val="24"/>
        </w:rPr>
        <w:t xml:space="preserve"> hoy Recurrente requirió </w:t>
      </w:r>
      <w:r>
        <w:rPr>
          <w:rFonts w:eastAsia="Palatino Linotype" w:cs="Palatino Linotype"/>
          <w:color w:val="000000"/>
          <w:szCs w:val="24"/>
        </w:rPr>
        <w:t>del Sujeto Obligado, de la actual administración, lo siguiente:</w:t>
      </w:r>
    </w:p>
    <w:p w14:paraId="6C584E41" w14:textId="77777777" w:rsidR="0018777B" w:rsidRDefault="0018777B" w:rsidP="0018777B">
      <w:pPr>
        <w:pBdr>
          <w:top w:val="nil"/>
          <w:left w:val="nil"/>
          <w:bottom w:val="nil"/>
          <w:right w:val="nil"/>
          <w:between w:val="nil"/>
        </w:pBdr>
        <w:contextualSpacing/>
        <w:rPr>
          <w:rFonts w:eastAsia="Palatino Linotype" w:cs="Palatino Linotype"/>
          <w:color w:val="000000"/>
          <w:szCs w:val="24"/>
        </w:rPr>
      </w:pPr>
    </w:p>
    <w:p w14:paraId="12BF01D6" w14:textId="4BA751D2" w:rsidR="0018777B" w:rsidRPr="00802B59" w:rsidRDefault="007F1F84" w:rsidP="0018777B">
      <w:pPr>
        <w:pStyle w:val="Prrafodelista"/>
        <w:numPr>
          <w:ilvl w:val="0"/>
          <w:numId w:val="2"/>
        </w:numPr>
        <w:pBdr>
          <w:top w:val="nil"/>
          <w:left w:val="nil"/>
          <w:bottom w:val="nil"/>
          <w:right w:val="nil"/>
          <w:between w:val="nil"/>
        </w:pBdr>
        <w:contextualSpacing/>
        <w:rPr>
          <w:rFonts w:eastAsia="Palatino Linotype" w:cs="Palatino Linotype"/>
          <w:color w:val="000000"/>
        </w:rPr>
      </w:pPr>
      <w:r>
        <w:rPr>
          <w:i/>
          <w:color w:val="000000"/>
        </w:rPr>
        <w:t>Código Reglamentario Vigente de 2023</w:t>
      </w:r>
      <w:r w:rsidR="0018777B">
        <w:rPr>
          <w:i/>
          <w:color w:val="000000"/>
        </w:rPr>
        <w:t>.</w:t>
      </w:r>
    </w:p>
    <w:p w14:paraId="44B629B6" w14:textId="77777777" w:rsidR="0018777B" w:rsidRPr="002E1E77" w:rsidRDefault="0018777B" w:rsidP="0018777B">
      <w:pPr>
        <w:pStyle w:val="Prrafodelista"/>
        <w:pBdr>
          <w:top w:val="nil"/>
          <w:left w:val="nil"/>
          <w:bottom w:val="nil"/>
          <w:right w:val="nil"/>
          <w:between w:val="nil"/>
        </w:pBdr>
        <w:ind w:left="1069"/>
        <w:contextualSpacing/>
        <w:rPr>
          <w:rFonts w:eastAsia="Palatino Linotype" w:cs="Palatino Linotype"/>
          <w:color w:val="000000"/>
        </w:rPr>
      </w:pPr>
    </w:p>
    <w:p w14:paraId="1B6B0316" w14:textId="4F948DB2" w:rsidR="0018777B" w:rsidRDefault="0018777B" w:rsidP="0018777B">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que atento a la solicitud de información el Sujeto Obligado hizo entrega de</w:t>
      </w:r>
      <w:r w:rsidR="00031639">
        <w:rPr>
          <w:rFonts w:eastAsia="Palatino Linotype" w:cs="Palatino Linotype"/>
          <w:color w:val="000000"/>
          <w:szCs w:val="24"/>
        </w:rPr>
        <w:t xml:space="preserve"> los</w:t>
      </w:r>
      <w:r>
        <w:rPr>
          <w:rFonts w:eastAsia="Palatino Linotype" w:cs="Palatino Linotype"/>
          <w:color w:val="000000"/>
          <w:szCs w:val="24"/>
        </w:rPr>
        <w:t xml:space="preserve"> siguiente</w:t>
      </w:r>
      <w:r w:rsidR="00031639">
        <w:rPr>
          <w:rFonts w:eastAsia="Palatino Linotype" w:cs="Palatino Linotype"/>
          <w:color w:val="000000"/>
          <w:szCs w:val="24"/>
        </w:rPr>
        <w:t>s</w:t>
      </w:r>
      <w:r>
        <w:rPr>
          <w:rFonts w:eastAsia="Palatino Linotype" w:cs="Palatino Linotype"/>
          <w:color w:val="000000"/>
          <w:szCs w:val="24"/>
        </w:rPr>
        <w:t xml:space="preserve"> archivo</w:t>
      </w:r>
      <w:r w:rsidR="00031639">
        <w:rPr>
          <w:rFonts w:eastAsia="Palatino Linotype" w:cs="Palatino Linotype"/>
          <w:color w:val="000000"/>
          <w:szCs w:val="24"/>
        </w:rPr>
        <w:t>s</w:t>
      </w:r>
      <w:r>
        <w:rPr>
          <w:rFonts w:eastAsia="Palatino Linotype" w:cs="Palatino Linotype"/>
          <w:color w:val="000000"/>
          <w:szCs w:val="24"/>
        </w:rPr>
        <w:t xml:space="preserve"> electrónico</w:t>
      </w:r>
      <w:r w:rsidR="00031639">
        <w:rPr>
          <w:rFonts w:eastAsia="Palatino Linotype" w:cs="Palatino Linotype"/>
          <w:color w:val="000000"/>
          <w:szCs w:val="24"/>
        </w:rPr>
        <w:t>s</w:t>
      </w:r>
      <w:r>
        <w:rPr>
          <w:rFonts w:eastAsia="Palatino Linotype" w:cs="Palatino Linotype"/>
          <w:color w:val="000000"/>
          <w:szCs w:val="24"/>
        </w:rPr>
        <w:t>:</w:t>
      </w:r>
    </w:p>
    <w:p w14:paraId="25BFD3AA" w14:textId="22B53770" w:rsidR="004342F8" w:rsidRDefault="004342F8" w:rsidP="004342F8"/>
    <w:p w14:paraId="5B86ED21" w14:textId="268A0054" w:rsidR="00BA5FC3" w:rsidRDefault="00C72291" w:rsidP="00BA5FC3">
      <w:pPr>
        <w:pStyle w:val="Prrafodelista"/>
        <w:numPr>
          <w:ilvl w:val="0"/>
          <w:numId w:val="8"/>
        </w:numPr>
      </w:pPr>
      <w:hyperlink r:id="rId10" w:tgtFrame="_blank" w:history="1">
        <w:r w:rsidR="00031639" w:rsidRPr="00BA5FC3">
          <w:rPr>
            <w:rStyle w:val="Hipervnculo"/>
            <w:rFonts w:eastAsiaTheme="majorEastAsia" w:cs="Arial"/>
            <w:b/>
            <w:bCs/>
            <w:color w:val="auto"/>
          </w:rPr>
          <w:t>Código Reglamentario de Tecámac, México (5).</w:t>
        </w:r>
        <w:proofErr w:type="spellStart"/>
        <w:r w:rsidR="00031639" w:rsidRPr="00BA5FC3">
          <w:rPr>
            <w:rStyle w:val="Hipervnculo"/>
            <w:rFonts w:eastAsiaTheme="majorEastAsia" w:cs="Arial"/>
            <w:b/>
            <w:bCs/>
            <w:color w:val="auto"/>
          </w:rPr>
          <w:t>pdf</w:t>
        </w:r>
        <w:proofErr w:type="spellEnd"/>
      </w:hyperlink>
      <w:r w:rsidR="00031639">
        <w:t>:</w:t>
      </w:r>
      <w:r w:rsidR="00031639" w:rsidRPr="00BA5FC3">
        <w:rPr>
          <w:b/>
          <w:bCs/>
        </w:rPr>
        <w:t xml:space="preserve"> </w:t>
      </w:r>
      <w:r w:rsidR="007B75EE">
        <w:t xml:space="preserve">Documento que </w:t>
      </w:r>
      <w:r w:rsidR="0036006D">
        <w:t>consta</w:t>
      </w:r>
      <w:r w:rsidR="007B75EE">
        <w:t xml:space="preserve"> de doscientas tres fojas en formato PDF mediante el cual el Sujeto Obligado remite el Código Reglamentario del Ayuntamiento de Tecámac</w:t>
      </w:r>
      <w:r w:rsidR="0062186F">
        <w:t xml:space="preserve"> correspondiente al 2022-2024</w:t>
      </w:r>
      <w:r w:rsidR="004C3721">
        <w:t>.</w:t>
      </w:r>
    </w:p>
    <w:p w14:paraId="63B3D368" w14:textId="77777777" w:rsidR="00BA5FC3" w:rsidRDefault="00BA5FC3" w:rsidP="00BA5FC3">
      <w:pPr>
        <w:pStyle w:val="Prrafodelista"/>
        <w:ind w:left="720"/>
      </w:pPr>
    </w:p>
    <w:p w14:paraId="6D1C1DFD" w14:textId="3BDE559B" w:rsidR="00031639" w:rsidRDefault="00C72291" w:rsidP="00BA5FC3">
      <w:pPr>
        <w:pStyle w:val="Prrafodelista"/>
        <w:numPr>
          <w:ilvl w:val="0"/>
          <w:numId w:val="8"/>
        </w:numPr>
      </w:pPr>
      <w:hyperlink r:id="rId11" w:tgtFrame="_blank" w:history="1">
        <w:r w:rsidR="00031639" w:rsidRPr="00BA5FC3">
          <w:rPr>
            <w:rStyle w:val="Hipervnculo"/>
            <w:rFonts w:eastAsiaTheme="majorEastAsia" w:cs="Arial"/>
            <w:b/>
            <w:bCs/>
            <w:color w:val="auto"/>
          </w:rPr>
          <w:t>SOLICITUD 364.pdf</w:t>
        </w:r>
      </w:hyperlink>
      <w:r w:rsidR="004C3721">
        <w:t xml:space="preserve">: Documento que consta de una foja con número de oficio SA/SJG/1789/2023 de fecha veintiuno de noviembre de 2023 mediante el cual el Subsecretario Jurídico </w:t>
      </w:r>
      <w:r w:rsidR="006F0123">
        <w:t xml:space="preserve">y de Gobierno </w:t>
      </w:r>
      <w:r w:rsidR="00F94DE3">
        <w:t xml:space="preserve">remite una liga electrónica en la que se encuentra el </w:t>
      </w:r>
      <w:r w:rsidR="001628BE">
        <w:t>código reglamentario vigente en los términos siguientes;</w:t>
      </w:r>
    </w:p>
    <w:p w14:paraId="76FB0F5D" w14:textId="1D8D84D7" w:rsidR="00031639" w:rsidRDefault="00C72291" w:rsidP="00763B84">
      <w:pPr>
        <w:pStyle w:val="Prrafodelista"/>
        <w:ind w:left="720"/>
      </w:pPr>
      <w:hyperlink r:id="rId12" w:history="1">
        <w:r w:rsidR="00B85ECC" w:rsidRPr="00B84B39">
          <w:rPr>
            <w:rStyle w:val="Hipervnculo"/>
          </w:rPr>
          <w:t>https://drive.google.com/file/d/1I1iGRX9F2Q66S7QWPmG5G3mD2X3S3Ikg/view?usp=sharing</w:t>
        </w:r>
      </w:hyperlink>
      <w:r w:rsidR="00B85ECC">
        <w:t xml:space="preserve"> </w:t>
      </w:r>
    </w:p>
    <w:p w14:paraId="1A18C34C" w14:textId="77777777" w:rsidR="00031639" w:rsidRDefault="00031639" w:rsidP="00031639">
      <w:pPr>
        <w:rPr>
          <w:rFonts w:eastAsia="Palatino Linotype" w:cs="Palatino Linotype"/>
          <w:color w:val="000000"/>
        </w:rPr>
      </w:pPr>
    </w:p>
    <w:p w14:paraId="4DE057CE" w14:textId="0B589D5B" w:rsidR="00BF106E" w:rsidRDefault="0018777B" w:rsidP="00BF106E">
      <w:pPr>
        <w:rPr>
          <w:rFonts w:eastAsia="Palatino Linotype" w:cs="Palatino Linotype"/>
          <w:color w:val="000000"/>
        </w:rPr>
      </w:pPr>
      <w:r w:rsidRPr="00031639">
        <w:rPr>
          <w:rFonts w:eastAsia="Palatino Linotype" w:cs="Palatino Linotype"/>
          <w:color w:val="000000"/>
        </w:rPr>
        <w:t xml:space="preserve">Ante la respuesta emitida por el Sujeto Obligado, el Recurrente consideró que su derecho a la información pública había sido conculcado, por lo que interpuso el recurso de revisión al rubro citado, señalando como acto impugnado </w:t>
      </w:r>
      <w:r w:rsidRPr="00763B84">
        <w:rPr>
          <w:rFonts w:eastAsia="Palatino Linotype" w:cs="Palatino Linotype"/>
          <w:i/>
          <w:iCs/>
          <w:color w:val="000000"/>
          <w:szCs w:val="24"/>
        </w:rPr>
        <w:t>“</w:t>
      </w:r>
      <w:r w:rsidR="00763B84" w:rsidRPr="00763B84">
        <w:rPr>
          <w:i/>
          <w:iCs/>
          <w:color w:val="000000"/>
          <w:szCs w:val="24"/>
        </w:rPr>
        <w:t>código reglamentario no se encuentra vigente</w:t>
      </w:r>
      <w:r w:rsidRPr="00763B84">
        <w:rPr>
          <w:i/>
          <w:iCs/>
          <w:color w:val="000000"/>
          <w:szCs w:val="24"/>
        </w:rPr>
        <w:t>”</w:t>
      </w:r>
      <w:r w:rsidRPr="00031639">
        <w:rPr>
          <w:rFonts w:ascii="Verdana" w:hAnsi="Verdana"/>
          <w:color w:val="000000"/>
          <w:sz w:val="14"/>
          <w:szCs w:val="14"/>
        </w:rPr>
        <w:t xml:space="preserve"> </w:t>
      </w:r>
      <w:r w:rsidRPr="00031639">
        <w:rPr>
          <w:rFonts w:eastAsia="Palatino Linotype" w:cs="Palatino Linotype"/>
          <w:color w:val="000000"/>
        </w:rPr>
        <w:t>y razones o motivos de inconformidad lo siguiente; “</w:t>
      </w:r>
      <w:r w:rsidR="00287107" w:rsidRPr="00287107">
        <w:rPr>
          <w:i/>
          <w:iCs/>
          <w:color w:val="000000"/>
          <w:szCs w:val="24"/>
        </w:rPr>
        <w:t xml:space="preserve">porque sigue vigente </w:t>
      </w:r>
      <w:r w:rsidR="00287107" w:rsidRPr="00287107">
        <w:rPr>
          <w:i/>
          <w:iCs/>
          <w:color w:val="000000"/>
          <w:szCs w:val="24"/>
        </w:rPr>
        <w:lastRenderedPageBreak/>
        <w:t xml:space="preserve">la oficina del Estado Mayor Policial, si en su organigrama ya no se encuentra vigente así como como la Unidad de Intervención Táctica, que ahora se llama Subdirección de intervención Táctica, y no lo digo yo si no que en el mes de julio hubo una reforma en el </w:t>
      </w:r>
      <w:proofErr w:type="spellStart"/>
      <w:r w:rsidR="00287107" w:rsidRPr="00287107">
        <w:rPr>
          <w:i/>
          <w:iCs/>
          <w:color w:val="000000"/>
          <w:szCs w:val="24"/>
        </w:rPr>
        <w:t>articulo</w:t>
      </w:r>
      <w:proofErr w:type="spellEnd"/>
      <w:r w:rsidR="00287107" w:rsidRPr="00287107">
        <w:rPr>
          <w:i/>
          <w:iCs/>
          <w:color w:val="000000"/>
          <w:szCs w:val="24"/>
        </w:rPr>
        <w:t xml:space="preserve"> 47 del bando municipal donde desaparece el estado mayor y la unidad de intervención táctica, en la décima séptima sesión ordinaria</w:t>
      </w:r>
      <w:r w:rsidRPr="00031639">
        <w:rPr>
          <w:i/>
          <w:color w:val="000000"/>
        </w:rPr>
        <w:t>”</w:t>
      </w:r>
      <w:r w:rsidRPr="00031639">
        <w:rPr>
          <w:rFonts w:eastAsia="Palatino Linotype" w:cs="Palatino Linotype"/>
          <w:i/>
          <w:color w:val="000000"/>
        </w:rPr>
        <w:t>,</w:t>
      </w:r>
      <w:r w:rsidRPr="00031639">
        <w:rPr>
          <w:rFonts w:eastAsia="Palatino Linotype" w:cs="Palatino Linotype"/>
          <w:i/>
          <w:color w:val="000000"/>
          <w:sz w:val="22"/>
        </w:rPr>
        <w:t xml:space="preserve"> </w:t>
      </w:r>
      <w:r w:rsidRPr="00031639">
        <w:rPr>
          <w:rFonts w:eastAsia="Palatino Linotype" w:cs="Palatino Linotype"/>
          <w:color w:val="000000"/>
        </w:rPr>
        <w:t xml:space="preserve">en este sentido el Recurrente considero que el Ayuntamiento de </w:t>
      </w:r>
      <w:r w:rsidR="00BF106E">
        <w:rPr>
          <w:rFonts w:eastAsia="Palatino Linotype" w:cs="Palatino Linotype"/>
          <w:color w:val="000000"/>
        </w:rPr>
        <w:t>Tecámac</w:t>
      </w:r>
      <w:r w:rsidRPr="00031639">
        <w:rPr>
          <w:rFonts w:eastAsia="Palatino Linotype" w:cs="Palatino Linotype"/>
          <w:color w:val="000000"/>
        </w:rPr>
        <w:t xml:space="preserve"> no le brindo </w:t>
      </w:r>
      <w:r w:rsidR="006317F2">
        <w:rPr>
          <w:rFonts w:eastAsia="Palatino Linotype" w:cs="Palatino Linotype"/>
          <w:color w:val="000000"/>
        </w:rPr>
        <w:t>el código reglamentario vigente del año 2023.</w:t>
      </w:r>
    </w:p>
    <w:p w14:paraId="28A343E6" w14:textId="77777777" w:rsidR="00BF106E" w:rsidRDefault="00BF106E" w:rsidP="00BF106E">
      <w:pPr>
        <w:rPr>
          <w:szCs w:val="24"/>
        </w:rPr>
      </w:pPr>
    </w:p>
    <w:p w14:paraId="589CEF29" w14:textId="37A2A82E" w:rsidR="0018777B" w:rsidRPr="00B7320F" w:rsidRDefault="004342F8" w:rsidP="0018777B">
      <w:pPr>
        <w:tabs>
          <w:tab w:val="left" w:pos="709"/>
        </w:tabs>
        <w:contextualSpacing/>
        <w:rPr>
          <w:rFonts w:cs="Arial"/>
        </w:rPr>
      </w:pPr>
      <w:r>
        <w:rPr>
          <w:rFonts w:cs="Arial"/>
        </w:rPr>
        <w:t xml:space="preserve">De lo anterior </w:t>
      </w:r>
      <w:r w:rsidR="0018777B">
        <w:rPr>
          <w:rFonts w:cs="Arial"/>
        </w:rPr>
        <w:t xml:space="preserve">se debe </w:t>
      </w:r>
      <w:r w:rsidR="0018777B" w:rsidRPr="00B7320F">
        <w:rPr>
          <w:rFonts w:cs="Arial"/>
        </w:rPr>
        <w:t>señalar que el artículo 4, párrafo segundo de la Ley de Transparencia y Acceso a la Información Pública del Estado de México y Municipios, dispone:</w:t>
      </w:r>
    </w:p>
    <w:p w14:paraId="178FD063" w14:textId="77777777" w:rsidR="0018777B" w:rsidRPr="00B7320F" w:rsidRDefault="0018777B" w:rsidP="0018777B">
      <w:pPr>
        <w:pStyle w:val="Sinespaciado"/>
      </w:pPr>
    </w:p>
    <w:p w14:paraId="033A2D4D" w14:textId="77777777" w:rsidR="0018777B" w:rsidRPr="00B7320F" w:rsidRDefault="0018777B" w:rsidP="0018777B">
      <w:pPr>
        <w:ind w:left="567" w:right="616"/>
        <w:rPr>
          <w:rFonts w:cs="Arial"/>
          <w:i/>
          <w:sz w:val="22"/>
        </w:rPr>
      </w:pPr>
      <w:r w:rsidRPr="00B7320F">
        <w:rPr>
          <w:rFonts w:cs="Arial"/>
          <w:i/>
          <w:sz w:val="22"/>
        </w:rPr>
        <w:t>“</w:t>
      </w:r>
      <w:r w:rsidRPr="00B7320F">
        <w:rPr>
          <w:rFonts w:cs="Arial"/>
          <w:b/>
          <w:i/>
          <w:sz w:val="22"/>
        </w:rPr>
        <w:t xml:space="preserve">Artículo 4. </w:t>
      </w:r>
      <w:r w:rsidRPr="00B7320F">
        <w:rPr>
          <w:rFonts w:cs="Arial"/>
          <w:i/>
          <w:sz w:val="22"/>
        </w:rPr>
        <w:t xml:space="preserve">… </w:t>
      </w:r>
    </w:p>
    <w:p w14:paraId="69E89373" w14:textId="77777777" w:rsidR="0018777B" w:rsidRPr="00B7320F" w:rsidRDefault="0018777B" w:rsidP="0018777B">
      <w:pPr>
        <w:ind w:left="567" w:right="616"/>
        <w:rPr>
          <w:rFonts w:cs="Arial"/>
          <w:i/>
          <w:sz w:val="22"/>
        </w:rPr>
      </w:pPr>
      <w:r w:rsidRPr="00B7320F">
        <w:rPr>
          <w:rFonts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6D90A1" w14:textId="77777777" w:rsidR="0018777B" w:rsidRPr="00B7320F" w:rsidRDefault="0018777B" w:rsidP="0018777B">
      <w:pPr>
        <w:tabs>
          <w:tab w:val="left" w:pos="709"/>
        </w:tabs>
        <w:contextualSpacing/>
        <w:rPr>
          <w:rFonts w:cs="Arial"/>
        </w:rPr>
      </w:pPr>
    </w:p>
    <w:p w14:paraId="78521F8A" w14:textId="77777777" w:rsidR="0018777B" w:rsidRDefault="0018777B" w:rsidP="0018777B">
      <w:pPr>
        <w:tabs>
          <w:tab w:val="left" w:pos="709"/>
        </w:tabs>
        <w:contextualSpacing/>
        <w:rPr>
          <w:rFonts w:cs="Arial"/>
        </w:rPr>
      </w:pPr>
      <w:r w:rsidRPr="00B7320F">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1E24B55" w14:textId="77777777" w:rsidR="0018777B" w:rsidRPr="00B7320F" w:rsidRDefault="0018777B" w:rsidP="0018777B">
      <w:pPr>
        <w:tabs>
          <w:tab w:val="left" w:pos="709"/>
        </w:tabs>
        <w:contextualSpacing/>
        <w:rPr>
          <w:rFonts w:cs="Arial"/>
        </w:rPr>
      </w:pPr>
    </w:p>
    <w:p w14:paraId="7170DEF8" w14:textId="77777777" w:rsidR="0018777B" w:rsidRPr="00B7320F" w:rsidRDefault="0018777B" w:rsidP="0018777B">
      <w:pPr>
        <w:tabs>
          <w:tab w:val="left" w:pos="709"/>
        </w:tabs>
        <w:contextualSpacing/>
        <w:rPr>
          <w:rFonts w:cs="Arial"/>
        </w:rPr>
      </w:pPr>
      <w:r w:rsidRPr="00B7320F">
        <w:rPr>
          <w:rFonts w:cs="Arial"/>
        </w:rPr>
        <w:lastRenderedPageBreak/>
        <w:t xml:space="preserve">En esta misma tesitura, el derecho de acceso a la información pública, consiste en que la información solicitada conste en un soporte documental en cualquiera de sus formas, a saber: </w:t>
      </w:r>
      <w:r w:rsidRPr="00B7320F">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226C596" w14:textId="77777777" w:rsidR="0018777B" w:rsidRPr="00B7320F" w:rsidRDefault="0018777B" w:rsidP="0018777B">
      <w:pPr>
        <w:pStyle w:val="Sinespaciado"/>
      </w:pPr>
    </w:p>
    <w:p w14:paraId="7476B7C6" w14:textId="77777777" w:rsidR="0018777B" w:rsidRPr="00B7320F" w:rsidRDefault="0018777B" w:rsidP="0018777B">
      <w:pPr>
        <w:ind w:left="567" w:right="616"/>
        <w:rPr>
          <w:rFonts w:cs="Arial"/>
          <w:i/>
          <w:sz w:val="22"/>
        </w:rPr>
      </w:pPr>
      <w:r w:rsidRPr="00B7320F">
        <w:rPr>
          <w:rFonts w:cs="Arial"/>
          <w:i/>
          <w:sz w:val="22"/>
        </w:rPr>
        <w:t>“</w:t>
      </w:r>
      <w:r w:rsidRPr="00B7320F">
        <w:rPr>
          <w:rFonts w:cs="Arial"/>
          <w:b/>
          <w:i/>
          <w:sz w:val="22"/>
        </w:rPr>
        <w:t xml:space="preserve">Artículo 3. </w:t>
      </w:r>
      <w:r w:rsidRPr="00B7320F">
        <w:rPr>
          <w:rFonts w:cs="Arial"/>
          <w:i/>
          <w:sz w:val="22"/>
        </w:rPr>
        <w:t>Para los efectos de la presente Ley se entenderá por:</w:t>
      </w:r>
    </w:p>
    <w:p w14:paraId="09750E2F" w14:textId="77777777" w:rsidR="0018777B" w:rsidRPr="00B7320F" w:rsidRDefault="0018777B" w:rsidP="0018777B">
      <w:pPr>
        <w:ind w:left="567" w:right="616"/>
        <w:rPr>
          <w:rFonts w:cs="Arial"/>
          <w:i/>
          <w:sz w:val="22"/>
        </w:rPr>
      </w:pPr>
      <w:r w:rsidRPr="00B7320F">
        <w:rPr>
          <w:rFonts w:cs="Arial"/>
          <w:i/>
          <w:sz w:val="22"/>
        </w:rPr>
        <w:t>(…)</w:t>
      </w:r>
    </w:p>
    <w:p w14:paraId="6AADE03D" w14:textId="77777777" w:rsidR="0018777B" w:rsidRPr="00B7320F" w:rsidRDefault="0018777B" w:rsidP="0018777B">
      <w:pPr>
        <w:ind w:left="567" w:right="616"/>
        <w:rPr>
          <w:rFonts w:cs="Arial"/>
          <w:i/>
          <w:sz w:val="22"/>
        </w:rPr>
      </w:pPr>
      <w:r w:rsidRPr="00B7320F">
        <w:rPr>
          <w:rFonts w:cs="Arial"/>
          <w:b/>
          <w:i/>
          <w:sz w:val="22"/>
        </w:rPr>
        <w:t>XI. Documento:</w:t>
      </w:r>
      <w:r w:rsidRPr="00B7320F">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cs="Arial"/>
          <w:b/>
          <w:i/>
          <w:sz w:val="22"/>
          <w:u w:val="single"/>
        </w:rPr>
        <w:t>registro que documente el ejercicio de las facultades, funciones y competencias de los sujetos obligados</w:t>
      </w:r>
      <w:r w:rsidRPr="00B7320F">
        <w:rPr>
          <w:rFonts w:cs="Arial"/>
          <w:i/>
          <w:sz w:val="22"/>
          <w:u w:val="single"/>
        </w:rPr>
        <w:t>,</w:t>
      </w:r>
      <w:r w:rsidRPr="00B7320F">
        <w:rPr>
          <w:rFonts w:cs="Arial"/>
          <w:i/>
          <w:sz w:val="22"/>
        </w:rPr>
        <w:t xml:space="preserve"> sus servidores públicos e integrantes, </w:t>
      </w:r>
      <w:r w:rsidRPr="00B7320F">
        <w:rPr>
          <w:rFonts w:cs="Arial"/>
          <w:b/>
          <w:i/>
          <w:sz w:val="22"/>
          <w:u w:val="single"/>
        </w:rPr>
        <w:t>sin importar su fuente o fecha de elaboración.</w:t>
      </w:r>
      <w:r w:rsidRPr="00B7320F">
        <w:rPr>
          <w:rFonts w:cs="Arial"/>
          <w:i/>
          <w:sz w:val="22"/>
        </w:rPr>
        <w:t xml:space="preserve"> Los documentos podrán estar en cualquier medio, sea escrito, impreso, sonoro, visual, electrónico, informático u holográfico;</w:t>
      </w:r>
    </w:p>
    <w:p w14:paraId="2B8062B9" w14:textId="77777777" w:rsidR="0018777B" w:rsidRPr="00B7320F" w:rsidRDefault="0018777B" w:rsidP="0018777B">
      <w:pPr>
        <w:ind w:left="567" w:right="616"/>
        <w:rPr>
          <w:rFonts w:cs="Arial"/>
          <w:i/>
          <w:sz w:val="22"/>
        </w:rPr>
      </w:pPr>
      <w:r w:rsidRPr="00B7320F">
        <w:rPr>
          <w:rFonts w:cs="Arial"/>
          <w:i/>
          <w:sz w:val="22"/>
        </w:rPr>
        <w:t>(…)”</w:t>
      </w:r>
    </w:p>
    <w:p w14:paraId="77580F85" w14:textId="77777777" w:rsidR="0018777B" w:rsidRPr="00B7320F" w:rsidRDefault="0018777B" w:rsidP="0018777B"/>
    <w:p w14:paraId="1B67F095" w14:textId="13B124F1" w:rsidR="00F3765B" w:rsidRDefault="0018777B" w:rsidP="0018777B">
      <w:pPr>
        <w:spacing w:before="240" w:after="240"/>
        <w:ind w:right="49"/>
        <w:contextualSpacing/>
        <w:rPr>
          <w:rFonts w:eastAsia="MS Mincho"/>
        </w:rPr>
      </w:pPr>
      <w:r w:rsidRPr="00B7320F">
        <w:rPr>
          <w:rFonts w:cs="Arial"/>
        </w:rPr>
        <w:t xml:space="preserve">Además, </w:t>
      </w:r>
      <w:r w:rsidRPr="00B7320F">
        <w:rPr>
          <w:rFonts w:eastAsia="MS Mincho"/>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w:t>
      </w:r>
      <w:r w:rsidRPr="00B7320F">
        <w:rPr>
          <w:rFonts w:eastAsia="MS Mincho"/>
        </w:rPr>
        <w:lastRenderedPageBreak/>
        <w:t>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789CBE8" w14:textId="77777777" w:rsidR="006A187E" w:rsidRPr="006A187E" w:rsidRDefault="006A187E" w:rsidP="0018777B">
      <w:pPr>
        <w:spacing w:before="240" w:after="240"/>
        <w:ind w:right="49"/>
        <w:contextualSpacing/>
        <w:rPr>
          <w:rFonts w:eastAsia="MS Mincho"/>
        </w:rPr>
      </w:pPr>
    </w:p>
    <w:p w14:paraId="1D65721D" w14:textId="2DEEE991" w:rsidR="0018777B" w:rsidRPr="006A187E" w:rsidRDefault="0018777B" w:rsidP="006A187E">
      <w:pPr>
        <w:spacing w:before="240" w:after="240"/>
        <w:ind w:right="49"/>
        <w:contextualSpacing/>
        <w:rPr>
          <w:rFonts w:eastAsia="MS Mincho" w:cs="Tahoma"/>
        </w:rPr>
      </w:pPr>
      <w:r w:rsidRPr="00B7320F">
        <w:rPr>
          <w:rFonts w:cs="Arial"/>
        </w:rPr>
        <w:t xml:space="preserve">De la misma forma, </w:t>
      </w:r>
      <w:r w:rsidRPr="00B7320F">
        <w:rPr>
          <w:rFonts w:eastAsia="MS Mincho"/>
        </w:rPr>
        <w:t>de acuerdo al contenido del artículo 160,</w:t>
      </w:r>
      <w:r w:rsidRPr="00B7320F">
        <w:rPr>
          <w:rFonts w:cs="Arial"/>
        </w:rPr>
        <w:t xml:space="preserve"> de la Ley </w:t>
      </w:r>
      <w:r w:rsidRPr="00B7320F">
        <w:rPr>
          <w:rFonts w:eastAsia="MS Mincho" w:cs="Tahoma"/>
        </w:rPr>
        <w:t>General de Transparencia y Acceso a la Información Pública que a la letra dispone:</w:t>
      </w:r>
    </w:p>
    <w:p w14:paraId="57D77FFA" w14:textId="77777777" w:rsidR="0018777B" w:rsidRPr="00B7320F" w:rsidRDefault="0018777B" w:rsidP="0018777B">
      <w:pPr>
        <w:ind w:left="567" w:right="616"/>
        <w:contextualSpacing/>
        <w:rPr>
          <w:rFonts w:cs="Arial"/>
          <w:i/>
          <w:sz w:val="22"/>
          <w:lang w:eastAsia="gl-ES"/>
        </w:rPr>
      </w:pPr>
      <w:r w:rsidRPr="00B7320F">
        <w:rPr>
          <w:rFonts w:cs="Arial"/>
          <w:b/>
          <w:i/>
          <w:sz w:val="22"/>
          <w:lang w:eastAsia="gl-ES"/>
        </w:rPr>
        <w:t>Artículo 160</w:t>
      </w:r>
      <w:r w:rsidRPr="00B7320F">
        <w:rPr>
          <w:rFonts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557191" w14:textId="77777777" w:rsidR="0018777B" w:rsidRPr="00B7320F" w:rsidRDefault="0018777B" w:rsidP="0018777B">
      <w:pPr>
        <w:pStyle w:val="Sinespaciado"/>
      </w:pPr>
    </w:p>
    <w:p w14:paraId="45F26FB0" w14:textId="77777777" w:rsidR="0018777B" w:rsidRPr="00B7320F" w:rsidRDefault="0018777B" w:rsidP="0018777B">
      <w:pPr>
        <w:contextualSpacing/>
        <w:rPr>
          <w:rFonts w:cs="Arial"/>
        </w:rPr>
      </w:pPr>
      <w:r w:rsidRPr="00B7320F">
        <w:rPr>
          <w:rFonts w:cs="Arial"/>
          <w:bCs/>
        </w:rPr>
        <w:t xml:space="preserve">Además, </w:t>
      </w:r>
      <w:r w:rsidRPr="00B7320F">
        <w:rPr>
          <w:rFonts w:cs="Arial"/>
        </w:rPr>
        <w:t xml:space="preserve">a Ley de Transparencia y Acceso a la Información Pública del Estado de México y Municipios, prevé en su artículo 23, fracción </w:t>
      </w:r>
      <w:r>
        <w:rPr>
          <w:rFonts w:cs="Arial"/>
        </w:rPr>
        <w:t>IV</w:t>
      </w:r>
      <w:r w:rsidRPr="00B7320F">
        <w:rPr>
          <w:rFonts w:cs="Arial"/>
        </w:rPr>
        <w:t>, que son Sujetos Obligados a Transparentar y permitir el acceso a su información y proteger los datos que obren en su poder:</w:t>
      </w:r>
    </w:p>
    <w:p w14:paraId="00B38CA2" w14:textId="77777777" w:rsidR="0018777B" w:rsidRPr="00B7320F" w:rsidRDefault="0018777B" w:rsidP="0018777B">
      <w:pPr>
        <w:pStyle w:val="Sinespaciado"/>
      </w:pPr>
    </w:p>
    <w:p w14:paraId="0326CBB1" w14:textId="77777777" w:rsidR="0018777B" w:rsidRDefault="0018777B" w:rsidP="0018777B">
      <w:pPr>
        <w:ind w:left="567" w:right="616"/>
        <w:contextualSpacing/>
        <w:rPr>
          <w:rFonts w:cs="Arial"/>
          <w:i/>
          <w:sz w:val="22"/>
        </w:rPr>
      </w:pPr>
      <w:r w:rsidRPr="00B7320F">
        <w:rPr>
          <w:rFonts w:cs="Arial"/>
          <w:b/>
          <w:i/>
          <w:sz w:val="22"/>
        </w:rPr>
        <w:t>Artículo 23.</w:t>
      </w:r>
      <w:r w:rsidRPr="00B7320F">
        <w:rPr>
          <w:rFonts w:cs="Arial"/>
          <w:i/>
          <w:sz w:val="22"/>
        </w:rPr>
        <w:t xml:space="preserve"> Son sujetos obligados a transparentar y permitir el acceso a su información y proteger los datos personales que obren en su poder:</w:t>
      </w:r>
    </w:p>
    <w:p w14:paraId="0260F88F" w14:textId="77777777" w:rsidR="0018777B" w:rsidRDefault="0018777B" w:rsidP="0018777B">
      <w:pPr>
        <w:ind w:left="567" w:right="616"/>
        <w:contextualSpacing/>
        <w:rPr>
          <w:rFonts w:cs="Arial"/>
          <w:b/>
          <w:i/>
          <w:sz w:val="22"/>
        </w:rPr>
      </w:pPr>
    </w:p>
    <w:p w14:paraId="0201B39B" w14:textId="1E9CC627" w:rsidR="0018777B" w:rsidRPr="006A187E" w:rsidRDefault="0018777B" w:rsidP="006A187E">
      <w:pPr>
        <w:ind w:left="567" w:right="616"/>
        <w:contextualSpacing/>
        <w:rPr>
          <w:rFonts w:cs="Arial"/>
          <w:bCs/>
          <w:i/>
          <w:sz w:val="22"/>
        </w:rPr>
      </w:pPr>
      <w:r w:rsidRPr="004C6BB5">
        <w:rPr>
          <w:rFonts w:cs="Arial"/>
          <w:b/>
          <w:i/>
          <w:sz w:val="22"/>
        </w:rPr>
        <w:t xml:space="preserve">IV. </w:t>
      </w:r>
      <w:r w:rsidRPr="004C6BB5">
        <w:rPr>
          <w:rFonts w:cs="Arial"/>
          <w:bCs/>
          <w:i/>
          <w:sz w:val="22"/>
        </w:rPr>
        <w:t>Los ayuntamientos y las dependencias, organismos, órganos y entidades de la administración municipal;</w:t>
      </w:r>
    </w:p>
    <w:p w14:paraId="165400C7" w14:textId="77777777" w:rsidR="0018777B" w:rsidRPr="00322CE7" w:rsidRDefault="0018777B" w:rsidP="0018777B">
      <w:pPr>
        <w:rPr>
          <w:rFonts w:eastAsiaTheme="minorHAnsi" w:cs="Arial"/>
          <w:lang w:val="es-MX" w:eastAsia="en-US"/>
        </w:rPr>
      </w:pPr>
      <w:r w:rsidRPr="00B7320F">
        <w:rPr>
          <w:rFonts w:eastAsiaTheme="minorHAnsi" w:cs="Arial"/>
          <w:lang w:val="es-MX" w:eastAsia="en-US"/>
        </w:rPr>
        <w:lastRenderedPageBreak/>
        <w:t xml:space="preserve">Expuesto lo anterior, se procede al análisis de la totalidad de las constancias que integran el expediente electrónico del </w:t>
      </w:r>
      <w:r w:rsidRPr="00B7320F">
        <w:rPr>
          <w:rFonts w:eastAsiaTheme="minorHAnsi" w:cs="Arial"/>
          <w:b/>
          <w:lang w:val="es-MX" w:eastAsia="en-US"/>
        </w:rPr>
        <w:t>SAIMEX</w:t>
      </w:r>
      <w:r w:rsidRPr="00B7320F">
        <w:rPr>
          <w:rFonts w:eastAsiaTheme="minorHAnsi" w:cs="Arial"/>
          <w:lang w:val="es-MX" w:eastAsia="en-US"/>
        </w:rPr>
        <w:t xml:space="preserve">, a efecto de determinar si con la información remitida por </w:t>
      </w:r>
      <w:r w:rsidRPr="00B7320F">
        <w:rPr>
          <w:rFonts w:eastAsiaTheme="minorHAnsi" w:cs="Arial"/>
          <w:b/>
          <w:lang w:val="es-MX" w:eastAsia="en-US"/>
        </w:rPr>
        <w:t>El Sujeto Obligado</w:t>
      </w:r>
      <w:r w:rsidRPr="00B7320F">
        <w:rPr>
          <w:rFonts w:eastAsiaTheme="minorHAnsi" w:cs="Arial"/>
          <w:lang w:val="es-MX" w:eastAsia="en-US"/>
        </w:rPr>
        <w:t xml:space="preserve"> a través de su respuesta se colma lo requerido en dicha solicitud.</w:t>
      </w:r>
    </w:p>
    <w:p w14:paraId="2FAE8001" w14:textId="77777777" w:rsidR="0018777B" w:rsidRDefault="0018777B" w:rsidP="0018777B">
      <w:pPr>
        <w:rPr>
          <w:rFonts w:eastAsia="Palatino Linotype" w:cs="Palatino Linotype"/>
          <w:color w:val="000000"/>
          <w:szCs w:val="24"/>
        </w:rPr>
      </w:pPr>
    </w:p>
    <w:p w14:paraId="54716933" w14:textId="3E07E469" w:rsidR="0075294D" w:rsidRDefault="0018777B" w:rsidP="0075294D">
      <w:r w:rsidRPr="00036045">
        <w:t xml:space="preserve">De lo anterior, </w:t>
      </w:r>
      <w:r>
        <w:t xml:space="preserve">resulta pertinente delimitar la competencia del Sujeto Obligado </w:t>
      </w:r>
      <w:r w:rsidR="0032108D">
        <w:t>es imprescindible</w:t>
      </w:r>
      <w:r>
        <w:t xml:space="preserve"> traer a colación </w:t>
      </w:r>
      <w:r w:rsidR="0032108D">
        <w:t>los</w:t>
      </w:r>
      <w:r>
        <w:t xml:space="preserve"> artículo</w:t>
      </w:r>
      <w:r w:rsidR="0032108D">
        <w:t>s</w:t>
      </w:r>
      <w:r>
        <w:t xml:space="preserve"> 3</w:t>
      </w:r>
      <w:r w:rsidR="0075294D">
        <w:t>9</w:t>
      </w:r>
      <w:r w:rsidR="0032108D">
        <w:t xml:space="preserve"> y</w:t>
      </w:r>
      <w:r w:rsidR="00A00145">
        <w:t xml:space="preserve"> 45</w:t>
      </w:r>
      <w:r>
        <w:t xml:space="preserve"> de su Bando </w:t>
      </w:r>
      <w:r w:rsidR="0075294D">
        <w:t>Municipal</w:t>
      </w:r>
      <w:r w:rsidR="0088257D">
        <w:t>, los cuales establecen lo siguiente;</w:t>
      </w:r>
    </w:p>
    <w:p w14:paraId="4B12D2D2" w14:textId="77777777" w:rsidR="00763E96" w:rsidRDefault="00763E96" w:rsidP="0075294D"/>
    <w:p w14:paraId="12E38127" w14:textId="3945F1E6" w:rsidR="00763E96" w:rsidRDefault="0088257D" w:rsidP="00763E96">
      <w:pPr>
        <w:ind w:left="708"/>
        <w:rPr>
          <w:i/>
          <w:iCs/>
          <w:sz w:val="22"/>
        </w:rPr>
      </w:pPr>
      <w:r>
        <w:rPr>
          <w:b/>
          <w:bCs/>
          <w:i/>
          <w:iCs/>
          <w:sz w:val="22"/>
        </w:rPr>
        <w:t>“</w:t>
      </w:r>
      <w:r w:rsidR="00763E96" w:rsidRPr="0088257D">
        <w:rPr>
          <w:b/>
          <w:bCs/>
          <w:i/>
          <w:iCs/>
          <w:sz w:val="22"/>
        </w:rPr>
        <w:t>CAPÍTULO III DE LA ADMINISTRACIÓN PÚBLICA MUNICIPAL CENTRALIZADA</w:t>
      </w:r>
      <w:r w:rsidR="00763E96" w:rsidRPr="00763E96">
        <w:rPr>
          <w:i/>
          <w:iCs/>
          <w:sz w:val="22"/>
        </w:rPr>
        <w:t xml:space="preserve"> </w:t>
      </w:r>
      <w:r w:rsidR="00763E96" w:rsidRPr="0032108D">
        <w:rPr>
          <w:b/>
          <w:bCs/>
          <w:i/>
          <w:iCs/>
          <w:sz w:val="22"/>
        </w:rPr>
        <w:t>Artículo 39</w:t>
      </w:r>
      <w:r w:rsidR="00763E96" w:rsidRPr="00763E96">
        <w:rPr>
          <w:i/>
          <w:iCs/>
          <w:sz w:val="22"/>
        </w:rPr>
        <w:t xml:space="preserve">. Para el cumplimiento de sus funciones la Presidencia Municipal se auxiliará de los demás integrantes del Ayuntamiento, las Comisiones Edilicias y tendrá bajo su mando las siguientes dependencias de la administración pública municipal centralizada: </w:t>
      </w:r>
    </w:p>
    <w:p w14:paraId="56699805" w14:textId="77777777" w:rsidR="0032108D" w:rsidRDefault="0032108D" w:rsidP="00763E96">
      <w:pPr>
        <w:ind w:left="708"/>
        <w:rPr>
          <w:i/>
          <w:iCs/>
          <w:sz w:val="22"/>
        </w:rPr>
      </w:pPr>
    </w:p>
    <w:p w14:paraId="53E9750F" w14:textId="77777777" w:rsidR="00D06C89" w:rsidRDefault="00763E96" w:rsidP="00763E96">
      <w:pPr>
        <w:pStyle w:val="Prrafodelista"/>
        <w:numPr>
          <w:ilvl w:val="0"/>
          <w:numId w:val="6"/>
        </w:numPr>
        <w:rPr>
          <w:i/>
          <w:iCs/>
          <w:sz w:val="22"/>
        </w:rPr>
      </w:pPr>
      <w:r w:rsidRPr="00763E96">
        <w:rPr>
          <w:i/>
          <w:iCs/>
          <w:sz w:val="22"/>
        </w:rPr>
        <w:t>Presidencia Municipal;</w:t>
      </w:r>
    </w:p>
    <w:p w14:paraId="2C8EF268" w14:textId="602A5AC7" w:rsidR="00763E96" w:rsidRDefault="00763E96" w:rsidP="00D06C89">
      <w:pPr>
        <w:pStyle w:val="Prrafodelista"/>
        <w:ind w:left="2136"/>
        <w:rPr>
          <w:i/>
          <w:iCs/>
          <w:sz w:val="22"/>
        </w:rPr>
      </w:pPr>
      <w:r w:rsidRPr="00763E96">
        <w:rPr>
          <w:i/>
          <w:iCs/>
          <w:sz w:val="22"/>
        </w:rPr>
        <w:t xml:space="preserve"> a. Secretaría Técnica de la Presidencia Municipal;  </w:t>
      </w:r>
    </w:p>
    <w:p w14:paraId="401557B8" w14:textId="77777777" w:rsidR="00763E96" w:rsidRDefault="00763E96" w:rsidP="00763E96">
      <w:pPr>
        <w:pStyle w:val="Prrafodelista"/>
        <w:numPr>
          <w:ilvl w:val="0"/>
          <w:numId w:val="6"/>
        </w:numPr>
        <w:rPr>
          <w:i/>
          <w:iCs/>
          <w:sz w:val="22"/>
        </w:rPr>
      </w:pPr>
      <w:r w:rsidRPr="00763E96">
        <w:rPr>
          <w:i/>
          <w:iCs/>
          <w:sz w:val="22"/>
        </w:rPr>
        <w:t xml:space="preserve">Secretaría del Ayuntamiento;  </w:t>
      </w:r>
    </w:p>
    <w:p w14:paraId="7250DEF7" w14:textId="6DBF7827" w:rsidR="00763E96" w:rsidRDefault="00763E96" w:rsidP="00763E96">
      <w:pPr>
        <w:pStyle w:val="Prrafodelista"/>
        <w:numPr>
          <w:ilvl w:val="0"/>
          <w:numId w:val="6"/>
        </w:numPr>
        <w:rPr>
          <w:i/>
          <w:iCs/>
          <w:sz w:val="22"/>
        </w:rPr>
      </w:pPr>
      <w:r w:rsidRPr="00763E96">
        <w:rPr>
          <w:i/>
          <w:iCs/>
          <w:sz w:val="22"/>
        </w:rPr>
        <w:t xml:space="preserve">Tesorería Municipal; </w:t>
      </w:r>
    </w:p>
    <w:p w14:paraId="6D497D07" w14:textId="77777777" w:rsidR="00763E96" w:rsidRDefault="00763E96" w:rsidP="00763E96">
      <w:pPr>
        <w:pStyle w:val="Prrafodelista"/>
        <w:numPr>
          <w:ilvl w:val="0"/>
          <w:numId w:val="6"/>
        </w:numPr>
        <w:rPr>
          <w:i/>
          <w:iCs/>
          <w:sz w:val="22"/>
        </w:rPr>
      </w:pPr>
      <w:r w:rsidRPr="00763E96">
        <w:rPr>
          <w:i/>
          <w:iCs/>
          <w:sz w:val="22"/>
        </w:rPr>
        <w:t>Contraloría Municipal;</w:t>
      </w:r>
    </w:p>
    <w:p w14:paraId="1B510693" w14:textId="77777777" w:rsidR="00763E96" w:rsidRPr="004353A5" w:rsidRDefault="00763E96" w:rsidP="00763E96">
      <w:pPr>
        <w:pStyle w:val="Prrafodelista"/>
        <w:numPr>
          <w:ilvl w:val="0"/>
          <w:numId w:val="6"/>
        </w:numPr>
        <w:rPr>
          <w:b/>
          <w:bCs/>
          <w:i/>
          <w:iCs/>
          <w:sz w:val="22"/>
        </w:rPr>
      </w:pPr>
      <w:r w:rsidRPr="004353A5">
        <w:rPr>
          <w:b/>
          <w:bCs/>
          <w:i/>
          <w:iCs/>
          <w:sz w:val="22"/>
        </w:rPr>
        <w:t xml:space="preserve"> Dirección General Jurídica y Consultiva;</w:t>
      </w:r>
    </w:p>
    <w:p w14:paraId="15BE28B2" w14:textId="77777777" w:rsidR="00763E96" w:rsidRDefault="00763E96" w:rsidP="00763E96">
      <w:pPr>
        <w:pStyle w:val="Prrafodelista"/>
        <w:numPr>
          <w:ilvl w:val="0"/>
          <w:numId w:val="6"/>
        </w:numPr>
        <w:rPr>
          <w:i/>
          <w:iCs/>
          <w:sz w:val="22"/>
        </w:rPr>
      </w:pPr>
      <w:r w:rsidRPr="00763E96">
        <w:rPr>
          <w:i/>
          <w:iCs/>
          <w:sz w:val="22"/>
        </w:rPr>
        <w:t xml:space="preserve"> Dirección General de Obras Públicas; </w:t>
      </w:r>
    </w:p>
    <w:p w14:paraId="399B89E9" w14:textId="13482768" w:rsidR="00763E96" w:rsidRDefault="00763E96" w:rsidP="00763E96">
      <w:pPr>
        <w:pStyle w:val="Prrafodelista"/>
        <w:numPr>
          <w:ilvl w:val="0"/>
          <w:numId w:val="6"/>
        </w:numPr>
        <w:rPr>
          <w:i/>
          <w:iCs/>
          <w:sz w:val="22"/>
        </w:rPr>
      </w:pPr>
      <w:r w:rsidRPr="00763E96">
        <w:rPr>
          <w:i/>
          <w:iCs/>
          <w:sz w:val="22"/>
        </w:rPr>
        <w:t xml:space="preserve"> Dirección General de Educación y Cultura;  </w:t>
      </w:r>
    </w:p>
    <w:p w14:paraId="6796F716" w14:textId="77777777" w:rsidR="00763E96" w:rsidRDefault="00763E96" w:rsidP="00763E96">
      <w:pPr>
        <w:pStyle w:val="Prrafodelista"/>
        <w:numPr>
          <w:ilvl w:val="0"/>
          <w:numId w:val="6"/>
        </w:numPr>
        <w:rPr>
          <w:i/>
          <w:iCs/>
          <w:sz w:val="22"/>
        </w:rPr>
      </w:pPr>
      <w:r w:rsidRPr="00763E96">
        <w:rPr>
          <w:i/>
          <w:iCs/>
          <w:sz w:val="22"/>
        </w:rPr>
        <w:t>Dirección General de Desarrollo Económico;</w:t>
      </w:r>
    </w:p>
    <w:p w14:paraId="7FF5592B" w14:textId="77777777" w:rsidR="00304500" w:rsidRDefault="00763E96" w:rsidP="00763E96">
      <w:pPr>
        <w:pStyle w:val="Prrafodelista"/>
        <w:numPr>
          <w:ilvl w:val="0"/>
          <w:numId w:val="6"/>
        </w:numPr>
        <w:rPr>
          <w:i/>
          <w:iCs/>
          <w:sz w:val="22"/>
        </w:rPr>
      </w:pPr>
      <w:r w:rsidRPr="00763E96">
        <w:rPr>
          <w:i/>
          <w:iCs/>
          <w:sz w:val="22"/>
        </w:rPr>
        <w:t xml:space="preserve"> Guardia Civil Tecámac; </w:t>
      </w:r>
    </w:p>
    <w:p w14:paraId="00D4D824" w14:textId="026AB79E" w:rsidR="00763E96" w:rsidRDefault="00763E96" w:rsidP="00763E96">
      <w:pPr>
        <w:pStyle w:val="Prrafodelista"/>
        <w:numPr>
          <w:ilvl w:val="0"/>
          <w:numId w:val="6"/>
        </w:numPr>
        <w:rPr>
          <w:i/>
          <w:iCs/>
          <w:sz w:val="22"/>
        </w:rPr>
      </w:pPr>
      <w:r w:rsidRPr="00763E96">
        <w:rPr>
          <w:i/>
          <w:iCs/>
          <w:sz w:val="22"/>
        </w:rPr>
        <w:t xml:space="preserve"> Dirección General de Ecología y Administración del Medio Ambiente; </w:t>
      </w:r>
    </w:p>
    <w:p w14:paraId="57AB45A1" w14:textId="77777777" w:rsidR="00D06C89" w:rsidRDefault="00763E96" w:rsidP="00763E96">
      <w:pPr>
        <w:pStyle w:val="Prrafodelista"/>
        <w:numPr>
          <w:ilvl w:val="0"/>
          <w:numId w:val="6"/>
        </w:numPr>
        <w:rPr>
          <w:i/>
          <w:iCs/>
          <w:sz w:val="22"/>
        </w:rPr>
      </w:pPr>
      <w:r w:rsidRPr="00763E96">
        <w:rPr>
          <w:i/>
          <w:iCs/>
          <w:sz w:val="22"/>
        </w:rPr>
        <w:lastRenderedPageBreak/>
        <w:t xml:space="preserve">Dirección General de Planeación, Administración y Regulación del Territorio; </w:t>
      </w:r>
    </w:p>
    <w:p w14:paraId="41792918" w14:textId="77777777" w:rsidR="00D06C89" w:rsidRDefault="00763E96" w:rsidP="00763E96">
      <w:pPr>
        <w:pStyle w:val="Prrafodelista"/>
        <w:numPr>
          <w:ilvl w:val="0"/>
          <w:numId w:val="6"/>
        </w:numPr>
        <w:rPr>
          <w:i/>
          <w:iCs/>
          <w:sz w:val="22"/>
        </w:rPr>
      </w:pPr>
      <w:r w:rsidRPr="00763E96">
        <w:rPr>
          <w:i/>
          <w:iCs/>
          <w:sz w:val="22"/>
        </w:rPr>
        <w:t xml:space="preserve">Coordinación Municipal de Protección Civil y Bomberos; </w:t>
      </w:r>
    </w:p>
    <w:p w14:paraId="05C5EF8D" w14:textId="753F663F" w:rsidR="0075294D" w:rsidRPr="00763E96" w:rsidRDefault="00763E96" w:rsidP="00763E96">
      <w:pPr>
        <w:pStyle w:val="Prrafodelista"/>
        <w:numPr>
          <w:ilvl w:val="0"/>
          <w:numId w:val="6"/>
        </w:numPr>
        <w:rPr>
          <w:i/>
          <w:iCs/>
          <w:sz w:val="22"/>
        </w:rPr>
      </w:pPr>
      <w:r w:rsidRPr="00763E96">
        <w:rPr>
          <w:i/>
          <w:iCs/>
          <w:sz w:val="22"/>
        </w:rPr>
        <w:t xml:space="preserve"> Dirección General de la Agencia Municipal de Verificación Administrativa y Regulación.</w:t>
      </w:r>
      <w:r w:rsidR="0088257D">
        <w:rPr>
          <w:i/>
          <w:iCs/>
          <w:sz w:val="22"/>
        </w:rPr>
        <w:t>”</w:t>
      </w:r>
    </w:p>
    <w:p w14:paraId="62C5DBAD" w14:textId="77777777" w:rsidR="007644E9" w:rsidRDefault="007644E9" w:rsidP="007644E9">
      <w:pPr>
        <w:ind w:left="708"/>
        <w:rPr>
          <w:i/>
          <w:iCs/>
          <w:sz w:val="22"/>
        </w:rPr>
      </w:pPr>
    </w:p>
    <w:p w14:paraId="747DC9F3" w14:textId="34583018" w:rsidR="0075294D" w:rsidRPr="007644E9" w:rsidRDefault="0088257D" w:rsidP="007644E9">
      <w:pPr>
        <w:ind w:left="708"/>
        <w:rPr>
          <w:b/>
          <w:bCs/>
          <w:i/>
          <w:iCs/>
          <w:sz w:val="22"/>
          <w:shd w:val="clear" w:color="auto" w:fill="FFFFFF"/>
        </w:rPr>
      </w:pPr>
      <w:r>
        <w:rPr>
          <w:b/>
          <w:bCs/>
          <w:i/>
          <w:iCs/>
          <w:sz w:val="22"/>
        </w:rPr>
        <w:t>“</w:t>
      </w:r>
      <w:r w:rsidR="007644E9" w:rsidRPr="007644E9">
        <w:rPr>
          <w:b/>
          <w:bCs/>
          <w:i/>
          <w:iCs/>
          <w:sz w:val="22"/>
        </w:rPr>
        <w:t>Artículo 45. La Dirección General Jurídica y Consultiva auxilia a la Presidencia Municipal, la Sindicatura y los titulares de las áreas administrativas a efecto de otorgar certeza y validez jurídica a la actuación de las dependencias de la administración pública centralizada, descentralizada y organismos auxiliares, así como la homologación de esfuerzos en materia de mejora regulatoria</w:t>
      </w:r>
      <w:r w:rsidR="007644E9" w:rsidRPr="007644E9">
        <w:rPr>
          <w:i/>
          <w:iCs/>
          <w:sz w:val="22"/>
        </w:rPr>
        <w:t>. Por otro lado, es la responsable del funcionamiento de las Oficialías Mediadoras-Conciliadoras y/o Calificadoras Municipales, quienes desempeñaran las facultades y obligaciones que establece el artículo 150 de la Ley Orgánica Municipal del Estado de México, en el Juzgado Cívico Municipal.</w:t>
      </w:r>
      <w:r>
        <w:rPr>
          <w:i/>
          <w:iCs/>
          <w:sz w:val="22"/>
        </w:rPr>
        <w:t>”</w:t>
      </w:r>
    </w:p>
    <w:p w14:paraId="6B8ABC48" w14:textId="77777777" w:rsidR="0018777B" w:rsidRDefault="0018777B" w:rsidP="0018777B">
      <w:pPr>
        <w:rPr>
          <w:b/>
          <w:i/>
        </w:rPr>
      </w:pPr>
    </w:p>
    <w:p w14:paraId="106243B2" w14:textId="730F96C4" w:rsidR="00FB377B" w:rsidRDefault="00095DD8" w:rsidP="00FB377B">
      <w:r>
        <w:t>De l</w:t>
      </w:r>
      <w:r w:rsidR="0018777B" w:rsidRPr="00B23341">
        <w:t>o</w:t>
      </w:r>
      <w:r>
        <w:t xml:space="preserve"> anterior</w:t>
      </w:r>
      <w:r w:rsidR="00027226">
        <w:t xml:space="preserve"> se desprende que es por medio de la Dirección General Jurídica y Consultiva</w:t>
      </w:r>
      <w:r w:rsidR="004A2F76">
        <w:t xml:space="preserve"> que el ayuntamiento se auxilia</w:t>
      </w:r>
      <w:r w:rsidR="00027226">
        <w:t xml:space="preserve"> </w:t>
      </w:r>
      <w:r w:rsidR="001B698C">
        <w:t>de esta</w:t>
      </w:r>
      <w:r w:rsidR="00027226">
        <w:t xml:space="preserve"> área administrativa </w:t>
      </w:r>
      <w:r w:rsidR="001B698C">
        <w:t xml:space="preserve">para </w:t>
      </w:r>
      <w:r w:rsidR="00F53867">
        <w:t xml:space="preserve">otorgar certeza y validez jurídica </w:t>
      </w:r>
      <w:r w:rsidR="00633D1A">
        <w:t xml:space="preserve">por lo que en </w:t>
      </w:r>
      <w:r w:rsidR="008C3C80">
        <w:t>harás</w:t>
      </w:r>
      <w:r w:rsidR="00633D1A">
        <w:t xml:space="preserve"> de no violentar el derecho al acceso a la información el </w:t>
      </w:r>
      <w:r w:rsidR="000E288D">
        <w:t xml:space="preserve">Subsecretario Jurídico y de gobierno brindo respuesta por medio de una liga </w:t>
      </w:r>
      <w:r w:rsidR="00C279B8">
        <w:t xml:space="preserve">electrónica </w:t>
      </w:r>
      <w:r w:rsidR="008C3C80">
        <w:t xml:space="preserve">así como del Código Reglamentario del Ayuntamiento de Tecámac correspondiente al 2022-2024 </w:t>
      </w:r>
      <w:r w:rsidR="00F44791">
        <w:t xml:space="preserve">sin embargo </w:t>
      </w:r>
      <w:r w:rsidR="0061383B">
        <w:t xml:space="preserve">el Recurrente </w:t>
      </w:r>
      <w:r w:rsidR="001D10A6">
        <w:t>no impugno dicha liga electrónica</w:t>
      </w:r>
      <w:r w:rsidR="00E063B6">
        <w:t xml:space="preserve"> toda vez que</w:t>
      </w:r>
      <w:r w:rsidR="001D10A6">
        <w:t xml:space="preserve"> </w:t>
      </w:r>
      <w:r w:rsidR="00151484">
        <w:t xml:space="preserve">sus razones o motivos de inconformidad versan del archivo </w:t>
      </w:r>
      <w:r w:rsidR="00FB377B">
        <w:t>adjunto correspondiente al Código Reglamentario del Ayuntamiento de Tecámac correspondiente al 2022-2024.</w:t>
      </w:r>
    </w:p>
    <w:p w14:paraId="0102AE08" w14:textId="6295E96B" w:rsidR="00D85EE7" w:rsidRDefault="00D85EE7" w:rsidP="00D85EE7">
      <w:pPr>
        <w:contextualSpacing/>
      </w:pPr>
    </w:p>
    <w:p w14:paraId="50F75E5B" w14:textId="1FDD7AE8" w:rsidR="00D85EE7" w:rsidRPr="00D85EE7" w:rsidRDefault="00D85EE7" w:rsidP="00D85EE7">
      <w:pPr>
        <w:contextualSpacing/>
        <w:rPr>
          <w:rFonts w:eastAsia="MS Mincho" w:cs="Arial"/>
        </w:rPr>
      </w:pPr>
      <w:r w:rsidRPr="00D85EE7">
        <w:rPr>
          <w:rFonts w:eastAsia="MS Mincho" w:cs="Arial"/>
        </w:rPr>
        <w:lastRenderedPageBreak/>
        <w:t>Es necesario precisar que al no existir inconformidad de la información entregada</w:t>
      </w:r>
      <w:r w:rsidR="00492F75">
        <w:rPr>
          <w:rFonts w:eastAsia="MS Mincho" w:cs="Arial"/>
        </w:rPr>
        <w:t xml:space="preserve"> mediante la liga </w:t>
      </w:r>
      <w:r w:rsidR="008C3C80">
        <w:rPr>
          <w:rFonts w:eastAsia="MS Mincho" w:cs="Arial"/>
        </w:rPr>
        <w:t>electrónica</w:t>
      </w:r>
      <w:r w:rsidRPr="00D85EE7">
        <w:rPr>
          <w:rFonts w:eastAsia="MS Mincho" w:cs="Arial"/>
        </w:rPr>
        <w:t xml:space="preserve">, es que se tiene por </w:t>
      </w:r>
      <w:r w:rsidRPr="00D85EE7">
        <w:rPr>
          <w:color w:val="000000" w:themeColor="text1"/>
        </w:rPr>
        <w:t>consentida</w:t>
      </w:r>
      <w:r w:rsidRPr="00D85EE7">
        <w:rPr>
          <w:rFonts w:eastAsia="MS Mincho" w:cs="Arial"/>
        </w:rPr>
        <w:t>, ya</w:t>
      </w:r>
      <w:r w:rsidRPr="00D85EE7">
        <w:rPr>
          <w:rFonts w:cs="Arial"/>
          <w:b/>
          <w:bCs/>
        </w:rPr>
        <w:t xml:space="preserve"> </w:t>
      </w:r>
      <w:r w:rsidRPr="00D85EE7">
        <w:rPr>
          <w:rFonts w:cs="Arial"/>
        </w:rPr>
        <w:t xml:space="preserve">que la falta de impugnación respecto de los requerimientos que no fueron manifestados en el recurso de revisión, debe entenderse como </w:t>
      </w:r>
      <w:r w:rsidRPr="00D85EE7">
        <w:rPr>
          <w:rFonts w:cs="Arial"/>
          <w:b/>
          <w:bCs/>
        </w:rPr>
        <w:t>actos consentidos</w:t>
      </w:r>
      <w:r w:rsidRPr="00D85EE7">
        <w:rPr>
          <w:rFonts w:cs="Arial"/>
        </w:rPr>
        <w:t>.</w:t>
      </w:r>
    </w:p>
    <w:p w14:paraId="3CEBAFA3" w14:textId="77777777" w:rsidR="00D85EE7" w:rsidRPr="00D85EE7" w:rsidRDefault="00D85EE7" w:rsidP="00D85EE7">
      <w:pPr>
        <w:pStyle w:val="Prrafodelista"/>
        <w:ind w:left="0"/>
        <w:rPr>
          <w:rFonts w:eastAsia="MS Mincho" w:cs="Arial"/>
        </w:rPr>
      </w:pPr>
    </w:p>
    <w:p w14:paraId="38BDCD3E" w14:textId="77777777" w:rsidR="00D85EE7" w:rsidRPr="00D85EE7" w:rsidRDefault="00D85EE7" w:rsidP="00D85EE7">
      <w:pPr>
        <w:ind w:left="142"/>
        <w:contextualSpacing/>
        <w:rPr>
          <w:rFonts w:eastAsiaTheme="minorEastAsia" w:cs="Arial"/>
        </w:rPr>
      </w:pPr>
      <w:r w:rsidRPr="00D85EE7">
        <w:rPr>
          <w:rFonts w:eastAsia="MS Mincho" w:cs="Arial"/>
        </w:rPr>
        <w:t>Esto</w:t>
      </w:r>
      <w:r w:rsidRPr="00D85EE7">
        <w:rPr>
          <w:rFonts w:cs="Arial"/>
        </w:rPr>
        <w:t xml:space="preserve"> es así, debido a que cuando el recurrente impugna la respuesta del sujeto obligado y éste no </w:t>
      </w:r>
      <w:r w:rsidRPr="00D85EE7">
        <w:rPr>
          <w:rFonts w:eastAsia="MS Mincho" w:cstheme="majorBidi"/>
        </w:rPr>
        <w:t>expresa</w:t>
      </w:r>
      <w:r w:rsidRPr="00D85EE7">
        <w:rPr>
          <w:rFonts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47792DF" w14:textId="77777777" w:rsidR="00D85EE7" w:rsidRPr="00D85EE7" w:rsidRDefault="00D85EE7" w:rsidP="00D85EE7">
      <w:pPr>
        <w:pStyle w:val="Prrafodelista"/>
        <w:rPr>
          <w:rFonts w:cs="Arial"/>
        </w:rPr>
      </w:pPr>
    </w:p>
    <w:p w14:paraId="71CDDB33" w14:textId="0061CF5C" w:rsidR="00D85EE7" w:rsidRPr="00780DA2" w:rsidRDefault="00D85EE7" w:rsidP="00780DA2">
      <w:pPr>
        <w:pStyle w:val="Prrafodelista"/>
        <w:ind w:left="426" w:right="425"/>
        <w:rPr>
          <w:rFonts w:cs="Arial"/>
          <w:i/>
          <w:sz w:val="22"/>
          <w:szCs w:val="22"/>
        </w:rPr>
      </w:pPr>
      <w:r w:rsidRPr="00780DA2">
        <w:rPr>
          <w:rFonts w:cs="Arial"/>
          <w:b/>
          <w:bCs/>
          <w:i/>
          <w:iCs/>
          <w:sz w:val="22"/>
          <w:szCs w:val="22"/>
        </w:rPr>
        <w:t>“REVISIÓN EN AMPARO. LOS RESOLUTIVOS NO COMBATIDOS DEBEN DECLARARSE FIRMES. </w:t>
      </w:r>
      <w:r w:rsidRPr="00780DA2">
        <w:rPr>
          <w:rFonts w:cs="Arial"/>
          <w:i/>
          <w:iCs/>
          <w:sz w:val="22"/>
          <w:szCs w:val="22"/>
          <w:u w:val="single"/>
        </w:rPr>
        <w:t>Cuando algún resolutivo de la sentencia impugnada afecta a EL RECURRENTE, y ésta no expresa agravio en contra de las consideraciones que le sirven de base, dicho resolutivo debe declararse firme.</w:t>
      </w:r>
      <w:r w:rsidRPr="00780DA2">
        <w:rPr>
          <w:rFonts w:cs="Arial"/>
          <w:i/>
          <w:iCs/>
          <w:sz w:val="22"/>
          <w:szCs w:val="22"/>
        </w:rPr>
        <w:t> Esto es, en el caso referido, no obstante que la materia de la revisión comprende a todos los resolutivos que afectan a EL RECURRENTE, </w:t>
      </w:r>
      <w:r w:rsidRPr="00780DA2">
        <w:rPr>
          <w:rFonts w:cs="Arial"/>
          <w:i/>
          <w:iCs/>
          <w:sz w:val="22"/>
          <w:szCs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780DA2">
        <w:rPr>
          <w:rFonts w:cs="Arial"/>
          <w:i/>
          <w:iCs/>
          <w:sz w:val="22"/>
          <w:szCs w:val="22"/>
        </w:rPr>
        <w:t>.”</w:t>
      </w:r>
      <w:r w:rsidR="00780DA2">
        <w:rPr>
          <w:rFonts w:cs="Arial"/>
          <w:i/>
          <w:iCs/>
          <w:sz w:val="22"/>
          <w:szCs w:val="22"/>
        </w:rPr>
        <w:t xml:space="preserve"> </w:t>
      </w:r>
      <w:r w:rsidRPr="00780DA2">
        <w:rPr>
          <w:rFonts w:cs="Arial"/>
          <w:sz w:val="22"/>
          <w:szCs w:val="22"/>
        </w:rPr>
        <w:t>(Énfasis añadido)</w:t>
      </w:r>
    </w:p>
    <w:p w14:paraId="015F1A09" w14:textId="77777777" w:rsidR="00D85EE7" w:rsidRPr="00D85EE7" w:rsidRDefault="00D85EE7" w:rsidP="00D85EE7">
      <w:pPr>
        <w:pStyle w:val="Prrafodelista"/>
        <w:ind w:left="426" w:right="426"/>
        <w:jc w:val="center"/>
        <w:rPr>
          <w:rFonts w:cs="Arial"/>
        </w:rPr>
      </w:pPr>
    </w:p>
    <w:p w14:paraId="38766AF7" w14:textId="77777777" w:rsidR="00D85EE7" w:rsidRPr="00D85EE7" w:rsidRDefault="00D85EE7" w:rsidP="00D85EE7">
      <w:pPr>
        <w:contextualSpacing/>
        <w:rPr>
          <w:rFonts w:cs="Arial"/>
        </w:rPr>
      </w:pPr>
      <w:r w:rsidRPr="00D85EE7">
        <w:rPr>
          <w:rFonts w:cs="Arial"/>
        </w:rPr>
        <w:t xml:space="preserve">Consecutivamente, </w:t>
      </w:r>
      <w:r w:rsidRPr="00D85EE7">
        <w:rPr>
          <w:rFonts w:cs="Arial"/>
          <w:b/>
          <w:bCs/>
        </w:rPr>
        <w:t xml:space="preserve">la parte de la respuesta que no fue impugnada debe </w:t>
      </w:r>
      <w:r w:rsidRPr="00D85EE7">
        <w:rPr>
          <w:rFonts w:eastAsia="MS Mincho" w:cs="Arial"/>
        </w:rPr>
        <w:t>declararse</w:t>
      </w:r>
      <w:r w:rsidRPr="00D85EE7">
        <w:rPr>
          <w:rFonts w:cs="Arial"/>
          <w:b/>
          <w:bCs/>
        </w:rPr>
        <w:t xml:space="preserve"> </w:t>
      </w:r>
      <w:r w:rsidRPr="00D85EE7">
        <w:rPr>
          <w:rFonts w:eastAsia="MS Mincho" w:cs="Arial"/>
        </w:rPr>
        <w:t>consentida</w:t>
      </w:r>
      <w:r w:rsidRPr="00D85EE7">
        <w:rPr>
          <w:rFonts w:cs="Arial"/>
          <w:b/>
          <w:bCs/>
        </w:rPr>
        <w:t xml:space="preserve"> por el recurrente, toda vez que no realizó </w:t>
      </w:r>
      <w:r w:rsidRPr="00D85EE7">
        <w:rPr>
          <w:rFonts w:eastAsia="MS Mincho" w:cs="Arial"/>
        </w:rPr>
        <w:t>manifestaciones</w:t>
      </w:r>
      <w:r w:rsidRPr="00D85EE7">
        <w:rPr>
          <w:rFonts w:cs="Arial"/>
          <w:b/>
          <w:bCs/>
        </w:rPr>
        <w:t xml:space="preserve"> de inconformidad</w:t>
      </w:r>
      <w:r w:rsidRPr="00D85EE7">
        <w:rPr>
          <w:rFonts w:cs="Arial"/>
        </w:rPr>
        <w:t xml:space="preserve">; por lo que, no pueden producirse efectos jurídicos tendentes a revocar, </w:t>
      </w:r>
      <w:r w:rsidRPr="00D85EE7">
        <w:rPr>
          <w:rFonts w:cs="Arial"/>
        </w:rPr>
        <w:lastRenderedPageBreak/>
        <w:t>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31F25934" w14:textId="77777777" w:rsidR="00D85EE7" w:rsidRPr="00D85EE7" w:rsidRDefault="00D85EE7" w:rsidP="00D85EE7">
      <w:pPr>
        <w:rPr>
          <w:rFonts w:cs="Arial"/>
        </w:rPr>
      </w:pPr>
    </w:p>
    <w:p w14:paraId="17A7D17E" w14:textId="03A93DCF" w:rsidR="00D85EE7" w:rsidRPr="00780DA2" w:rsidRDefault="00D85EE7" w:rsidP="00780DA2">
      <w:pPr>
        <w:pStyle w:val="Prrafodelista"/>
        <w:ind w:left="426" w:right="425"/>
        <w:rPr>
          <w:rFonts w:cs="Arial"/>
          <w:i/>
          <w:iCs/>
          <w:sz w:val="22"/>
          <w:szCs w:val="22"/>
        </w:rPr>
      </w:pPr>
      <w:r w:rsidRPr="00780DA2">
        <w:rPr>
          <w:rFonts w:cs="Arial"/>
          <w:b/>
          <w:bCs/>
          <w:i/>
          <w:iCs/>
          <w:sz w:val="22"/>
          <w:szCs w:val="22"/>
        </w:rPr>
        <w:t>“ACTOS CONSENTIDOS. SON LOS QUE NO SE IMPUGNAN MEDIANTE EL RECURSO IDÓNEO. </w:t>
      </w:r>
      <w:r w:rsidRPr="00780DA2">
        <w:rPr>
          <w:rFonts w:cs="Arial"/>
          <w:i/>
          <w:iCs/>
          <w:sz w:val="22"/>
          <w:szCs w:val="22"/>
          <w:u w:val="single"/>
        </w:rPr>
        <w:t>Debe reputarse como consentido el acto que no se impugnó por el medio establecido por la ley</w:t>
      </w:r>
      <w:r w:rsidRPr="00780DA2">
        <w:rPr>
          <w:rFonts w:cs="Arial"/>
          <w:i/>
          <w:iCs/>
          <w:sz w:val="22"/>
          <w:szCs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780DA2">
        <w:rPr>
          <w:rFonts w:cs="Arial"/>
          <w:i/>
          <w:iCs/>
          <w:sz w:val="22"/>
          <w:szCs w:val="22"/>
        </w:rPr>
        <w:t xml:space="preserve"> </w:t>
      </w:r>
      <w:r w:rsidRPr="00780DA2">
        <w:rPr>
          <w:rFonts w:cs="Arial"/>
          <w:sz w:val="22"/>
          <w:szCs w:val="22"/>
        </w:rPr>
        <w:t>(Énfasis añadido)</w:t>
      </w:r>
    </w:p>
    <w:p w14:paraId="70CB9B02" w14:textId="77777777" w:rsidR="00780DA2" w:rsidRPr="00780DA2" w:rsidRDefault="00780DA2" w:rsidP="00E44A1C">
      <w:pPr>
        <w:pStyle w:val="Prrafodelista"/>
        <w:ind w:left="426" w:right="426"/>
        <w:rPr>
          <w:rFonts w:cs="Arial"/>
          <w:sz w:val="22"/>
          <w:szCs w:val="22"/>
        </w:rPr>
      </w:pPr>
    </w:p>
    <w:p w14:paraId="27AA27E2" w14:textId="5CE8058D" w:rsidR="00E44A1C" w:rsidRPr="00B23341" w:rsidRDefault="00D85EE7" w:rsidP="003D3DCD">
      <w:pPr>
        <w:pStyle w:val="Prrafodelista"/>
        <w:ind w:left="0"/>
        <w:contextualSpacing/>
      </w:pPr>
      <w:r w:rsidRPr="00D85EE7">
        <w:rPr>
          <w:color w:val="000000" w:themeColor="text1"/>
        </w:rPr>
        <w:t>Ya que el particular no se inconforma</w:t>
      </w:r>
      <w:r w:rsidR="00F44934">
        <w:rPr>
          <w:color w:val="000000" w:themeColor="text1"/>
        </w:rPr>
        <w:t xml:space="preserve"> por la liga electrónica</w:t>
      </w:r>
      <w:r w:rsidRPr="00D85EE7">
        <w:rPr>
          <w:color w:val="000000" w:themeColor="text1"/>
        </w:rPr>
        <w:t xml:space="preserve">, sino </w:t>
      </w:r>
      <w:r w:rsidRPr="00D85EE7">
        <w:t xml:space="preserve">porque </w:t>
      </w:r>
      <w:r w:rsidR="00F44934">
        <w:t>el código reglamentario no se encuentra vigente</w:t>
      </w:r>
      <w:r w:rsidRPr="00D85EE7">
        <w:t>.</w:t>
      </w:r>
      <w:r w:rsidR="003D3DCD">
        <w:t xml:space="preserve"> </w:t>
      </w:r>
      <w:r w:rsidR="00E44A1C" w:rsidRPr="00B23341">
        <w:t>Adicionalmente, es de destacar que este Órgano Garante no está facultado para manifestarse sobre la veracidad de lo afirmado por parte del Sujeto Obligado pues no existe precepto legal alguno en la Ley de la materia que lo faculte para ello.</w:t>
      </w:r>
    </w:p>
    <w:p w14:paraId="45C8BDED" w14:textId="77777777" w:rsidR="00E44A1C" w:rsidRPr="00B23341" w:rsidRDefault="00E44A1C" w:rsidP="00E44A1C">
      <w:pPr>
        <w:tabs>
          <w:tab w:val="left" w:pos="426"/>
        </w:tabs>
        <w:ind w:right="49"/>
        <w:contextualSpacing/>
      </w:pPr>
    </w:p>
    <w:p w14:paraId="412B091C" w14:textId="77777777" w:rsidR="00E44A1C" w:rsidRPr="00B23341" w:rsidRDefault="00E44A1C" w:rsidP="00E44A1C">
      <w:pPr>
        <w:tabs>
          <w:tab w:val="left" w:pos="426"/>
        </w:tabs>
        <w:ind w:right="49"/>
        <w:contextualSpacing/>
        <w:rPr>
          <w:rFonts w:eastAsia="MS Mincho"/>
          <w:color w:val="000000"/>
        </w:rPr>
      </w:pPr>
      <w:r w:rsidRPr="00B23341">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2B09531C" w14:textId="77777777" w:rsidR="00E44A1C" w:rsidRDefault="00E44A1C" w:rsidP="00E44A1C">
      <w:pPr>
        <w:tabs>
          <w:tab w:val="left" w:pos="426"/>
        </w:tabs>
        <w:ind w:right="49"/>
        <w:contextualSpacing/>
        <w:rPr>
          <w:rFonts w:eastAsia="MS Mincho"/>
          <w:color w:val="000000"/>
        </w:rPr>
      </w:pPr>
    </w:p>
    <w:p w14:paraId="1FC62E25" w14:textId="77777777" w:rsidR="00E44A1C" w:rsidRPr="003D3DCD" w:rsidRDefault="00E44A1C" w:rsidP="00E44A1C">
      <w:pPr>
        <w:tabs>
          <w:tab w:val="left" w:pos="426"/>
        </w:tabs>
        <w:ind w:left="708" w:right="49"/>
        <w:contextualSpacing/>
        <w:rPr>
          <w:rFonts w:eastAsia="MS Mincho"/>
          <w:i/>
          <w:color w:val="000000"/>
          <w:sz w:val="22"/>
        </w:rPr>
      </w:pPr>
      <w:r w:rsidRPr="00B23341">
        <w:rPr>
          <w:i/>
        </w:rPr>
        <w:t>“</w:t>
      </w:r>
      <w:r w:rsidRPr="003D3DCD">
        <w:rPr>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w:t>
      </w:r>
      <w:r w:rsidRPr="003D3DCD">
        <w:rPr>
          <w:i/>
          <w:sz w:val="22"/>
        </w:rPr>
        <w:lastRenderedPageBreak/>
        <w:t>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392D0F" w14:textId="77777777" w:rsidR="00D85EE7" w:rsidRDefault="00D85EE7" w:rsidP="00D85EE7">
      <w:pPr>
        <w:rPr>
          <w:color w:val="000000" w:themeColor="text1"/>
        </w:rPr>
      </w:pPr>
    </w:p>
    <w:p w14:paraId="70436124" w14:textId="29C1B79C" w:rsidR="00C843C2" w:rsidRPr="00C843C2" w:rsidRDefault="004C4947" w:rsidP="009953A1">
      <w:pPr>
        <w:ind w:right="49"/>
        <w:rPr>
          <w:szCs w:val="24"/>
        </w:rPr>
      </w:pPr>
      <w:r w:rsidRPr="00B23341">
        <w:t>En ese senti</w:t>
      </w:r>
      <w:r>
        <w:t>do</w:t>
      </w:r>
      <w:r w:rsidR="002E0B9A">
        <w:t xml:space="preserve"> conforme l</w:t>
      </w:r>
      <w:r w:rsidR="00AD6481">
        <w:t xml:space="preserve">as razones y motivos de inconformidad del Recurrente este Órgano Garante realizo una búsqueda </w:t>
      </w:r>
      <w:r w:rsidR="0090577E">
        <w:t>respecto lo siguiente “</w:t>
      </w:r>
      <w:r w:rsidR="0090577E">
        <w:rPr>
          <w:i/>
          <w:iCs/>
        </w:rPr>
        <w:t xml:space="preserve">en </w:t>
      </w:r>
      <w:r w:rsidR="0090577E" w:rsidRPr="0090577E">
        <w:rPr>
          <w:i/>
          <w:iCs/>
          <w:color w:val="000000"/>
          <w:szCs w:val="24"/>
        </w:rPr>
        <w:t>el mes de julio hubo una reforma en el artículo 47 del bando municipal donde desaparece el estado mayor y la unidad de intervención táctica, en la décima séptima sesión ordinaria.</w:t>
      </w:r>
      <w:r w:rsidR="0090577E">
        <w:rPr>
          <w:i/>
          <w:iCs/>
          <w:color w:val="000000"/>
          <w:szCs w:val="24"/>
        </w:rPr>
        <w:t>”</w:t>
      </w:r>
      <w:r w:rsidR="00032435">
        <w:rPr>
          <w:i/>
          <w:iCs/>
          <w:color w:val="000000"/>
          <w:szCs w:val="24"/>
        </w:rPr>
        <w:t xml:space="preserve"> </w:t>
      </w:r>
      <w:r w:rsidR="00032435">
        <w:rPr>
          <w:color w:val="000000"/>
          <w:szCs w:val="24"/>
        </w:rPr>
        <w:t xml:space="preserve">; llegando </w:t>
      </w:r>
      <w:r w:rsidR="009953A1">
        <w:rPr>
          <w:color w:val="000000"/>
          <w:szCs w:val="24"/>
        </w:rPr>
        <w:t>al  acuerdo por medio del cual se reforma el artículo 47 del Bando Municipal de Tecámac, referente a la Guardia Civil de Tecámac</w:t>
      </w:r>
      <w:r w:rsidR="00AF05C4">
        <w:rPr>
          <w:color w:val="000000"/>
          <w:szCs w:val="24"/>
        </w:rPr>
        <w:t xml:space="preserve">, susceptible de ser consultada en la siguiente liga electrónica: </w:t>
      </w:r>
      <w:hyperlink r:id="rId13" w:history="1">
        <w:r w:rsidR="00AF05C4" w:rsidRPr="00B84B39">
          <w:rPr>
            <w:rStyle w:val="Hipervnculo"/>
            <w:szCs w:val="24"/>
          </w:rPr>
          <w:t>https://tecamac.gob.mx/docs/gacetas2023/Gaceta%20No.21.pdf</w:t>
        </w:r>
      </w:hyperlink>
      <w:r w:rsidR="00E44A1C">
        <w:rPr>
          <w:color w:val="000000"/>
          <w:szCs w:val="24"/>
        </w:rPr>
        <w:t>.</w:t>
      </w:r>
    </w:p>
    <w:p w14:paraId="08DE452D" w14:textId="24CBC96D" w:rsidR="00027226" w:rsidRDefault="00027226" w:rsidP="00061D32">
      <w:pPr>
        <w:ind w:right="49"/>
      </w:pPr>
    </w:p>
    <w:p w14:paraId="52AE0E69" w14:textId="67657AFC" w:rsidR="004A2F76" w:rsidRDefault="00144550" w:rsidP="00061D32">
      <w:pPr>
        <w:ind w:right="49"/>
      </w:pPr>
      <w:r>
        <w:t xml:space="preserve">De lo anterior </w:t>
      </w:r>
      <w:r w:rsidR="00F76A35">
        <w:t xml:space="preserve">es necesario establecer que </w:t>
      </w:r>
      <w:r w:rsidR="00621BE1">
        <w:t xml:space="preserve">conforme el artículo </w:t>
      </w:r>
      <w:r w:rsidR="00D10B33">
        <w:t>4</w:t>
      </w:r>
      <w:r w:rsidR="00AE396B">
        <w:t xml:space="preserve"> fracción II y IV</w:t>
      </w:r>
      <w:r w:rsidR="00D10B33">
        <w:t xml:space="preserve"> del Bando Municipal de Tecámac el Bando municipal y el código reglamentario son dos ordenamientos jurídicos que auxilian </w:t>
      </w:r>
      <w:r w:rsidR="00DB0ED8">
        <w:t>al municipio</w:t>
      </w:r>
      <w:r w:rsidR="00771EAD">
        <w:t xml:space="preserve">, </w:t>
      </w:r>
      <w:r w:rsidR="006B38B7">
        <w:t>en los siguientes términos</w:t>
      </w:r>
      <w:r w:rsidR="00B16EDA">
        <w:t>;</w:t>
      </w:r>
    </w:p>
    <w:p w14:paraId="21B9218D" w14:textId="77777777" w:rsidR="00B16EDA" w:rsidRDefault="00B16EDA" w:rsidP="00061D32">
      <w:pPr>
        <w:ind w:right="49"/>
      </w:pPr>
    </w:p>
    <w:p w14:paraId="6E0D2096" w14:textId="35EBC1BE" w:rsidR="00AE396B" w:rsidRPr="00B16EDA" w:rsidRDefault="00082759" w:rsidP="00AE396B">
      <w:pPr>
        <w:ind w:left="708" w:right="49"/>
        <w:rPr>
          <w:b/>
          <w:bCs/>
          <w:sz w:val="22"/>
        </w:rPr>
      </w:pPr>
      <w:r>
        <w:rPr>
          <w:b/>
          <w:bCs/>
          <w:sz w:val="22"/>
        </w:rPr>
        <w:t>“</w:t>
      </w:r>
      <w:r w:rsidR="00AE396B" w:rsidRPr="00B16EDA">
        <w:rPr>
          <w:b/>
          <w:bCs/>
          <w:sz w:val="22"/>
        </w:rPr>
        <w:t xml:space="preserve">Artículo 4. Para los efectos del presente Bando Municipal se entenderá por: </w:t>
      </w:r>
    </w:p>
    <w:p w14:paraId="5C93A6C9" w14:textId="208FF5EB" w:rsidR="00AE396B" w:rsidRPr="00082759" w:rsidRDefault="00AE396B" w:rsidP="00AE396B">
      <w:pPr>
        <w:pStyle w:val="Prrafodelista"/>
        <w:numPr>
          <w:ilvl w:val="0"/>
          <w:numId w:val="9"/>
        </w:numPr>
        <w:ind w:right="49"/>
        <w:rPr>
          <w:sz w:val="22"/>
          <w:szCs w:val="22"/>
        </w:rPr>
      </w:pPr>
      <w:r w:rsidRPr="00082759">
        <w:rPr>
          <w:sz w:val="22"/>
          <w:szCs w:val="22"/>
        </w:rPr>
        <w:t>(…)</w:t>
      </w:r>
    </w:p>
    <w:p w14:paraId="32F66000" w14:textId="60B82529" w:rsidR="006B38B7" w:rsidRPr="00B16EDA" w:rsidRDefault="00AE396B" w:rsidP="00E44F5F">
      <w:pPr>
        <w:pStyle w:val="Prrafodelista"/>
        <w:numPr>
          <w:ilvl w:val="0"/>
          <w:numId w:val="9"/>
        </w:numPr>
        <w:ind w:right="49"/>
        <w:rPr>
          <w:b/>
          <w:bCs/>
          <w:sz w:val="22"/>
          <w:szCs w:val="22"/>
        </w:rPr>
      </w:pPr>
      <w:r w:rsidRPr="00B16EDA">
        <w:rPr>
          <w:b/>
          <w:bCs/>
          <w:sz w:val="22"/>
          <w:szCs w:val="22"/>
        </w:rPr>
        <w:t xml:space="preserve">Bando Municipal: Al presente ordenamiento; </w:t>
      </w:r>
    </w:p>
    <w:p w14:paraId="427567C9" w14:textId="53185443" w:rsidR="00E44F5F" w:rsidRPr="00082759" w:rsidRDefault="00E44F5F" w:rsidP="00E44F5F">
      <w:pPr>
        <w:pStyle w:val="Prrafodelista"/>
        <w:numPr>
          <w:ilvl w:val="0"/>
          <w:numId w:val="9"/>
        </w:numPr>
        <w:ind w:right="49"/>
        <w:rPr>
          <w:sz w:val="22"/>
          <w:szCs w:val="22"/>
        </w:rPr>
      </w:pPr>
    </w:p>
    <w:p w14:paraId="7715E661" w14:textId="6E4CB13D" w:rsidR="00E44F5F" w:rsidRDefault="00B16EDA" w:rsidP="00E44F5F">
      <w:pPr>
        <w:pStyle w:val="Prrafodelista"/>
        <w:numPr>
          <w:ilvl w:val="0"/>
          <w:numId w:val="9"/>
        </w:numPr>
        <w:ind w:right="49"/>
        <w:rPr>
          <w:b/>
          <w:bCs/>
          <w:sz w:val="22"/>
          <w:szCs w:val="22"/>
        </w:rPr>
      </w:pPr>
      <w:r w:rsidRPr="00B16EDA">
        <w:rPr>
          <w:b/>
          <w:bCs/>
          <w:sz w:val="22"/>
          <w:szCs w:val="22"/>
        </w:rPr>
        <w:t>Código Reglamentario: Al Código Reglamentario Municipal de Tecámac, Estado de México;</w:t>
      </w:r>
    </w:p>
    <w:p w14:paraId="6FD3DC85" w14:textId="07571BB7" w:rsidR="00082759" w:rsidRPr="00B16EDA" w:rsidRDefault="00082759" w:rsidP="00082759">
      <w:pPr>
        <w:pStyle w:val="Prrafodelista"/>
        <w:ind w:left="2136" w:right="49"/>
        <w:rPr>
          <w:b/>
          <w:bCs/>
          <w:sz w:val="22"/>
          <w:szCs w:val="22"/>
        </w:rPr>
      </w:pPr>
      <w:r>
        <w:rPr>
          <w:b/>
          <w:bCs/>
          <w:sz w:val="22"/>
          <w:szCs w:val="22"/>
        </w:rPr>
        <w:t>(</w:t>
      </w:r>
      <w:r w:rsidRPr="00082759">
        <w:rPr>
          <w:sz w:val="22"/>
          <w:szCs w:val="22"/>
        </w:rPr>
        <w:t>…)”</w:t>
      </w:r>
    </w:p>
    <w:p w14:paraId="68C4BF5F" w14:textId="77777777" w:rsidR="000F3893" w:rsidRDefault="000F3893" w:rsidP="00061D32">
      <w:pPr>
        <w:ind w:right="49"/>
      </w:pPr>
    </w:p>
    <w:p w14:paraId="0849C56D" w14:textId="118BBB9C" w:rsidR="0018777B" w:rsidRPr="00C66B92" w:rsidRDefault="00D1471C" w:rsidP="00C66B92">
      <w:pPr>
        <w:ind w:right="49"/>
      </w:pPr>
      <w:r>
        <w:t xml:space="preserve">En este sentido se debe precisar que </w:t>
      </w:r>
      <w:r w:rsidR="006B76EC">
        <w:t>las manifestaciones d</w:t>
      </w:r>
      <w:r>
        <w:t>el Recurrente</w:t>
      </w:r>
      <w:r w:rsidR="00B33ECD">
        <w:t xml:space="preserve"> </w:t>
      </w:r>
      <w:r w:rsidR="006B76EC">
        <w:t>se refieren a una reforma del Bando Municipal</w:t>
      </w:r>
      <w:r w:rsidR="00BB317C">
        <w:t xml:space="preserve"> p</w:t>
      </w:r>
      <w:r w:rsidR="00082759">
        <w:t xml:space="preserve">or lo </w:t>
      </w:r>
      <w:r w:rsidR="0018777B" w:rsidRPr="00B23341">
        <w:t xml:space="preserve">que </w:t>
      </w:r>
      <w:r w:rsidR="00BB317C">
        <w:t xml:space="preserve">la respuesta otorgada </w:t>
      </w:r>
      <w:r w:rsidR="0031110C">
        <w:t>mediante archivo adjunto</w:t>
      </w:r>
      <w:r w:rsidR="00BB317C">
        <w:t xml:space="preserve"> en</w:t>
      </w:r>
      <w:r w:rsidR="0031110C">
        <w:t xml:space="preserve">  respuesta primigenia satisface plenamente la solicitud del </w:t>
      </w:r>
      <w:r w:rsidR="000B4611">
        <w:t xml:space="preserve">Recurrente al Brindarle el Código Reglamentario </w:t>
      </w:r>
      <w:r w:rsidR="00C85251">
        <w:t xml:space="preserve">vigente </w:t>
      </w:r>
      <w:r w:rsidR="000B4611">
        <w:t>del Ayuntamiento de Tecámac</w:t>
      </w:r>
      <w:r w:rsidR="00C66B92">
        <w:t xml:space="preserve">. </w:t>
      </w:r>
      <w:r w:rsidR="0018777B" w:rsidRPr="00637AC7">
        <w:rPr>
          <w:rFonts w:eastAsia="Arial Unicode MS" w:cs="Arial"/>
        </w:rPr>
        <w:t>En mérito de lo ex</w:t>
      </w:r>
      <w:r w:rsidR="0018777B" w:rsidRPr="00637AC7">
        <w:rPr>
          <w:rFonts w:cs="Arial"/>
        </w:rPr>
        <w:t>puesto en líneas anteriores c</w:t>
      </w:r>
      <w:r w:rsidR="0018777B">
        <w:rPr>
          <w:rFonts w:cs="Arial"/>
        </w:rPr>
        <w:t>on fundamento en la fracción II</w:t>
      </w:r>
      <w:r w:rsidR="0018777B" w:rsidRPr="00637AC7">
        <w:rPr>
          <w:rFonts w:cs="Arial"/>
        </w:rPr>
        <w:t xml:space="preserve"> del artículo 186, de la Ley de Transparencia y Acceso a la Información Pública del Estado de México y Municipios, se </w:t>
      </w:r>
      <w:r w:rsidR="0018777B">
        <w:rPr>
          <w:rFonts w:cs="Arial"/>
          <w:b/>
        </w:rPr>
        <w:t xml:space="preserve">CONFIRMA </w:t>
      </w:r>
      <w:r w:rsidR="0018777B" w:rsidRPr="00637AC7">
        <w:rPr>
          <w:rFonts w:cs="Arial"/>
        </w:rPr>
        <w:t>la respuesta del sujeto obligado a la solicitud de información número</w:t>
      </w:r>
      <w:r w:rsidR="00C66B92" w:rsidRPr="00C66B92">
        <w:rPr>
          <w:rFonts w:ascii="Verdana" w:hAnsi="Verdana"/>
          <w:b/>
          <w:bCs/>
          <w:color w:val="FF0000"/>
        </w:rPr>
        <w:t xml:space="preserve"> </w:t>
      </w:r>
      <w:r w:rsidR="00C66B92" w:rsidRPr="00C66B92">
        <w:rPr>
          <w:b/>
          <w:bCs/>
          <w:szCs w:val="24"/>
        </w:rPr>
        <w:t>00364/TECAMAC/IP/2023</w:t>
      </w:r>
      <w:r w:rsidR="0018777B" w:rsidRPr="00C66B92">
        <w:rPr>
          <w:rFonts w:cs="Arial"/>
          <w:b/>
          <w:szCs w:val="24"/>
        </w:rPr>
        <w:t>,</w:t>
      </w:r>
      <w:r w:rsidR="0018777B" w:rsidRPr="00C66B92">
        <w:rPr>
          <w:rFonts w:cs="Arial"/>
          <w:b/>
          <w:sz w:val="20"/>
          <w:szCs w:val="20"/>
        </w:rPr>
        <w:t xml:space="preserve"> </w:t>
      </w:r>
      <w:r w:rsidR="0018777B" w:rsidRPr="00637AC7">
        <w:rPr>
          <w:rFonts w:cs="Arial"/>
        </w:rPr>
        <w:t>que ha sido materia del presente fallo.</w:t>
      </w:r>
    </w:p>
    <w:p w14:paraId="11278D1D" w14:textId="77777777" w:rsidR="0018777B" w:rsidRDefault="0018777B" w:rsidP="0018777B">
      <w:pPr>
        <w:autoSpaceDE w:val="0"/>
        <w:autoSpaceDN w:val="0"/>
        <w:adjustRightInd w:val="0"/>
        <w:rPr>
          <w:rFonts w:eastAsiaTheme="minorHAnsi" w:cs="Arial"/>
          <w:szCs w:val="24"/>
        </w:rPr>
      </w:pPr>
    </w:p>
    <w:p w14:paraId="5843FDB5" w14:textId="1247AB3C" w:rsidR="0018777B" w:rsidRPr="00546F89" w:rsidRDefault="0018777B" w:rsidP="0018777B">
      <w:pPr>
        <w:rPr>
          <w:szCs w:val="24"/>
        </w:rPr>
      </w:pPr>
      <w:r>
        <w:rPr>
          <w:szCs w:val="24"/>
        </w:rPr>
        <w:t xml:space="preserve">Por lo antes expuesto y fundado. </w:t>
      </w:r>
    </w:p>
    <w:p w14:paraId="4368E2E5" w14:textId="77777777" w:rsidR="0018777B" w:rsidRPr="00693D2D" w:rsidRDefault="0018777B" w:rsidP="0018777B">
      <w:pPr>
        <w:rPr>
          <w:rFonts w:cstheme="minorBidi"/>
          <w:szCs w:val="24"/>
        </w:rPr>
      </w:pPr>
    </w:p>
    <w:p w14:paraId="29D53260" w14:textId="77777777" w:rsidR="0018777B" w:rsidRDefault="0018777B" w:rsidP="0018777B">
      <w:pPr>
        <w:jc w:val="center"/>
        <w:rPr>
          <w:rFonts w:cstheme="minorBidi"/>
          <w:b/>
          <w:bCs/>
          <w:spacing w:val="60"/>
          <w:szCs w:val="24"/>
        </w:rPr>
      </w:pPr>
      <w:r>
        <w:rPr>
          <w:b/>
          <w:bCs/>
          <w:spacing w:val="60"/>
          <w:szCs w:val="24"/>
        </w:rPr>
        <w:t>SE    RESUELVE</w:t>
      </w:r>
    </w:p>
    <w:p w14:paraId="72FA55C7" w14:textId="77777777" w:rsidR="0018777B" w:rsidRDefault="0018777B" w:rsidP="0018777B">
      <w:pPr>
        <w:rPr>
          <w:rFonts w:cs="Arial"/>
          <w:b/>
          <w:szCs w:val="24"/>
        </w:rPr>
      </w:pPr>
    </w:p>
    <w:p w14:paraId="4F8F4116" w14:textId="4A03E3D1" w:rsidR="00616549" w:rsidRPr="00616549" w:rsidRDefault="00616549" w:rsidP="00546F89">
      <w:pPr>
        <w:rPr>
          <w:rFonts w:eastAsia="Times New Roman" w:cs="Arial"/>
          <w:szCs w:val="24"/>
          <w:lang w:val="es-MX" w:eastAsia="en-US"/>
        </w:rPr>
      </w:pPr>
      <w:r w:rsidRPr="00616549">
        <w:rPr>
          <w:rFonts w:eastAsia="Times New Roman" w:cs="Arial"/>
          <w:b/>
          <w:sz w:val="28"/>
          <w:szCs w:val="28"/>
          <w:lang w:eastAsia="en-US"/>
        </w:rPr>
        <w:t>PRIMERO.</w:t>
      </w:r>
      <w:r w:rsidRPr="00616549">
        <w:rPr>
          <w:rFonts w:eastAsia="Times New Roman" w:cs="Arial"/>
          <w:sz w:val="22"/>
          <w:lang w:eastAsia="en-US"/>
        </w:rPr>
        <w:t xml:space="preserve"> </w:t>
      </w:r>
      <w:r w:rsidRPr="00616549">
        <w:rPr>
          <w:rFonts w:eastAsia="Times New Roman" w:cs="Arial"/>
          <w:szCs w:val="24"/>
          <w:lang w:eastAsia="en-US"/>
        </w:rPr>
        <w:t xml:space="preserve">Se </w:t>
      </w:r>
      <w:r w:rsidRPr="00616549">
        <w:rPr>
          <w:rFonts w:eastAsia="Times New Roman" w:cs="Arial"/>
          <w:b/>
          <w:szCs w:val="24"/>
          <w:lang w:eastAsia="en-US"/>
        </w:rPr>
        <w:t xml:space="preserve">CONFIRMA </w:t>
      </w:r>
      <w:r w:rsidRPr="00616549">
        <w:rPr>
          <w:rFonts w:eastAsia="Times New Roman" w:cs="Arial"/>
          <w:bCs/>
          <w:szCs w:val="24"/>
          <w:lang w:eastAsia="en-US"/>
        </w:rPr>
        <w:t xml:space="preserve">la respuesta entregada por </w:t>
      </w:r>
      <w:r w:rsidRPr="00616549">
        <w:rPr>
          <w:rFonts w:eastAsia="Times New Roman" w:cs="Arial"/>
          <w:b/>
          <w:szCs w:val="24"/>
          <w:lang w:eastAsia="en-US"/>
        </w:rPr>
        <w:t xml:space="preserve">El Sujeto Obligado </w:t>
      </w:r>
      <w:r w:rsidRPr="00616549">
        <w:rPr>
          <w:rFonts w:eastAsia="Times New Roman" w:cs="Arial"/>
          <w:bCs/>
          <w:szCs w:val="24"/>
          <w:lang w:eastAsia="en-US"/>
        </w:rPr>
        <w:t xml:space="preserve">a la solicitud de información número </w:t>
      </w:r>
      <w:r w:rsidRPr="00C66B92">
        <w:rPr>
          <w:b/>
          <w:bCs/>
          <w:szCs w:val="24"/>
        </w:rPr>
        <w:t>00364/TECAMAC/IP/2023</w:t>
      </w:r>
      <w:r w:rsidRPr="00616549">
        <w:rPr>
          <w:rFonts w:eastAsia="Times New Roman" w:cs="Arial"/>
          <w:b/>
          <w:szCs w:val="24"/>
          <w:lang w:eastAsia="en-US"/>
        </w:rPr>
        <w:t xml:space="preserve">, </w:t>
      </w:r>
      <w:r w:rsidRPr="00616549">
        <w:rPr>
          <w:rFonts w:eastAsia="Times New Roman" w:cs="Arial"/>
          <w:bCs/>
          <w:szCs w:val="24"/>
          <w:lang w:eastAsia="en-US"/>
        </w:rPr>
        <w:t xml:space="preserve">por resultar infundados los motivos de inconformidad que arguye </w:t>
      </w:r>
      <w:r w:rsidRPr="00616549">
        <w:rPr>
          <w:rFonts w:eastAsia="Times New Roman" w:cs="Arial"/>
          <w:b/>
          <w:szCs w:val="24"/>
          <w:lang w:eastAsia="en-US"/>
        </w:rPr>
        <w:t xml:space="preserve">EL RECURRENTE, </w:t>
      </w:r>
      <w:r w:rsidRPr="00616549">
        <w:rPr>
          <w:rFonts w:eastAsia="Times New Roman" w:cs="Arial"/>
          <w:bCs/>
          <w:szCs w:val="24"/>
          <w:lang w:eastAsia="en-US"/>
        </w:rPr>
        <w:t xml:space="preserve">en términos del </w:t>
      </w:r>
      <w:r w:rsidRPr="00616549">
        <w:rPr>
          <w:rFonts w:eastAsia="Times New Roman" w:cs="Arial"/>
          <w:b/>
          <w:szCs w:val="24"/>
          <w:lang w:val="es-MX" w:eastAsia="en-US"/>
        </w:rPr>
        <w:t>Considerando CUARTO</w:t>
      </w:r>
      <w:r w:rsidRPr="00616549">
        <w:rPr>
          <w:rFonts w:eastAsia="Times New Roman" w:cs="Arial"/>
          <w:szCs w:val="24"/>
          <w:lang w:val="es-MX" w:eastAsia="en-US"/>
        </w:rPr>
        <w:t xml:space="preserve"> de la presente resolución.</w:t>
      </w:r>
    </w:p>
    <w:p w14:paraId="45C0CD19" w14:textId="77777777" w:rsidR="00616549" w:rsidRPr="00616549" w:rsidRDefault="00616549" w:rsidP="00546F89">
      <w:pPr>
        <w:autoSpaceDE w:val="0"/>
        <w:autoSpaceDN w:val="0"/>
        <w:adjustRightInd w:val="0"/>
        <w:rPr>
          <w:rFonts w:eastAsia="Times New Roman" w:cs="Arial"/>
          <w:b/>
          <w:szCs w:val="24"/>
          <w:lang w:val="es-MX" w:eastAsia="en-US"/>
        </w:rPr>
      </w:pPr>
      <w:r w:rsidRPr="00616549">
        <w:rPr>
          <w:rFonts w:eastAsia="Times New Roman" w:cs="Arial"/>
          <w:b/>
          <w:sz w:val="28"/>
          <w:szCs w:val="28"/>
          <w:lang w:val="es-MX" w:eastAsia="en-US"/>
        </w:rPr>
        <w:lastRenderedPageBreak/>
        <w:t>SEGUNDO.</w:t>
      </w:r>
      <w:r w:rsidRPr="00616549">
        <w:rPr>
          <w:rFonts w:eastAsia="Times New Roman" w:cs="Arial"/>
          <w:b/>
          <w:szCs w:val="24"/>
          <w:lang w:val="es-MX" w:eastAsia="en-US"/>
        </w:rPr>
        <w:t xml:space="preserve"> Notifíquese</w:t>
      </w:r>
      <w:r w:rsidRPr="00616549">
        <w:rPr>
          <w:rFonts w:eastAsia="Times New Roman" w:cs="Arial"/>
          <w:b/>
          <w:i/>
          <w:szCs w:val="24"/>
          <w:lang w:val="es-MX" w:eastAsia="en-US"/>
        </w:rPr>
        <w:t xml:space="preserve"> </w:t>
      </w:r>
      <w:r w:rsidRPr="00616549">
        <w:rPr>
          <w:rFonts w:eastAsia="Times New Roman" w:cs="Arial"/>
          <w:szCs w:val="24"/>
          <w:lang w:val="es-MX" w:eastAsia="en-US"/>
        </w:rPr>
        <w:t xml:space="preserve">la presente resolución al Titular de la Unidad de Transparencia del </w:t>
      </w:r>
      <w:r w:rsidRPr="00616549">
        <w:rPr>
          <w:rFonts w:eastAsia="Times New Roman" w:cs="Arial"/>
          <w:b/>
          <w:szCs w:val="24"/>
          <w:lang w:val="es-MX" w:eastAsia="en-US"/>
        </w:rPr>
        <w:t xml:space="preserve">SUJETO OBLIGADO </w:t>
      </w:r>
      <w:r w:rsidRPr="00616549">
        <w:rPr>
          <w:rFonts w:eastAsia="Times New Roman" w:cs="Arial"/>
          <w:szCs w:val="24"/>
          <w:lang w:val="es-MX" w:eastAsia="en-US"/>
        </w:rPr>
        <w:t xml:space="preserve">a través del Sistema de Acceso a la Información Mexiquense </w:t>
      </w:r>
      <w:r w:rsidRPr="00616549">
        <w:rPr>
          <w:rFonts w:eastAsia="Times New Roman" w:cs="Arial"/>
          <w:b/>
          <w:szCs w:val="24"/>
          <w:lang w:val="es-MX" w:eastAsia="en-US"/>
        </w:rPr>
        <w:t xml:space="preserve">(SAIMEX).  </w:t>
      </w:r>
    </w:p>
    <w:p w14:paraId="10890556" w14:textId="77777777" w:rsidR="00616549" w:rsidRPr="00616549" w:rsidRDefault="00616549" w:rsidP="00546F89">
      <w:pPr>
        <w:autoSpaceDE w:val="0"/>
        <w:autoSpaceDN w:val="0"/>
        <w:adjustRightInd w:val="0"/>
        <w:rPr>
          <w:rFonts w:eastAsia="Times New Roman" w:cs="Arial"/>
          <w:b/>
          <w:szCs w:val="24"/>
          <w:lang w:val="es-MX" w:eastAsia="en-US"/>
        </w:rPr>
      </w:pPr>
    </w:p>
    <w:p w14:paraId="739E7221" w14:textId="77777777" w:rsidR="00616549" w:rsidRPr="00616549" w:rsidRDefault="00616549" w:rsidP="00616549">
      <w:pPr>
        <w:autoSpaceDE w:val="0"/>
        <w:autoSpaceDN w:val="0"/>
        <w:adjustRightInd w:val="0"/>
        <w:spacing w:before="240" w:after="160"/>
        <w:rPr>
          <w:rFonts w:eastAsia="Times New Roman" w:cs="Arial"/>
          <w:b/>
          <w:szCs w:val="24"/>
          <w:lang w:val="es-MX" w:eastAsia="en-US"/>
        </w:rPr>
      </w:pPr>
      <w:r w:rsidRPr="00616549">
        <w:rPr>
          <w:rFonts w:eastAsia="Times New Roman" w:cs="Arial"/>
          <w:b/>
          <w:sz w:val="28"/>
          <w:szCs w:val="28"/>
          <w:lang w:val="es-MX" w:eastAsia="en-US"/>
        </w:rPr>
        <w:t>TERCERO</w:t>
      </w:r>
      <w:r w:rsidRPr="00616549">
        <w:rPr>
          <w:rFonts w:eastAsia="Times New Roman" w:cs="Arial"/>
          <w:sz w:val="28"/>
          <w:szCs w:val="28"/>
          <w:lang w:val="es-MX" w:eastAsia="en-US"/>
        </w:rPr>
        <w:t>.</w:t>
      </w:r>
      <w:r w:rsidRPr="00616549">
        <w:rPr>
          <w:rFonts w:eastAsia="Times New Roman" w:cs="Arial"/>
          <w:szCs w:val="24"/>
          <w:lang w:val="es-MX" w:eastAsia="en-US"/>
        </w:rPr>
        <w:t xml:space="preserve"> </w:t>
      </w:r>
      <w:r w:rsidRPr="00616549">
        <w:rPr>
          <w:rFonts w:eastAsia="Times New Roman" w:cs="Arial"/>
          <w:b/>
          <w:bCs/>
          <w:color w:val="222222"/>
          <w:szCs w:val="24"/>
          <w:lang w:val="es-ES" w:eastAsia="en-US"/>
        </w:rPr>
        <w:t>Notifíquese</w:t>
      </w:r>
      <w:r w:rsidRPr="00616549">
        <w:rPr>
          <w:rFonts w:eastAsia="Times New Roman" w:cs="Arial"/>
          <w:szCs w:val="24"/>
          <w:lang w:val="es-MX" w:eastAsia="en-US"/>
        </w:rPr>
        <w:t xml:space="preserve"> la presente resolución al</w:t>
      </w:r>
      <w:r w:rsidRPr="00616549">
        <w:rPr>
          <w:rFonts w:eastAsia="Times New Roman" w:cs="Arial"/>
          <w:b/>
          <w:szCs w:val="24"/>
          <w:lang w:val="es-MX" w:eastAsia="en-US"/>
        </w:rPr>
        <w:t xml:space="preserve"> RECURRENTE </w:t>
      </w:r>
      <w:r w:rsidRPr="00616549">
        <w:rPr>
          <w:rFonts w:eastAsia="Times New Roman" w:cs="Arial"/>
          <w:szCs w:val="24"/>
          <w:lang w:val="es-MX" w:eastAsia="en-US"/>
        </w:rPr>
        <w:t xml:space="preserve">a través del Sistema de Acceso a la Información Mexiquense </w:t>
      </w:r>
      <w:r w:rsidRPr="00616549">
        <w:rPr>
          <w:rFonts w:eastAsia="Times New Roman" w:cs="Arial"/>
          <w:b/>
          <w:szCs w:val="24"/>
          <w:lang w:val="es-MX" w:eastAsia="en-US"/>
        </w:rPr>
        <w:t xml:space="preserve">(SAIMEX). </w:t>
      </w:r>
    </w:p>
    <w:p w14:paraId="208D5D8B" w14:textId="77777777" w:rsidR="00616549" w:rsidRPr="00616549" w:rsidRDefault="00616549" w:rsidP="00546F89">
      <w:pPr>
        <w:autoSpaceDE w:val="0"/>
        <w:autoSpaceDN w:val="0"/>
        <w:adjustRightInd w:val="0"/>
        <w:rPr>
          <w:rFonts w:eastAsia="Times New Roman" w:cs="Arial"/>
          <w:b/>
          <w:szCs w:val="24"/>
          <w:lang w:val="es-MX" w:eastAsia="en-US"/>
        </w:rPr>
      </w:pPr>
    </w:p>
    <w:p w14:paraId="3C4106D6" w14:textId="77777777" w:rsidR="00546F89" w:rsidRDefault="00616549" w:rsidP="00546F89">
      <w:pPr>
        <w:autoSpaceDE w:val="0"/>
        <w:autoSpaceDN w:val="0"/>
        <w:adjustRightInd w:val="0"/>
        <w:rPr>
          <w:rFonts w:eastAsia="Times New Roman" w:cs="Arial"/>
          <w:szCs w:val="24"/>
          <w:lang w:val="es-MX" w:eastAsia="en-US"/>
        </w:rPr>
      </w:pPr>
      <w:r w:rsidRPr="00616549">
        <w:rPr>
          <w:rFonts w:eastAsia="Times New Roman" w:cs="Arial"/>
          <w:b/>
          <w:sz w:val="28"/>
          <w:szCs w:val="28"/>
          <w:lang w:val="es-MX" w:eastAsia="en-US"/>
        </w:rPr>
        <w:t xml:space="preserve">CUARTO. </w:t>
      </w:r>
      <w:r w:rsidRPr="00616549">
        <w:rPr>
          <w:rFonts w:eastAsia="Times New Roman" w:cs="Arial"/>
          <w:szCs w:val="24"/>
          <w:lang w:val="es-MX" w:eastAsia="en-US"/>
        </w:rPr>
        <w:t>Se hace del conocimiento del</w:t>
      </w:r>
      <w:r w:rsidRPr="00616549">
        <w:rPr>
          <w:rFonts w:eastAsia="Times New Roman" w:cs="Arial"/>
          <w:b/>
          <w:szCs w:val="24"/>
          <w:lang w:val="es-MX" w:eastAsia="en-US"/>
        </w:rPr>
        <w:t xml:space="preserve"> RECURRENTE </w:t>
      </w:r>
      <w:r w:rsidRPr="00616549">
        <w:rPr>
          <w:rFonts w:eastAsia="Times New Roman" w:cs="Arial"/>
          <w:szCs w:val="24"/>
          <w:lang w:val="es-MX"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A4A5338" w14:textId="25B02306" w:rsidR="00616549" w:rsidRPr="00616549" w:rsidRDefault="00616549" w:rsidP="00546F89">
      <w:pPr>
        <w:autoSpaceDE w:val="0"/>
        <w:autoSpaceDN w:val="0"/>
        <w:adjustRightInd w:val="0"/>
        <w:rPr>
          <w:rFonts w:eastAsia="Times New Roman" w:cs="Arial"/>
          <w:szCs w:val="24"/>
          <w:lang w:val="es-MX" w:eastAsia="en-US"/>
        </w:rPr>
      </w:pPr>
      <w:r w:rsidRPr="00616549">
        <w:rPr>
          <w:rFonts w:eastAsia="Times New Roman" w:cs="Arial"/>
          <w:szCs w:val="24"/>
          <w:lang w:val="es-MX" w:eastAsia="en-US"/>
        </w:rPr>
        <w:t xml:space="preserve"> </w:t>
      </w:r>
    </w:p>
    <w:p w14:paraId="0971A0AB" w14:textId="470B06EF" w:rsidR="0018777B" w:rsidRDefault="0018777B" w:rsidP="0018777B">
      <w:pPr>
        <w:rPr>
          <w:rFonts w:cs="Arial"/>
          <w:szCs w:val="24"/>
        </w:rPr>
      </w:pPr>
      <w:r>
        <w:rPr>
          <w:rFonts w:cs="Arial"/>
          <w:szCs w:val="24"/>
        </w:rPr>
        <w:t>ASÍ LO RESUELVE, POR UNANIMIDAD DE VOTOS EL PLENO DEL</w:t>
      </w:r>
      <w:r>
        <w:rPr>
          <w:rFonts w:eastAsia="Arial Unicode MS" w:cs="Arial"/>
          <w:szCs w:val="24"/>
        </w:rPr>
        <w:t xml:space="preserve"> INSTITUTO DE TRANSPARENCIA, ACCESO A LA INFORMACIÓN PÚBLICA Y PROTECCIÓN DE DATOS PERSONALES DEL ESTADO DE MÉXICO Y MUNICIPIOS</w:t>
      </w:r>
      <w:r>
        <w:rPr>
          <w:rFonts w:cs="Arial"/>
          <w:szCs w:val="24"/>
        </w:rPr>
        <w:t xml:space="preserve">, CONFORMADO POR LOS COMISIONADOS JOSÉ MARTÍNEZ VILCHIS, MARÍA DEL ROSARIO MEJÍA AYALA, SHARON CRISTINA MORALES MARTÍNEZ, LUIS GUSTAVO PARRA NORIEGA Y GUADALUPE RAMÍREZ PEÑA, EN LA </w:t>
      </w:r>
      <w:r w:rsidR="00832359">
        <w:rPr>
          <w:rFonts w:cs="Arial"/>
          <w:szCs w:val="24"/>
          <w:lang w:val="es-419"/>
        </w:rPr>
        <w:t>PRIMER</w:t>
      </w:r>
      <w:r w:rsidR="00546F89">
        <w:rPr>
          <w:rFonts w:cs="Arial"/>
          <w:szCs w:val="24"/>
          <w:lang w:val="es-419"/>
        </w:rPr>
        <w:t>A</w:t>
      </w:r>
      <w:r w:rsidR="00832359">
        <w:rPr>
          <w:rFonts w:cs="Arial"/>
          <w:szCs w:val="24"/>
          <w:lang w:val="es-419"/>
        </w:rPr>
        <w:t xml:space="preserve"> </w:t>
      </w:r>
      <w:r w:rsidRPr="00832359">
        <w:rPr>
          <w:rFonts w:cs="Arial"/>
          <w:szCs w:val="24"/>
        </w:rPr>
        <w:t xml:space="preserve">SESIÓN ORDINARIA CELEBRADA </w:t>
      </w:r>
      <w:r w:rsidR="00555EE4">
        <w:rPr>
          <w:rFonts w:cs="Arial"/>
          <w:szCs w:val="24"/>
        </w:rPr>
        <w:t>EL DIECISIETE</w:t>
      </w:r>
      <w:r w:rsidR="00832359">
        <w:rPr>
          <w:rFonts w:cs="Arial"/>
          <w:szCs w:val="24"/>
        </w:rPr>
        <w:t xml:space="preserve"> DE ENERO </w:t>
      </w:r>
      <w:r>
        <w:rPr>
          <w:rFonts w:cs="Arial"/>
          <w:szCs w:val="24"/>
        </w:rPr>
        <w:t xml:space="preserve">DE DOS MIL </w:t>
      </w:r>
      <w:r w:rsidR="00832359">
        <w:rPr>
          <w:rFonts w:cs="Arial"/>
          <w:szCs w:val="24"/>
          <w:lang w:val="es-419"/>
        </w:rPr>
        <w:t>VEINTICUATRO</w:t>
      </w:r>
      <w:r>
        <w:rPr>
          <w:rFonts w:cs="Arial"/>
          <w:szCs w:val="24"/>
        </w:rPr>
        <w:t>, ANTE EL SECRETARIO TÉCNICO DEL PLENO, ALEXIS TAPIA RAMÍREZ. ------------------------------------------------------------------------------------------------------------------------------------------------</w:t>
      </w:r>
    </w:p>
    <w:p w14:paraId="622EF013" w14:textId="77777777" w:rsidR="0018777B" w:rsidRDefault="0018777B" w:rsidP="0018777B">
      <w:pPr>
        <w:rPr>
          <w:rFonts w:cs="Arial"/>
          <w:sz w:val="20"/>
        </w:rPr>
      </w:pPr>
      <w:r>
        <w:rPr>
          <w:rFonts w:cs="Arial"/>
          <w:sz w:val="20"/>
        </w:rPr>
        <w:t>JMV/CCR/NJMB</w:t>
      </w:r>
    </w:p>
    <w:p w14:paraId="3DBD04C2" w14:textId="77777777" w:rsidR="0018777B" w:rsidRDefault="0018777B" w:rsidP="0018777B">
      <w:pPr>
        <w:rPr>
          <w:rFonts w:cs="Arial"/>
          <w:sz w:val="20"/>
        </w:rPr>
      </w:pPr>
    </w:p>
    <w:p w14:paraId="176C69FC" w14:textId="77777777" w:rsidR="0018777B" w:rsidRDefault="0018777B" w:rsidP="0018777B">
      <w:pPr>
        <w:rPr>
          <w:rFonts w:cs="Arial"/>
          <w:sz w:val="20"/>
        </w:rPr>
      </w:pPr>
    </w:p>
    <w:p w14:paraId="352AA46A"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3FF2555E"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4EC1CF57"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7C3C0E6C"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270252ED"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1F341428"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2BF61601"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1AB6E52E"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7582CDC1" w14:textId="77777777" w:rsidR="0018777B" w:rsidRPr="004B7011" w:rsidRDefault="0018777B" w:rsidP="0018777B">
      <w:pPr>
        <w:pBdr>
          <w:top w:val="nil"/>
          <w:left w:val="nil"/>
          <w:bottom w:val="nil"/>
          <w:right w:val="nil"/>
          <w:between w:val="nil"/>
        </w:pBdr>
        <w:contextualSpacing/>
        <w:rPr>
          <w:rFonts w:eastAsia="Palatino Linotype" w:cs="Palatino Linotype"/>
          <w:color w:val="000000"/>
          <w:sz w:val="20"/>
          <w:szCs w:val="20"/>
        </w:rPr>
      </w:pPr>
    </w:p>
    <w:p w14:paraId="361C6039" w14:textId="77777777" w:rsidR="0018777B" w:rsidRPr="004B7011" w:rsidRDefault="0018777B" w:rsidP="0018777B"/>
    <w:p w14:paraId="79A42EF7" w14:textId="77777777" w:rsidR="0018777B" w:rsidRDefault="0018777B" w:rsidP="0018777B"/>
    <w:p w14:paraId="6E028FBE" w14:textId="77777777" w:rsidR="0018777B" w:rsidRDefault="0018777B"/>
    <w:sectPr w:rsidR="0018777B" w:rsidSect="009B1929">
      <w:headerReference w:type="even" r:id="rId14"/>
      <w:headerReference w:type="default" r:id="rId15"/>
      <w:footerReference w:type="default" r:id="rId16"/>
      <w:headerReference w:type="first" r:id="rId17"/>
      <w:footerReference w:type="first" r:id="rId18"/>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A739" w14:textId="77777777" w:rsidR="008F497B" w:rsidRDefault="008F497B" w:rsidP="0018777B">
      <w:pPr>
        <w:spacing w:line="240" w:lineRule="auto"/>
      </w:pPr>
      <w:r>
        <w:separator/>
      </w:r>
    </w:p>
  </w:endnote>
  <w:endnote w:type="continuationSeparator" w:id="0">
    <w:p w14:paraId="24378F50" w14:textId="77777777" w:rsidR="008F497B" w:rsidRDefault="008F497B" w:rsidP="00187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11D9" w14:textId="77777777" w:rsidR="00F27EB4" w:rsidRPr="00871A91" w:rsidRDefault="008F497B"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46F89">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46F89">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6A5A" w14:textId="77777777" w:rsidR="00F27EB4" w:rsidRPr="00871A91" w:rsidRDefault="008F497B"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46F8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46F89">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4023" w14:textId="77777777" w:rsidR="008F497B" w:rsidRDefault="008F497B" w:rsidP="0018777B">
      <w:pPr>
        <w:spacing w:line="240" w:lineRule="auto"/>
      </w:pPr>
      <w:r>
        <w:separator/>
      </w:r>
    </w:p>
  </w:footnote>
  <w:footnote w:type="continuationSeparator" w:id="0">
    <w:p w14:paraId="44BABC4F" w14:textId="77777777" w:rsidR="008F497B" w:rsidRDefault="008F497B" w:rsidP="0018777B">
      <w:pPr>
        <w:spacing w:line="240" w:lineRule="auto"/>
      </w:pPr>
      <w:r>
        <w:continuationSeparator/>
      </w:r>
    </w:p>
  </w:footnote>
  <w:footnote w:id="1">
    <w:p w14:paraId="2AAAA5C7" w14:textId="77777777" w:rsidR="0018777B" w:rsidRPr="00481AAF" w:rsidRDefault="0018777B" w:rsidP="0018777B">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6FA69A6F" w14:textId="77777777" w:rsidR="0018777B" w:rsidRPr="00946E1F" w:rsidRDefault="0018777B" w:rsidP="0018777B">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55B5" w14:textId="77777777" w:rsidR="00F27EB4" w:rsidRDefault="00C72291">
    <w:pPr>
      <w:pStyle w:val="Encabezado"/>
    </w:pPr>
    <w:r>
      <w:rPr>
        <w:noProof/>
        <w:lang w:val="es-MX" w:eastAsia="es-MX"/>
      </w:rPr>
      <w:pict w14:anchorId="657F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rsidRPr="00B17577" w14:paraId="72B0C3C6" w14:textId="77777777" w:rsidTr="009B1929">
      <w:trPr>
        <w:trHeight w:val="227"/>
      </w:trPr>
      <w:tc>
        <w:tcPr>
          <w:tcW w:w="5103" w:type="dxa"/>
          <w:hideMark/>
        </w:tcPr>
        <w:p w14:paraId="5D539D41" w14:textId="77777777" w:rsidR="00F27EB4" w:rsidRPr="00096248" w:rsidRDefault="008F497B" w:rsidP="009B1929">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BC4A9BE" w14:textId="3535049C" w:rsidR="00F27EB4" w:rsidRPr="00096248" w:rsidRDefault="008F497B" w:rsidP="009B1929">
          <w:pPr>
            <w:spacing w:after="120" w:line="240" w:lineRule="auto"/>
            <w:ind w:right="71"/>
            <w:jc w:val="right"/>
            <w:rPr>
              <w:rFonts w:cs="Arial"/>
              <w:b/>
              <w:szCs w:val="24"/>
            </w:rPr>
          </w:pPr>
          <w:r>
            <w:rPr>
              <w:rFonts w:cs="Arial"/>
              <w:b/>
              <w:bCs/>
              <w:szCs w:val="24"/>
            </w:rPr>
            <w:t>0</w:t>
          </w:r>
          <w:r w:rsidR="0018777B">
            <w:rPr>
              <w:rFonts w:cs="Arial"/>
              <w:b/>
              <w:bCs/>
              <w:szCs w:val="24"/>
            </w:rPr>
            <w:t>80</w:t>
          </w:r>
          <w:r w:rsidR="000D47BE">
            <w:rPr>
              <w:rFonts w:cs="Arial"/>
              <w:b/>
              <w:bCs/>
              <w:szCs w:val="24"/>
            </w:rPr>
            <w:t>90</w:t>
          </w:r>
          <w:r w:rsidRPr="00096248">
            <w:rPr>
              <w:rFonts w:cs="Arial"/>
              <w:b/>
              <w:bCs/>
              <w:szCs w:val="24"/>
            </w:rPr>
            <w:t>/INFOEM/IP/RR/202</w:t>
          </w:r>
          <w:r>
            <w:rPr>
              <w:rFonts w:cs="Arial"/>
              <w:b/>
              <w:bCs/>
              <w:szCs w:val="24"/>
            </w:rPr>
            <w:t>3</w:t>
          </w:r>
        </w:p>
      </w:tc>
    </w:tr>
    <w:tr w:rsidR="00802B59" w14:paraId="7361FECF" w14:textId="77777777" w:rsidTr="009B1929">
      <w:trPr>
        <w:trHeight w:val="242"/>
      </w:trPr>
      <w:tc>
        <w:tcPr>
          <w:tcW w:w="5103" w:type="dxa"/>
          <w:hideMark/>
        </w:tcPr>
        <w:p w14:paraId="0253768C" w14:textId="77777777" w:rsidR="00F27EB4" w:rsidRPr="00096248" w:rsidRDefault="008F497B" w:rsidP="009B1929">
          <w:pPr>
            <w:spacing w:after="120" w:line="240" w:lineRule="auto"/>
            <w:ind w:right="69"/>
            <w:jc w:val="right"/>
            <w:rPr>
              <w:rFonts w:cs="Arial"/>
              <w:b/>
              <w:szCs w:val="24"/>
            </w:rPr>
          </w:pPr>
          <w:r w:rsidRPr="00096248">
            <w:rPr>
              <w:rFonts w:cs="Arial"/>
              <w:b/>
              <w:szCs w:val="24"/>
            </w:rPr>
            <w:t>Sujeto Obligado:</w:t>
          </w:r>
        </w:p>
      </w:tc>
      <w:tc>
        <w:tcPr>
          <w:tcW w:w="4395" w:type="dxa"/>
          <w:hideMark/>
        </w:tcPr>
        <w:p w14:paraId="56F796D3" w14:textId="137CE6FE" w:rsidR="00F27EB4" w:rsidRPr="00096248" w:rsidRDefault="008F497B" w:rsidP="009B1929">
          <w:pPr>
            <w:spacing w:after="120" w:line="240" w:lineRule="auto"/>
            <w:ind w:left="-81" w:right="71"/>
            <w:jc w:val="right"/>
            <w:rPr>
              <w:rFonts w:cs="Arial"/>
              <w:szCs w:val="24"/>
            </w:rPr>
          </w:pPr>
          <w:r>
            <w:rPr>
              <w:rFonts w:cs="Arial"/>
              <w:szCs w:val="24"/>
            </w:rPr>
            <w:t xml:space="preserve">Ayuntamiento de </w:t>
          </w:r>
          <w:r w:rsidR="000D47BE">
            <w:rPr>
              <w:rFonts w:cs="Arial"/>
              <w:szCs w:val="24"/>
            </w:rPr>
            <w:t>Tecáma</w:t>
          </w:r>
          <w:r w:rsidR="0018777B">
            <w:rPr>
              <w:rFonts w:cs="Arial"/>
              <w:szCs w:val="24"/>
            </w:rPr>
            <w:t>c</w:t>
          </w:r>
        </w:p>
      </w:tc>
    </w:tr>
    <w:tr w:rsidR="00802B59" w:rsidRPr="00F63239" w14:paraId="707CCDEC" w14:textId="77777777" w:rsidTr="009B1929">
      <w:trPr>
        <w:trHeight w:val="342"/>
      </w:trPr>
      <w:tc>
        <w:tcPr>
          <w:tcW w:w="5103" w:type="dxa"/>
          <w:hideMark/>
        </w:tcPr>
        <w:p w14:paraId="11793A19" w14:textId="77777777" w:rsidR="00F27EB4" w:rsidRPr="00096248" w:rsidRDefault="008F497B" w:rsidP="009B192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72B67DF6" w14:textId="77777777" w:rsidR="00F27EB4" w:rsidRDefault="008F497B" w:rsidP="009B1929">
          <w:pPr>
            <w:spacing w:after="120" w:line="240" w:lineRule="auto"/>
            <w:ind w:left="-486" w:right="71" w:firstLine="567"/>
            <w:jc w:val="right"/>
            <w:rPr>
              <w:rFonts w:cs="Arial"/>
              <w:szCs w:val="24"/>
            </w:rPr>
          </w:pPr>
          <w:r w:rsidRPr="00096248">
            <w:rPr>
              <w:rFonts w:cs="Arial"/>
              <w:szCs w:val="24"/>
            </w:rPr>
            <w:t>José Martínez Vilchis</w:t>
          </w:r>
        </w:p>
        <w:p w14:paraId="5E0B3F00" w14:textId="77777777" w:rsidR="00F27EB4" w:rsidRPr="00711916" w:rsidRDefault="00F27EB4" w:rsidP="009B1929">
          <w:pPr>
            <w:spacing w:after="120" w:line="240" w:lineRule="auto"/>
            <w:ind w:left="-486" w:right="71" w:firstLine="567"/>
            <w:jc w:val="right"/>
            <w:rPr>
              <w:rFonts w:cs="Arial"/>
              <w:sz w:val="2"/>
              <w:szCs w:val="2"/>
            </w:rPr>
          </w:pPr>
        </w:p>
      </w:tc>
    </w:tr>
  </w:tbl>
  <w:p w14:paraId="7EF4B84A" w14:textId="77777777" w:rsidR="00F27EB4" w:rsidRPr="00871A91" w:rsidRDefault="00C72291">
    <w:pPr>
      <w:pStyle w:val="Encabezado"/>
      <w:rPr>
        <w:sz w:val="2"/>
      </w:rPr>
    </w:pPr>
    <w:r>
      <w:rPr>
        <w:noProof/>
        <w:lang w:val="es-MX" w:eastAsia="es-MX"/>
      </w:rPr>
      <w:pict w14:anchorId="661F2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F497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14:paraId="5E5563B1" w14:textId="77777777" w:rsidTr="009B1929">
      <w:trPr>
        <w:trHeight w:val="227"/>
      </w:trPr>
      <w:tc>
        <w:tcPr>
          <w:tcW w:w="5103" w:type="dxa"/>
          <w:hideMark/>
        </w:tcPr>
        <w:p w14:paraId="7C994D02" w14:textId="77777777" w:rsidR="00F27EB4" w:rsidRPr="00663A37" w:rsidRDefault="008F497B" w:rsidP="009B1929">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02C4B67" w14:textId="67696F0D" w:rsidR="001776EC" w:rsidRPr="001776EC" w:rsidRDefault="008F497B" w:rsidP="001776EC">
          <w:pPr>
            <w:spacing w:after="120" w:line="240" w:lineRule="auto"/>
            <w:ind w:left="-486" w:right="68" w:firstLine="558"/>
            <w:jc w:val="right"/>
            <w:rPr>
              <w:rFonts w:cs="Arial"/>
              <w:b/>
              <w:bCs/>
              <w:szCs w:val="24"/>
            </w:rPr>
          </w:pPr>
          <w:r>
            <w:rPr>
              <w:rFonts w:cs="Arial"/>
              <w:b/>
              <w:bCs/>
              <w:szCs w:val="24"/>
            </w:rPr>
            <w:t>0</w:t>
          </w:r>
          <w:r w:rsidR="00131E6F">
            <w:rPr>
              <w:rFonts w:cs="Arial"/>
              <w:b/>
              <w:bCs/>
              <w:szCs w:val="24"/>
            </w:rPr>
            <w:t>8090</w:t>
          </w:r>
          <w:r>
            <w:rPr>
              <w:rFonts w:cs="Arial"/>
              <w:b/>
              <w:bCs/>
              <w:szCs w:val="24"/>
            </w:rPr>
            <w:t>/INFOEM/IP/RR/2023</w:t>
          </w:r>
        </w:p>
      </w:tc>
    </w:tr>
    <w:tr w:rsidR="00802B59" w:rsidRPr="001F57CD" w14:paraId="1D3991F1" w14:textId="77777777" w:rsidTr="009B1929">
      <w:trPr>
        <w:trHeight w:val="196"/>
      </w:trPr>
      <w:tc>
        <w:tcPr>
          <w:tcW w:w="5103" w:type="dxa"/>
          <w:hideMark/>
        </w:tcPr>
        <w:p w14:paraId="0CDE5CC3" w14:textId="77777777" w:rsidR="00F27EB4" w:rsidRPr="00663A37" w:rsidRDefault="008F497B" w:rsidP="009B1929">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395" w:type="dxa"/>
          <w:hideMark/>
        </w:tcPr>
        <w:p w14:paraId="4999680D" w14:textId="1E2257D3" w:rsidR="00F27EB4" w:rsidRPr="00663A37" w:rsidRDefault="00C72291" w:rsidP="009B1929">
          <w:pPr>
            <w:spacing w:after="120" w:line="240" w:lineRule="auto"/>
            <w:ind w:right="68"/>
            <w:jc w:val="right"/>
            <w:rPr>
              <w:rFonts w:cs="Arial"/>
              <w:szCs w:val="24"/>
            </w:rPr>
          </w:pPr>
          <w:proofErr w:type="spellStart"/>
          <w:r>
            <w:rPr>
              <w:rFonts w:cs="Arial"/>
              <w:szCs w:val="24"/>
            </w:rPr>
            <w:t>XXXXXXXXXX</w:t>
          </w:r>
          <w:proofErr w:type="spellEnd"/>
        </w:p>
      </w:tc>
    </w:tr>
    <w:tr w:rsidR="00802B59" w14:paraId="239EAB51" w14:textId="77777777" w:rsidTr="009B1929">
      <w:trPr>
        <w:trHeight w:val="242"/>
      </w:trPr>
      <w:tc>
        <w:tcPr>
          <w:tcW w:w="5103" w:type="dxa"/>
          <w:hideMark/>
        </w:tcPr>
        <w:p w14:paraId="44A08E83" w14:textId="77777777" w:rsidR="00F27EB4" w:rsidRPr="00663A37" w:rsidRDefault="008F497B" w:rsidP="009B1929">
          <w:pPr>
            <w:spacing w:after="120" w:line="240" w:lineRule="auto"/>
            <w:ind w:right="68"/>
            <w:jc w:val="right"/>
            <w:rPr>
              <w:rFonts w:cs="Arial"/>
              <w:b/>
              <w:szCs w:val="24"/>
            </w:rPr>
          </w:pPr>
          <w:r w:rsidRPr="00663A37">
            <w:rPr>
              <w:rFonts w:cs="Arial"/>
              <w:b/>
              <w:szCs w:val="24"/>
            </w:rPr>
            <w:t>Sujeto Obligado:</w:t>
          </w:r>
        </w:p>
      </w:tc>
      <w:tc>
        <w:tcPr>
          <w:tcW w:w="4395" w:type="dxa"/>
          <w:hideMark/>
        </w:tcPr>
        <w:p w14:paraId="5E8807C3" w14:textId="55336EC3" w:rsidR="00F27EB4" w:rsidRPr="00663A37" w:rsidRDefault="008F497B" w:rsidP="009B1929">
          <w:pPr>
            <w:spacing w:after="120" w:line="240" w:lineRule="auto"/>
            <w:ind w:left="-70" w:right="68"/>
            <w:jc w:val="right"/>
            <w:rPr>
              <w:rFonts w:cs="Arial"/>
              <w:szCs w:val="24"/>
            </w:rPr>
          </w:pPr>
          <w:r>
            <w:rPr>
              <w:rFonts w:cs="Arial"/>
              <w:szCs w:val="24"/>
            </w:rPr>
            <w:t xml:space="preserve">Ayuntamiento de </w:t>
          </w:r>
          <w:r w:rsidR="001776EC">
            <w:rPr>
              <w:rFonts w:cs="Arial"/>
              <w:szCs w:val="24"/>
            </w:rPr>
            <w:t>Tecámac</w:t>
          </w:r>
        </w:p>
      </w:tc>
    </w:tr>
    <w:tr w:rsidR="00802B59" w14:paraId="6A2144E6" w14:textId="77777777" w:rsidTr="009B1929">
      <w:trPr>
        <w:trHeight w:val="342"/>
      </w:trPr>
      <w:tc>
        <w:tcPr>
          <w:tcW w:w="5103" w:type="dxa"/>
          <w:hideMark/>
        </w:tcPr>
        <w:p w14:paraId="191F1659" w14:textId="77777777" w:rsidR="00F27EB4" w:rsidRPr="00663A37" w:rsidRDefault="008F497B" w:rsidP="009B1929">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58A91897" w14:textId="77777777" w:rsidR="00F27EB4" w:rsidRPr="00663A37" w:rsidRDefault="008F497B" w:rsidP="009B1929">
          <w:pPr>
            <w:spacing w:after="120" w:line="240" w:lineRule="auto"/>
            <w:ind w:left="-486" w:right="68" w:firstLine="567"/>
            <w:jc w:val="right"/>
            <w:rPr>
              <w:rFonts w:cs="Arial"/>
              <w:szCs w:val="24"/>
            </w:rPr>
          </w:pPr>
          <w:r w:rsidRPr="00663A37">
            <w:rPr>
              <w:rFonts w:cs="Arial"/>
              <w:szCs w:val="24"/>
            </w:rPr>
            <w:t>José Martínez Vilchis</w:t>
          </w:r>
        </w:p>
      </w:tc>
    </w:tr>
  </w:tbl>
  <w:p w14:paraId="195D28EA" w14:textId="77777777" w:rsidR="00F27EB4" w:rsidRPr="00871A91" w:rsidRDefault="008F497B">
    <w:pPr>
      <w:pStyle w:val="Encabezado"/>
      <w:rPr>
        <w:sz w:val="2"/>
      </w:rPr>
    </w:pPr>
    <w:r>
      <w:rPr>
        <w:noProof/>
        <w:lang w:val="es-MX" w:eastAsia="es-MX"/>
      </w:rPr>
      <w:drawing>
        <wp:anchor distT="0" distB="0" distL="114300" distR="114300" simplePos="0" relativeHeight="251678208" behindDoc="1" locked="0" layoutInCell="0" allowOverlap="1" wp14:anchorId="5F601E0F" wp14:editId="056E012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898"/>
    <w:multiLevelType w:val="hybridMultilevel"/>
    <w:tmpl w:val="2988A02A"/>
    <w:lvl w:ilvl="0" w:tplc="0E46DAD2">
      <w:start w:val="3"/>
      <w:numFmt w:val="bullet"/>
      <w:lvlText w:val=""/>
      <w:lvlJc w:val="left"/>
      <w:pPr>
        <w:ind w:left="2846" w:hanging="360"/>
      </w:pPr>
      <w:rPr>
        <w:rFonts w:ascii="Symbol" w:eastAsia="Calibri" w:hAnsi="Symbol" w:cs="Calibri" w:hint="default"/>
      </w:rPr>
    </w:lvl>
    <w:lvl w:ilvl="1" w:tplc="080A0003" w:tentative="1">
      <w:start w:val="1"/>
      <w:numFmt w:val="bullet"/>
      <w:lvlText w:val="o"/>
      <w:lvlJc w:val="left"/>
      <w:pPr>
        <w:ind w:left="3566" w:hanging="360"/>
      </w:pPr>
      <w:rPr>
        <w:rFonts w:ascii="Courier New" w:hAnsi="Courier New" w:cs="Courier New" w:hint="default"/>
      </w:rPr>
    </w:lvl>
    <w:lvl w:ilvl="2" w:tplc="080A0005" w:tentative="1">
      <w:start w:val="1"/>
      <w:numFmt w:val="bullet"/>
      <w:lvlText w:val=""/>
      <w:lvlJc w:val="left"/>
      <w:pPr>
        <w:ind w:left="4286" w:hanging="360"/>
      </w:pPr>
      <w:rPr>
        <w:rFonts w:ascii="Wingdings" w:hAnsi="Wingdings" w:hint="default"/>
      </w:rPr>
    </w:lvl>
    <w:lvl w:ilvl="3" w:tplc="080A0001" w:tentative="1">
      <w:start w:val="1"/>
      <w:numFmt w:val="bullet"/>
      <w:lvlText w:val=""/>
      <w:lvlJc w:val="left"/>
      <w:pPr>
        <w:ind w:left="5006" w:hanging="360"/>
      </w:pPr>
      <w:rPr>
        <w:rFonts w:ascii="Symbol" w:hAnsi="Symbol" w:hint="default"/>
      </w:rPr>
    </w:lvl>
    <w:lvl w:ilvl="4" w:tplc="080A0003" w:tentative="1">
      <w:start w:val="1"/>
      <w:numFmt w:val="bullet"/>
      <w:lvlText w:val="o"/>
      <w:lvlJc w:val="left"/>
      <w:pPr>
        <w:ind w:left="5726" w:hanging="360"/>
      </w:pPr>
      <w:rPr>
        <w:rFonts w:ascii="Courier New" w:hAnsi="Courier New" w:cs="Courier New" w:hint="default"/>
      </w:rPr>
    </w:lvl>
    <w:lvl w:ilvl="5" w:tplc="080A0005" w:tentative="1">
      <w:start w:val="1"/>
      <w:numFmt w:val="bullet"/>
      <w:lvlText w:val=""/>
      <w:lvlJc w:val="left"/>
      <w:pPr>
        <w:ind w:left="6446" w:hanging="360"/>
      </w:pPr>
      <w:rPr>
        <w:rFonts w:ascii="Wingdings" w:hAnsi="Wingdings" w:hint="default"/>
      </w:rPr>
    </w:lvl>
    <w:lvl w:ilvl="6" w:tplc="080A0001" w:tentative="1">
      <w:start w:val="1"/>
      <w:numFmt w:val="bullet"/>
      <w:lvlText w:val=""/>
      <w:lvlJc w:val="left"/>
      <w:pPr>
        <w:ind w:left="7166" w:hanging="360"/>
      </w:pPr>
      <w:rPr>
        <w:rFonts w:ascii="Symbol" w:hAnsi="Symbol" w:hint="default"/>
      </w:rPr>
    </w:lvl>
    <w:lvl w:ilvl="7" w:tplc="080A0003" w:tentative="1">
      <w:start w:val="1"/>
      <w:numFmt w:val="bullet"/>
      <w:lvlText w:val="o"/>
      <w:lvlJc w:val="left"/>
      <w:pPr>
        <w:ind w:left="7886" w:hanging="360"/>
      </w:pPr>
      <w:rPr>
        <w:rFonts w:ascii="Courier New" w:hAnsi="Courier New" w:cs="Courier New" w:hint="default"/>
      </w:rPr>
    </w:lvl>
    <w:lvl w:ilvl="8" w:tplc="080A0005" w:tentative="1">
      <w:start w:val="1"/>
      <w:numFmt w:val="bullet"/>
      <w:lvlText w:val=""/>
      <w:lvlJc w:val="left"/>
      <w:pPr>
        <w:ind w:left="8606" w:hanging="360"/>
      </w:pPr>
      <w:rPr>
        <w:rFonts w:ascii="Wingdings" w:hAnsi="Wingdings" w:hint="default"/>
      </w:rPr>
    </w:lvl>
  </w:abstractNum>
  <w:abstractNum w:abstractNumId="1" w15:restartNumberingAfterBreak="0">
    <w:nsid w:val="17D50347"/>
    <w:multiLevelType w:val="hybridMultilevel"/>
    <w:tmpl w:val="741A9054"/>
    <w:lvl w:ilvl="0" w:tplc="247C098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1DC3C40"/>
    <w:multiLevelType w:val="hybridMultilevel"/>
    <w:tmpl w:val="138C69A8"/>
    <w:lvl w:ilvl="0" w:tplc="AFFE295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53F406B1"/>
    <w:multiLevelType w:val="hybridMultilevel"/>
    <w:tmpl w:val="E2AA56B4"/>
    <w:lvl w:ilvl="0" w:tplc="C89821AA">
      <w:start w:val="53"/>
      <w:numFmt w:val="bullet"/>
      <w:lvlText w:val=""/>
      <w:lvlJc w:val="left"/>
      <w:pPr>
        <w:ind w:left="780" w:hanging="360"/>
      </w:pPr>
      <w:rPr>
        <w:rFonts w:ascii="Symbol" w:eastAsia="Times New Roman" w:hAnsi="Symbol" w:cs="Times New Roman"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6125084A"/>
    <w:multiLevelType w:val="hybridMultilevel"/>
    <w:tmpl w:val="0ED0BEBE"/>
    <w:lvl w:ilvl="0" w:tplc="2FB6D926">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840C5A"/>
    <w:multiLevelType w:val="hybridMultilevel"/>
    <w:tmpl w:val="420070A0"/>
    <w:lvl w:ilvl="0" w:tplc="ED382E14">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16cid:durableId="1592080213">
    <w:abstractNumId w:val="2"/>
  </w:num>
  <w:num w:numId="2" w16cid:durableId="1117986361">
    <w:abstractNumId w:val="4"/>
  </w:num>
  <w:num w:numId="3" w16cid:durableId="2006663589">
    <w:abstractNumId w:val="6"/>
  </w:num>
  <w:num w:numId="4" w16cid:durableId="64493793">
    <w:abstractNumId w:val="8"/>
  </w:num>
  <w:num w:numId="5" w16cid:durableId="1375731974">
    <w:abstractNumId w:val="0"/>
  </w:num>
  <w:num w:numId="6" w16cid:durableId="640578349">
    <w:abstractNumId w:val="5"/>
  </w:num>
  <w:num w:numId="7" w16cid:durableId="6909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8075494">
    <w:abstractNumId w:val="7"/>
  </w:num>
  <w:num w:numId="9" w16cid:durableId="166045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7B"/>
    <w:rsid w:val="0001601D"/>
    <w:rsid w:val="00027226"/>
    <w:rsid w:val="00031639"/>
    <w:rsid w:val="00032435"/>
    <w:rsid w:val="00061D32"/>
    <w:rsid w:val="000814EB"/>
    <w:rsid w:val="00082759"/>
    <w:rsid w:val="00095DD8"/>
    <w:rsid w:val="000B4611"/>
    <w:rsid w:val="000D47BE"/>
    <w:rsid w:val="000E288D"/>
    <w:rsid w:val="000E67E9"/>
    <w:rsid w:val="000F3893"/>
    <w:rsid w:val="00131E6F"/>
    <w:rsid w:val="00144550"/>
    <w:rsid w:val="00151484"/>
    <w:rsid w:val="001628BE"/>
    <w:rsid w:val="001776EC"/>
    <w:rsid w:val="0018777B"/>
    <w:rsid w:val="00195008"/>
    <w:rsid w:val="001B698C"/>
    <w:rsid w:val="001C6553"/>
    <w:rsid w:val="001D10A6"/>
    <w:rsid w:val="001E3C6B"/>
    <w:rsid w:val="00231378"/>
    <w:rsid w:val="002340B5"/>
    <w:rsid w:val="00287107"/>
    <w:rsid w:val="002E0B9A"/>
    <w:rsid w:val="00304500"/>
    <w:rsid w:val="0031110C"/>
    <w:rsid w:val="0032108D"/>
    <w:rsid w:val="00347220"/>
    <w:rsid w:val="0036006D"/>
    <w:rsid w:val="003746FC"/>
    <w:rsid w:val="003D3DCD"/>
    <w:rsid w:val="003D5F20"/>
    <w:rsid w:val="004342F8"/>
    <w:rsid w:val="004353A5"/>
    <w:rsid w:val="004377D6"/>
    <w:rsid w:val="00464CE0"/>
    <w:rsid w:val="00492F75"/>
    <w:rsid w:val="004A2F76"/>
    <w:rsid w:val="004C3721"/>
    <w:rsid w:val="004C4947"/>
    <w:rsid w:val="004C52D8"/>
    <w:rsid w:val="00546F89"/>
    <w:rsid w:val="00555EE4"/>
    <w:rsid w:val="00576D4E"/>
    <w:rsid w:val="005F0C7C"/>
    <w:rsid w:val="0061383B"/>
    <w:rsid w:val="00616549"/>
    <w:rsid w:val="0062186F"/>
    <w:rsid w:val="00621BE1"/>
    <w:rsid w:val="006317F2"/>
    <w:rsid w:val="00633D1A"/>
    <w:rsid w:val="006A187E"/>
    <w:rsid w:val="006B38B7"/>
    <w:rsid w:val="006B52FD"/>
    <w:rsid w:val="006B6B71"/>
    <w:rsid w:val="006B76EC"/>
    <w:rsid w:val="006F0123"/>
    <w:rsid w:val="0072766C"/>
    <w:rsid w:val="0075106A"/>
    <w:rsid w:val="0075294D"/>
    <w:rsid w:val="00763B84"/>
    <w:rsid w:val="00763E96"/>
    <w:rsid w:val="007644E9"/>
    <w:rsid w:val="00771EAD"/>
    <w:rsid w:val="00780DA2"/>
    <w:rsid w:val="007B75EE"/>
    <w:rsid w:val="007E7A98"/>
    <w:rsid w:val="007F1F84"/>
    <w:rsid w:val="00832359"/>
    <w:rsid w:val="00864E95"/>
    <w:rsid w:val="00877DE0"/>
    <w:rsid w:val="0088257D"/>
    <w:rsid w:val="008C192B"/>
    <w:rsid w:val="008C3C80"/>
    <w:rsid w:val="008F497B"/>
    <w:rsid w:val="0090577E"/>
    <w:rsid w:val="00920DAB"/>
    <w:rsid w:val="009953A1"/>
    <w:rsid w:val="00A00145"/>
    <w:rsid w:val="00AD6481"/>
    <w:rsid w:val="00AE396B"/>
    <w:rsid w:val="00AF05C4"/>
    <w:rsid w:val="00B16EDA"/>
    <w:rsid w:val="00B33ECD"/>
    <w:rsid w:val="00B63E67"/>
    <w:rsid w:val="00B85ECC"/>
    <w:rsid w:val="00BA5B2A"/>
    <w:rsid w:val="00BA5FC3"/>
    <w:rsid w:val="00BB317C"/>
    <w:rsid w:val="00BF106E"/>
    <w:rsid w:val="00C0188E"/>
    <w:rsid w:val="00C279B8"/>
    <w:rsid w:val="00C66B92"/>
    <w:rsid w:val="00C72291"/>
    <w:rsid w:val="00C843C2"/>
    <w:rsid w:val="00C85251"/>
    <w:rsid w:val="00D00C93"/>
    <w:rsid w:val="00D06C89"/>
    <w:rsid w:val="00D10B33"/>
    <w:rsid w:val="00D1471C"/>
    <w:rsid w:val="00D36EDA"/>
    <w:rsid w:val="00D85EE7"/>
    <w:rsid w:val="00DB0ED8"/>
    <w:rsid w:val="00E063B6"/>
    <w:rsid w:val="00E44A1C"/>
    <w:rsid w:val="00E44F5F"/>
    <w:rsid w:val="00E7193A"/>
    <w:rsid w:val="00E83B99"/>
    <w:rsid w:val="00E9291E"/>
    <w:rsid w:val="00EB72C9"/>
    <w:rsid w:val="00F27EB4"/>
    <w:rsid w:val="00F3765B"/>
    <w:rsid w:val="00F44791"/>
    <w:rsid w:val="00F44934"/>
    <w:rsid w:val="00F53867"/>
    <w:rsid w:val="00F76A35"/>
    <w:rsid w:val="00F94DE3"/>
    <w:rsid w:val="00FB377B"/>
    <w:rsid w:val="00FC1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3E17CC"/>
  <w15:chartTrackingRefBased/>
  <w15:docId w15:val="{7C1F4D99-41BB-4B8A-B112-37E561B1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77B"/>
    <w:pPr>
      <w:spacing w:after="0" w:line="360" w:lineRule="auto"/>
      <w:jc w:val="both"/>
    </w:pPr>
    <w:rPr>
      <w:rFonts w:ascii="Palatino Linotype" w:eastAsia="Calibri" w:hAnsi="Palatino Linotype" w:cs="Calibri"/>
      <w:kern w:val="0"/>
      <w:sz w:val="24"/>
      <w:lang w:val="es-ES_tradnl" w:eastAsia="es-MX"/>
      <w14:ligatures w14:val="none"/>
    </w:rPr>
  </w:style>
  <w:style w:type="paragraph" w:styleId="Ttulo1">
    <w:name w:val="heading 1"/>
    <w:aliases w:val="Título Res"/>
    <w:basedOn w:val="Normal"/>
    <w:next w:val="Normal"/>
    <w:link w:val="Ttulo1Car"/>
    <w:uiPriority w:val="9"/>
    <w:qFormat/>
    <w:rsid w:val="0018777B"/>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18777B"/>
    <w:pPr>
      <w:keepNext/>
      <w:keepLines/>
      <w:outlineLvl w:val="1"/>
    </w:pPr>
    <w:rPr>
      <w:rFonts w:eastAsiaTheme="majorEastAsia"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18777B"/>
    <w:rPr>
      <w:rFonts w:ascii="Palatino Linotype" w:eastAsiaTheme="majorEastAsia" w:hAnsi="Palatino Linotype" w:cstheme="majorBidi"/>
      <w:b/>
      <w:color w:val="000000" w:themeColor="text1"/>
      <w:kern w:val="0"/>
      <w:sz w:val="28"/>
      <w:szCs w:val="32"/>
      <w:lang w:val="es-ES" w:eastAsia="es-ES"/>
      <w14:ligatures w14:val="none"/>
    </w:rPr>
  </w:style>
  <w:style w:type="character" w:customStyle="1" w:styleId="Ttulo2Car">
    <w:name w:val="Título 2 Car"/>
    <w:aliases w:val="Subtítulos Car"/>
    <w:basedOn w:val="Fuentedeprrafopredeter"/>
    <w:link w:val="Ttulo2"/>
    <w:uiPriority w:val="9"/>
    <w:rsid w:val="0018777B"/>
    <w:rPr>
      <w:rFonts w:ascii="Palatino Linotype" w:eastAsiaTheme="majorEastAsia" w:hAnsi="Palatino Linotype" w:cstheme="majorBidi"/>
      <w:b/>
      <w:color w:val="000000" w:themeColor="text1"/>
      <w:kern w:val="0"/>
      <w:sz w:val="26"/>
      <w:szCs w:val="26"/>
      <w:lang w:val="es-ES_tradnl" w:eastAsia="es-MX"/>
      <w14:ligatures w14:val="none"/>
    </w:rPr>
  </w:style>
  <w:style w:type="paragraph" w:styleId="Encabezado">
    <w:name w:val="header"/>
    <w:basedOn w:val="Normal"/>
    <w:link w:val="EncabezadoCar"/>
    <w:uiPriority w:val="99"/>
    <w:unhideWhenUsed/>
    <w:rsid w:val="0018777B"/>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18777B"/>
    <w:rPr>
      <w:rFonts w:ascii="Times New Roman" w:eastAsia="Calibri"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8777B"/>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18777B"/>
    <w:rPr>
      <w:rFonts w:ascii="Times New Roman" w:eastAsia="Calibri" w:hAnsi="Times New Roman" w:cs="Times New Roman"/>
      <w:kern w:val="0"/>
      <w:sz w:val="24"/>
      <w:szCs w:val="24"/>
      <w:lang w:val="es-ES"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777B"/>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777B"/>
    <w:rPr>
      <w:rFonts w:ascii="Palatino Linotype" w:eastAsia="Times New Roman" w:hAnsi="Palatino Linotype" w:cs="Times New Roman"/>
      <w:kern w:val="0"/>
      <w:sz w:val="24"/>
      <w:szCs w:val="24"/>
      <w:lang w:val="es-ES" w:eastAsia="es-ES"/>
      <w14:ligatures w14:val="none"/>
    </w:rPr>
  </w:style>
  <w:style w:type="character" w:customStyle="1" w:styleId="apple-converted-space">
    <w:name w:val="apple-converted-space"/>
    <w:basedOn w:val="Fuentedeprrafopredeter"/>
    <w:rsid w:val="0018777B"/>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18777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8777B"/>
    <w:rPr>
      <w:color w:val="0563C1" w:themeColor="hyperlink"/>
      <w:u w:val="single"/>
    </w:rPr>
  </w:style>
  <w:style w:type="paragraph" w:customStyle="1" w:styleId="Fundamentos">
    <w:name w:val="Fundamentos"/>
    <w:basedOn w:val="Normal"/>
    <w:qFormat/>
    <w:rsid w:val="0018777B"/>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18777B"/>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aliases w:val="Francesa Car,INAI Car"/>
    <w:link w:val="Sinespaciado"/>
    <w:uiPriority w:val="1"/>
    <w:locked/>
    <w:rsid w:val="0018777B"/>
    <w:rPr>
      <w:rFonts w:ascii="Times New Roman" w:eastAsia="Times New Roman" w:hAnsi="Times New Roman" w:cs="Times New Roman"/>
      <w:kern w:val="0"/>
      <w:sz w:val="24"/>
      <w:szCs w:val="24"/>
      <w:lang w:eastAsia="es-ES"/>
      <w14:ligatures w14:val="none"/>
    </w:rPr>
  </w:style>
  <w:style w:type="character" w:customStyle="1" w:styleId="Mencinsinresolver1">
    <w:name w:val="Mención sin resolver1"/>
    <w:basedOn w:val="Fuentedeprrafopredeter"/>
    <w:uiPriority w:val="99"/>
    <w:semiHidden/>
    <w:unhideWhenUsed/>
    <w:rsid w:val="00B85ECC"/>
    <w:rPr>
      <w:color w:val="605E5C"/>
      <w:shd w:val="clear" w:color="auto" w:fill="E1DFDD"/>
    </w:rPr>
  </w:style>
  <w:style w:type="paragraph" w:styleId="Revisin">
    <w:name w:val="Revision"/>
    <w:hidden/>
    <w:uiPriority w:val="99"/>
    <w:semiHidden/>
    <w:rsid w:val="00616549"/>
    <w:pPr>
      <w:spacing w:after="0" w:line="240" w:lineRule="auto"/>
    </w:pPr>
    <w:rPr>
      <w:rFonts w:ascii="Palatino Linotype" w:eastAsia="Calibri" w:hAnsi="Palatino Linotype" w:cs="Calibri"/>
      <w:kern w:val="0"/>
      <w:sz w:val="24"/>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7131">
      <w:bodyDiv w:val="1"/>
      <w:marLeft w:val="0"/>
      <w:marRight w:val="0"/>
      <w:marTop w:val="0"/>
      <w:marBottom w:val="0"/>
      <w:divBdr>
        <w:top w:val="none" w:sz="0" w:space="0" w:color="auto"/>
        <w:left w:val="none" w:sz="0" w:space="0" w:color="auto"/>
        <w:bottom w:val="none" w:sz="0" w:space="0" w:color="auto"/>
        <w:right w:val="none" w:sz="0" w:space="0" w:color="auto"/>
      </w:divBdr>
    </w:div>
    <w:div w:id="1672370319">
      <w:bodyDiv w:val="1"/>
      <w:marLeft w:val="0"/>
      <w:marRight w:val="0"/>
      <w:marTop w:val="0"/>
      <w:marBottom w:val="0"/>
      <w:divBdr>
        <w:top w:val="none" w:sz="0" w:space="0" w:color="auto"/>
        <w:left w:val="none" w:sz="0" w:space="0" w:color="auto"/>
        <w:bottom w:val="none" w:sz="0" w:space="0" w:color="auto"/>
        <w:right w:val="none" w:sz="0" w:space="0" w:color="auto"/>
      </w:divBdr>
    </w:div>
    <w:div w:id="20145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61533.page" TargetMode="External"/><Relationship Id="rId13" Type="http://schemas.openxmlformats.org/officeDocument/2006/relationships/hyperlink" Target="https://tecamac.gob.mx/docs/gacetas2023/Gaceta%20No.21.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961532.page" TargetMode="External"/><Relationship Id="rId12" Type="http://schemas.openxmlformats.org/officeDocument/2006/relationships/hyperlink" Target="https://drive.google.com/file/d/1I1iGRX9F2Q66S7QWPmG5G3mD2X3S3Ikg/view?usp=shari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961533.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961532.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912708.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3914</Words>
  <Characters>21527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Arturo Estanislao Macedo Albarrán</cp:lastModifiedBy>
  <cp:revision>4</cp:revision>
  <dcterms:created xsi:type="dcterms:W3CDTF">2024-01-16T19:01:00Z</dcterms:created>
  <dcterms:modified xsi:type="dcterms:W3CDTF">2024-01-30T21:16:00Z</dcterms:modified>
</cp:coreProperties>
</file>