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D512E7" w14:textId="587E902B" w:rsidR="002F1788" w:rsidRPr="000F23D6" w:rsidRDefault="00131773">
      <w:pPr>
        <w:spacing w:line="360" w:lineRule="auto"/>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de cuatro </w:t>
      </w:r>
      <w:r w:rsidR="007415D2" w:rsidRPr="000F23D6">
        <w:rPr>
          <w:rFonts w:ascii="Palatino Linotype" w:eastAsia="Palatino Linotype" w:hAnsi="Palatino Linotype" w:cs="Palatino Linotype"/>
          <w:sz w:val="22"/>
          <w:szCs w:val="22"/>
        </w:rPr>
        <w:t xml:space="preserve">(04) </w:t>
      </w:r>
      <w:r w:rsidRPr="000F23D6">
        <w:rPr>
          <w:rFonts w:ascii="Palatino Linotype" w:eastAsia="Palatino Linotype" w:hAnsi="Palatino Linotype" w:cs="Palatino Linotype"/>
          <w:sz w:val="22"/>
          <w:szCs w:val="22"/>
        </w:rPr>
        <w:t>de diciembre de dos mil veinticuatro.</w:t>
      </w:r>
    </w:p>
    <w:p w14:paraId="2D432B32" w14:textId="77777777" w:rsidR="002F1788" w:rsidRPr="000F23D6" w:rsidRDefault="002F1788">
      <w:pPr>
        <w:spacing w:line="360" w:lineRule="auto"/>
        <w:jc w:val="both"/>
        <w:rPr>
          <w:rFonts w:ascii="Palatino Linotype" w:eastAsia="Palatino Linotype" w:hAnsi="Palatino Linotype" w:cs="Palatino Linotype"/>
          <w:sz w:val="22"/>
          <w:szCs w:val="22"/>
        </w:rPr>
      </w:pPr>
    </w:p>
    <w:p w14:paraId="04DCD9A3" w14:textId="77777777" w:rsidR="002F1788" w:rsidRPr="000F23D6" w:rsidRDefault="00131773">
      <w:pPr>
        <w:spacing w:line="360" w:lineRule="auto"/>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b/>
          <w:color w:val="000000"/>
          <w:sz w:val="22"/>
          <w:szCs w:val="22"/>
        </w:rPr>
        <w:t xml:space="preserve">VISTOS </w:t>
      </w:r>
      <w:r w:rsidRPr="000F23D6">
        <w:rPr>
          <w:rFonts w:ascii="Palatino Linotype" w:eastAsia="Palatino Linotype" w:hAnsi="Palatino Linotype" w:cs="Palatino Linotype"/>
          <w:color w:val="000000"/>
          <w:sz w:val="22"/>
          <w:szCs w:val="22"/>
        </w:rPr>
        <w:t xml:space="preserve">los expedientes electrónicos formados con motivo de los Recurso de Revisión:    </w:t>
      </w:r>
      <w:r w:rsidRPr="000F23D6">
        <w:rPr>
          <w:rFonts w:ascii="Palatino Linotype" w:eastAsia="Palatino Linotype" w:hAnsi="Palatino Linotype" w:cs="Palatino Linotype"/>
          <w:b/>
          <w:color w:val="000000"/>
          <w:sz w:val="22"/>
          <w:szCs w:val="22"/>
        </w:rPr>
        <w:t>05873/INFOEM/IP/RR/2024, 05876/INFOEM/IP/RR/2024,  05877/INFOEM/IP/RR/2024, 05878/INFOEM/IP/RR/2024, 05879/INFOEM/IP/RR/2024, 05881/INFOEM/IP/RR/2024,</w:t>
      </w:r>
      <w:r w:rsidRPr="000F23D6">
        <w:rPr>
          <w:rFonts w:ascii="Palatino Linotype" w:eastAsia="Palatino Linotype" w:hAnsi="Palatino Linotype" w:cs="Palatino Linotype"/>
          <w:color w:val="000000"/>
          <w:sz w:val="22"/>
          <w:szCs w:val="22"/>
        </w:rPr>
        <w:t xml:space="preserve"> </w:t>
      </w:r>
      <w:r w:rsidRPr="000F23D6">
        <w:rPr>
          <w:rFonts w:ascii="Palatino Linotype" w:eastAsia="Palatino Linotype" w:hAnsi="Palatino Linotype" w:cs="Palatino Linotype"/>
          <w:b/>
          <w:color w:val="000000"/>
          <w:sz w:val="22"/>
          <w:szCs w:val="22"/>
        </w:rPr>
        <w:t>promovidos a través del Sistema de Acceso a la Información</w:t>
      </w:r>
      <w:r w:rsidRPr="000F23D6">
        <w:rPr>
          <w:rFonts w:ascii="Palatino Linotype" w:eastAsia="Palatino Linotype" w:hAnsi="Palatino Linotype" w:cs="Palatino Linotype"/>
          <w:color w:val="000000"/>
          <w:sz w:val="22"/>
          <w:szCs w:val="22"/>
        </w:rPr>
        <w:t xml:space="preserve"> Mexiquense (</w:t>
      </w:r>
      <w:r w:rsidRPr="000F23D6">
        <w:rPr>
          <w:rFonts w:ascii="Palatino Linotype" w:eastAsia="Palatino Linotype" w:hAnsi="Palatino Linotype" w:cs="Palatino Linotype"/>
          <w:b/>
          <w:color w:val="000000"/>
          <w:sz w:val="22"/>
          <w:szCs w:val="22"/>
        </w:rPr>
        <w:t>SAIMEX</w:t>
      </w:r>
      <w:r w:rsidRPr="000F23D6">
        <w:rPr>
          <w:rFonts w:ascii="Palatino Linotype" w:eastAsia="Palatino Linotype" w:hAnsi="Palatino Linotype" w:cs="Palatino Linotype"/>
          <w:color w:val="000000"/>
          <w:sz w:val="22"/>
          <w:szCs w:val="22"/>
        </w:rPr>
        <w:t xml:space="preserve">) por </w:t>
      </w:r>
      <w:r w:rsidRPr="000F23D6">
        <w:rPr>
          <w:rFonts w:ascii="Palatino Linotype" w:eastAsia="Palatino Linotype" w:hAnsi="Palatino Linotype" w:cs="Palatino Linotype"/>
          <w:sz w:val="22"/>
          <w:szCs w:val="22"/>
        </w:rPr>
        <w:t xml:space="preserve">promovidos por </w:t>
      </w:r>
      <w:r w:rsidRPr="000F23D6">
        <w:rPr>
          <w:rFonts w:ascii="Palatino Linotype" w:eastAsia="Palatino Linotype" w:hAnsi="Palatino Linotype" w:cs="Palatino Linotype"/>
          <w:b/>
          <w:sz w:val="22"/>
          <w:szCs w:val="22"/>
        </w:rPr>
        <w:t>Una persona que no proporcionó información</w:t>
      </w:r>
      <w:r w:rsidRPr="000F23D6">
        <w:rPr>
          <w:rFonts w:ascii="Palatino Linotype" w:eastAsia="Palatino Linotype" w:hAnsi="Palatino Linotype" w:cs="Palatino Linotype"/>
          <w:color w:val="000000"/>
          <w:sz w:val="22"/>
          <w:szCs w:val="22"/>
        </w:rPr>
        <w:t xml:space="preserve">, a quien en adelante se le reconocerá como </w:t>
      </w:r>
      <w:r w:rsidRPr="000F23D6">
        <w:rPr>
          <w:rFonts w:ascii="Palatino Linotype" w:eastAsia="Palatino Linotype" w:hAnsi="Palatino Linotype" w:cs="Palatino Linotype"/>
          <w:b/>
          <w:color w:val="000000"/>
          <w:sz w:val="22"/>
          <w:szCs w:val="22"/>
        </w:rPr>
        <w:t>EL</w:t>
      </w:r>
      <w:r w:rsidRPr="000F23D6">
        <w:rPr>
          <w:rFonts w:ascii="Palatino Linotype" w:eastAsia="Palatino Linotype" w:hAnsi="Palatino Linotype" w:cs="Palatino Linotype"/>
          <w:color w:val="000000"/>
          <w:sz w:val="22"/>
          <w:szCs w:val="22"/>
        </w:rPr>
        <w:t xml:space="preserve"> </w:t>
      </w:r>
      <w:r w:rsidRPr="000F23D6">
        <w:rPr>
          <w:rFonts w:ascii="Palatino Linotype" w:eastAsia="Palatino Linotype" w:hAnsi="Palatino Linotype" w:cs="Palatino Linotype"/>
          <w:b/>
          <w:color w:val="000000"/>
          <w:sz w:val="22"/>
          <w:szCs w:val="22"/>
        </w:rPr>
        <w:t>RECURRENTE</w:t>
      </w:r>
      <w:r w:rsidRPr="000F23D6">
        <w:rPr>
          <w:rFonts w:ascii="Palatino Linotype" w:eastAsia="Palatino Linotype" w:hAnsi="Palatino Linotype" w:cs="Palatino Linotype"/>
          <w:color w:val="000000"/>
          <w:sz w:val="22"/>
          <w:szCs w:val="22"/>
        </w:rPr>
        <w:t xml:space="preserve">, en contra de las respuestas emitidas por el </w:t>
      </w:r>
      <w:r w:rsidRPr="000F23D6">
        <w:rPr>
          <w:rFonts w:ascii="Palatino Linotype" w:eastAsia="Palatino Linotype" w:hAnsi="Palatino Linotype" w:cs="Palatino Linotype"/>
          <w:b/>
          <w:color w:val="000000"/>
          <w:sz w:val="22"/>
          <w:szCs w:val="22"/>
        </w:rPr>
        <w:t xml:space="preserve">Ayuntamiento de Tezoyuca </w:t>
      </w:r>
      <w:r w:rsidRPr="000F23D6">
        <w:rPr>
          <w:rFonts w:ascii="Palatino Linotype" w:eastAsia="Palatino Linotype" w:hAnsi="Palatino Linotype" w:cs="Palatino Linotype"/>
          <w:color w:val="000000"/>
          <w:sz w:val="22"/>
          <w:szCs w:val="22"/>
        </w:rPr>
        <w:t>en lo sucesivo el</w:t>
      </w:r>
      <w:r w:rsidRPr="000F23D6">
        <w:rPr>
          <w:rFonts w:ascii="Palatino Linotype" w:eastAsia="Palatino Linotype" w:hAnsi="Palatino Linotype" w:cs="Palatino Linotype"/>
          <w:b/>
          <w:color w:val="000000"/>
          <w:sz w:val="22"/>
          <w:szCs w:val="22"/>
        </w:rPr>
        <w:t xml:space="preserve"> SUJETO OBLIGADO,</w:t>
      </w:r>
      <w:r w:rsidRPr="000F23D6">
        <w:rPr>
          <w:rFonts w:ascii="Palatino Linotype" w:eastAsia="Palatino Linotype" w:hAnsi="Palatino Linotype" w:cs="Palatino Linotype"/>
          <w:color w:val="000000"/>
          <w:sz w:val="22"/>
          <w:szCs w:val="22"/>
        </w:rPr>
        <w:t xml:space="preserve"> por lo que se procede a dictar la presente Resolución, con base en los siguientes:</w:t>
      </w:r>
    </w:p>
    <w:p w14:paraId="2795E5BC"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tabs>
          <w:tab w:val="center" w:pos="4419"/>
          <w:tab w:val="right" w:pos="8838"/>
        </w:tabs>
        <w:spacing w:line="360" w:lineRule="auto"/>
        <w:jc w:val="both"/>
        <w:rPr>
          <w:rFonts w:ascii="Palatino Linotype" w:eastAsia="Palatino Linotype" w:hAnsi="Palatino Linotype" w:cs="Palatino Linotype"/>
          <w:color w:val="000000"/>
          <w:sz w:val="22"/>
          <w:szCs w:val="22"/>
        </w:rPr>
      </w:pPr>
    </w:p>
    <w:p w14:paraId="3C9B1485" w14:textId="77777777" w:rsidR="002F1788" w:rsidRPr="000F23D6" w:rsidRDefault="00131773">
      <w:pPr>
        <w:pStyle w:val="Ttulo1"/>
        <w:spacing w:before="0" w:line="360" w:lineRule="auto"/>
        <w:jc w:val="center"/>
        <w:rPr>
          <w:rFonts w:ascii="Palatino Linotype" w:eastAsia="Palatino Linotype" w:hAnsi="Palatino Linotype" w:cs="Palatino Linotype"/>
          <w:b/>
          <w:color w:val="000000"/>
          <w:sz w:val="22"/>
          <w:szCs w:val="22"/>
        </w:rPr>
      </w:pPr>
      <w:r w:rsidRPr="000F23D6">
        <w:rPr>
          <w:rFonts w:ascii="Palatino Linotype" w:eastAsia="Palatino Linotype" w:hAnsi="Palatino Linotype" w:cs="Palatino Linotype"/>
          <w:b/>
          <w:color w:val="000000"/>
          <w:sz w:val="22"/>
          <w:szCs w:val="22"/>
        </w:rPr>
        <w:t>A N T E C E D E N T E S</w:t>
      </w:r>
    </w:p>
    <w:p w14:paraId="246F0723" w14:textId="77777777" w:rsidR="002F1788" w:rsidRPr="000F23D6" w:rsidRDefault="002F1788">
      <w:pPr>
        <w:spacing w:line="360" w:lineRule="auto"/>
        <w:rPr>
          <w:rFonts w:ascii="Palatino Linotype" w:eastAsia="Palatino Linotype" w:hAnsi="Palatino Linotype" w:cs="Palatino Linotype"/>
          <w:sz w:val="22"/>
          <w:szCs w:val="22"/>
        </w:rPr>
      </w:pPr>
    </w:p>
    <w:p w14:paraId="527194DE"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El </w:t>
      </w:r>
      <w:r w:rsidR="00233C37" w:rsidRPr="000F23D6">
        <w:rPr>
          <w:rFonts w:ascii="Palatino Linotype" w:eastAsia="Palatino Linotype" w:hAnsi="Palatino Linotype" w:cs="Palatino Linotype"/>
          <w:color w:val="000000"/>
          <w:sz w:val="22"/>
          <w:szCs w:val="22"/>
        </w:rPr>
        <w:t xml:space="preserve">once y diecisiete de septiembre </w:t>
      </w:r>
      <w:r w:rsidRPr="000F23D6">
        <w:rPr>
          <w:rFonts w:ascii="Palatino Linotype" w:eastAsia="Palatino Linotype" w:hAnsi="Palatino Linotype" w:cs="Palatino Linotype"/>
          <w:color w:val="000000"/>
          <w:sz w:val="22"/>
          <w:szCs w:val="22"/>
        </w:rPr>
        <w:t>de dos mil veinticuatro</w:t>
      </w:r>
      <w:r w:rsidRPr="000F23D6">
        <w:rPr>
          <w:rFonts w:ascii="Palatino Linotype" w:eastAsia="Palatino Linotype" w:hAnsi="Palatino Linotype" w:cs="Palatino Linotype"/>
          <w:b/>
          <w:color w:val="000000"/>
          <w:sz w:val="22"/>
          <w:szCs w:val="22"/>
        </w:rPr>
        <w:t xml:space="preserve">, </w:t>
      </w:r>
      <w:r w:rsidRPr="000F23D6">
        <w:rPr>
          <w:rFonts w:ascii="Palatino Linotype" w:eastAsia="Palatino Linotype" w:hAnsi="Palatino Linotype" w:cs="Palatino Linotype"/>
          <w:color w:val="000000"/>
          <w:sz w:val="22"/>
          <w:szCs w:val="22"/>
        </w:rPr>
        <w:t xml:space="preserve">se presentaron ante el </w:t>
      </w:r>
      <w:r w:rsidRPr="000F23D6">
        <w:rPr>
          <w:rFonts w:ascii="Palatino Linotype" w:eastAsia="Palatino Linotype" w:hAnsi="Palatino Linotype" w:cs="Palatino Linotype"/>
          <w:b/>
          <w:color w:val="000000"/>
          <w:sz w:val="22"/>
          <w:szCs w:val="22"/>
        </w:rPr>
        <w:t>SUJETO OBLIGADO</w:t>
      </w:r>
      <w:r w:rsidRPr="000F23D6">
        <w:rPr>
          <w:rFonts w:ascii="Palatino Linotype" w:eastAsia="Palatino Linotype" w:hAnsi="Palatino Linotype" w:cs="Palatino Linotype"/>
          <w:color w:val="000000"/>
          <w:sz w:val="22"/>
          <w:szCs w:val="22"/>
        </w:rPr>
        <w:t xml:space="preserve"> vía </w:t>
      </w:r>
      <w:r w:rsidRPr="000F23D6">
        <w:rPr>
          <w:rFonts w:ascii="Palatino Linotype" w:eastAsia="Palatino Linotype" w:hAnsi="Palatino Linotype" w:cs="Palatino Linotype"/>
          <w:b/>
          <w:color w:val="000000"/>
          <w:sz w:val="22"/>
          <w:szCs w:val="22"/>
        </w:rPr>
        <w:t>SAIMEX</w:t>
      </w:r>
      <w:r w:rsidRPr="000F23D6">
        <w:rPr>
          <w:rFonts w:ascii="Palatino Linotype" w:eastAsia="Palatino Linotype" w:hAnsi="Palatino Linotype" w:cs="Palatino Linotype"/>
          <w:color w:val="000000"/>
          <w:sz w:val="22"/>
          <w:szCs w:val="22"/>
        </w:rPr>
        <w:t>, las siguientes solicitudes de información pública</w:t>
      </w:r>
      <w:r w:rsidRPr="000F23D6">
        <w:rPr>
          <w:rFonts w:ascii="Palatino Linotype" w:eastAsia="Palatino Linotype" w:hAnsi="Palatino Linotype" w:cs="Palatino Linotype"/>
          <w:b/>
          <w:color w:val="000000"/>
          <w:sz w:val="22"/>
          <w:szCs w:val="22"/>
        </w:rPr>
        <w:t>,</w:t>
      </w:r>
      <w:r w:rsidRPr="000F23D6">
        <w:rPr>
          <w:rFonts w:ascii="Palatino Linotype" w:eastAsia="Palatino Linotype" w:hAnsi="Palatino Linotype" w:cs="Palatino Linotype"/>
          <w:color w:val="000000"/>
          <w:sz w:val="22"/>
          <w:szCs w:val="22"/>
        </w:rPr>
        <w:t xml:space="preserve"> mediante las cuales se solicitó lo siguiente:</w:t>
      </w:r>
    </w:p>
    <w:p w14:paraId="6A68E99A"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color w:val="000000"/>
          <w:sz w:val="22"/>
          <w:szCs w:val="22"/>
        </w:rPr>
      </w:pPr>
    </w:p>
    <w:p w14:paraId="55D6BACC"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 Solicitud:    00115/TEZOYUCA/IP/2024</w:t>
      </w:r>
    </w:p>
    <w:p w14:paraId="29C8F5A2"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lastRenderedPageBreak/>
        <w:t xml:space="preserve">Solicito todos los oficios enviados y recibidos de parte del registro civil del municipio de </w:t>
      </w:r>
      <w:proofErr w:type="spellStart"/>
      <w:r w:rsidRPr="000F23D6">
        <w:rPr>
          <w:rFonts w:ascii="Palatino Linotype" w:eastAsia="Palatino Linotype" w:hAnsi="Palatino Linotype" w:cs="Palatino Linotype"/>
          <w:i/>
          <w:color w:val="000000"/>
          <w:sz w:val="22"/>
          <w:szCs w:val="22"/>
        </w:rPr>
        <w:t>tezoyuca</w:t>
      </w:r>
      <w:proofErr w:type="spellEnd"/>
      <w:r w:rsidRPr="000F23D6">
        <w:rPr>
          <w:rFonts w:ascii="Palatino Linotype" w:eastAsia="Palatino Linotype" w:hAnsi="Palatino Linotype" w:cs="Palatino Linotype"/>
          <w:i/>
          <w:color w:val="000000"/>
          <w:sz w:val="22"/>
          <w:szCs w:val="22"/>
        </w:rPr>
        <w:t xml:space="preserve"> en los años 2010,2011,2012,2013,2014,2015,2016,2017,2018,2019,2020,2021,2022,2023,2024</w:t>
      </w:r>
    </w:p>
    <w:p w14:paraId="1D84134F"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p>
    <w:p w14:paraId="6EE56DCD"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Solicitud:    00099/TEZOYUCA/IP/2024</w:t>
      </w:r>
    </w:p>
    <w:p w14:paraId="72B242D6"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Solicito todos los oficios enviados y recibidos por parte del DIF municipal de enero a agosto del 2024</w:t>
      </w:r>
    </w:p>
    <w:p w14:paraId="3BBB0534"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p>
    <w:p w14:paraId="10C3604E"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Solicitud:    00097/TEZOYUCA/IP/2024</w:t>
      </w:r>
    </w:p>
    <w:p w14:paraId="32523D98"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Solicito todos los oficios enviados y recibidos de contraloría municipal de enero a agosto del 2024</w:t>
      </w:r>
    </w:p>
    <w:p w14:paraId="1811BEF9"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p>
    <w:p w14:paraId="7BD80642"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Solicitud:    00095/TEZOYUCA/IP/2024</w:t>
      </w:r>
    </w:p>
    <w:p w14:paraId="29750DD6"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Solicito todos los oficios recibidos y enviados del área de obras públicas de enero a agosto del 2024</w:t>
      </w:r>
    </w:p>
    <w:p w14:paraId="0AA087F6"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p>
    <w:p w14:paraId="4B8CAB34"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Solicitud:    00094/TEZOYUCA/IP/2024</w:t>
      </w:r>
    </w:p>
    <w:p w14:paraId="6E90C4A0"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Solicito todos los oficios enviados y recibidos del área de desarrollo urbano de enero 2024 a agosto 2024</w:t>
      </w:r>
    </w:p>
    <w:p w14:paraId="42D42D0E"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p>
    <w:p w14:paraId="60D14089"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Solicitud:    00092/TEZOYUCA/IP/2024</w:t>
      </w:r>
    </w:p>
    <w:p w14:paraId="56A5A86D"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Solicito todos los oficios recibidos y enviados por parte de presidencia municipal de enero del 2024 a agosto del 2024</w:t>
      </w:r>
    </w:p>
    <w:p w14:paraId="2C3B4394"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p>
    <w:p w14:paraId="789C4068" w14:textId="77777777" w:rsidR="002F1788" w:rsidRPr="000F23D6" w:rsidRDefault="00131773">
      <w:pPr>
        <w:numPr>
          <w:ilvl w:val="0"/>
          <w:numId w:val="2"/>
        </w:numPr>
        <w:pBdr>
          <w:top w:val="none" w:sz="0" w:space="0" w:color="000000"/>
          <w:left w:val="none" w:sz="0" w:space="0" w:color="000000"/>
          <w:bottom w:val="none" w:sz="0" w:space="0" w:color="000000"/>
          <w:right w:val="none" w:sz="0" w:space="0" w:color="000000"/>
          <w:between w:val="none" w:sz="0" w:space="0" w:color="000000"/>
        </w:pBdr>
        <w:spacing w:line="360" w:lineRule="auto"/>
        <w:ind w:left="709" w:right="474"/>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b/>
          <w:color w:val="000000"/>
          <w:sz w:val="22"/>
          <w:szCs w:val="22"/>
        </w:rPr>
        <w:t>Modalidad de entrega</w:t>
      </w:r>
      <w:r w:rsidRPr="000F23D6">
        <w:rPr>
          <w:rFonts w:ascii="Palatino Linotype" w:eastAsia="Palatino Linotype" w:hAnsi="Palatino Linotype" w:cs="Palatino Linotype"/>
          <w:color w:val="000000"/>
          <w:sz w:val="22"/>
          <w:szCs w:val="22"/>
        </w:rPr>
        <w:t>: SAIMEX</w:t>
      </w:r>
      <w:r w:rsidRPr="000F23D6">
        <w:rPr>
          <w:rFonts w:ascii="Palatino Linotype" w:eastAsia="Palatino Linotype" w:hAnsi="Palatino Linotype" w:cs="Palatino Linotype"/>
          <w:b/>
          <w:color w:val="000000"/>
          <w:sz w:val="22"/>
          <w:szCs w:val="22"/>
        </w:rPr>
        <w:t xml:space="preserve"> </w:t>
      </w:r>
    </w:p>
    <w:p w14:paraId="1D5FC61A"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709" w:right="474"/>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ab/>
      </w:r>
      <w:r w:rsidRPr="000F23D6">
        <w:rPr>
          <w:rFonts w:ascii="Palatino Linotype" w:eastAsia="Palatino Linotype" w:hAnsi="Palatino Linotype" w:cs="Palatino Linotype"/>
          <w:color w:val="000000"/>
          <w:sz w:val="22"/>
          <w:szCs w:val="22"/>
        </w:rPr>
        <w:tab/>
      </w:r>
      <w:r w:rsidRPr="000F23D6">
        <w:rPr>
          <w:rFonts w:ascii="Palatino Linotype" w:eastAsia="Palatino Linotype" w:hAnsi="Palatino Linotype" w:cs="Palatino Linotype"/>
          <w:color w:val="000000"/>
          <w:sz w:val="22"/>
          <w:szCs w:val="22"/>
        </w:rPr>
        <w:tab/>
      </w:r>
      <w:r w:rsidRPr="000F23D6">
        <w:rPr>
          <w:rFonts w:ascii="Palatino Linotype" w:eastAsia="Palatino Linotype" w:hAnsi="Palatino Linotype" w:cs="Palatino Linotype"/>
          <w:color w:val="000000"/>
          <w:sz w:val="22"/>
          <w:szCs w:val="22"/>
        </w:rPr>
        <w:tab/>
      </w:r>
      <w:r w:rsidRPr="000F23D6">
        <w:rPr>
          <w:rFonts w:ascii="Palatino Linotype" w:eastAsia="Palatino Linotype" w:hAnsi="Palatino Linotype" w:cs="Palatino Linotype"/>
          <w:color w:val="000000"/>
          <w:sz w:val="22"/>
          <w:szCs w:val="22"/>
        </w:rPr>
        <w:tab/>
      </w:r>
      <w:r w:rsidRPr="000F23D6">
        <w:rPr>
          <w:rFonts w:ascii="Palatino Linotype" w:eastAsia="Palatino Linotype" w:hAnsi="Palatino Linotype" w:cs="Palatino Linotype"/>
          <w:color w:val="000000"/>
          <w:sz w:val="22"/>
          <w:szCs w:val="22"/>
        </w:rPr>
        <w:tab/>
      </w:r>
      <w:r w:rsidRPr="000F23D6">
        <w:rPr>
          <w:rFonts w:ascii="Palatino Linotype" w:eastAsia="Palatino Linotype" w:hAnsi="Palatino Linotype" w:cs="Palatino Linotype"/>
          <w:color w:val="000000"/>
          <w:sz w:val="22"/>
          <w:szCs w:val="22"/>
        </w:rPr>
        <w:tab/>
      </w:r>
    </w:p>
    <w:p w14:paraId="7E3F91B5" w14:textId="50D854FA"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b/>
          <w:i/>
          <w:color w:val="000000"/>
          <w:sz w:val="22"/>
          <w:szCs w:val="22"/>
        </w:rPr>
      </w:pPr>
      <w:r w:rsidRPr="000F23D6">
        <w:rPr>
          <w:rFonts w:ascii="Palatino Linotype" w:eastAsia="Palatino Linotype" w:hAnsi="Palatino Linotype" w:cs="Palatino Linotype"/>
          <w:color w:val="000000"/>
          <w:sz w:val="22"/>
          <w:szCs w:val="22"/>
        </w:rPr>
        <w:t xml:space="preserve">En fecha </w:t>
      </w:r>
      <w:r w:rsidRPr="000F23D6">
        <w:rPr>
          <w:rFonts w:ascii="Palatino Linotype" w:eastAsia="Palatino Linotype" w:hAnsi="Palatino Linotype" w:cs="Palatino Linotype"/>
          <w:b/>
          <w:color w:val="000000"/>
          <w:sz w:val="22"/>
          <w:szCs w:val="22"/>
        </w:rPr>
        <w:t xml:space="preserve">veintiuno, veintitrés y veintisiete de septiembre de dos mil veinticuatro, </w:t>
      </w:r>
      <w:r w:rsidRPr="000F23D6">
        <w:rPr>
          <w:rFonts w:ascii="Palatino Linotype" w:eastAsia="Palatino Linotype" w:hAnsi="Palatino Linotype" w:cs="Palatino Linotype"/>
          <w:color w:val="000000"/>
          <w:sz w:val="22"/>
          <w:szCs w:val="22"/>
        </w:rPr>
        <w:t xml:space="preserve">respectivamente el </w:t>
      </w:r>
      <w:r w:rsidRPr="000F23D6">
        <w:rPr>
          <w:rFonts w:ascii="Palatino Linotype" w:eastAsia="Palatino Linotype" w:hAnsi="Palatino Linotype" w:cs="Palatino Linotype"/>
          <w:b/>
          <w:color w:val="000000"/>
          <w:sz w:val="22"/>
          <w:szCs w:val="22"/>
        </w:rPr>
        <w:t xml:space="preserve">SUJETO OBLIGADO, </w:t>
      </w:r>
      <w:r w:rsidRPr="000F23D6">
        <w:rPr>
          <w:rFonts w:ascii="Palatino Linotype" w:eastAsia="Palatino Linotype" w:hAnsi="Palatino Linotype" w:cs="Palatino Linotype"/>
          <w:color w:val="000000"/>
          <w:sz w:val="22"/>
          <w:szCs w:val="22"/>
        </w:rPr>
        <w:t xml:space="preserve">emitió una respuesta en las solicitudes objeto de acumulación en las que refiere que </w:t>
      </w:r>
      <w:r w:rsidRPr="000F23D6">
        <w:rPr>
          <w:rFonts w:ascii="SimSun" w:eastAsia="SimSun" w:hAnsi="SimSun" w:cs="SimSun"/>
          <w:sz w:val="22"/>
          <w:szCs w:val="22"/>
        </w:rPr>
        <w:t xml:space="preserve">el </w:t>
      </w:r>
      <w:r w:rsidR="000F23D6" w:rsidRPr="000F23D6">
        <w:rPr>
          <w:rFonts w:ascii="SimSun" w:eastAsia="SimSun" w:hAnsi="SimSun" w:cs="SimSun"/>
          <w:sz w:val="22"/>
          <w:szCs w:val="22"/>
        </w:rPr>
        <w:t>solicitante</w:t>
      </w:r>
      <w:r w:rsidRPr="000F23D6">
        <w:rPr>
          <w:rFonts w:ascii="SimSun" w:eastAsia="SimSun" w:hAnsi="SimSun" w:cs="SimSun"/>
          <w:sz w:val="22"/>
          <w:szCs w:val="22"/>
        </w:rPr>
        <w:t xml:space="preserve"> no especifica la forma en lo que lo requiere, por lo que se ponen a su disposición en las oficinas ubicadas en Av. Pascual Luna No. 20, Barrio Ascensión, Tezoyuca, Estado de México. </w:t>
      </w:r>
    </w:p>
    <w:p w14:paraId="67C5CAC8"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b/>
          <w:i/>
          <w:color w:val="000000"/>
          <w:sz w:val="22"/>
          <w:szCs w:val="22"/>
        </w:rPr>
      </w:pPr>
    </w:p>
    <w:p w14:paraId="2A014894" w14:textId="5778A69F"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i/>
          <w:color w:val="000000"/>
          <w:sz w:val="22"/>
          <w:szCs w:val="22"/>
        </w:rPr>
      </w:pPr>
      <w:bookmarkStart w:id="0" w:name="_heading=h.30j0zll" w:colFirst="0" w:colLast="0"/>
      <w:bookmarkEnd w:id="0"/>
      <w:r w:rsidRPr="000F23D6">
        <w:rPr>
          <w:rFonts w:ascii="Palatino Linotype" w:eastAsia="Palatino Linotype" w:hAnsi="Palatino Linotype" w:cs="Palatino Linotype"/>
          <w:color w:val="000000"/>
          <w:sz w:val="22"/>
          <w:szCs w:val="22"/>
        </w:rPr>
        <w:t xml:space="preserve">El </w:t>
      </w:r>
      <w:r w:rsidR="000F23D6" w:rsidRPr="000F23D6">
        <w:rPr>
          <w:rFonts w:ascii="Palatino Linotype" w:eastAsia="Palatino Linotype" w:hAnsi="Palatino Linotype" w:cs="Palatino Linotype"/>
          <w:b/>
          <w:color w:val="000000"/>
          <w:sz w:val="22"/>
          <w:szCs w:val="22"/>
        </w:rPr>
        <w:t>veintiséis</w:t>
      </w:r>
      <w:r w:rsidRPr="000F23D6">
        <w:rPr>
          <w:rFonts w:ascii="Palatino Linotype" w:eastAsia="Palatino Linotype" w:hAnsi="Palatino Linotype" w:cs="Palatino Linotype"/>
          <w:b/>
          <w:color w:val="000000"/>
          <w:sz w:val="22"/>
          <w:szCs w:val="22"/>
        </w:rPr>
        <w:t xml:space="preserve"> de septiembre de dos mil veinticuatro</w:t>
      </w:r>
      <w:r w:rsidRPr="000F23D6">
        <w:rPr>
          <w:rFonts w:ascii="Palatino Linotype" w:eastAsia="Palatino Linotype" w:hAnsi="Palatino Linotype" w:cs="Palatino Linotype"/>
          <w:color w:val="000000"/>
          <w:sz w:val="22"/>
          <w:szCs w:val="22"/>
        </w:rPr>
        <w:t>, el particular interpuso los Recurso de Revisión al rubro indicados, señalando, las siguientes razones o motivos de inconformidad:</w:t>
      </w:r>
    </w:p>
    <w:p w14:paraId="0E4A1B27" w14:textId="77777777" w:rsidR="002F1788" w:rsidRPr="000F23D6" w:rsidRDefault="002F1788">
      <w:pPr>
        <w:spacing w:line="360" w:lineRule="auto"/>
        <w:jc w:val="both"/>
        <w:rPr>
          <w:rFonts w:ascii="Palatino Linotype" w:eastAsia="Palatino Linotype" w:hAnsi="Palatino Linotype" w:cs="Palatino Linotype"/>
          <w:i/>
          <w:sz w:val="22"/>
          <w:szCs w:val="22"/>
        </w:rPr>
      </w:pPr>
    </w:p>
    <w:p w14:paraId="4C006249" w14:textId="77777777" w:rsidR="002F1788" w:rsidRPr="000F23D6" w:rsidRDefault="00131773">
      <w:pPr>
        <w:spacing w:line="360" w:lineRule="auto"/>
        <w:ind w:left="1200"/>
        <w:jc w:val="both"/>
        <w:rPr>
          <w:rFonts w:ascii="Palatino Linotype" w:eastAsia="Palatino Linotype" w:hAnsi="Palatino Linotype" w:cs="Palatino Linotype"/>
          <w:b/>
          <w:i/>
          <w:sz w:val="22"/>
          <w:szCs w:val="22"/>
        </w:rPr>
      </w:pPr>
      <w:r w:rsidRPr="000F23D6">
        <w:rPr>
          <w:rFonts w:ascii="Palatino Linotype" w:eastAsia="Palatino Linotype" w:hAnsi="Palatino Linotype" w:cs="Palatino Linotype"/>
          <w:b/>
          <w:i/>
          <w:sz w:val="22"/>
          <w:szCs w:val="22"/>
        </w:rPr>
        <w:t xml:space="preserve"> SOLICITUD</w:t>
      </w:r>
      <w:proofErr w:type="gramStart"/>
      <w:r w:rsidRPr="000F23D6">
        <w:rPr>
          <w:rFonts w:ascii="Palatino Linotype" w:eastAsia="Palatino Linotype" w:hAnsi="Palatino Linotype" w:cs="Palatino Linotype"/>
          <w:b/>
          <w:i/>
          <w:sz w:val="22"/>
          <w:szCs w:val="22"/>
        </w:rPr>
        <w:tab/>
        <w:t xml:space="preserve">  00115</w:t>
      </w:r>
      <w:proofErr w:type="gramEnd"/>
      <w:r w:rsidRPr="000F23D6">
        <w:rPr>
          <w:rFonts w:ascii="Palatino Linotype" w:eastAsia="Palatino Linotype" w:hAnsi="Palatino Linotype" w:cs="Palatino Linotype"/>
          <w:b/>
          <w:i/>
          <w:sz w:val="22"/>
          <w:szCs w:val="22"/>
        </w:rPr>
        <w:t>/TEZOYUCA/IP/2024</w:t>
      </w:r>
    </w:p>
    <w:p w14:paraId="45C7706C"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ACTO IMPUGNADO</w:t>
      </w:r>
      <w:r w:rsidRPr="000F23D6">
        <w:rPr>
          <w:rFonts w:ascii="Palatino Linotype" w:eastAsia="Palatino Linotype" w:hAnsi="Palatino Linotype" w:cs="Palatino Linotype"/>
          <w:i/>
          <w:sz w:val="22"/>
          <w:szCs w:val="22"/>
        </w:rPr>
        <w:tab/>
      </w:r>
    </w:p>
    <w:p w14:paraId="0F30BA47"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 xml:space="preserve">El titular de transparencia por lo visto no sabe leer, ya que se solicitó la información. Que la entregué vía </w:t>
      </w:r>
      <w:proofErr w:type="spellStart"/>
      <w:r w:rsidRPr="000F23D6">
        <w:rPr>
          <w:rFonts w:ascii="Palatino Linotype" w:eastAsia="Palatino Linotype" w:hAnsi="Palatino Linotype" w:cs="Palatino Linotype"/>
          <w:i/>
          <w:sz w:val="22"/>
          <w:szCs w:val="22"/>
        </w:rPr>
        <w:t>saimex</w:t>
      </w:r>
      <w:proofErr w:type="spellEnd"/>
      <w:r w:rsidRPr="000F23D6">
        <w:rPr>
          <w:rFonts w:ascii="Palatino Linotype" w:eastAsia="Palatino Linotype" w:hAnsi="Palatino Linotype" w:cs="Palatino Linotype"/>
          <w:i/>
          <w:sz w:val="22"/>
          <w:szCs w:val="22"/>
        </w:rPr>
        <w:t xml:space="preserve"> omite la entrega de la información solicitada.</w:t>
      </w:r>
    </w:p>
    <w:p w14:paraId="5B66DD81"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RAZONES O MOTIVOS DE LA INCONFORMIDAD</w:t>
      </w:r>
      <w:r w:rsidRPr="000F23D6">
        <w:rPr>
          <w:rFonts w:ascii="Palatino Linotype" w:eastAsia="Palatino Linotype" w:hAnsi="Palatino Linotype" w:cs="Palatino Linotype"/>
          <w:i/>
          <w:sz w:val="22"/>
          <w:szCs w:val="22"/>
        </w:rPr>
        <w:tab/>
      </w:r>
    </w:p>
    <w:p w14:paraId="144C820C"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 xml:space="preserve">El titular de transparencia por lo visto no sabe leer, ya que se solicitó la información. Que la entregué vía </w:t>
      </w:r>
      <w:proofErr w:type="spellStart"/>
      <w:r w:rsidRPr="000F23D6">
        <w:rPr>
          <w:rFonts w:ascii="Palatino Linotype" w:eastAsia="Palatino Linotype" w:hAnsi="Palatino Linotype" w:cs="Palatino Linotype"/>
          <w:i/>
          <w:sz w:val="22"/>
          <w:szCs w:val="22"/>
        </w:rPr>
        <w:t>saimex</w:t>
      </w:r>
      <w:proofErr w:type="spellEnd"/>
      <w:r w:rsidRPr="000F23D6">
        <w:rPr>
          <w:rFonts w:ascii="Palatino Linotype" w:eastAsia="Palatino Linotype" w:hAnsi="Palatino Linotype" w:cs="Palatino Linotype"/>
          <w:i/>
          <w:sz w:val="22"/>
          <w:szCs w:val="22"/>
        </w:rPr>
        <w:t xml:space="preserve"> omite la entrega de la información solicitada</w:t>
      </w:r>
    </w:p>
    <w:p w14:paraId="5625B437" w14:textId="77777777" w:rsidR="002F1788" w:rsidRPr="000F23D6" w:rsidRDefault="002F1788">
      <w:pPr>
        <w:spacing w:line="360" w:lineRule="auto"/>
        <w:ind w:left="1200"/>
        <w:jc w:val="both"/>
        <w:rPr>
          <w:rFonts w:ascii="Palatino Linotype" w:eastAsia="Palatino Linotype" w:hAnsi="Palatino Linotype" w:cs="Palatino Linotype"/>
          <w:i/>
          <w:sz w:val="22"/>
          <w:szCs w:val="22"/>
        </w:rPr>
      </w:pPr>
    </w:p>
    <w:p w14:paraId="7F7F821C" w14:textId="77777777" w:rsidR="002F1788" w:rsidRPr="000F23D6" w:rsidRDefault="00131773">
      <w:pPr>
        <w:spacing w:line="360" w:lineRule="auto"/>
        <w:ind w:left="1200"/>
        <w:jc w:val="both"/>
        <w:rPr>
          <w:rFonts w:ascii="Palatino Linotype" w:eastAsia="Palatino Linotype" w:hAnsi="Palatino Linotype" w:cs="Palatino Linotype"/>
          <w:b/>
          <w:i/>
          <w:sz w:val="22"/>
          <w:szCs w:val="22"/>
        </w:rPr>
      </w:pPr>
      <w:r w:rsidRPr="000F23D6">
        <w:rPr>
          <w:rFonts w:ascii="Palatino Linotype" w:eastAsia="Palatino Linotype" w:hAnsi="Palatino Linotype" w:cs="Palatino Linotype"/>
          <w:b/>
          <w:i/>
          <w:sz w:val="22"/>
          <w:szCs w:val="22"/>
        </w:rPr>
        <w:t>SOLICITUD</w:t>
      </w:r>
      <w:proofErr w:type="gramStart"/>
      <w:r w:rsidRPr="000F23D6">
        <w:rPr>
          <w:rFonts w:ascii="Palatino Linotype" w:eastAsia="Palatino Linotype" w:hAnsi="Palatino Linotype" w:cs="Palatino Linotype"/>
          <w:b/>
          <w:i/>
          <w:sz w:val="22"/>
          <w:szCs w:val="22"/>
        </w:rPr>
        <w:tab/>
        <w:t xml:space="preserve">  00099</w:t>
      </w:r>
      <w:proofErr w:type="gramEnd"/>
      <w:r w:rsidRPr="000F23D6">
        <w:rPr>
          <w:rFonts w:ascii="Palatino Linotype" w:eastAsia="Palatino Linotype" w:hAnsi="Palatino Linotype" w:cs="Palatino Linotype"/>
          <w:b/>
          <w:i/>
          <w:sz w:val="22"/>
          <w:szCs w:val="22"/>
        </w:rPr>
        <w:t>/TEZOYUCA/IP/2024</w:t>
      </w:r>
    </w:p>
    <w:p w14:paraId="59AF6E19"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ACTO IMPUGNADO</w:t>
      </w:r>
      <w:r w:rsidRPr="000F23D6">
        <w:rPr>
          <w:rFonts w:ascii="Palatino Linotype" w:eastAsia="Palatino Linotype" w:hAnsi="Palatino Linotype" w:cs="Palatino Linotype"/>
          <w:i/>
          <w:sz w:val="22"/>
          <w:szCs w:val="22"/>
        </w:rPr>
        <w:tab/>
      </w:r>
    </w:p>
    <w:p w14:paraId="3A1F8DB9"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lastRenderedPageBreak/>
        <w:t xml:space="preserve">El titular de transparencia por lo visto no sabe leer, ya que se solicitó la información. Que la entregué vía </w:t>
      </w:r>
      <w:proofErr w:type="spellStart"/>
      <w:r w:rsidRPr="000F23D6">
        <w:rPr>
          <w:rFonts w:ascii="Palatino Linotype" w:eastAsia="Palatino Linotype" w:hAnsi="Palatino Linotype" w:cs="Palatino Linotype"/>
          <w:i/>
          <w:sz w:val="22"/>
          <w:szCs w:val="22"/>
        </w:rPr>
        <w:t>saimex</w:t>
      </w:r>
      <w:proofErr w:type="spellEnd"/>
      <w:r w:rsidRPr="000F23D6">
        <w:rPr>
          <w:rFonts w:ascii="Palatino Linotype" w:eastAsia="Palatino Linotype" w:hAnsi="Palatino Linotype" w:cs="Palatino Linotype"/>
          <w:i/>
          <w:sz w:val="22"/>
          <w:szCs w:val="22"/>
        </w:rPr>
        <w:t xml:space="preserve"> omite la entrega de la información solicitada</w:t>
      </w:r>
    </w:p>
    <w:p w14:paraId="678CC779"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RAZONES O MOTIVOS DE LA INCONFORMIDAD</w:t>
      </w:r>
      <w:r w:rsidRPr="000F23D6">
        <w:rPr>
          <w:rFonts w:ascii="Palatino Linotype" w:eastAsia="Palatino Linotype" w:hAnsi="Palatino Linotype" w:cs="Palatino Linotype"/>
          <w:i/>
          <w:sz w:val="22"/>
          <w:szCs w:val="22"/>
        </w:rPr>
        <w:tab/>
      </w:r>
    </w:p>
    <w:p w14:paraId="1ECD61EC"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 xml:space="preserve">Solicito me entreguen la información tal y </w:t>
      </w:r>
      <w:proofErr w:type="spellStart"/>
      <w:r w:rsidRPr="000F23D6">
        <w:rPr>
          <w:rFonts w:ascii="Palatino Linotype" w:eastAsia="Palatino Linotype" w:hAnsi="Palatino Linotype" w:cs="Palatino Linotype"/>
          <w:i/>
          <w:sz w:val="22"/>
          <w:szCs w:val="22"/>
        </w:rPr>
        <w:t>cuál</w:t>
      </w:r>
      <w:proofErr w:type="spellEnd"/>
      <w:r w:rsidRPr="000F23D6">
        <w:rPr>
          <w:rFonts w:ascii="Palatino Linotype" w:eastAsia="Palatino Linotype" w:hAnsi="Palatino Linotype" w:cs="Palatino Linotype"/>
          <w:i/>
          <w:sz w:val="22"/>
          <w:szCs w:val="22"/>
        </w:rPr>
        <w:t xml:space="preserve"> lo estoy solicitando vía </w:t>
      </w:r>
      <w:proofErr w:type="spellStart"/>
      <w:r w:rsidRPr="000F23D6">
        <w:rPr>
          <w:rFonts w:ascii="Palatino Linotype" w:eastAsia="Palatino Linotype" w:hAnsi="Palatino Linotype" w:cs="Palatino Linotype"/>
          <w:i/>
          <w:sz w:val="22"/>
          <w:szCs w:val="22"/>
        </w:rPr>
        <w:t>saimex</w:t>
      </w:r>
      <w:proofErr w:type="spellEnd"/>
    </w:p>
    <w:p w14:paraId="483262F7" w14:textId="77777777" w:rsidR="002F1788" w:rsidRPr="000F23D6" w:rsidRDefault="002F1788">
      <w:pPr>
        <w:spacing w:line="360" w:lineRule="auto"/>
        <w:ind w:left="1200"/>
        <w:jc w:val="both"/>
        <w:rPr>
          <w:rFonts w:ascii="Palatino Linotype" w:eastAsia="Palatino Linotype" w:hAnsi="Palatino Linotype" w:cs="Palatino Linotype"/>
          <w:i/>
          <w:sz w:val="22"/>
          <w:szCs w:val="22"/>
        </w:rPr>
      </w:pPr>
    </w:p>
    <w:p w14:paraId="500B7B77" w14:textId="77777777" w:rsidR="002F1788" w:rsidRPr="000F23D6" w:rsidRDefault="00131773">
      <w:pPr>
        <w:spacing w:line="360" w:lineRule="auto"/>
        <w:ind w:left="1200"/>
        <w:jc w:val="both"/>
        <w:rPr>
          <w:rFonts w:ascii="Palatino Linotype" w:eastAsia="Palatino Linotype" w:hAnsi="Palatino Linotype" w:cs="Palatino Linotype"/>
          <w:b/>
          <w:i/>
          <w:sz w:val="22"/>
          <w:szCs w:val="22"/>
        </w:rPr>
      </w:pPr>
      <w:r w:rsidRPr="000F23D6">
        <w:rPr>
          <w:rFonts w:ascii="Palatino Linotype" w:eastAsia="Palatino Linotype" w:hAnsi="Palatino Linotype" w:cs="Palatino Linotype"/>
          <w:b/>
          <w:i/>
          <w:sz w:val="22"/>
          <w:szCs w:val="22"/>
        </w:rPr>
        <w:t>SOLICITUD</w:t>
      </w:r>
      <w:proofErr w:type="gramStart"/>
      <w:r w:rsidRPr="000F23D6">
        <w:rPr>
          <w:rFonts w:ascii="Palatino Linotype" w:eastAsia="Palatino Linotype" w:hAnsi="Palatino Linotype" w:cs="Palatino Linotype"/>
          <w:b/>
          <w:i/>
          <w:sz w:val="22"/>
          <w:szCs w:val="22"/>
        </w:rPr>
        <w:tab/>
        <w:t xml:space="preserve">  00097</w:t>
      </w:r>
      <w:proofErr w:type="gramEnd"/>
      <w:r w:rsidRPr="000F23D6">
        <w:rPr>
          <w:rFonts w:ascii="Palatino Linotype" w:eastAsia="Palatino Linotype" w:hAnsi="Palatino Linotype" w:cs="Palatino Linotype"/>
          <w:b/>
          <w:i/>
          <w:sz w:val="22"/>
          <w:szCs w:val="22"/>
        </w:rPr>
        <w:t>/TEZOYUCA/IP/2024</w:t>
      </w:r>
    </w:p>
    <w:p w14:paraId="638C66FC"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ACTO IMPUGNADO</w:t>
      </w:r>
      <w:r w:rsidRPr="000F23D6">
        <w:rPr>
          <w:rFonts w:ascii="Palatino Linotype" w:eastAsia="Palatino Linotype" w:hAnsi="Palatino Linotype" w:cs="Palatino Linotype"/>
          <w:i/>
          <w:sz w:val="22"/>
          <w:szCs w:val="22"/>
        </w:rPr>
        <w:tab/>
      </w:r>
    </w:p>
    <w:p w14:paraId="1C57BAD3"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 xml:space="preserve">Por lo visto la titular no sabe leer así mismo le solicito la entrega de la información tal y </w:t>
      </w:r>
      <w:proofErr w:type="spellStart"/>
      <w:r w:rsidRPr="000F23D6">
        <w:rPr>
          <w:rFonts w:ascii="Palatino Linotype" w:eastAsia="Palatino Linotype" w:hAnsi="Palatino Linotype" w:cs="Palatino Linotype"/>
          <w:i/>
          <w:sz w:val="22"/>
          <w:szCs w:val="22"/>
        </w:rPr>
        <w:t>cuál</w:t>
      </w:r>
      <w:proofErr w:type="spellEnd"/>
      <w:r w:rsidRPr="000F23D6">
        <w:rPr>
          <w:rFonts w:ascii="Palatino Linotype" w:eastAsia="Palatino Linotype" w:hAnsi="Palatino Linotype" w:cs="Palatino Linotype"/>
          <w:i/>
          <w:sz w:val="22"/>
          <w:szCs w:val="22"/>
        </w:rPr>
        <w:t xml:space="preserve"> lo estoy solicitando vía </w:t>
      </w:r>
      <w:proofErr w:type="spellStart"/>
      <w:r w:rsidRPr="000F23D6">
        <w:rPr>
          <w:rFonts w:ascii="Palatino Linotype" w:eastAsia="Palatino Linotype" w:hAnsi="Palatino Linotype" w:cs="Palatino Linotype"/>
          <w:i/>
          <w:sz w:val="22"/>
          <w:szCs w:val="22"/>
        </w:rPr>
        <w:t>saimex</w:t>
      </w:r>
      <w:proofErr w:type="spellEnd"/>
    </w:p>
    <w:p w14:paraId="6CA6EBFE"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RAZONES O MOTIVOS DE LA INCONFORMIDAD</w:t>
      </w:r>
      <w:r w:rsidRPr="000F23D6">
        <w:rPr>
          <w:rFonts w:ascii="Palatino Linotype" w:eastAsia="Palatino Linotype" w:hAnsi="Palatino Linotype" w:cs="Palatino Linotype"/>
          <w:i/>
          <w:sz w:val="22"/>
          <w:szCs w:val="22"/>
        </w:rPr>
        <w:tab/>
      </w:r>
    </w:p>
    <w:p w14:paraId="5AB86A14"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 xml:space="preserve">Por lo visto la titular no sabe leer así mismo le solicito la entrega de la información tal y </w:t>
      </w:r>
      <w:proofErr w:type="spellStart"/>
      <w:r w:rsidRPr="000F23D6">
        <w:rPr>
          <w:rFonts w:ascii="Palatino Linotype" w:eastAsia="Palatino Linotype" w:hAnsi="Palatino Linotype" w:cs="Palatino Linotype"/>
          <w:i/>
          <w:sz w:val="22"/>
          <w:szCs w:val="22"/>
        </w:rPr>
        <w:t>cuál</w:t>
      </w:r>
      <w:proofErr w:type="spellEnd"/>
      <w:r w:rsidRPr="000F23D6">
        <w:rPr>
          <w:rFonts w:ascii="Palatino Linotype" w:eastAsia="Palatino Linotype" w:hAnsi="Palatino Linotype" w:cs="Palatino Linotype"/>
          <w:i/>
          <w:sz w:val="22"/>
          <w:szCs w:val="22"/>
        </w:rPr>
        <w:t xml:space="preserve"> lo estoy solicitando vía </w:t>
      </w:r>
      <w:proofErr w:type="spellStart"/>
      <w:r w:rsidRPr="000F23D6">
        <w:rPr>
          <w:rFonts w:ascii="Palatino Linotype" w:eastAsia="Palatino Linotype" w:hAnsi="Palatino Linotype" w:cs="Palatino Linotype"/>
          <w:i/>
          <w:sz w:val="22"/>
          <w:szCs w:val="22"/>
        </w:rPr>
        <w:t>saimex</w:t>
      </w:r>
      <w:proofErr w:type="spellEnd"/>
    </w:p>
    <w:p w14:paraId="6FCA7660" w14:textId="77777777" w:rsidR="002F1788" w:rsidRPr="000F23D6" w:rsidRDefault="002F1788">
      <w:pPr>
        <w:spacing w:line="360" w:lineRule="auto"/>
        <w:ind w:left="1200"/>
        <w:jc w:val="both"/>
        <w:rPr>
          <w:rFonts w:ascii="Palatino Linotype" w:eastAsia="Palatino Linotype" w:hAnsi="Palatino Linotype" w:cs="Palatino Linotype"/>
          <w:i/>
          <w:sz w:val="22"/>
          <w:szCs w:val="22"/>
        </w:rPr>
      </w:pPr>
    </w:p>
    <w:p w14:paraId="452C3D68" w14:textId="77777777" w:rsidR="002F1788" w:rsidRPr="000F23D6" w:rsidRDefault="00131773">
      <w:pPr>
        <w:spacing w:line="360" w:lineRule="auto"/>
        <w:ind w:left="1200"/>
        <w:jc w:val="both"/>
        <w:rPr>
          <w:rFonts w:ascii="Palatino Linotype" w:eastAsia="Palatino Linotype" w:hAnsi="Palatino Linotype" w:cs="Palatino Linotype"/>
          <w:b/>
          <w:i/>
          <w:sz w:val="22"/>
          <w:szCs w:val="22"/>
        </w:rPr>
      </w:pPr>
      <w:r w:rsidRPr="000F23D6">
        <w:rPr>
          <w:rFonts w:ascii="Palatino Linotype" w:eastAsia="Palatino Linotype" w:hAnsi="Palatino Linotype" w:cs="Palatino Linotype"/>
          <w:b/>
          <w:i/>
          <w:sz w:val="22"/>
          <w:szCs w:val="22"/>
        </w:rPr>
        <w:t xml:space="preserve"> SOLICITUD</w:t>
      </w:r>
      <w:proofErr w:type="gramStart"/>
      <w:r w:rsidRPr="000F23D6">
        <w:rPr>
          <w:rFonts w:ascii="Palatino Linotype" w:eastAsia="Palatino Linotype" w:hAnsi="Palatino Linotype" w:cs="Palatino Linotype"/>
          <w:b/>
          <w:i/>
          <w:sz w:val="22"/>
          <w:szCs w:val="22"/>
        </w:rPr>
        <w:tab/>
        <w:t xml:space="preserve">  00095</w:t>
      </w:r>
      <w:proofErr w:type="gramEnd"/>
      <w:r w:rsidRPr="000F23D6">
        <w:rPr>
          <w:rFonts w:ascii="Palatino Linotype" w:eastAsia="Palatino Linotype" w:hAnsi="Palatino Linotype" w:cs="Palatino Linotype"/>
          <w:b/>
          <w:i/>
          <w:sz w:val="22"/>
          <w:szCs w:val="22"/>
        </w:rPr>
        <w:t>/TEZOYUCA/IP/2024</w:t>
      </w:r>
    </w:p>
    <w:p w14:paraId="4D3C946C"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ACTO IMPUGNADO</w:t>
      </w:r>
      <w:r w:rsidRPr="000F23D6">
        <w:rPr>
          <w:rFonts w:ascii="Palatino Linotype" w:eastAsia="Palatino Linotype" w:hAnsi="Palatino Linotype" w:cs="Palatino Linotype"/>
          <w:i/>
          <w:sz w:val="22"/>
          <w:szCs w:val="22"/>
        </w:rPr>
        <w:tab/>
      </w:r>
    </w:p>
    <w:p w14:paraId="2816E4AD"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 xml:space="preserve">Por lo visto la titular no sabe leer así mismo le solicito la entrega de la información tal y </w:t>
      </w:r>
      <w:proofErr w:type="spellStart"/>
      <w:r w:rsidRPr="000F23D6">
        <w:rPr>
          <w:rFonts w:ascii="Palatino Linotype" w:eastAsia="Palatino Linotype" w:hAnsi="Palatino Linotype" w:cs="Palatino Linotype"/>
          <w:i/>
          <w:sz w:val="22"/>
          <w:szCs w:val="22"/>
        </w:rPr>
        <w:t>cuál</w:t>
      </w:r>
      <w:proofErr w:type="spellEnd"/>
      <w:r w:rsidRPr="000F23D6">
        <w:rPr>
          <w:rFonts w:ascii="Palatino Linotype" w:eastAsia="Palatino Linotype" w:hAnsi="Palatino Linotype" w:cs="Palatino Linotype"/>
          <w:i/>
          <w:sz w:val="22"/>
          <w:szCs w:val="22"/>
        </w:rPr>
        <w:t xml:space="preserve"> lo estoy solicitando vía </w:t>
      </w:r>
      <w:proofErr w:type="spellStart"/>
      <w:r w:rsidRPr="000F23D6">
        <w:rPr>
          <w:rFonts w:ascii="Palatino Linotype" w:eastAsia="Palatino Linotype" w:hAnsi="Palatino Linotype" w:cs="Palatino Linotype"/>
          <w:i/>
          <w:sz w:val="22"/>
          <w:szCs w:val="22"/>
        </w:rPr>
        <w:t>saimex</w:t>
      </w:r>
      <w:proofErr w:type="spellEnd"/>
    </w:p>
    <w:p w14:paraId="114F9AD7"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RAZONES O MOTIVOS DE LA INCONFORMIDAD</w:t>
      </w:r>
      <w:r w:rsidRPr="000F23D6">
        <w:rPr>
          <w:rFonts w:ascii="Palatino Linotype" w:eastAsia="Palatino Linotype" w:hAnsi="Palatino Linotype" w:cs="Palatino Linotype"/>
          <w:i/>
          <w:sz w:val="22"/>
          <w:szCs w:val="22"/>
        </w:rPr>
        <w:tab/>
      </w:r>
    </w:p>
    <w:p w14:paraId="35F3E35A"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 xml:space="preserve">Por lo visto la titular no sabe leer así mismo le solicito la entrega de la información tal y </w:t>
      </w:r>
      <w:proofErr w:type="spellStart"/>
      <w:r w:rsidRPr="000F23D6">
        <w:rPr>
          <w:rFonts w:ascii="Palatino Linotype" w:eastAsia="Palatino Linotype" w:hAnsi="Palatino Linotype" w:cs="Palatino Linotype"/>
          <w:i/>
          <w:sz w:val="22"/>
          <w:szCs w:val="22"/>
        </w:rPr>
        <w:t>cuál</w:t>
      </w:r>
      <w:proofErr w:type="spellEnd"/>
      <w:r w:rsidRPr="000F23D6">
        <w:rPr>
          <w:rFonts w:ascii="Palatino Linotype" w:eastAsia="Palatino Linotype" w:hAnsi="Palatino Linotype" w:cs="Palatino Linotype"/>
          <w:i/>
          <w:sz w:val="22"/>
          <w:szCs w:val="22"/>
        </w:rPr>
        <w:t xml:space="preserve"> lo estoy solicitando vía </w:t>
      </w:r>
      <w:proofErr w:type="spellStart"/>
      <w:r w:rsidRPr="000F23D6">
        <w:rPr>
          <w:rFonts w:ascii="Palatino Linotype" w:eastAsia="Palatino Linotype" w:hAnsi="Palatino Linotype" w:cs="Palatino Linotype"/>
          <w:i/>
          <w:sz w:val="22"/>
          <w:szCs w:val="22"/>
        </w:rPr>
        <w:t>saimex</w:t>
      </w:r>
      <w:proofErr w:type="spellEnd"/>
    </w:p>
    <w:p w14:paraId="6865C4D7" w14:textId="77777777" w:rsidR="002F1788" w:rsidRPr="000F23D6" w:rsidRDefault="002F1788">
      <w:pPr>
        <w:spacing w:line="360" w:lineRule="auto"/>
        <w:ind w:left="1200"/>
        <w:jc w:val="both"/>
        <w:rPr>
          <w:rFonts w:ascii="Palatino Linotype" w:eastAsia="Palatino Linotype" w:hAnsi="Palatino Linotype" w:cs="Palatino Linotype"/>
          <w:i/>
          <w:sz w:val="22"/>
          <w:szCs w:val="22"/>
        </w:rPr>
      </w:pPr>
    </w:p>
    <w:p w14:paraId="233D6172" w14:textId="77777777" w:rsidR="002F1788" w:rsidRPr="000F23D6" w:rsidRDefault="00131773">
      <w:pPr>
        <w:spacing w:line="360" w:lineRule="auto"/>
        <w:ind w:left="1200"/>
        <w:jc w:val="both"/>
        <w:rPr>
          <w:rFonts w:ascii="Palatino Linotype" w:eastAsia="Palatino Linotype" w:hAnsi="Palatino Linotype" w:cs="Palatino Linotype"/>
          <w:b/>
          <w:i/>
          <w:sz w:val="22"/>
          <w:szCs w:val="22"/>
        </w:rPr>
      </w:pPr>
      <w:r w:rsidRPr="000F23D6">
        <w:rPr>
          <w:rFonts w:ascii="Palatino Linotype" w:eastAsia="Palatino Linotype" w:hAnsi="Palatino Linotype" w:cs="Palatino Linotype"/>
          <w:b/>
          <w:i/>
          <w:sz w:val="22"/>
          <w:szCs w:val="22"/>
        </w:rPr>
        <w:t xml:space="preserve"> SOLICITUD</w:t>
      </w:r>
      <w:proofErr w:type="gramStart"/>
      <w:r w:rsidRPr="000F23D6">
        <w:rPr>
          <w:rFonts w:ascii="Palatino Linotype" w:eastAsia="Palatino Linotype" w:hAnsi="Palatino Linotype" w:cs="Palatino Linotype"/>
          <w:b/>
          <w:i/>
          <w:sz w:val="22"/>
          <w:szCs w:val="22"/>
        </w:rPr>
        <w:tab/>
        <w:t xml:space="preserve">  00094</w:t>
      </w:r>
      <w:proofErr w:type="gramEnd"/>
      <w:r w:rsidRPr="000F23D6">
        <w:rPr>
          <w:rFonts w:ascii="Palatino Linotype" w:eastAsia="Palatino Linotype" w:hAnsi="Palatino Linotype" w:cs="Palatino Linotype"/>
          <w:b/>
          <w:i/>
          <w:sz w:val="22"/>
          <w:szCs w:val="22"/>
        </w:rPr>
        <w:t>/TEZOYUCA/IP/2024</w:t>
      </w:r>
    </w:p>
    <w:p w14:paraId="04D01721"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ACTO IMPUGNADO</w:t>
      </w:r>
      <w:r w:rsidRPr="000F23D6">
        <w:rPr>
          <w:rFonts w:ascii="Palatino Linotype" w:eastAsia="Palatino Linotype" w:hAnsi="Palatino Linotype" w:cs="Palatino Linotype"/>
          <w:i/>
          <w:sz w:val="22"/>
          <w:szCs w:val="22"/>
        </w:rPr>
        <w:tab/>
      </w:r>
    </w:p>
    <w:p w14:paraId="3E13EFC1"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lastRenderedPageBreak/>
        <w:t xml:space="preserve">Por lo visto la titular no sabe leer así mismo le solicito la entrega de la información tal y </w:t>
      </w:r>
      <w:proofErr w:type="spellStart"/>
      <w:r w:rsidRPr="000F23D6">
        <w:rPr>
          <w:rFonts w:ascii="Palatino Linotype" w:eastAsia="Palatino Linotype" w:hAnsi="Palatino Linotype" w:cs="Palatino Linotype"/>
          <w:i/>
          <w:sz w:val="22"/>
          <w:szCs w:val="22"/>
        </w:rPr>
        <w:t>cuál</w:t>
      </w:r>
      <w:proofErr w:type="spellEnd"/>
      <w:r w:rsidRPr="000F23D6">
        <w:rPr>
          <w:rFonts w:ascii="Palatino Linotype" w:eastAsia="Palatino Linotype" w:hAnsi="Palatino Linotype" w:cs="Palatino Linotype"/>
          <w:i/>
          <w:sz w:val="22"/>
          <w:szCs w:val="22"/>
        </w:rPr>
        <w:t xml:space="preserve"> lo estoy solicitando vía </w:t>
      </w:r>
      <w:proofErr w:type="spellStart"/>
      <w:r w:rsidRPr="000F23D6">
        <w:rPr>
          <w:rFonts w:ascii="Palatino Linotype" w:eastAsia="Palatino Linotype" w:hAnsi="Palatino Linotype" w:cs="Palatino Linotype"/>
          <w:i/>
          <w:sz w:val="22"/>
          <w:szCs w:val="22"/>
        </w:rPr>
        <w:t>saimex</w:t>
      </w:r>
      <w:proofErr w:type="spellEnd"/>
    </w:p>
    <w:p w14:paraId="1DE1A3BF"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RAZONES O MOTIVOS DE LA INCONFORMIDAD</w:t>
      </w:r>
      <w:r w:rsidRPr="000F23D6">
        <w:rPr>
          <w:rFonts w:ascii="Palatino Linotype" w:eastAsia="Palatino Linotype" w:hAnsi="Palatino Linotype" w:cs="Palatino Linotype"/>
          <w:i/>
          <w:sz w:val="22"/>
          <w:szCs w:val="22"/>
        </w:rPr>
        <w:tab/>
      </w:r>
    </w:p>
    <w:p w14:paraId="745387B0" w14:textId="77777777" w:rsidR="002F1788" w:rsidRPr="000F23D6" w:rsidRDefault="00131773">
      <w:pPr>
        <w:spacing w:line="360" w:lineRule="auto"/>
        <w:ind w:left="12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 xml:space="preserve">Por lo visto la titular no sabe leer así mismo le solicito la entrega de la información tal y </w:t>
      </w:r>
      <w:proofErr w:type="spellStart"/>
      <w:r w:rsidRPr="000F23D6">
        <w:rPr>
          <w:rFonts w:ascii="Palatino Linotype" w:eastAsia="Palatino Linotype" w:hAnsi="Palatino Linotype" w:cs="Palatino Linotype"/>
          <w:i/>
          <w:sz w:val="22"/>
          <w:szCs w:val="22"/>
        </w:rPr>
        <w:t>cuál</w:t>
      </w:r>
      <w:proofErr w:type="spellEnd"/>
      <w:r w:rsidRPr="000F23D6">
        <w:rPr>
          <w:rFonts w:ascii="Palatino Linotype" w:eastAsia="Palatino Linotype" w:hAnsi="Palatino Linotype" w:cs="Palatino Linotype"/>
          <w:i/>
          <w:sz w:val="22"/>
          <w:szCs w:val="22"/>
        </w:rPr>
        <w:t xml:space="preserve"> lo estoy solicitando vía </w:t>
      </w:r>
      <w:proofErr w:type="spellStart"/>
      <w:r w:rsidRPr="000F23D6">
        <w:rPr>
          <w:rFonts w:ascii="Palatino Linotype" w:eastAsia="Palatino Linotype" w:hAnsi="Palatino Linotype" w:cs="Palatino Linotype"/>
          <w:i/>
          <w:sz w:val="22"/>
          <w:szCs w:val="22"/>
        </w:rPr>
        <w:t>saimex</w:t>
      </w:r>
      <w:proofErr w:type="spellEnd"/>
    </w:p>
    <w:p w14:paraId="438958B5"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1200"/>
        <w:jc w:val="both"/>
        <w:rPr>
          <w:rFonts w:ascii="Palatino Linotype" w:eastAsia="Palatino Linotype" w:hAnsi="Palatino Linotype" w:cs="Palatino Linotype"/>
          <w:i/>
          <w:color w:val="000000"/>
          <w:sz w:val="22"/>
          <w:szCs w:val="22"/>
        </w:rPr>
      </w:pPr>
    </w:p>
    <w:p w14:paraId="071CF5A5"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1200"/>
        <w:jc w:val="both"/>
        <w:rPr>
          <w:rFonts w:ascii="Palatino Linotype" w:eastAsia="Palatino Linotype" w:hAnsi="Palatino Linotype" w:cs="Palatino Linotype"/>
          <w:b/>
          <w:i/>
          <w:color w:val="000000"/>
          <w:sz w:val="22"/>
          <w:szCs w:val="22"/>
        </w:rPr>
      </w:pPr>
      <w:r w:rsidRPr="000F23D6">
        <w:rPr>
          <w:rFonts w:ascii="Palatino Linotype" w:eastAsia="Palatino Linotype" w:hAnsi="Palatino Linotype" w:cs="Palatino Linotype"/>
          <w:b/>
          <w:i/>
          <w:color w:val="000000"/>
          <w:sz w:val="22"/>
          <w:szCs w:val="22"/>
        </w:rPr>
        <w:t xml:space="preserve"> SOLICITUD</w:t>
      </w:r>
      <w:proofErr w:type="gramStart"/>
      <w:r w:rsidRPr="000F23D6">
        <w:rPr>
          <w:rFonts w:ascii="Palatino Linotype" w:eastAsia="Palatino Linotype" w:hAnsi="Palatino Linotype" w:cs="Palatino Linotype"/>
          <w:b/>
          <w:i/>
          <w:color w:val="000000"/>
          <w:sz w:val="22"/>
          <w:szCs w:val="22"/>
        </w:rPr>
        <w:tab/>
        <w:t xml:space="preserve">  00092</w:t>
      </w:r>
      <w:proofErr w:type="gramEnd"/>
      <w:r w:rsidRPr="000F23D6">
        <w:rPr>
          <w:rFonts w:ascii="Palatino Linotype" w:eastAsia="Palatino Linotype" w:hAnsi="Palatino Linotype" w:cs="Palatino Linotype"/>
          <w:b/>
          <w:i/>
          <w:color w:val="000000"/>
          <w:sz w:val="22"/>
          <w:szCs w:val="22"/>
        </w:rPr>
        <w:t>/TEZOYUCA/IP/2024</w:t>
      </w:r>
    </w:p>
    <w:p w14:paraId="7D085EE7"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1200"/>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ACTO IMPUGNADO</w:t>
      </w:r>
      <w:r w:rsidRPr="000F23D6">
        <w:rPr>
          <w:rFonts w:ascii="Palatino Linotype" w:eastAsia="Palatino Linotype" w:hAnsi="Palatino Linotype" w:cs="Palatino Linotype"/>
          <w:i/>
          <w:color w:val="000000"/>
          <w:sz w:val="22"/>
          <w:szCs w:val="22"/>
        </w:rPr>
        <w:tab/>
      </w:r>
    </w:p>
    <w:p w14:paraId="452DCB50"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1200"/>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Por lo visto la titular no sabe leer así mismo le solicito la entrega de la información tal y </w:t>
      </w:r>
      <w:proofErr w:type="spellStart"/>
      <w:r w:rsidRPr="000F23D6">
        <w:rPr>
          <w:rFonts w:ascii="Palatino Linotype" w:eastAsia="Palatino Linotype" w:hAnsi="Palatino Linotype" w:cs="Palatino Linotype"/>
          <w:i/>
          <w:color w:val="000000"/>
          <w:sz w:val="22"/>
          <w:szCs w:val="22"/>
        </w:rPr>
        <w:t>cuál</w:t>
      </w:r>
      <w:proofErr w:type="spellEnd"/>
      <w:r w:rsidRPr="000F23D6">
        <w:rPr>
          <w:rFonts w:ascii="Palatino Linotype" w:eastAsia="Palatino Linotype" w:hAnsi="Palatino Linotype" w:cs="Palatino Linotype"/>
          <w:i/>
          <w:color w:val="000000"/>
          <w:sz w:val="22"/>
          <w:szCs w:val="22"/>
        </w:rPr>
        <w:t xml:space="preserve"> lo estoy solicitando vía </w:t>
      </w:r>
      <w:proofErr w:type="spellStart"/>
      <w:r w:rsidRPr="000F23D6">
        <w:rPr>
          <w:rFonts w:ascii="Palatino Linotype" w:eastAsia="Palatino Linotype" w:hAnsi="Palatino Linotype" w:cs="Palatino Linotype"/>
          <w:i/>
          <w:color w:val="000000"/>
          <w:sz w:val="22"/>
          <w:szCs w:val="22"/>
        </w:rPr>
        <w:t>saimex</w:t>
      </w:r>
      <w:proofErr w:type="spellEnd"/>
    </w:p>
    <w:p w14:paraId="08DD9E99"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1200"/>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RAZONES O MOTIVOS DE LA INCONFORMIDAD</w:t>
      </w:r>
      <w:r w:rsidRPr="000F23D6">
        <w:rPr>
          <w:rFonts w:ascii="Palatino Linotype" w:eastAsia="Palatino Linotype" w:hAnsi="Palatino Linotype" w:cs="Palatino Linotype"/>
          <w:i/>
          <w:color w:val="000000"/>
          <w:sz w:val="22"/>
          <w:szCs w:val="22"/>
        </w:rPr>
        <w:tab/>
      </w:r>
    </w:p>
    <w:p w14:paraId="391A0197"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1200"/>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Por lo visto la titular no sabe leer así mismo le solicito la entrega de la información tal y </w:t>
      </w:r>
      <w:proofErr w:type="spellStart"/>
      <w:r w:rsidRPr="000F23D6">
        <w:rPr>
          <w:rFonts w:ascii="Palatino Linotype" w:eastAsia="Palatino Linotype" w:hAnsi="Palatino Linotype" w:cs="Palatino Linotype"/>
          <w:i/>
          <w:color w:val="000000"/>
          <w:sz w:val="22"/>
          <w:szCs w:val="22"/>
        </w:rPr>
        <w:t>cuál</w:t>
      </w:r>
      <w:proofErr w:type="spellEnd"/>
      <w:r w:rsidRPr="000F23D6">
        <w:rPr>
          <w:rFonts w:ascii="Palatino Linotype" w:eastAsia="Palatino Linotype" w:hAnsi="Palatino Linotype" w:cs="Palatino Linotype"/>
          <w:i/>
          <w:color w:val="000000"/>
          <w:sz w:val="22"/>
          <w:szCs w:val="22"/>
        </w:rPr>
        <w:t xml:space="preserve"> lo estoy solicitando vía </w:t>
      </w:r>
      <w:proofErr w:type="spellStart"/>
      <w:r w:rsidRPr="000F23D6">
        <w:rPr>
          <w:rFonts w:ascii="Palatino Linotype" w:eastAsia="Palatino Linotype" w:hAnsi="Palatino Linotype" w:cs="Palatino Linotype"/>
          <w:i/>
          <w:color w:val="000000"/>
          <w:sz w:val="22"/>
          <w:szCs w:val="22"/>
        </w:rPr>
        <w:t>saimex</w:t>
      </w:r>
      <w:proofErr w:type="spellEnd"/>
    </w:p>
    <w:p w14:paraId="35BBC590"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color w:val="000000"/>
          <w:sz w:val="22"/>
          <w:szCs w:val="22"/>
        </w:rPr>
      </w:pPr>
    </w:p>
    <w:p w14:paraId="7F96F8A1"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La Comisionada Ponente con fundamento en lo dispuesto por el artículo 185 fracción II de la ley de la materia, a través de los </w:t>
      </w:r>
      <w:r w:rsidRPr="000F23D6">
        <w:rPr>
          <w:rFonts w:ascii="Palatino Linotype" w:eastAsia="Palatino Linotype" w:hAnsi="Palatino Linotype" w:cs="Palatino Linotype"/>
          <w:b/>
          <w:color w:val="000000"/>
          <w:sz w:val="22"/>
          <w:szCs w:val="22"/>
        </w:rPr>
        <w:t xml:space="preserve">acuerdos de admisión </w:t>
      </w:r>
      <w:r w:rsidRPr="000F23D6">
        <w:rPr>
          <w:rFonts w:ascii="Palatino Linotype" w:eastAsia="Palatino Linotype" w:hAnsi="Palatino Linotype" w:cs="Palatino Linotype"/>
          <w:color w:val="000000"/>
          <w:sz w:val="22"/>
          <w:szCs w:val="22"/>
        </w:rPr>
        <w:t>de fechas</w:t>
      </w:r>
      <w:r w:rsidRPr="000F23D6">
        <w:rPr>
          <w:rFonts w:ascii="Palatino Linotype" w:eastAsia="Palatino Linotype" w:hAnsi="Palatino Linotype" w:cs="Palatino Linotype"/>
          <w:b/>
          <w:color w:val="000000"/>
          <w:sz w:val="22"/>
          <w:szCs w:val="22"/>
        </w:rPr>
        <w:t xml:space="preserve"> dos y cuatro de octubre de dos mil veinticuatro</w:t>
      </w:r>
      <w:r w:rsidRPr="000F23D6">
        <w:rPr>
          <w:rFonts w:ascii="Palatino Linotype" w:eastAsia="Palatino Linotype" w:hAnsi="Palatino Linotype" w:cs="Palatino Linotype"/>
          <w:color w:val="000000"/>
          <w:sz w:val="22"/>
          <w:szCs w:val="22"/>
        </w:rPr>
        <w:t xml:space="preserve">, puso a disposición de las partes los expedientes electrónicos vía SAIMEX a efecto de que en un plazo máximo de siete días manifestaran lo que a su derecho conviniera, ofrecieran pruebas y alegatos según corresponda al caso concreto, de esta forma para que el </w:t>
      </w:r>
      <w:r w:rsidRPr="000F23D6">
        <w:rPr>
          <w:rFonts w:ascii="Palatino Linotype" w:eastAsia="Palatino Linotype" w:hAnsi="Palatino Linotype" w:cs="Palatino Linotype"/>
          <w:b/>
          <w:color w:val="000000"/>
          <w:sz w:val="22"/>
          <w:szCs w:val="22"/>
        </w:rPr>
        <w:t xml:space="preserve">SUJETO OBLIGADO </w:t>
      </w:r>
      <w:r w:rsidRPr="000F23D6">
        <w:rPr>
          <w:rFonts w:ascii="Palatino Linotype" w:eastAsia="Palatino Linotype" w:hAnsi="Palatino Linotype" w:cs="Palatino Linotype"/>
          <w:color w:val="000000"/>
          <w:sz w:val="22"/>
          <w:szCs w:val="22"/>
        </w:rPr>
        <w:t>presentara el Informe Justificado procedente.</w:t>
      </w:r>
    </w:p>
    <w:p w14:paraId="5DCD3817" w14:textId="77777777" w:rsidR="002F1788" w:rsidRPr="000F23D6" w:rsidRDefault="002F1788">
      <w:pPr>
        <w:rPr>
          <w:rFonts w:ascii="Palatino Linotype" w:eastAsia="Palatino Linotype" w:hAnsi="Palatino Linotype" w:cs="Palatino Linotype"/>
          <w:i/>
          <w:color w:val="000000"/>
          <w:sz w:val="22"/>
          <w:szCs w:val="22"/>
        </w:rPr>
      </w:pPr>
    </w:p>
    <w:p w14:paraId="24EDB116"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color w:val="000000"/>
          <w:sz w:val="22"/>
          <w:szCs w:val="22"/>
        </w:rPr>
      </w:pPr>
      <w:r w:rsidRPr="000F23D6">
        <w:rPr>
          <w:rFonts w:ascii="Palatino Linotype" w:eastAsia="Palatino Linotype" w:hAnsi="Palatino Linotype" w:cs="Palatino Linotype"/>
          <w:color w:val="000000"/>
          <w:sz w:val="22"/>
          <w:szCs w:val="22"/>
        </w:rPr>
        <w:t xml:space="preserve">El once y catorce de </w:t>
      </w:r>
      <w:proofErr w:type="gramStart"/>
      <w:r w:rsidRPr="000F23D6">
        <w:rPr>
          <w:rFonts w:ascii="Palatino Linotype" w:eastAsia="Palatino Linotype" w:hAnsi="Palatino Linotype" w:cs="Palatino Linotype"/>
          <w:color w:val="000000"/>
          <w:sz w:val="22"/>
          <w:szCs w:val="22"/>
        </w:rPr>
        <w:t>octubre  del</w:t>
      </w:r>
      <w:proofErr w:type="gramEnd"/>
      <w:r w:rsidRPr="000F23D6">
        <w:rPr>
          <w:rFonts w:ascii="Palatino Linotype" w:eastAsia="Palatino Linotype" w:hAnsi="Palatino Linotype" w:cs="Palatino Linotype"/>
          <w:color w:val="000000"/>
          <w:sz w:val="22"/>
          <w:szCs w:val="22"/>
        </w:rPr>
        <w:t xml:space="preserve"> año en curso, respectivamente el SUJETO OBLIGADO rindió su informe justificado en todos los recursos de revisión objeto de la presente </w:t>
      </w:r>
      <w:r w:rsidRPr="000F23D6">
        <w:rPr>
          <w:rFonts w:ascii="Palatino Linotype" w:eastAsia="Palatino Linotype" w:hAnsi="Palatino Linotype" w:cs="Palatino Linotype"/>
          <w:color w:val="000000"/>
          <w:sz w:val="22"/>
          <w:szCs w:val="22"/>
        </w:rPr>
        <w:lastRenderedPageBreak/>
        <w:t>acumulación a través de un archivos cuyo contenido en todos los expedientes en que se actúa grosso modo es el mismo y que versa en confirmar su respuesta inicial.</w:t>
      </w:r>
    </w:p>
    <w:p w14:paraId="4DAF4D97"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sz w:val="22"/>
          <w:szCs w:val="22"/>
        </w:rPr>
      </w:pPr>
    </w:p>
    <w:p w14:paraId="59408753"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sz w:val="22"/>
          <w:szCs w:val="22"/>
        </w:rPr>
      </w:pPr>
      <w:r w:rsidRPr="000F23D6">
        <w:rPr>
          <w:rFonts w:ascii="Palatino Linotype" w:eastAsia="Palatino Linotype" w:hAnsi="Palatino Linotype" w:cs="Palatino Linotype"/>
          <w:color w:val="000000"/>
          <w:sz w:val="22"/>
          <w:szCs w:val="22"/>
        </w:rPr>
        <w:t>Posteriormente el Pleno de este Órgano Garante, en la 36va sesión ordinaria del nueve de octubre de dos mil veinticuatro, ordenó la acumulación de los recursos de revisión</w:t>
      </w:r>
      <w:r w:rsidRPr="000F23D6">
        <w:rPr>
          <w:rFonts w:ascii="Palatino Linotype" w:eastAsia="Palatino Linotype" w:hAnsi="Palatino Linotype" w:cs="Palatino Linotype"/>
          <w:b/>
          <w:color w:val="000000"/>
          <w:sz w:val="22"/>
          <w:szCs w:val="22"/>
        </w:rPr>
        <w:t xml:space="preserve"> 05873/INFOEM/IP/RR/2024, 05876/INFOEM/IP/RR/2024,  05877/INFOEM/IP/RR/2024, 05878/INFOEM/IP/RR/2024, 05879/INFOEM/IP/RR/2024 y 05881/INFOEM/IP/RR/2024, </w:t>
      </w:r>
      <w:r w:rsidRPr="000F23D6">
        <w:rPr>
          <w:rFonts w:ascii="Palatino Linotype" w:eastAsia="Palatino Linotype" w:hAnsi="Palatino Linotype" w:cs="Palatino Linotype"/>
          <w:color w:val="000000"/>
          <w:sz w:val="22"/>
          <w:szCs w:val="22"/>
        </w:rPr>
        <w:t xml:space="preserve">a efecto de que ésta Ponencia formulará y presentará el proyecto de resolución correspondiente de conformidad con el numeral </w:t>
      </w:r>
      <w:r w:rsidRPr="000F23D6">
        <w:rPr>
          <w:rFonts w:ascii="Palatino Linotype" w:eastAsia="Palatino Linotype" w:hAnsi="Palatino Linotype" w:cs="Palatino Linotype"/>
          <w:b/>
          <w:color w:val="000000"/>
          <w:sz w:val="22"/>
          <w:szCs w:val="22"/>
        </w:rPr>
        <w:t xml:space="preserve">ONCE </w:t>
      </w:r>
      <w:r w:rsidRPr="000F23D6">
        <w:rPr>
          <w:rFonts w:ascii="Palatino Linotype" w:eastAsia="Palatino Linotype" w:hAnsi="Palatino Linotype" w:cs="Palatino Linotype"/>
          <w:color w:val="000000"/>
          <w:sz w:val="22"/>
          <w:szCs w:val="22"/>
        </w:rPr>
        <w:t>incisos b) y c) de los Lineamientos para la Recepción, Trámite y Resolución de las Solicitudes de Acceso a la Información Pública, así como de los Recursos de Revisión que deberán observar los Sujetos Obligados por la Ley de Transparencia Estatal , que señala:</w:t>
      </w:r>
    </w:p>
    <w:p w14:paraId="1B946374" w14:textId="77777777" w:rsidR="002F1788" w:rsidRPr="000F23D6" w:rsidRDefault="002F1788">
      <w:pPr>
        <w:rPr>
          <w:sz w:val="22"/>
          <w:szCs w:val="22"/>
        </w:rPr>
      </w:pPr>
    </w:p>
    <w:p w14:paraId="26B82CFD" w14:textId="77777777" w:rsidR="002F1788" w:rsidRPr="000F23D6" w:rsidRDefault="00131773">
      <w:pPr>
        <w:pBdr>
          <w:top w:val="nil"/>
          <w:left w:val="nil"/>
          <w:bottom w:val="nil"/>
          <w:right w:val="nil"/>
          <w:between w:val="nil"/>
        </w:pBdr>
        <w:ind w:left="567" w:right="616"/>
        <w:jc w:val="both"/>
        <w:rPr>
          <w:color w:val="000000"/>
          <w:sz w:val="22"/>
          <w:szCs w:val="22"/>
        </w:rPr>
      </w:pPr>
      <w:r w:rsidRPr="000F23D6">
        <w:rPr>
          <w:rFonts w:ascii="Palatino Linotype" w:eastAsia="Palatino Linotype" w:hAnsi="Palatino Linotype" w:cs="Palatino Linotype"/>
          <w:b/>
          <w:i/>
          <w:color w:val="000000"/>
          <w:sz w:val="22"/>
          <w:szCs w:val="22"/>
        </w:rPr>
        <w:t>ONCE.</w:t>
      </w:r>
      <w:r w:rsidRPr="000F23D6">
        <w:rPr>
          <w:rFonts w:ascii="Palatino Linotype" w:eastAsia="Palatino Linotype" w:hAnsi="Palatino Linotype" w:cs="Palatino Linotype"/>
          <w:i/>
          <w:color w:val="000000"/>
          <w:sz w:val="22"/>
          <w:szCs w:val="22"/>
        </w:rPr>
        <w:t xml:space="preserve"> El Instituto, para mejor resolver y evitar la emisión de resoluciones contradictorias, podrá acordar la acumulación de los expedientes de recursos de revisión, de oficio o a petición de parte cuando:</w:t>
      </w:r>
    </w:p>
    <w:p w14:paraId="02A2A335" w14:textId="77777777" w:rsidR="002F1788" w:rsidRPr="000F23D6" w:rsidRDefault="00131773">
      <w:pPr>
        <w:pBdr>
          <w:top w:val="nil"/>
          <w:left w:val="nil"/>
          <w:bottom w:val="nil"/>
          <w:right w:val="nil"/>
          <w:between w:val="nil"/>
        </w:pBdr>
        <w:ind w:left="567" w:right="616"/>
        <w:jc w:val="both"/>
        <w:rPr>
          <w:color w:val="000000"/>
          <w:sz w:val="22"/>
          <w:szCs w:val="22"/>
        </w:rPr>
      </w:pPr>
      <w:r w:rsidRPr="000F23D6">
        <w:rPr>
          <w:rFonts w:ascii="Palatino Linotype" w:eastAsia="Palatino Linotype" w:hAnsi="Palatino Linotype" w:cs="Palatino Linotype"/>
          <w:i/>
          <w:color w:val="000000"/>
          <w:sz w:val="22"/>
          <w:szCs w:val="22"/>
        </w:rPr>
        <w:t>…</w:t>
      </w:r>
    </w:p>
    <w:p w14:paraId="345BCBB2" w14:textId="77777777" w:rsidR="002F1788" w:rsidRPr="000F23D6" w:rsidRDefault="00131773">
      <w:pPr>
        <w:pBdr>
          <w:top w:val="nil"/>
          <w:left w:val="nil"/>
          <w:bottom w:val="nil"/>
          <w:right w:val="nil"/>
          <w:between w:val="nil"/>
        </w:pBdr>
        <w:ind w:left="567" w:right="616"/>
        <w:jc w:val="both"/>
        <w:rPr>
          <w:color w:val="000000"/>
          <w:sz w:val="22"/>
          <w:szCs w:val="22"/>
        </w:rPr>
      </w:pPr>
      <w:r w:rsidRPr="000F23D6">
        <w:rPr>
          <w:rFonts w:ascii="Palatino Linotype" w:eastAsia="Palatino Linotype" w:hAnsi="Palatino Linotype" w:cs="Palatino Linotype"/>
          <w:i/>
          <w:color w:val="000000"/>
          <w:sz w:val="22"/>
          <w:szCs w:val="22"/>
        </w:rPr>
        <w:t>b) Las partes o los actos impugnados sean iguales</w:t>
      </w:r>
    </w:p>
    <w:p w14:paraId="40A24249" w14:textId="77777777" w:rsidR="002F1788" w:rsidRPr="000F23D6" w:rsidRDefault="00131773">
      <w:pPr>
        <w:pBdr>
          <w:top w:val="nil"/>
          <w:left w:val="nil"/>
          <w:bottom w:val="nil"/>
          <w:right w:val="nil"/>
          <w:between w:val="nil"/>
        </w:pBdr>
        <w:ind w:left="567" w:right="616"/>
        <w:jc w:val="both"/>
        <w:rPr>
          <w:color w:val="000000"/>
          <w:sz w:val="22"/>
          <w:szCs w:val="22"/>
        </w:rPr>
      </w:pPr>
      <w:r w:rsidRPr="000F23D6">
        <w:rPr>
          <w:rFonts w:ascii="Palatino Linotype" w:eastAsia="Palatino Linotype" w:hAnsi="Palatino Linotype" w:cs="Palatino Linotype"/>
          <w:i/>
          <w:color w:val="000000"/>
          <w:sz w:val="22"/>
          <w:szCs w:val="22"/>
        </w:rPr>
        <w:t xml:space="preserve">c) Cuando se trate del mismo solicitante, el mismo </w:t>
      </w:r>
      <w:r w:rsidRPr="000F23D6">
        <w:rPr>
          <w:rFonts w:ascii="Palatino Linotype" w:eastAsia="Palatino Linotype" w:hAnsi="Palatino Linotype" w:cs="Palatino Linotype"/>
          <w:b/>
          <w:i/>
          <w:color w:val="000000"/>
          <w:sz w:val="22"/>
          <w:szCs w:val="22"/>
        </w:rPr>
        <w:t>SUJETO OBLIGADO</w:t>
      </w:r>
      <w:r w:rsidRPr="000F23D6">
        <w:rPr>
          <w:rFonts w:ascii="Palatino Linotype" w:eastAsia="Palatino Linotype" w:hAnsi="Palatino Linotype" w:cs="Palatino Linotype"/>
          <w:i/>
          <w:color w:val="000000"/>
          <w:sz w:val="22"/>
          <w:szCs w:val="22"/>
        </w:rPr>
        <w:t>, aunque se trate de solicitudes diversas;</w:t>
      </w:r>
    </w:p>
    <w:p w14:paraId="2BD5B41A" w14:textId="77777777" w:rsidR="002F1788" w:rsidRPr="000F23D6" w:rsidRDefault="00131773">
      <w:pPr>
        <w:pBdr>
          <w:top w:val="nil"/>
          <w:left w:val="nil"/>
          <w:bottom w:val="nil"/>
          <w:right w:val="nil"/>
          <w:between w:val="nil"/>
        </w:pBdr>
        <w:ind w:left="567" w:right="616"/>
        <w:jc w:val="both"/>
        <w:rPr>
          <w:color w:val="000000"/>
          <w:sz w:val="22"/>
          <w:szCs w:val="22"/>
        </w:rPr>
      </w:pPr>
      <w:r w:rsidRPr="000F23D6">
        <w:rPr>
          <w:rFonts w:ascii="Palatino Linotype" w:eastAsia="Palatino Linotype" w:hAnsi="Palatino Linotype" w:cs="Palatino Linotype"/>
          <w:i/>
          <w:color w:val="000000"/>
          <w:sz w:val="22"/>
          <w:szCs w:val="22"/>
        </w:rPr>
        <w:t>(…)</w:t>
      </w:r>
    </w:p>
    <w:p w14:paraId="406B0B28" w14:textId="77777777" w:rsidR="002F1788" w:rsidRPr="000F23D6" w:rsidRDefault="002F1788">
      <w:pPr>
        <w:rPr>
          <w:sz w:val="22"/>
          <w:szCs w:val="22"/>
        </w:rPr>
      </w:pPr>
    </w:p>
    <w:p w14:paraId="6597E2D5"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sz w:val="22"/>
          <w:szCs w:val="22"/>
        </w:rPr>
      </w:pPr>
    </w:p>
    <w:p w14:paraId="0EE5F566"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sz w:val="22"/>
          <w:szCs w:val="22"/>
        </w:rPr>
      </w:pPr>
    </w:p>
    <w:p w14:paraId="270412BD"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sz w:val="22"/>
          <w:szCs w:val="22"/>
        </w:rPr>
      </w:pPr>
      <w:r w:rsidRPr="000F23D6">
        <w:rPr>
          <w:rFonts w:ascii="Palatino Linotype" w:eastAsia="Palatino Linotype" w:hAnsi="Palatino Linotype" w:cs="Palatino Linotype"/>
          <w:color w:val="000000"/>
          <w:sz w:val="22"/>
          <w:szCs w:val="22"/>
        </w:rPr>
        <w:t xml:space="preserve">En ese tenor resulta conveniente su trámite de forma unificada para mejor resolver y evitar la emisión de resoluciones contradictorias, fue procedente que este Órgano Garante </w:t>
      </w:r>
      <w:r w:rsidRPr="000F23D6">
        <w:rPr>
          <w:rFonts w:ascii="Palatino Linotype" w:eastAsia="Palatino Linotype" w:hAnsi="Palatino Linotype" w:cs="Palatino Linotype"/>
          <w:color w:val="000000"/>
          <w:sz w:val="22"/>
          <w:szCs w:val="22"/>
        </w:rPr>
        <w:lastRenderedPageBreak/>
        <w:t>realizará la acumulación respectiva, de conformidad con lo dispuesto en el artículo 18 del Código de Procedimientos Administrativos del Estado de México, de aplicación supletoria en términos del artículo 195 de la Ley de Transparencia y Acceso a la Información Pública del Estado de México y Municipios en vigor.</w:t>
      </w:r>
    </w:p>
    <w:p w14:paraId="624F977A"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sz w:val="22"/>
          <w:szCs w:val="22"/>
        </w:rPr>
      </w:pPr>
    </w:p>
    <w:p w14:paraId="227313B7"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b/>
          <w:color w:val="000000"/>
          <w:sz w:val="22"/>
          <w:szCs w:val="22"/>
        </w:rPr>
      </w:pPr>
      <w:r w:rsidRPr="000F23D6">
        <w:rPr>
          <w:rFonts w:ascii="Palatino Linotype" w:eastAsia="Palatino Linotype" w:hAnsi="Palatino Linotype" w:cs="Palatino Linotype"/>
          <w:color w:val="000000"/>
          <w:sz w:val="22"/>
          <w:szCs w:val="22"/>
        </w:rPr>
        <w:t xml:space="preserve">El veintiocho (28) de noviembre de dos mil veinticuatro, se notificó el acuerdo a través del cual se amplió el plazo para emitir resolución. </w:t>
      </w:r>
    </w:p>
    <w:p w14:paraId="33C818A4"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b/>
          <w:color w:val="000000"/>
          <w:sz w:val="22"/>
          <w:szCs w:val="22"/>
        </w:rPr>
      </w:pPr>
    </w:p>
    <w:p w14:paraId="1E661828"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b/>
          <w:color w:val="000000"/>
          <w:sz w:val="22"/>
          <w:szCs w:val="22"/>
        </w:rPr>
      </w:pPr>
      <w:r w:rsidRPr="000F23D6">
        <w:rPr>
          <w:rFonts w:ascii="Palatino Linotype" w:eastAsia="Palatino Linotype" w:hAnsi="Palatino Linotype" w:cs="Palatino Linotype"/>
          <w:sz w:val="22"/>
          <w:szCs w:val="22"/>
        </w:rPr>
        <w:t>Este organismo garante no pasa por alto justificar, que la dilación en la resolución del presente asunto encuentra justificación en el alto número de recursos de revisión recibidos, circunstancia atípica que ha rebasado las capacidades técnicas y humanas del personal encargado de la proyección de las resoluciones a dichos medios de impugnación.</w:t>
      </w:r>
    </w:p>
    <w:p w14:paraId="4DB9826F" w14:textId="77777777" w:rsidR="002F1788" w:rsidRPr="000F23D6" w:rsidRDefault="002F1788">
      <w:pPr>
        <w:spacing w:line="360" w:lineRule="auto"/>
        <w:rPr>
          <w:rFonts w:ascii="Palatino Linotype" w:eastAsia="Palatino Linotype" w:hAnsi="Palatino Linotype" w:cs="Palatino Linotype"/>
          <w:sz w:val="22"/>
          <w:szCs w:val="22"/>
        </w:rPr>
      </w:pPr>
    </w:p>
    <w:p w14:paraId="60CDB63D"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b/>
          <w:color w:val="000000"/>
          <w:sz w:val="22"/>
          <w:szCs w:val="22"/>
        </w:rPr>
      </w:pPr>
      <w:r w:rsidRPr="000F23D6">
        <w:rPr>
          <w:rFonts w:ascii="Palatino Linotype" w:eastAsia="Palatino Linotype" w:hAnsi="Palatino Linotype" w:cs="Palatino Linotype"/>
          <w:color w:val="000000"/>
          <w:sz w:val="22"/>
          <w:szCs w:val="22"/>
        </w:rPr>
        <w:t xml:space="preserve">Por ello, es menester precisar </w:t>
      </w:r>
      <w:proofErr w:type="gramStart"/>
      <w:r w:rsidRPr="000F23D6">
        <w:rPr>
          <w:rFonts w:ascii="Palatino Linotype" w:eastAsia="Palatino Linotype" w:hAnsi="Palatino Linotype" w:cs="Palatino Linotype"/>
          <w:color w:val="000000"/>
          <w:sz w:val="22"/>
          <w:szCs w:val="22"/>
        </w:rPr>
        <w:t>que</w:t>
      </w:r>
      <w:proofErr w:type="gramEnd"/>
      <w:r w:rsidRPr="000F23D6">
        <w:rPr>
          <w:rFonts w:ascii="Palatino Linotype" w:eastAsia="Palatino Linotype" w:hAnsi="Palatino Linotype" w:cs="Palatino Linotype"/>
          <w:color w:val="000000"/>
          <w:sz w:val="22"/>
          <w:szCs w:val="22"/>
        </w:rPr>
        <w:t xml:space="preserve"> si bien se ha excedido el plazo para resolver el presente medio de impugnación, de conformidad con la ley de la materia, dicha dilación es de carácter excepcional y se encuentra justificada en los elementos para medir la razonabilidad del plazo de resolución de asuntos conforme a los parámetros establecidos por diversos órganos jurisdiccionales federales, aplicables también en procedimientos análogos, como el que nos ocupa.</w:t>
      </w:r>
    </w:p>
    <w:p w14:paraId="4ED51ACD" w14:textId="77777777" w:rsidR="002F1788" w:rsidRPr="000F23D6" w:rsidRDefault="002F1788">
      <w:pPr>
        <w:spacing w:line="360" w:lineRule="auto"/>
        <w:rPr>
          <w:rFonts w:ascii="Palatino Linotype" w:eastAsia="Palatino Linotype" w:hAnsi="Palatino Linotype" w:cs="Palatino Linotype"/>
          <w:sz w:val="22"/>
          <w:szCs w:val="22"/>
        </w:rPr>
      </w:pPr>
    </w:p>
    <w:p w14:paraId="6071FFBD" w14:textId="77777777" w:rsidR="002F1788" w:rsidRPr="000F23D6" w:rsidRDefault="00131773">
      <w:pPr>
        <w:numPr>
          <w:ilvl w:val="0"/>
          <w:numId w:val="1"/>
        </w:numPr>
        <w:spacing w:line="360" w:lineRule="auto"/>
        <w:ind w:left="0" w:firstLine="0"/>
        <w:jc w:val="both"/>
        <w:rPr>
          <w:rFonts w:ascii="Palatino Linotype" w:eastAsia="Palatino Linotype" w:hAnsi="Palatino Linotype" w:cs="Palatino Linotype"/>
          <w:b/>
          <w:sz w:val="22"/>
          <w:szCs w:val="22"/>
        </w:rPr>
      </w:pPr>
      <w:r w:rsidRPr="000F23D6">
        <w:rPr>
          <w:rFonts w:ascii="Palatino Linotype" w:eastAsia="Palatino Linotype" w:hAnsi="Palatino Linotype" w:cs="Palatino Linotype"/>
          <w:sz w:val="22"/>
          <w:szCs w:val="22"/>
        </w:rPr>
        <w:t xml:space="preserve">Así, en términos de lo que establecen los artículos 8.1 y 25 de la Convención Americana sobre Derechos Humanos, los recursos deben ser sencillos y resolverse en el menor tiempo </w:t>
      </w:r>
      <w:r w:rsidRPr="000F23D6">
        <w:rPr>
          <w:rFonts w:ascii="Palatino Linotype" w:eastAsia="Palatino Linotype" w:hAnsi="Palatino Linotype" w:cs="Palatino Linotype"/>
          <w:sz w:val="22"/>
          <w:szCs w:val="22"/>
        </w:rPr>
        <w:lastRenderedPageBreak/>
        <w:t>posible, tomando en consideración la dilación total del procedimiento; esto es, en un plazo razonable.</w:t>
      </w:r>
    </w:p>
    <w:p w14:paraId="106CEAA0" w14:textId="77777777" w:rsidR="002F1788" w:rsidRPr="000F23D6" w:rsidRDefault="002F1788">
      <w:pPr>
        <w:spacing w:line="360" w:lineRule="auto"/>
        <w:rPr>
          <w:rFonts w:ascii="Palatino Linotype" w:eastAsia="Palatino Linotype" w:hAnsi="Palatino Linotype" w:cs="Palatino Linotype"/>
          <w:sz w:val="22"/>
          <w:szCs w:val="22"/>
        </w:rPr>
      </w:pPr>
    </w:p>
    <w:p w14:paraId="3D71C45B" w14:textId="77777777" w:rsidR="002F1788" w:rsidRPr="000F23D6" w:rsidRDefault="00131773">
      <w:pPr>
        <w:numPr>
          <w:ilvl w:val="0"/>
          <w:numId w:val="1"/>
        </w:numPr>
        <w:spacing w:line="360" w:lineRule="auto"/>
        <w:ind w:left="0" w:firstLine="0"/>
        <w:jc w:val="both"/>
        <w:rPr>
          <w:rFonts w:ascii="Palatino Linotype" w:eastAsia="Palatino Linotype" w:hAnsi="Palatino Linotype" w:cs="Palatino Linotype"/>
          <w:b/>
          <w:sz w:val="22"/>
          <w:szCs w:val="22"/>
        </w:rPr>
      </w:pPr>
      <w:r w:rsidRPr="000F23D6">
        <w:rPr>
          <w:rFonts w:ascii="Palatino Linotype" w:eastAsia="Palatino Linotype" w:hAnsi="Palatino Linotype" w:cs="Palatino Linotype"/>
          <w:sz w:val="22"/>
          <w:szCs w:val="22"/>
        </w:rPr>
        <w:t xml:space="preserve">En ese sentido, el legislador fijó los términos procesales en las leyes, de manera general, sin que pudiera prever la variada gama de casos que son resueltos por los órganos jurisdiccionales o cuasi jurisdiccionales, tanto por la complejidad de los hechos, como por el número de casos que conocen. </w:t>
      </w:r>
    </w:p>
    <w:p w14:paraId="5086B4CB"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ind w:left="720"/>
        <w:rPr>
          <w:rFonts w:ascii="Palatino Linotype" w:eastAsia="Palatino Linotype" w:hAnsi="Palatino Linotype" w:cs="Palatino Linotype"/>
          <w:color w:val="000000"/>
          <w:sz w:val="22"/>
          <w:szCs w:val="22"/>
        </w:rPr>
      </w:pPr>
    </w:p>
    <w:p w14:paraId="5AD2B280" w14:textId="77777777" w:rsidR="002F1788" w:rsidRPr="000F23D6" w:rsidRDefault="00131773">
      <w:pPr>
        <w:numPr>
          <w:ilvl w:val="0"/>
          <w:numId w:val="1"/>
        </w:numPr>
        <w:spacing w:line="360" w:lineRule="auto"/>
        <w:ind w:left="0" w:firstLine="0"/>
        <w:jc w:val="both"/>
        <w:rPr>
          <w:rFonts w:ascii="Palatino Linotype" w:eastAsia="Palatino Linotype" w:hAnsi="Palatino Linotype" w:cs="Palatino Linotype"/>
          <w:b/>
          <w:sz w:val="22"/>
          <w:szCs w:val="22"/>
        </w:rPr>
      </w:pPr>
      <w:r w:rsidRPr="000F23D6">
        <w:rPr>
          <w:rFonts w:ascii="Palatino Linotype" w:eastAsia="Palatino Linotype" w:hAnsi="Palatino Linotype" w:cs="Palatino Linotype"/>
          <w:sz w:val="22"/>
          <w:szCs w:val="22"/>
        </w:rPr>
        <w:t xml:space="preserve">Por ello, excepcionalmente, si un asunto es resuelto con posterioridad a los plazos señalados por la norma debe analizarse la razonabilidad de dicha dilación atendiendo a los siguientes criterios:   </w:t>
      </w:r>
    </w:p>
    <w:p w14:paraId="6016C1C6" w14:textId="77777777" w:rsidR="002F1788" w:rsidRPr="000F23D6" w:rsidRDefault="002F1788">
      <w:pPr>
        <w:spacing w:line="360" w:lineRule="auto"/>
        <w:jc w:val="both"/>
        <w:rPr>
          <w:rFonts w:ascii="Palatino Linotype" w:eastAsia="Palatino Linotype" w:hAnsi="Palatino Linotype" w:cs="Palatino Linotype"/>
          <w:sz w:val="22"/>
          <w:szCs w:val="22"/>
        </w:rPr>
      </w:pPr>
    </w:p>
    <w:p w14:paraId="6414AAA2" w14:textId="77777777" w:rsidR="002F1788" w:rsidRPr="000F23D6" w:rsidRDefault="00131773">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Complejidad del </w:t>
      </w:r>
      <w:r w:rsidRPr="000F23D6">
        <w:rPr>
          <w:rFonts w:ascii="Palatino Linotype" w:eastAsia="Palatino Linotype" w:hAnsi="Palatino Linotype" w:cs="Palatino Linotype"/>
          <w:sz w:val="22"/>
          <w:szCs w:val="22"/>
        </w:rPr>
        <w:t>asunto</w:t>
      </w:r>
      <w:r w:rsidRPr="000F23D6">
        <w:rPr>
          <w:rFonts w:ascii="Palatino Linotype" w:eastAsia="Palatino Linotype" w:hAnsi="Palatino Linotype" w:cs="Palatino Linotype"/>
          <w:color w:val="000000"/>
          <w:sz w:val="22"/>
          <w:szCs w:val="22"/>
        </w:rPr>
        <w:t xml:space="preserve">: La complejidad de la prueba, la pluralidad de sujetos procesales, el tiempo transcurrido, las características y contexto del recurso. </w:t>
      </w:r>
    </w:p>
    <w:p w14:paraId="07E303AA" w14:textId="77777777" w:rsidR="002F1788" w:rsidRPr="000F23D6" w:rsidRDefault="00131773">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Actividad Procesal del interesado. Acciones u omisiones del interesado.</w:t>
      </w:r>
    </w:p>
    <w:p w14:paraId="2B103912" w14:textId="77777777" w:rsidR="002F1788" w:rsidRPr="000F23D6" w:rsidRDefault="00131773">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Conducta de la Autoridad: Las Acciones u omisiones realizadas en el procedimiento. Así como si la autoridad actuó con la debida diligencia.</w:t>
      </w:r>
    </w:p>
    <w:p w14:paraId="286A36BD" w14:textId="77777777" w:rsidR="002F1788" w:rsidRPr="000F23D6" w:rsidRDefault="00131773">
      <w:pPr>
        <w:spacing w:line="360" w:lineRule="auto"/>
        <w:ind w:left="567"/>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d) La afectación generada en la situación jurídica de la persona involucrada en el proceso: Violación a sus derechos humanos.</w:t>
      </w:r>
    </w:p>
    <w:p w14:paraId="0DC2CA47" w14:textId="77777777" w:rsidR="002F1788" w:rsidRPr="000F23D6" w:rsidRDefault="002F1788">
      <w:pPr>
        <w:spacing w:line="360" w:lineRule="auto"/>
        <w:rPr>
          <w:rFonts w:ascii="Palatino Linotype" w:eastAsia="Palatino Linotype" w:hAnsi="Palatino Linotype" w:cs="Palatino Linotype"/>
          <w:sz w:val="22"/>
          <w:szCs w:val="22"/>
        </w:rPr>
      </w:pPr>
    </w:p>
    <w:p w14:paraId="04D6C290" w14:textId="77777777" w:rsidR="002F1788" w:rsidRPr="000F23D6" w:rsidRDefault="00131773">
      <w:pPr>
        <w:numPr>
          <w:ilvl w:val="0"/>
          <w:numId w:val="1"/>
        </w:numPr>
        <w:spacing w:line="360" w:lineRule="auto"/>
        <w:ind w:left="0" w:firstLine="0"/>
        <w:jc w:val="both"/>
        <w:rPr>
          <w:rFonts w:ascii="Palatino Linotype" w:eastAsia="Palatino Linotype" w:hAnsi="Palatino Linotype" w:cs="Palatino Linotype"/>
          <w:b/>
          <w:sz w:val="22"/>
          <w:szCs w:val="22"/>
        </w:rPr>
      </w:pPr>
      <w:r w:rsidRPr="000F23D6">
        <w:rPr>
          <w:rFonts w:ascii="Palatino Linotype" w:eastAsia="Palatino Linotype" w:hAnsi="Palatino Linotype" w:cs="Palatino Linotype"/>
          <w:sz w:val="22"/>
          <w:szCs w:val="22"/>
        </w:rPr>
        <w:t xml:space="preserve">De modo que, cuando se trate de un asunto excepcional, por alguna o todas las características mencionadas o bien, cuando el ingreso de asuntos al órgano jurisdiccional o cuasi jurisdiccional respectivo supere notoriamente al que podría considerarse </w:t>
      </w:r>
      <w:r w:rsidRPr="000F23D6">
        <w:rPr>
          <w:rFonts w:ascii="Palatino Linotype" w:eastAsia="Palatino Linotype" w:hAnsi="Palatino Linotype" w:cs="Palatino Linotype"/>
          <w:sz w:val="22"/>
          <w:szCs w:val="22"/>
        </w:rPr>
        <w:lastRenderedPageBreak/>
        <w:t>normal, debe concluirse que es una excluyente de responsabilidad en relación con la actuación del funcionario, como ha acontecido en el caso que nos ocupa.</w:t>
      </w:r>
    </w:p>
    <w:p w14:paraId="3DF2CDB4" w14:textId="77777777" w:rsidR="002F1788" w:rsidRPr="000F23D6" w:rsidRDefault="002F1788">
      <w:pPr>
        <w:spacing w:line="360" w:lineRule="auto"/>
        <w:jc w:val="both"/>
        <w:rPr>
          <w:rFonts w:ascii="Palatino Linotype" w:eastAsia="Palatino Linotype" w:hAnsi="Palatino Linotype" w:cs="Palatino Linotype"/>
          <w:b/>
          <w:sz w:val="22"/>
          <w:szCs w:val="22"/>
        </w:rPr>
      </w:pPr>
    </w:p>
    <w:p w14:paraId="26CA3F7E" w14:textId="77777777" w:rsidR="002F1788" w:rsidRPr="000F23D6" w:rsidRDefault="00131773">
      <w:pPr>
        <w:numPr>
          <w:ilvl w:val="0"/>
          <w:numId w:val="1"/>
        </w:numPr>
        <w:spacing w:line="360" w:lineRule="auto"/>
        <w:ind w:left="0" w:firstLine="0"/>
        <w:jc w:val="both"/>
        <w:rPr>
          <w:rFonts w:ascii="Palatino Linotype" w:eastAsia="Palatino Linotype" w:hAnsi="Palatino Linotype" w:cs="Palatino Linotype"/>
          <w:b/>
          <w:sz w:val="22"/>
          <w:szCs w:val="22"/>
        </w:rPr>
      </w:pPr>
      <w:r w:rsidRPr="000F23D6">
        <w:rPr>
          <w:rFonts w:ascii="Palatino Linotype" w:eastAsia="Palatino Linotype" w:hAnsi="Palatino Linotype" w:cs="Palatino Linotype"/>
          <w:sz w:val="22"/>
          <w:szCs w:val="22"/>
        </w:rPr>
        <w:t xml:space="preserve">Argumento que encuentra sustento en la jurisprudencia P./J. 32/92 emitida por el Pleno de la Suprema Corte de Justicia de la Nación de rubro </w:t>
      </w:r>
      <w:r w:rsidRPr="000F23D6">
        <w:rPr>
          <w:rFonts w:ascii="Palatino Linotype" w:eastAsia="Palatino Linotype" w:hAnsi="Palatino Linotype" w:cs="Palatino Linotype"/>
          <w:i/>
          <w:sz w:val="22"/>
          <w:szCs w:val="22"/>
        </w:rPr>
        <w:t>“TÉRMINOS PROCESALES. PARA DETERMINAR SI UN FUNCIONARIO JUDICIAL ACTUÓ INDEBIDAMENTE POR NO RESPETARLOS SE DEBE ATENDER AL PRESUPUESTO QUE CONSIDERÓ EL LEGISLADOR AL FIJARLOS Y LAS CARACTERÍSTICAS DEL CASO.”</w:t>
      </w:r>
      <w:r w:rsidRPr="000F23D6">
        <w:rPr>
          <w:rFonts w:ascii="Palatino Linotype" w:eastAsia="Palatino Linotype" w:hAnsi="Palatino Linotype" w:cs="Palatino Linotype"/>
          <w:sz w:val="22"/>
          <w:szCs w:val="22"/>
        </w:rPr>
        <w:t>, visible en la Gaceta del Semanario Judicial de la Federación con el registro digital 205635.</w:t>
      </w:r>
    </w:p>
    <w:p w14:paraId="37F29B17" w14:textId="77777777" w:rsidR="002F1788" w:rsidRPr="000F23D6" w:rsidRDefault="002F1788">
      <w:pPr>
        <w:spacing w:line="360" w:lineRule="auto"/>
        <w:rPr>
          <w:rFonts w:ascii="Palatino Linotype" w:eastAsia="Palatino Linotype" w:hAnsi="Palatino Linotype" w:cs="Palatino Linotype"/>
          <w:sz w:val="22"/>
          <w:szCs w:val="22"/>
        </w:rPr>
      </w:pPr>
    </w:p>
    <w:p w14:paraId="7134A4C8" w14:textId="77777777" w:rsidR="002F1788" w:rsidRPr="000F23D6" w:rsidRDefault="00131773">
      <w:pPr>
        <w:numPr>
          <w:ilvl w:val="0"/>
          <w:numId w:val="1"/>
        </w:numPr>
        <w:spacing w:line="360" w:lineRule="auto"/>
        <w:ind w:left="0" w:firstLine="0"/>
        <w:jc w:val="both"/>
        <w:rPr>
          <w:rFonts w:ascii="Palatino Linotype" w:eastAsia="Palatino Linotype" w:hAnsi="Palatino Linotype" w:cs="Palatino Linotype"/>
          <w:b/>
          <w:sz w:val="22"/>
          <w:szCs w:val="22"/>
        </w:rPr>
      </w:pPr>
      <w:r w:rsidRPr="000F23D6">
        <w:rPr>
          <w:rFonts w:ascii="Palatino Linotype" w:eastAsia="Palatino Linotype" w:hAnsi="Palatino Linotype" w:cs="Palatino Linotype"/>
          <w:sz w:val="22"/>
          <w:szCs w:val="22"/>
        </w:rPr>
        <w:t>Razones por las cuales cabe concluir que, la resolución al recurso de revisión se solventa hasta esta fecha, debido a que existe una excesiva carga de trabajo en desproporción a la capacidad de los recursos materiales y humanos con que cuenta este Instituto para atender la enorme demanda de usuarios que acuden para que se les garantice su Derecho de acceso a la información Pública y Protección de Datos Personales, aunado a la complejidad de los hechos a los que se refieren, así como al volumen del expediente, la extensión de los escritos y pruebas aportadas y desahogadas por las partes; lo que impide la tramitación de los recursos dentro de los términos legales previamente establecidos por la Ley, por tratarse de causas de fuerza mayor.</w:t>
      </w:r>
    </w:p>
    <w:p w14:paraId="0BA28E49" w14:textId="77777777" w:rsidR="002F1788" w:rsidRPr="000F23D6" w:rsidRDefault="002F1788">
      <w:pPr>
        <w:spacing w:line="360" w:lineRule="auto"/>
        <w:rPr>
          <w:rFonts w:ascii="Palatino Linotype" w:eastAsia="Palatino Linotype" w:hAnsi="Palatino Linotype" w:cs="Palatino Linotype"/>
          <w:sz w:val="22"/>
          <w:szCs w:val="22"/>
        </w:rPr>
      </w:pPr>
    </w:p>
    <w:p w14:paraId="76394349" w14:textId="77777777" w:rsidR="002F1788" w:rsidRPr="000F23D6" w:rsidRDefault="00131773">
      <w:pPr>
        <w:numPr>
          <w:ilvl w:val="0"/>
          <w:numId w:val="1"/>
        </w:numPr>
        <w:spacing w:line="360" w:lineRule="auto"/>
        <w:ind w:left="0" w:firstLine="0"/>
        <w:jc w:val="both"/>
        <w:rPr>
          <w:rFonts w:ascii="Palatino Linotype" w:eastAsia="Palatino Linotype" w:hAnsi="Palatino Linotype" w:cs="Palatino Linotype"/>
          <w:b/>
          <w:sz w:val="22"/>
          <w:szCs w:val="22"/>
        </w:rPr>
      </w:pPr>
      <w:r w:rsidRPr="000F23D6">
        <w:rPr>
          <w:rFonts w:ascii="Palatino Linotype" w:eastAsia="Palatino Linotype" w:hAnsi="Palatino Linotype" w:cs="Palatino Linotype"/>
          <w:sz w:val="22"/>
          <w:szCs w:val="22"/>
        </w:rPr>
        <w:lastRenderedPageBreak/>
        <w:t>Por ello, este organismo garante comprometido con la tutela de los derechos humanos confiados, señala que este exceso del plazo legal para resolver el presente asunto, resulta de carácter excepcional.</w:t>
      </w:r>
    </w:p>
    <w:p w14:paraId="0DD72D47" w14:textId="77777777" w:rsidR="002F1788" w:rsidRPr="000F23D6" w:rsidRDefault="002F1788">
      <w:pPr>
        <w:spacing w:line="360" w:lineRule="auto"/>
        <w:rPr>
          <w:rFonts w:ascii="Palatino Linotype" w:eastAsia="Palatino Linotype" w:hAnsi="Palatino Linotype" w:cs="Palatino Linotype"/>
          <w:sz w:val="22"/>
          <w:szCs w:val="22"/>
        </w:rPr>
      </w:pPr>
    </w:p>
    <w:p w14:paraId="12F0A3AF" w14:textId="77777777" w:rsidR="002F1788" w:rsidRPr="000F23D6" w:rsidRDefault="00131773">
      <w:pPr>
        <w:numPr>
          <w:ilvl w:val="0"/>
          <w:numId w:val="1"/>
        </w:numPr>
        <w:spacing w:line="360" w:lineRule="auto"/>
        <w:ind w:left="0" w:firstLine="0"/>
        <w:jc w:val="both"/>
        <w:rPr>
          <w:rFonts w:ascii="Palatino Linotype" w:eastAsia="Palatino Linotype" w:hAnsi="Palatino Linotype" w:cs="Palatino Linotype"/>
          <w:b/>
          <w:sz w:val="22"/>
          <w:szCs w:val="22"/>
        </w:rPr>
      </w:pPr>
      <w:r w:rsidRPr="000F23D6">
        <w:rPr>
          <w:rFonts w:ascii="Palatino Linotype" w:eastAsia="Palatino Linotype" w:hAnsi="Palatino Linotype" w:cs="Palatino Linotype"/>
          <w:sz w:val="22"/>
          <w:szCs w:val="22"/>
        </w:rPr>
        <w:t>Al respecto, también son de considerar los criterios sostenidos por el Cuarto Tribunal Colegiado en Materia Administrativa del Primer Circuito, cuyos rubros y datos de identificación son los siguientes:</w:t>
      </w:r>
    </w:p>
    <w:p w14:paraId="34C42E77" w14:textId="77777777" w:rsidR="002F1788" w:rsidRPr="000F23D6" w:rsidRDefault="002F1788">
      <w:pPr>
        <w:spacing w:line="360" w:lineRule="auto"/>
        <w:jc w:val="both"/>
        <w:rPr>
          <w:rFonts w:ascii="Palatino Linotype" w:eastAsia="Palatino Linotype" w:hAnsi="Palatino Linotype" w:cs="Palatino Linotype"/>
          <w:b/>
          <w:sz w:val="22"/>
          <w:szCs w:val="22"/>
        </w:rPr>
      </w:pPr>
    </w:p>
    <w:p w14:paraId="6537666B" w14:textId="77777777" w:rsidR="002F1788" w:rsidRPr="000F23D6" w:rsidRDefault="00131773">
      <w:pPr>
        <w:spacing w:line="360" w:lineRule="auto"/>
        <w:ind w:left="851" w:right="822"/>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 xml:space="preserve"> </w:t>
      </w:r>
      <w:r w:rsidRPr="000F23D6">
        <w:rPr>
          <w:rFonts w:ascii="Palatino Linotype" w:eastAsia="Palatino Linotype" w:hAnsi="Palatino Linotype" w:cs="Palatino Linotype"/>
          <w:i/>
          <w:sz w:val="22"/>
          <w:szCs w:val="22"/>
        </w:rPr>
        <w:t>“PLAZO RAZONABLE PARA RESOLVER. DIMENSIÓN Y EFECTOS DE ESTE CONCEPTO CUANDO SE ADUCE EXCESIVA CARGA DE TRABAJO.”</w:t>
      </w:r>
      <w:r w:rsidRPr="000F23D6">
        <w:rPr>
          <w:rFonts w:ascii="Palatino Linotype" w:eastAsia="Palatino Linotype" w:hAnsi="Palatino Linotype" w:cs="Palatino Linotype"/>
          <w:sz w:val="22"/>
          <w:szCs w:val="22"/>
        </w:rPr>
        <w:t xml:space="preserve"> consultable en el Seminario Judicial de la Federación y su gaceta, con el registro digital 2002351.</w:t>
      </w:r>
    </w:p>
    <w:p w14:paraId="1960F2E3" w14:textId="77777777" w:rsidR="002F1788" w:rsidRPr="000F23D6" w:rsidRDefault="002F1788">
      <w:pPr>
        <w:spacing w:line="360" w:lineRule="auto"/>
        <w:ind w:left="851" w:right="822"/>
        <w:jc w:val="both"/>
        <w:rPr>
          <w:rFonts w:ascii="Palatino Linotype" w:eastAsia="Palatino Linotype" w:hAnsi="Palatino Linotype" w:cs="Palatino Linotype"/>
          <w:b/>
          <w:sz w:val="22"/>
          <w:szCs w:val="22"/>
        </w:rPr>
      </w:pPr>
    </w:p>
    <w:p w14:paraId="3752A40A" w14:textId="77777777" w:rsidR="002F1788" w:rsidRPr="000F23D6" w:rsidRDefault="00131773">
      <w:pPr>
        <w:spacing w:line="360" w:lineRule="auto"/>
        <w:ind w:left="851" w:right="822"/>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i/>
          <w:sz w:val="22"/>
          <w:szCs w:val="22"/>
        </w:rPr>
        <w:t>“PLAZO RAZONABLE PARA RESOLVER. CONCEPTO Y ELEMENTOS QUE LO INTEGRAN A LA LUZ DEL DERECHO INTERNACIONAL DE LOS DERECHOS HUMANOS.”</w:t>
      </w:r>
      <w:r w:rsidRPr="000F23D6">
        <w:rPr>
          <w:rFonts w:ascii="Palatino Linotype" w:eastAsia="Palatino Linotype" w:hAnsi="Palatino Linotype" w:cs="Palatino Linotype"/>
          <w:sz w:val="22"/>
          <w:szCs w:val="22"/>
        </w:rPr>
        <w:t>, visible en el Semanario Judicial de la Federación y su gaceta, con el registro digital 2002350.</w:t>
      </w:r>
    </w:p>
    <w:p w14:paraId="786BE899" w14:textId="77777777" w:rsidR="002F1788" w:rsidRPr="000F23D6" w:rsidRDefault="002F1788">
      <w:pPr>
        <w:spacing w:line="360" w:lineRule="auto"/>
        <w:ind w:right="822"/>
        <w:jc w:val="both"/>
        <w:rPr>
          <w:rFonts w:ascii="Palatino Linotype" w:eastAsia="Palatino Linotype" w:hAnsi="Palatino Linotype" w:cs="Palatino Linotype"/>
          <w:i/>
          <w:sz w:val="22"/>
          <w:szCs w:val="22"/>
        </w:rPr>
      </w:pPr>
    </w:p>
    <w:p w14:paraId="5EC73509"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right="113"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Por ello, este Organismo Garante comprometido con la tutela de los derechos humanos confiados, señala que este exceso de plazo legal para resolver el presente asunto, resulta de carácter excepcional. </w:t>
      </w:r>
    </w:p>
    <w:p w14:paraId="1B4A7310"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right="113"/>
        <w:jc w:val="both"/>
        <w:rPr>
          <w:rFonts w:ascii="Palatino Linotype" w:eastAsia="Palatino Linotype" w:hAnsi="Palatino Linotype" w:cs="Palatino Linotype"/>
          <w:color w:val="000000"/>
          <w:sz w:val="22"/>
          <w:szCs w:val="22"/>
        </w:rPr>
      </w:pPr>
    </w:p>
    <w:p w14:paraId="122CE9A8"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right="113"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lastRenderedPageBreak/>
        <w:t xml:space="preserve">En fecha tres de </w:t>
      </w:r>
      <w:proofErr w:type="gramStart"/>
      <w:r w:rsidRPr="000F23D6">
        <w:rPr>
          <w:rFonts w:ascii="Palatino Linotype" w:eastAsia="Palatino Linotype" w:hAnsi="Palatino Linotype" w:cs="Palatino Linotype"/>
          <w:color w:val="000000"/>
          <w:sz w:val="22"/>
          <w:szCs w:val="22"/>
        </w:rPr>
        <w:t>diciembre  del</w:t>
      </w:r>
      <w:proofErr w:type="gramEnd"/>
      <w:r w:rsidRPr="000F23D6">
        <w:rPr>
          <w:rFonts w:ascii="Palatino Linotype" w:eastAsia="Palatino Linotype" w:hAnsi="Palatino Linotype" w:cs="Palatino Linotype"/>
          <w:color w:val="000000"/>
          <w:sz w:val="22"/>
          <w:szCs w:val="22"/>
        </w:rPr>
        <w:t xml:space="preserve"> año en curso se decretó el cierre de instrucción</w:t>
      </w:r>
    </w:p>
    <w:p w14:paraId="600C9863"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right="113"/>
        <w:jc w:val="both"/>
        <w:rPr>
          <w:rFonts w:ascii="Palatino Linotype" w:eastAsia="Palatino Linotype" w:hAnsi="Palatino Linotype" w:cs="Palatino Linotype"/>
          <w:color w:val="000000"/>
          <w:sz w:val="22"/>
          <w:szCs w:val="22"/>
        </w:rPr>
      </w:pPr>
    </w:p>
    <w:p w14:paraId="5E3EFD4F"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b/>
          <w:color w:val="000000"/>
          <w:sz w:val="22"/>
          <w:szCs w:val="22"/>
        </w:rPr>
      </w:pPr>
    </w:p>
    <w:p w14:paraId="31889664" w14:textId="77777777" w:rsidR="002F1788" w:rsidRPr="000F23D6" w:rsidRDefault="00131773">
      <w:pPr>
        <w:pStyle w:val="Ttulo1"/>
        <w:spacing w:before="0" w:line="360" w:lineRule="auto"/>
        <w:jc w:val="center"/>
        <w:rPr>
          <w:rFonts w:ascii="Palatino Linotype" w:eastAsia="Palatino Linotype" w:hAnsi="Palatino Linotype" w:cs="Palatino Linotype"/>
          <w:b/>
          <w:color w:val="000000"/>
          <w:sz w:val="22"/>
          <w:szCs w:val="22"/>
        </w:rPr>
      </w:pPr>
      <w:bookmarkStart w:id="1" w:name="_heading=h.1fob9te" w:colFirst="0" w:colLast="0"/>
      <w:bookmarkEnd w:id="1"/>
      <w:r w:rsidRPr="000F23D6">
        <w:rPr>
          <w:rFonts w:ascii="Palatino Linotype" w:eastAsia="Palatino Linotype" w:hAnsi="Palatino Linotype" w:cs="Palatino Linotype"/>
          <w:b/>
          <w:color w:val="000000"/>
          <w:sz w:val="22"/>
          <w:szCs w:val="22"/>
        </w:rPr>
        <w:t xml:space="preserve">C O N S I D E R A N D O </w:t>
      </w:r>
    </w:p>
    <w:p w14:paraId="5FFE5A3C" w14:textId="77777777" w:rsidR="002F1788" w:rsidRPr="000F23D6" w:rsidRDefault="002F1788">
      <w:pPr>
        <w:spacing w:line="360" w:lineRule="auto"/>
        <w:rPr>
          <w:rFonts w:ascii="Palatino Linotype" w:eastAsia="Palatino Linotype" w:hAnsi="Palatino Linotype" w:cs="Palatino Linotype"/>
          <w:sz w:val="22"/>
          <w:szCs w:val="22"/>
        </w:rPr>
      </w:pPr>
    </w:p>
    <w:p w14:paraId="3BD89CD1" w14:textId="77777777" w:rsidR="002F1788" w:rsidRPr="000F23D6" w:rsidRDefault="00131773">
      <w:pPr>
        <w:pStyle w:val="Ttulo2"/>
        <w:spacing w:before="0" w:line="360" w:lineRule="auto"/>
        <w:rPr>
          <w:rFonts w:ascii="Palatino Linotype" w:eastAsia="Palatino Linotype" w:hAnsi="Palatino Linotype" w:cs="Palatino Linotype"/>
          <w:b/>
          <w:color w:val="000000"/>
          <w:sz w:val="22"/>
          <w:szCs w:val="22"/>
        </w:rPr>
      </w:pPr>
      <w:bookmarkStart w:id="2" w:name="_heading=h.3znysh7" w:colFirst="0" w:colLast="0"/>
      <w:bookmarkEnd w:id="2"/>
      <w:r w:rsidRPr="000F23D6">
        <w:rPr>
          <w:rFonts w:ascii="Palatino Linotype" w:eastAsia="Palatino Linotype" w:hAnsi="Palatino Linotype" w:cs="Palatino Linotype"/>
          <w:b/>
          <w:color w:val="000000"/>
          <w:sz w:val="22"/>
          <w:szCs w:val="22"/>
        </w:rPr>
        <w:t>PRIMERO. De la competencia</w:t>
      </w:r>
    </w:p>
    <w:p w14:paraId="0004E2C9" w14:textId="77777777" w:rsidR="002F1788" w:rsidRPr="000F23D6" w:rsidRDefault="002F1788">
      <w:pPr>
        <w:spacing w:line="360" w:lineRule="auto"/>
        <w:rPr>
          <w:rFonts w:ascii="Palatino Linotype" w:eastAsia="Palatino Linotype" w:hAnsi="Palatino Linotype" w:cs="Palatino Linotype"/>
          <w:sz w:val="22"/>
          <w:szCs w:val="22"/>
        </w:rPr>
      </w:pPr>
    </w:p>
    <w:p w14:paraId="567CD8DD"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Este Instituto de Transparencia, Acceso a la Información Pública y Protección de Datos Personales del Estado de México, es competente para conocer y resolver el presente recurso de revisión interpuesto por el Recurrente conforme a lo dispuesto en los artículos 6, apartado A, fracción IV de la Constitución Política de los Estados Unidos Mexicanos; 5, párrafos trigésimo segundo,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6, 9 fracciones I y XXIII, y 11 del Reglamento Interior del Instituto de Transparencia, Acceso a la Información Pública y Protección de Datos Personales del Estado de México y Municipios.</w:t>
      </w:r>
    </w:p>
    <w:p w14:paraId="0E9877B2"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color w:val="000000"/>
          <w:sz w:val="22"/>
          <w:szCs w:val="22"/>
        </w:rPr>
      </w:pPr>
    </w:p>
    <w:p w14:paraId="0A34AE1A" w14:textId="77777777" w:rsidR="002F1788" w:rsidRPr="000F23D6" w:rsidRDefault="00131773">
      <w:pPr>
        <w:pStyle w:val="Ttulo2"/>
        <w:spacing w:before="0" w:line="360" w:lineRule="auto"/>
        <w:rPr>
          <w:rFonts w:ascii="Palatino Linotype" w:eastAsia="Palatino Linotype" w:hAnsi="Palatino Linotype" w:cs="Palatino Linotype"/>
          <w:b/>
          <w:color w:val="000000"/>
          <w:sz w:val="22"/>
          <w:szCs w:val="22"/>
        </w:rPr>
      </w:pPr>
      <w:bookmarkStart w:id="3" w:name="_heading=h.2et92p0" w:colFirst="0" w:colLast="0"/>
      <w:bookmarkEnd w:id="3"/>
      <w:r w:rsidRPr="000F23D6">
        <w:rPr>
          <w:rFonts w:ascii="Palatino Linotype" w:eastAsia="Palatino Linotype" w:hAnsi="Palatino Linotype" w:cs="Palatino Linotype"/>
          <w:b/>
          <w:color w:val="000000"/>
          <w:sz w:val="22"/>
          <w:szCs w:val="22"/>
        </w:rPr>
        <w:t>SEGUNDO. De la oportunidad y procedencia.</w:t>
      </w:r>
    </w:p>
    <w:p w14:paraId="2207C508" w14:textId="77777777" w:rsidR="002F1788" w:rsidRPr="000F23D6" w:rsidRDefault="002F1788">
      <w:pPr>
        <w:rPr>
          <w:sz w:val="22"/>
          <w:szCs w:val="22"/>
        </w:rPr>
      </w:pPr>
    </w:p>
    <w:p w14:paraId="1F1E967B"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Este Órgano Garante considera que los medios de impugnación reúnen los requisitos de procedencia toda vez que: los recurso fueron presentados dentro del plazo establecido en el artículo 178 de la Ley de Transparencia y Acceso a la Información Pública del Estado de </w:t>
      </w:r>
      <w:r w:rsidRPr="000F23D6">
        <w:rPr>
          <w:rFonts w:ascii="Palatino Linotype" w:eastAsia="Palatino Linotype" w:hAnsi="Palatino Linotype" w:cs="Palatino Linotype"/>
          <w:color w:val="000000"/>
          <w:sz w:val="22"/>
          <w:szCs w:val="22"/>
        </w:rPr>
        <w:lastRenderedPageBreak/>
        <w:t>México y Municipios; asimismo no se tiene conocimiento de que se encuentre en trámite algún medio de defensa presentado por la Recurrente ante otra instancia.</w:t>
      </w:r>
    </w:p>
    <w:p w14:paraId="737FA69A"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color w:val="000000"/>
          <w:sz w:val="22"/>
          <w:szCs w:val="22"/>
        </w:rPr>
      </w:pPr>
    </w:p>
    <w:p w14:paraId="03274B73"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Finalmente, los escritos recusarles contienen las formalidades previstas por el artículo 180 último párrafo de la citada Ley de la materia, por lo que es procedente que este Instituto conozca y resuelva el presente recurso.</w:t>
      </w:r>
    </w:p>
    <w:p w14:paraId="158624AA"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sz w:val="22"/>
          <w:szCs w:val="22"/>
        </w:rPr>
        <w:t>Por otro lado, es de suma importancia señalar que la parte recurrente no proporciona un nombre o datos de identificación como se advierte en el detalle de seguimiento del SAIMEX, no obstante lo anterior, no proporcionar el nombre completo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14:paraId="563955D7"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jc w:val="both"/>
        <w:rPr>
          <w:rFonts w:ascii="Palatino Linotype" w:eastAsia="Palatino Linotype" w:hAnsi="Palatino Linotype" w:cs="Palatino Linotype"/>
          <w:sz w:val="22"/>
          <w:szCs w:val="22"/>
        </w:rPr>
      </w:pPr>
    </w:p>
    <w:p w14:paraId="709EFFE8"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i/>
          <w:sz w:val="22"/>
          <w:szCs w:val="22"/>
        </w:rPr>
        <w:t>"</w:t>
      </w:r>
      <w:r w:rsidRPr="000F23D6">
        <w:rPr>
          <w:rFonts w:ascii="Palatino Linotype" w:eastAsia="Palatino Linotype" w:hAnsi="Palatino Linotype" w:cs="Palatino Linotype"/>
          <w:b/>
          <w:i/>
          <w:sz w:val="22"/>
          <w:szCs w:val="22"/>
        </w:rPr>
        <w:t>Las solicitudes anónimas</w:t>
      </w:r>
      <w:r w:rsidRPr="000F23D6">
        <w:rPr>
          <w:rFonts w:ascii="Palatino Linotype" w:eastAsia="Palatino Linotype" w:hAnsi="Palatino Linotype" w:cs="Palatino Linotype"/>
          <w:i/>
          <w:sz w:val="22"/>
          <w:szCs w:val="22"/>
        </w:rPr>
        <w:t xml:space="preserve">, con nombre incompleto o seudónimo </w:t>
      </w:r>
      <w:r w:rsidRPr="000F23D6">
        <w:rPr>
          <w:rFonts w:ascii="Palatino Linotype" w:eastAsia="Palatino Linotype" w:hAnsi="Palatino Linotype" w:cs="Palatino Linotype"/>
          <w:b/>
          <w:i/>
          <w:sz w:val="22"/>
          <w:szCs w:val="22"/>
        </w:rPr>
        <w:t>serán procedentes para su trámite por parte del sujeto obligado ante quien se presente</w:t>
      </w:r>
      <w:r w:rsidRPr="000F23D6">
        <w:rPr>
          <w:rFonts w:ascii="Palatino Linotype" w:eastAsia="Palatino Linotype" w:hAnsi="Palatino Linotype" w:cs="Palatino Linotype"/>
          <w:i/>
          <w:sz w:val="22"/>
          <w:szCs w:val="22"/>
        </w:rPr>
        <w:t>. No podrá requerirse información adicional con motivo del nombre proporcionado por el solicitante."</w:t>
      </w:r>
    </w:p>
    <w:p w14:paraId="1ECC4937"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sz w:val="22"/>
          <w:szCs w:val="22"/>
        </w:rPr>
        <w:t xml:space="preserve"> Robusteciendo lo anterior se encuentra lo dispuesto en el artículo 6, Apartado A, fracciones III de la Constitución Política de los Estados Unidos Mexicanos que establece:</w:t>
      </w:r>
    </w:p>
    <w:p w14:paraId="1E21860B"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w:t>
      </w:r>
      <w:r w:rsidRPr="000F23D6">
        <w:rPr>
          <w:rFonts w:ascii="Palatino Linotype" w:eastAsia="Palatino Linotype" w:hAnsi="Palatino Linotype" w:cs="Palatino Linotype"/>
          <w:b/>
          <w:i/>
          <w:sz w:val="22"/>
          <w:szCs w:val="22"/>
        </w:rPr>
        <w:t>Artículo 6.-</w:t>
      </w:r>
      <w:r w:rsidRPr="000F23D6">
        <w:rPr>
          <w:rFonts w:ascii="Palatino Linotype" w:eastAsia="Palatino Linotype" w:hAnsi="Palatino Linotype" w:cs="Palatino Linotype"/>
          <w:i/>
          <w:sz w:val="22"/>
          <w:szCs w:val="22"/>
        </w:rPr>
        <w:t xml:space="preserve"> La manifestación de las ideas no será objeto de ninguna inquisición judicial o administrativa, sino en el caso de que ataque a la moral, la vida privada </w:t>
      </w:r>
      <w:r w:rsidRPr="000F23D6">
        <w:rPr>
          <w:rFonts w:ascii="Palatino Linotype" w:eastAsia="Palatino Linotype" w:hAnsi="Palatino Linotype" w:cs="Palatino Linotype"/>
          <w:i/>
          <w:sz w:val="22"/>
          <w:szCs w:val="22"/>
        </w:rPr>
        <w:lastRenderedPageBreak/>
        <w:t>o los derechos de terceros, provoque algún delito, o perturbe el orden público; el derecho de réplica será ejercido en los términos dispuestos por la ley. El derecho a la información será garantizado por el Estado.</w:t>
      </w:r>
    </w:p>
    <w:p w14:paraId="07201D48"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Para efectos de lo dispuesto en el presente artículo se observará lo siguiente:</w:t>
      </w:r>
    </w:p>
    <w:p w14:paraId="760FF8FE"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 xml:space="preserve"> </w:t>
      </w:r>
    </w:p>
    <w:p w14:paraId="5DD01E0F"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A. Para el ejercicio del derecho de acceso a la información, la Federación, los Estados y el Distrito Federal, en el ámbito de sus respectivas competencias, se regirán por los siguientes principios y bases:</w:t>
      </w:r>
    </w:p>
    <w:p w14:paraId="141E13F9"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 xml:space="preserve"> </w:t>
      </w:r>
    </w:p>
    <w:p w14:paraId="60F0E7DC"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i/>
          <w:sz w:val="22"/>
          <w:szCs w:val="22"/>
        </w:rPr>
        <w:t xml:space="preserve">III. Toda persona, sin necesidad de acreditar interés alguno o justificar su utilización, tendrá acceso gratuito a la información pública, a sus datos personales o a la rectificación de éstos.” </w:t>
      </w:r>
      <w:r w:rsidRPr="000F23D6">
        <w:rPr>
          <w:rFonts w:ascii="Palatino Linotype" w:eastAsia="Palatino Linotype" w:hAnsi="Palatino Linotype" w:cs="Palatino Linotype"/>
          <w:sz w:val="22"/>
          <w:szCs w:val="22"/>
        </w:rPr>
        <w:t>(Sic)</w:t>
      </w:r>
    </w:p>
    <w:p w14:paraId="14FBC9CD"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jc w:val="both"/>
        <w:rPr>
          <w:rFonts w:ascii="Palatino Linotype" w:eastAsia="Palatino Linotype" w:hAnsi="Palatino Linotype" w:cs="Palatino Linotype"/>
          <w:sz w:val="22"/>
          <w:szCs w:val="22"/>
        </w:rPr>
      </w:pPr>
    </w:p>
    <w:p w14:paraId="1A798003"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sz w:val="22"/>
          <w:szCs w:val="22"/>
        </w:rPr>
        <w:t>Así como el artículo 5 fracción III, párrafo vigésimo noveno, trigésimo y trigésimo primero, de la Constitución Política del Estado Libre y Soberano de México, que determina lo siguiente:</w:t>
      </w:r>
    </w:p>
    <w:p w14:paraId="4230B1F4"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jc w:val="both"/>
        <w:rPr>
          <w:rFonts w:ascii="Palatino Linotype" w:eastAsia="Palatino Linotype" w:hAnsi="Palatino Linotype" w:cs="Palatino Linotype"/>
          <w:sz w:val="22"/>
          <w:szCs w:val="22"/>
        </w:rPr>
      </w:pPr>
    </w:p>
    <w:p w14:paraId="6127C6B0"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w:t>
      </w:r>
      <w:r w:rsidRPr="000F23D6">
        <w:rPr>
          <w:rFonts w:ascii="Palatino Linotype" w:eastAsia="Palatino Linotype" w:hAnsi="Palatino Linotype" w:cs="Palatino Linotype"/>
          <w:b/>
          <w:i/>
          <w:sz w:val="22"/>
          <w:szCs w:val="22"/>
        </w:rPr>
        <w:t>Artículo 5.-</w:t>
      </w:r>
      <w:r w:rsidRPr="000F23D6">
        <w:rPr>
          <w:rFonts w:ascii="Palatino Linotype" w:eastAsia="Palatino Linotype" w:hAnsi="Palatino Linotype" w:cs="Palatino Linotype"/>
          <w:i/>
          <w:sz w:val="22"/>
          <w:szCs w:val="22"/>
        </w:rPr>
        <w:t xml:space="preserve"> En el Estado de México todas las personas gozarán de los derechos humanos reconocidos en la Constitución Política de los Estados Unidos </w:t>
      </w:r>
      <w:r w:rsidRPr="000F23D6">
        <w:rPr>
          <w:rFonts w:ascii="Palatino Linotype" w:eastAsia="Palatino Linotype" w:hAnsi="Palatino Linotype" w:cs="Palatino Linotype"/>
          <w:i/>
          <w:sz w:val="22"/>
          <w:szCs w:val="22"/>
        </w:rPr>
        <w:lastRenderedPageBreak/>
        <w:t>Mexicanos, en los tratados internacionales en los que el Estado mexicano sea parte, en esta Constitución y en las leyes que de ésta emanen, por lo que gozarán de las garantías para su protección, las cuales no podrán restringirse ni suspenderse salvo en los casos y bajo las condiciones que la Constitución Política de los Estados Unidos Mexicanos establece”.(Sic)</w:t>
      </w:r>
    </w:p>
    <w:p w14:paraId="4DFE411A"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w:t>
      </w:r>
    </w:p>
    <w:p w14:paraId="2E146341"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Toda persona en el Estado de México, tiene derecho al libre acceso a la información plural y oportuna, así como a buscar recibir y difundir información e ideas de toda índole por cualquier medio de expresión.</w:t>
      </w:r>
    </w:p>
    <w:p w14:paraId="5F30822A"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w:t>
      </w:r>
    </w:p>
    <w:p w14:paraId="62FE5F05"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El derecho a la información será garantizado por el Estado. La ley establecerá las previsiones que permitan asegurar la protección, el respeto y la difusión de este derecho.</w:t>
      </w:r>
    </w:p>
    <w:p w14:paraId="539033E2"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 Este derecho se regirá por los principios y bases siguientes:</w:t>
      </w:r>
    </w:p>
    <w:p w14:paraId="5E23429C"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lastRenderedPageBreak/>
        <w:t>III. Toda persona, sin necesidad de acreditar interés alguno o justificar su utilización, tendrá acceso gratuito a la información pública, a sus datos personales o a la rectificación de éstos;</w:t>
      </w:r>
    </w:p>
    <w:p w14:paraId="09BF4EE4"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w:t>
      </w:r>
    </w:p>
    <w:p w14:paraId="0B4229BE"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i/>
          <w:sz w:val="22"/>
          <w:szCs w:val="22"/>
        </w:rPr>
        <w:t xml:space="preserve">VIII. El Estado contará con un organismo autónomo, especializado, imparcial, colegiado, con personalidad jurídica y patrimonio propio, con plena autonomía técnica y de gestión, con capacidad para decidir sobre el ejercicio de su presupuesto y determinar su organización interna, responsable de garantizar el cumplimiento del derecho de transparencia, acceso a la información pública y a la protección de datos personales en posesión de los sujetos obligados en los términos que establezca la ley.” </w:t>
      </w:r>
      <w:r w:rsidRPr="000F23D6">
        <w:rPr>
          <w:rFonts w:ascii="Palatino Linotype" w:eastAsia="Palatino Linotype" w:hAnsi="Palatino Linotype" w:cs="Palatino Linotype"/>
          <w:sz w:val="22"/>
          <w:szCs w:val="22"/>
        </w:rPr>
        <w:t>(Sic)</w:t>
      </w:r>
    </w:p>
    <w:p w14:paraId="0448183F"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jc w:val="both"/>
        <w:rPr>
          <w:rFonts w:ascii="Palatino Linotype" w:eastAsia="Palatino Linotype" w:hAnsi="Palatino Linotype" w:cs="Palatino Linotype"/>
          <w:sz w:val="22"/>
          <w:szCs w:val="22"/>
        </w:rPr>
      </w:pPr>
    </w:p>
    <w:p w14:paraId="5CD6E188"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sz w:val="22"/>
          <w:szCs w:val="22"/>
        </w:rPr>
        <w:t>Por otra parte, del contenido del artículo 1 de la Constitución Política de los Estados Unidos mexicanos, se destaca lo siguiente:</w:t>
      </w:r>
    </w:p>
    <w:p w14:paraId="3A970489"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w:t>
      </w:r>
      <w:r w:rsidRPr="000F23D6">
        <w:rPr>
          <w:rFonts w:ascii="Palatino Linotype" w:eastAsia="Palatino Linotype" w:hAnsi="Palatino Linotype" w:cs="Palatino Linotype"/>
          <w:b/>
          <w:i/>
          <w:sz w:val="22"/>
          <w:szCs w:val="22"/>
        </w:rPr>
        <w:t>Artículo 1</w:t>
      </w:r>
      <w:r w:rsidRPr="000F23D6">
        <w:rPr>
          <w:rFonts w:ascii="Palatino Linotype" w:eastAsia="Palatino Linotype" w:hAnsi="Palatino Linotype" w:cs="Palatino Linotype"/>
          <w:i/>
          <w:sz w:val="22"/>
          <w:szCs w:val="22"/>
        </w:rPr>
        <w:t xml:space="preserve">. En los Estados Unidos Mexicanos todas las personas gozarán de los derechos humanos reconocidos en esta Constitución y en los </w:t>
      </w:r>
      <w:proofErr w:type="gramStart"/>
      <w:r w:rsidRPr="000F23D6">
        <w:rPr>
          <w:rFonts w:ascii="Palatino Linotype" w:eastAsia="Palatino Linotype" w:hAnsi="Palatino Linotype" w:cs="Palatino Linotype"/>
          <w:i/>
          <w:sz w:val="22"/>
          <w:szCs w:val="22"/>
        </w:rPr>
        <w:t>tratados  internacionales</w:t>
      </w:r>
      <w:proofErr w:type="gramEnd"/>
      <w:r w:rsidRPr="000F23D6">
        <w:rPr>
          <w:rFonts w:ascii="Palatino Linotype" w:eastAsia="Palatino Linotype" w:hAnsi="Palatino Linotype" w:cs="Palatino Linotype"/>
          <w:i/>
          <w:sz w:val="22"/>
          <w:szCs w:val="22"/>
        </w:rPr>
        <w:t xml:space="preserve"> de los que el Estado Mexicano sea parte, así como de las garantías para su protección, cuyo ejercicio no podrá restringirse ni suspenderse, salvo en los casos y bajo las condiciones que esta Constitución establece.</w:t>
      </w:r>
    </w:p>
    <w:p w14:paraId="4E95C559"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lastRenderedPageBreak/>
        <w:t>Las normas relativas a los derechos humanos se interpretarán de conformidad con esta Constitución y con los tratados internacionales de la materia favoreciendo en todo tiempo a las personas la protección más amplia.</w:t>
      </w:r>
    </w:p>
    <w:p w14:paraId="62C0CF68"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before="240" w:after="240" w:line="360" w:lineRule="auto"/>
        <w:ind w:left="1140" w:right="90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i/>
          <w:sz w:val="22"/>
          <w:szCs w:val="22"/>
        </w:rPr>
        <w:t>Todas las 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 la ley."(Sic)</w:t>
      </w:r>
    </w:p>
    <w:p w14:paraId="19E1AE16"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jc w:val="both"/>
        <w:rPr>
          <w:rFonts w:ascii="Palatino Linotype" w:eastAsia="Palatino Linotype" w:hAnsi="Palatino Linotype" w:cs="Palatino Linotype"/>
          <w:sz w:val="22"/>
          <w:szCs w:val="22"/>
        </w:rPr>
      </w:pPr>
    </w:p>
    <w:p w14:paraId="01E04BA7"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sz w:val="22"/>
          <w:szCs w:val="22"/>
        </w:rPr>
        <w:t xml:space="preserve">Esto es, que el derecho humano de acceso a la información pública, se aprecia que toda persona, sin necesidad de acreditar interés alguno o justificar su interposición, deberá tener acceso a la información pública, es decir, dicho </w:t>
      </w:r>
      <w:r w:rsidRPr="000F23D6">
        <w:rPr>
          <w:rFonts w:ascii="Palatino Linotype" w:eastAsia="Palatino Linotype" w:hAnsi="Palatino Linotype" w:cs="Palatino Linotype"/>
          <w:i/>
          <w:sz w:val="22"/>
          <w:szCs w:val="22"/>
        </w:rPr>
        <w:t>derecho fundamental exime a quien lo ejerce</w:t>
      </w:r>
      <w:r w:rsidRPr="000F23D6">
        <w:rPr>
          <w:rFonts w:ascii="Palatino Linotype" w:eastAsia="Palatino Linotype" w:hAnsi="Palatino Linotype" w:cs="Palatino Linotype"/>
          <w:sz w:val="22"/>
          <w:szCs w:val="22"/>
        </w:rPr>
        <w:t>, de acreditar su legitimación en la causa o su interés en el asunto, lo que permite la posibilidad de que, incluso, la solicitud de acceso a la información pueda ser anónima o no contener un nombre que identifique al solicitante o que permita tener certeza sobre su identidad.</w:t>
      </w:r>
    </w:p>
    <w:p w14:paraId="14C2E7FD"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jc w:val="both"/>
        <w:rPr>
          <w:rFonts w:ascii="Palatino Linotype" w:eastAsia="Palatino Linotype" w:hAnsi="Palatino Linotype" w:cs="Palatino Linotype"/>
          <w:sz w:val="22"/>
          <w:szCs w:val="22"/>
        </w:rPr>
      </w:pPr>
    </w:p>
    <w:p w14:paraId="144A8FBC"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sz w:val="22"/>
          <w:szCs w:val="22"/>
        </w:rPr>
        <w:t xml:space="preserve">En consecuencia, dado lo expuesto y fundado con anterioridad, se estima que el requisito relativo al nombre del </w:t>
      </w:r>
      <w:r w:rsidRPr="000F23D6">
        <w:rPr>
          <w:rFonts w:ascii="Palatino Linotype" w:eastAsia="Palatino Linotype" w:hAnsi="Palatino Linotype" w:cs="Palatino Linotype"/>
          <w:b/>
          <w:sz w:val="22"/>
          <w:szCs w:val="22"/>
        </w:rPr>
        <w:t>RECURRENTE</w:t>
      </w:r>
      <w:r w:rsidRPr="000F23D6">
        <w:rPr>
          <w:rFonts w:ascii="Palatino Linotype" w:eastAsia="Palatino Linotype" w:hAnsi="Palatino Linotype" w:cs="Palatino Linotype"/>
          <w:sz w:val="22"/>
          <w:szCs w:val="22"/>
        </w:rPr>
        <w:t xml:space="preserve"> no constituye un presupuesto indispensable de procedencia del Recurso de Revisión, en términos de los artículos 25 de la Convención Americana de Derechos Humanos, 1, párrafos segundo y tercero, 6 apartado A fracción III de </w:t>
      </w:r>
      <w:r w:rsidRPr="000F23D6">
        <w:rPr>
          <w:rFonts w:ascii="Palatino Linotype" w:eastAsia="Palatino Linotype" w:hAnsi="Palatino Linotype" w:cs="Palatino Linotype"/>
          <w:sz w:val="22"/>
          <w:szCs w:val="22"/>
        </w:rPr>
        <w:lastRenderedPageBreak/>
        <w:t>la Constitución Política de los Estados Unidos Mexicanos y 5 párrafo vigésimo noveno, trigésimo y trigésimo primero de la Constitución Política del Estado Libre y Soberano de México, debido a que el acceso a la información pública es un derecho humano que no requiere legitimación en la causa, si no que únicamente basta con que se encuentre legitimado en el procedimiento de Recurso de Revisión, circunstancia que se acredita en las constancias electrónicas de los expedientes en revisión, de las que se desprende que la parte recurrente, es la misma que realizó la solicitud de acceso a la información pública que ahora se impugna.</w:t>
      </w:r>
    </w:p>
    <w:p w14:paraId="0B78D9F8"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jc w:val="both"/>
        <w:rPr>
          <w:rFonts w:ascii="Palatino Linotype" w:eastAsia="Palatino Linotype" w:hAnsi="Palatino Linotype" w:cs="Palatino Linotype"/>
          <w:sz w:val="22"/>
          <w:szCs w:val="22"/>
        </w:rPr>
      </w:pPr>
    </w:p>
    <w:p w14:paraId="364EBB30"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sz w:val="22"/>
          <w:szCs w:val="22"/>
        </w:rPr>
        <w:t>Por otro lado, el escrito contiene las formalidades previstas por el artículo 180 último párrafo de la Ley de la materia actual, por lo que es procedente que este Instituto de Transparencia, Acceso a la Información Pública y Protección de Datos Personales del Estado de México y Municipios, conozca y resuelva el presente recurso.</w:t>
      </w:r>
    </w:p>
    <w:p w14:paraId="056FEDD8"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720"/>
        <w:rPr>
          <w:rFonts w:ascii="Palatino Linotype" w:eastAsia="Palatino Linotype" w:hAnsi="Palatino Linotype" w:cs="Palatino Linotype"/>
          <w:color w:val="000000"/>
          <w:sz w:val="22"/>
          <w:szCs w:val="22"/>
        </w:rPr>
      </w:pPr>
    </w:p>
    <w:p w14:paraId="32041CEF" w14:textId="77777777" w:rsidR="002F1788" w:rsidRPr="000F23D6" w:rsidRDefault="00131773">
      <w:pPr>
        <w:pStyle w:val="Ttulo1"/>
        <w:spacing w:before="0" w:line="360" w:lineRule="auto"/>
        <w:rPr>
          <w:rFonts w:ascii="Palatino Linotype" w:eastAsia="Palatino Linotype" w:hAnsi="Palatino Linotype" w:cs="Palatino Linotype"/>
          <w:b/>
          <w:i/>
          <w:color w:val="000000"/>
          <w:sz w:val="22"/>
          <w:szCs w:val="22"/>
        </w:rPr>
      </w:pPr>
      <w:bookmarkStart w:id="4" w:name="_heading=h.tyjcwt" w:colFirst="0" w:colLast="0"/>
      <w:bookmarkEnd w:id="4"/>
      <w:r w:rsidRPr="000F23D6">
        <w:rPr>
          <w:rFonts w:ascii="Palatino Linotype" w:eastAsia="Palatino Linotype" w:hAnsi="Palatino Linotype" w:cs="Palatino Linotype"/>
          <w:b/>
          <w:color w:val="000000"/>
          <w:sz w:val="22"/>
          <w:szCs w:val="22"/>
        </w:rPr>
        <w:t xml:space="preserve">TERCERO. Del planteamiento de la </w:t>
      </w:r>
      <w:r w:rsidRPr="000F23D6">
        <w:rPr>
          <w:rFonts w:ascii="Palatino Linotype" w:eastAsia="Palatino Linotype" w:hAnsi="Palatino Linotype" w:cs="Palatino Linotype"/>
          <w:b/>
          <w:i/>
          <w:color w:val="000000"/>
          <w:sz w:val="22"/>
          <w:szCs w:val="22"/>
        </w:rPr>
        <w:t>Litis</w:t>
      </w:r>
    </w:p>
    <w:p w14:paraId="62D6CFC5" w14:textId="77777777" w:rsidR="002F1788" w:rsidRPr="000F23D6" w:rsidRDefault="002F1788">
      <w:pPr>
        <w:rPr>
          <w:sz w:val="22"/>
          <w:szCs w:val="22"/>
        </w:rPr>
      </w:pPr>
    </w:p>
    <w:p w14:paraId="65ED9553"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Se solicitó tener acceso, a la información que a continuación se simplifica:</w:t>
      </w:r>
    </w:p>
    <w:p w14:paraId="66868C68"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color w:val="000000"/>
          <w:sz w:val="22"/>
          <w:szCs w:val="22"/>
        </w:rPr>
      </w:pPr>
    </w:p>
    <w:p w14:paraId="52C56A44"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Oficios enviados y recibidos de parte del registro civil del municipio de </w:t>
      </w:r>
      <w:proofErr w:type="spellStart"/>
      <w:r w:rsidRPr="000F23D6">
        <w:rPr>
          <w:rFonts w:ascii="Palatino Linotype" w:eastAsia="Palatino Linotype" w:hAnsi="Palatino Linotype" w:cs="Palatino Linotype"/>
          <w:i/>
          <w:color w:val="000000"/>
          <w:sz w:val="22"/>
          <w:szCs w:val="22"/>
        </w:rPr>
        <w:t>tezoyuca</w:t>
      </w:r>
      <w:proofErr w:type="spellEnd"/>
      <w:r w:rsidRPr="000F23D6">
        <w:rPr>
          <w:rFonts w:ascii="Palatino Linotype" w:eastAsia="Palatino Linotype" w:hAnsi="Palatino Linotype" w:cs="Palatino Linotype"/>
          <w:i/>
          <w:color w:val="000000"/>
          <w:sz w:val="22"/>
          <w:szCs w:val="22"/>
        </w:rPr>
        <w:t xml:space="preserve"> en los años 2010, 2011, 2012, 2013, 2014, 2015, 2016, 2017, 2018, 2019, 2020, 2021, 2022, 2023, 2024.</w:t>
      </w:r>
    </w:p>
    <w:p w14:paraId="7A8A8F89"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Oficios enviados y recibidos por parte del DIF municipal de enero a agosto del 2024.</w:t>
      </w:r>
    </w:p>
    <w:p w14:paraId="30B17CFF"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Oficios enviados y recibidos de contraloría municipal de enero a agosto del 2024.</w:t>
      </w:r>
    </w:p>
    <w:p w14:paraId="241510CA"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Oficios recibidos y enviados del área de obras públicas de enero a agosto del 2024.</w:t>
      </w:r>
    </w:p>
    <w:p w14:paraId="5731DA2A"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Oficios enviados y recibidos del área de desarrollo urbano de enero 2024 a agosto 2024.</w:t>
      </w:r>
    </w:p>
    <w:p w14:paraId="2E8B73B9"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426"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lastRenderedPageBreak/>
        <w:t>Oficios recibidos y enviados por parte de presidencia municipal de enero del 2024 a agosto del 2024</w:t>
      </w:r>
    </w:p>
    <w:p w14:paraId="36E33A5A"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ind w:left="709" w:right="474"/>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ab/>
      </w:r>
      <w:r w:rsidRPr="000F23D6">
        <w:rPr>
          <w:rFonts w:ascii="Palatino Linotype" w:eastAsia="Palatino Linotype" w:hAnsi="Palatino Linotype" w:cs="Palatino Linotype"/>
          <w:color w:val="000000"/>
          <w:sz w:val="22"/>
          <w:szCs w:val="22"/>
        </w:rPr>
        <w:tab/>
      </w:r>
      <w:r w:rsidRPr="000F23D6">
        <w:rPr>
          <w:rFonts w:ascii="Palatino Linotype" w:eastAsia="Palatino Linotype" w:hAnsi="Palatino Linotype" w:cs="Palatino Linotype"/>
          <w:color w:val="000000"/>
          <w:sz w:val="22"/>
          <w:szCs w:val="22"/>
        </w:rPr>
        <w:tab/>
      </w:r>
      <w:r w:rsidRPr="000F23D6">
        <w:rPr>
          <w:rFonts w:ascii="Palatino Linotype" w:eastAsia="Palatino Linotype" w:hAnsi="Palatino Linotype" w:cs="Palatino Linotype"/>
          <w:color w:val="000000"/>
          <w:sz w:val="22"/>
          <w:szCs w:val="22"/>
        </w:rPr>
        <w:tab/>
      </w:r>
      <w:r w:rsidRPr="000F23D6">
        <w:rPr>
          <w:rFonts w:ascii="Palatino Linotype" w:eastAsia="Palatino Linotype" w:hAnsi="Palatino Linotype" w:cs="Palatino Linotype"/>
          <w:color w:val="000000"/>
          <w:sz w:val="22"/>
          <w:szCs w:val="22"/>
        </w:rPr>
        <w:tab/>
      </w:r>
      <w:r w:rsidRPr="000F23D6">
        <w:rPr>
          <w:rFonts w:ascii="Palatino Linotype" w:eastAsia="Palatino Linotype" w:hAnsi="Palatino Linotype" w:cs="Palatino Linotype"/>
          <w:color w:val="000000"/>
          <w:sz w:val="22"/>
          <w:szCs w:val="22"/>
        </w:rPr>
        <w:tab/>
      </w:r>
    </w:p>
    <w:p w14:paraId="464266BC"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b/>
          <w:sz w:val="22"/>
          <w:szCs w:val="22"/>
        </w:rPr>
      </w:pPr>
      <w:r w:rsidRPr="000F23D6">
        <w:rPr>
          <w:rFonts w:ascii="Palatino Linotype" w:eastAsia="Palatino Linotype" w:hAnsi="Palatino Linotype" w:cs="Palatino Linotype"/>
          <w:color w:val="000000"/>
          <w:sz w:val="22"/>
          <w:szCs w:val="22"/>
        </w:rPr>
        <w:t xml:space="preserve">El </w:t>
      </w:r>
      <w:r w:rsidRPr="000F23D6">
        <w:rPr>
          <w:rFonts w:ascii="Palatino Linotype" w:eastAsia="Palatino Linotype" w:hAnsi="Palatino Linotype" w:cs="Palatino Linotype"/>
          <w:b/>
          <w:color w:val="000000"/>
          <w:sz w:val="22"/>
          <w:szCs w:val="22"/>
        </w:rPr>
        <w:t xml:space="preserve">SUJETO OBLIGADO, </w:t>
      </w:r>
      <w:r w:rsidRPr="000F23D6">
        <w:rPr>
          <w:rFonts w:ascii="Palatino Linotype" w:eastAsia="Palatino Linotype" w:hAnsi="Palatino Linotype" w:cs="Palatino Linotype"/>
          <w:color w:val="000000"/>
          <w:sz w:val="22"/>
          <w:szCs w:val="22"/>
        </w:rPr>
        <w:t>responde que el solicitante no especifica la forma en lo que lo requiere, por lo que se ponen a su disposición en las oficinas ubicadas en Av. Pascual Luna No. 20, Barrio Ascensión, Tezoyuca, Estado de México.</w:t>
      </w:r>
      <w:r w:rsidRPr="000F23D6">
        <w:rPr>
          <w:rFonts w:ascii="SimSun" w:eastAsia="SimSun" w:hAnsi="SimSun" w:cs="SimSun"/>
          <w:sz w:val="22"/>
          <w:szCs w:val="22"/>
        </w:rPr>
        <w:t xml:space="preserve"> </w:t>
      </w:r>
    </w:p>
    <w:p w14:paraId="7C6C248B"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b/>
          <w:sz w:val="22"/>
          <w:szCs w:val="22"/>
        </w:rPr>
      </w:pPr>
    </w:p>
    <w:p w14:paraId="5BC2D810"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b/>
          <w:color w:val="000000"/>
          <w:sz w:val="22"/>
          <w:szCs w:val="22"/>
        </w:rPr>
        <w:t>El RECURRENTE,</w:t>
      </w:r>
      <w:r w:rsidRPr="000F23D6">
        <w:rPr>
          <w:rFonts w:ascii="Palatino Linotype" w:eastAsia="Palatino Linotype" w:hAnsi="Palatino Linotype" w:cs="Palatino Linotype"/>
          <w:color w:val="000000"/>
          <w:sz w:val="22"/>
          <w:szCs w:val="22"/>
        </w:rPr>
        <w:t xml:space="preserve"> se inconforma en todos los recursos en el mismo sentido, porque no se hace entrega de la información tal y cual lo solicitó, ya que lo solicita vía SAIMEX.</w:t>
      </w:r>
    </w:p>
    <w:p w14:paraId="5CE7C97C"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color w:val="000000"/>
          <w:sz w:val="22"/>
          <w:szCs w:val="22"/>
        </w:rPr>
      </w:pPr>
    </w:p>
    <w:p w14:paraId="4329748F"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En dichas condiciones, la Litis a resolver en este recurso se circunscribe a determinar si se actualiza la causal de procedencia prevista en el artículo 179, fracción I de la Ley de Transparencia y Acceso a la Información Pública del Estado de México y Municipios; fracciones que determina las hipótesis jurídicas relativa a la negativa a la información solicitada, contexto del cual se dolió EL RECURRENTE al momento de interponer su inconformidad. De modo tal que el presente recurso de revisión se abocará en determinar si el SUJETO OBLIGADO con su respuesta ciertamente actualiza la causal de procedencia antes señalada.</w:t>
      </w:r>
    </w:p>
    <w:p w14:paraId="28697BF9"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color w:val="000000"/>
          <w:sz w:val="22"/>
          <w:szCs w:val="22"/>
        </w:rPr>
      </w:pPr>
    </w:p>
    <w:p w14:paraId="71C5DA1E"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b/>
          <w:color w:val="000000"/>
          <w:sz w:val="22"/>
          <w:szCs w:val="22"/>
        </w:rPr>
      </w:pPr>
      <w:r w:rsidRPr="000F23D6">
        <w:rPr>
          <w:rFonts w:ascii="Palatino Linotype" w:eastAsia="Palatino Linotype" w:hAnsi="Palatino Linotype" w:cs="Palatino Linotype"/>
          <w:b/>
          <w:color w:val="000000"/>
          <w:sz w:val="22"/>
          <w:szCs w:val="22"/>
        </w:rPr>
        <w:t>CUARTA. Estudio de la controversia.</w:t>
      </w:r>
    </w:p>
    <w:p w14:paraId="4E4DA8DC"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color w:val="000000"/>
          <w:sz w:val="22"/>
          <w:szCs w:val="22"/>
        </w:rPr>
      </w:pPr>
    </w:p>
    <w:p w14:paraId="1453D26C"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lastRenderedPageBreak/>
        <w:t xml:space="preserve">Determinado lo anterior; revisaremos la atención otorgada por el Sujeto Obligado a la solicitud que dio origen a este recurso, considerando imprescindible establecer lo que la regulación determina, por ello, en primer lugar, vamos a revisar lo que mandata nuestra Ley de Transparencia local, en su artículo 12, el cual establece que quienes generen, recopilen, administren, manejen, procesen, archiven o conserven información pública serán responsables de la misma, del mismo modo, el artículo 18 establece que los Sujetos Obligados </w:t>
      </w:r>
      <w:r w:rsidRPr="000F23D6">
        <w:rPr>
          <w:rFonts w:ascii="Palatino Linotype" w:eastAsia="Palatino Linotype" w:hAnsi="Palatino Linotype" w:cs="Palatino Linotype"/>
          <w:b/>
          <w:color w:val="000000"/>
          <w:sz w:val="22"/>
          <w:szCs w:val="22"/>
        </w:rPr>
        <w:t>deberán documentar todo acto que derive del ejercicio de sus facultades, competencias o funciones desde su origen la eventual publicidad y reutilización de la información que generen</w:t>
      </w:r>
      <w:r w:rsidRPr="000F23D6">
        <w:rPr>
          <w:rFonts w:ascii="Palatino Linotype" w:eastAsia="Palatino Linotype" w:hAnsi="Palatino Linotype" w:cs="Palatino Linotype"/>
          <w:color w:val="000000"/>
          <w:sz w:val="22"/>
          <w:szCs w:val="22"/>
        </w:rPr>
        <w:t>.</w:t>
      </w:r>
    </w:p>
    <w:p w14:paraId="6EBC2C2F" w14:textId="77777777" w:rsidR="002F1788" w:rsidRPr="000F23D6" w:rsidRDefault="002F1788">
      <w:pPr>
        <w:spacing w:line="360" w:lineRule="auto"/>
        <w:ind w:right="-646"/>
        <w:jc w:val="both"/>
        <w:rPr>
          <w:rFonts w:ascii="Palatino Linotype" w:eastAsia="Palatino Linotype" w:hAnsi="Palatino Linotype" w:cs="Palatino Linotype"/>
          <w:sz w:val="22"/>
          <w:szCs w:val="22"/>
        </w:rPr>
      </w:pPr>
    </w:p>
    <w:p w14:paraId="43F7F4B2"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Asimismo, es relevante mencionar que el artículo 19 del ordenamiento local de la materia señala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1A73209D"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720"/>
        <w:rPr>
          <w:rFonts w:ascii="Palatino Linotype" w:eastAsia="Palatino Linotype" w:hAnsi="Palatino Linotype" w:cs="Palatino Linotype"/>
          <w:color w:val="000000"/>
          <w:sz w:val="22"/>
          <w:szCs w:val="22"/>
        </w:rPr>
      </w:pPr>
    </w:p>
    <w:p w14:paraId="4DB6F99B"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Los artículos antes citados, refieren que el derecho de acceso a la información pública es un derecho humano que abarca el solicitar, investigar, difundir y buscar información que se encuentre en los archivos de los sujetos obligados, ya sea porque estos las generaron o la poseen en atención a sus funciones, por lo que se le considera un bien común de dominio público, toda vez que al tratarse de acciones ejercidas por un servidor público, este lo hace en representación del Estado, por lo que le pertenece a todos y debe ser accesible a cualquier persona, ya sea que los particulares la puedan consultar por encontrarse publicada en </w:t>
      </w:r>
      <w:r w:rsidRPr="000F23D6">
        <w:rPr>
          <w:rFonts w:ascii="Palatino Linotype" w:eastAsia="Palatino Linotype" w:hAnsi="Palatino Linotype" w:cs="Palatino Linotype"/>
          <w:color w:val="000000"/>
          <w:sz w:val="22"/>
          <w:szCs w:val="22"/>
        </w:rPr>
        <w:lastRenderedPageBreak/>
        <w:t>cualquier medio de difusión o porque la requieren a través de una solicitud de acceso a la información, siempre y cuando no encuadre en una de las excepciones contempladas por la ley.</w:t>
      </w:r>
    </w:p>
    <w:p w14:paraId="7F928F97"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rFonts w:ascii="Palatino Linotype" w:eastAsia="Palatino Linotype" w:hAnsi="Palatino Linotype" w:cs="Palatino Linotype"/>
          <w:color w:val="000000"/>
          <w:sz w:val="22"/>
          <w:szCs w:val="22"/>
        </w:rPr>
      </w:pPr>
    </w:p>
    <w:p w14:paraId="349B7D5B"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b/>
          <w:color w:val="000000"/>
          <w:sz w:val="22"/>
          <w:szCs w:val="22"/>
        </w:rPr>
      </w:pPr>
      <w:r w:rsidRPr="000F23D6">
        <w:rPr>
          <w:rFonts w:ascii="Palatino Linotype" w:eastAsia="Palatino Linotype" w:hAnsi="Palatino Linotype" w:cs="Palatino Linotype"/>
          <w:color w:val="000000"/>
          <w:sz w:val="22"/>
          <w:szCs w:val="22"/>
        </w:rPr>
        <w:t xml:space="preserve">Una vez mencionado lo anterior, es necesario de manera inicial recordar lo solicitado y que versó toralmente en tener acceso a diversos oficios, los cuales si bien es cierto el </w:t>
      </w:r>
      <w:r w:rsidRPr="000F23D6">
        <w:rPr>
          <w:rFonts w:ascii="Palatino Linotype" w:eastAsia="Palatino Linotype" w:hAnsi="Palatino Linotype" w:cs="Palatino Linotype"/>
          <w:b/>
          <w:color w:val="000000"/>
          <w:sz w:val="22"/>
          <w:szCs w:val="22"/>
        </w:rPr>
        <w:t>SUJETO OBLIGADO</w:t>
      </w:r>
      <w:r w:rsidRPr="000F23D6">
        <w:rPr>
          <w:rFonts w:ascii="Palatino Linotype" w:eastAsia="Palatino Linotype" w:hAnsi="Palatino Linotype" w:cs="Palatino Linotype"/>
          <w:color w:val="000000"/>
          <w:sz w:val="22"/>
          <w:szCs w:val="22"/>
        </w:rPr>
        <w:t xml:space="preserve"> aceptó de manera expresa que genera, posee y administra, no es óbice para realizar las siguientes precisiones.</w:t>
      </w:r>
    </w:p>
    <w:p w14:paraId="4C24DC4E"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jc w:val="both"/>
        <w:rPr>
          <w:rFonts w:ascii="Palatino Linotype" w:eastAsia="Palatino Linotype" w:hAnsi="Palatino Linotype" w:cs="Palatino Linotype"/>
          <w:b/>
          <w:sz w:val="22"/>
          <w:szCs w:val="22"/>
        </w:rPr>
      </w:pPr>
    </w:p>
    <w:p w14:paraId="3D248AC8"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Derivado de la naturaleza de la información solicitada, </w:t>
      </w:r>
      <w:proofErr w:type="gramStart"/>
      <w:r w:rsidRPr="000F23D6">
        <w:rPr>
          <w:rFonts w:ascii="Palatino Linotype" w:eastAsia="Palatino Linotype" w:hAnsi="Palatino Linotype" w:cs="Palatino Linotype"/>
          <w:color w:val="000000"/>
          <w:sz w:val="22"/>
          <w:szCs w:val="22"/>
        </w:rPr>
        <w:t>resulta  necesario</w:t>
      </w:r>
      <w:proofErr w:type="gramEnd"/>
      <w:r w:rsidRPr="000F23D6">
        <w:rPr>
          <w:rFonts w:ascii="Palatino Linotype" w:eastAsia="Palatino Linotype" w:hAnsi="Palatino Linotype" w:cs="Palatino Linotype"/>
          <w:color w:val="000000"/>
          <w:sz w:val="22"/>
          <w:szCs w:val="22"/>
        </w:rPr>
        <w:t xml:space="preserve"> realizar las anotaciones siguientes.</w:t>
      </w:r>
    </w:p>
    <w:p w14:paraId="3DECEA75"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jc w:val="both"/>
        <w:rPr>
          <w:rFonts w:ascii="Palatino Linotype" w:eastAsia="Palatino Linotype" w:hAnsi="Palatino Linotype" w:cs="Palatino Linotype"/>
          <w:color w:val="000000"/>
          <w:sz w:val="22"/>
          <w:szCs w:val="22"/>
        </w:rPr>
      </w:pPr>
    </w:p>
    <w:p w14:paraId="44EB4F23"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Así las cosas, para una mayor comprensión del caso que nos ocupa, se debe precisar en primer lugar que, los oficios son documentos de comunicación que se utiliza para tratar asuntos de índole oficial, empleado comúnmente para iniciar una gestión, informar un hecho relevante, regularizar una situación, transmitir órdenes, lineamientos e instrucciones, o tratar asuntos específicos relacionados con personas físicas o jurídico colectivas fuera del sector público, los cuales para un correcto control deben guardar registro en los archivos de las entidades. </w:t>
      </w:r>
    </w:p>
    <w:p w14:paraId="1247DA3E"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jc w:val="both"/>
        <w:rPr>
          <w:rFonts w:ascii="Palatino Linotype" w:eastAsia="Palatino Linotype" w:hAnsi="Palatino Linotype" w:cs="Palatino Linotype"/>
          <w:sz w:val="22"/>
          <w:szCs w:val="22"/>
        </w:rPr>
      </w:pPr>
    </w:p>
    <w:p w14:paraId="698C3EE8"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b/>
          <w:color w:val="000000"/>
          <w:sz w:val="22"/>
          <w:szCs w:val="22"/>
        </w:rPr>
      </w:pPr>
      <w:r w:rsidRPr="000F23D6">
        <w:rPr>
          <w:rFonts w:ascii="Palatino Linotype" w:eastAsia="Palatino Linotype" w:hAnsi="Palatino Linotype" w:cs="Palatino Linotype"/>
          <w:sz w:val="22"/>
          <w:szCs w:val="22"/>
        </w:rPr>
        <w:t xml:space="preserve">En función de la o el destinatario, el oficio se clasifica en: </w:t>
      </w:r>
    </w:p>
    <w:p w14:paraId="445647F0" w14:textId="77777777" w:rsidR="002F1788" w:rsidRPr="000F23D6" w:rsidRDefault="002F1788">
      <w:pPr>
        <w:spacing w:line="360" w:lineRule="auto"/>
        <w:ind w:right="-93"/>
        <w:jc w:val="both"/>
        <w:rPr>
          <w:rFonts w:ascii="Palatino Linotype" w:eastAsia="Palatino Linotype" w:hAnsi="Palatino Linotype" w:cs="Palatino Linotype"/>
          <w:sz w:val="22"/>
          <w:szCs w:val="22"/>
        </w:rPr>
      </w:pPr>
    </w:p>
    <w:p w14:paraId="3D128D1E" w14:textId="77777777" w:rsidR="002F1788" w:rsidRPr="000F23D6" w:rsidRDefault="00131773">
      <w:pPr>
        <w:spacing w:line="360" w:lineRule="auto"/>
        <w:ind w:left="567" w:right="-93"/>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lastRenderedPageBreak/>
        <w:t>Interno: se utiliza cuando existe la necesidad de transmitir información entre las Dependencias y Organismos Auxiliares de la Administración Pública.</w:t>
      </w:r>
    </w:p>
    <w:p w14:paraId="0BBC83F4" w14:textId="77777777" w:rsidR="002F1788" w:rsidRPr="000F23D6" w:rsidRDefault="002F1788">
      <w:pPr>
        <w:spacing w:line="360" w:lineRule="auto"/>
        <w:ind w:left="567" w:right="-93"/>
        <w:jc w:val="both"/>
        <w:rPr>
          <w:rFonts w:ascii="Palatino Linotype" w:eastAsia="Palatino Linotype" w:hAnsi="Palatino Linotype" w:cs="Palatino Linotype"/>
          <w:sz w:val="22"/>
          <w:szCs w:val="22"/>
        </w:rPr>
      </w:pPr>
    </w:p>
    <w:p w14:paraId="5A1EE920" w14:textId="77777777" w:rsidR="002F1788" w:rsidRPr="000F23D6" w:rsidRDefault="00131773">
      <w:pPr>
        <w:spacing w:line="360" w:lineRule="auto"/>
        <w:ind w:left="567" w:right="-93"/>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Externo: se utiliza cuando se requiere establecer comunicación con personas físicas o jurídico colectivas fuera del sector público, así como con instituciones pertenecientes a los gobiernos federales, estatales o municipales.</w:t>
      </w:r>
    </w:p>
    <w:p w14:paraId="6EE26762" w14:textId="77777777" w:rsidR="002F1788" w:rsidRPr="000F23D6" w:rsidRDefault="002F1788">
      <w:pPr>
        <w:spacing w:line="360" w:lineRule="auto"/>
        <w:ind w:left="567" w:right="-93"/>
        <w:jc w:val="both"/>
        <w:rPr>
          <w:rFonts w:ascii="Palatino Linotype" w:eastAsia="Palatino Linotype" w:hAnsi="Palatino Linotype" w:cs="Palatino Linotype"/>
          <w:sz w:val="22"/>
          <w:szCs w:val="22"/>
        </w:rPr>
      </w:pPr>
    </w:p>
    <w:p w14:paraId="7EA516FB"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b/>
          <w:color w:val="000000"/>
          <w:sz w:val="22"/>
          <w:szCs w:val="22"/>
        </w:rPr>
      </w:pPr>
      <w:r w:rsidRPr="000F23D6">
        <w:rPr>
          <w:rFonts w:ascii="Palatino Linotype" w:eastAsia="Palatino Linotype" w:hAnsi="Palatino Linotype" w:cs="Palatino Linotype"/>
          <w:sz w:val="22"/>
          <w:szCs w:val="22"/>
        </w:rPr>
        <w:t xml:space="preserve">Ante tal situación, resulta prudente traer a colación elementos normativos que abonarán al estudio para determinar si el </w:t>
      </w:r>
      <w:r w:rsidRPr="000F23D6">
        <w:rPr>
          <w:rFonts w:ascii="Palatino Linotype" w:eastAsia="Palatino Linotype" w:hAnsi="Palatino Linotype" w:cs="Palatino Linotype"/>
          <w:b/>
          <w:sz w:val="22"/>
          <w:szCs w:val="22"/>
        </w:rPr>
        <w:t xml:space="preserve">SUJETO OBLIGADO </w:t>
      </w:r>
      <w:r w:rsidRPr="000F23D6">
        <w:rPr>
          <w:rFonts w:ascii="Palatino Linotype" w:eastAsia="Palatino Linotype" w:hAnsi="Palatino Linotype" w:cs="Palatino Linotype"/>
          <w:sz w:val="22"/>
          <w:szCs w:val="22"/>
        </w:rPr>
        <w:t>está obligado a generar la información requerida por el solicitante, iniciando con lo previsto en la Ley de Archivos y Administración de Documentos del Estado de México y Municipios, texto legal que tiene como fin establecer mecanismos de organización, conservación y administración en posesión de cualquier Sujeto Obligado a través de un Sistema Institucional de archivos.</w:t>
      </w:r>
    </w:p>
    <w:p w14:paraId="1E6F891B"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jc w:val="both"/>
        <w:rPr>
          <w:rFonts w:ascii="Palatino Linotype" w:eastAsia="Palatino Linotype" w:hAnsi="Palatino Linotype" w:cs="Palatino Linotype"/>
          <w:sz w:val="22"/>
          <w:szCs w:val="22"/>
        </w:rPr>
      </w:pPr>
    </w:p>
    <w:p w14:paraId="37EB9645"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rFonts w:ascii="Palatino Linotype" w:eastAsia="Palatino Linotype" w:hAnsi="Palatino Linotype" w:cs="Palatino Linotype"/>
          <w:b/>
          <w:color w:val="000000"/>
          <w:sz w:val="22"/>
          <w:szCs w:val="22"/>
        </w:rPr>
      </w:pPr>
      <w:r w:rsidRPr="000F23D6">
        <w:rPr>
          <w:rFonts w:ascii="Palatino Linotype" w:eastAsia="Palatino Linotype" w:hAnsi="Palatino Linotype" w:cs="Palatino Linotype"/>
          <w:sz w:val="22"/>
          <w:szCs w:val="22"/>
        </w:rPr>
        <w:t>Asimismo, en la normatividad en cita, se establece en el artículo 20 que el Sistema Institucional es el conjunto de registros, procesos, procedimientos, criterios, estructuras, herramientas y funciones que desarrolla cada Sujeto Obligado y sustenta la actividad archivística de todos los documentos en posesión de las entidades.</w:t>
      </w:r>
    </w:p>
    <w:p w14:paraId="63F09727" w14:textId="77777777" w:rsidR="002F1788" w:rsidRPr="000F23D6" w:rsidRDefault="002F1788">
      <w:pPr>
        <w:pBdr>
          <w:top w:val="nil"/>
          <w:left w:val="nil"/>
          <w:bottom w:val="nil"/>
          <w:right w:val="nil"/>
          <w:between w:val="nil"/>
        </w:pBdr>
        <w:ind w:left="720"/>
        <w:rPr>
          <w:rFonts w:ascii="Palatino Linotype" w:eastAsia="Palatino Linotype" w:hAnsi="Palatino Linotype" w:cs="Palatino Linotype"/>
          <w:b/>
          <w:color w:val="000000"/>
          <w:sz w:val="22"/>
          <w:szCs w:val="22"/>
        </w:rPr>
      </w:pPr>
    </w:p>
    <w:p w14:paraId="1FE394F4"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right="-30" w:firstLine="0"/>
        <w:jc w:val="both"/>
        <w:rPr>
          <w:rFonts w:ascii="Palatino Linotype" w:eastAsia="Palatino Linotype" w:hAnsi="Palatino Linotype" w:cs="Palatino Linotype"/>
          <w:b/>
          <w:color w:val="000000"/>
          <w:sz w:val="22"/>
          <w:szCs w:val="22"/>
        </w:rPr>
      </w:pPr>
      <w:r w:rsidRPr="000F23D6">
        <w:rPr>
          <w:rFonts w:ascii="Palatino Linotype" w:eastAsia="Palatino Linotype" w:hAnsi="Palatino Linotype" w:cs="Palatino Linotype"/>
          <w:sz w:val="22"/>
          <w:szCs w:val="22"/>
        </w:rPr>
        <w:t>Por otra parte, el artículo 21 señala que los Sistemas Instituciones de cada Sujeto Obligado deberán integrarse de la siguiente manera:</w:t>
      </w:r>
    </w:p>
    <w:p w14:paraId="78D609B0" w14:textId="77777777" w:rsidR="002F1788" w:rsidRPr="000F23D6" w:rsidRDefault="002F1788">
      <w:pPr>
        <w:pBdr>
          <w:top w:val="nil"/>
          <w:left w:val="nil"/>
          <w:bottom w:val="nil"/>
          <w:right w:val="nil"/>
          <w:between w:val="nil"/>
        </w:pBdr>
        <w:ind w:left="720"/>
        <w:rPr>
          <w:rFonts w:ascii="Palatino Linotype" w:eastAsia="Palatino Linotype" w:hAnsi="Palatino Linotype" w:cs="Palatino Linotype"/>
          <w:b/>
          <w:color w:val="000000"/>
          <w:sz w:val="22"/>
          <w:szCs w:val="22"/>
        </w:rPr>
      </w:pPr>
    </w:p>
    <w:p w14:paraId="463E95DB"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right="-30"/>
        <w:jc w:val="both"/>
        <w:rPr>
          <w:rFonts w:ascii="Palatino Linotype" w:eastAsia="Palatino Linotype" w:hAnsi="Palatino Linotype" w:cs="Palatino Linotype"/>
          <w:b/>
          <w:color w:val="000000"/>
          <w:sz w:val="22"/>
          <w:szCs w:val="22"/>
        </w:rPr>
      </w:pPr>
    </w:p>
    <w:p w14:paraId="6A07C235" w14:textId="77777777" w:rsidR="002F1788" w:rsidRPr="000F23D6" w:rsidRDefault="00131773">
      <w:pPr>
        <w:numPr>
          <w:ilvl w:val="0"/>
          <w:numId w:val="4"/>
        </w:numPr>
        <w:spacing w:line="360" w:lineRule="auto"/>
        <w:ind w:right="-93"/>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lastRenderedPageBreak/>
        <w:t xml:space="preserve">Un Área Coordinadora de Archivos, </w:t>
      </w:r>
    </w:p>
    <w:p w14:paraId="46B24851" w14:textId="77777777" w:rsidR="002F1788" w:rsidRPr="000F23D6" w:rsidRDefault="00131773">
      <w:pPr>
        <w:numPr>
          <w:ilvl w:val="0"/>
          <w:numId w:val="4"/>
        </w:numPr>
        <w:spacing w:line="360" w:lineRule="auto"/>
        <w:ind w:right="-93"/>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 xml:space="preserve">Las Áreas Operativas siguientes: </w:t>
      </w:r>
    </w:p>
    <w:p w14:paraId="408D15D4" w14:textId="77777777" w:rsidR="002F1788" w:rsidRPr="000F23D6" w:rsidRDefault="00131773">
      <w:pPr>
        <w:spacing w:line="360" w:lineRule="auto"/>
        <w:ind w:left="1080" w:right="-93"/>
        <w:jc w:val="both"/>
        <w:rPr>
          <w:rFonts w:ascii="Palatino Linotype" w:eastAsia="Palatino Linotype" w:hAnsi="Palatino Linotype" w:cs="Palatino Linotype"/>
          <w:b/>
          <w:sz w:val="22"/>
          <w:szCs w:val="22"/>
        </w:rPr>
      </w:pPr>
      <w:r w:rsidRPr="000F23D6">
        <w:rPr>
          <w:rFonts w:ascii="Palatino Linotype" w:eastAsia="Palatino Linotype" w:hAnsi="Palatino Linotype" w:cs="Palatino Linotype"/>
          <w:b/>
          <w:sz w:val="22"/>
          <w:szCs w:val="22"/>
        </w:rPr>
        <w:t xml:space="preserve">a) De correspondencia; </w:t>
      </w:r>
      <w:r w:rsidRPr="000F23D6">
        <w:rPr>
          <w:rFonts w:ascii="Palatino Linotype" w:eastAsia="Palatino Linotype" w:hAnsi="Palatino Linotype" w:cs="Palatino Linotype"/>
          <w:b/>
          <w:sz w:val="22"/>
          <w:szCs w:val="22"/>
          <w:vertAlign w:val="superscript"/>
        </w:rPr>
        <w:footnoteReference w:id="1"/>
      </w:r>
    </w:p>
    <w:p w14:paraId="7F8B4E03" w14:textId="77777777" w:rsidR="002F1788" w:rsidRPr="000F23D6" w:rsidRDefault="00131773">
      <w:pPr>
        <w:spacing w:line="360" w:lineRule="auto"/>
        <w:ind w:left="1080" w:right="-93"/>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 xml:space="preserve">b) Archivo de Trámite, por área o unidad administrativa; </w:t>
      </w:r>
    </w:p>
    <w:p w14:paraId="1E3CCDCA" w14:textId="77777777" w:rsidR="002F1788" w:rsidRPr="000F23D6" w:rsidRDefault="00131773">
      <w:pPr>
        <w:spacing w:line="360" w:lineRule="auto"/>
        <w:ind w:left="1080" w:right="-93"/>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 xml:space="preserve">c) Archivo de Concentración, y </w:t>
      </w:r>
    </w:p>
    <w:p w14:paraId="1DAF8C3C" w14:textId="77777777" w:rsidR="002F1788" w:rsidRPr="000F23D6" w:rsidRDefault="00131773">
      <w:pPr>
        <w:spacing w:line="360" w:lineRule="auto"/>
        <w:ind w:left="1080" w:right="-93"/>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d) Archivo Histórico, en su caso, sujeto a la capacidad presupuestal y técnica del Sujeto Obligado.</w:t>
      </w:r>
    </w:p>
    <w:p w14:paraId="72A3A911" w14:textId="77777777" w:rsidR="002F1788" w:rsidRPr="000F23D6" w:rsidRDefault="002F1788">
      <w:pPr>
        <w:spacing w:line="360" w:lineRule="auto"/>
        <w:ind w:right="-876"/>
        <w:jc w:val="both"/>
        <w:rPr>
          <w:rFonts w:ascii="Palatino Linotype" w:eastAsia="Palatino Linotype" w:hAnsi="Palatino Linotype" w:cs="Palatino Linotype"/>
          <w:sz w:val="22"/>
          <w:szCs w:val="22"/>
        </w:rPr>
      </w:pPr>
    </w:p>
    <w:p w14:paraId="0B99F820"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Por lo anterior, se colige que los Sujeto Obligados se ven comprometidos a contar con diversas áreas que se encargan de registrar y resguardar toda la documentación de archivo que genere o reciban las entidades gubernamentales, así como sus diferentes áreas o dependencias.</w:t>
      </w:r>
    </w:p>
    <w:p w14:paraId="2CD09C59" w14:textId="77777777" w:rsidR="002F1788" w:rsidRPr="000F23D6" w:rsidRDefault="002F1788">
      <w:pPr>
        <w:spacing w:line="360" w:lineRule="auto"/>
        <w:ind w:right="-25"/>
        <w:jc w:val="both"/>
        <w:rPr>
          <w:rFonts w:ascii="Palatino Linotype" w:eastAsia="Palatino Linotype" w:hAnsi="Palatino Linotype" w:cs="Palatino Linotype"/>
          <w:sz w:val="22"/>
          <w:szCs w:val="22"/>
        </w:rPr>
      </w:pPr>
    </w:p>
    <w:p w14:paraId="5A0AC910"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Robustece lo anterior, lo previsto en el artículo 18 de la Ley de Transparencia local, fragmento normativo que constriñe a los Sujetos Obligados a documentar toda actuación que emane del ejercicio de sus funciones, tomando en consideración su origen, publicidad y la reutilización que se le dé a las constancias generadas.</w:t>
      </w:r>
    </w:p>
    <w:p w14:paraId="6AD056A2" w14:textId="77777777" w:rsidR="002F1788" w:rsidRPr="000F23D6" w:rsidRDefault="002F1788">
      <w:pPr>
        <w:spacing w:line="360" w:lineRule="auto"/>
        <w:ind w:left="501" w:right="-25"/>
        <w:jc w:val="both"/>
        <w:rPr>
          <w:rFonts w:ascii="Palatino Linotype" w:eastAsia="Palatino Linotype" w:hAnsi="Palatino Linotype" w:cs="Palatino Linotype"/>
          <w:sz w:val="22"/>
          <w:szCs w:val="22"/>
        </w:rPr>
      </w:pPr>
    </w:p>
    <w:p w14:paraId="55986D4D"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 xml:space="preserve">Aunado a lo anterior, la ya mencionada Ley de Archivos y Administración de Documentos del Estado de México y Municipios, señala en sus artículos 6 y 7 que toda la información contenida en los documentos de archivo producidos, obtenidos, transformados o </w:t>
      </w:r>
      <w:r w:rsidRPr="000F23D6">
        <w:rPr>
          <w:rFonts w:ascii="Palatino Linotype" w:eastAsia="Palatino Linotype" w:hAnsi="Palatino Linotype" w:cs="Palatino Linotype"/>
          <w:sz w:val="22"/>
          <w:szCs w:val="22"/>
        </w:rPr>
        <w:lastRenderedPageBreak/>
        <w:t>en posesión de los Sujetos Obligados será pública y accesible para cualquier persona bajo los términos y excepciones que señale la normatividad de transparencia y acceso a la información, garantizando su organización, preservación, conservación y registro de toda constancia que derive de un acto en ejercicio de las respectivas facultades de las entidades.</w:t>
      </w:r>
    </w:p>
    <w:p w14:paraId="53A604E7" w14:textId="77777777" w:rsidR="002F1788" w:rsidRPr="000F23D6" w:rsidRDefault="002F1788">
      <w:pPr>
        <w:spacing w:line="360" w:lineRule="auto"/>
        <w:ind w:left="501" w:right="-25"/>
        <w:jc w:val="both"/>
        <w:rPr>
          <w:rFonts w:ascii="Palatino Linotype" w:eastAsia="Palatino Linotype" w:hAnsi="Palatino Linotype" w:cs="Palatino Linotype"/>
          <w:sz w:val="22"/>
          <w:szCs w:val="22"/>
        </w:rPr>
      </w:pPr>
    </w:p>
    <w:p w14:paraId="2316FB45"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 xml:space="preserve">Ahora bien, por lo que corresponde a la respuesta, emitida por el Sujeto Obligado a las solicitudes </w:t>
      </w:r>
      <w:proofErr w:type="gramStart"/>
      <w:r w:rsidRPr="000F23D6">
        <w:rPr>
          <w:rFonts w:ascii="Palatino Linotype" w:eastAsia="Palatino Linotype" w:hAnsi="Palatino Linotype" w:cs="Palatino Linotype"/>
          <w:sz w:val="22"/>
          <w:szCs w:val="22"/>
        </w:rPr>
        <w:t>de  información</w:t>
      </w:r>
      <w:proofErr w:type="gramEnd"/>
      <w:r w:rsidRPr="000F23D6">
        <w:rPr>
          <w:rFonts w:ascii="Palatino Linotype" w:eastAsia="Palatino Linotype" w:hAnsi="Palatino Linotype" w:cs="Palatino Linotype"/>
          <w:sz w:val="22"/>
          <w:szCs w:val="22"/>
        </w:rPr>
        <w:t xml:space="preserve">, en donde refiere en cada una de ellas que, </w:t>
      </w:r>
      <w:r w:rsidRPr="000F23D6">
        <w:rPr>
          <w:rFonts w:ascii="Palatino Linotype" w:eastAsia="Palatino Linotype" w:hAnsi="Palatino Linotype" w:cs="Palatino Linotype"/>
          <w:color w:val="000000"/>
          <w:sz w:val="22"/>
          <w:szCs w:val="22"/>
        </w:rPr>
        <w:t>el solicitante n</w:t>
      </w:r>
      <w:r w:rsidRPr="000F23D6">
        <w:rPr>
          <w:rFonts w:ascii="Palatino Linotype" w:eastAsia="Palatino Linotype" w:hAnsi="Palatino Linotype" w:cs="Palatino Linotype"/>
          <w:sz w:val="22"/>
          <w:szCs w:val="22"/>
        </w:rPr>
        <w:t>o se especifica la forma en que lo requiere,  pone a su disposición  los oficios en las oficinas ubicadas en Avenida Pascual Luna número 20, Barrio de la Ascensión, Municipio de Tezoyuca Estado de México.</w:t>
      </w:r>
    </w:p>
    <w:p w14:paraId="43B24861" w14:textId="77777777" w:rsidR="002F1788" w:rsidRPr="000F23D6" w:rsidRDefault="002F1788">
      <w:pPr>
        <w:spacing w:line="360" w:lineRule="auto"/>
        <w:ind w:left="501" w:right="-25"/>
        <w:jc w:val="both"/>
        <w:rPr>
          <w:rFonts w:ascii="Palatino Linotype" w:eastAsia="Palatino Linotype" w:hAnsi="Palatino Linotype" w:cs="Palatino Linotype"/>
          <w:sz w:val="22"/>
          <w:szCs w:val="22"/>
        </w:rPr>
      </w:pPr>
    </w:p>
    <w:p w14:paraId="298F8190"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 xml:space="preserve">Ante tal respuesta, es de indicar </w:t>
      </w:r>
      <w:proofErr w:type="gramStart"/>
      <w:r w:rsidRPr="000F23D6">
        <w:rPr>
          <w:rFonts w:ascii="Palatino Linotype" w:eastAsia="Palatino Linotype" w:hAnsi="Palatino Linotype" w:cs="Palatino Linotype"/>
          <w:sz w:val="22"/>
          <w:szCs w:val="22"/>
        </w:rPr>
        <w:t>que  el</w:t>
      </w:r>
      <w:proofErr w:type="gramEnd"/>
      <w:r w:rsidRPr="000F23D6">
        <w:rPr>
          <w:rFonts w:ascii="Palatino Linotype" w:eastAsia="Palatino Linotype" w:hAnsi="Palatino Linotype" w:cs="Palatino Linotype"/>
          <w:sz w:val="22"/>
          <w:szCs w:val="22"/>
        </w:rPr>
        <w:t xml:space="preserve"> Sujeto Obligado, en un intento de dar cumplimiento a las solicitudes de información planteadas por el Recurrente, refirió que colocaba a disposición del Recurrente los oficios, cambiando la entrega de la información a consulta directa, sin embargo el Recurrente fue preciso, en señalar que solicitaba la entrega de la información vía Sistema de Acceso a la Información Mexiquense SAIMEX. Por lo que resulta necesario realizar las siguientes anotaciones.</w:t>
      </w:r>
    </w:p>
    <w:p w14:paraId="016A405E" w14:textId="77777777" w:rsidR="002F1788" w:rsidRPr="000F23D6" w:rsidRDefault="002F1788">
      <w:pPr>
        <w:spacing w:line="360" w:lineRule="auto"/>
        <w:ind w:left="501" w:right="-25"/>
        <w:jc w:val="both"/>
        <w:rPr>
          <w:rFonts w:ascii="Palatino Linotype" w:eastAsia="Palatino Linotype" w:hAnsi="Palatino Linotype" w:cs="Palatino Linotype"/>
          <w:sz w:val="22"/>
          <w:szCs w:val="22"/>
        </w:rPr>
      </w:pPr>
    </w:p>
    <w:p w14:paraId="6433FB76"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sz w:val="22"/>
          <w:szCs w:val="22"/>
        </w:rPr>
        <w:t xml:space="preserve">En este sentido, derivado del análisis realizado en las constancias que integran el expediente, este Organismo Garante determina procedente analizar si con </w:t>
      </w:r>
      <w:proofErr w:type="gramStart"/>
      <w:r w:rsidRPr="000F23D6">
        <w:rPr>
          <w:rFonts w:ascii="Palatino Linotype" w:eastAsia="Palatino Linotype" w:hAnsi="Palatino Linotype" w:cs="Palatino Linotype"/>
          <w:sz w:val="22"/>
          <w:szCs w:val="22"/>
        </w:rPr>
        <w:t>la respuestas emitidas</w:t>
      </w:r>
      <w:proofErr w:type="gramEnd"/>
      <w:r w:rsidRPr="000F23D6">
        <w:rPr>
          <w:rFonts w:ascii="Palatino Linotype" w:eastAsia="Palatino Linotype" w:hAnsi="Palatino Linotype" w:cs="Palatino Linotype"/>
          <w:sz w:val="22"/>
          <w:szCs w:val="22"/>
        </w:rPr>
        <w:t xml:space="preserve"> por el del Sujeto Obligado a la solicitudes en estudio, se transgredió el derecho humano de acceso a la información pública del recurrente, es decir que la Litis consistirá en </w:t>
      </w:r>
      <w:r w:rsidRPr="000F23D6">
        <w:rPr>
          <w:rFonts w:ascii="Palatino Linotype" w:eastAsia="Palatino Linotype" w:hAnsi="Palatino Linotype" w:cs="Palatino Linotype"/>
          <w:sz w:val="22"/>
          <w:szCs w:val="22"/>
        </w:rPr>
        <w:lastRenderedPageBreak/>
        <w:t>determinar si la modalidad de entrega presentada por el Sujeto Obligado transgrede el derecho del particular.</w:t>
      </w:r>
    </w:p>
    <w:p w14:paraId="3942C93E" w14:textId="77777777" w:rsidR="002F1788" w:rsidRPr="000F23D6" w:rsidRDefault="002F1788">
      <w:pPr>
        <w:pBdr>
          <w:top w:val="nil"/>
          <w:left w:val="nil"/>
          <w:bottom w:val="nil"/>
          <w:right w:val="nil"/>
          <w:between w:val="nil"/>
        </w:pBdr>
        <w:ind w:left="720"/>
        <w:rPr>
          <w:rFonts w:ascii="Palatino Linotype" w:eastAsia="Palatino Linotype" w:hAnsi="Palatino Linotype" w:cs="Palatino Linotype"/>
          <w:color w:val="000000"/>
          <w:sz w:val="22"/>
          <w:szCs w:val="22"/>
        </w:rPr>
      </w:pPr>
    </w:p>
    <w:p w14:paraId="522F19A0" w14:textId="77777777" w:rsidR="002F1788" w:rsidRPr="000F23D6" w:rsidRDefault="002F1788">
      <w:pPr>
        <w:spacing w:line="360" w:lineRule="auto"/>
        <w:ind w:right="-25"/>
        <w:jc w:val="both"/>
        <w:rPr>
          <w:rFonts w:ascii="Palatino Linotype" w:eastAsia="Palatino Linotype" w:hAnsi="Palatino Linotype" w:cs="Palatino Linotype"/>
          <w:sz w:val="22"/>
          <w:szCs w:val="22"/>
        </w:rPr>
      </w:pPr>
    </w:p>
    <w:p w14:paraId="73F7019D"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color w:val="000000"/>
          <w:sz w:val="22"/>
          <w:szCs w:val="22"/>
        </w:rPr>
        <w:t xml:space="preserve">Lo anterior es así ya que, el Sujeto Obligado a través de sus respuestas asumió la existencia de la información peticionada tan es así que solicitó la presencia del particular para entregar información en consulta directa, en consecuencia, se asume que cuenta con la información y por ende se obvia el análisis de las atribuciones del Sujeto Obligado para contar con la misma. </w:t>
      </w:r>
    </w:p>
    <w:p w14:paraId="6605D2DA" w14:textId="77777777" w:rsidR="002F1788" w:rsidRPr="000F23D6" w:rsidRDefault="002F1788">
      <w:pPr>
        <w:spacing w:line="360" w:lineRule="auto"/>
        <w:ind w:left="501" w:right="-25"/>
        <w:jc w:val="both"/>
        <w:rPr>
          <w:rFonts w:ascii="Palatino Linotype" w:eastAsia="Palatino Linotype" w:hAnsi="Palatino Linotype" w:cs="Palatino Linotype"/>
          <w:sz w:val="22"/>
          <w:szCs w:val="22"/>
        </w:rPr>
      </w:pPr>
    </w:p>
    <w:p w14:paraId="0876E7EA"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color w:val="000000"/>
          <w:sz w:val="22"/>
          <w:szCs w:val="22"/>
        </w:rPr>
        <w:t xml:space="preserve">Ahora bien, de </w:t>
      </w:r>
      <w:proofErr w:type="gramStart"/>
      <w:r w:rsidRPr="000F23D6">
        <w:rPr>
          <w:rFonts w:ascii="Palatino Linotype" w:eastAsia="Palatino Linotype" w:hAnsi="Palatino Linotype" w:cs="Palatino Linotype"/>
          <w:color w:val="000000"/>
          <w:sz w:val="22"/>
          <w:szCs w:val="22"/>
        </w:rPr>
        <w:t>la solicitudes</w:t>
      </w:r>
      <w:proofErr w:type="gramEnd"/>
      <w:r w:rsidRPr="000F23D6">
        <w:rPr>
          <w:rFonts w:ascii="Palatino Linotype" w:eastAsia="Palatino Linotype" w:hAnsi="Palatino Linotype" w:cs="Palatino Linotype"/>
          <w:color w:val="000000"/>
          <w:sz w:val="22"/>
          <w:szCs w:val="22"/>
        </w:rPr>
        <w:t xml:space="preserve"> de información se desprende que el particular requirió como modalidad de entrega de la información el SAIMEX, sistema que tiene como propósito facilitar en la entidad el ejercicio del derecho humano de acceso a la información pública, de forma sencilla y gratuita. </w:t>
      </w:r>
    </w:p>
    <w:p w14:paraId="54ABB301" w14:textId="77777777" w:rsidR="002F1788" w:rsidRPr="000F23D6" w:rsidRDefault="002F1788">
      <w:pPr>
        <w:spacing w:line="360" w:lineRule="auto"/>
        <w:ind w:left="501" w:right="-25"/>
        <w:jc w:val="both"/>
        <w:rPr>
          <w:rFonts w:ascii="Palatino Linotype" w:eastAsia="Palatino Linotype" w:hAnsi="Palatino Linotype" w:cs="Palatino Linotype"/>
          <w:sz w:val="22"/>
          <w:szCs w:val="22"/>
        </w:rPr>
      </w:pPr>
    </w:p>
    <w:p w14:paraId="59FF13A4"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color w:val="000000"/>
          <w:sz w:val="22"/>
          <w:szCs w:val="22"/>
        </w:rPr>
        <w:t>Así, la Ley de Transparencia y Acceso a la Información Pública del Estado de México y Municipios, privilegia el uso de las tecnologías por medios electrónicos, dando preferencia al uso de sistemas computacionales y las nuevas tecnologías en el afán de transitar hacia la modernización de los procesos, según se puede leer en el precepto legal que se inserta enseguida:</w:t>
      </w:r>
    </w:p>
    <w:p w14:paraId="29A15219" w14:textId="77777777" w:rsidR="002F1788" w:rsidRPr="000F23D6" w:rsidRDefault="002F1788">
      <w:pPr>
        <w:spacing w:line="360" w:lineRule="auto"/>
        <w:ind w:left="851" w:right="568"/>
        <w:jc w:val="both"/>
        <w:rPr>
          <w:rFonts w:ascii="Palatino Linotype" w:eastAsia="Palatino Linotype" w:hAnsi="Palatino Linotype" w:cs="Palatino Linotype"/>
          <w:i/>
          <w:sz w:val="22"/>
          <w:szCs w:val="22"/>
        </w:rPr>
      </w:pPr>
    </w:p>
    <w:p w14:paraId="2CD7428E" w14:textId="77777777" w:rsidR="002F1788" w:rsidRPr="000F23D6" w:rsidRDefault="00131773">
      <w:pPr>
        <w:spacing w:line="360" w:lineRule="auto"/>
        <w:ind w:left="851" w:right="568"/>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i/>
          <w:sz w:val="22"/>
          <w:szCs w:val="22"/>
        </w:rPr>
        <w:t xml:space="preserve">“Artículo 88. La información referente a las obligaciones de transparencia será puesta a disposición de los particulares por cualquier medio que facilite su acceso, dando </w:t>
      </w:r>
      <w:r w:rsidRPr="000F23D6">
        <w:rPr>
          <w:rFonts w:ascii="Palatino Linotype" w:eastAsia="Palatino Linotype" w:hAnsi="Palatino Linotype" w:cs="Palatino Linotype"/>
          <w:i/>
          <w:sz w:val="22"/>
          <w:szCs w:val="22"/>
        </w:rPr>
        <w:lastRenderedPageBreak/>
        <w:t>preferencia al uso de sistemas computacionales y las nuevas tecnologías de información.”</w:t>
      </w:r>
    </w:p>
    <w:p w14:paraId="59210146" w14:textId="77777777" w:rsidR="002F1788" w:rsidRPr="000F23D6" w:rsidRDefault="002F1788">
      <w:pPr>
        <w:spacing w:line="360" w:lineRule="auto"/>
        <w:ind w:left="501" w:right="-25"/>
        <w:jc w:val="both"/>
        <w:rPr>
          <w:rFonts w:ascii="Palatino Linotype" w:eastAsia="Palatino Linotype" w:hAnsi="Palatino Linotype" w:cs="Palatino Linotype"/>
          <w:sz w:val="22"/>
          <w:szCs w:val="22"/>
        </w:rPr>
      </w:pPr>
    </w:p>
    <w:p w14:paraId="623AC367"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color w:val="000000"/>
          <w:sz w:val="22"/>
          <w:szCs w:val="22"/>
        </w:rPr>
        <w:t xml:space="preserve">Bajo ese contexto la Ley de Transparencia y Acceso a la Información Pública del Estado de México y Municipios, el artículo 155 fracción V, dispone que para presentar solicitud de acceso a la información, se deberá atender lo dispuesto en el mismo, resaltando que deberá indicarse la modalidad en la que prefiere se otorgue la información, la cual podrá ser verbal, siempre y cuando sea para fines de orientación, mediante consulta directa, mediante la expedición de copias simples o certificadas o la reproducción en cualquier otro medio, incluidos los electrónicos, que en el caso, en la entidad, el Órgano Garante determinó en el formato de solicitud, que podría ser SAIMEX, </w:t>
      </w:r>
      <w:proofErr w:type="spellStart"/>
      <w:r w:rsidRPr="000F23D6">
        <w:rPr>
          <w:rFonts w:ascii="Palatino Linotype" w:eastAsia="Palatino Linotype" w:hAnsi="Palatino Linotype" w:cs="Palatino Linotype"/>
          <w:color w:val="000000"/>
          <w:sz w:val="22"/>
          <w:szCs w:val="22"/>
        </w:rPr>
        <w:t>CD-Rom</w:t>
      </w:r>
      <w:proofErr w:type="spellEnd"/>
      <w:r w:rsidRPr="000F23D6">
        <w:rPr>
          <w:rFonts w:ascii="Palatino Linotype" w:eastAsia="Palatino Linotype" w:hAnsi="Palatino Linotype" w:cs="Palatino Linotype"/>
          <w:color w:val="000000"/>
          <w:sz w:val="22"/>
          <w:szCs w:val="22"/>
        </w:rPr>
        <w:t xml:space="preserve"> (con costo), copias simples (con costo), copias certificadas (con costo), consulta directa (sin costo), o bien, cualquier otro que determine el particular.</w:t>
      </w:r>
    </w:p>
    <w:p w14:paraId="0367329E" w14:textId="77777777" w:rsidR="002F1788" w:rsidRPr="000F23D6" w:rsidRDefault="002F1788">
      <w:pPr>
        <w:spacing w:line="360" w:lineRule="auto"/>
        <w:ind w:left="501" w:right="-25"/>
        <w:jc w:val="both"/>
        <w:rPr>
          <w:rFonts w:ascii="Palatino Linotype" w:eastAsia="Palatino Linotype" w:hAnsi="Palatino Linotype" w:cs="Palatino Linotype"/>
          <w:sz w:val="22"/>
          <w:szCs w:val="22"/>
        </w:rPr>
      </w:pPr>
    </w:p>
    <w:p w14:paraId="290D95F7"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color w:val="000000"/>
          <w:sz w:val="22"/>
          <w:szCs w:val="22"/>
        </w:rPr>
        <w:t>De modo que el acceso a la información debe darse en la modalidad de entrega elegida por el solicitante, y sólo para los casos en que se encuentren impedidos los sujetos obligados podrán ofrecer otra u otras modalidades debiendo fundar y motivar adecuadamente el cambio de modalidad en la entrega de la información  , en términos de lo dispuesto en el artículo 16 de la Constitución Política de los Estados Unidos Mexicanos, el cual, exige que todo acto de autoridad debe de estar debidamente fundado y motivado, en el que se exprese el precepto legal aplicable al caso, además de señalarse las circunstancias, razones particulares o causas inmediatas que se hayan tenido en cuenta para la emisión del acto, según se puede leer en la jurisprudencia del texto y rubro que inserta enseguida para mayor referencia:</w:t>
      </w:r>
    </w:p>
    <w:p w14:paraId="093EF1E9" w14:textId="77777777" w:rsidR="002F1788" w:rsidRPr="000F23D6" w:rsidRDefault="002F1788">
      <w:pPr>
        <w:pBdr>
          <w:top w:val="nil"/>
          <w:left w:val="nil"/>
          <w:bottom w:val="nil"/>
          <w:right w:val="nil"/>
          <w:between w:val="nil"/>
        </w:pBdr>
        <w:ind w:left="720"/>
        <w:rPr>
          <w:rFonts w:ascii="Palatino Linotype" w:eastAsia="Palatino Linotype" w:hAnsi="Palatino Linotype" w:cs="Palatino Linotype"/>
          <w:color w:val="000000"/>
          <w:sz w:val="22"/>
          <w:szCs w:val="22"/>
        </w:rPr>
      </w:pPr>
    </w:p>
    <w:p w14:paraId="4ED32E91" w14:textId="77777777" w:rsidR="002F1788" w:rsidRPr="000F23D6" w:rsidRDefault="002F1788">
      <w:pPr>
        <w:spacing w:line="360" w:lineRule="auto"/>
        <w:ind w:right="-25"/>
        <w:jc w:val="both"/>
        <w:rPr>
          <w:rFonts w:ascii="Palatino Linotype" w:eastAsia="Palatino Linotype" w:hAnsi="Palatino Linotype" w:cs="Palatino Linotype"/>
          <w:sz w:val="22"/>
          <w:szCs w:val="22"/>
        </w:rPr>
      </w:pPr>
    </w:p>
    <w:p w14:paraId="16AE4FFD" w14:textId="77777777" w:rsidR="002F1788" w:rsidRPr="000F23D6" w:rsidRDefault="00131773">
      <w:pPr>
        <w:spacing w:line="360" w:lineRule="auto"/>
        <w:ind w:left="1134" w:right="-25"/>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i/>
          <w:sz w:val="22"/>
          <w:szCs w:val="22"/>
        </w:rPr>
        <w:t xml:space="preserve">“FUNDAMENTACIÓN Y MOTIVACIÓN DE LOS ACTOS ADMINISTRATIVOS. De acuerdo con el artículo 16 constitucional, todo acto de autoridad debe estar suficientemente fundado y motivado, entendiéndose por lo primero que han de expresarse con precisión el precepto legal aplicable al caso y por lo segundo, que también deben señalarse con precisión, las circunstancias especiales, razones particulares o causas inmediatas que se hayan tenido en consideración para la emisión del acto, siendo necesario además, que exista adecuación entre los motivos aducidos y las normas aplicables, es decir, que en el caso concreto se configure la hipótesis normativa. Esto es, que cuando el precepto en comento previene que nadie puede ser molestado en su persona, propiedades o derechos sino en virtud de mandamiento escrito de autoridad competente que funde y motive la causa legal del procedimiento, está exigiendo a todas las autoridades que apeguen sus actos a la ley, expresando de que ley se trata y los preceptos de ella que sirvan de apoyo al mandamiento relativo. En materia administrativa, específicamente, para poder considerar un acto autoritario como correctamente fundado, es necesario que en él se citen: a).- Los cuerpos legales y preceptos que se estén aplicando al caso concreto, es decir, los supuestos normativos en que se encuadra la conducta del gobernado para que esté obligado al pago, que serán señalados con toda exactitud, precisándose los incisos, </w:t>
      </w:r>
      <w:proofErr w:type="spellStart"/>
      <w:r w:rsidRPr="000F23D6">
        <w:rPr>
          <w:rFonts w:ascii="Palatino Linotype" w:eastAsia="Palatino Linotype" w:hAnsi="Palatino Linotype" w:cs="Palatino Linotype"/>
          <w:i/>
          <w:sz w:val="22"/>
          <w:szCs w:val="22"/>
        </w:rPr>
        <w:t>subincisos</w:t>
      </w:r>
      <w:proofErr w:type="spellEnd"/>
      <w:r w:rsidRPr="000F23D6">
        <w:rPr>
          <w:rFonts w:ascii="Palatino Linotype" w:eastAsia="Palatino Linotype" w:hAnsi="Palatino Linotype" w:cs="Palatino Linotype"/>
          <w:i/>
          <w:sz w:val="22"/>
          <w:szCs w:val="22"/>
        </w:rPr>
        <w:t>, fracciones y preceptos aplicable, y b).- Los cuerpos legales y preceptos que otorgan competencia o facultades a las autoridades para emitir el acto en agravio del gobernado.”</w:t>
      </w:r>
    </w:p>
    <w:p w14:paraId="383F522F" w14:textId="77777777" w:rsidR="002F1788" w:rsidRPr="000F23D6" w:rsidRDefault="002F1788">
      <w:pPr>
        <w:pBdr>
          <w:top w:val="nil"/>
          <w:left w:val="nil"/>
          <w:bottom w:val="nil"/>
          <w:right w:val="nil"/>
          <w:between w:val="nil"/>
        </w:pBdr>
        <w:ind w:left="720"/>
        <w:rPr>
          <w:rFonts w:ascii="Palatino Linotype" w:eastAsia="Palatino Linotype" w:hAnsi="Palatino Linotype" w:cs="Palatino Linotype"/>
          <w:color w:val="000000"/>
          <w:sz w:val="22"/>
          <w:szCs w:val="22"/>
        </w:rPr>
      </w:pPr>
    </w:p>
    <w:p w14:paraId="7040B488"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color w:val="000000"/>
          <w:sz w:val="22"/>
          <w:szCs w:val="22"/>
        </w:rPr>
        <w:lastRenderedPageBreak/>
        <w:t>En añadidura, el artículo 158 de la Ley de Transparencia y Acceso a la Información Pública del Estado de México y Municipios, establecen lo que es de la literalidad siguiente:</w:t>
      </w:r>
    </w:p>
    <w:p w14:paraId="7D5AAEFA"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1AF7AA7A"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“Artículo 158. De manera excepcional, cuando de forma fundada y motivada así lo determine el sujeto obligado, en aquellos casos en que la información solicitada que ya se encuentre en su posesión implique análisis, estudio o procesamiento de documentos cuya entrega o reproducción sobrepase las capacidades técnicas administrativas y humanas del sujeto obligado para cumplir con la solicitud, en los plazos establecidos para dichos efectos, se podrá poner a disposición del solicitante los documentos en consulta directa, salvo la información clasificada. En todo caso, se facilitará su copia simple o certificada, así como su reproducción por cualquier medio disponible en las instalaciones del sujeto obligado o que, en su caso, aporte el solicitante.”</w:t>
      </w:r>
    </w:p>
    <w:p w14:paraId="2A53D553" w14:textId="77777777" w:rsidR="002F1788" w:rsidRPr="000F23D6" w:rsidRDefault="002F1788">
      <w:pPr>
        <w:spacing w:line="360" w:lineRule="auto"/>
        <w:ind w:right="-25"/>
        <w:jc w:val="both"/>
        <w:rPr>
          <w:rFonts w:ascii="Palatino Linotype" w:eastAsia="Palatino Linotype" w:hAnsi="Palatino Linotype" w:cs="Palatino Linotype"/>
          <w:sz w:val="22"/>
          <w:szCs w:val="22"/>
        </w:rPr>
      </w:pPr>
    </w:p>
    <w:p w14:paraId="6D2BA42C"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color w:val="000000"/>
          <w:sz w:val="22"/>
          <w:szCs w:val="22"/>
        </w:rPr>
        <w:t>En ese entendido, según lo dispuesto en los artículos 160 y 164 de la Ley en cita, los Sujetos Obligados deben otorgar acceso a los documentos que se encuentren en sus archivos o que estén obligados a documentar de acuerdo con sus facultades, competencias o funciones en el formato que el solicitante manifieste, debiendo dar el acceso a la información en la modalidad de entrega solicitada, empero en caso de ofrecer otra u otras modalidades de entrega deberá fundar y motivar su respuesta, a saber:</w:t>
      </w:r>
    </w:p>
    <w:p w14:paraId="3E460FB7"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“Artículo 160. Los sujetos obligados deberán otorgar acceso a los documentos que se encuentren en sus archivos o que estén obligados a documentar de acuerdo con sus facultades, competencias o funciones en el formato que el solicitante manifieste, de entre </w:t>
      </w:r>
      <w:r w:rsidRPr="000F23D6">
        <w:rPr>
          <w:rFonts w:ascii="Palatino Linotype" w:eastAsia="Palatino Linotype" w:hAnsi="Palatino Linotype" w:cs="Palatino Linotype"/>
          <w:i/>
          <w:color w:val="000000"/>
          <w:sz w:val="22"/>
          <w:szCs w:val="22"/>
        </w:rPr>
        <w:lastRenderedPageBreak/>
        <w:t xml:space="preserve">aquellos formatos existentes, conforme a las características físicas de la información o del lugar donde se encuentre así lo permita. </w:t>
      </w:r>
    </w:p>
    <w:p w14:paraId="20D5B055"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40DA5FFB"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Artículo 164. El acceso se dará en la modalidad de entrega y, en su caso, de envío elegidos por el solicitante. Cuando la información no pueda entregarse o enviarse en la modalidad solicitada, el sujeto obligado deberá ofrecer otra u otras modalidades de entrega. En cualquier caso, se deberá fundar y motivar la necesidad de ofrecer otras modalidades.” (Sic)</w:t>
      </w:r>
    </w:p>
    <w:p w14:paraId="14A0F561" w14:textId="77777777" w:rsidR="002F1788" w:rsidRPr="000F23D6" w:rsidRDefault="002F1788">
      <w:pPr>
        <w:spacing w:line="360" w:lineRule="auto"/>
        <w:ind w:right="-876"/>
        <w:jc w:val="both"/>
        <w:rPr>
          <w:rFonts w:ascii="Palatino Linotype" w:eastAsia="Palatino Linotype" w:hAnsi="Palatino Linotype" w:cs="Palatino Linotype"/>
          <w:color w:val="000000"/>
          <w:sz w:val="22"/>
          <w:szCs w:val="22"/>
        </w:rPr>
      </w:pPr>
    </w:p>
    <w:p w14:paraId="7DF251DE"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color w:val="000000"/>
          <w:sz w:val="22"/>
          <w:szCs w:val="22"/>
        </w:rPr>
        <w:t xml:space="preserve">Por lo cual, los Sujetos Obligados podrán poner a disposición de los particulares, los documentos solicitados, en todo caso, por cualquier medio disponible en sus instalaciones, cuando de forma fundada y motivada se determine que implica un análisis, estudio o procesamiento, cuya entrega o reproducción sobrepase las capacidades técnicas administrativas y humanas. </w:t>
      </w:r>
    </w:p>
    <w:p w14:paraId="543BA45D" w14:textId="77777777" w:rsidR="002F1788" w:rsidRPr="000F23D6" w:rsidRDefault="002F1788">
      <w:pPr>
        <w:spacing w:line="360" w:lineRule="auto"/>
        <w:ind w:right="-25"/>
        <w:jc w:val="both"/>
        <w:rPr>
          <w:rFonts w:ascii="Palatino Linotype" w:eastAsia="Palatino Linotype" w:hAnsi="Palatino Linotype" w:cs="Palatino Linotype"/>
          <w:sz w:val="22"/>
          <w:szCs w:val="22"/>
        </w:rPr>
      </w:pPr>
    </w:p>
    <w:p w14:paraId="0F1D6139"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color w:val="000000"/>
          <w:sz w:val="22"/>
          <w:szCs w:val="22"/>
        </w:rPr>
        <w:t>Así, cuando se justifique el impedimento, los Sujetos Obligados deberán ofrecer al particular otras modalidades de entrega que permita la información, como consulta directa en las oficinas de la Unidad de Transparencia, lo que se robustece con el criterio 08/17, emitido por el Pleno del Instituto Nacional de Transparencia, Acceso a la Información y Protección de Datos Personales, el cual establece lo siguiente:</w:t>
      </w:r>
    </w:p>
    <w:p w14:paraId="75278E96" w14:textId="77777777" w:rsidR="002F1788" w:rsidRPr="000F23D6" w:rsidRDefault="002F1788">
      <w:pPr>
        <w:rPr>
          <w:rFonts w:ascii="Palatino Linotype" w:eastAsia="Palatino Linotype" w:hAnsi="Palatino Linotype" w:cs="Palatino Linotype"/>
          <w:color w:val="000000"/>
        </w:rPr>
      </w:pPr>
    </w:p>
    <w:p w14:paraId="09960A41" w14:textId="77777777" w:rsidR="002F1788" w:rsidRPr="000F23D6" w:rsidRDefault="00131773">
      <w:pPr>
        <w:spacing w:line="360" w:lineRule="auto"/>
        <w:ind w:left="851" w:right="709"/>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“Modalidad de entrega. Procedencia de proporcionar la información solicitada en una diversa a la elegida por el solicitante. De una interpretación a los artículos 133 de la </w:t>
      </w:r>
      <w:r w:rsidRPr="000F23D6">
        <w:rPr>
          <w:rFonts w:ascii="Palatino Linotype" w:eastAsia="Palatino Linotype" w:hAnsi="Palatino Linotype" w:cs="Palatino Linotype"/>
          <w:i/>
          <w:color w:val="000000"/>
          <w:sz w:val="22"/>
          <w:szCs w:val="22"/>
        </w:rPr>
        <w:lastRenderedPageBreak/>
        <w:t>Ley General de Transparencia y Acceso a la Información Pública y 136 de la Ley Federal de Transparencia y Acceso a la Información Pública, cuando no sea posible atender la modalidad elegida, la obligación de acceso a la información se tendrá por cumplida cuando el sujeto obligado: a) justifique el impedimento para atender la misma y b) se notifique al particular la disposición de la información en todas las modalidades que permita el documento de que se trate, procurando reducir, en todo momento, los costos de entrega.”</w:t>
      </w:r>
    </w:p>
    <w:p w14:paraId="5C141988" w14:textId="77777777" w:rsidR="002F1788" w:rsidRPr="000F23D6" w:rsidRDefault="002F1788">
      <w:pPr>
        <w:pBdr>
          <w:top w:val="nil"/>
          <w:left w:val="nil"/>
          <w:bottom w:val="nil"/>
          <w:right w:val="nil"/>
          <w:between w:val="nil"/>
        </w:pBdr>
        <w:ind w:left="720"/>
        <w:rPr>
          <w:rFonts w:ascii="Palatino Linotype" w:eastAsia="Palatino Linotype" w:hAnsi="Palatino Linotype" w:cs="Palatino Linotype"/>
          <w:color w:val="000000"/>
          <w:sz w:val="22"/>
          <w:szCs w:val="22"/>
        </w:rPr>
      </w:pPr>
    </w:p>
    <w:p w14:paraId="0A245FE9"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color w:val="000000"/>
          <w:sz w:val="22"/>
          <w:szCs w:val="22"/>
        </w:rPr>
        <w:t xml:space="preserve">Del citado criterio, se desprende que cuando no sea posible atender la modalidad elegida por los solicitantes, la obligación de acceso a la información se tendrá por cumplida cuando el Sujeto Obligado justifique el impedimento para atender la misma y se notifique al particular la puesta a disposición de la información en todas las modalidades que lo permitan, procurando reducir los costos de entrega. </w:t>
      </w:r>
    </w:p>
    <w:p w14:paraId="30801788" w14:textId="77777777" w:rsidR="002F1788" w:rsidRPr="000F23D6" w:rsidRDefault="002F1788">
      <w:pPr>
        <w:spacing w:line="360" w:lineRule="auto"/>
        <w:ind w:right="-25"/>
        <w:jc w:val="both"/>
        <w:rPr>
          <w:rFonts w:ascii="Palatino Linotype" w:eastAsia="Palatino Linotype" w:hAnsi="Palatino Linotype" w:cs="Palatino Linotype"/>
          <w:sz w:val="22"/>
          <w:szCs w:val="22"/>
        </w:rPr>
      </w:pPr>
    </w:p>
    <w:p w14:paraId="3D13847D" w14:textId="77777777" w:rsidR="002F1788" w:rsidRPr="000F23D6" w:rsidRDefault="00131773">
      <w:pPr>
        <w:numPr>
          <w:ilvl w:val="0"/>
          <w:numId w:val="1"/>
        </w:numPr>
        <w:spacing w:line="360" w:lineRule="auto"/>
        <w:ind w:left="0" w:right="-25" w:firstLine="0"/>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color w:val="000000"/>
          <w:sz w:val="22"/>
          <w:szCs w:val="22"/>
        </w:rPr>
        <w:t>Aunado a lo anterior, Calero, Natalia (2016), en la “Ley General de Transparencia y Acceso a la Información Pública Comentada” (pág. 401), cuando los Sujetos Obligados ofrezcan como modalidad de entrega de la información, consulta directa, estos deberán fundar y motivar las razones por las cuales no es posible otorgar el acceso a los documentos de otra forma; además que se deberá explicar de manera detallada lo siguiente:</w:t>
      </w:r>
    </w:p>
    <w:p w14:paraId="30CE7F36" w14:textId="77777777" w:rsidR="002F1788" w:rsidRPr="000F23D6" w:rsidRDefault="002F1788">
      <w:pPr>
        <w:spacing w:line="360" w:lineRule="auto"/>
        <w:ind w:right="-876"/>
        <w:jc w:val="both"/>
        <w:rPr>
          <w:rFonts w:ascii="Palatino Linotype" w:eastAsia="Palatino Linotype" w:hAnsi="Palatino Linotype" w:cs="Palatino Linotype"/>
          <w:color w:val="000000"/>
          <w:sz w:val="22"/>
          <w:szCs w:val="22"/>
        </w:rPr>
      </w:pPr>
    </w:p>
    <w:p w14:paraId="7CF2FF40" w14:textId="77777777" w:rsidR="002F1788" w:rsidRPr="000F23D6" w:rsidRDefault="00131773">
      <w:pPr>
        <w:spacing w:line="360" w:lineRule="auto"/>
        <w:ind w:left="851" w:right="1"/>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Las razones por las cuales la información implicaba un análisis, estudio o procesamiento de datos;</w:t>
      </w:r>
    </w:p>
    <w:p w14:paraId="113722C7" w14:textId="77777777" w:rsidR="002F1788" w:rsidRPr="000F23D6" w:rsidRDefault="00131773">
      <w:pPr>
        <w:spacing w:line="360" w:lineRule="auto"/>
        <w:ind w:left="851" w:right="1"/>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lastRenderedPageBreak/>
        <w:t xml:space="preserve"> ● Por qué motivo el tiempo, que se le otorga al Sujeto Obligado para dar respuesta, en la modalidad elegida a la solicitud de información, no le es suficiente, y</w:t>
      </w:r>
    </w:p>
    <w:p w14:paraId="0B3DEEC2" w14:textId="77777777" w:rsidR="002F1788" w:rsidRPr="000F23D6" w:rsidRDefault="00131773">
      <w:pPr>
        <w:spacing w:line="360" w:lineRule="auto"/>
        <w:ind w:left="851" w:right="1"/>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 ● La cantidad de recursos humanos y materiales con los que cuenta el Sujeto Obligado son insuficientes. </w:t>
      </w:r>
    </w:p>
    <w:p w14:paraId="61FD405F" w14:textId="77777777" w:rsidR="002F1788" w:rsidRPr="000F23D6" w:rsidRDefault="002F1788">
      <w:pPr>
        <w:spacing w:line="360" w:lineRule="auto"/>
        <w:ind w:right="1"/>
        <w:jc w:val="both"/>
        <w:rPr>
          <w:rFonts w:ascii="Palatino Linotype" w:eastAsia="Palatino Linotype" w:hAnsi="Palatino Linotype" w:cs="Palatino Linotype"/>
          <w:color w:val="000000"/>
          <w:sz w:val="22"/>
          <w:szCs w:val="22"/>
        </w:rPr>
      </w:pPr>
    </w:p>
    <w:p w14:paraId="4B9B69AF" w14:textId="77777777" w:rsidR="002F1788" w:rsidRPr="000F23D6" w:rsidRDefault="002F1788">
      <w:pPr>
        <w:spacing w:line="360" w:lineRule="auto"/>
        <w:ind w:right="1"/>
        <w:jc w:val="both"/>
        <w:rPr>
          <w:rFonts w:ascii="Palatino Linotype" w:eastAsia="Palatino Linotype" w:hAnsi="Palatino Linotype" w:cs="Palatino Linotype"/>
          <w:color w:val="000000"/>
          <w:sz w:val="22"/>
          <w:szCs w:val="22"/>
        </w:rPr>
      </w:pPr>
    </w:p>
    <w:p w14:paraId="24322B01" w14:textId="77777777" w:rsidR="002F1788" w:rsidRPr="000F23D6" w:rsidRDefault="00131773">
      <w:pPr>
        <w:numPr>
          <w:ilvl w:val="0"/>
          <w:numId w:val="1"/>
        </w:numPr>
        <w:spacing w:line="360" w:lineRule="auto"/>
        <w:ind w:left="0" w:right="1"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En ese contexto, es de señalar que el Sujeto Obligado no señaló de manera puntual las imposibilidades para dar atención a la solicitud, esto en observancia a las siguientes circunstancias:</w:t>
      </w:r>
    </w:p>
    <w:p w14:paraId="33A88354" w14:textId="77777777" w:rsidR="002F1788" w:rsidRPr="000F23D6" w:rsidRDefault="002F1788">
      <w:pPr>
        <w:spacing w:line="360" w:lineRule="auto"/>
        <w:ind w:right="1"/>
        <w:jc w:val="both"/>
        <w:rPr>
          <w:rFonts w:ascii="Palatino Linotype" w:eastAsia="Palatino Linotype" w:hAnsi="Palatino Linotype" w:cs="Palatino Linotype"/>
          <w:color w:val="000000"/>
          <w:sz w:val="22"/>
          <w:szCs w:val="22"/>
        </w:rPr>
      </w:pPr>
    </w:p>
    <w:p w14:paraId="62C30FAB" w14:textId="77777777" w:rsidR="002F1788" w:rsidRPr="000F23D6" w:rsidRDefault="00131773">
      <w:pPr>
        <w:spacing w:line="360" w:lineRule="auto"/>
        <w:ind w:left="851" w:right="1"/>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 El formato, en que se encontraba la información, es decir, de manera digital o física, y </w:t>
      </w:r>
    </w:p>
    <w:p w14:paraId="703D115F" w14:textId="77777777" w:rsidR="002F1788" w:rsidRPr="000F23D6" w:rsidRDefault="002F1788">
      <w:pPr>
        <w:spacing w:line="360" w:lineRule="auto"/>
        <w:ind w:left="851" w:right="1"/>
        <w:jc w:val="both"/>
        <w:rPr>
          <w:rFonts w:ascii="Palatino Linotype" w:eastAsia="Palatino Linotype" w:hAnsi="Palatino Linotype" w:cs="Palatino Linotype"/>
          <w:color w:val="000000"/>
          <w:sz w:val="22"/>
          <w:szCs w:val="22"/>
        </w:rPr>
      </w:pPr>
    </w:p>
    <w:p w14:paraId="71D06C2F" w14:textId="77777777" w:rsidR="002F1788" w:rsidRPr="000F23D6" w:rsidRDefault="00131773">
      <w:pPr>
        <w:spacing w:line="360" w:lineRule="auto"/>
        <w:ind w:left="851" w:right="1"/>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 El número de hojas o peso aproximado de la información solicitada, del cual se pudiera conocer cuántos documentos había generado y recibido las áreas, o bien, cuando menos un aproximado, y </w:t>
      </w:r>
    </w:p>
    <w:p w14:paraId="63D33EE2" w14:textId="77777777" w:rsidR="002F1788" w:rsidRPr="000F23D6" w:rsidRDefault="002F1788">
      <w:pPr>
        <w:spacing w:line="360" w:lineRule="auto"/>
        <w:ind w:right="1"/>
        <w:jc w:val="both"/>
        <w:rPr>
          <w:rFonts w:ascii="Palatino Linotype" w:eastAsia="Palatino Linotype" w:hAnsi="Palatino Linotype" w:cs="Palatino Linotype"/>
          <w:color w:val="000000"/>
          <w:sz w:val="22"/>
          <w:szCs w:val="22"/>
        </w:rPr>
      </w:pPr>
    </w:p>
    <w:p w14:paraId="3A204F06" w14:textId="77777777" w:rsidR="002F1788" w:rsidRPr="000F23D6" w:rsidRDefault="00131773">
      <w:pPr>
        <w:numPr>
          <w:ilvl w:val="0"/>
          <w:numId w:val="1"/>
        </w:numPr>
        <w:spacing w:line="360" w:lineRule="auto"/>
        <w:ind w:left="0" w:right="1"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Además, tampoco acreditó que lo peticionado implicaba un análisis, procesamiento o estudio de documentos cuya reproducción sobrepasará las capacidades técnicas, administrativas y humanas del Sujeto Obligado, pues como se refirió, no se precisó el número de personas que se encontraban en las áreas, ni el formato, ni número de hojas aproximadas de lo solicitado, o bien, si lo peticionado, se encontraba en uno o varios expedientes; esto es, no proporcionó los elementos necesarios para acreditar el cambio de modalidad, pues no </w:t>
      </w:r>
      <w:r w:rsidRPr="000F23D6">
        <w:rPr>
          <w:rFonts w:ascii="Palatino Linotype" w:eastAsia="Palatino Linotype" w:hAnsi="Palatino Linotype" w:cs="Palatino Linotype"/>
          <w:color w:val="000000"/>
          <w:sz w:val="22"/>
          <w:szCs w:val="22"/>
        </w:rPr>
        <w:lastRenderedPageBreak/>
        <w:t xml:space="preserve">justificó dicho cambio, razón por la cual este Instituto no tiene certeza sobre la necesidad del cambio de modalidad pretendido, a efecto de garantizar la entrega de la información solicitada dentro del plazo establecido en la normatividad aplicable. </w:t>
      </w:r>
    </w:p>
    <w:p w14:paraId="04847ABE" w14:textId="77777777" w:rsidR="002F1788" w:rsidRPr="000F23D6" w:rsidRDefault="002F1788">
      <w:pPr>
        <w:spacing w:line="360" w:lineRule="auto"/>
        <w:ind w:right="-876"/>
        <w:jc w:val="both"/>
        <w:rPr>
          <w:rFonts w:ascii="Palatino Linotype" w:eastAsia="Palatino Linotype" w:hAnsi="Palatino Linotype" w:cs="Palatino Linotype"/>
          <w:color w:val="000000"/>
          <w:sz w:val="22"/>
          <w:szCs w:val="22"/>
        </w:rPr>
      </w:pPr>
    </w:p>
    <w:p w14:paraId="69656B2A" w14:textId="77777777" w:rsidR="002F1788" w:rsidRPr="000F23D6" w:rsidRDefault="00131773">
      <w:pPr>
        <w:numPr>
          <w:ilvl w:val="0"/>
          <w:numId w:val="1"/>
        </w:numPr>
        <w:spacing w:line="360" w:lineRule="auto"/>
        <w:ind w:left="0" w:right="1"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Aunado a lo anterior, conviene referir que el Organismo Garante Nacional, a través de diversas resoluciones de los Recursos de Inconformidad, entre las cuales se encuentran el RIA 136/20, RIA 140/20, RIA 153/20 RIA 237/20, RIA 257/20, RIA 258/20, entre otros, ha considerado que no resultaba suficiente justificar una imposibilidad técnica y humana para acreditar un cambio de modalidad, sino que era necesario demostrar otros impedimentos, como la cantidad y formato de la documentación, que fuera de imposible reproducción en el medio elegido por los solicitantes, que la información ameritara el cruce de información en los sistemas de datos, entre otros. Además, precisan que no se debe ceñir el cambio de modalidad, directamente a consulta directa, sino que los Sujetos Obligados, deben de buscar la posibilidad de proporcionarla en las otras formas que establecen en la Ley, ya sean electrónicas o físicas.</w:t>
      </w:r>
    </w:p>
    <w:p w14:paraId="72CD2789" w14:textId="77777777" w:rsidR="002F1788" w:rsidRPr="000F23D6" w:rsidRDefault="002F1788">
      <w:pPr>
        <w:spacing w:line="360" w:lineRule="auto"/>
        <w:ind w:right="1"/>
        <w:jc w:val="both"/>
        <w:rPr>
          <w:rFonts w:ascii="Palatino Linotype" w:eastAsia="Palatino Linotype" w:hAnsi="Palatino Linotype" w:cs="Palatino Linotype"/>
          <w:color w:val="000000"/>
          <w:sz w:val="22"/>
          <w:szCs w:val="22"/>
        </w:rPr>
      </w:pPr>
    </w:p>
    <w:p w14:paraId="4372A795" w14:textId="77777777" w:rsidR="002F1788" w:rsidRPr="000F23D6" w:rsidRDefault="00131773">
      <w:pPr>
        <w:numPr>
          <w:ilvl w:val="0"/>
          <w:numId w:val="1"/>
        </w:numPr>
        <w:spacing w:line="360" w:lineRule="auto"/>
        <w:ind w:left="0" w:right="1"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Siendo las cosas así, cabe invocar el contenido del Capítulo X de Lineamientos Generales en Materia de Clasificación y Desclasificación de la Información, así como para la Elaboración de Versiones Públicas, respecto a la consulta directa, que reza así:</w:t>
      </w:r>
    </w:p>
    <w:p w14:paraId="2093DFDD" w14:textId="77777777" w:rsidR="002F1788" w:rsidRPr="000F23D6" w:rsidRDefault="00131773">
      <w:pPr>
        <w:spacing w:line="360" w:lineRule="auto"/>
        <w:ind w:right="1"/>
        <w:jc w:val="center"/>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sz w:val="22"/>
          <w:szCs w:val="22"/>
        </w:rPr>
        <w:t>“CAPÍTULO X</w:t>
      </w:r>
    </w:p>
    <w:p w14:paraId="63FFE7DE" w14:textId="77777777" w:rsidR="002F1788" w:rsidRPr="000F23D6" w:rsidRDefault="002F1788">
      <w:pPr>
        <w:spacing w:line="360" w:lineRule="auto"/>
        <w:ind w:right="-876"/>
        <w:jc w:val="both"/>
        <w:rPr>
          <w:rFonts w:ascii="Palatino Linotype" w:eastAsia="Palatino Linotype" w:hAnsi="Palatino Linotype" w:cs="Palatino Linotype"/>
          <w:color w:val="000000"/>
          <w:sz w:val="22"/>
          <w:szCs w:val="22"/>
        </w:rPr>
      </w:pPr>
    </w:p>
    <w:p w14:paraId="6B6F0D88"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DE LA CONSULTA DIRECTA </w:t>
      </w:r>
    </w:p>
    <w:p w14:paraId="1E670B1A"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72219F1D"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lastRenderedPageBreak/>
        <w:t xml:space="preserve">Sexagésimo séptimo. Para la atención de solicitudes en las que la modalidad de entrega de la información sea la consulta directa y, con el fin de garantizar el acceso a la información que conste en documentos que contengan partes o secciones clasificadas como reservadas o confidenciales en la modalidad antes citada, previamente el Comité de Transparencia del sujeto obligado deberá emitir la resolución en la que funde y motive la clasificación de las partes o secciones que no podrán dejarse a la vista del solicitante. </w:t>
      </w:r>
    </w:p>
    <w:p w14:paraId="0EE1FDFF"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0ED9C6D4"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Sexagésimo octavo. En la resolución del Comité de Transparencia a que se refiere el lineamiento inmediato anterior, se deberán establecer las medidas que el personal encargado de permitir el acceso al solicitante deberá implementar, a fin de que se resguarde la información clasificada, atendiendo a la naturaleza del documento y el formato en el que obra. </w:t>
      </w:r>
    </w:p>
    <w:p w14:paraId="53AD666A"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3E3EE193"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Sexagésimo noveno. En caso de que no sea posible otorgar acceso a la información en la modalidad de consulta directa ya sea por la naturaleza, contenido, el formato del documento o características físicas del mismo, el sujeto obligado deberá justificar el impedimento para el acceso a la consulta directa y, de ser posible, ofrecer las demás modalidades en las que es viable el acceso a la información. </w:t>
      </w:r>
    </w:p>
    <w:p w14:paraId="0D60A1EB"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4F305BDC"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Septuagésimo. Para el desahogo de las actuaciones tendientes a permitir la consulta directa, en los casos en que ésta resulte procedente, los sujetos obligados deberán observar lo siguiente:</w:t>
      </w:r>
    </w:p>
    <w:p w14:paraId="0D40D633"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0B661CC0"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lastRenderedPageBreak/>
        <w:t xml:space="preserve"> I. Señalar claramente al particular, en la respuesta a su solicitud, el lugar, día y hora en que se podrá llevar a cabo la consulta de la documentación solicitada. En caso de que, derivado del volumen o de las particularidades de los documentos, el sujeto obligado determine que se requiere más de un día para realizar la consulta, en la respuesta a la solicitud también se deberá indicar esta situación al solicitante y los días, y horarios en que podrá llevarse a cabo. </w:t>
      </w:r>
    </w:p>
    <w:p w14:paraId="6769AA65"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5BBACAD1"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II. En su caso, la procedencia de los ajustes razonables solicitados y/o la procedencia de acceso en la lengua indígena requerida;</w:t>
      </w:r>
    </w:p>
    <w:p w14:paraId="2803A3DF"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2EB263BA"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III. Indicar claramente la ubicación del lugar en que el solicitante podrá llevar a cabo la consulta de la información debiendo ser éste, en la medida de lo posible, el domicilio de la Unidad de Transparencia, así como el nombre, cargo y datos de contacto del personal que le permitirá el acceso;</w:t>
      </w:r>
    </w:p>
    <w:p w14:paraId="0CA89583"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3A7C8C3F"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IV. Proporcionar al solicitante las facilidades y asistencia requerida para la consulta de los documentos; </w:t>
      </w:r>
    </w:p>
    <w:p w14:paraId="571D1591"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V. Abstenerse de requerir al solicitante que acredite interés alguno; </w:t>
      </w:r>
    </w:p>
    <w:p w14:paraId="11D13CDC"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VI. Adoptar las medidas técnicas, físicas, administrativas y demás que resulten necesarias para garantizar la integridad de la información a consultar, de conformidad con las características específicas del documento solicitado, tales como: </w:t>
      </w:r>
    </w:p>
    <w:p w14:paraId="23188DF4"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000A8ECE" w14:textId="77777777" w:rsidR="002F1788" w:rsidRPr="000F23D6" w:rsidRDefault="00131773">
      <w:pPr>
        <w:numPr>
          <w:ilvl w:val="0"/>
          <w:numId w:val="5"/>
        </w:numPr>
        <w:pBdr>
          <w:top w:val="nil"/>
          <w:left w:val="nil"/>
          <w:bottom w:val="nil"/>
          <w:right w:val="nil"/>
          <w:between w:val="nil"/>
        </w:pBdr>
        <w:spacing w:line="360" w:lineRule="auto"/>
        <w:ind w:left="170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lastRenderedPageBreak/>
        <w:t xml:space="preserve">Contar con instalaciones y mobiliario adecuado para asegurar tanto la integridad del documento consultado, como para proporcionar al solicitante las mejores condiciones para poder llevar a cabo la consulta directa; </w:t>
      </w:r>
    </w:p>
    <w:p w14:paraId="30151B0D" w14:textId="77777777" w:rsidR="002F1788" w:rsidRPr="000F23D6" w:rsidRDefault="002F1788">
      <w:pPr>
        <w:pBdr>
          <w:top w:val="nil"/>
          <w:left w:val="nil"/>
          <w:bottom w:val="nil"/>
          <w:right w:val="nil"/>
          <w:between w:val="nil"/>
        </w:pBdr>
        <w:spacing w:line="360" w:lineRule="auto"/>
        <w:ind w:left="1701" w:right="568"/>
        <w:jc w:val="both"/>
        <w:rPr>
          <w:rFonts w:ascii="Palatino Linotype" w:eastAsia="Palatino Linotype" w:hAnsi="Palatino Linotype" w:cs="Palatino Linotype"/>
          <w:i/>
          <w:color w:val="000000"/>
          <w:sz w:val="22"/>
          <w:szCs w:val="22"/>
        </w:rPr>
      </w:pPr>
    </w:p>
    <w:p w14:paraId="34BB8DA1" w14:textId="77777777" w:rsidR="002F1788" w:rsidRPr="000F23D6" w:rsidRDefault="00131773">
      <w:pPr>
        <w:numPr>
          <w:ilvl w:val="0"/>
          <w:numId w:val="5"/>
        </w:numPr>
        <w:pBdr>
          <w:top w:val="nil"/>
          <w:left w:val="nil"/>
          <w:bottom w:val="nil"/>
          <w:right w:val="nil"/>
          <w:between w:val="nil"/>
        </w:pBdr>
        <w:spacing w:line="360" w:lineRule="auto"/>
        <w:ind w:left="170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Equipo y personal de vigilancia; </w:t>
      </w:r>
    </w:p>
    <w:p w14:paraId="1A351AAE" w14:textId="77777777" w:rsidR="002F1788" w:rsidRPr="000F23D6" w:rsidRDefault="002F1788">
      <w:pPr>
        <w:pBdr>
          <w:top w:val="nil"/>
          <w:left w:val="nil"/>
          <w:bottom w:val="nil"/>
          <w:right w:val="nil"/>
          <w:between w:val="nil"/>
        </w:pBdr>
        <w:ind w:left="851" w:right="568"/>
        <w:rPr>
          <w:rFonts w:ascii="Palatino Linotype" w:eastAsia="Palatino Linotype" w:hAnsi="Palatino Linotype" w:cs="Palatino Linotype"/>
          <w:i/>
          <w:color w:val="000000"/>
          <w:sz w:val="22"/>
          <w:szCs w:val="22"/>
        </w:rPr>
      </w:pPr>
    </w:p>
    <w:p w14:paraId="024D39BD" w14:textId="77777777" w:rsidR="002F1788" w:rsidRPr="000F23D6" w:rsidRDefault="002F1788">
      <w:pPr>
        <w:pBdr>
          <w:top w:val="nil"/>
          <w:left w:val="nil"/>
          <w:bottom w:val="nil"/>
          <w:right w:val="nil"/>
          <w:between w:val="nil"/>
        </w:pBdr>
        <w:spacing w:line="360" w:lineRule="auto"/>
        <w:ind w:left="851" w:right="568"/>
        <w:jc w:val="both"/>
        <w:rPr>
          <w:rFonts w:ascii="Palatino Linotype" w:eastAsia="Palatino Linotype" w:hAnsi="Palatino Linotype" w:cs="Palatino Linotype"/>
          <w:i/>
          <w:color w:val="000000"/>
          <w:sz w:val="22"/>
          <w:szCs w:val="22"/>
        </w:rPr>
      </w:pPr>
    </w:p>
    <w:p w14:paraId="67ACC7CC"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c) Plan de acción contra robo o vandalismo; </w:t>
      </w:r>
    </w:p>
    <w:p w14:paraId="6A79C988"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d) Extintores de fuego de gas inocuo; </w:t>
      </w:r>
    </w:p>
    <w:p w14:paraId="5D3550E1"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e) Registro e identificación del personal autorizado para el tratamiento de los documentos o expedientes a revisar; </w:t>
      </w:r>
    </w:p>
    <w:p w14:paraId="616CA5D9"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f) Registro e identificación de los particulares autorizados para llevar a cabo la consulta directa, y </w:t>
      </w:r>
    </w:p>
    <w:p w14:paraId="20235511"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g) Las demás que, a criterio de los sujetos obligados, resulten necesarias. </w:t>
      </w:r>
    </w:p>
    <w:p w14:paraId="068341D9"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VII. Hacer del conocimiento del solicitante, previo al acceso a la información, las reglas a que se sujetará la consulta para garantizar la integridad de los documentos, y </w:t>
      </w:r>
    </w:p>
    <w:p w14:paraId="7481DF0C"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VIII. Para el caso de documentos que contengan partes o secciones clasificadas como reservadas o confidenciales, el sujeto obligado deberá hacer del conocimiento del solicitante, previo al acceso a la información, la resolución debidamente fundada y motivada del Comité de Transparencia, en la que se clasificaron las partes o secciones que no podrán dejarse a la vista del solicitante. </w:t>
      </w:r>
    </w:p>
    <w:p w14:paraId="3556B88F"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5AF320B0"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lastRenderedPageBreak/>
        <w:t>Septuagésimo primero. La consulta física de la información se realizará en presencia del personal que para tal efecto haya sido designado, quien implementará las medidas para asegurar en todo momento la integridad de la documentación, conforme a la resolución que, al efecto, emita el Comité de Transparencia.</w:t>
      </w:r>
    </w:p>
    <w:p w14:paraId="3C39D881"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12339B2B"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El solicitante deberá observar en todo momento las reglas que el sujeto obligado haya hecho de su conocimiento para efectos de la conservación de los documentos. </w:t>
      </w:r>
    </w:p>
    <w:p w14:paraId="60D46CFA"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5065A10A"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Septuagésimo segundo. El solicitante deberá realizar la consulta de los documentos requeridos en el lugar, horarios y con la persona destinada para tal efecto. </w:t>
      </w:r>
    </w:p>
    <w:p w14:paraId="65DFDDE3"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585044D3"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Si una vez realizada la diligencia, en el tiempo previsto para ello, no fuera posible consultar toda la documentación, el solicitante podrá requerir al sujeto obligado una nueva cita, misma que deberá ser programada indicándole al particular los días y horarios en que podrá llevarse a cabo. </w:t>
      </w:r>
    </w:p>
    <w:p w14:paraId="1A6D3A0E"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6B58F809" w14:textId="77777777" w:rsidR="002F1788" w:rsidRPr="000F23D6" w:rsidRDefault="00131773">
      <w:pPr>
        <w:spacing w:line="360" w:lineRule="auto"/>
        <w:ind w:left="851" w:right="568"/>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 xml:space="preserve">Septuagésimo tercero. Si una vez consultada la versión pública de la documentación, el solicitante requiriera la reproducción de la información o de parte de la misma en otra modalidad, salvo impedimento justificado, los sujetos obligados deberán otorgar acceso a ésta, previo el pago correspondiente, sin necesidad de que se presente una nueva solicitud de información. </w:t>
      </w:r>
    </w:p>
    <w:p w14:paraId="4F306003" w14:textId="77777777" w:rsidR="002F1788" w:rsidRPr="000F23D6" w:rsidRDefault="002F1788">
      <w:pPr>
        <w:spacing w:line="360" w:lineRule="auto"/>
        <w:ind w:left="851" w:right="568"/>
        <w:jc w:val="both"/>
        <w:rPr>
          <w:rFonts w:ascii="Palatino Linotype" w:eastAsia="Palatino Linotype" w:hAnsi="Palatino Linotype" w:cs="Palatino Linotype"/>
          <w:i/>
          <w:color w:val="000000"/>
          <w:sz w:val="22"/>
          <w:szCs w:val="22"/>
        </w:rPr>
      </w:pPr>
    </w:p>
    <w:p w14:paraId="0DE03EEA" w14:textId="77777777" w:rsidR="002F1788" w:rsidRPr="000F23D6" w:rsidRDefault="00131773">
      <w:pPr>
        <w:spacing w:line="360" w:lineRule="auto"/>
        <w:ind w:left="851" w:right="1"/>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lastRenderedPageBreak/>
        <w:t>La información deberá ser entregada sin costo, cuando implique la entrega de no más de veinte hojas simples.”</w:t>
      </w:r>
    </w:p>
    <w:p w14:paraId="6EDA5918" w14:textId="77777777" w:rsidR="002F1788" w:rsidRPr="000F23D6" w:rsidRDefault="002F1788">
      <w:pPr>
        <w:spacing w:line="360" w:lineRule="auto"/>
        <w:ind w:right="1"/>
        <w:jc w:val="both"/>
        <w:rPr>
          <w:rFonts w:ascii="Palatino Linotype" w:eastAsia="Palatino Linotype" w:hAnsi="Palatino Linotype" w:cs="Palatino Linotype"/>
          <w:color w:val="000000"/>
          <w:sz w:val="22"/>
          <w:szCs w:val="22"/>
        </w:rPr>
      </w:pPr>
    </w:p>
    <w:p w14:paraId="4998CF80" w14:textId="77777777" w:rsidR="002F1788" w:rsidRPr="000F23D6" w:rsidRDefault="00131773">
      <w:pPr>
        <w:numPr>
          <w:ilvl w:val="0"/>
          <w:numId w:val="1"/>
        </w:numPr>
        <w:spacing w:line="360" w:lineRule="auto"/>
        <w:ind w:left="0" w:right="1"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En consecuencia, toda vez que el Sujeto Obligado no justificó el impedimento para remitir la información solicitada vía SAIMEX, al no haberse acreditado de manera fehaciente la imposibilidad humana, técnica y administrativa, establecida en el artículo 158 de la Ley de Transparencia y Acceso a la Información Pública del Estado de México y Municipios, para validar el cambio de modalidad a consulta directa, los agravios de la parte Recurrente resultan fundados; situación que se robustece, con el hecho de que tampoco vio la posibilidad de poner a disposición la información, en el resto de modalidades establecidas en la Ley de la materia, por lo que, este Instituto estima que lo dable es Ordenar al Sujeto Obligado dé respuesta a la solicitudes de acceso a la información, atendiendo lo señalado en el presente Considerando.</w:t>
      </w:r>
    </w:p>
    <w:p w14:paraId="065D3CFE" w14:textId="77777777" w:rsidR="002F1788" w:rsidRPr="000F23D6" w:rsidRDefault="002F1788">
      <w:pPr>
        <w:spacing w:line="360" w:lineRule="auto"/>
        <w:ind w:right="1"/>
        <w:jc w:val="both"/>
        <w:rPr>
          <w:rFonts w:ascii="Palatino Linotype" w:eastAsia="Palatino Linotype" w:hAnsi="Palatino Linotype" w:cs="Palatino Linotype"/>
          <w:color w:val="000000"/>
          <w:sz w:val="22"/>
          <w:szCs w:val="22"/>
        </w:rPr>
      </w:pPr>
    </w:p>
    <w:p w14:paraId="41F9876F"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right="1" w:firstLine="0"/>
        <w:jc w:val="both"/>
        <w:rPr>
          <w:rFonts w:ascii="Palatino Linotype" w:eastAsia="Palatino Linotype" w:hAnsi="Palatino Linotype" w:cs="Palatino Linotype"/>
          <w:i/>
          <w:sz w:val="22"/>
          <w:szCs w:val="22"/>
        </w:rPr>
      </w:pPr>
      <w:r w:rsidRPr="000F23D6">
        <w:rPr>
          <w:rFonts w:ascii="Palatino Linotype" w:eastAsia="Palatino Linotype" w:hAnsi="Palatino Linotype" w:cs="Palatino Linotype"/>
          <w:sz w:val="22"/>
          <w:szCs w:val="22"/>
        </w:rPr>
        <w:t>En conclusión, a todo lo antes expuesto, se colige que la respuesta del Sujeto Obligado no satisface el derecho de acceso a la información, por ello resulta procedente determinar que el motivo de agravio hecho valer por la parte Recurrente resulta FUNDADO.</w:t>
      </w:r>
    </w:p>
    <w:p w14:paraId="1CCD78C8"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right="1"/>
        <w:jc w:val="both"/>
        <w:rPr>
          <w:rFonts w:ascii="Palatino Linotype" w:eastAsia="Palatino Linotype" w:hAnsi="Palatino Linotype" w:cs="Palatino Linotype"/>
          <w:i/>
          <w:sz w:val="22"/>
          <w:szCs w:val="22"/>
        </w:rPr>
      </w:pPr>
    </w:p>
    <w:p w14:paraId="119F40C3"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right="1" w:firstLine="0"/>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Con la determinación anterior quedará por colmado el derecho de acceso a la información del ahora Recurrente; toda vez que el Derecho que tutela este Órgano Garante corresponde a la  </w:t>
      </w:r>
      <w:r w:rsidRPr="000F23D6">
        <w:rPr>
          <w:rFonts w:ascii="Palatino Linotype" w:eastAsia="Palatino Linotype" w:hAnsi="Palatino Linotype" w:cs="Palatino Linotype"/>
          <w:i/>
          <w:color w:val="000000"/>
          <w:sz w:val="22"/>
          <w:szCs w:val="22"/>
        </w:rPr>
        <w:t>igualdad de oportunidades para recibir, buscar e impartir información</w:t>
      </w:r>
      <w:r w:rsidRPr="000F23D6">
        <w:rPr>
          <w:rFonts w:ascii="Palatino Linotype" w:eastAsia="Palatino Linotype" w:hAnsi="Palatino Linotype" w:cs="Palatino Linotype"/>
          <w:i/>
          <w:color w:val="000000"/>
          <w:sz w:val="22"/>
          <w:szCs w:val="22"/>
          <w:vertAlign w:val="superscript"/>
        </w:rPr>
        <w:footnoteReference w:id="2"/>
      </w:r>
      <w:r w:rsidRPr="000F23D6">
        <w:rPr>
          <w:rFonts w:ascii="Palatino Linotype" w:eastAsia="Palatino Linotype" w:hAnsi="Palatino Linotype" w:cs="Palatino Linotype"/>
          <w:i/>
          <w:color w:val="000000"/>
          <w:sz w:val="22"/>
          <w:szCs w:val="22"/>
        </w:rPr>
        <w:t xml:space="preserve"> en posesión de cualquier autoridad, entidad, órgano y organismo de los </w:t>
      </w:r>
      <w:r w:rsidRPr="000F23D6">
        <w:rPr>
          <w:rFonts w:ascii="Palatino Linotype" w:eastAsia="Palatino Linotype" w:hAnsi="Palatino Linotype" w:cs="Palatino Linotype"/>
          <w:color w:val="000000"/>
          <w:sz w:val="22"/>
          <w:szCs w:val="22"/>
        </w:rPr>
        <w:t>poderes</w:t>
      </w:r>
      <w:r w:rsidRPr="000F23D6">
        <w:rPr>
          <w:rFonts w:ascii="Palatino Linotype" w:eastAsia="Palatino Linotype" w:hAnsi="Palatino Linotype" w:cs="Palatino Linotype"/>
          <w:i/>
          <w:color w:val="000000"/>
          <w:sz w:val="22"/>
          <w:szCs w:val="22"/>
        </w:rPr>
        <w:t xml:space="preserve"> Ejecutivo, Legislativo y Judicial, </w:t>
      </w:r>
      <w:r w:rsidRPr="000F23D6">
        <w:rPr>
          <w:rFonts w:ascii="Palatino Linotype" w:eastAsia="Palatino Linotype" w:hAnsi="Palatino Linotype" w:cs="Palatino Linotype"/>
          <w:i/>
          <w:color w:val="000000"/>
          <w:sz w:val="22"/>
          <w:szCs w:val="22"/>
        </w:rPr>
        <w:lastRenderedPageBreak/>
        <w:t>órganos autónomos, partidos políticos, fideicomisos, y fondos públicos, así como de cualquier persona física, moral o sindicato que reciba y ejerza recursos públicos o realice actos de autoridad en el ámbito federal, estatal y municipal</w:t>
      </w:r>
      <w:r w:rsidRPr="000F23D6">
        <w:rPr>
          <w:rFonts w:ascii="Palatino Linotype" w:eastAsia="Palatino Linotype" w:hAnsi="Palatino Linotype" w:cs="Palatino Linotype"/>
          <w:color w:val="000000"/>
          <w:sz w:val="22"/>
          <w:szCs w:val="22"/>
          <w:vertAlign w:val="superscript"/>
        </w:rPr>
        <w:footnoteReference w:id="3"/>
      </w:r>
      <w:r w:rsidRPr="000F23D6">
        <w:rPr>
          <w:rFonts w:ascii="Palatino Linotype" w:eastAsia="Palatino Linotype" w:hAnsi="Palatino Linotype" w:cs="Palatino Linotype"/>
          <w:i/>
          <w:color w:val="000000"/>
          <w:sz w:val="22"/>
          <w:szCs w:val="22"/>
        </w:rPr>
        <w:t xml:space="preserve"> </w:t>
      </w:r>
      <w:r w:rsidRPr="000F23D6">
        <w:rPr>
          <w:rFonts w:ascii="Palatino Linotype" w:eastAsia="Palatino Linotype" w:hAnsi="Palatino Linotype" w:cs="Palatino Linotype"/>
          <w:color w:val="000000"/>
          <w:sz w:val="22"/>
          <w:szCs w:val="22"/>
        </w:rPr>
        <w:t xml:space="preserve">que se constituye como una herramienta fundamental para </w:t>
      </w:r>
      <w:r w:rsidRPr="000F23D6">
        <w:rPr>
          <w:rFonts w:ascii="Palatino Linotype" w:eastAsia="Palatino Linotype" w:hAnsi="Palatino Linotype" w:cs="Palatino Linotype"/>
          <w:i/>
          <w:color w:val="000000"/>
          <w:sz w:val="22"/>
          <w:szCs w:val="22"/>
        </w:rPr>
        <w:t>ejercer control democrático de las gestiones estatales, de forma tal que puedan cuestionar, indagar y considerar si se está dando un adecuado cumplimiento de las funciones públicas,</w:t>
      </w:r>
      <w:r w:rsidRPr="000F23D6">
        <w:rPr>
          <w:rFonts w:ascii="Palatino Linotype" w:eastAsia="Palatino Linotype" w:hAnsi="Palatino Linotype" w:cs="Palatino Linotype"/>
          <w:i/>
          <w:color w:val="000000"/>
          <w:sz w:val="22"/>
          <w:szCs w:val="22"/>
          <w:vertAlign w:val="superscript"/>
        </w:rPr>
        <w:footnoteReference w:id="4"/>
      </w:r>
      <w:r w:rsidRPr="000F23D6">
        <w:rPr>
          <w:rFonts w:ascii="Palatino Linotype" w:eastAsia="Palatino Linotype" w:hAnsi="Palatino Linotype" w:cs="Palatino Linotype"/>
          <w:color w:val="000000"/>
          <w:sz w:val="22"/>
          <w:szCs w:val="22"/>
        </w:rPr>
        <w:t>fomentando</w:t>
      </w:r>
      <w:r w:rsidRPr="000F23D6">
        <w:rPr>
          <w:rFonts w:ascii="Palatino Linotype" w:eastAsia="Palatino Linotype" w:hAnsi="Palatino Linotype" w:cs="Palatino Linotype"/>
          <w:i/>
          <w:color w:val="000000"/>
          <w:sz w:val="22"/>
          <w:szCs w:val="22"/>
        </w:rPr>
        <w:t xml:space="preserve"> la transparencia de las actividades estatales y</w:t>
      </w:r>
      <w:r w:rsidRPr="000F23D6">
        <w:rPr>
          <w:rFonts w:ascii="Palatino Linotype" w:eastAsia="Palatino Linotype" w:hAnsi="Palatino Linotype" w:cs="Palatino Linotype"/>
          <w:color w:val="000000"/>
          <w:sz w:val="22"/>
          <w:szCs w:val="22"/>
        </w:rPr>
        <w:t xml:space="preserve"> promoviendo</w:t>
      </w:r>
      <w:r w:rsidRPr="000F23D6">
        <w:rPr>
          <w:rFonts w:ascii="Palatino Linotype" w:eastAsia="Palatino Linotype" w:hAnsi="Palatino Linotype" w:cs="Palatino Linotype"/>
          <w:i/>
          <w:color w:val="000000"/>
          <w:sz w:val="22"/>
          <w:szCs w:val="22"/>
        </w:rPr>
        <w:t xml:space="preserve"> la responsabilidad de los funcionarios sobre su gestión pública</w:t>
      </w:r>
      <w:r w:rsidRPr="000F23D6">
        <w:rPr>
          <w:rFonts w:ascii="Palatino Linotype" w:eastAsia="Palatino Linotype" w:hAnsi="Palatino Linotype" w:cs="Palatino Linotype"/>
          <w:i/>
          <w:color w:val="000000"/>
          <w:sz w:val="22"/>
          <w:szCs w:val="22"/>
          <w:vertAlign w:val="superscript"/>
        </w:rPr>
        <w:footnoteReference w:id="5"/>
      </w:r>
      <w:r w:rsidRPr="000F23D6">
        <w:rPr>
          <w:rFonts w:ascii="Palatino Linotype" w:eastAsia="Palatino Linotype" w:hAnsi="Palatino Linotype" w:cs="Palatino Linotype"/>
          <w:i/>
          <w:color w:val="000000"/>
          <w:sz w:val="22"/>
          <w:szCs w:val="22"/>
        </w:rPr>
        <w:t xml:space="preserve"> </w:t>
      </w:r>
      <w:r w:rsidRPr="000F23D6">
        <w:rPr>
          <w:rFonts w:ascii="Palatino Linotype" w:eastAsia="Palatino Linotype" w:hAnsi="Palatino Linotype" w:cs="Palatino Linotype"/>
          <w:color w:val="000000"/>
          <w:sz w:val="22"/>
          <w:szCs w:val="22"/>
        </w:rPr>
        <w:t>que permite</w:t>
      </w:r>
      <w:r w:rsidRPr="000F23D6">
        <w:rPr>
          <w:rFonts w:ascii="Palatino Linotype" w:eastAsia="Palatino Linotype" w:hAnsi="Palatino Linotype" w:cs="Palatino Linotype"/>
          <w:i/>
          <w:color w:val="000000"/>
          <w:sz w:val="22"/>
          <w:szCs w:val="22"/>
        </w:rPr>
        <w:t xml:space="preserve"> saber qué están haciendo los gobiernos por sus pueblos, sin lo cual la verdad languidecería y la participación en el gobierno permanecería fragmentada.</w:t>
      </w:r>
      <w:r w:rsidRPr="000F23D6">
        <w:rPr>
          <w:rFonts w:ascii="Palatino Linotype" w:eastAsia="Palatino Linotype" w:hAnsi="Palatino Linotype" w:cs="Palatino Linotype"/>
          <w:i/>
          <w:color w:val="000000"/>
          <w:sz w:val="22"/>
          <w:szCs w:val="22"/>
          <w:vertAlign w:val="superscript"/>
        </w:rPr>
        <w:footnoteReference w:id="6"/>
      </w:r>
      <w:r w:rsidRPr="000F23D6">
        <w:rPr>
          <w:rFonts w:ascii="Palatino Linotype" w:eastAsia="Palatino Linotype" w:hAnsi="Palatino Linotype" w:cs="Palatino Linotype"/>
          <w:color w:val="000000"/>
          <w:sz w:val="22"/>
          <w:szCs w:val="22"/>
        </w:rPr>
        <w:t xml:space="preserve"> ” </w:t>
      </w:r>
    </w:p>
    <w:p w14:paraId="258443D8"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right="1"/>
        <w:jc w:val="both"/>
        <w:rPr>
          <w:rFonts w:ascii="Palatino Linotype" w:eastAsia="Palatino Linotype" w:hAnsi="Palatino Linotype" w:cs="Palatino Linotype"/>
          <w:color w:val="000000"/>
          <w:sz w:val="22"/>
          <w:szCs w:val="22"/>
        </w:rPr>
      </w:pPr>
    </w:p>
    <w:p w14:paraId="5E2B887D" w14:textId="77777777" w:rsidR="002F1788" w:rsidRPr="000F23D6" w:rsidRDefault="00131773">
      <w:pPr>
        <w:spacing w:line="360" w:lineRule="auto"/>
        <w:ind w:right="1"/>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Finalmente, se considera que los documentos que den cuenta de lo peticionado pudieran contar con datos o información clasificada, por lo que, deberá proporcionarlos en su caso, en versión pública; lo anterior, de conformidad con el artículo 3°, fracción XLV, relacionado con el 137, ambos de la Ley de Transparencia y Acceso a la Información Pública del Estado de México y Municipios, que precisa que cuando un documento contenga información pública y confidencial, la Unidad de Transparencia para efectos de atender al requerimiento informativo, deberá elaborar una versión Pública en la que se testen las partes o secciones </w:t>
      </w:r>
      <w:r w:rsidRPr="000F23D6">
        <w:rPr>
          <w:rFonts w:ascii="Palatino Linotype" w:eastAsia="Palatino Linotype" w:hAnsi="Palatino Linotype" w:cs="Palatino Linotype"/>
          <w:color w:val="000000"/>
          <w:sz w:val="22"/>
          <w:szCs w:val="22"/>
        </w:rPr>
        <w:lastRenderedPageBreak/>
        <w:t>clasificadas, indicando su contenido de manera genérica y fundando y motivando su clasificación.</w:t>
      </w:r>
    </w:p>
    <w:p w14:paraId="47200724" w14:textId="77777777" w:rsidR="002F1788" w:rsidRPr="000F23D6" w:rsidRDefault="002F1788">
      <w:pPr>
        <w:spacing w:line="360" w:lineRule="auto"/>
        <w:ind w:right="1"/>
        <w:jc w:val="both"/>
        <w:rPr>
          <w:rFonts w:ascii="Palatino Linotype" w:eastAsia="Palatino Linotype" w:hAnsi="Palatino Linotype" w:cs="Palatino Linotype"/>
          <w:color w:val="000000"/>
          <w:sz w:val="22"/>
          <w:szCs w:val="22"/>
        </w:rPr>
      </w:pPr>
    </w:p>
    <w:p w14:paraId="32BEC0DA" w14:textId="77777777" w:rsidR="002F1788" w:rsidRPr="000F23D6" w:rsidRDefault="00131773">
      <w:pPr>
        <w:spacing w:line="360" w:lineRule="auto"/>
        <w:ind w:right="1"/>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Para tal situación, el Sujeto Obligado deberá seguir el procedimiento establecido en el artículo 168 de dicho ordenamiento jurídico; esto es, que el área competente deberá elaborar la versión pública, así como emitir el Acuerdo, por parte del Comité de Transparencia, donde confirme la clasificación de los datos, fundando y motivando la clasificación.</w:t>
      </w:r>
    </w:p>
    <w:p w14:paraId="5AF93DB1"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sz w:val="22"/>
          <w:szCs w:val="22"/>
        </w:rPr>
      </w:pPr>
    </w:p>
    <w:p w14:paraId="26C0889E"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sz w:val="22"/>
          <w:szCs w:val="22"/>
        </w:rPr>
      </w:pPr>
      <w:r w:rsidRPr="000F23D6">
        <w:rPr>
          <w:rFonts w:ascii="Palatino Linotype" w:eastAsia="Palatino Linotype" w:hAnsi="Palatino Linotype" w:cs="Palatino Linotype"/>
          <w:color w:val="000000"/>
          <w:sz w:val="22"/>
          <w:szCs w:val="22"/>
        </w:rPr>
        <w:t>Asimismo,  cabe la posibilidad de que dentro de la información que se ordena, pudieran encontrarse oficios que contengan información que actualice alguna de las causales de reserva establecidas en el artículo 140 de la Ley de Transparencia y Acceso a la Información Pública del Estado de México y Municipios, concretamente  por lo que se refiere a las quejas y denuncias, que de haberse presentado y se encontraran en trámite a la fecha de la solicitud, actualizarían el supuesto establecido en la fracción VI, de precepto legal referido, en cuyo caso se deberá emitir un acuerdo que clasifique con tal carácter el documento, de conformidad con lo previsto en los artículos 49, fracciones II y VIII, 129, 132, 134, 141 y 142, de la misma Ley, así como en los Lineamientos Generales en materia de Clasificación y Desclasificación de la Información, así como para la elaboración de Versiones Públicas, para efectos de clasificar dicha información hasta en tanto no  se emita una resolución definitiva, cumpliendo con las formalidades anteriormente analizadas.</w:t>
      </w:r>
    </w:p>
    <w:p w14:paraId="4345DCA8"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sz w:val="22"/>
          <w:szCs w:val="22"/>
        </w:rPr>
      </w:pPr>
    </w:p>
    <w:p w14:paraId="6A2EE8E7"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sz w:val="22"/>
          <w:szCs w:val="22"/>
        </w:rPr>
      </w:pPr>
      <w:r w:rsidRPr="000F23D6">
        <w:rPr>
          <w:rFonts w:ascii="Palatino Linotype" w:eastAsia="Palatino Linotype" w:hAnsi="Palatino Linotype" w:cs="Palatino Linotype"/>
          <w:color w:val="000000"/>
          <w:sz w:val="22"/>
          <w:szCs w:val="22"/>
        </w:rPr>
        <w:t>Lo anterior, siempre y cuando no se relacionen los oficios con los supuestos previstos en el artículo 142 de la Ley de Transparencia Local, a saber:</w:t>
      </w:r>
    </w:p>
    <w:p w14:paraId="24A9D7E3" w14:textId="77777777" w:rsidR="002F1788" w:rsidRPr="000F23D6" w:rsidRDefault="002F1788">
      <w:pPr>
        <w:spacing w:before="280" w:after="280"/>
        <w:ind w:left="720"/>
        <w:rPr>
          <w:rFonts w:ascii="Palatino Linotype" w:eastAsia="Palatino Linotype" w:hAnsi="Palatino Linotype" w:cs="Palatino Linotype"/>
          <w:b/>
          <w:color w:val="000000"/>
          <w:sz w:val="22"/>
          <w:szCs w:val="22"/>
        </w:rPr>
      </w:pPr>
    </w:p>
    <w:p w14:paraId="22CBDD82" w14:textId="77777777" w:rsidR="002F1788" w:rsidRPr="000F23D6" w:rsidRDefault="00131773">
      <w:pPr>
        <w:pBdr>
          <w:top w:val="nil"/>
          <w:left w:val="nil"/>
          <w:bottom w:val="nil"/>
          <w:right w:val="nil"/>
          <w:between w:val="nil"/>
        </w:pBdr>
        <w:spacing w:after="160"/>
        <w:ind w:left="1134"/>
        <w:jc w:val="both"/>
        <w:rPr>
          <w:i/>
          <w:color w:val="000000"/>
          <w:sz w:val="22"/>
          <w:szCs w:val="22"/>
        </w:rPr>
      </w:pPr>
      <w:r w:rsidRPr="000F23D6">
        <w:rPr>
          <w:rFonts w:ascii="Palatino Linotype" w:eastAsia="Palatino Linotype" w:hAnsi="Palatino Linotype" w:cs="Palatino Linotype"/>
          <w:i/>
          <w:color w:val="000000"/>
          <w:sz w:val="22"/>
          <w:szCs w:val="22"/>
        </w:rPr>
        <w:t>“Artículo 142. Bajo ninguna circunstancia podrá invocarse el carácter de reservado cuando:</w:t>
      </w:r>
    </w:p>
    <w:p w14:paraId="01FD86FE" w14:textId="77777777" w:rsidR="002F1788" w:rsidRPr="000F23D6" w:rsidRDefault="00131773">
      <w:pPr>
        <w:pBdr>
          <w:top w:val="nil"/>
          <w:left w:val="nil"/>
          <w:bottom w:val="nil"/>
          <w:right w:val="nil"/>
          <w:between w:val="nil"/>
        </w:pBdr>
        <w:spacing w:after="160"/>
        <w:ind w:left="1134"/>
        <w:jc w:val="both"/>
        <w:rPr>
          <w:i/>
          <w:color w:val="000000"/>
          <w:sz w:val="22"/>
          <w:szCs w:val="22"/>
        </w:rPr>
      </w:pPr>
      <w:r w:rsidRPr="000F23D6">
        <w:rPr>
          <w:rFonts w:ascii="Palatino Linotype" w:eastAsia="Palatino Linotype" w:hAnsi="Palatino Linotype" w:cs="Palatino Linotype"/>
          <w:i/>
          <w:color w:val="000000"/>
          <w:sz w:val="22"/>
          <w:szCs w:val="22"/>
        </w:rPr>
        <w:t>I. Se trate de violaciones graves de derechos humanos, calificada así por autoridad competente;</w:t>
      </w:r>
    </w:p>
    <w:p w14:paraId="76306BAD" w14:textId="77777777" w:rsidR="002F1788" w:rsidRPr="000F23D6" w:rsidRDefault="00131773">
      <w:pPr>
        <w:pBdr>
          <w:top w:val="nil"/>
          <w:left w:val="nil"/>
          <w:bottom w:val="nil"/>
          <w:right w:val="nil"/>
          <w:between w:val="nil"/>
        </w:pBdr>
        <w:spacing w:after="160"/>
        <w:ind w:left="1134"/>
        <w:jc w:val="both"/>
        <w:rPr>
          <w:i/>
          <w:color w:val="000000"/>
          <w:sz w:val="22"/>
          <w:szCs w:val="22"/>
        </w:rPr>
      </w:pPr>
      <w:r w:rsidRPr="000F23D6">
        <w:rPr>
          <w:rFonts w:ascii="Palatino Linotype" w:eastAsia="Palatino Linotype" w:hAnsi="Palatino Linotype" w:cs="Palatino Linotype"/>
          <w:i/>
          <w:color w:val="000000"/>
          <w:sz w:val="22"/>
          <w:szCs w:val="22"/>
        </w:rPr>
        <w:t>II. Se trate de la investigación de posibles violaciones graves de derechos humanos aun cuando no exista pronunciamiento previo de autoridad competente, cuando se determine, a partir de criterios cuantitativos y cualitativos la trascendencia social de las violaciones;</w:t>
      </w:r>
    </w:p>
    <w:p w14:paraId="3A9FCEE6" w14:textId="77777777" w:rsidR="002F1788" w:rsidRPr="000F23D6" w:rsidRDefault="00131773">
      <w:pPr>
        <w:pBdr>
          <w:top w:val="nil"/>
          <w:left w:val="nil"/>
          <w:bottom w:val="nil"/>
          <w:right w:val="nil"/>
          <w:between w:val="nil"/>
        </w:pBdr>
        <w:spacing w:after="160"/>
        <w:ind w:left="1134"/>
        <w:jc w:val="both"/>
        <w:rPr>
          <w:i/>
          <w:color w:val="000000"/>
          <w:sz w:val="22"/>
          <w:szCs w:val="22"/>
        </w:rPr>
      </w:pPr>
      <w:r w:rsidRPr="000F23D6">
        <w:rPr>
          <w:rFonts w:ascii="Palatino Linotype" w:eastAsia="Palatino Linotype" w:hAnsi="Palatino Linotype" w:cs="Palatino Linotype"/>
          <w:i/>
          <w:color w:val="000000"/>
          <w:sz w:val="22"/>
          <w:szCs w:val="22"/>
        </w:rPr>
        <w:t>III. Se trate de delitos de lesa humanidad conforme a los tratados ratificados por el Senado de la República, las resoluciones emitidas por organismos internacionales cuya competencia sea reconocida por el Estado Mexicano, así como en las disposiciones jurídicas aplicables; y</w:t>
      </w:r>
    </w:p>
    <w:p w14:paraId="1FD1327C" w14:textId="77777777" w:rsidR="002F1788" w:rsidRPr="000F23D6" w:rsidRDefault="00131773">
      <w:pPr>
        <w:pBdr>
          <w:top w:val="nil"/>
          <w:left w:val="nil"/>
          <w:bottom w:val="nil"/>
          <w:right w:val="nil"/>
          <w:between w:val="nil"/>
        </w:pBdr>
        <w:spacing w:after="160"/>
        <w:ind w:left="1134"/>
        <w:jc w:val="both"/>
        <w:rPr>
          <w:i/>
          <w:color w:val="000000"/>
          <w:sz w:val="22"/>
          <w:szCs w:val="22"/>
        </w:rPr>
      </w:pPr>
      <w:r w:rsidRPr="000F23D6">
        <w:rPr>
          <w:rFonts w:ascii="Palatino Linotype" w:eastAsia="Palatino Linotype" w:hAnsi="Palatino Linotype" w:cs="Palatino Linotype"/>
          <w:i/>
          <w:color w:val="000000"/>
          <w:sz w:val="22"/>
          <w:szCs w:val="22"/>
        </w:rPr>
        <w:t>IV. Se trate de información relacionada con actos de corrupción de conformidad con las disposiciones jurídicas aplicables.</w:t>
      </w:r>
    </w:p>
    <w:p w14:paraId="378A8C39"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sz w:val="22"/>
          <w:szCs w:val="22"/>
        </w:rPr>
      </w:pPr>
    </w:p>
    <w:p w14:paraId="593243FE"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sz w:val="22"/>
          <w:szCs w:val="22"/>
        </w:rPr>
      </w:pPr>
      <w:r w:rsidRPr="000F23D6">
        <w:rPr>
          <w:rFonts w:ascii="Palatino Linotype" w:eastAsia="Palatino Linotype" w:hAnsi="Palatino Linotype" w:cs="Palatino Linotype"/>
          <w:color w:val="000000"/>
          <w:sz w:val="22"/>
          <w:szCs w:val="22"/>
        </w:rPr>
        <w:t>Para el caso de que existan oficios cancelados, EL SUJETO OBLIGADO deberá de hacerlo del conocimiento de LA PARTE RECURRENTE, en términos del párrafo segundo del artículo 19 de la Ley de Transparencia y Acceso a la Información Pública del Estado de México y Municipios.</w:t>
      </w:r>
    </w:p>
    <w:p w14:paraId="78674694" w14:textId="77777777" w:rsidR="002F1788" w:rsidRPr="000F23D6" w:rsidRDefault="00131773">
      <w:pPr>
        <w:pStyle w:val="Ttulo1"/>
        <w:keepNext w:val="0"/>
        <w:keepLines w:val="0"/>
        <w:rPr>
          <w:sz w:val="22"/>
          <w:szCs w:val="22"/>
        </w:rPr>
      </w:pPr>
      <w:r w:rsidRPr="000F23D6">
        <w:rPr>
          <w:rFonts w:ascii="Palatino Linotype" w:eastAsia="Palatino Linotype" w:hAnsi="Palatino Linotype" w:cs="Palatino Linotype"/>
          <w:b/>
          <w:color w:val="000000"/>
          <w:sz w:val="22"/>
          <w:szCs w:val="22"/>
        </w:rPr>
        <w:t>QUINTO. De la versión pública.</w:t>
      </w:r>
    </w:p>
    <w:p w14:paraId="2D0B9DC5" w14:textId="77777777" w:rsidR="002F1788" w:rsidRPr="000F23D6" w:rsidRDefault="002F1788">
      <w:pPr>
        <w:rPr>
          <w:sz w:val="22"/>
          <w:szCs w:val="22"/>
        </w:rPr>
      </w:pPr>
    </w:p>
    <w:p w14:paraId="31B047BD" w14:textId="77777777" w:rsidR="002F1788" w:rsidRPr="000F23D6" w:rsidRDefault="00131773">
      <w:pPr>
        <w:pStyle w:val="Ttulo1"/>
        <w:keepNext w:val="0"/>
        <w:keepLines w:val="0"/>
        <w:spacing w:before="0"/>
        <w:ind w:left="720"/>
        <w:rPr>
          <w:sz w:val="22"/>
          <w:szCs w:val="22"/>
        </w:rPr>
      </w:pPr>
      <w:r w:rsidRPr="000F23D6">
        <w:rPr>
          <w:rFonts w:ascii="Palatino Linotype" w:eastAsia="Palatino Linotype" w:hAnsi="Palatino Linotype" w:cs="Palatino Linotype"/>
          <w:b/>
          <w:color w:val="000000"/>
          <w:sz w:val="22"/>
          <w:szCs w:val="22"/>
        </w:rPr>
        <w:t>I. Nociones generales. </w:t>
      </w:r>
    </w:p>
    <w:p w14:paraId="52BCE7D7"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sz w:val="22"/>
          <w:szCs w:val="22"/>
        </w:rPr>
      </w:pPr>
    </w:p>
    <w:p w14:paraId="3416F634"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sz w:val="22"/>
          <w:szCs w:val="22"/>
        </w:rPr>
      </w:pPr>
      <w:r w:rsidRPr="000F23D6">
        <w:rPr>
          <w:rFonts w:ascii="Palatino Linotype" w:eastAsia="Palatino Linotype" w:hAnsi="Palatino Linotype" w:cs="Palatino Linotype"/>
          <w:color w:val="000000"/>
          <w:sz w:val="22"/>
          <w:szCs w:val="22"/>
        </w:rPr>
        <w:t>Debe destacarse que, debido a la naturaleza de la información solicitada</w:t>
      </w:r>
      <w:r w:rsidRPr="000F23D6">
        <w:rPr>
          <w:rFonts w:ascii="Palatino Linotype" w:eastAsia="Palatino Linotype" w:hAnsi="Palatino Linotype" w:cs="Palatino Linotype"/>
          <w:b/>
          <w:color w:val="000000"/>
          <w:sz w:val="22"/>
          <w:szCs w:val="22"/>
        </w:rPr>
        <w:t xml:space="preserve">, </w:t>
      </w:r>
      <w:r w:rsidRPr="000F23D6">
        <w:rPr>
          <w:rFonts w:ascii="Palatino Linotype" w:eastAsia="Palatino Linotype" w:hAnsi="Palatino Linotype" w:cs="Palatino Linotype"/>
          <w:color w:val="000000"/>
          <w:sz w:val="22"/>
          <w:szCs w:val="22"/>
        </w:rPr>
        <w:t xml:space="preserve">eventualmente pudiera obrar datos personales susceptibles de protegerse, así como información susceptible de clasificarse como reservada, el </w:t>
      </w:r>
      <w:r w:rsidRPr="000F23D6">
        <w:rPr>
          <w:rFonts w:ascii="Palatino Linotype" w:eastAsia="Palatino Linotype" w:hAnsi="Palatino Linotype" w:cs="Palatino Linotype"/>
          <w:b/>
          <w:color w:val="000000"/>
          <w:sz w:val="22"/>
          <w:szCs w:val="22"/>
        </w:rPr>
        <w:t xml:space="preserve">SUJETO OBLIGADO </w:t>
      </w:r>
      <w:r w:rsidRPr="000F23D6">
        <w:rPr>
          <w:rFonts w:ascii="Palatino Linotype" w:eastAsia="Palatino Linotype" w:hAnsi="Palatino Linotype" w:cs="Palatino Linotype"/>
          <w:color w:val="000000"/>
          <w:sz w:val="22"/>
          <w:szCs w:val="22"/>
        </w:rPr>
        <w:t xml:space="preserve">deberá de </w:t>
      </w:r>
      <w:r w:rsidRPr="000F23D6">
        <w:rPr>
          <w:rFonts w:ascii="Palatino Linotype" w:eastAsia="Palatino Linotype" w:hAnsi="Palatino Linotype" w:cs="Palatino Linotype"/>
          <w:color w:val="000000"/>
          <w:sz w:val="22"/>
          <w:szCs w:val="22"/>
        </w:rPr>
        <w:lastRenderedPageBreak/>
        <w:t>hacer la adecuada versión pública, protegiendo los datos que no son susceptibles de ser proporcionados. </w:t>
      </w:r>
    </w:p>
    <w:p w14:paraId="6FEFED39"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sz w:val="22"/>
          <w:szCs w:val="22"/>
        </w:rPr>
      </w:pPr>
    </w:p>
    <w:p w14:paraId="626C96B8"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sz w:val="22"/>
          <w:szCs w:val="22"/>
        </w:rPr>
      </w:pPr>
      <w:r w:rsidRPr="000F23D6">
        <w:rPr>
          <w:rFonts w:ascii="Palatino Linotype" w:eastAsia="Palatino Linotype" w:hAnsi="Palatino Linotype" w:cs="Palatino Linotype"/>
          <w:color w:val="000000"/>
          <w:sz w:val="22"/>
          <w:szCs w:val="22"/>
        </w:rPr>
        <w:t xml:space="preserve">No pasa desapercibido para este Órgano Garante que los </w:t>
      </w:r>
      <w:r w:rsidRPr="000F23D6">
        <w:rPr>
          <w:rFonts w:ascii="Palatino Linotype" w:eastAsia="Palatino Linotype" w:hAnsi="Palatino Linotype" w:cs="Palatino Linotype"/>
          <w:b/>
          <w:color w:val="000000"/>
          <w:sz w:val="22"/>
          <w:szCs w:val="22"/>
        </w:rPr>
        <w:t xml:space="preserve">Sujetos Obligados </w:t>
      </w:r>
      <w:r w:rsidRPr="000F23D6">
        <w:rPr>
          <w:rFonts w:ascii="Palatino Linotype" w:eastAsia="Palatino Linotype" w:hAnsi="Palatino Linotype" w:cs="Palatino Linotype"/>
          <w:color w:val="000000"/>
          <w:sz w:val="22"/>
          <w:szCs w:val="22"/>
        </w:rPr>
        <w:t>serán responsables de los datos personales en su posesión y que, en caso de localizarse datos concernientes a terceros, éstos no podrán difundir, distribuir o comercializar los datos personales.  Cabe destacar que, para la realización de la clasificación de la información, se deben seguir una serie de pasos y procedimientos, por lo que es menester reiterar los mismos:</w:t>
      </w:r>
    </w:p>
    <w:p w14:paraId="7ADF0A26" w14:textId="77777777" w:rsidR="002F1788" w:rsidRPr="000F23D6" w:rsidRDefault="002F1788">
      <w:pPr>
        <w:rPr>
          <w:sz w:val="22"/>
          <w:szCs w:val="22"/>
        </w:rPr>
      </w:pPr>
    </w:p>
    <w:tbl>
      <w:tblPr>
        <w:tblStyle w:val="a4"/>
        <w:tblW w:w="9274" w:type="dxa"/>
        <w:tblInd w:w="0" w:type="dxa"/>
        <w:tblBorders>
          <w:top w:val="nil"/>
          <w:left w:val="nil"/>
          <w:bottom w:val="nil"/>
          <w:right w:val="nil"/>
          <w:insideH w:val="nil"/>
          <w:insideV w:val="nil"/>
        </w:tblBorders>
        <w:tblLayout w:type="fixed"/>
        <w:tblLook w:val="0000" w:firstRow="0" w:lastRow="0" w:firstColumn="0" w:lastColumn="0" w:noHBand="0" w:noVBand="0"/>
      </w:tblPr>
      <w:tblGrid>
        <w:gridCol w:w="2651"/>
        <w:gridCol w:w="6623"/>
      </w:tblGrid>
      <w:tr w:rsidR="002F1788" w:rsidRPr="000F23D6" w14:paraId="2680F2E5" w14:textId="77777777">
        <w:tc>
          <w:tcPr>
            <w:tcW w:w="265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99556EE" w14:textId="77777777" w:rsidR="002F1788" w:rsidRPr="000F23D6" w:rsidRDefault="00131773">
            <w:pPr>
              <w:pBdr>
                <w:top w:val="nil"/>
                <w:left w:val="nil"/>
                <w:bottom w:val="nil"/>
                <w:right w:val="nil"/>
                <w:between w:val="nil"/>
              </w:pBdr>
              <w:rPr>
                <w:color w:val="000000"/>
                <w:sz w:val="22"/>
                <w:szCs w:val="22"/>
              </w:rPr>
            </w:pPr>
            <w:r w:rsidRPr="000F23D6">
              <w:rPr>
                <w:rFonts w:ascii="Palatino Linotype" w:eastAsia="Palatino Linotype" w:hAnsi="Palatino Linotype" w:cs="Palatino Linotype"/>
                <w:color w:val="000000"/>
                <w:sz w:val="22"/>
                <w:szCs w:val="22"/>
              </w:rPr>
              <w:t>a) Requisitos previos.</w:t>
            </w:r>
          </w:p>
        </w:tc>
        <w:tc>
          <w:tcPr>
            <w:tcW w:w="662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134BD81"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t xml:space="preserve">Los artículos 100 y 122 de la Ley Estatal y de la Ley General, respectivamente, señalan </w:t>
            </w:r>
            <w:proofErr w:type="gramStart"/>
            <w:r w:rsidRPr="000F23D6">
              <w:rPr>
                <w:rFonts w:ascii="Palatino Linotype" w:eastAsia="Palatino Linotype" w:hAnsi="Palatino Linotype" w:cs="Palatino Linotype"/>
                <w:color w:val="000000"/>
                <w:sz w:val="22"/>
                <w:szCs w:val="22"/>
              </w:rPr>
              <w:t>que</w:t>
            </w:r>
            <w:proofErr w:type="gramEnd"/>
            <w:r w:rsidRPr="000F23D6">
              <w:rPr>
                <w:rFonts w:ascii="Palatino Linotype" w:eastAsia="Palatino Linotype" w:hAnsi="Palatino Linotype" w:cs="Palatino Linotype"/>
                <w:color w:val="000000"/>
                <w:sz w:val="22"/>
                <w:szCs w:val="22"/>
              </w:rPr>
              <w:t xml:space="preserve"> si los Sujetos Obligados determinan que la información actualiza alguno de los supuestos de clasificación, es deber de los titulares de las áreas propone su clasificación y no del Comité de Transparencia. </w:t>
            </w:r>
          </w:p>
          <w:p w14:paraId="6F56DDEB"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t>Al hacerlo tienen que precisar de qué información se trata, señalando el supuesto de clasificación (confidencialidad o reserva).</w:t>
            </w:r>
          </w:p>
          <w:p w14:paraId="728C7B53"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t>Además, se debe señalar el procedimiento, de los tres que establecen los artículos 132 y 106 de la Ley Estatal y General, respectivamente.</w:t>
            </w:r>
          </w:p>
          <w:p w14:paraId="12642234" w14:textId="77777777" w:rsidR="002F1788" w:rsidRPr="000F23D6" w:rsidRDefault="00131773">
            <w:pPr>
              <w:pBdr>
                <w:top w:val="nil"/>
                <w:left w:val="nil"/>
                <w:bottom w:val="nil"/>
                <w:right w:val="nil"/>
                <w:between w:val="nil"/>
              </w:pBdr>
              <w:jc w:val="both"/>
              <w:rPr>
                <w:color w:val="000000"/>
                <w:sz w:val="22"/>
                <w:szCs w:val="22"/>
              </w:rPr>
            </w:pPr>
            <w:r w:rsidRPr="000F23D6">
              <w:rPr>
                <w:rFonts w:ascii="Palatino Linotype" w:eastAsia="Palatino Linotype" w:hAnsi="Palatino Linotype" w:cs="Palatino Linotype"/>
                <w:color w:val="000000"/>
                <w:sz w:val="22"/>
                <w:szCs w:val="22"/>
              </w:rPr>
              <w:t xml:space="preserve">El último de estos requisitos previos consiste en que no se pueden emitir acuerdos de carácter general ni particular, esto es, </w:t>
            </w:r>
            <w:r w:rsidRPr="000F23D6">
              <w:rPr>
                <w:rFonts w:ascii="Palatino Linotype" w:eastAsia="Palatino Linotype" w:hAnsi="Palatino Linotype" w:cs="Palatino Linotype"/>
                <w:color w:val="000000"/>
                <w:sz w:val="22"/>
                <w:szCs w:val="22"/>
                <w:u w:val="single"/>
              </w:rPr>
              <w:t>no se puede hacer un acuerdo para clasificar de manera general todos los documentos de un expediente o área, sin</w:t>
            </w:r>
            <w:r w:rsidRPr="000F23D6">
              <w:rPr>
                <w:rFonts w:ascii="Palatino Linotype" w:eastAsia="Palatino Linotype" w:hAnsi="Palatino Linotype" w:cs="Palatino Linotype"/>
                <w:color w:val="000000"/>
                <w:sz w:val="22"/>
                <w:szCs w:val="22"/>
              </w:rPr>
              <w:t xml:space="preserve"> individualizar su análisis y tampoco se puede hacer un acuerdo por cada dato que se vaya a clasificar dentro de un documento con diez datos, por ejemplo, susceptibles de ser clasificados.</w:t>
            </w:r>
          </w:p>
        </w:tc>
      </w:tr>
      <w:tr w:rsidR="002F1788" w:rsidRPr="000F23D6" w14:paraId="2CDB90A7" w14:textId="77777777">
        <w:tc>
          <w:tcPr>
            <w:tcW w:w="265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BF2F20A" w14:textId="77777777" w:rsidR="002F1788" w:rsidRPr="000F23D6" w:rsidRDefault="00131773">
            <w:pPr>
              <w:pBdr>
                <w:top w:val="nil"/>
                <w:left w:val="nil"/>
                <w:bottom w:val="nil"/>
                <w:right w:val="nil"/>
                <w:between w:val="nil"/>
              </w:pBdr>
              <w:rPr>
                <w:color w:val="000000"/>
                <w:sz w:val="22"/>
                <w:szCs w:val="22"/>
              </w:rPr>
            </w:pPr>
            <w:r w:rsidRPr="000F23D6">
              <w:rPr>
                <w:rFonts w:ascii="Palatino Linotype" w:eastAsia="Palatino Linotype" w:hAnsi="Palatino Linotype" w:cs="Palatino Linotype"/>
                <w:color w:val="000000"/>
                <w:sz w:val="22"/>
                <w:szCs w:val="22"/>
              </w:rPr>
              <w:t>b) Supuestos de clasificación.</w:t>
            </w:r>
          </w:p>
        </w:tc>
        <w:tc>
          <w:tcPr>
            <w:tcW w:w="662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23C41F8"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t>Las disposiciones constitucionales y legales en la materia establecen los dos supuestos generales para clasificar la información: por reserva y por confidencialidad.</w:t>
            </w:r>
          </w:p>
          <w:p w14:paraId="0CBBCD38"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lastRenderedPageBreak/>
              <w:t>Los artículos 116 y 143 de la Ley Estatal y de la Ley General, respectivamente, señalan los supuestos para que la información pueda ser clasificada como confidencial. Mientras que los artículos 105 y 130 de la Ley Estatal y de la Ley General, respectivamente, señalan que la aplicación de estos supuestos debe realizarse de manera restrictiva y limitada, por lo que debe acreditarse que se cumple con esta condición y no se pueden ampliar las excepciones o supuestos de clasificación aduciendo analogía o mayoría de razón.</w:t>
            </w:r>
          </w:p>
          <w:p w14:paraId="1BBC9638" w14:textId="77777777" w:rsidR="002F1788" w:rsidRPr="000F23D6" w:rsidRDefault="00131773">
            <w:pPr>
              <w:pBdr>
                <w:top w:val="nil"/>
                <w:left w:val="nil"/>
                <w:bottom w:val="nil"/>
                <w:right w:val="nil"/>
                <w:between w:val="nil"/>
              </w:pBdr>
              <w:jc w:val="both"/>
              <w:rPr>
                <w:color w:val="000000"/>
                <w:sz w:val="22"/>
                <w:szCs w:val="22"/>
              </w:rPr>
            </w:pPr>
            <w:r w:rsidRPr="000F23D6">
              <w:rPr>
                <w:rFonts w:ascii="Palatino Linotype" w:eastAsia="Palatino Linotype" w:hAnsi="Palatino Linotype" w:cs="Palatino Linotype"/>
                <w:color w:val="000000"/>
                <w:sz w:val="22"/>
                <w:szCs w:val="22"/>
              </w:rPr>
              <w:t xml:space="preserve">El </w:t>
            </w:r>
            <w:r w:rsidRPr="000F23D6">
              <w:rPr>
                <w:rFonts w:ascii="Palatino Linotype" w:eastAsia="Palatino Linotype" w:hAnsi="Palatino Linotype" w:cs="Palatino Linotype"/>
                <w:b/>
                <w:color w:val="000000"/>
                <w:sz w:val="22"/>
                <w:szCs w:val="22"/>
              </w:rPr>
              <w:t>Sujeto Obligado</w:t>
            </w:r>
            <w:r w:rsidRPr="000F23D6">
              <w:rPr>
                <w:rFonts w:ascii="Palatino Linotype" w:eastAsia="Palatino Linotype" w:hAnsi="Palatino Linotype" w:cs="Palatino Linotype"/>
                <w:color w:val="000000"/>
                <w:sz w:val="22"/>
                <w:szCs w:val="22"/>
              </w:rPr>
              <w:t xml:space="preserve"> debe identificar claramente el tipo de información y hacer un juicio de subsunción o encaje para acreditar que el supuesto de hecho corresponde estrictamente con la hipótesis jurídica. Esto también lo debe de realizar el servidor público habilitado y el titular del área que administra la información.</w:t>
            </w:r>
          </w:p>
        </w:tc>
      </w:tr>
      <w:tr w:rsidR="002F1788" w:rsidRPr="000F23D6" w14:paraId="49D7D7E0" w14:textId="77777777">
        <w:tc>
          <w:tcPr>
            <w:tcW w:w="265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E4913E2" w14:textId="77777777" w:rsidR="002F1788" w:rsidRPr="000F23D6" w:rsidRDefault="00131773">
            <w:pPr>
              <w:pBdr>
                <w:top w:val="nil"/>
                <w:left w:val="nil"/>
                <w:bottom w:val="nil"/>
                <w:right w:val="nil"/>
                <w:between w:val="nil"/>
              </w:pBdr>
              <w:rPr>
                <w:color w:val="000000"/>
                <w:sz w:val="22"/>
                <w:szCs w:val="22"/>
              </w:rPr>
            </w:pPr>
            <w:r w:rsidRPr="000F23D6">
              <w:rPr>
                <w:rFonts w:ascii="Palatino Linotype" w:eastAsia="Palatino Linotype" w:hAnsi="Palatino Linotype" w:cs="Palatino Linotype"/>
                <w:color w:val="000000"/>
                <w:sz w:val="22"/>
                <w:szCs w:val="22"/>
              </w:rPr>
              <w:lastRenderedPageBreak/>
              <w:t>c) Formalidades para emitir el acuerdo de clasificación.</w:t>
            </w:r>
          </w:p>
        </w:tc>
        <w:tc>
          <w:tcPr>
            <w:tcW w:w="662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48CAE4D"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t>El Comité de Transparencia, según lo dispuesto en los artículos cuenta con las facultades para aprobar, modificar o revocar la clasificación de la información que haya propuesto. </w:t>
            </w:r>
          </w:p>
          <w:p w14:paraId="34079AB6"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t xml:space="preserve">Es necesario que </w:t>
            </w:r>
            <w:r w:rsidRPr="000F23D6">
              <w:rPr>
                <w:rFonts w:ascii="Palatino Linotype" w:eastAsia="Palatino Linotype" w:hAnsi="Palatino Linotype" w:cs="Palatino Linotype"/>
                <w:b/>
                <w:color w:val="000000"/>
                <w:sz w:val="22"/>
                <w:szCs w:val="22"/>
                <w:u w:val="single"/>
              </w:rPr>
              <w:t>el acto reúna con los requisitos elementales</w:t>
            </w:r>
            <w:r w:rsidRPr="000F23D6">
              <w:rPr>
                <w:rFonts w:ascii="Palatino Linotype" w:eastAsia="Palatino Linotype" w:hAnsi="Palatino Linotype" w:cs="Palatino Linotype"/>
                <w:color w:val="000000"/>
                <w:sz w:val="22"/>
                <w:szCs w:val="22"/>
              </w:rPr>
              <w:t>, entre ellos, que la autoridad que va a emitir el acto de autoridad sea la legalmente facultada para ello.</w:t>
            </w:r>
          </w:p>
          <w:p w14:paraId="22C710AF" w14:textId="77777777" w:rsidR="002F1788" w:rsidRPr="000F23D6" w:rsidRDefault="00131773">
            <w:pPr>
              <w:pBdr>
                <w:top w:val="nil"/>
                <w:left w:val="nil"/>
                <w:bottom w:val="nil"/>
                <w:right w:val="nil"/>
                <w:between w:val="nil"/>
              </w:pBdr>
              <w:jc w:val="both"/>
              <w:rPr>
                <w:color w:val="000000"/>
                <w:sz w:val="22"/>
                <w:szCs w:val="22"/>
              </w:rPr>
            </w:pPr>
            <w:r w:rsidRPr="000F23D6">
              <w:rPr>
                <w:rFonts w:ascii="Palatino Linotype" w:eastAsia="Palatino Linotype" w:hAnsi="Palatino Linotype" w:cs="Palatino Linotype"/>
                <w:color w:val="000000"/>
                <w:sz w:val="22"/>
                <w:szCs w:val="22"/>
              </w:rPr>
              <w:t>La decisión de aprobar, modificar o revocar la clasificación deberá de asentarse en un documento que registre la determinación a la que se llegue después de un análisis minucioso a partir de lo propuesto por el Titular del I. área que administra la información, cuyo análisis debe integrarse en la agenda de los asuntos a tratar en las sesiones, se insiste, a partir de las decisiones adoptadas previamente por los titulares de áreas y que son sujetas a control, en primera instancia, por el Comité de Transparencia.</w:t>
            </w:r>
          </w:p>
        </w:tc>
      </w:tr>
      <w:tr w:rsidR="002F1788" w:rsidRPr="000F23D6" w14:paraId="0D104022" w14:textId="77777777">
        <w:tc>
          <w:tcPr>
            <w:tcW w:w="265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8817F18" w14:textId="77777777" w:rsidR="002F1788" w:rsidRPr="000F23D6" w:rsidRDefault="002F1788">
            <w:pPr>
              <w:rPr>
                <w:sz w:val="22"/>
                <w:szCs w:val="22"/>
              </w:rPr>
            </w:pPr>
          </w:p>
          <w:p w14:paraId="1AF5A9F1" w14:textId="77777777" w:rsidR="002F1788" w:rsidRPr="000F23D6" w:rsidRDefault="00131773">
            <w:pPr>
              <w:pBdr>
                <w:top w:val="nil"/>
                <w:left w:val="nil"/>
                <w:bottom w:val="nil"/>
                <w:right w:val="nil"/>
                <w:between w:val="nil"/>
              </w:pBdr>
              <w:jc w:val="both"/>
              <w:rPr>
                <w:color w:val="000000"/>
                <w:sz w:val="22"/>
                <w:szCs w:val="22"/>
              </w:rPr>
            </w:pPr>
            <w:r w:rsidRPr="000F23D6">
              <w:rPr>
                <w:rFonts w:ascii="Palatino Linotype" w:eastAsia="Palatino Linotype" w:hAnsi="Palatino Linotype" w:cs="Palatino Linotype"/>
                <w:color w:val="000000"/>
                <w:sz w:val="22"/>
                <w:szCs w:val="22"/>
              </w:rPr>
              <w:t>d) Requisitos de fondo del acuerdo de clasificación. </w:t>
            </w:r>
          </w:p>
        </w:tc>
        <w:tc>
          <w:tcPr>
            <w:tcW w:w="662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D853D85"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t xml:space="preserve">Como se ha señalado antes, al hacer el juicio de subsunción o encaje entre el supuesto de hecho y la hipótesis jurídica, se debe acreditar la estricta correspondencia entre un elemento y otro. Ahora, en esta parte del procedimiento, que se desahoga en sede del Comité de Transparencia, la ley señala que la carga de la </w:t>
            </w:r>
            <w:r w:rsidRPr="000F23D6">
              <w:rPr>
                <w:rFonts w:ascii="Palatino Linotype" w:eastAsia="Palatino Linotype" w:hAnsi="Palatino Linotype" w:cs="Palatino Linotype"/>
                <w:color w:val="000000"/>
                <w:sz w:val="22"/>
                <w:szCs w:val="22"/>
              </w:rPr>
              <w:lastRenderedPageBreak/>
              <w:t xml:space="preserve">prueba, para justificar las restricciones, corresponde a los </w:t>
            </w:r>
            <w:r w:rsidRPr="000F23D6">
              <w:rPr>
                <w:rFonts w:ascii="Palatino Linotype" w:eastAsia="Palatino Linotype" w:hAnsi="Palatino Linotype" w:cs="Palatino Linotype"/>
                <w:b/>
                <w:color w:val="000000"/>
                <w:sz w:val="22"/>
                <w:szCs w:val="22"/>
              </w:rPr>
              <w:t>Sujetos Obligados</w:t>
            </w:r>
            <w:r w:rsidRPr="000F23D6">
              <w:rPr>
                <w:rFonts w:ascii="Palatino Linotype" w:eastAsia="Palatino Linotype" w:hAnsi="Palatino Linotype" w:cs="Palatino Linotype"/>
                <w:color w:val="000000"/>
                <w:sz w:val="22"/>
                <w:szCs w:val="22"/>
              </w:rPr>
              <w:t>, por lo que deberán fundar y motivar debidamente la clasificación. </w:t>
            </w:r>
          </w:p>
          <w:p w14:paraId="5B95EF48"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t xml:space="preserve">De lo anterior, se desprende </w:t>
            </w:r>
            <w:proofErr w:type="gramStart"/>
            <w:r w:rsidRPr="000F23D6">
              <w:rPr>
                <w:rFonts w:ascii="Palatino Linotype" w:eastAsia="Palatino Linotype" w:hAnsi="Palatino Linotype" w:cs="Palatino Linotype"/>
                <w:color w:val="000000"/>
                <w:sz w:val="22"/>
                <w:szCs w:val="22"/>
              </w:rPr>
              <w:t>que</w:t>
            </w:r>
            <w:proofErr w:type="gramEnd"/>
            <w:r w:rsidRPr="000F23D6">
              <w:rPr>
                <w:rFonts w:ascii="Palatino Linotype" w:eastAsia="Palatino Linotype" w:hAnsi="Palatino Linotype" w:cs="Palatino Linotype"/>
                <w:color w:val="000000"/>
                <w:sz w:val="22"/>
                <w:szCs w:val="22"/>
              </w:rPr>
              <w:t xml:space="preserve"> para una correcta </w:t>
            </w:r>
            <w:r w:rsidRPr="000F23D6">
              <w:rPr>
                <w:rFonts w:ascii="Palatino Linotype" w:eastAsia="Palatino Linotype" w:hAnsi="Palatino Linotype" w:cs="Palatino Linotype"/>
                <w:b/>
                <w:color w:val="000000"/>
                <w:sz w:val="22"/>
                <w:szCs w:val="22"/>
              </w:rPr>
              <w:t>clasificación total o parcial</w:t>
            </w:r>
            <w:r w:rsidRPr="000F23D6">
              <w:rPr>
                <w:rFonts w:ascii="Palatino Linotype" w:eastAsia="Palatino Linotype" w:hAnsi="Palatino Linotype" w:cs="Palatino Linotype"/>
                <w:color w:val="000000"/>
                <w:sz w:val="22"/>
                <w:szCs w:val="22"/>
              </w:rPr>
              <w:t>, esto es determinar los datos que se suprimen en las versiones públicas, es necesario fundar y motivar, de manera correcta, la clasificación; considerando que todo acto que la autoridad pronuncie en el ejercicio de sus atribuciones, debe expresar los fundamentos legales que le dieron origen y las razones por las que se deben aplicar al caso concreto.</w:t>
            </w:r>
          </w:p>
          <w:p w14:paraId="22098070"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t>Así, en un acto de autoridad se cumple con la debida fundamentación cuando se cita el precepto legal aplicable al caso concreto y la debida motivación cuando se expresan las razones, motivos o circunstancias que tomó en cuenta la autoridad para adecuar el hecho a los fundamentos de derecho. De este modo, la persona que se sienta afectada pueda impugnar la decisión, permitiéndole una real y auténtica defensa.</w:t>
            </w:r>
          </w:p>
          <w:p w14:paraId="61911603"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t>En ese mismo sentido, el numeral trigésimo tercero fracción V de los Lineamientos Generales, precisa que para motivar la clasificación se deben acreditar las circunstancias de tiempo, modo y lugar.</w:t>
            </w:r>
          </w:p>
          <w:p w14:paraId="16065C51"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t xml:space="preserve">Ahora bien, </w:t>
            </w:r>
            <w:r w:rsidRPr="000F23D6">
              <w:rPr>
                <w:rFonts w:ascii="Palatino Linotype" w:eastAsia="Palatino Linotype" w:hAnsi="Palatino Linotype" w:cs="Palatino Linotype"/>
                <w:b/>
                <w:color w:val="000000"/>
                <w:sz w:val="22"/>
                <w:szCs w:val="22"/>
                <w:u w:val="single"/>
              </w:rPr>
              <w:t>para cada caso además de fundar y motivar</w:t>
            </w:r>
            <w:r w:rsidRPr="000F23D6">
              <w:rPr>
                <w:rFonts w:ascii="Palatino Linotype" w:eastAsia="Palatino Linotype" w:hAnsi="Palatino Linotype" w:cs="Palatino Linotype"/>
                <w:color w:val="000000"/>
                <w:sz w:val="22"/>
                <w:szCs w:val="22"/>
              </w:rPr>
              <w:t>, se debe identificar con claridad que datos contenidos en las documentales que son susceptibles de suprimirse, por ejemplo; Clave Única de Registro de Población (CURP), Registro Federal de Contribuyentes (R.F.C.), claves de seguros, préstamos o descuentos personales, secretos bancario, fiduciario, industrial, comercial, fiscal, bursátil y postal, cuya titularidad corresponda a particulares, entre otros.</w:t>
            </w:r>
          </w:p>
        </w:tc>
      </w:tr>
      <w:tr w:rsidR="002F1788" w:rsidRPr="000F23D6" w14:paraId="0FC5DD53" w14:textId="77777777">
        <w:tc>
          <w:tcPr>
            <w:tcW w:w="265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3790E60"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lastRenderedPageBreak/>
              <w:t>e) Condiciones especiales de la clasificación de la información como confidencial. </w:t>
            </w:r>
          </w:p>
        </w:tc>
        <w:tc>
          <w:tcPr>
            <w:tcW w:w="662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629514B"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t xml:space="preserve">Los artículos 148 y 120 de la Ley Estatal y de la Ley General, respectivamente, establecen </w:t>
            </w:r>
            <w:proofErr w:type="gramStart"/>
            <w:r w:rsidRPr="000F23D6">
              <w:rPr>
                <w:rFonts w:ascii="Palatino Linotype" w:eastAsia="Palatino Linotype" w:hAnsi="Palatino Linotype" w:cs="Palatino Linotype"/>
                <w:color w:val="000000"/>
                <w:sz w:val="22"/>
                <w:szCs w:val="22"/>
              </w:rPr>
              <w:t>que</w:t>
            </w:r>
            <w:proofErr w:type="gramEnd"/>
            <w:r w:rsidRPr="000F23D6">
              <w:rPr>
                <w:rFonts w:ascii="Palatino Linotype" w:eastAsia="Palatino Linotype" w:hAnsi="Palatino Linotype" w:cs="Palatino Linotype"/>
                <w:color w:val="000000"/>
                <w:sz w:val="22"/>
                <w:szCs w:val="22"/>
              </w:rPr>
              <w:t xml:space="preserve"> aun tratándose de datos personales, se podrán proporcionar, incluso sin solicitar el consentimiento de su titular. </w:t>
            </w:r>
          </w:p>
          <w:p w14:paraId="4A206A9C" w14:textId="77777777" w:rsidR="002F1788" w:rsidRPr="000F23D6" w:rsidRDefault="00131773">
            <w:pPr>
              <w:pBdr>
                <w:top w:val="nil"/>
                <w:left w:val="nil"/>
                <w:bottom w:val="nil"/>
                <w:right w:val="nil"/>
                <w:between w:val="nil"/>
              </w:pBdr>
              <w:ind w:right="49"/>
              <w:jc w:val="both"/>
              <w:rPr>
                <w:color w:val="000000"/>
                <w:sz w:val="22"/>
                <w:szCs w:val="22"/>
              </w:rPr>
            </w:pPr>
            <w:r w:rsidRPr="000F23D6">
              <w:rPr>
                <w:rFonts w:ascii="Palatino Linotype" w:eastAsia="Palatino Linotype" w:hAnsi="Palatino Linotype" w:cs="Palatino Linotype"/>
                <w:color w:val="000000"/>
                <w:sz w:val="22"/>
                <w:szCs w:val="22"/>
              </w:rPr>
              <w:lastRenderedPageBreak/>
              <w:t>En el caso de lo señalado en la fracción IV, será el Instituto quien deba aplicar la prueba de interés público, considerando también que como recientemente ha discutido la Suprema Corte de Justicia de la Nación, los servidores públicos nos encontramos sujetos a un régimen menor de protección. </w:t>
            </w:r>
          </w:p>
          <w:p w14:paraId="58A6BDA2" w14:textId="77777777" w:rsidR="002F1788" w:rsidRPr="000F23D6" w:rsidRDefault="00131773">
            <w:pPr>
              <w:pBdr>
                <w:top w:val="nil"/>
                <w:left w:val="nil"/>
                <w:bottom w:val="nil"/>
                <w:right w:val="nil"/>
                <w:between w:val="nil"/>
              </w:pBdr>
              <w:rPr>
                <w:color w:val="000000"/>
                <w:sz w:val="22"/>
                <w:szCs w:val="22"/>
              </w:rPr>
            </w:pPr>
            <w:r w:rsidRPr="000F23D6">
              <w:rPr>
                <w:rFonts w:ascii="Palatino Linotype" w:eastAsia="Palatino Linotype" w:hAnsi="Palatino Linotype" w:cs="Palatino Linotype"/>
                <w:color w:val="000000"/>
                <w:sz w:val="22"/>
                <w:szCs w:val="22"/>
              </w:rPr>
              <w:t>Pero si la información que se pretende clasificar como confidencial no se encuentra en los supuestos de los artículos señalados y es posible, se deberá consultar al titular de los datos si permite o no el acceso. De no ser posible, la realización de la consulta, procede, fundando y motivando, la clasificación.</w:t>
            </w:r>
          </w:p>
        </w:tc>
      </w:tr>
    </w:tbl>
    <w:p w14:paraId="34C87B17"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tabs>
          <w:tab w:val="left" w:pos="851"/>
        </w:tabs>
        <w:spacing w:line="360" w:lineRule="auto"/>
        <w:ind w:right="476"/>
        <w:jc w:val="both"/>
        <w:rPr>
          <w:rFonts w:ascii="Palatino Linotype" w:eastAsia="Palatino Linotype" w:hAnsi="Palatino Linotype" w:cs="Palatino Linotype"/>
          <w:i/>
          <w:color w:val="000000"/>
          <w:sz w:val="22"/>
          <w:szCs w:val="22"/>
        </w:rPr>
      </w:pPr>
    </w:p>
    <w:p w14:paraId="0A26F534"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sz w:val="22"/>
          <w:szCs w:val="22"/>
        </w:rPr>
      </w:pPr>
      <w:r w:rsidRPr="000F23D6">
        <w:rPr>
          <w:rFonts w:ascii="Palatino Linotype" w:eastAsia="Palatino Linotype" w:hAnsi="Palatino Linotype" w:cs="Palatino Linotype"/>
          <w:color w:val="000000"/>
          <w:sz w:val="22"/>
          <w:szCs w:val="22"/>
        </w:rPr>
        <w:t>En conclusión y con base en lo anteriormente expuesto, este Instituto estima que las razones o motivos de inconformidad hechos valer por el</w:t>
      </w:r>
      <w:r w:rsidRPr="000F23D6">
        <w:rPr>
          <w:rFonts w:ascii="Palatino Linotype" w:eastAsia="Palatino Linotype" w:hAnsi="Palatino Linotype" w:cs="Palatino Linotype"/>
          <w:b/>
          <w:color w:val="000000"/>
          <w:sz w:val="22"/>
          <w:szCs w:val="22"/>
        </w:rPr>
        <w:t xml:space="preserve"> RECURRENTE </w:t>
      </w:r>
      <w:r w:rsidRPr="000F23D6">
        <w:rPr>
          <w:rFonts w:ascii="Palatino Linotype" w:eastAsia="Palatino Linotype" w:hAnsi="Palatino Linotype" w:cs="Palatino Linotype"/>
          <w:color w:val="000000"/>
          <w:sz w:val="22"/>
          <w:szCs w:val="22"/>
        </w:rPr>
        <w:t xml:space="preserve">devienen </w:t>
      </w:r>
      <w:r w:rsidRPr="000F23D6">
        <w:rPr>
          <w:rFonts w:ascii="Palatino Linotype" w:eastAsia="Palatino Linotype" w:hAnsi="Palatino Linotype" w:cs="Palatino Linotype"/>
          <w:b/>
          <w:color w:val="000000"/>
          <w:sz w:val="22"/>
          <w:szCs w:val="22"/>
        </w:rPr>
        <w:t>fundadas</w:t>
      </w:r>
      <w:r w:rsidRPr="000F23D6">
        <w:rPr>
          <w:rFonts w:ascii="Palatino Linotype" w:eastAsia="Palatino Linotype" w:hAnsi="Palatino Linotype" w:cs="Palatino Linotype"/>
          <w:color w:val="000000"/>
          <w:sz w:val="22"/>
          <w:szCs w:val="22"/>
        </w:rPr>
        <w:t xml:space="preserve"> y suficientes para </w:t>
      </w:r>
      <w:r w:rsidRPr="000F23D6">
        <w:rPr>
          <w:rFonts w:ascii="Palatino Linotype" w:eastAsia="Palatino Linotype" w:hAnsi="Palatino Linotype" w:cs="Palatino Linotype"/>
          <w:b/>
          <w:color w:val="000000"/>
          <w:sz w:val="22"/>
          <w:szCs w:val="22"/>
        </w:rPr>
        <w:t xml:space="preserve">REVOCAR </w:t>
      </w:r>
      <w:r w:rsidRPr="000F23D6">
        <w:rPr>
          <w:rFonts w:ascii="Palatino Linotype" w:eastAsia="Palatino Linotype" w:hAnsi="Palatino Linotype" w:cs="Palatino Linotype"/>
          <w:color w:val="000000"/>
          <w:sz w:val="22"/>
          <w:szCs w:val="22"/>
        </w:rPr>
        <w:t xml:space="preserve">las respuestas del </w:t>
      </w:r>
      <w:r w:rsidRPr="000F23D6">
        <w:rPr>
          <w:rFonts w:ascii="Palatino Linotype" w:eastAsia="Palatino Linotype" w:hAnsi="Palatino Linotype" w:cs="Palatino Linotype"/>
          <w:b/>
          <w:color w:val="000000"/>
          <w:sz w:val="22"/>
          <w:szCs w:val="22"/>
        </w:rPr>
        <w:t>SUJETO OBLIGADO</w:t>
      </w:r>
      <w:r w:rsidRPr="000F23D6">
        <w:rPr>
          <w:rFonts w:ascii="Palatino Linotype" w:eastAsia="Palatino Linotype" w:hAnsi="Palatino Linotype" w:cs="Palatino Linotype"/>
          <w:color w:val="000000"/>
          <w:sz w:val="22"/>
          <w:szCs w:val="22"/>
        </w:rPr>
        <w:t xml:space="preserve"> y ordenarle haga entrega de la información solicitada.</w:t>
      </w:r>
    </w:p>
    <w:p w14:paraId="1399892F"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ind w:left="720"/>
        <w:rPr>
          <w:rFonts w:ascii="Palatino Linotype" w:eastAsia="Palatino Linotype" w:hAnsi="Palatino Linotype" w:cs="Palatino Linotype"/>
          <w:color w:val="000000"/>
          <w:sz w:val="22"/>
          <w:szCs w:val="22"/>
        </w:rPr>
      </w:pPr>
    </w:p>
    <w:p w14:paraId="043099E2" w14:textId="77777777" w:rsidR="002F1788" w:rsidRPr="000F23D6" w:rsidRDefault="00131773">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360" w:lineRule="auto"/>
        <w:ind w:left="0" w:firstLine="0"/>
        <w:jc w:val="both"/>
        <w:rPr>
          <w:sz w:val="22"/>
          <w:szCs w:val="22"/>
        </w:rPr>
      </w:pPr>
      <w:r w:rsidRPr="000F23D6">
        <w:rPr>
          <w:rFonts w:ascii="Palatino Linotype" w:eastAsia="Palatino Linotype" w:hAnsi="Palatino Linotype" w:cs="Palatino Linotype"/>
          <w:color w:val="000000"/>
          <w:sz w:val="22"/>
          <w:szCs w:val="22"/>
        </w:rPr>
        <w:t>Por anteriormente expuesto y fundado, el Pleno de este Instituto de Transparencia, Acceso a la Información Pública y Protección de Datos Personales del Estado de México y Municipios, emite los siguientes:</w:t>
      </w:r>
    </w:p>
    <w:p w14:paraId="578C235B"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jc w:val="both"/>
        <w:rPr>
          <w:sz w:val="22"/>
          <w:szCs w:val="22"/>
        </w:rPr>
      </w:pPr>
    </w:p>
    <w:p w14:paraId="36353300" w14:textId="77777777" w:rsidR="002F1788" w:rsidRPr="000F23D6" w:rsidRDefault="00131773">
      <w:pPr>
        <w:pBdr>
          <w:top w:val="none" w:sz="0" w:space="0" w:color="000000"/>
          <w:left w:val="none" w:sz="0" w:space="0" w:color="000000"/>
          <w:bottom w:val="none" w:sz="0" w:space="0" w:color="000000"/>
          <w:right w:val="none" w:sz="0" w:space="0" w:color="000000"/>
          <w:between w:val="none" w:sz="0" w:space="0" w:color="000000"/>
        </w:pBdr>
        <w:tabs>
          <w:tab w:val="left" w:pos="426"/>
        </w:tabs>
        <w:spacing w:line="360" w:lineRule="auto"/>
        <w:jc w:val="center"/>
        <w:rPr>
          <w:rFonts w:ascii="Palatino Linotype" w:eastAsia="Palatino Linotype" w:hAnsi="Palatino Linotype" w:cs="Palatino Linotype"/>
          <w:b/>
          <w:color w:val="000000"/>
          <w:sz w:val="22"/>
          <w:szCs w:val="22"/>
        </w:rPr>
      </w:pPr>
      <w:r w:rsidRPr="000F23D6">
        <w:rPr>
          <w:rFonts w:ascii="Palatino Linotype" w:eastAsia="Palatino Linotype" w:hAnsi="Palatino Linotype" w:cs="Palatino Linotype"/>
          <w:b/>
          <w:color w:val="000000"/>
          <w:sz w:val="22"/>
          <w:szCs w:val="22"/>
        </w:rPr>
        <w:t>R E S O L U T I V O S</w:t>
      </w:r>
    </w:p>
    <w:p w14:paraId="31F251C8"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tabs>
          <w:tab w:val="left" w:pos="426"/>
        </w:tabs>
        <w:spacing w:line="360" w:lineRule="auto"/>
        <w:jc w:val="center"/>
        <w:rPr>
          <w:rFonts w:ascii="Palatino Linotype" w:eastAsia="Palatino Linotype" w:hAnsi="Palatino Linotype" w:cs="Palatino Linotype"/>
          <w:b/>
          <w:color w:val="000000"/>
          <w:sz w:val="22"/>
          <w:szCs w:val="22"/>
        </w:rPr>
      </w:pPr>
    </w:p>
    <w:p w14:paraId="383823C6" w14:textId="77777777" w:rsidR="002F1788" w:rsidRPr="000F23D6" w:rsidRDefault="00131773">
      <w:pPr>
        <w:spacing w:line="360" w:lineRule="auto"/>
        <w:jc w:val="both"/>
        <w:rPr>
          <w:rFonts w:ascii="Palatino Linotype" w:eastAsia="Palatino Linotype" w:hAnsi="Palatino Linotype" w:cs="Palatino Linotype"/>
          <w:sz w:val="22"/>
          <w:szCs w:val="22"/>
        </w:rPr>
      </w:pPr>
      <w:bookmarkStart w:id="5" w:name="_heading=h.2s8eyo1" w:colFirst="0" w:colLast="0"/>
      <w:bookmarkEnd w:id="5"/>
      <w:r w:rsidRPr="000F23D6">
        <w:rPr>
          <w:rFonts w:ascii="Palatino Linotype" w:eastAsia="Palatino Linotype" w:hAnsi="Palatino Linotype" w:cs="Palatino Linotype"/>
          <w:b/>
          <w:sz w:val="22"/>
          <w:szCs w:val="22"/>
        </w:rPr>
        <w:t xml:space="preserve">PRIMERO. </w:t>
      </w:r>
      <w:r w:rsidRPr="000F23D6">
        <w:rPr>
          <w:rFonts w:ascii="Palatino Linotype" w:eastAsia="Palatino Linotype" w:hAnsi="Palatino Linotype" w:cs="Palatino Linotype"/>
          <w:sz w:val="22"/>
          <w:szCs w:val="22"/>
        </w:rPr>
        <w:t>Resultan fundadas las</w:t>
      </w:r>
      <w:r w:rsidRPr="000F23D6">
        <w:rPr>
          <w:rFonts w:ascii="Palatino Linotype" w:eastAsia="Palatino Linotype" w:hAnsi="Palatino Linotype" w:cs="Palatino Linotype"/>
          <w:b/>
          <w:sz w:val="22"/>
          <w:szCs w:val="22"/>
        </w:rPr>
        <w:t xml:space="preserve"> </w:t>
      </w:r>
      <w:r w:rsidRPr="000F23D6">
        <w:rPr>
          <w:rFonts w:ascii="Palatino Linotype" w:eastAsia="Palatino Linotype" w:hAnsi="Palatino Linotype" w:cs="Palatino Linotype"/>
          <w:sz w:val="22"/>
          <w:szCs w:val="22"/>
        </w:rPr>
        <w:t xml:space="preserve">razones o motivos de inconformidad hechos valer en los Recursos de Revisión </w:t>
      </w:r>
      <w:r w:rsidRPr="000F23D6">
        <w:rPr>
          <w:rFonts w:ascii="Palatino Linotype" w:eastAsia="Palatino Linotype" w:hAnsi="Palatino Linotype" w:cs="Palatino Linotype"/>
          <w:b/>
          <w:color w:val="000000"/>
          <w:sz w:val="22"/>
          <w:szCs w:val="22"/>
        </w:rPr>
        <w:t>05873/INFOEM/IP/RR/2024, 05876/INFOEM/IP/RR/</w:t>
      </w:r>
      <w:proofErr w:type="gramStart"/>
      <w:r w:rsidRPr="000F23D6">
        <w:rPr>
          <w:rFonts w:ascii="Palatino Linotype" w:eastAsia="Palatino Linotype" w:hAnsi="Palatino Linotype" w:cs="Palatino Linotype"/>
          <w:b/>
          <w:color w:val="000000"/>
          <w:sz w:val="22"/>
          <w:szCs w:val="22"/>
        </w:rPr>
        <w:t>2024,  05877</w:t>
      </w:r>
      <w:proofErr w:type="gramEnd"/>
      <w:r w:rsidRPr="000F23D6">
        <w:rPr>
          <w:rFonts w:ascii="Palatino Linotype" w:eastAsia="Palatino Linotype" w:hAnsi="Palatino Linotype" w:cs="Palatino Linotype"/>
          <w:b/>
          <w:color w:val="000000"/>
          <w:sz w:val="22"/>
          <w:szCs w:val="22"/>
        </w:rPr>
        <w:t xml:space="preserve">/INFOEM/IP/RR/2024, 05878/INFOEM/IP/RR/2024, 05879/INFOEM/IP/RR/2024 y </w:t>
      </w:r>
      <w:r w:rsidRPr="000F23D6">
        <w:rPr>
          <w:rFonts w:ascii="Palatino Linotype" w:eastAsia="Palatino Linotype" w:hAnsi="Palatino Linotype" w:cs="Palatino Linotype"/>
          <w:b/>
          <w:color w:val="000000"/>
          <w:sz w:val="22"/>
          <w:szCs w:val="22"/>
        </w:rPr>
        <w:lastRenderedPageBreak/>
        <w:t xml:space="preserve">05881/INFOEM/IP/RR/2024,  </w:t>
      </w:r>
      <w:r w:rsidRPr="000F23D6">
        <w:rPr>
          <w:rFonts w:ascii="Palatino Linotype" w:eastAsia="Palatino Linotype" w:hAnsi="Palatino Linotype" w:cs="Palatino Linotype"/>
          <w:sz w:val="22"/>
          <w:szCs w:val="22"/>
        </w:rPr>
        <w:t>en términos de los</w:t>
      </w:r>
      <w:r w:rsidRPr="000F23D6">
        <w:rPr>
          <w:rFonts w:ascii="Palatino Linotype" w:eastAsia="Palatino Linotype" w:hAnsi="Palatino Linotype" w:cs="Palatino Linotype"/>
          <w:b/>
          <w:sz w:val="22"/>
          <w:szCs w:val="22"/>
        </w:rPr>
        <w:t xml:space="preserve"> Considerandos</w:t>
      </w:r>
      <w:r w:rsidRPr="000F23D6">
        <w:rPr>
          <w:rFonts w:ascii="Palatino Linotype" w:eastAsia="Palatino Linotype" w:hAnsi="Palatino Linotype" w:cs="Palatino Linotype"/>
          <w:sz w:val="22"/>
          <w:szCs w:val="22"/>
        </w:rPr>
        <w:t xml:space="preserve"> </w:t>
      </w:r>
      <w:r w:rsidRPr="000F23D6">
        <w:rPr>
          <w:rFonts w:ascii="Palatino Linotype" w:eastAsia="Palatino Linotype" w:hAnsi="Palatino Linotype" w:cs="Palatino Linotype"/>
          <w:b/>
          <w:sz w:val="22"/>
          <w:szCs w:val="22"/>
        </w:rPr>
        <w:t>Cuarto y Quinto</w:t>
      </w:r>
      <w:r w:rsidRPr="000F23D6">
        <w:rPr>
          <w:rFonts w:ascii="Palatino Linotype" w:eastAsia="Palatino Linotype" w:hAnsi="Palatino Linotype" w:cs="Palatino Linotype"/>
          <w:sz w:val="22"/>
          <w:szCs w:val="22"/>
        </w:rPr>
        <w:t xml:space="preserve"> de la presente Resolución.</w:t>
      </w:r>
    </w:p>
    <w:p w14:paraId="5CC12CA8" w14:textId="77777777" w:rsidR="002F1788" w:rsidRPr="000F23D6" w:rsidRDefault="002F1788">
      <w:pPr>
        <w:spacing w:line="360" w:lineRule="auto"/>
        <w:jc w:val="both"/>
        <w:rPr>
          <w:rFonts w:ascii="Palatino Linotype" w:eastAsia="Palatino Linotype" w:hAnsi="Palatino Linotype" w:cs="Palatino Linotype"/>
          <w:sz w:val="22"/>
          <w:szCs w:val="22"/>
        </w:rPr>
      </w:pPr>
    </w:p>
    <w:p w14:paraId="79DB1F0A" w14:textId="77777777" w:rsidR="002F1788" w:rsidRPr="000F23D6" w:rsidRDefault="00131773">
      <w:pPr>
        <w:spacing w:line="360" w:lineRule="auto"/>
        <w:ind w:right="48"/>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b/>
          <w:sz w:val="22"/>
          <w:szCs w:val="22"/>
        </w:rPr>
        <w:t>SEGUNDO.</w:t>
      </w:r>
      <w:r w:rsidRPr="000F23D6">
        <w:rPr>
          <w:rFonts w:ascii="Palatino Linotype" w:eastAsia="Palatino Linotype" w:hAnsi="Palatino Linotype" w:cs="Palatino Linotype"/>
          <w:color w:val="2F5496"/>
          <w:sz w:val="22"/>
          <w:szCs w:val="22"/>
        </w:rPr>
        <w:t xml:space="preserve"> </w:t>
      </w:r>
      <w:r w:rsidRPr="000F23D6">
        <w:rPr>
          <w:rFonts w:ascii="Palatino Linotype" w:eastAsia="Palatino Linotype" w:hAnsi="Palatino Linotype" w:cs="Palatino Linotype"/>
          <w:sz w:val="22"/>
          <w:szCs w:val="22"/>
        </w:rPr>
        <w:t>Se</w:t>
      </w:r>
      <w:r w:rsidRPr="000F23D6">
        <w:rPr>
          <w:rFonts w:ascii="Palatino Linotype" w:eastAsia="Palatino Linotype" w:hAnsi="Palatino Linotype" w:cs="Palatino Linotype"/>
          <w:b/>
          <w:sz w:val="22"/>
          <w:szCs w:val="22"/>
        </w:rPr>
        <w:t xml:space="preserve"> REVOCAN </w:t>
      </w:r>
      <w:r w:rsidRPr="000F23D6">
        <w:rPr>
          <w:rFonts w:ascii="Palatino Linotype" w:eastAsia="Palatino Linotype" w:hAnsi="Palatino Linotype" w:cs="Palatino Linotype"/>
          <w:sz w:val="22"/>
          <w:szCs w:val="22"/>
        </w:rPr>
        <w:t xml:space="preserve">las respuestas emitidas por el </w:t>
      </w:r>
      <w:r w:rsidRPr="000F23D6">
        <w:rPr>
          <w:rFonts w:ascii="Palatino Linotype" w:eastAsia="Palatino Linotype" w:hAnsi="Palatino Linotype" w:cs="Palatino Linotype"/>
          <w:b/>
          <w:sz w:val="22"/>
          <w:szCs w:val="22"/>
        </w:rPr>
        <w:t>Ayuntamiento de Tezoyuca</w:t>
      </w:r>
      <w:r w:rsidRPr="000F23D6">
        <w:rPr>
          <w:rFonts w:ascii="Palatino Linotype" w:eastAsia="Palatino Linotype" w:hAnsi="Palatino Linotype" w:cs="Palatino Linotype"/>
          <w:sz w:val="22"/>
          <w:szCs w:val="22"/>
        </w:rPr>
        <w:t xml:space="preserve"> y se</w:t>
      </w:r>
      <w:r w:rsidRPr="000F23D6">
        <w:rPr>
          <w:rFonts w:ascii="Palatino Linotype" w:eastAsia="Palatino Linotype" w:hAnsi="Palatino Linotype" w:cs="Palatino Linotype"/>
          <w:b/>
          <w:sz w:val="22"/>
          <w:szCs w:val="22"/>
        </w:rPr>
        <w:t xml:space="preserve"> ORDENA </w:t>
      </w:r>
      <w:r w:rsidRPr="000F23D6">
        <w:rPr>
          <w:rFonts w:ascii="Palatino Linotype" w:eastAsia="Palatino Linotype" w:hAnsi="Palatino Linotype" w:cs="Palatino Linotype"/>
          <w:sz w:val="22"/>
          <w:szCs w:val="22"/>
        </w:rPr>
        <w:t xml:space="preserve">entregar vía Sistema de Accesos a la Información Mexiquense </w:t>
      </w:r>
      <w:r w:rsidRPr="000F23D6">
        <w:rPr>
          <w:rFonts w:ascii="Palatino Linotype" w:eastAsia="Palatino Linotype" w:hAnsi="Palatino Linotype" w:cs="Palatino Linotype"/>
          <w:b/>
          <w:sz w:val="22"/>
          <w:szCs w:val="22"/>
        </w:rPr>
        <w:t>(SAIMEX)</w:t>
      </w:r>
      <w:r w:rsidRPr="000F23D6">
        <w:rPr>
          <w:rFonts w:ascii="Palatino Linotype" w:eastAsia="Palatino Linotype" w:hAnsi="Palatino Linotype" w:cs="Palatino Linotype"/>
          <w:sz w:val="22"/>
          <w:szCs w:val="22"/>
        </w:rPr>
        <w:t>, en versión pública la siguiente información:</w:t>
      </w:r>
    </w:p>
    <w:p w14:paraId="6642C60E"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right="397"/>
        <w:jc w:val="both"/>
        <w:rPr>
          <w:rFonts w:ascii="Palatino Linotype" w:eastAsia="Palatino Linotype" w:hAnsi="Palatino Linotype" w:cs="Palatino Linotype"/>
          <w:b/>
          <w:color w:val="000000"/>
          <w:sz w:val="22"/>
          <w:szCs w:val="22"/>
        </w:rPr>
      </w:pPr>
    </w:p>
    <w:p w14:paraId="2AB4F801" w14:textId="77777777" w:rsidR="002F1788" w:rsidRPr="000F23D6" w:rsidRDefault="00131773">
      <w:pPr>
        <w:numPr>
          <w:ilvl w:val="0"/>
          <w:numId w:val="6"/>
        </w:numPr>
        <w:pBdr>
          <w:top w:val="none" w:sz="0" w:space="0" w:color="000000"/>
          <w:left w:val="none" w:sz="0" w:space="0" w:color="000000"/>
          <w:bottom w:val="none" w:sz="0" w:space="0" w:color="000000"/>
          <w:right w:val="none" w:sz="0" w:space="0" w:color="000000"/>
          <w:between w:val="none" w:sz="0" w:space="0" w:color="000000"/>
        </w:pBdr>
        <w:spacing w:line="360" w:lineRule="auto"/>
        <w:ind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Oficios enviados y recibidos de parte de la Oficialía del Registro Civil del municipio de Tezoyuca en los años 2010, 2011, 2012, 2013, 2014, 2015, 2016, 2017, 2018, 2019, 2020, 2021, 2022, 2023, y del primero de enero al diecisiete de septiembre de 2024.</w:t>
      </w:r>
    </w:p>
    <w:p w14:paraId="7B9B0DEF" w14:textId="77777777" w:rsidR="002F1788" w:rsidRPr="000F23D6" w:rsidRDefault="00131773">
      <w:pPr>
        <w:numPr>
          <w:ilvl w:val="0"/>
          <w:numId w:val="6"/>
        </w:numPr>
        <w:pBdr>
          <w:top w:val="none" w:sz="0" w:space="0" w:color="000000"/>
          <w:left w:val="none" w:sz="0" w:space="0" w:color="000000"/>
          <w:bottom w:val="none" w:sz="0" w:space="0" w:color="000000"/>
          <w:right w:val="none" w:sz="0" w:space="0" w:color="000000"/>
          <w:between w:val="none" w:sz="0" w:space="0" w:color="000000"/>
        </w:pBdr>
        <w:spacing w:line="360" w:lineRule="auto"/>
        <w:ind w:right="397"/>
        <w:jc w:val="both"/>
        <w:rPr>
          <w:rFonts w:ascii="Palatino Linotype" w:eastAsia="Palatino Linotype" w:hAnsi="Palatino Linotype" w:cs="Palatino Linotype"/>
          <w:i/>
          <w:color w:val="000000"/>
          <w:sz w:val="22"/>
          <w:szCs w:val="22"/>
        </w:rPr>
      </w:pPr>
      <w:bookmarkStart w:id="6" w:name="_heading=h.gjdgxs" w:colFirst="0" w:colLast="0"/>
      <w:bookmarkEnd w:id="6"/>
      <w:r w:rsidRPr="000F23D6">
        <w:rPr>
          <w:rFonts w:ascii="Palatino Linotype" w:eastAsia="Palatino Linotype" w:hAnsi="Palatino Linotype" w:cs="Palatino Linotype"/>
          <w:i/>
          <w:color w:val="000000"/>
          <w:sz w:val="22"/>
          <w:szCs w:val="22"/>
        </w:rPr>
        <w:t xml:space="preserve">Oficios enviados y recibidos por parte del Sistema Municipal para el </w:t>
      </w:r>
      <w:proofErr w:type="spellStart"/>
      <w:r w:rsidRPr="000F23D6">
        <w:rPr>
          <w:rFonts w:ascii="Palatino Linotype" w:eastAsia="Palatino Linotype" w:hAnsi="Palatino Linotype" w:cs="Palatino Linotype"/>
          <w:i/>
          <w:color w:val="000000"/>
          <w:sz w:val="22"/>
          <w:szCs w:val="22"/>
        </w:rPr>
        <w:t>Desarollo</w:t>
      </w:r>
      <w:proofErr w:type="spellEnd"/>
      <w:r w:rsidRPr="000F23D6">
        <w:rPr>
          <w:rFonts w:ascii="Palatino Linotype" w:eastAsia="Palatino Linotype" w:hAnsi="Palatino Linotype" w:cs="Palatino Linotype"/>
          <w:i/>
          <w:color w:val="000000"/>
          <w:sz w:val="22"/>
          <w:szCs w:val="22"/>
        </w:rPr>
        <w:t xml:space="preserve"> Integral de la Familia de </w:t>
      </w:r>
      <w:proofErr w:type="spellStart"/>
      <w:r w:rsidRPr="000F23D6">
        <w:rPr>
          <w:rFonts w:ascii="Palatino Linotype" w:eastAsia="Palatino Linotype" w:hAnsi="Palatino Linotype" w:cs="Palatino Linotype"/>
          <w:i/>
          <w:color w:val="000000"/>
          <w:sz w:val="22"/>
          <w:szCs w:val="22"/>
        </w:rPr>
        <w:t>Tezayuca</w:t>
      </w:r>
      <w:proofErr w:type="spellEnd"/>
      <w:r w:rsidRPr="000F23D6">
        <w:rPr>
          <w:rFonts w:ascii="Palatino Linotype" w:eastAsia="Palatino Linotype" w:hAnsi="Palatino Linotype" w:cs="Palatino Linotype"/>
          <w:i/>
          <w:color w:val="000000"/>
          <w:sz w:val="22"/>
          <w:szCs w:val="22"/>
        </w:rPr>
        <w:t xml:space="preserve"> de enero a agosto del 2024.</w:t>
      </w:r>
    </w:p>
    <w:p w14:paraId="06728649" w14:textId="77777777" w:rsidR="002F1788" w:rsidRPr="000F23D6" w:rsidRDefault="00131773">
      <w:pPr>
        <w:numPr>
          <w:ilvl w:val="0"/>
          <w:numId w:val="6"/>
        </w:numPr>
        <w:pBdr>
          <w:top w:val="none" w:sz="0" w:space="0" w:color="000000"/>
          <w:left w:val="none" w:sz="0" w:space="0" w:color="000000"/>
          <w:bottom w:val="none" w:sz="0" w:space="0" w:color="000000"/>
          <w:right w:val="none" w:sz="0" w:space="0" w:color="000000"/>
          <w:between w:val="none" w:sz="0" w:space="0" w:color="000000"/>
        </w:pBdr>
        <w:spacing w:line="360" w:lineRule="auto"/>
        <w:ind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Oficios enviados y recibidos por la Contraloría Interna Municipal de enero a agosto del 2024.</w:t>
      </w:r>
    </w:p>
    <w:p w14:paraId="729646C1" w14:textId="77777777" w:rsidR="002F1788" w:rsidRPr="000F23D6" w:rsidRDefault="00131773">
      <w:pPr>
        <w:numPr>
          <w:ilvl w:val="0"/>
          <w:numId w:val="6"/>
        </w:numPr>
        <w:pBdr>
          <w:top w:val="none" w:sz="0" w:space="0" w:color="000000"/>
          <w:left w:val="none" w:sz="0" w:space="0" w:color="000000"/>
          <w:bottom w:val="none" w:sz="0" w:space="0" w:color="000000"/>
          <w:right w:val="none" w:sz="0" w:space="0" w:color="000000"/>
          <w:between w:val="none" w:sz="0" w:space="0" w:color="000000"/>
        </w:pBdr>
        <w:spacing w:line="360" w:lineRule="auto"/>
        <w:ind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Oficios recibidos y enviados por la Dirección de Obras Públicas de enero a agosto del 2024.</w:t>
      </w:r>
    </w:p>
    <w:p w14:paraId="0A2548B6" w14:textId="77777777" w:rsidR="002F1788" w:rsidRPr="000F23D6" w:rsidRDefault="00131773">
      <w:pPr>
        <w:numPr>
          <w:ilvl w:val="0"/>
          <w:numId w:val="6"/>
        </w:numPr>
        <w:pBdr>
          <w:top w:val="none" w:sz="0" w:space="0" w:color="000000"/>
          <w:left w:val="none" w:sz="0" w:space="0" w:color="000000"/>
          <w:bottom w:val="none" w:sz="0" w:space="0" w:color="000000"/>
          <w:right w:val="none" w:sz="0" w:space="0" w:color="000000"/>
          <w:between w:val="none" w:sz="0" w:space="0" w:color="000000"/>
        </w:pBdr>
        <w:spacing w:line="360" w:lineRule="auto"/>
        <w:ind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Oficios enviados y recibidos la Dirección de Desarrollo Urbano de enero 2024 a agosto 2024.</w:t>
      </w:r>
    </w:p>
    <w:p w14:paraId="5363257D" w14:textId="77777777" w:rsidR="002F1788" w:rsidRPr="000F23D6" w:rsidRDefault="00131773">
      <w:pPr>
        <w:numPr>
          <w:ilvl w:val="0"/>
          <w:numId w:val="6"/>
        </w:numPr>
        <w:pBdr>
          <w:top w:val="none" w:sz="0" w:space="0" w:color="000000"/>
          <w:left w:val="none" w:sz="0" w:space="0" w:color="000000"/>
          <w:bottom w:val="none" w:sz="0" w:space="0" w:color="000000"/>
          <w:right w:val="none" w:sz="0" w:space="0" w:color="000000"/>
          <w:between w:val="none" w:sz="0" w:space="0" w:color="000000"/>
        </w:pBdr>
        <w:spacing w:line="360" w:lineRule="auto"/>
        <w:ind w:right="397"/>
        <w:jc w:val="both"/>
        <w:rPr>
          <w:rFonts w:ascii="Palatino Linotype" w:eastAsia="Palatino Linotype" w:hAnsi="Palatino Linotype" w:cs="Palatino Linotype"/>
          <w:i/>
          <w:color w:val="000000"/>
          <w:sz w:val="22"/>
          <w:szCs w:val="22"/>
        </w:rPr>
      </w:pPr>
      <w:r w:rsidRPr="000F23D6">
        <w:rPr>
          <w:rFonts w:ascii="Palatino Linotype" w:eastAsia="Palatino Linotype" w:hAnsi="Palatino Linotype" w:cs="Palatino Linotype"/>
          <w:i/>
          <w:color w:val="000000"/>
          <w:sz w:val="22"/>
          <w:szCs w:val="22"/>
        </w:rPr>
        <w:t>Oficios recibidos y enviados por parte de la Presidencia Municipal de enero del 2024 a agosto del 2024</w:t>
      </w:r>
    </w:p>
    <w:p w14:paraId="1DA20F2B" w14:textId="77777777" w:rsidR="002F1788" w:rsidRPr="000F23D6" w:rsidRDefault="002F1788">
      <w:pPr>
        <w:pBdr>
          <w:top w:val="none" w:sz="0" w:space="0" w:color="000000"/>
          <w:left w:val="none" w:sz="0" w:space="0" w:color="000000"/>
          <w:bottom w:val="none" w:sz="0" w:space="0" w:color="000000"/>
          <w:right w:val="none" w:sz="0" w:space="0" w:color="000000"/>
          <w:between w:val="none" w:sz="0" w:space="0" w:color="000000"/>
        </w:pBdr>
        <w:spacing w:line="360" w:lineRule="auto"/>
        <w:ind w:left="501" w:right="397"/>
        <w:jc w:val="both"/>
        <w:rPr>
          <w:rFonts w:ascii="Palatino Linotype" w:eastAsia="Palatino Linotype" w:hAnsi="Palatino Linotype" w:cs="Palatino Linotype"/>
          <w:color w:val="000000"/>
          <w:sz w:val="22"/>
          <w:szCs w:val="22"/>
        </w:rPr>
      </w:pPr>
    </w:p>
    <w:p w14:paraId="6D2CA788" w14:textId="77777777" w:rsidR="002F1788" w:rsidRPr="000F23D6" w:rsidRDefault="00131773">
      <w:pPr>
        <w:spacing w:line="360" w:lineRule="auto"/>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 xml:space="preserve">Para efectos de lo anterior, se deberá emitir el Acuerdo del Comité de Transparencia en términos de los artículos 49, fracción VIII y 132, fracción II de la Ley de Transparencia y Acceso </w:t>
      </w:r>
      <w:r w:rsidRPr="000F23D6">
        <w:rPr>
          <w:rFonts w:ascii="Palatino Linotype" w:eastAsia="Palatino Linotype" w:hAnsi="Palatino Linotype" w:cs="Palatino Linotype"/>
          <w:color w:val="000000"/>
          <w:sz w:val="22"/>
          <w:szCs w:val="22"/>
        </w:rPr>
        <w:lastRenderedPageBreak/>
        <w:t xml:space="preserve">a la Información Pública del Estado de México y Municipios, en el que funde y motive las razones sobre los datos que se supriman o eliminen dentro del soporte documental respectivo objeto de las versiones públicas que se formulen y se pongan a disposición </w:t>
      </w:r>
      <w:r w:rsidRPr="000F23D6">
        <w:rPr>
          <w:rFonts w:ascii="Palatino Linotype" w:eastAsia="Palatino Linotype" w:hAnsi="Palatino Linotype" w:cs="Palatino Linotype"/>
          <w:sz w:val="22"/>
          <w:szCs w:val="22"/>
        </w:rPr>
        <w:t>del</w:t>
      </w:r>
      <w:r w:rsidRPr="000F23D6">
        <w:rPr>
          <w:rFonts w:ascii="Palatino Linotype" w:eastAsia="Palatino Linotype" w:hAnsi="Palatino Linotype" w:cs="Palatino Linotype"/>
          <w:b/>
          <w:color w:val="000000"/>
          <w:sz w:val="22"/>
          <w:szCs w:val="22"/>
        </w:rPr>
        <w:t xml:space="preserve"> RECURRENTE</w:t>
      </w:r>
      <w:r w:rsidRPr="000F23D6">
        <w:rPr>
          <w:rFonts w:ascii="Palatino Linotype" w:eastAsia="Palatino Linotype" w:hAnsi="Palatino Linotype" w:cs="Palatino Linotype"/>
          <w:color w:val="000000"/>
          <w:sz w:val="22"/>
          <w:szCs w:val="22"/>
        </w:rPr>
        <w:t>.</w:t>
      </w:r>
    </w:p>
    <w:p w14:paraId="6523EE1C" w14:textId="77777777" w:rsidR="002F1788" w:rsidRPr="000F23D6" w:rsidRDefault="002F1788">
      <w:pPr>
        <w:spacing w:line="360" w:lineRule="auto"/>
        <w:jc w:val="both"/>
        <w:rPr>
          <w:rFonts w:ascii="Palatino Linotype" w:eastAsia="Palatino Linotype" w:hAnsi="Palatino Linotype" w:cs="Palatino Linotype"/>
          <w:color w:val="000000"/>
          <w:sz w:val="22"/>
          <w:szCs w:val="22"/>
        </w:rPr>
      </w:pPr>
    </w:p>
    <w:p w14:paraId="2E72A2FB" w14:textId="77777777" w:rsidR="002F1788" w:rsidRPr="000F23D6" w:rsidRDefault="00131773">
      <w:pPr>
        <w:spacing w:line="360" w:lineRule="auto"/>
        <w:jc w:val="both"/>
        <w:rPr>
          <w:rFonts w:ascii="Palatino Linotype" w:eastAsia="Palatino Linotype" w:hAnsi="Palatino Linotype" w:cs="Palatino Linotype"/>
          <w:color w:val="000000"/>
          <w:sz w:val="22"/>
          <w:szCs w:val="22"/>
        </w:rPr>
      </w:pPr>
      <w:r w:rsidRPr="000F23D6">
        <w:rPr>
          <w:rFonts w:ascii="Palatino Linotype" w:eastAsia="Palatino Linotype" w:hAnsi="Palatino Linotype" w:cs="Palatino Linotype"/>
          <w:color w:val="000000"/>
          <w:sz w:val="22"/>
          <w:szCs w:val="22"/>
        </w:rPr>
        <w:t>Para el caso de que el Sujeto Obligado no cuente con algún oficio enviado porque haya sido cancelado bastará con que lo haga del conocimiento de la Recurrente al momento de dar cumplimiento a la presente resolución, en términos del artículo 19 párrafo segundo de la Ley de Transparencia y Acceso a la Información Pública del Estado de México y Municipios.</w:t>
      </w:r>
    </w:p>
    <w:p w14:paraId="7EE345DB" w14:textId="77777777" w:rsidR="002F1788" w:rsidRPr="000F23D6" w:rsidRDefault="002F1788">
      <w:pPr>
        <w:spacing w:line="360" w:lineRule="auto"/>
        <w:jc w:val="both"/>
        <w:rPr>
          <w:rFonts w:ascii="Palatino Linotype" w:eastAsia="Palatino Linotype" w:hAnsi="Palatino Linotype" w:cs="Palatino Linotype"/>
          <w:color w:val="000000"/>
          <w:sz w:val="22"/>
          <w:szCs w:val="22"/>
        </w:rPr>
      </w:pPr>
    </w:p>
    <w:p w14:paraId="6FFBD81E" w14:textId="77777777" w:rsidR="002F1788" w:rsidRPr="000F23D6" w:rsidRDefault="00131773">
      <w:pPr>
        <w:spacing w:line="360" w:lineRule="auto"/>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b/>
          <w:color w:val="000000"/>
          <w:sz w:val="22"/>
          <w:szCs w:val="22"/>
        </w:rPr>
        <w:t xml:space="preserve">TERCERO. </w:t>
      </w:r>
      <w:r w:rsidRPr="000F23D6">
        <w:rPr>
          <w:rFonts w:ascii="Palatino Linotype" w:eastAsia="Palatino Linotype" w:hAnsi="Palatino Linotype" w:cs="Palatino Linotype"/>
          <w:b/>
          <w:sz w:val="22"/>
          <w:szCs w:val="22"/>
        </w:rPr>
        <w:t xml:space="preserve"> Notifíquese </w:t>
      </w:r>
      <w:r w:rsidRPr="000F23D6">
        <w:rPr>
          <w:rFonts w:ascii="Palatino Linotype" w:eastAsia="Palatino Linotype" w:hAnsi="Palatino Linotype" w:cs="Palatino Linotype"/>
          <w:sz w:val="22"/>
          <w:szCs w:val="22"/>
        </w:rPr>
        <w:t xml:space="preserve">la presente resolución al Titular de la Unidad de Transparencia del Sujeto Obligado vía </w:t>
      </w:r>
      <w:r w:rsidRPr="000F23D6">
        <w:rPr>
          <w:rFonts w:ascii="Palatino Linotype" w:eastAsia="Palatino Linotype" w:hAnsi="Palatino Linotype" w:cs="Palatino Linotype"/>
          <w:b/>
          <w:sz w:val="22"/>
          <w:szCs w:val="22"/>
        </w:rPr>
        <w:t>SAIMEX</w:t>
      </w:r>
      <w:r w:rsidRPr="000F23D6">
        <w:rPr>
          <w:rFonts w:ascii="Palatino Linotype" w:eastAsia="Palatino Linotype" w:hAnsi="Palatino Linotype" w:cs="Palatino Linotype"/>
          <w:sz w:val="22"/>
          <w:szCs w:val="22"/>
        </w:rPr>
        <w:t xml:space="preserve">, para que conforme al artículo 186 último párrafo, 189 segundo párrafo y 194 de la Ley de Transparencia y Acceso a la Información Pública del Estado de México y Municipios; </w:t>
      </w:r>
      <w:r w:rsidRPr="000F23D6">
        <w:rPr>
          <w:rFonts w:ascii="Palatino Linotype" w:eastAsia="Palatino Linotype" w:hAnsi="Palatino Linotype" w:cs="Palatino Linotype"/>
          <w:b/>
          <w:sz w:val="22"/>
          <w:szCs w:val="22"/>
        </w:rPr>
        <w:t>dé cumplimiento a lo ordenado dentro del plazo de diez días hábiles,</w:t>
      </w:r>
      <w:r w:rsidRPr="000F23D6">
        <w:rPr>
          <w:rFonts w:ascii="Palatino Linotype" w:eastAsia="Palatino Linotype" w:hAnsi="Palatino Linotype" w:cs="Palatino Linotype"/>
          <w:sz w:val="22"/>
          <w:szCs w:val="22"/>
        </w:rPr>
        <w:t xml:space="preserve">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2B9EF6F4" w14:textId="77777777" w:rsidR="002F1788" w:rsidRPr="000F23D6" w:rsidRDefault="002F1788">
      <w:pPr>
        <w:spacing w:line="360" w:lineRule="auto"/>
        <w:jc w:val="both"/>
        <w:rPr>
          <w:rFonts w:ascii="Palatino Linotype" w:eastAsia="Palatino Linotype" w:hAnsi="Palatino Linotype" w:cs="Palatino Linotype"/>
          <w:sz w:val="22"/>
          <w:szCs w:val="22"/>
        </w:rPr>
      </w:pPr>
    </w:p>
    <w:p w14:paraId="0C74B274" w14:textId="77777777" w:rsidR="002F1788" w:rsidRPr="000F23D6" w:rsidRDefault="00131773">
      <w:pPr>
        <w:spacing w:line="360" w:lineRule="auto"/>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b/>
          <w:sz w:val="22"/>
          <w:szCs w:val="22"/>
        </w:rPr>
        <w:t xml:space="preserve">CUARTO. </w:t>
      </w:r>
      <w:r w:rsidRPr="000F23D6">
        <w:rPr>
          <w:rFonts w:ascii="Palatino Linotype" w:eastAsia="Palatino Linotype" w:hAnsi="Palatino Linotype" w:cs="Palatino Linotype"/>
          <w:sz w:val="22"/>
          <w:szCs w:val="22"/>
        </w:rPr>
        <w:t xml:space="preserve">De conformidad con el artículo 198 de la Ley de Transparencia y Acceso a la Información Pública del Estado de México y Municipios, de considerarlo procedente, el </w:t>
      </w:r>
      <w:r w:rsidRPr="000F23D6">
        <w:rPr>
          <w:rFonts w:ascii="Palatino Linotype" w:eastAsia="Palatino Linotype" w:hAnsi="Palatino Linotype" w:cs="Palatino Linotype"/>
          <w:b/>
          <w:sz w:val="22"/>
          <w:szCs w:val="22"/>
        </w:rPr>
        <w:t>SUJETO OBLIGADO</w:t>
      </w:r>
      <w:r w:rsidRPr="000F23D6">
        <w:rPr>
          <w:rFonts w:ascii="Palatino Linotype" w:eastAsia="Palatino Linotype" w:hAnsi="Palatino Linotype" w:cs="Palatino Linotype"/>
          <w:sz w:val="22"/>
          <w:szCs w:val="22"/>
        </w:rPr>
        <w:t xml:space="preserve"> de manera fundada y motivada, podrá solicitar una ampliación de plazo para el cumplimiento de la presente Resolución.</w:t>
      </w:r>
    </w:p>
    <w:p w14:paraId="73EECE60" w14:textId="77777777" w:rsidR="002F1788" w:rsidRPr="000F23D6" w:rsidRDefault="002F1788">
      <w:pPr>
        <w:spacing w:line="360" w:lineRule="auto"/>
        <w:jc w:val="both"/>
        <w:rPr>
          <w:rFonts w:ascii="Palatino Linotype" w:eastAsia="Palatino Linotype" w:hAnsi="Palatino Linotype" w:cs="Palatino Linotype"/>
          <w:sz w:val="22"/>
          <w:szCs w:val="22"/>
        </w:rPr>
      </w:pPr>
    </w:p>
    <w:p w14:paraId="2B702898" w14:textId="77777777" w:rsidR="002F1788" w:rsidRPr="000F23D6" w:rsidRDefault="00131773">
      <w:pPr>
        <w:tabs>
          <w:tab w:val="left" w:pos="8080"/>
        </w:tabs>
        <w:spacing w:line="360" w:lineRule="auto"/>
        <w:ind w:right="49"/>
        <w:jc w:val="both"/>
        <w:rPr>
          <w:rFonts w:ascii="Palatino Linotype" w:eastAsia="Palatino Linotype" w:hAnsi="Palatino Linotype" w:cs="Palatino Linotype"/>
          <w:sz w:val="22"/>
          <w:szCs w:val="22"/>
        </w:rPr>
      </w:pPr>
      <w:bookmarkStart w:id="7" w:name="_heading=h.1ksv4uv" w:colFirst="0" w:colLast="0"/>
      <w:bookmarkEnd w:id="7"/>
      <w:r w:rsidRPr="000F23D6">
        <w:rPr>
          <w:rFonts w:ascii="Palatino Linotype" w:eastAsia="Palatino Linotype" w:hAnsi="Palatino Linotype" w:cs="Palatino Linotype"/>
          <w:b/>
          <w:sz w:val="22"/>
          <w:szCs w:val="22"/>
        </w:rPr>
        <w:t xml:space="preserve">QUINTO. </w:t>
      </w:r>
      <w:r w:rsidRPr="000F23D6">
        <w:rPr>
          <w:rFonts w:ascii="Palatino Linotype" w:eastAsia="Palatino Linotype" w:hAnsi="Palatino Linotype" w:cs="Palatino Linotype"/>
          <w:sz w:val="22"/>
          <w:szCs w:val="22"/>
        </w:rPr>
        <w:t xml:space="preserve">Notifíquese al </w:t>
      </w:r>
      <w:r w:rsidRPr="000F23D6">
        <w:rPr>
          <w:rFonts w:ascii="Palatino Linotype" w:eastAsia="Palatino Linotype" w:hAnsi="Palatino Linotype" w:cs="Palatino Linotype"/>
          <w:b/>
          <w:sz w:val="22"/>
          <w:szCs w:val="22"/>
        </w:rPr>
        <w:t>RECURRENTE</w:t>
      </w:r>
      <w:r w:rsidRPr="000F23D6">
        <w:rPr>
          <w:rFonts w:ascii="Palatino Linotype" w:eastAsia="Palatino Linotype" w:hAnsi="Palatino Linotype" w:cs="Palatino Linotype"/>
          <w:sz w:val="22"/>
          <w:szCs w:val="22"/>
        </w:rPr>
        <w:t xml:space="preserve"> la presente Resolución, vía </w:t>
      </w:r>
      <w:r w:rsidRPr="000F23D6">
        <w:rPr>
          <w:rFonts w:ascii="Palatino Linotype" w:eastAsia="Palatino Linotype" w:hAnsi="Palatino Linotype" w:cs="Palatino Linotype"/>
          <w:b/>
          <w:sz w:val="22"/>
          <w:szCs w:val="22"/>
        </w:rPr>
        <w:t>SAIMEX</w:t>
      </w:r>
      <w:r w:rsidRPr="000F23D6">
        <w:rPr>
          <w:rFonts w:ascii="Palatino Linotype" w:eastAsia="Palatino Linotype" w:hAnsi="Palatino Linotype" w:cs="Palatino Linotype"/>
          <w:sz w:val="22"/>
          <w:szCs w:val="22"/>
        </w:rPr>
        <w:t>.</w:t>
      </w:r>
    </w:p>
    <w:p w14:paraId="08D22278" w14:textId="77777777" w:rsidR="002F1788" w:rsidRPr="000F23D6" w:rsidRDefault="002F1788">
      <w:pPr>
        <w:tabs>
          <w:tab w:val="left" w:pos="8080"/>
        </w:tabs>
        <w:spacing w:line="360" w:lineRule="auto"/>
        <w:ind w:right="49"/>
        <w:jc w:val="both"/>
        <w:rPr>
          <w:rFonts w:ascii="Palatino Linotype" w:eastAsia="Palatino Linotype" w:hAnsi="Palatino Linotype" w:cs="Palatino Linotype"/>
          <w:sz w:val="22"/>
          <w:szCs w:val="22"/>
        </w:rPr>
      </w:pPr>
    </w:p>
    <w:p w14:paraId="00810182" w14:textId="77777777" w:rsidR="002F1788" w:rsidRPr="000F23D6" w:rsidRDefault="00131773">
      <w:pPr>
        <w:shd w:val="clear" w:color="auto" w:fill="FFFFFF"/>
        <w:spacing w:line="360" w:lineRule="auto"/>
        <w:jc w:val="both"/>
        <w:rPr>
          <w:rFonts w:ascii="Palatino Linotype" w:eastAsia="Palatino Linotype" w:hAnsi="Palatino Linotype" w:cs="Palatino Linotype"/>
          <w:sz w:val="22"/>
          <w:szCs w:val="22"/>
        </w:rPr>
      </w:pPr>
      <w:r w:rsidRPr="000F23D6">
        <w:rPr>
          <w:rFonts w:ascii="Palatino Linotype" w:eastAsia="Palatino Linotype" w:hAnsi="Palatino Linotype" w:cs="Palatino Linotype"/>
          <w:b/>
          <w:sz w:val="22"/>
          <w:szCs w:val="22"/>
        </w:rPr>
        <w:t xml:space="preserve">SEXTO. </w:t>
      </w:r>
      <w:r w:rsidRPr="000F23D6">
        <w:rPr>
          <w:rFonts w:ascii="Palatino Linotype" w:eastAsia="Palatino Linotype" w:hAnsi="Palatino Linotype" w:cs="Palatino Linotype"/>
          <w:sz w:val="22"/>
          <w:szCs w:val="22"/>
        </w:rPr>
        <w:t>Se hace del conocimiento del</w:t>
      </w:r>
      <w:r w:rsidRPr="000F23D6">
        <w:rPr>
          <w:rFonts w:ascii="Palatino Linotype" w:eastAsia="Palatino Linotype" w:hAnsi="Palatino Linotype" w:cs="Palatino Linotype"/>
          <w:b/>
          <w:sz w:val="22"/>
          <w:szCs w:val="22"/>
        </w:rPr>
        <w:t xml:space="preserve"> RECURRENTE </w:t>
      </w:r>
      <w:r w:rsidRPr="000F23D6">
        <w:rPr>
          <w:rFonts w:ascii="Palatino Linotype" w:eastAsia="Palatino Linotype" w:hAnsi="Palatino Linotype" w:cs="Palatino Linotype"/>
          <w:sz w:val="22"/>
          <w:szCs w:val="22"/>
        </w:rPr>
        <w:t>que, de conformidad con lo establecido en el artículo 196 de la Ley de Transparencia y Acceso a la Información Pública del Estado de México y Municipios, en caso de que considere que la resolución le cause algún perjuicio podrá impugnar vía juicio de amparo en los términos de las leyes aplicables.</w:t>
      </w:r>
    </w:p>
    <w:p w14:paraId="70237645" w14:textId="77777777" w:rsidR="002F1788" w:rsidRPr="000F23D6" w:rsidRDefault="002F1788">
      <w:pPr>
        <w:shd w:val="clear" w:color="auto" w:fill="FFFFFF"/>
        <w:spacing w:line="360" w:lineRule="auto"/>
        <w:jc w:val="both"/>
        <w:rPr>
          <w:rFonts w:ascii="Palatino Linotype" w:eastAsia="Palatino Linotype" w:hAnsi="Palatino Linotype" w:cs="Palatino Linotype"/>
          <w:sz w:val="22"/>
          <w:szCs w:val="22"/>
        </w:rPr>
      </w:pPr>
    </w:p>
    <w:p w14:paraId="1B7D2F0E" w14:textId="77777777" w:rsidR="002F1788" w:rsidRPr="000F23D6" w:rsidRDefault="002F1788">
      <w:pPr>
        <w:spacing w:line="360" w:lineRule="auto"/>
        <w:ind w:firstLine="1"/>
        <w:jc w:val="both"/>
        <w:rPr>
          <w:rFonts w:ascii="Palatino Linotype" w:eastAsia="Palatino Linotype" w:hAnsi="Palatino Linotype" w:cs="Palatino Linotype"/>
          <w:sz w:val="22"/>
          <w:szCs w:val="22"/>
        </w:rPr>
      </w:pPr>
    </w:p>
    <w:p w14:paraId="2C82E003" w14:textId="77777777" w:rsidR="007415D2" w:rsidRPr="009F2B8B" w:rsidRDefault="007415D2" w:rsidP="007415D2">
      <w:pPr>
        <w:spacing w:line="360" w:lineRule="auto"/>
        <w:ind w:left="-142" w:right="-234" w:firstLine="1"/>
        <w:jc w:val="both"/>
        <w:rPr>
          <w:rFonts w:ascii="Palatino Linotype" w:hAnsi="Palatino Linotype"/>
          <w:sz w:val="22"/>
          <w:szCs w:val="22"/>
        </w:rPr>
      </w:pPr>
      <w:r w:rsidRPr="000F23D6">
        <w:rPr>
          <w:rFonts w:ascii="Palatino Linotype" w:hAnsi="Palatino Linotype"/>
          <w:sz w:val="22"/>
          <w:szCs w:val="22"/>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w:t>
      </w:r>
      <w:r w:rsidR="009F2B8B" w:rsidRPr="000F23D6">
        <w:rPr>
          <w:rFonts w:ascii="Palatino Linotype" w:hAnsi="Palatino Linotype"/>
          <w:sz w:val="22"/>
          <w:szCs w:val="22"/>
        </w:rPr>
        <w:t xml:space="preserve"> EMITIENDO VOTO PARTICULAR</w:t>
      </w:r>
      <w:r w:rsidRPr="000F23D6">
        <w:rPr>
          <w:rFonts w:ascii="Palatino Linotype" w:hAnsi="Palatino Linotype"/>
          <w:sz w:val="22"/>
          <w:szCs w:val="22"/>
        </w:rPr>
        <w:t xml:space="preserve"> Y GUADALUPE RAMÍREZ PEÑA; EN LA CUADRAGÉSIMA SEGUNDA SESIÓN ORDINARIA CELEBRADA EL CUATRO (04) DE DICIEMBRE DE DOS MIL VEINTICUATRO, ANTE EL SECRETARIO TÉCNICO DEL PLENO ALEXIS TAPIA RAMÍREZ.</w:t>
      </w:r>
      <w:r w:rsidRPr="009F2B8B">
        <w:rPr>
          <w:rFonts w:ascii="Palatino Linotype" w:hAnsi="Palatino Linotype"/>
          <w:sz w:val="22"/>
          <w:szCs w:val="22"/>
        </w:rPr>
        <w:t xml:space="preserve"> </w:t>
      </w:r>
    </w:p>
    <w:p w14:paraId="33D8A836" w14:textId="77777777" w:rsidR="002F1788" w:rsidRPr="007415D2" w:rsidRDefault="002F1788">
      <w:pPr>
        <w:spacing w:line="360" w:lineRule="auto"/>
        <w:ind w:firstLine="1"/>
        <w:jc w:val="both"/>
        <w:rPr>
          <w:rFonts w:ascii="Palatino Linotype" w:eastAsia="Palatino Linotype" w:hAnsi="Palatino Linotype" w:cs="Palatino Linotype"/>
          <w:sz w:val="24"/>
          <w:szCs w:val="22"/>
        </w:rPr>
      </w:pPr>
    </w:p>
    <w:p w14:paraId="19B9E048" w14:textId="77777777" w:rsidR="002F1788" w:rsidRDefault="002F1788">
      <w:pPr>
        <w:spacing w:line="360" w:lineRule="auto"/>
        <w:ind w:firstLine="1"/>
        <w:jc w:val="both"/>
        <w:rPr>
          <w:rFonts w:ascii="Palatino Linotype" w:eastAsia="Palatino Linotype" w:hAnsi="Palatino Linotype" w:cs="Palatino Linotype"/>
          <w:sz w:val="22"/>
          <w:szCs w:val="22"/>
        </w:rPr>
      </w:pPr>
    </w:p>
    <w:p w14:paraId="0ADDFAA2" w14:textId="77777777" w:rsidR="002F1788" w:rsidRDefault="002F1788">
      <w:pPr>
        <w:spacing w:line="360" w:lineRule="auto"/>
        <w:ind w:firstLine="1"/>
        <w:jc w:val="both"/>
        <w:rPr>
          <w:rFonts w:ascii="Palatino Linotype" w:eastAsia="Palatino Linotype" w:hAnsi="Palatino Linotype" w:cs="Palatino Linotype"/>
          <w:sz w:val="22"/>
          <w:szCs w:val="22"/>
        </w:rPr>
      </w:pPr>
    </w:p>
    <w:p w14:paraId="00E4CF7A" w14:textId="77777777" w:rsidR="002F1788" w:rsidRDefault="002F1788">
      <w:pPr>
        <w:spacing w:line="360" w:lineRule="auto"/>
        <w:ind w:firstLine="1"/>
        <w:jc w:val="both"/>
        <w:rPr>
          <w:rFonts w:ascii="Palatino Linotype" w:eastAsia="Palatino Linotype" w:hAnsi="Palatino Linotype" w:cs="Palatino Linotype"/>
          <w:sz w:val="22"/>
          <w:szCs w:val="22"/>
        </w:rPr>
      </w:pPr>
    </w:p>
    <w:p w14:paraId="64F83EC1" w14:textId="77777777" w:rsidR="002F1788" w:rsidRDefault="002F1788">
      <w:pPr>
        <w:spacing w:line="360" w:lineRule="auto"/>
        <w:ind w:firstLine="1"/>
        <w:jc w:val="both"/>
        <w:rPr>
          <w:rFonts w:ascii="Palatino Linotype" w:eastAsia="Palatino Linotype" w:hAnsi="Palatino Linotype" w:cs="Palatino Linotype"/>
          <w:sz w:val="22"/>
          <w:szCs w:val="22"/>
        </w:rPr>
      </w:pPr>
    </w:p>
    <w:p w14:paraId="228C5E3D" w14:textId="77777777" w:rsidR="002F1788" w:rsidRDefault="002F1788">
      <w:pPr>
        <w:spacing w:line="360" w:lineRule="auto"/>
        <w:ind w:firstLine="1"/>
        <w:jc w:val="both"/>
        <w:rPr>
          <w:rFonts w:ascii="Palatino Linotype" w:eastAsia="Palatino Linotype" w:hAnsi="Palatino Linotype" w:cs="Palatino Linotype"/>
          <w:sz w:val="22"/>
          <w:szCs w:val="22"/>
        </w:rPr>
      </w:pPr>
      <w:bookmarkStart w:id="8" w:name="_GoBack"/>
      <w:bookmarkEnd w:id="8"/>
    </w:p>
    <w:p w14:paraId="7E080D38" w14:textId="77777777" w:rsidR="002F1788" w:rsidRDefault="002F1788">
      <w:pPr>
        <w:spacing w:line="360" w:lineRule="auto"/>
        <w:ind w:firstLine="1"/>
        <w:jc w:val="both"/>
        <w:rPr>
          <w:rFonts w:ascii="Palatino Linotype" w:eastAsia="Palatino Linotype" w:hAnsi="Palatino Linotype" w:cs="Palatino Linotype"/>
          <w:sz w:val="22"/>
          <w:szCs w:val="22"/>
        </w:rPr>
      </w:pPr>
    </w:p>
    <w:p w14:paraId="15F00CFD" w14:textId="77777777" w:rsidR="002F1788" w:rsidRDefault="002F1788">
      <w:pPr>
        <w:spacing w:line="360" w:lineRule="auto"/>
        <w:ind w:firstLine="1"/>
        <w:jc w:val="both"/>
        <w:rPr>
          <w:rFonts w:ascii="Palatino Linotype" w:eastAsia="Palatino Linotype" w:hAnsi="Palatino Linotype" w:cs="Palatino Linotype"/>
          <w:sz w:val="22"/>
          <w:szCs w:val="22"/>
        </w:rPr>
      </w:pPr>
    </w:p>
    <w:p w14:paraId="352F1243" w14:textId="77777777" w:rsidR="002F1788" w:rsidRDefault="002F1788">
      <w:pPr>
        <w:spacing w:line="360" w:lineRule="auto"/>
        <w:ind w:firstLine="1"/>
        <w:jc w:val="both"/>
        <w:rPr>
          <w:rFonts w:ascii="Palatino Linotype" w:eastAsia="Palatino Linotype" w:hAnsi="Palatino Linotype" w:cs="Palatino Linotype"/>
          <w:sz w:val="22"/>
          <w:szCs w:val="22"/>
        </w:rPr>
      </w:pPr>
    </w:p>
    <w:p w14:paraId="69DC71B3" w14:textId="77777777" w:rsidR="002F1788" w:rsidRDefault="002F1788">
      <w:pPr>
        <w:spacing w:line="360" w:lineRule="auto"/>
        <w:ind w:firstLine="1"/>
        <w:jc w:val="both"/>
        <w:rPr>
          <w:rFonts w:ascii="Palatino Linotype" w:eastAsia="Palatino Linotype" w:hAnsi="Palatino Linotype" w:cs="Palatino Linotype"/>
          <w:sz w:val="22"/>
          <w:szCs w:val="22"/>
        </w:rPr>
      </w:pPr>
    </w:p>
    <w:p w14:paraId="4902C64E" w14:textId="77777777" w:rsidR="002F1788" w:rsidRDefault="002F1788">
      <w:pPr>
        <w:spacing w:line="360" w:lineRule="auto"/>
        <w:ind w:firstLine="1"/>
        <w:jc w:val="both"/>
        <w:rPr>
          <w:rFonts w:ascii="Palatino Linotype" w:eastAsia="Palatino Linotype" w:hAnsi="Palatino Linotype" w:cs="Palatino Linotype"/>
          <w:sz w:val="22"/>
          <w:szCs w:val="22"/>
        </w:rPr>
      </w:pPr>
    </w:p>
    <w:p w14:paraId="0A7E75DB" w14:textId="77777777" w:rsidR="002F1788" w:rsidRDefault="002F1788">
      <w:pPr>
        <w:spacing w:line="360" w:lineRule="auto"/>
        <w:ind w:firstLine="1"/>
        <w:jc w:val="both"/>
        <w:rPr>
          <w:rFonts w:ascii="Palatino Linotype" w:eastAsia="Palatino Linotype" w:hAnsi="Palatino Linotype" w:cs="Palatino Linotype"/>
          <w:sz w:val="22"/>
          <w:szCs w:val="22"/>
        </w:rPr>
      </w:pPr>
    </w:p>
    <w:p w14:paraId="307C0C08" w14:textId="77777777" w:rsidR="002F1788" w:rsidRDefault="002F1788">
      <w:pPr>
        <w:spacing w:line="360" w:lineRule="auto"/>
        <w:ind w:firstLine="1"/>
        <w:jc w:val="both"/>
        <w:rPr>
          <w:rFonts w:ascii="Palatino Linotype" w:eastAsia="Palatino Linotype" w:hAnsi="Palatino Linotype" w:cs="Palatino Linotype"/>
          <w:sz w:val="22"/>
          <w:szCs w:val="22"/>
        </w:rPr>
      </w:pPr>
    </w:p>
    <w:sectPr w:rsidR="002F1788">
      <w:headerReference w:type="even" r:id="rId8"/>
      <w:headerReference w:type="default" r:id="rId9"/>
      <w:footerReference w:type="default" r:id="rId10"/>
      <w:headerReference w:type="first" r:id="rId11"/>
      <w:footerReference w:type="first" r:id="rId12"/>
      <w:pgSz w:w="12240" w:h="15840"/>
      <w:pgMar w:top="80" w:right="1579" w:bottom="1418" w:left="1588" w:header="709" w:footer="73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EC50FD" w14:textId="77777777" w:rsidR="0033237B" w:rsidRDefault="0033237B">
      <w:r>
        <w:separator/>
      </w:r>
    </w:p>
  </w:endnote>
  <w:endnote w:type="continuationSeparator" w:id="0">
    <w:p w14:paraId="5A68D8EB" w14:textId="77777777" w:rsidR="0033237B" w:rsidRDefault="003323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4F97DD" w14:textId="77777777" w:rsidR="002F1788" w:rsidRDefault="002F1788">
    <w:pPr>
      <w:pBdr>
        <w:top w:val="none" w:sz="0" w:space="0" w:color="000000"/>
        <w:left w:val="none" w:sz="0" w:space="0" w:color="000000"/>
        <w:bottom w:val="none" w:sz="0" w:space="0" w:color="000000"/>
        <w:right w:val="none" w:sz="0" w:space="0" w:color="000000"/>
        <w:between w:val="none" w:sz="0" w:space="0" w:color="000000"/>
      </w:pBdr>
      <w:tabs>
        <w:tab w:val="center" w:pos="4419"/>
        <w:tab w:val="right" w:pos="8838"/>
      </w:tabs>
      <w:jc w:val="right"/>
      <w:rPr>
        <w:color w:val="000000"/>
      </w:rPr>
    </w:pPr>
  </w:p>
  <w:p w14:paraId="718206AC" w14:textId="77777777" w:rsidR="002F1788" w:rsidRDefault="00131773">
    <w:pPr>
      <w:pBdr>
        <w:top w:val="none" w:sz="0" w:space="0" w:color="000000"/>
        <w:left w:val="none" w:sz="0" w:space="0" w:color="000000"/>
        <w:bottom w:val="none" w:sz="0" w:space="0" w:color="000000"/>
        <w:right w:val="none" w:sz="0" w:space="0" w:color="000000"/>
        <w:between w:val="none" w:sz="0" w:space="0" w:color="000000"/>
      </w:pBdr>
      <w:tabs>
        <w:tab w:val="center" w:pos="4419"/>
        <w:tab w:val="right" w:pos="8838"/>
      </w:tabs>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9F2B8B">
      <w:rPr>
        <w:b/>
        <w:noProof/>
        <w:color w:val="000000"/>
        <w:sz w:val="24"/>
        <w:szCs w:val="24"/>
      </w:rPr>
      <w:t>45</w: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9F2B8B">
      <w:rPr>
        <w:b/>
        <w:noProof/>
        <w:color w:val="000000"/>
        <w:sz w:val="24"/>
        <w:szCs w:val="24"/>
      </w:rPr>
      <w:t>47</w:t>
    </w:r>
    <w:r>
      <w:rPr>
        <w:b/>
        <w:color w:val="000000"/>
        <w:sz w:val="24"/>
        <w:szCs w:val="24"/>
      </w:rPr>
      <w:fldChar w:fldCharType="end"/>
    </w:r>
  </w:p>
  <w:p w14:paraId="2446EB66" w14:textId="77777777" w:rsidR="002F1788" w:rsidRDefault="002F1788">
    <w:pPr>
      <w:pBdr>
        <w:top w:val="none" w:sz="0" w:space="0" w:color="000000"/>
        <w:left w:val="none" w:sz="0" w:space="0" w:color="000000"/>
        <w:bottom w:val="none" w:sz="0" w:space="0" w:color="000000"/>
        <w:right w:val="none" w:sz="0" w:space="0" w:color="000000"/>
        <w:between w:val="none" w:sz="0" w:space="0" w:color="000000"/>
      </w:pBdr>
      <w:tabs>
        <w:tab w:val="center" w:pos="4419"/>
        <w:tab w:val="right" w:pos="8838"/>
      </w:tabs>
      <w:rPr>
        <w:color w:val="000000"/>
      </w:rPr>
    </w:pPr>
  </w:p>
  <w:p w14:paraId="4FC165B8" w14:textId="77777777" w:rsidR="002F1788" w:rsidRDefault="002F1788"/>
  <w:p w14:paraId="4968307D" w14:textId="77777777" w:rsidR="002F1788" w:rsidRDefault="002F1788"/>
  <w:p w14:paraId="3D1913C9" w14:textId="77777777" w:rsidR="002F1788" w:rsidRDefault="002F178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CA8C9E" w14:textId="77777777" w:rsidR="002F1788" w:rsidRDefault="00131773">
    <w:pPr>
      <w:pBdr>
        <w:top w:val="none" w:sz="0" w:space="0" w:color="000000"/>
        <w:left w:val="none" w:sz="0" w:space="0" w:color="000000"/>
        <w:bottom w:val="none" w:sz="0" w:space="0" w:color="000000"/>
        <w:right w:val="none" w:sz="0" w:space="0" w:color="000000"/>
        <w:between w:val="none" w:sz="0" w:space="0" w:color="000000"/>
      </w:pBdr>
      <w:tabs>
        <w:tab w:val="center" w:pos="4419"/>
        <w:tab w:val="right" w:pos="8838"/>
      </w:tabs>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9F2B8B">
      <w:rPr>
        <w:b/>
        <w:noProof/>
        <w:color w:val="000000"/>
        <w:sz w:val="24"/>
        <w:szCs w:val="24"/>
      </w:rPr>
      <w:t>1</w: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9F2B8B">
      <w:rPr>
        <w:b/>
        <w:noProof/>
        <w:color w:val="000000"/>
        <w:sz w:val="24"/>
        <w:szCs w:val="24"/>
      </w:rPr>
      <w:t>47</w:t>
    </w:r>
    <w:r>
      <w:rPr>
        <w:b/>
        <w:color w:val="000000"/>
        <w:sz w:val="24"/>
        <w:szCs w:val="24"/>
      </w:rPr>
      <w:fldChar w:fldCharType="end"/>
    </w:r>
  </w:p>
  <w:p w14:paraId="0F817479" w14:textId="77777777" w:rsidR="002F1788" w:rsidRDefault="002F1788">
    <w:pPr>
      <w:pBdr>
        <w:top w:val="none" w:sz="0" w:space="0" w:color="000000"/>
        <w:left w:val="none" w:sz="0" w:space="0" w:color="000000"/>
        <w:bottom w:val="none" w:sz="0" w:space="0" w:color="000000"/>
        <w:right w:val="none" w:sz="0" w:space="0" w:color="000000"/>
        <w:between w:val="none" w:sz="0" w:space="0" w:color="000000"/>
      </w:pBdr>
      <w:tabs>
        <w:tab w:val="center" w:pos="4419"/>
        <w:tab w:val="right" w:pos="8838"/>
      </w:tabs>
      <w:rPr>
        <w:color w:val="000000"/>
      </w:rPr>
    </w:pPr>
  </w:p>
  <w:p w14:paraId="745E0F16" w14:textId="77777777" w:rsidR="002F1788" w:rsidRDefault="002F1788"/>
  <w:p w14:paraId="5775A39F" w14:textId="77777777" w:rsidR="002F1788" w:rsidRDefault="002F1788"/>
  <w:p w14:paraId="5712E280" w14:textId="77777777" w:rsidR="002F1788" w:rsidRDefault="002F1788"/>
  <w:p w14:paraId="0A883D3E" w14:textId="77777777" w:rsidR="002F1788" w:rsidRDefault="002F178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8EFE7C" w14:textId="77777777" w:rsidR="0033237B" w:rsidRDefault="0033237B">
      <w:r>
        <w:separator/>
      </w:r>
    </w:p>
  </w:footnote>
  <w:footnote w:type="continuationSeparator" w:id="0">
    <w:p w14:paraId="17B965A6" w14:textId="77777777" w:rsidR="0033237B" w:rsidRDefault="0033237B">
      <w:r>
        <w:continuationSeparator/>
      </w:r>
    </w:p>
  </w:footnote>
  <w:footnote w:id="1">
    <w:p w14:paraId="14518A32" w14:textId="77777777" w:rsidR="002F1788" w:rsidRDefault="00131773">
      <w:pPr>
        <w:pBdr>
          <w:top w:val="nil"/>
          <w:left w:val="nil"/>
          <w:bottom w:val="nil"/>
          <w:right w:val="nil"/>
          <w:between w:val="nil"/>
        </w:pBdr>
        <w:rPr>
          <w:rFonts w:ascii="Calibri" w:eastAsia="Calibri" w:hAnsi="Calibri" w:cs="Calibri"/>
          <w:b/>
          <w:i/>
          <w:color w:val="000000"/>
          <w:sz w:val="18"/>
          <w:szCs w:val="18"/>
        </w:rPr>
      </w:pPr>
      <w:r>
        <w:rPr>
          <w:vertAlign w:val="superscript"/>
        </w:rPr>
        <w:footnoteRef/>
      </w:r>
      <w:r>
        <w:rPr>
          <w:rFonts w:ascii="Calibri" w:eastAsia="Calibri" w:hAnsi="Calibri" w:cs="Calibri"/>
          <w:b/>
          <w:color w:val="000000"/>
        </w:rPr>
        <w:t xml:space="preserve"> </w:t>
      </w:r>
      <w:r>
        <w:rPr>
          <w:rFonts w:ascii="Calibri" w:eastAsia="Calibri" w:hAnsi="Calibri" w:cs="Calibri"/>
          <w:b/>
          <w:i/>
          <w:color w:val="000000"/>
          <w:sz w:val="18"/>
          <w:szCs w:val="18"/>
        </w:rPr>
        <w:t>“Ley de Archivos y Administración de Documentos del Estado de México y Municipios</w:t>
      </w:r>
    </w:p>
    <w:p w14:paraId="172F56F1" w14:textId="77777777" w:rsidR="002F1788" w:rsidRDefault="00131773">
      <w:pPr>
        <w:pBdr>
          <w:top w:val="nil"/>
          <w:left w:val="nil"/>
          <w:bottom w:val="nil"/>
          <w:right w:val="nil"/>
          <w:between w:val="nil"/>
        </w:pBdr>
        <w:rPr>
          <w:rFonts w:ascii="Calibri" w:eastAsia="Calibri" w:hAnsi="Calibri" w:cs="Calibri"/>
          <w:i/>
          <w:color w:val="000000"/>
          <w:sz w:val="18"/>
          <w:szCs w:val="18"/>
        </w:rPr>
      </w:pPr>
      <w:r>
        <w:rPr>
          <w:rFonts w:ascii="Calibri" w:eastAsia="Calibri" w:hAnsi="Calibri" w:cs="Calibri"/>
          <w:b/>
          <w:i/>
          <w:color w:val="000000"/>
          <w:sz w:val="18"/>
          <w:szCs w:val="18"/>
        </w:rPr>
        <w:t>Artículo 29</w:t>
      </w:r>
      <w:r>
        <w:rPr>
          <w:rFonts w:ascii="Calibri" w:eastAsia="Calibri" w:hAnsi="Calibri" w:cs="Calibri"/>
          <w:i/>
          <w:color w:val="000000"/>
          <w:sz w:val="18"/>
          <w:szCs w:val="18"/>
        </w:rPr>
        <w:t xml:space="preserve">. Las áreas de </w:t>
      </w:r>
      <w:r>
        <w:rPr>
          <w:rFonts w:ascii="Calibri" w:eastAsia="Calibri" w:hAnsi="Calibri" w:cs="Calibri"/>
          <w:b/>
          <w:i/>
          <w:color w:val="000000"/>
          <w:sz w:val="18"/>
          <w:szCs w:val="18"/>
        </w:rPr>
        <w:t>correspondencia</w:t>
      </w:r>
      <w:r>
        <w:rPr>
          <w:rFonts w:ascii="Calibri" w:eastAsia="Calibri" w:hAnsi="Calibri" w:cs="Calibri"/>
          <w:i/>
          <w:color w:val="000000"/>
          <w:sz w:val="18"/>
          <w:szCs w:val="18"/>
        </w:rPr>
        <w:t xml:space="preserve"> son responsables de la recepción, registro, seguimiento y despacho de la documentación para la integración de los Expedientes de los Archivos de Trámite.”</w:t>
      </w:r>
    </w:p>
  </w:footnote>
  <w:footnote w:id="2">
    <w:p w14:paraId="0E270690" w14:textId="77777777" w:rsidR="002F1788" w:rsidRDefault="00131773">
      <w:pPr>
        <w:pBdr>
          <w:top w:val="none" w:sz="0" w:space="0" w:color="000000"/>
          <w:left w:val="none" w:sz="0" w:space="0" w:color="000000"/>
          <w:bottom w:val="none" w:sz="0" w:space="0" w:color="000000"/>
          <w:right w:val="none" w:sz="0" w:space="0" w:color="000000"/>
          <w:between w:val="none" w:sz="0" w:space="0" w:color="000000"/>
        </w:pBdr>
        <w:rPr>
          <w:color w:val="000000"/>
        </w:rPr>
      </w:pPr>
      <w:r>
        <w:rPr>
          <w:vertAlign w:val="superscript"/>
        </w:rPr>
        <w:footnoteRef/>
      </w:r>
      <w:r>
        <w:rPr>
          <w:color w:val="000000"/>
        </w:rPr>
        <w:t xml:space="preserve"> Convención Americana sobre Derechos Humanos. Artículo 13.</w:t>
      </w:r>
    </w:p>
  </w:footnote>
  <w:footnote w:id="3">
    <w:p w14:paraId="0A337FD5" w14:textId="77777777" w:rsidR="002F1788" w:rsidRDefault="00131773">
      <w:pPr>
        <w:pBdr>
          <w:top w:val="none" w:sz="0" w:space="0" w:color="000000"/>
          <w:left w:val="none" w:sz="0" w:space="0" w:color="000000"/>
          <w:bottom w:val="none" w:sz="0" w:space="0" w:color="000000"/>
          <w:right w:val="none" w:sz="0" w:space="0" w:color="000000"/>
          <w:between w:val="none" w:sz="0" w:space="0" w:color="000000"/>
        </w:pBdr>
        <w:rPr>
          <w:color w:val="000000"/>
        </w:rPr>
      </w:pPr>
      <w:r>
        <w:rPr>
          <w:vertAlign w:val="superscript"/>
        </w:rPr>
        <w:footnoteRef/>
      </w:r>
      <w:r>
        <w:rPr>
          <w:color w:val="000000"/>
        </w:rPr>
        <w:t xml:space="preserve"> Constitución Política de los Estados Unidos Mexicanos. Artículo sexto, sección A, Fracción I.</w:t>
      </w:r>
    </w:p>
  </w:footnote>
  <w:footnote w:id="4">
    <w:p w14:paraId="74BBC6B9" w14:textId="77777777" w:rsidR="002F1788" w:rsidRDefault="00131773">
      <w:pPr>
        <w:pBdr>
          <w:top w:val="none" w:sz="0" w:space="0" w:color="000000"/>
          <w:left w:val="none" w:sz="0" w:space="0" w:color="000000"/>
          <w:bottom w:val="none" w:sz="0" w:space="0" w:color="000000"/>
          <w:right w:val="none" w:sz="0" w:space="0" w:color="000000"/>
          <w:between w:val="none" w:sz="0" w:space="0" w:color="000000"/>
        </w:pBdr>
        <w:rPr>
          <w:rFonts w:ascii="Palatino Linotype" w:eastAsia="Palatino Linotype" w:hAnsi="Palatino Linotype" w:cs="Palatino Linotype"/>
          <w:color w:val="000000"/>
          <w:sz w:val="18"/>
          <w:szCs w:val="18"/>
        </w:rPr>
      </w:pPr>
      <w:r>
        <w:rPr>
          <w:vertAlign w:val="superscript"/>
        </w:rPr>
        <w:footnoteRef/>
      </w:r>
      <w:r>
        <w:rPr>
          <w:rFonts w:ascii="Palatino Linotype" w:eastAsia="Palatino Linotype" w:hAnsi="Palatino Linotype" w:cs="Palatino Linotype"/>
          <w:color w:val="000000"/>
          <w:sz w:val="18"/>
          <w:szCs w:val="18"/>
        </w:rPr>
        <w:t xml:space="preserve"> Corte Interamericana de Derechos Humanos. Caso Claude Reyes y otros vs Chile. Sentencia de 19 de septiembre de 2006. Serie C. No. 151. Párr. 86.</w:t>
      </w:r>
    </w:p>
  </w:footnote>
  <w:footnote w:id="5">
    <w:p w14:paraId="62C397D3" w14:textId="77777777" w:rsidR="002F1788" w:rsidRDefault="00131773">
      <w:pPr>
        <w:pBdr>
          <w:top w:val="none" w:sz="0" w:space="0" w:color="000000"/>
          <w:left w:val="none" w:sz="0" w:space="0" w:color="000000"/>
          <w:bottom w:val="none" w:sz="0" w:space="0" w:color="000000"/>
          <w:right w:val="none" w:sz="0" w:space="0" w:color="000000"/>
          <w:between w:val="none" w:sz="0" w:space="0" w:color="000000"/>
        </w:pBdr>
        <w:rPr>
          <w:rFonts w:ascii="Palatino Linotype" w:eastAsia="Palatino Linotype" w:hAnsi="Palatino Linotype" w:cs="Palatino Linotype"/>
          <w:color w:val="000000"/>
          <w:sz w:val="18"/>
          <w:szCs w:val="18"/>
        </w:rPr>
      </w:pPr>
      <w:r>
        <w:rPr>
          <w:vertAlign w:val="superscript"/>
        </w:rPr>
        <w:footnoteRef/>
      </w:r>
      <w:r>
        <w:rPr>
          <w:rFonts w:ascii="Palatino Linotype" w:eastAsia="Palatino Linotype" w:hAnsi="Palatino Linotype" w:cs="Palatino Linotype"/>
          <w:color w:val="000000"/>
          <w:sz w:val="18"/>
          <w:szCs w:val="18"/>
        </w:rPr>
        <w:t xml:space="preserve"> Ibídem. Párr. 87.</w:t>
      </w:r>
    </w:p>
  </w:footnote>
  <w:footnote w:id="6">
    <w:p w14:paraId="04A453CC" w14:textId="77777777" w:rsidR="002F1788" w:rsidRDefault="00131773">
      <w:pPr>
        <w:pBdr>
          <w:top w:val="none" w:sz="0" w:space="0" w:color="000000"/>
          <w:left w:val="none" w:sz="0" w:space="0" w:color="000000"/>
          <w:bottom w:val="none" w:sz="0" w:space="0" w:color="000000"/>
          <w:right w:val="none" w:sz="0" w:space="0" w:color="000000"/>
          <w:between w:val="none" w:sz="0" w:space="0" w:color="000000"/>
        </w:pBdr>
        <w:rPr>
          <w:color w:val="000000"/>
        </w:rPr>
      </w:pPr>
      <w:r>
        <w:rPr>
          <w:vertAlign w:val="superscript"/>
        </w:rPr>
        <w:footnoteRef/>
      </w:r>
      <w:r>
        <w:rPr>
          <w:rFonts w:ascii="Palatino Linotype" w:eastAsia="Palatino Linotype" w:hAnsi="Palatino Linotype" w:cs="Palatino Linotype"/>
          <w:color w:val="000000"/>
          <w:sz w:val="18"/>
          <w:szCs w:val="18"/>
        </w:rPr>
        <w:t xml:space="preserve"> Declaración conjunta del Relator Especial de las Naciones Unidas (ONU) para la Libertad de Opinión y de Expresión, el Representante para la Libertad de los Medios de Comunicación de la Organización para la Seguridad y la Cooperación en Europa (OSCE) y el Relator Especial de la Organización de los Estados Americanos (OEA) para la Libertad de Expresión (2004), disponible en </w:t>
      </w:r>
      <w:hyperlink r:id="rId1">
        <w:r>
          <w:rPr>
            <w:rFonts w:ascii="Palatino Linotype" w:eastAsia="Palatino Linotype" w:hAnsi="Palatino Linotype" w:cs="Palatino Linotype"/>
            <w:color w:val="0000FF"/>
            <w:sz w:val="18"/>
            <w:szCs w:val="18"/>
            <w:u w:val="single"/>
          </w:rPr>
          <w:t>http://www.oas.org/es/cidh/expresion/documentos_basicos/declaraciones.asp</w:t>
        </w:r>
      </w:hyperlink>
      <w:r>
        <w:rPr>
          <w:rFonts w:ascii="Palatino Linotype" w:eastAsia="Palatino Linotype" w:hAnsi="Palatino Linotype" w:cs="Palatino Linotype"/>
          <w:color w:val="000000"/>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15851A" w14:textId="77777777" w:rsidR="002F1788" w:rsidRDefault="0033237B">
    <w:pPr>
      <w:pBdr>
        <w:top w:val="none" w:sz="0" w:space="0" w:color="000000"/>
        <w:left w:val="none" w:sz="0" w:space="0" w:color="000000"/>
        <w:bottom w:val="none" w:sz="0" w:space="0" w:color="000000"/>
        <w:right w:val="none" w:sz="0" w:space="0" w:color="000000"/>
        <w:between w:val="none" w:sz="0" w:space="0" w:color="000000"/>
      </w:pBdr>
      <w:tabs>
        <w:tab w:val="center" w:pos="4419"/>
        <w:tab w:val="right" w:pos="8838"/>
      </w:tabs>
      <w:rPr>
        <w:color w:val="000000"/>
      </w:rPr>
    </w:pPr>
    <w:r>
      <w:rPr>
        <w:color w:val="000000"/>
      </w:rPr>
      <w:pict w14:anchorId="6763581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3075" type="#_x0000_t75" alt="" style="position:absolute;margin-left:0;margin-top:0;width:663.5pt;height:12in;z-index:-251658752;mso-position-horizontal:center;mso-position-horizontal-relative:margin;mso-position-vertical:center;mso-position-vertical-relative:margin">
          <v:imagedata r:id="rId1" o:title="image2"/>
          <w10:wrap anchorx="margin" anchory="margin"/>
        </v:shape>
      </w:pict>
    </w:r>
  </w:p>
  <w:p w14:paraId="3DA02005" w14:textId="77777777" w:rsidR="002F1788" w:rsidRDefault="002F1788"/>
  <w:p w14:paraId="42F9371C" w14:textId="77777777" w:rsidR="002F1788" w:rsidRDefault="002F1788"/>
  <w:p w14:paraId="6DC3F819" w14:textId="77777777" w:rsidR="002F1788" w:rsidRDefault="002F178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6BF510" w14:textId="77777777" w:rsidR="002F1788" w:rsidRDefault="002F1788">
    <w:pPr>
      <w:widowControl w:val="0"/>
      <w:pBdr>
        <w:top w:val="none" w:sz="0" w:space="0" w:color="000000"/>
        <w:left w:val="none" w:sz="0" w:space="0" w:color="000000"/>
        <w:bottom w:val="none" w:sz="0" w:space="0" w:color="000000"/>
        <w:right w:val="none" w:sz="0" w:space="0" w:color="000000"/>
        <w:between w:val="none" w:sz="0" w:space="0" w:color="000000"/>
      </w:pBdr>
      <w:spacing w:line="276" w:lineRule="auto"/>
    </w:pPr>
  </w:p>
  <w:tbl>
    <w:tblPr>
      <w:tblStyle w:val="a5"/>
      <w:tblW w:w="9356" w:type="dxa"/>
      <w:tblInd w:w="0" w:type="dxa"/>
      <w:tblLayout w:type="fixed"/>
      <w:tblLook w:val="0000" w:firstRow="0" w:lastRow="0" w:firstColumn="0" w:lastColumn="0" w:noHBand="0" w:noVBand="0"/>
    </w:tblPr>
    <w:tblGrid>
      <w:gridCol w:w="1843"/>
      <w:gridCol w:w="7513"/>
    </w:tblGrid>
    <w:tr w:rsidR="002F1788" w14:paraId="14DEF615" w14:textId="77777777">
      <w:trPr>
        <w:trHeight w:val="1435"/>
      </w:trPr>
      <w:tc>
        <w:tcPr>
          <w:tcW w:w="1843" w:type="dxa"/>
          <w:shd w:val="clear" w:color="auto" w:fill="auto"/>
          <w:tcMar>
            <w:top w:w="0" w:type="dxa"/>
            <w:left w:w="108" w:type="dxa"/>
            <w:bottom w:w="0" w:type="dxa"/>
            <w:right w:w="108" w:type="dxa"/>
          </w:tcMar>
        </w:tcPr>
        <w:p w14:paraId="7BA53E2D" w14:textId="77777777" w:rsidR="002F1788" w:rsidRDefault="00131773">
          <w:pPr>
            <w:tabs>
              <w:tab w:val="right" w:pos="4273"/>
            </w:tabs>
            <w:rPr>
              <w:rFonts w:ascii="Garamond" w:eastAsia="Garamond" w:hAnsi="Garamond" w:cs="Garamond"/>
              <w:sz w:val="16"/>
              <w:szCs w:val="16"/>
            </w:rPr>
          </w:pPr>
          <w:r>
            <w:rPr>
              <w:rFonts w:ascii="Garamond" w:eastAsia="Garamond" w:hAnsi="Garamond" w:cs="Garamond"/>
              <w:sz w:val="16"/>
              <w:szCs w:val="16"/>
            </w:rPr>
            <w:t xml:space="preserve"> </w:t>
          </w:r>
        </w:p>
      </w:tc>
      <w:tc>
        <w:tcPr>
          <w:tcW w:w="7513" w:type="dxa"/>
          <w:shd w:val="clear" w:color="auto" w:fill="auto"/>
          <w:tcMar>
            <w:top w:w="0" w:type="dxa"/>
            <w:left w:w="108" w:type="dxa"/>
            <w:bottom w:w="0" w:type="dxa"/>
            <w:right w:w="108" w:type="dxa"/>
          </w:tcMar>
        </w:tcPr>
        <w:p w14:paraId="0D4F3C9C" w14:textId="77777777" w:rsidR="002F1788" w:rsidRDefault="002F1788"/>
        <w:tbl>
          <w:tblPr>
            <w:tblStyle w:val="a6"/>
            <w:tblW w:w="7525" w:type="dxa"/>
            <w:tblInd w:w="879" w:type="dxa"/>
            <w:tblBorders>
              <w:top w:val="nil"/>
              <w:left w:val="nil"/>
              <w:bottom w:val="nil"/>
              <w:right w:val="nil"/>
              <w:insideH w:val="nil"/>
              <w:insideV w:val="nil"/>
            </w:tblBorders>
            <w:tblLayout w:type="fixed"/>
            <w:tblLook w:val="0000" w:firstRow="0" w:lastRow="0" w:firstColumn="0" w:lastColumn="0" w:noHBand="0" w:noVBand="0"/>
          </w:tblPr>
          <w:tblGrid>
            <w:gridCol w:w="2557"/>
            <w:gridCol w:w="4968"/>
          </w:tblGrid>
          <w:tr w:rsidR="002F1788" w14:paraId="57351AD3" w14:textId="77777777">
            <w:trPr>
              <w:trHeight w:val="338"/>
            </w:trPr>
            <w:tc>
              <w:tcPr>
                <w:tcW w:w="2557" w:type="dxa"/>
                <w:tcBorders>
                  <w:top w:val="nil"/>
                  <w:left w:val="nil"/>
                  <w:bottom w:val="nil"/>
                  <w:right w:val="nil"/>
                </w:tcBorders>
                <w:tcMar>
                  <w:top w:w="0" w:type="dxa"/>
                  <w:left w:w="108" w:type="dxa"/>
                  <w:bottom w:w="0" w:type="dxa"/>
                  <w:right w:w="108" w:type="dxa"/>
                </w:tcMar>
              </w:tcPr>
              <w:p w14:paraId="33D4F4AE" w14:textId="77777777" w:rsidR="002F1788" w:rsidRDefault="002F1788">
                <w:pPr>
                  <w:tabs>
                    <w:tab w:val="right" w:pos="8838"/>
                  </w:tabs>
                  <w:ind w:right="-105"/>
                  <w:rPr>
                    <w:rFonts w:ascii="Palatino Linotype" w:eastAsia="Palatino Linotype" w:hAnsi="Palatino Linotype" w:cs="Palatino Linotype"/>
                    <w:b/>
                    <w:sz w:val="22"/>
                    <w:szCs w:val="22"/>
                  </w:rPr>
                </w:pPr>
              </w:p>
              <w:p w14:paraId="0BBB800B" w14:textId="77777777" w:rsidR="002F1788" w:rsidRDefault="00131773">
                <w:pPr>
                  <w:tabs>
                    <w:tab w:val="right" w:pos="8838"/>
                  </w:tabs>
                  <w:ind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968" w:type="dxa"/>
                <w:tcBorders>
                  <w:top w:val="nil"/>
                  <w:left w:val="nil"/>
                  <w:bottom w:val="nil"/>
                  <w:right w:val="nil"/>
                </w:tcBorders>
                <w:tcMar>
                  <w:top w:w="0" w:type="dxa"/>
                  <w:left w:w="108" w:type="dxa"/>
                  <w:bottom w:w="0" w:type="dxa"/>
                  <w:right w:w="108" w:type="dxa"/>
                </w:tcMar>
              </w:tcPr>
              <w:p w14:paraId="332BEEC1" w14:textId="77777777" w:rsidR="002F1788" w:rsidRDefault="002F1788">
                <w:pPr>
                  <w:tabs>
                    <w:tab w:val="right" w:pos="8838"/>
                  </w:tabs>
                  <w:ind w:right="-105" w:hanging="101"/>
                  <w:jc w:val="both"/>
                  <w:rPr>
                    <w:rFonts w:ascii="Palatino Linotype" w:eastAsia="Palatino Linotype" w:hAnsi="Palatino Linotype" w:cs="Palatino Linotype"/>
                    <w:b/>
                    <w:sz w:val="22"/>
                    <w:szCs w:val="22"/>
                  </w:rPr>
                </w:pPr>
              </w:p>
              <w:p w14:paraId="377323E7" w14:textId="72F80E47" w:rsidR="002F1788" w:rsidRDefault="00131773">
                <w:pPr>
                  <w:tabs>
                    <w:tab w:val="right" w:pos="8838"/>
                  </w:tabs>
                  <w:ind w:left="-108" w:right="-105" w:hanging="108"/>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005873/INFOEM/IP/RR/2024</w:t>
                </w:r>
                <w:r w:rsidR="000F23D6">
                  <w:rPr>
                    <w:rFonts w:ascii="Palatino Linotype" w:eastAsia="Palatino Linotype" w:hAnsi="Palatino Linotype" w:cs="Palatino Linotype"/>
                    <w:b/>
                    <w:sz w:val="22"/>
                    <w:szCs w:val="22"/>
                  </w:rPr>
                  <w:t xml:space="preserve"> y</w:t>
                </w:r>
                <w:r>
                  <w:rPr>
                    <w:rFonts w:ascii="Palatino Linotype" w:eastAsia="Palatino Linotype" w:hAnsi="Palatino Linotype" w:cs="Palatino Linotype"/>
                    <w:b/>
                    <w:sz w:val="22"/>
                    <w:szCs w:val="22"/>
                  </w:rPr>
                  <w:t xml:space="preserve"> </w:t>
                </w:r>
                <w:proofErr w:type="spellStart"/>
                <w:r>
                  <w:rPr>
                    <w:rFonts w:ascii="Palatino Linotype" w:eastAsia="Palatino Linotype" w:hAnsi="Palatino Linotype" w:cs="Palatino Linotype"/>
                    <w:b/>
                    <w:sz w:val="22"/>
                    <w:szCs w:val="22"/>
                  </w:rPr>
                  <w:t>y</w:t>
                </w:r>
                <w:proofErr w:type="spellEnd"/>
                <w:r>
                  <w:rPr>
                    <w:rFonts w:ascii="Palatino Linotype" w:eastAsia="Palatino Linotype" w:hAnsi="Palatino Linotype" w:cs="Palatino Linotype"/>
                    <w:b/>
                    <w:sz w:val="22"/>
                    <w:szCs w:val="22"/>
                  </w:rPr>
                  <w:t xml:space="preserve"> </w:t>
                </w:r>
                <w:r>
                  <w:rPr>
                    <w:rFonts w:ascii="Palatino Linotype" w:eastAsia="Palatino Linotype" w:hAnsi="Palatino Linotype" w:cs="Palatino Linotype"/>
                    <w:b/>
                    <w:sz w:val="22"/>
                    <w:szCs w:val="22"/>
                  </w:rPr>
                  <w:br/>
                  <w:t>acumulados</w:t>
                </w:r>
              </w:p>
            </w:tc>
          </w:tr>
          <w:tr w:rsidR="002F1788" w14:paraId="4B595F74" w14:textId="77777777">
            <w:trPr>
              <w:trHeight w:val="283"/>
            </w:trPr>
            <w:tc>
              <w:tcPr>
                <w:tcW w:w="2557" w:type="dxa"/>
                <w:tcBorders>
                  <w:top w:val="nil"/>
                  <w:left w:val="nil"/>
                  <w:bottom w:val="nil"/>
                  <w:right w:val="nil"/>
                </w:tcBorders>
                <w:tcMar>
                  <w:top w:w="0" w:type="dxa"/>
                  <w:left w:w="108" w:type="dxa"/>
                  <w:bottom w:w="0" w:type="dxa"/>
                  <w:right w:w="108" w:type="dxa"/>
                </w:tcMar>
              </w:tcPr>
              <w:p w14:paraId="2B52FC8D" w14:textId="77777777" w:rsidR="002F1788" w:rsidRDefault="00131773">
                <w:pPr>
                  <w:tabs>
                    <w:tab w:val="right" w:pos="8838"/>
                  </w:tabs>
                  <w:ind w:right="-105"/>
                  <w:rPr>
                    <w:rFonts w:ascii="Palatino Linotype" w:eastAsia="Palatino Linotype" w:hAnsi="Palatino Linotype" w:cs="Palatino Linotype"/>
                    <w:b/>
                    <w:sz w:val="22"/>
                    <w:szCs w:val="22"/>
                  </w:rPr>
                </w:pPr>
                <w:bookmarkStart w:id="9" w:name="_heading=h.17dp8vu" w:colFirst="0" w:colLast="0"/>
                <w:bookmarkEnd w:id="9"/>
                <w:r>
                  <w:rPr>
                    <w:rFonts w:ascii="Palatino Linotype" w:eastAsia="Palatino Linotype" w:hAnsi="Palatino Linotype" w:cs="Palatino Linotype"/>
                    <w:b/>
                    <w:sz w:val="22"/>
                    <w:szCs w:val="22"/>
                  </w:rPr>
                  <w:t>Sujeto Obligado:</w:t>
                </w:r>
              </w:p>
            </w:tc>
            <w:tc>
              <w:tcPr>
                <w:tcW w:w="4968" w:type="dxa"/>
                <w:tcBorders>
                  <w:top w:val="nil"/>
                  <w:left w:val="nil"/>
                  <w:bottom w:val="nil"/>
                  <w:right w:val="nil"/>
                </w:tcBorders>
                <w:tcMar>
                  <w:top w:w="0" w:type="dxa"/>
                  <w:left w:w="108" w:type="dxa"/>
                  <w:bottom w:w="0" w:type="dxa"/>
                  <w:right w:w="108" w:type="dxa"/>
                </w:tcMar>
              </w:tcPr>
              <w:p w14:paraId="29AF7648" w14:textId="77777777" w:rsidR="002F1788" w:rsidRDefault="00131773">
                <w:pPr>
                  <w:tabs>
                    <w:tab w:val="left" w:pos="2834"/>
                    <w:tab w:val="right" w:pos="8838"/>
                  </w:tabs>
                  <w:ind w:left="-113" w:right="1318"/>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Ayuntamiento de Tezoyuca</w:t>
                </w:r>
              </w:p>
            </w:tc>
          </w:tr>
          <w:tr w:rsidR="002F1788" w14:paraId="653C901A" w14:textId="77777777">
            <w:trPr>
              <w:trHeight w:val="283"/>
            </w:trPr>
            <w:tc>
              <w:tcPr>
                <w:tcW w:w="2557" w:type="dxa"/>
                <w:tcBorders>
                  <w:top w:val="nil"/>
                  <w:left w:val="nil"/>
                  <w:bottom w:val="nil"/>
                  <w:right w:val="nil"/>
                </w:tcBorders>
                <w:tcMar>
                  <w:top w:w="0" w:type="dxa"/>
                  <w:left w:w="108" w:type="dxa"/>
                  <w:bottom w:w="0" w:type="dxa"/>
                  <w:right w:w="108" w:type="dxa"/>
                </w:tcMar>
              </w:tcPr>
              <w:p w14:paraId="3EAFC0EE" w14:textId="77777777" w:rsidR="002F1788" w:rsidRDefault="00131773">
                <w:pPr>
                  <w:tabs>
                    <w:tab w:val="right" w:pos="8838"/>
                  </w:tabs>
                  <w:ind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968" w:type="dxa"/>
                <w:tcBorders>
                  <w:top w:val="nil"/>
                  <w:left w:val="nil"/>
                  <w:bottom w:val="nil"/>
                  <w:right w:val="nil"/>
                </w:tcBorders>
                <w:tcMar>
                  <w:top w:w="0" w:type="dxa"/>
                  <w:left w:w="108" w:type="dxa"/>
                  <w:bottom w:w="0" w:type="dxa"/>
                  <w:right w:w="108" w:type="dxa"/>
                </w:tcMar>
              </w:tcPr>
              <w:p w14:paraId="7789317D" w14:textId="77777777" w:rsidR="002F1788" w:rsidRDefault="00131773">
                <w:pPr>
                  <w:tabs>
                    <w:tab w:val="right" w:pos="8838"/>
                  </w:tabs>
                  <w:ind w:left="-113" w:right="-10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María del Rosario Mejía Ayala</w:t>
                </w:r>
              </w:p>
            </w:tc>
          </w:tr>
        </w:tbl>
        <w:p w14:paraId="5F7133D9" w14:textId="77777777" w:rsidR="002F1788" w:rsidRDefault="002F1788">
          <w:pPr>
            <w:tabs>
              <w:tab w:val="right" w:pos="8838"/>
            </w:tabs>
            <w:ind w:left="-28"/>
            <w:jc w:val="both"/>
            <w:rPr>
              <w:rFonts w:ascii="Arial" w:eastAsia="Arial" w:hAnsi="Arial" w:cs="Arial"/>
              <w:b/>
              <w:sz w:val="22"/>
              <w:szCs w:val="22"/>
            </w:rPr>
          </w:pPr>
        </w:p>
      </w:tc>
    </w:tr>
  </w:tbl>
  <w:p w14:paraId="48934CD5" w14:textId="77777777" w:rsidR="002F1788" w:rsidRDefault="0033237B">
    <w:pPr>
      <w:pBdr>
        <w:top w:val="none" w:sz="0" w:space="0" w:color="000000"/>
        <w:left w:val="none" w:sz="0" w:space="0" w:color="000000"/>
        <w:bottom w:val="none" w:sz="0" w:space="0" w:color="000000"/>
        <w:right w:val="none" w:sz="0" w:space="0" w:color="000000"/>
        <w:between w:val="none" w:sz="0" w:space="0" w:color="000000"/>
      </w:pBdr>
      <w:tabs>
        <w:tab w:val="center" w:pos="4419"/>
        <w:tab w:val="right" w:pos="8838"/>
      </w:tabs>
      <w:rPr>
        <w:color w:val="000000"/>
        <w:sz w:val="14"/>
        <w:szCs w:val="14"/>
      </w:rPr>
    </w:pPr>
    <w:r>
      <w:rPr>
        <w:color w:val="000000"/>
        <w:sz w:val="14"/>
        <w:szCs w:val="14"/>
      </w:rPr>
      <w:pict w14:anchorId="69375E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3076" type="#_x0000_t75" alt="" style="position:absolute;margin-left:-104.3pt;margin-top:-147.5pt;width:663.5pt;height:12in;z-index:-251659776;mso-position-horizontal:absolute;mso-position-horizontal-relative:margin;mso-position-vertical:absolute;mso-position-vertical-relative:margin">
          <v:imagedata r:id="rId1" o:title="image2"/>
          <w10:wrap anchorx="margin" anchory="margin"/>
        </v:shape>
      </w:pict>
    </w:r>
  </w:p>
  <w:p w14:paraId="55F772FA" w14:textId="77777777" w:rsidR="002F1788" w:rsidRDefault="002F1788"/>
  <w:p w14:paraId="1102B45E" w14:textId="77777777" w:rsidR="002F1788" w:rsidRDefault="002F1788"/>
  <w:p w14:paraId="2FCE41EE" w14:textId="77777777" w:rsidR="002F1788" w:rsidRDefault="002F1788"/>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762AEB" w14:textId="77777777" w:rsidR="002F1788" w:rsidRDefault="002F1788">
    <w:pPr>
      <w:widowControl w:val="0"/>
      <w:pBdr>
        <w:top w:val="none" w:sz="0" w:space="0" w:color="000000"/>
        <w:left w:val="none" w:sz="0" w:space="0" w:color="000000"/>
        <w:bottom w:val="none" w:sz="0" w:space="0" w:color="000000"/>
        <w:right w:val="none" w:sz="0" w:space="0" w:color="000000"/>
        <w:between w:val="none" w:sz="0" w:space="0" w:color="000000"/>
      </w:pBdr>
      <w:spacing w:line="276" w:lineRule="auto"/>
    </w:pPr>
  </w:p>
  <w:tbl>
    <w:tblPr>
      <w:tblStyle w:val="a7"/>
      <w:tblW w:w="9498" w:type="dxa"/>
      <w:tblInd w:w="0" w:type="dxa"/>
      <w:tblLayout w:type="fixed"/>
      <w:tblLook w:val="0000" w:firstRow="0" w:lastRow="0" w:firstColumn="0" w:lastColumn="0" w:noHBand="0" w:noVBand="0"/>
    </w:tblPr>
    <w:tblGrid>
      <w:gridCol w:w="1560"/>
      <w:gridCol w:w="7938"/>
    </w:tblGrid>
    <w:tr w:rsidR="002F1788" w14:paraId="292CCF92" w14:textId="77777777">
      <w:trPr>
        <w:trHeight w:val="1435"/>
      </w:trPr>
      <w:tc>
        <w:tcPr>
          <w:tcW w:w="1560" w:type="dxa"/>
          <w:shd w:val="clear" w:color="auto" w:fill="auto"/>
          <w:tcMar>
            <w:top w:w="0" w:type="dxa"/>
            <w:left w:w="108" w:type="dxa"/>
            <w:bottom w:w="0" w:type="dxa"/>
            <w:right w:w="108" w:type="dxa"/>
          </w:tcMar>
        </w:tcPr>
        <w:p w14:paraId="67591D2F" w14:textId="77777777" w:rsidR="002F1788" w:rsidRDefault="002F1788">
          <w:pPr>
            <w:tabs>
              <w:tab w:val="right" w:pos="4273"/>
            </w:tabs>
            <w:rPr>
              <w:rFonts w:ascii="Garamond" w:eastAsia="Garamond" w:hAnsi="Garamond" w:cs="Garamond"/>
              <w:sz w:val="22"/>
              <w:szCs w:val="22"/>
            </w:rPr>
          </w:pPr>
        </w:p>
      </w:tc>
      <w:tc>
        <w:tcPr>
          <w:tcW w:w="7938" w:type="dxa"/>
          <w:shd w:val="clear" w:color="auto" w:fill="auto"/>
          <w:tcMar>
            <w:top w:w="0" w:type="dxa"/>
            <w:left w:w="108" w:type="dxa"/>
            <w:bottom w:w="0" w:type="dxa"/>
            <w:right w:w="108" w:type="dxa"/>
          </w:tcMar>
        </w:tcPr>
        <w:p w14:paraId="60C18D88" w14:textId="77777777" w:rsidR="002F1788" w:rsidRDefault="002F1788">
          <w:pPr>
            <w:widowControl w:val="0"/>
            <w:pBdr>
              <w:top w:val="none" w:sz="0" w:space="0" w:color="000000"/>
              <w:left w:val="none" w:sz="0" w:space="0" w:color="000000"/>
              <w:bottom w:val="none" w:sz="0" w:space="0" w:color="000000"/>
              <w:right w:val="none" w:sz="0" w:space="0" w:color="000000"/>
              <w:between w:val="none" w:sz="0" w:space="0" w:color="000000"/>
            </w:pBdr>
            <w:spacing w:line="276" w:lineRule="auto"/>
            <w:rPr>
              <w:rFonts w:ascii="Garamond" w:eastAsia="Garamond" w:hAnsi="Garamond" w:cs="Garamond"/>
              <w:sz w:val="22"/>
              <w:szCs w:val="22"/>
            </w:rPr>
          </w:pPr>
        </w:p>
        <w:tbl>
          <w:tblPr>
            <w:tblStyle w:val="a8"/>
            <w:tblW w:w="10740" w:type="dxa"/>
            <w:tblInd w:w="1449" w:type="dxa"/>
            <w:tblBorders>
              <w:top w:val="nil"/>
              <w:left w:val="nil"/>
              <w:bottom w:val="nil"/>
              <w:right w:val="nil"/>
              <w:insideH w:val="nil"/>
              <w:insideV w:val="nil"/>
            </w:tblBorders>
            <w:tblLayout w:type="fixed"/>
            <w:tblLook w:val="0000" w:firstRow="0" w:lastRow="0" w:firstColumn="0" w:lastColumn="0" w:noHBand="0" w:noVBand="0"/>
          </w:tblPr>
          <w:tblGrid>
            <w:gridCol w:w="2415"/>
            <w:gridCol w:w="4923"/>
            <w:gridCol w:w="3402"/>
          </w:tblGrid>
          <w:tr w:rsidR="002F1788" w14:paraId="00DE1667" w14:textId="77777777">
            <w:trPr>
              <w:trHeight w:val="144"/>
            </w:trPr>
            <w:tc>
              <w:tcPr>
                <w:tcW w:w="2415" w:type="dxa"/>
                <w:tcBorders>
                  <w:top w:val="nil"/>
                  <w:left w:val="nil"/>
                  <w:bottom w:val="nil"/>
                  <w:right w:val="nil"/>
                </w:tcBorders>
                <w:tcMar>
                  <w:top w:w="0" w:type="dxa"/>
                  <w:left w:w="108" w:type="dxa"/>
                  <w:bottom w:w="0" w:type="dxa"/>
                  <w:right w:w="108" w:type="dxa"/>
                </w:tcMar>
              </w:tcPr>
              <w:p w14:paraId="7C5F851A" w14:textId="77777777" w:rsidR="002F1788" w:rsidRDefault="00131773">
                <w:pPr>
                  <w:tabs>
                    <w:tab w:val="right" w:pos="8838"/>
                  </w:tabs>
                  <w:ind w:left="-74" w:right="-105"/>
                  <w:rPr>
                    <w:rFonts w:ascii="Palatino Linotype" w:eastAsia="Palatino Linotype" w:hAnsi="Palatino Linotype" w:cs="Palatino Linotype"/>
                    <w:b/>
                    <w:sz w:val="22"/>
                    <w:szCs w:val="22"/>
                  </w:rPr>
                </w:pPr>
                <w:bookmarkStart w:id="10" w:name="_heading=h.3rdcrjn" w:colFirst="0" w:colLast="0"/>
                <w:bookmarkEnd w:id="10"/>
                <w:r>
                  <w:rPr>
                    <w:rFonts w:ascii="Palatino Linotype" w:eastAsia="Palatino Linotype" w:hAnsi="Palatino Linotype" w:cs="Palatino Linotype"/>
                    <w:b/>
                    <w:sz w:val="22"/>
                    <w:szCs w:val="22"/>
                  </w:rPr>
                  <w:t>Recurso de Revisión:</w:t>
                </w:r>
              </w:p>
            </w:tc>
            <w:tc>
              <w:tcPr>
                <w:tcW w:w="4923" w:type="dxa"/>
                <w:tcBorders>
                  <w:top w:val="nil"/>
                  <w:left w:val="nil"/>
                  <w:bottom w:val="nil"/>
                  <w:right w:val="nil"/>
                </w:tcBorders>
                <w:tcMar>
                  <w:top w:w="0" w:type="dxa"/>
                  <w:left w:w="108" w:type="dxa"/>
                  <w:bottom w:w="0" w:type="dxa"/>
                  <w:right w:w="108" w:type="dxa"/>
                </w:tcMar>
              </w:tcPr>
              <w:p w14:paraId="77822975" w14:textId="00E7878C" w:rsidR="002F1788" w:rsidRDefault="00131773">
                <w:pPr>
                  <w:tabs>
                    <w:tab w:val="right" w:pos="8838"/>
                  </w:tabs>
                  <w:ind w:left="-3"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05873/INFOEM/IP/RR/2024</w:t>
                </w:r>
                <w:r w:rsidR="000F23D6">
                  <w:rPr>
                    <w:rFonts w:ascii="Palatino Linotype" w:eastAsia="Palatino Linotype" w:hAnsi="Palatino Linotype" w:cs="Palatino Linotype"/>
                    <w:b/>
                    <w:sz w:val="22"/>
                    <w:szCs w:val="22"/>
                  </w:rPr>
                  <w:t xml:space="preserve"> y</w:t>
                </w:r>
                <w:r>
                  <w:rPr>
                    <w:rFonts w:ascii="Palatino Linotype" w:eastAsia="Palatino Linotype" w:hAnsi="Palatino Linotype" w:cs="Palatino Linotype"/>
                    <w:b/>
                    <w:sz w:val="22"/>
                    <w:szCs w:val="22"/>
                  </w:rPr>
                  <w:t xml:space="preserve"> </w:t>
                </w:r>
                <w:proofErr w:type="spellStart"/>
                <w:r>
                  <w:rPr>
                    <w:rFonts w:ascii="Palatino Linotype" w:eastAsia="Palatino Linotype" w:hAnsi="Palatino Linotype" w:cs="Palatino Linotype"/>
                    <w:b/>
                    <w:sz w:val="22"/>
                    <w:szCs w:val="22"/>
                  </w:rPr>
                  <w:t>y</w:t>
                </w:r>
                <w:proofErr w:type="spellEnd"/>
                <w:r>
                  <w:rPr>
                    <w:rFonts w:ascii="Palatino Linotype" w:eastAsia="Palatino Linotype" w:hAnsi="Palatino Linotype" w:cs="Palatino Linotype"/>
                    <w:b/>
                    <w:sz w:val="22"/>
                    <w:szCs w:val="22"/>
                  </w:rPr>
                  <w:br/>
                  <w:t>acumulados</w:t>
                </w:r>
              </w:p>
            </w:tc>
            <w:tc>
              <w:tcPr>
                <w:tcW w:w="3402" w:type="dxa"/>
                <w:tcBorders>
                  <w:top w:val="nil"/>
                  <w:left w:val="nil"/>
                  <w:bottom w:val="nil"/>
                  <w:right w:val="nil"/>
                </w:tcBorders>
                <w:tcMar>
                  <w:top w:w="0" w:type="dxa"/>
                  <w:left w:w="108" w:type="dxa"/>
                  <w:bottom w:w="0" w:type="dxa"/>
                  <w:right w:w="108" w:type="dxa"/>
                </w:tcMar>
              </w:tcPr>
              <w:p w14:paraId="577D66D0" w14:textId="77777777" w:rsidR="002F1788" w:rsidRDefault="002F1788">
                <w:pPr>
                  <w:tabs>
                    <w:tab w:val="right" w:pos="8838"/>
                  </w:tabs>
                  <w:ind w:left="-74" w:right="-105"/>
                  <w:jc w:val="both"/>
                  <w:rPr>
                    <w:rFonts w:ascii="Palatino Linotype" w:eastAsia="Palatino Linotype" w:hAnsi="Palatino Linotype" w:cs="Palatino Linotype"/>
                    <w:sz w:val="22"/>
                    <w:szCs w:val="22"/>
                  </w:rPr>
                </w:pPr>
              </w:p>
            </w:tc>
          </w:tr>
          <w:tr w:rsidR="002F1788" w14:paraId="02AA09C4" w14:textId="77777777">
            <w:trPr>
              <w:trHeight w:val="144"/>
            </w:trPr>
            <w:tc>
              <w:tcPr>
                <w:tcW w:w="2415" w:type="dxa"/>
                <w:tcBorders>
                  <w:top w:val="nil"/>
                  <w:left w:val="nil"/>
                  <w:bottom w:val="nil"/>
                  <w:right w:val="nil"/>
                </w:tcBorders>
                <w:tcMar>
                  <w:top w:w="0" w:type="dxa"/>
                  <w:left w:w="108" w:type="dxa"/>
                  <w:bottom w:w="0" w:type="dxa"/>
                  <w:right w:w="108" w:type="dxa"/>
                </w:tcMar>
              </w:tcPr>
              <w:p w14:paraId="630E22EA" w14:textId="77777777" w:rsidR="002F1788" w:rsidRDefault="00131773">
                <w:pPr>
                  <w:tabs>
                    <w:tab w:val="right" w:pos="8838"/>
                  </w:tabs>
                  <w:ind w:left="-74" w:right="-105"/>
                  <w:rPr>
                    <w:rFonts w:ascii="Palatino Linotype" w:eastAsia="Palatino Linotype" w:hAnsi="Palatino Linotype" w:cs="Palatino Linotype"/>
                    <w:b/>
                    <w:sz w:val="22"/>
                    <w:szCs w:val="22"/>
                  </w:rPr>
                </w:pPr>
                <w:bookmarkStart w:id="11" w:name="_heading=h.26in1rg" w:colFirst="0" w:colLast="0"/>
                <w:bookmarkEnd w:id="11"/>
                <w:r>
                  <w:rPr>
                    <w:rFonts w:ascii="Palatino Linotype" w:eastAsia="Palatino Linotype" w:hAnsi="Palatino Linotype" w:cs="Palatino Linotype"/>
                    <w:b/>
                    <w:sz w:val="22"/>
                    <w:szCs w:val="22"/>
                  </w:rPr>
                  <w:t>Recurrente:</w:t>
                </w:r>
              </w:p>
            </w:tc>
            <w:tc>
              <w:tcPr>
                <w:tcW w:w="4923" w:type="dxa"/>
                <w:tcBorders>
                  <w:top w:val="nil"/>
                  <w:left w:val="nil"/>
                  <w:bottom w:val="nil"/>
                  <w:right w:val="nil"/>
                </w:tcBorders>
                <w:tcMar>
                  <w:top w:w="0" w:type="dxa"/>
                  <w:left w:w="108" w:type="dxa"/>
                  <w:bottom w:w="0" w:type="dxa"/>
                  <w:right w:w="108" w:type="dxa"/>
                </w:tcMar>
              </w:tcPr>
              <w:p w14:paraId="305E5F60" w14:textId="77777777" w:rsidR="002F1788" w:rsidRDefault="002F1788">
                <w:pPr>
                  <w:tabs>
                    <w:tab w:val="left" w:pos="3122"/>
                    <w:tab w:val="right" w:pos="8838"/>
                  </w:tabs>
                  <w:ind w:right="1457"/>
                  <w:jc w:val="both"/>
                  <w:rPr>
                    <w:rFonts w:ascii="Palatino Linotype" w:eastAsia="Palatino Linotype" w:hAnsi="Palatino Linotype" w:cs="Palatino Linotype"/>
                    <w:b/>
                    <w:sz w:val="22"/>
                    <w:szCs w:val="22"/>
                  </w:rPr>
                </w:pPr>
              </w:p>
            </w:tc>
            <w:tc>
              <w:tcPr>
                <w:tcW w:w="3402" w:type="dxa"/>
                <w:tcBorders>
                  <w:top w:val="nil"/>
                  <w:left w:val="nil"/>
                  <w:bottom w:val="nil"/>
                  <w:right w:val="nil"/>
                </w:tcBorders>
                <w:tcMar>
                  <w:top w:w="0" w:type="dxa"/>
                  <w:left w:w="108" w:type="dxa"/>
                  <w:bottom w:w="0" w:type="dxa"/>
                  <w:right w:w="108" w:type="dxa"/>
                </w:tcMar>
              </w:tcPr>
              <w:p w14:paraId="2F7DA830" w14:textId="77777777" w:rsidR="002F1788" w:rsidRDefault="002F1788">
                <w:pPr>
                  <w:tabs>
                    <w:tab w:val="left" w:pos="3122"/>
                    <w:tab w:val="right" w:pos="8838"/>
                  </w:tabs>
                  <w:ind w:right="-105"/>
                  <w:jc w:val="both"/>
                  <w:rPr>
                    <w:rFonts w:ascii="Palatino Linotype" w:eastAsia="Palatino Linotype" w:hAnsi="Palatino Linotype" w:cs="Palatino Linotype"/>
                    <w:sz w:val="22"/>
                    <w:szCs w:val="22"/>
                  </w:rPr>
                </w:pPr>
              </w:p>
            </w:tc>
          </w:tr>
          <w:tr w:rsidR="002F1788" w14:paraId="28F73D19" w14:textId="77777777">
            <w:trPr>
              <w:trHeight w:val="283"/>
            </w:trPr>
            <w:tc>
              <w:tcPr>
                <w:tcW w:w="2415" w:type="dxa"/>
                <w:tcBorders>
                  <w:top w:val="nil"/>
                  <w:left w:val="nil"/>
                  <w:bottom w:val="nil"/>
                  <w:right w:val="nil"/>
                </w:tcBorders>
                <w:tcMar>
                  <w:top w:w="0" w:type="dxa"/>
                  <w:left w:w="108" w:type="dxa"/>
                  <w:bottom w:w="0" w:type="dxa"/>
                  <w:right w:w="108" w:type="dxa"/>
                </w:tcMar>
              </w:tcPr>
              <w:p w14:paraId="50454CE3" w14:textId="77777777" w:rsidR="002F1788" w:rsidRDefault="00131773">
                <w:pPr>
                  <w:tabs>
                    <w:tab w:val="right" w:pos="8838"/>
                  </w:tabs>
                  <w:ind w:left="-74"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923" w:type="dxa"/>
                <w:tcBorders>
                  <w:top w:val="nil"/>
                  <w:left w:val="nil"/>
                  <w:bottom w:val="nil"/>
                  <w:right w:val="nil"/>
                </w:tcBorders>
                <w:tcMar>
                  <w:top w:w="0" w:type="dxa"/>
                  <w:left w:w="108" w:type="dxa"/>
                  <w:bottom w:w="0" w:type="dxa"/>
                  <w:right w:w="108" w:type="dxa"/>
                </w:tcMar>
              </w:tcPr>
              <w:p w14:paraId="0DA39283" w14:textId="77777777" w:rsidR="002F1788" w:rsidRDefault="00131773">
                <w:pPr>
                  <w:tabs>
                    <w:tab w:val="left" w:pos="2834"/>
                    <w:tab w:val="right" w:pos="8838"/>
                  </w:tabs>
                  <w:ind w:left="-3" w:right="131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Ayuntamiento de Tezoyuca</w:t>
                </w:r>
              </w:p>
            </w:tc>
            <w:tc>
              <w:tcPr>
                <w:tcW w:w="3402" w:type="dxa"/>
                <w:tcBorders>
                  <w:top w:val="nil"/>
                  <w:left w:val="nil"/>
                  <w:bottom w:val="nil"/>
                  <w:right w:val="nil"/>
                </w:tcBorders>
                <w:tcMar>
                  <w:top w:w="0" w:type="dxa"/>
                  <w:left w:w="108" w:type="dxa"/>
                  <w:bottom w:w="0" w:type="dxa"/>
                  <w:right w:w="108" w:type="dxa"/>
                </w:tcMar>
              </w:tcPr>
              <w:p w14:paraId="5738613D" w14:textId="77777777" w:rsidR="002F1788" w:rsidRDefault="002F1788">
                <w:pPr>
                  <w:tabs>
                    <w:tab w:val="left" w:pos="2834"/>
                    <w:tab w:val="right" w:pos="8838"/>
                  </w:tabs>
                  <w:ind w:left="-74" w:right="-105"/>
                  <w:jc w:val="both"/>
                  <w:rPr>
                    <w:rFonts w:ascii="Palatino Linotype" w:eastAsia="Palatino Linotype" w:hAnsi="Palatino Linotype" w:cs="Palatino Linotype"/>
                    <w:sz w:val="22"/>
                    <w:szCs w:val="22"/>
                  </w:rPr>
                </w:pPr>
              </w:p>
            </w:tc>
          </w:tr>
          <w:tr w:rsidR="002F1788" w14:paraId="24800808" w14:textId="77777777">
            <w:trPr>
              <w:trHeight w:val="283"/>
            </w:trPr>
            <w:tc>
              <w:tcPr>
                <w:tcW w:w="2415" w:type="dxa"/>
                <w:tcBorders>
                  <w:top w:val="nil"/>
                  <w:left w:val="nil"/>
                  <w:bottom w:val="nil"/>
                  <w:right w:val="nil"/>
                </w:tcBorders>
                <w:tcMar>
                  <w:top w:w="0" w:type="dxa"/>
                  <w:left w:w="108" w:type="dxa"/>
                  <w:bottom w:w="0" w:type="dxa"/>
                  <w:right w:w="108" w:type="dxa"/>
                </w:tcMar>
              </w:tcPr>
              <w:p w14:paraId="2FEFBD0D" w14:textId="77777777" w:rsidR="002F1788" w:rsidRDefault="00131773">
                <w:pPr>
                  <w:tabs>
                    <w:tab w:val="right" w:pos="8838"/>
                  </w:tabs>
                  <w:ind w:left="-74"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923" w:type="dxa"/>
                <w:tcBorders>
                  <w:top w:val="nil"/>
                  <w:left w:val="nil"/>
                  <w:bottom w:val="nil"/>
                  <w:right w:val="nil"/>
                </w:tcBorders>
                <w:tcMar>
                  <w:top w:w="0" w:type="dxa"/>
                  <w:left w:w="108" w:type="dxa"/>
                  <w:bottom w:w="0" w:type="dxa"/>
                  <w:right w:w="108" w:type="dxa"/>
                </w:tcMar>
              </w:tcPr>
              <w:p w14:paraId="1B3474D1" w14:textId="77777777" w:rsidR="002F1788" w:rsidRDefault="00131773">
                <w:pPr>
                  <w:tabs>
                    <w:tab w:val="right" w:pos="8838"/>
                  </w:tabs>
                  <w:ind w:left="-3" w:right="-10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María del Rosario Mejía Ayala</w:t>
                </w:r>
              </w:p>
            </w:tc>
            <w:tc>
              <w:tcPr>
                <w:tcW w:w="3402" w:type="dxa"/>
                <w:tcBorders>
                  <w:top w:val="nil"/>
                  <w:left w:val="nil"/>
                  <w:bottom w:val="nil"/>
                  <w:right w:val="nil"/>
                </w:tcBorders>
                <w:tcMar>
                  <w:top w:w="0" w:type="dxa"/>
                  <w:left w:w="108" w:type="dxa"/>
                  <w:bottom w:w="0" w:type="dxa"/>
                  <w:right w:w="108" w:type="dxa"/>
                </w:tcMar>
              </w:tcPr>
              <w:p w14:paraId="46722847" w14:textId="77777777" w:rsidR="002F1788" w:rsidRDefault="002F1788">
                <w:pPr>
                  <w:tabs>
                    <w:tab w:val="right" w:pos="8838"/>
                  </w:tabs>
                  <w:ind w:left="-74" w:right="-105"/>
                  <w:jc w:val="both"/>
                  <w:rPr>
                    <w:rFonts w:ascii="Palatino Linotype" w:eastAsia="Palatino Linotype" w:hAnsi="Palatino Linotype" w:cs="Palatino Linotype"/>
                    <w:sz w:val="22"/>
                    <w:szCs w:val="22"/>
                  </w:rPr>
                </w:pPr>
              </w:p>
            </w:tc>
          </w:tr>
        </w:tbl>
        <w:p w14:paraId="5EC0E562" w14:textId="77777777" w:rsidR="002F1788" w:rsidRDefault="002F1788">
          <w:pPr>
            <w:tabs>
              <w:tab w:val="right" w:pos="8838"/>
            </w:tabs>
            <w:ind w:left="-28"/>
            <w:jc w:val="both"/>
            <w:rPr>
              <w:rFonts w:ascii="Arial" w:eastAsia="Arial" w:hAnsi="Arial" w:cs="Arial"/>
              <w:b/>
              <w:sz w:val="22"/>
              <w:szCs w:val="22"/>
            </w:rPr>
          </w:pPr>
        </w:p>
      </w:tc>
    </w:tr>
  </w:tbl>
  <w:p w14:paraId="3723EE41" w14:textId="77777777" w:rsidR="002F1788" w:rsidRDefault="0033237B">
    <w:pPr>
      <w:pBdr>
        <w:top w:val="none" w:sz="0" w:space="0" w:color="000000"/>
        <w:left w:val="none" w:sz="0" w:space="0" w:color="000000"/>
        <w:bottom w:val="none" w:sz="0" w:space="0" w:color="000000"/>
        <w:right w:val="none" w:sz="0" w:space="0" w:color="000000"/>
        <w:between w:val="none" w:sz="0" w:space="0" w:color="000000"/>
      </w:pBdr>
      <w:tabs>
        <w:tab w:val="center" w:pos="4419"/>
        <w:tab w:val="center" w:pos="4522"/>
        <w:tab w:val="right" w:pos="8838"/>
      </w:tabs>
      <w:rPr>
        <w:color w:val="000000"/>
      </w:rPr>
    </w:pPr>
    <w:r>
      <w:rPr>
        <w:color w:val="000000"/>
        <w:sz w:val="14"/>
        <w:szCs w:val="14"/>
      </w:rPr>
      <w:pict w14:anchorId="0C2576F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3074" type="#_x0000_t75" style="position:absolute;margin-left:-96.45pt;margin-top:-149.05pt;width:661.75pt;height:861.75pt;z-index:-251657728;mso-position-horizontal:absolute;mso-position-horizontal-relative:margin;mso-position-vertical:absolute;mso-position-vertical-relative:margin;mso-width-relative:page;mso-height-relative:page" o:allowincell="f">
          <v:imagedata r:id="rId1" o:title="marcaaguaINFOEM"/>
          <w10:wrap anchorx="margin" anchory="margin"/>
        </v:shape>
      </w:pict>
    </w:r>
  </w:p>
  <w:p w14:paraId="787801C3" w14:textId="77777777" w:rsidR="002F1788" w:rsidRDefault="002F1788"/>
  <w:p w14:paraId="2EE880FD" w14:textId="77777777" w:rsidR="002F1788" w:rsidRDefault="002F1788"/>
  <w:p w14:paraId="28A93A29" w14:textId="77777777" w:rsidR="002F1788" w:rsidRDefault="002F178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162830"/>
    <w:multiLevelType w:val="multilevel"/>
    <w:tmpl w:val="FFFC16D8"/>
    <w:lvl w:ilvl="0">
      <w:start w:val="1"/>
      <w:numFmt w:val="lowerLetter"/>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 w15:restartNumberingAfterBreak="0">
    <w:nsid w:val="31333205"/>
    <w:multiLevelType w:val="multilevel"/>
    <w:tmpl w:val="38C8D49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35DD20E7"/>
    <w:multiLevelType w:val="multilevel"/>
    <w:tmpl w:val="D10A0F02"/>
    <w:lvl w:ilvl="0">
      <w:start w:val="1"/>
      <w:numFmt w:val="bullet"/>
      <w:lvlText w:val="●"/>
      <w:lvlJc w:val="left"/>
      <w:pPr>
        <w:ind w:left="1146" w:hanging="360"/>
      </w:pPr>
      <w:rPr>
        <w:rFonts w:ascii="Noto Sans Symbols" w:eastAsia="Noto Sans Symbols" w:hAnsi="Noto Sans Symbols" w:cs="Noto Sans Symbols"/>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3" w15:restartNumberingAfterBreak="0">
    <w:nsid w:val="3A656523"/>
    <w:multiLevelType w:val="multilevel"/>
    <w:tmpl w:val="570CC2DE"/>
    <w:lvl w:ilvl="0">
      <w:start w:val="1"/>
      <w:numFmt w:val="bullet"/>
      <w:lvlText w:val="⮚"/>
      <w:lvlJc w:val="left"/>
      <w:pPr>
        <w:ind w:left="1146" w:hanging="360"/>
      </w:pPr>
      <w:rPr>
        <w:rFonts w:ascii="Noto Sans Symbols" w:eastAsia="Noto Sans Symbols" w:hAnsi="Noto Sans Symbols" w:cs="Noto Sans Symbols"/>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4" w15:restartNumberingAfterBreak="0">
    <w:nsid w:val="67AF6E49"/>
    <w:multiLevelType w:val="multilevel"/>
    <w:tmpl w:val="844CC2E6"/>
    <w:lvl w:ilvl="0">
      <w:start w:val="1"/>
      <w:numFmt w:val="decimal"/>
      <w:lvlText w:val="%1."/>
      <w:lvlJc w:val="left"/>
      <w:pPr>
        <w:ind w:left="501" w:hanging="359"/>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69164158"/>
    <w:multiLevelType w:val="multilevel"/>
    <w:tmpl w:val="14149FD0"/>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2"/>
  </w:num>
  <w:num w:numId="3">
    <w:abstractNumId w:val="0"/>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3077"/>
    <o:shapelayout v:ext="edit">
      <o:idmap v:ext="edit" data="2,3"/>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1788"/>
    <w:rsid w:val="0002626D"/>
    <w:rsid w:val="000F23D6"/>
    <w:rsid w:val="00131773"/>
    <w:rsid w:val="00233C37"/>
    <w:rsid w:val="002F1788"/>
    <w:rsid w:val="0033237B"/>
    <w:rsid w:val="007118D7"/>
    <w:rsid w:val="007415D2"/>
    <w:rsid w:val="009F2B8B"/>
    <w:rsid w:val="00B756E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3077"/>
    <o:shapelayout v:ext="edit">
      <o:idmap v:ext="edit" data="1"/>
    </o:shapelayout>
  </w:shapeDefaults>
  <w:decimalSymbol w:val="."/>
  <w:listSeparator w:val=","/>
  <w14:docId w14:val="14A88DE0"/>
  <w15:docId w15:val="{3B342DC2-64CD-4CE1-95CA-74721E5744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lang w:eastAsia="es-ES"/>
    </w:rPr>
  </w:style>
  <w:style w:type="paragraph" w:styleId="Ttulo1">
    <w:name w:val="heading 1"/>
    <w:basedOn w:val="Normal"/>
    <w:next w:val="Normal"/>
    <w:link w:val="Ttulo1Car"/>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character" w:styleId="Refdenotaalpie">
    <w:name w:val="footnote reference"/>
    <w:basedOn w:val="Fuentedeprrafopredeter"/>
    <w:uiPriority w:val="99"/>
    <w:unhideWhenUsed/>
    <w:qFormat/>
    <w:rPr>
      <w:vertAlign w:val="superscript"/>
    </w:rPr>
  </w:style>
  <w:style w:type="character" w:styleId="Hipervnculo">
    <w:name w:val="Hyperlink"/>
    <w:basedOn w:val="Fuentedeprrafopredeter"/>
    <w:uiPriority w:val="99"/>
    <w:unhideWhenUsed/>
    <w:qFormat/>
    <w:rPr>
      <w:color w:val="0563C1" w:themeColor="hyperlink"/>
      <w:u w:val="single"/>
    </w:rPr>
  </w:style>
  <w:style w:type="paragraph" w:styleId="Textonotapie">
    <w:name w:val="footnote text"/>
    <w:basedOn w:val="Normal"/>
    <w:link w:val="TextonotapieCar"/>
    <w:uiPriority w:val="99"/>
    <w:unhideWhenUsed/>
    <w:qFormat/>
    <w:rPr>
      <w:rFonts w:ascii="Calibri" w:eastAsia="Calibri" w:hAnsi="Calibri"/>
      <w:lang w:eastAsia="en-US"/>
    </w:rPr>
  </w:style>
  <w:style w:type="paragraph" w:styleId="TDC1">
    <w:name w:val="toc 1"/>
    <w:basedOn w:val="Normal"/>
    <w:next w:val="Normal"/>
    <w:autoRedefine/>
    <w:uiPriority w:val="39"/>
    <w:semiHidden/>
    <w:unhideWhenUsed/>
    <w:qFormat/>
    <w:pPr>
      <w:spacing w:after="100"/>
    </w:pPr>
  </w:style>
  <w:style w:type="paragraph" w:styleId="Encabezado">
    <w:name w:val="header"/>
    <w:basedOn w:val="Normal"/>
    <w:link w:val="EncabezadoCar"/>
    <w:uiPriority w:val="99"/>
    <w:unhideWhenUsed/>
    <w:qFormat/>
    <w:pPr>
      <w:tabs>
        <w:tab w:val="center" w:pos="4419"/>
        <w:tab w:val="right" w:pos="8838"/>
      </w:tabs>
    </w:pPr>
  </w:style>
  <w:style w:type="paragraph" w:styleId="NormalWeb">
    <w:name w:val="Normal (Web)"/>
    <w:basedOn w:val="Normal"/>
    <w:uiPriority w:val="99"/>
    <w:semiHidden/>
    <w:unhideWhenUsed/>
    <w:qFormat/>
    <w:pPr>
      <w:spacing w:before="100" w:beforeAutospacing="1" w:after="100" w:afterAutospacing="1"/>
    </w:pPr>
    <w:rPr>
      <w:sz w:val="24"/>
      <w:szCs w:val="24"/>
      <w:lang w:eastAsia="es-MX"/>
    </w:rPr>
  </w:style>
  <w:style w:type="paragraph" w:styleId="Piedepgina">
    <w:name w:val="footer"/>
    <w:basedOn w:val="Normal"/>
    <w:link w:val="PiedepginaCar"/>
    <w:uiPriority w:val="99"/>
    <w:unhideWhenUsed/>
    <w:qFormat/>
    <w:pPr>
      <w:tabs>
        <w:tab w:val="center" w:pos="4419"/>
        <w:tab w:val="right" w:pos="8838"/>
      </w:tabs>
    </w:p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Textosinformato">
    <w:name w:val="Plain Text"/>
    <w:basedOn w:val="Normal"/>
    <w:link w:val="TextosinformatoCar"/>
    <w:qFormat/>
    <w:rPr>
      <w:rFonts w:ascii="Courier New" w:hAnsi="Courier New"/>
      <w:lang w:val="zh-CN"/>
    </w:rPr>
  </w:style>
  <w:style w:type="table" w:styleId="Tablaconcuadrcula">
    <w:name w:val="Table Grid"/>
    <w:basedOn w:val="Tablanormal"/>
    <w:uiPriority w:val="39"/>
    <w:qFormat/>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
    <w:tblPr>
      <w:tblCellMar>
        <w:top w:w="0" w:type="dxa"/>
        <w:left w:w="0" w:type="dxa"/>
        <w:bottom w:w="0" w:type="dxa"/>
        <w:right w:w="0" w:type="dxa"/>
      </w:tblCellMar>
    </w:tblPr>
  </w:style>
  <w:style w:type="character" w:customStyle="1" w:styleId="Ttulo1Car">
    <w:name w:val="Título 1 Car"/>
    <w:basedOn w:val="Fuentedeprrafopredeter"/>
    <w:link w:val="Ttulo1"/>
    <w:uiPriority w:val="9"/>
    <w:rPr>
      <w:rFonts w:asciiTheme="majorHAnsi" w:eastAsiaTheme="majorEastAsia" w:hAnsiTheme="majorHAnsi" w:cstheme="majorBidi"/>
      <w:color w:val="2E74B5" w:themeColor="accent1" w:themeShade="BF"/>
      <w:sz w:val="32"/>
      <w:szCs w:val="32"/>
      <w:lang w:val="es-MX" w:eastAsia="es-ES"/>
    </w:rPr>
  </w:style>
  <w:style w:type="character" w:customStyle="1" w:styleId="Ttulo2Car">
    <w:name w:val="Título 2 Car"/>
    <w:basedOn w:val="Fuentedeprrafopredeter"/>
    <w:link w:val="Ttulo2"/>
    <w:uiPriority w:val="9"/>
    <w:qFormat/>
    <w:rPr>
      <w:rFonts w:asciiTheme="majorHAnsi" w:eastAsiaTheme="majorEastAsia" w:hAnsiTheme="majorHAnsi" w:cstheme="majorBidi"/>
      <w:color w:val="2E74B5" w:themeColor="accent1" w:themeShade="BF"/>
      <w:sz w:val="26"/>
      <w:szCs w:val="26"/>
      <w:lang w:val="es-MX" w:eastAsia="es-ES"/>
    </w:rPr>
  </w:style>
  <w:style w:type="character" w:customStyle="1" w:styleId="TextonotapieCar">
    <w:name w:val="Texto nota pie Car"/>
    <w:basedOn w:val="Fuentedeprrafopredeter"/>
    <w:link w:val="Textonotapie"/>
    <w:uiPriority w:val="99"/>
    <w:qFormat/>
    <w:rPr>
      <w:rFonts w:ascii="Calibri" w:eastAsia="Calibri" w:hAnsi="Calibri" w:cs="Times New Roman"/>
      <w:sz w:val="20"/>
      <w:szCs w:val="20"/>
      <w:lang w:val="es-MX"/>
    </w:rPr>
  </w:style>
  <w:style w:type="character" w:customStyle="1" w:styleId="EncabezadoCar">
    <w:name w:val="Encabezado Car"/>
    <w:basedOn w:val="Fuentedeprrafopredeter"/>
    <w:link w:val="Encabezado"/>
    <w:uiPriority w:val="99"/>
    <w:qFormat/>
    <w:rPr>
      <w:rFonts w:ascii="Times New Roman" w:eastAsia="Times New Roman" w:hAnsi="Times New Roman" w:cs="Times New Roman"/>
      <w:sz w:val="20"/>
      <w:szCs w:val="20"/>
      <w:lang w:val="es-MX" w:eastAsia="es-ES"/>
    </w:rPr>
  </w:style>
  <w:style w:type="character" w:customStyle="1" w:styleId="PiedepginaCar">
    <w:name w:val="Pie de página Car"/>
    <w:basedOn w:val="Fuentedeprrafopredeter"/>
    <w:link w:val="Piedepgina"/>
    <w:uiPriority w:val="99"/>
    <w:qFormat/>
    <w:rPr>
      <w:rFonts w:ascii="Times New Roman" w:eastAsia="Times New Roman" w:hAnsi="Times New Roman" w:cs="Times New Roman"/>
      <w:sz w:val="20"/>
      <w:szCs w:val="20"/>
      <w:lang w:val="es-MX" w:eastAsia="es-ES"/>
    </w:rPr>
  </w:style>
  <w:style w:type="paragraph" w:styleId="Prrafodelista">
    <w:name w:val="List Paragraph"/>
    <w:basedOn w:val="Normal"/>
    <w:link w:val="PrrafodelistaCar"/>
    <w:uiPriority w:val="34"/>
    <w:qFormat/>
    <w:pPr>
      <w:ind w:left="720"/>
      <w:contextualSpacing/>
    </w:pPr>
    <w:rPr>
      <w:rFonts w:ascii="Century Gothic" w:hAnsi="Century Gothic"/>
      <w:sz w:val="22"/>
      <w:szCs w:val="24"/>
    </w:rPr>
  </w:style>
  <w:style w:type="character" w:customStyle="1" w:styleId="PrrafodelistaCar">
    <w:name w:val="Párrafo de lista Car"/>
    <w:basedOn w:val="Fuentedeprrafopredeter"/>
    <w:link w:val="Prrafodelista"/>
    <w:uiPriority w:val="34"/>
    <w:qFormat/>
    <w:rPr>
      <w:rFonts w:ascii="Century Gothic" w:eastAsia="Times New Roman" w:hAnsi="Century Gothic" w:cs="Times New Roman"/>
      <w:szCs w:val="24"/>
      <w:lang w:val="es-MX" w:eastAsia="es-ES"/>
    </w:rPr>
  </w:style>
  <w:style w:type="paragraph" w:customStyle="1" w:styleId="m1609377113336227858gmail-msonormal">
    <w:name w:val="m_1609377113336227858gmail-msonormal"/>
    <w:basedOn w:val="Normal"/>
    <w:qFormat/>
    <w:pPr>
      <w:spacing w:before="100" w:beforeAutospacing="1" w:after="100" w:afterAutospacing="1"/>
    </w:pPr>
    <w:rPr>
      <w:sz w:val="24"/>
      <w:szCs w:val="24"/>
      <w:lang w:val="es-ES"/>
    </w:rPr>
  </w:style>
  <w:style w:type="character" w:customStyle="1" w:styleId="TextonotapieCar1">
    <w:name w:val="Texto nota pie Car1"/>
    <w:basedOn w:val="Fuentedeprrafopredeter"/>
    <w:uiPriority w:val="99"/>
    <w:semiHidden/>
    <w:qFormat/>
    <w:rPr>
      <w:rFonts w:ascii="Times New Roman" w:eastAsia="Times New Roman" w:hAnsi="Times New Roman" w:cs="Times New Roman"/>
      <w:sz w:val="20"/>
      <w:szCs w:val="20"/>
      <w:lang w:eastAsia="es-MX"/>
    </w:rPr>
  </w:style>
  <w:style w:type="character" w:customStyle="1" w:styleId="TextosinformatoCar">
    <w:name w:val="Texto sin formato Car"/>
    <w:basedOn w:val="Fuentedeprrafopredeter"/>
    <w:link w:val="Textosinformato"/>
    <w:qFormat/>
    <w:rPr>
      <w:rFonts w:ascii="Courier New" w:eastAsia="Times New Roman" w:hAnsi="Courier New" w:cs="Times New Roman"/>
      <w:sz w:val="20"/>
      <w:szCs w:val="20"/>
      <w:lang w:val="zh-CN" w:eastAsia="es-ES"/>
    </w:rPr>
  </w:style>
  <w:style w:type="table" w:customStyle="1" w:styleId="Tablanormal12">
    <w:name w:val="Tabla normal 12"/>
    <w:basedOn w:val="Tablanormal"/>
    <w:uiPriority w:val="41"/>
    <w:qFormat/>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normal11">
    <w:name w:val="Tabla normal 11"/>
    <w:basedOn w:val="Tablanormal"/>
    <w:uiPriority w:val="41"/>
    <w:qFormat/>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Style41">
    <w:name w:val="_Style 41"/>
    <w:basedOn w:val="TableNormal1"/>
    <w:qFormat/>
    <w:tblPr>
      <w:tblCellMar>
        <w:left w:w="108" w:type="dxa"/>
        <w:right w:w="108" w:type="dxa"/>
      </w:tblCellMar>
    </w:tblPr>
    <w:tblStylePr w:type="firstRow">
      <w:rPr>
        <w:b/>
      </w:rPr>
    </w:tblStylePr>
    <w:tblStylePr w:type="lastRow">
      <w:rPr>
        <w:b/>
      </w:rPr>
      <w:tblPr/>
      <w:tcPr>
        <w:tcBorders>
          <w:top w:val="single" w:sz="4" w:space="0" w:color="BFBFBF"/>
        </w:tcBorders>
      </w:tcPr>
    </w:tblStylePr>
    <w:tblStylePr w:type="firstCol">
      <w:rPr>
        <w:b/>
      </w:rPr>
    </w:tblStylePr>
    <w:tblStylePr w:type="lastCol">
      <w:rPr>
        <w:b/>
      </w:rPr>
    </w:tblStylePr>
    <w:tblStylePr w:type="band1Vert">
      <w:tblPr/>
      <w:tcPr>
        <w:shd w:val="clear" w:color="auto" w:fill="F2F2F2"/>
      </w:tcPr>
    </w:tblStylePr>
    <w:tblStylePr w:type="band1Horz">
      <w:tblPr/>
      <w:tcPr>
        <w:shd w:val="clear" w:color="auto" w:fill="F2F2F2"/>
      </w:tcPr>
    </w:tblStylePr>
  </w:style>
  <w:style w:type="table" w:customStyle="1" w:styleId="Style42">
    <w:name w:val="_Style 42"/>
    <w:basedOn w:val="TableNormal1"/>
    <w:qFormat/>
    <w:tblPr>
      <w:tblCellMar>
        <w:left w:w="115" w:type="dxa"/>
        <w:right w:w="115" w:type="dxa"/>
      </w:tblCellMar>
    </w:tblPr>
  </w:style>
  <w:style w:type="table" w:customStyle="1" w:styleId="Style43">
    <w:name w:val="_Style 43"/>
    <w:basedOn w:val="TableNormal1"/>
    <w:qFormat/>
    <w:tblPr>
      <w:tblCellMar>
        <w:left w:w="108" w:type="dxa"/>
        <w:right w:w="108" w:type="dxa"/>
      </w:tblCellMar>
    </w:tblPr>
  </w:style>
  <w:style w:type="table" w:customStyle="1" w:styleId="Style44">
    <w:name w:val="_Style 44"/>
    <w:basedOn w:val="TableNormal1"/>
    <w:qFormat/>
    <w:tblPr>
      <w:tblCellMar>
        <w:left w:w="115" w:type="dxa"/>
        <w:right w:w="115" w:type="dxa"/>
      </w:tblCellMar>
    </w:tblPr>
  </w:style>
  <w:style w:type="table" w:customStyle="1" w:styleId="Style45">
    <w:name w:val="_Style 45"/>
    <w:basedOn w:val="TableNormal1"/>
    <w:qFormat/>
    <w:tblPr>
      <w:tblCellMar>
        <w:left w:w="108" w:type="dxa"/>
        <w:right w:w="108" w:type="dxa"/>
      </w:tblCellMar>
    </w:tblPr>
  </w:style>
  <w:style w:type="paragraph" w:customStyle="1" w:styleId="Citas">
    <w:name w:val="Citas"/>
    <w:basedOn w:val="Normal"/>
    <w:qFormat/>
    <w:pPr>
      <w:spacing w:before="240" w:after="160" w:line="360" w:lineRule="auto"/>
      <w:ind w:left="851" w:right="851"/>
      <w:jc w:val="both"/>
    </w:pPr>
    <w:rPr>
      <w:rFonts w:ascii="Palatino Linotype" w:eastAsiaTheme="minorHAnsi" w:hAnsi="Palatino Linotype" w:cs="Arial"/>
      <w:i/>
      <w:sz w:val="22"/>
      <w:szCs w:val="22"/>
      <w:lang w:eastAsia="en-US"/>
    </w:rPr>
  </w:style>
  <w:style w:type="table" w:customStyle="1" w:styleId="Style49">
    <w:name w:val="_Style 49"/>
    <w:basedOn w:val="TableNormal1"/>
    <w:qFormat/>
    <w:tblPr>
      <w:tblCellMar>
        <w:left w:w="108" w:type="dxa"/>
        <w:right w:w="108" w:type="dxa"/>
      </w:tblCellMar>
    </w:tblPr>
  </w:style>
  <w:style w:type="table" w:customStyle="1" w:styleId="Style50">
    <w:name w:val="_Style 50"/>
    <w:basedOn w:val="TableNormal1"/>
    <w:qFormat/>
    <w:tblPr>
      <w:tblCellMar>
        <w:left w:w="108" w:type="dxa"/>
        <w:right w:w="108" w:type="dxa"/>
      </w:tblCellMar>
    </w:tblPr>
  </w:style>
  <w:style w:type="table" w:customStyle="1" w:styleId="Style51">
    <w:name w:val="_Style 51"/>
    <w:basedOn w:val="TableNormal1"/>
    <w:qFormat/>
    <w:tblPr>
      <w:tblCellMar>
        <w:left w:w="108" w:type="dxa"/>
        <w:right w:w="108" w:type="dxa"/>
      </w:tblCellMar>
    </w:tblPr>
  </w:style>
  <w:style w:type="table" w:customStyle="1" w:styleId="Style52">
    <w:name w:val="_Style 52"/>
    <w:basedOn w:val="TableNormal1"/>
    <w:qFormat/>
    <w:tblPr>
      <w:tblCellMar>
        <w:left w:w="108" w:type="dxa"/>
        <w:right w:w="108" w:type="dxa"/>
      </w:tblCellMar>
    </w:tblPr>
  </w:style>
  <w:style w:type="table" w:customStyle="1" w:styleId="Style53">
    <w:name w:val="_Style 53"/>
    <w:basedOn w:val="TableNormal1"/>
    <w:qFormat/>
    <w:tblPr>
      <w:tblCellMar>
        <w:left w:w="108" w:type="dxa"/>
        <w:right w:w="108" w:type="dxa"/>
      </w:tblCellMar>
    </w:tblPr>
  </w:style>
  <w:style w:type="table" w:customStyle="1" w:styleId="a">
    <w:basedOn w:val="TableNormal0"/>
    <w:tblPr>
      <w:tblStyleRowBandSize w:val="1"/>
      <w:tblStyleColBandSize w:val="1"/>
      <w:tblCellMar>
        <w:top w:w="15" w:type="dxa"/>
        <w:left w:w="15" w:type="dxa"/>
        <w:bottom w:w="15" w:type="dxa"/>
        <w:right w:w="15" w:type="dxa"/>
      </w:tblCellMar>
    </w:tblPr>
  </w:style>
  <w:style w:type="table" w:customStyle="1" w:styleId="a0">
    <w:basedOn w:val="TableNormal0"/>
    <w:tblPr>
      <w:tblStyleRowBandSize w:val="1"/>
      <w:tblStyleColBandSize w:val="1"/>
      <w:tblCellMar>
        <w:left w:w="108" w:type="dxa"/>
        <w:right w:w="108" w:type="dxa"/>
      </w:tblCellMar>
    </w:tblPr>
  </w:style>
  <w:style w:type="table" w:customStyle="1" w:styleId="a1">
    <w:basedOn w:val="TableNormal0"/>
    <w:tblPr>
      <w:tblStyleRowBandSize w:val="1"/>
      <w:tblStyleColBandSize w:val="1"/>
      <w:tblCellMar>
        <w:left w:w="108" w:type="dxa"/>
        <w:right w:w="108" w:type="dxa"/>
      </w:tblCellMar>
    </w:tblPr>
  </w:style>
  <w:style w:type="table" w:customStyle="1" w:styleId="a2">
    <w:basedOn w:val="TableNormal0"/>
    <w:tblPr>
      <w:tblStyleRowBandSize w:val="1"/>
      <w:tblStyleColBandSize w:val="1"/>
      <w:tblCellMar>
        <w:left w:w="108" w:type="dxa"/>
        <w:right w:w="108" w:type="dxa"/>
      </w:tblCellMar>
    </w:tblPr>
  </w:style>
  <w:style w:type="table" w:customStyle="1" w:styleId="a3">
    <w:basedOn w:val="TableNormal0"/>
    <w:tblPr>
      <w:tblStyleRowBandSize w:val="1"/>
      <w:tblStyleColBandSize w:val="1"/>
      <w:tblCellMar>
        <w:left w:w="108" w:type="dxa"/>
        <w:right w:w="108" w:type="dxa"/>
      </w:tblCellMar>
    </w:tblPr>
  </w:style>
  <w:style w:type="table" w:customStyle="1" w:styleId="a4">
    <w:basedOn w:val="TableNormal0"/>
    <w:tblPr>
      <w:tblStyleRowBandSize w:val="1"/>
      <w:tblStyleColBandSize w:val="1"/>
      <w:tblCellMar>
        <w:left w:w="108" w:type="dxa"/>
        <w:right w:w="108" w:type="dxa"/>
      </w:tblCellMar>
    </w:tblPr>
  </w:style>
  <w:style w:type="table" w:customStyle="1" w:styleId="a5">
    <w:basedOn w:val="TableNormal0"/>
    <w:tblPr>
      <w:tblStyleRowBandSize w:val="1"/>
      <w:tblStyleColBandSize w:val="1"/>
      <w:tblCellMar>
        <w:left w:w="108" w:type="dxa"/>
        <w:right w:w="108" w:type="dxa"/>
      </w:tblCellMar>
    </w:tblPr>
  </w:style>
  <w:style w:type="table" w:customStyle="1" w:styleId="a6">
    <w:basedOn w:val="TableNormal0"/>
    <w:tblPr>
      <w:tblStyleRowBandSize w:val="1"/>
      <w:tblStyleColBandSize w:val="1"/>
      <w:tblCellMar>
        <w:left w:w="108" w:type="dxa"/>
        <w:right w:w="108" w:type="dxa"/>
      </w:tblCellMar>
    </w:tblPr>
  </w:style>
  <w:style w:type="table" w:customStyle="1" w:styleId="a7">
    <w:basedOn w:val="TableNormal0"/>
    <w:tblPr>
      <w:tblStyleRowBandSize w:val="1"/>
      <w:tblStyleColBandSize w:val="1"/>
      <w:tblCellMar>
        <w:left w:w="108" w:type="dxa"/>
        <w:right w:w="108" w:type="dxa"/>
      </w:tblCellMar>
    </w:tblPr>
  </w:style>
  <w:style w:type="table" w:customStyle="1" w:styleId="a8">
    <w:basedOn w:val="TableNormal0"/>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oas.org/es/cidh/expresion/documentos_basicos/declaraciones.as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dKnc512mQcaSL0L6Pod9M2Dqr1w==">CgMxLjAyCWguMzBqMHpsbDIJaC4xZm9iOXRlMgloLjN6bnlzaDcyCWguMmV0OTJwMDIIaC50eWpjd3QyCWguMnM4ZXlvMTIIaC5namRneHMyCWguMWtzdjR1djIJaC4xN2RwOHZ1MgloLjNyZGNyam4yCWguMjZpbjFyZzgAciExSFMzTWRyLVhkbnktazVzanBjSEkydk5oTXJ0M2tUVUc=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47</Pages>
  <Words>9908</Words>
  <Characters>54495</Characters>
  <Application>Microsoft Office Word</Application>
  <DocSecurity>0</DocSecurity>
  <Lines>454</Lines>
  <Paragraphs>128</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64275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Lennon Ruiz</cp:lastModifiedBy>
  <cp:revision>5</cp:revision>
  <cp:lastPrinted>2024-12-06T01:15:00Z</cp:lastPrinted>
  <dcterms:created xsi:type="dcterms:W3CDTF">2024-12-03T00:19:00Z</dcterms:created>
  <dcterms:modified xsi:type="dcterms:W3CDTF">2024-12-06T01:16:00Z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2058-12.2.0.18911</vt:lpwstr>
  </property>
  <property fmtid="{D5CDD505-2E9C-101B-9397-08002B2CF9AE}" pid="3" name="ICV">
    <vt:lpwstr>8D8D6D9D4FCB48DA802C7E666E02CF32_12</vt:lpwstr>
  </property>
</Properties>
</file>