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151" w:rsidRDefault="00EF2151">
      <w:pPr>
        <w:widowControl w:val="0"/>
        <w:pBdr>
          <w:top w:val="nil"/>
          <w:left w:val="nil"/>
          <w:bottom w:val="nil"/>
          <w:right w:val="nil"/>
          <w:between w:val="nil"/>
        </w:pBdr>
        <w:spacing w:line="276" w:lineRule="auto"/>
      </w:pPr>
    </w:p>
    <w:p w:rsidR="00EF2151" w:rsidRDefault="00EF2151">
      <w:pPr>
        <w:spacing w:line="360" w:lineRule="auto"/>
        <w:ind w:right="-28"/>
        <w:jc w:val="both"/>
        <w:rPr>
          <w:rFonts w:ascii="Palatino Linotype" w:eastAsia="Palatino Linotype" w:hAnsi="Palatino Linotype" w:cs="Palatino Linotype"/>
          <w:sz w:val="22"/>
          <w:szCs w:val="22"/>
        </w:rPr>
      </w:pPr>
    </w:p>
    <w:p w:rsidR="00EF2151" w:rsidRPr="00F30AD4" w:rsidRDefault="00A8726A">
      <w:pPr>
        <w:spacing w:line="360" w:lineRule="auto"/>
        <w:ind w:right="-28"/>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Metepec, Estado de México, de fecha cuatro de diciembre de dos mil veinticuatro.</w:t>
      </w:r>
    </w:p>
    <w:p w:rsidR="00EF2151" w:rsidRPr="00F30AD4" w:rsidRDefault="00EF2151">
      <w:pPr>
        <w:spacing w:line="360" w:lineRule="auto"/>
        <w:ind w:right="-28"/>
        <w:jc w:val="both"/>
        <w:rPr>
          <w:rFonts w:ascii="Palatino Linotype" w:eastAsia="Palatino Linotype" w:hAnsi="Palatino Linotype" w:cs="Palatino Linotype"/>
          <w:sz w:val="22"/>
          <w:szCs w:val="22"/>
        </w:rPr>
      </w:pPr>
    </w:p>
    <w:p w:rsidR="00EF2151" w:rsidRPr="00F30AD4" w:rsidRDefault="00A8726A">
      <w:pPr>
        <w:spacing w:line="360" w:lineRule="auto"/>
        <w:ind w:right="-28"/>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b/>
          <w:sz w:val="22"/>
          <w:szCs w:val="22"/>
        </w:rPr>
        <w:t xml:space="preserve">VISTO </w:t>
      </w:r>
      <w:r w:rsidRPr="00F30AD4">
        <w:rPr>
          <w:rFonts w:ascii="Palatino Linotype" w:eastAsia="Palatino Linotype" w:hAnsi="Palatino Linotype" w:cs="Palatino Linotype"/>
          <w:sz w:val="22"/>
          <w:szCs w:val="22"/>
        </w:rPr>
        <w:t xml:space="preserve">el expediente conformado con motivo del Recurso de Revisión </w:t>
      </w:r>
      <w:r w:rsidRPr="000D3808">
        <w:rPr>
          <w:rFonts w:ascii="Palatino Linotype" w:eastAsia="Palatino Linotype" w:hAnsi="Palatino Linotype" w:cs="Palatino Linotype"/>
          <w:b/>
          <w:color w:val="0D0D0D"/>
          <w:sz w:val="22"/>
          <w:szCs w:val="22"/>
        </w:rPr>
        <w:t>07066/INFOEM/IP/RR/2024</w:t>
      </w:r>
      <w:r w:rsidRPr="000D3808">
        <w:rPr>
          <w:rFonts w:ascii="Palatino Linotype" w:eastAsia="Palatino Linotype" w:hAnsi="Palatino Linotype" w:cs="Palatino Linotype"/>
          <w:b/>
          <w:sz w:val="22"/>
          <w:szCs w:val="22"/>
        </w:rPr>
        <w:t>,</w:t>
      </w:r>
      <w:r w:rsidRPr="00F30AD4">
        <w:rPr>
          <w:rFonts w:ascii="Palatino Linotype" w:eastAsia="Palatino Linotype" w:hAnsi="Palatino Linotype" w:cs="Palatino Linotype"/>
          <w:sz w:val="22"/>
          <w:szCs w:val="22"/>
        </w:rPr>
        <w:t xml:space="preserve"> interpuesto por </w:t>
      </w:r>
      <w:r w:rsidR="004D53A5" w:rsidRPr="004D53A5">
        <w:rPr>
          <w:rFonts w:ascii="Palatino Linotype" w:eastAsia="Palatino Linotype" w:hAnsi="Palatino Linotype" w:cs="Palatino Linotype"/>
          <w:sz w:val="22"/>
          <w:szCs w:val="22"/>
          <w:highlight w:val="black"/>
        </w:rPr>
        <w:t>XX</w:t>
      </w:r>
      <w:r w:rsidRPr="00F30AD4">
        <w:rPr>
          <w:rFonts w:ascii="Palatino Linotype" w:eastAsia="Palatino Linotype" w:hAnsi="Palatino Linotype" w:cs="Palatino Linotype"/>
          <w:sz w:val="22"/>
          <w:szCs w:val="22"/>
        </w:rPr>
        <w:t xml:space="preserve"> en lo sucesivo el Recurrente o Particular, en contra de la respuesta del Sujeto Obligado, </w:t>
      </w:r>
      <w:r w:rsidRPr="000D3808">
        <w:rPr>
          <w:rFonts w:ascii="Palatino Linotype" w:eastAsia="Palatino Linotype" w:hAnsi="Palatino Linotype" w:cs="Palatino Linotype"/>
          <w:b/>
          <w:color w:val="000000"/>
          <w:sz w:val="22"/>
          <w:szCs w:val="22"/>
        </w:rPr>
        <w:t>Secretaría Ejecutiva del Sistema Estatal Anticorrupción</w:t>
      </w:r>
      <w:r w:rsidRPr="000D3808">
        <w:rPr>
          <w:rFonts w:ascii="Palatino Linotype" w:eastAsia="Palatino Linotype" w:hAnsi="Palatino Linotype" w:cs="Palatino Linotype"/>
          <w:b/>
          <w:sz w:val="22"/>
          <w:szCs w:val="22"/>
        </w:rPr>
        <w:t>,</w:t>
      </w:r>
      <w:r w:rsidRPr="00F30AD4">
        <w:rPr>
          <w:rFonts w:ascii="Palatino Linotype" w:eastAsia="Palatino Linotype" w:hAnsi="Palatino Linotype" w:cs="Palatino Linotype"/>
          <w:sz w:val="22"/>
          <w:szCs w:val="22"/>
        </w:rPr>
        <w:t xml:space="preserve"> a la solicitud de acceso a la información pública con número de folio 01021/SESEA/IP/2024, se emite la presente Resolución, con base en los Antecedentes y Considerandos que se exponen a continuación:</w:t>
      </w:r>
    </w:p>
    <w:p w:rsidR="00EF2151" w:rsidRPr="00F30AD4" w:rsidRDefault="00EF2151">
      <w:pPr>
        <w:spacing w:line="360" w:lineRule="auto"/>
        <w:ind w:right="-28"/>
        <w:jc w:val="both"/>
        <w:rPr>
          <w:rFonts w:ascii="Palatino Linotype" w:eastAsia="Palatino Linotype" w:hAnsi="Palatino Linotype" w:cs="Palatino Linotype"/>
          <w:b/>
          <w:color w:val="0D0D0D"/>
          <w:sz w:val="22"/>
          <w:szCs w:val="22"/>
        </w:rPr>
      </w:pPr>
    </w:p>
    <w:p w:rsidR="00EF2151" w:rsidRPr="00F30AD4" w:rsidRDefault="00A8726A">
      <w:pPr>
        <w:tabs>
          <w:tab w:val="center" w:pos="4522"/>
          <w:tab w:val="left" w:pos="7245"/>
          <w:tab w:val="right" w:pos="9044"/>
        </w:tabs>
        <w:spacing w:line="360" w:lineRule="auto"/>
        <w:ind w:right="-28"/>
        <w:jc w:val="center"/>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t>A N T E C E D E N T E S</w:t>
      </w:r>
    </w:p>
    <w:p w:rsidR="00EF2151" w:rsidRPr="00F30AD4" w:rsidRDefault="00EF2151">
      <w:pPr>
        <w:tabs>
          <w:tab w:val="center" w:pos="4522"/>
          <w:tab w:val="left" w:pos="7245"/>
          <w:tab w:val="right" w:pos="9044"/>
        </w:tabs>
        <w:spacing w:line="360" w:lineRule="auto"/>
        <w:ind w:right="-28"/>
        <w:rPr>
          <w:rFonts w:ascii="Palatino Linotype" w:eastAsia="Palatino Linotype" w:hAnsi="Palatino Linotype" w:cs="Palatino Linotype"/>
          <w:b/>
          <w:sz w:val="22"/>
          <w:szCs w:val="22"/>
        </w:rPr>
      </w:pPr>
    </w:p>
    <w:p w:rsidR="00EF2151" w:rsidRPr="00F30AD4" w:rsidRDefault="00A8726A">
      <w:pPr>
        <w:pBdr>
          <w:top w:val="nil"/>
          <w:left w:val="nil"/>
          <w:bottom w:val="nil"/>
          <w:right w:val="nil"/>
          <w:between w:val="nil"/>
        </w:pBdr>
        <w:tabs>
          <w:tab w:val="left" w:pos="567"/>
        </w:tabs>
        <w:spacing w:line="360" w:lineRule="auto"/>
        <w:ind w:right="-28"/>
        <w:jc w:val="both"/>
        <w:rPr>
          <w:rFonts w:ascii="Palatino Linotype" w:eastAsia="Palatino Linotype" w:hAnsi="Palatino Linotype" w:cs="Palatino Linotype"/>
          <w:b/>
          <w:color w:val="000000"/>
          <w:sz w:val="22"/>
          <w:szCs w:val="22"/>
        </w:rPr>
      </w:pPr>
      <w:r w:rsidRPr="00F30AD4">
        <w:rPr>
          <w:rFonts w:ascii="Palatino Linotype" w:eastAsia="Palatino Linotype" w:hAnsi="Palatino Linotype" w:cs="Palatino Linotype"/>
          <w:b/>
          <w:color w:val="000000"/>
          <w:sz w:val="22"/>
          <w:szCs w:val="22"/>
        </w:rPr>
        <w:t>I. Presentación de la solicitud de información</w:t>
      </w:r>
    </w:p>
    <w:p w:rsidR="00EF2151" w:rsidRPr="00F30AD4" w:rsidRDefault="00EF2151">
      <w:pPr>
        <w:pBdr>
          <w:top w:val="nil"/>
          <w:left w:val="nil"/>
          <w:bottom w:val="nil"/>
          <w:right w:val="nil"/>
          <w:between w:val="nil"/>
        </w:pBdr>
        <w:tabs>
          <w:tab w:val="left" w:pos="1050"/>
        </w:tabs>
        <w:spacing w:line="360" w:lineRule="auto"/>
        <w:ind w:right="-28"/>
        <w:jc w:val="both"/>
        <w:rPr>
          <w:rFonts w:ascii="Palatino Linotype" w:eastAsia="Palatino Linotype" w:hAnsi="Palatino Linotype" w:cs="Palatino Linotype"/>
          <w:color w:val="000000"/>
          <w:sz w:val="22"/>
          <w:szCs w:val="22"/>
        </w:rPr>
      </w:pPr>
    </w:p>
    <w:p w:rsidR="00EF2151" w:rsidRPr="00F30AD4" w:rsidRDefault="00A8726A">
      <w:pPr>
        <w:spacing w:line="360" w:lineRule="auto"/>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t xml:space="preserve">Con fecha veintidós de octubre de dos mil veinticuatro, el Particular presentó una solicitud de acceso a la información pública, a través del Sistema de Acceso a la Información Mexiquense (SAIMEX), ante la </w:t>
      </w:r>
      <w:r w:rsidRPr="00F30AD4">
        <w:rPr>
          <w:rFonts w:ascii="Palatino Linotype" w:eastAsia="Palatino Linotype" w:hAnsi="Palatino Linotype" w:cs="Palatino Linotype"/>
          <w:color w:val="000000"/>
          <w:sz w:val="22"/>
          <w:szCs w:val="22"/>
        </w:rPr>
        <w:t>Secretaría Ejecutiva del Sistema Estatal Anticorrupción</w:t>
      </w:r>
      <w:r w:rsidRPr="00F30AD4">
        <w:rPr>
          <w:rFonts w:ascii="Palatino Linotype" w:eastAsia="Palatino Linotype" w:hAnsi="Palatino Linotype" w:cs="Palatino Linotype"/>
          <w:b/>
          <w:sz w:val="22"/>
          <w:szCs w:val="22"/>
        </w:rPr>
        <w:t xml:space="preserve">, </w:t>
      </w:r>
      <w:r w:rsidRPr="00F30AD4">
        <w:rPr>
          <w:rFonts w:ascii="Palatino Linotype" w:eastAsia="Palatino Linotype" w:hAnsi="Palatino Linotype" w:cs="Palatino Linotype"/>
          <w:sz w:val="22"/>
          <w:szCs w:val="22"/>
        </w:rPr>
        <w:t>mediante la cual requirió lo siguiente:</w:t>
      </w:r>
    </w:p>
    <w:p w:rsidR="00EF2151" w:rsidRPr="00F30AD4" w:rsidRDefault="00EF2151">
      <w:pPr>
        <w:tabs>
          <w:tab w:val="left" w:pos="4667"/>
        </w:tabs>
        <w:spacing w:line="360" w:lineRule="auto"/>
        <w:ind w:right="567"/>
        <w:jc w:val="both"/>
        <w:rPr>
          <w:rFonts w:ascii="Palatino Linotype" w:eastAsia="Palatino Linotype" w:hAnsi="Palatino Linotype" w:cs="Palatino Linotype"/>
          <w:b/>
          <w:i/>
        </w:rPr>
      </w:pPr>
    </w:p>
    <w:p w:rsidR="00EF2151" w:rsidRPr="00F30AD4" w:rsidRDefault="00A8726A">
      <w:pPr>
        <w:tabs>
          <w:tab w:val="left" w:pos="4667"/>
        </w:tabs>
        <w:spacing w:line="360" w:lineRule="auto"/>
        <w:ind w:left="567" w:right="567"/>
        <w:jc w:val="both"/>
        <w:rPr>
          <w:rFonts w:ascii="Palatino Linotype" w:eastAsia="Palatino Linotype" w:hAnsi="Palatino Linotype" w:cs="Palatino Linotype"/>
          <w:b/>
          <w:i/>
        </w:rPr>
      </w:pPr>
      <w:bookmarkStart w:id="0" w:name="_heading=h.gjdgxs" w:colFirst="0" w:colLast="0"/>
      <w:bookmarkEnd w:id="0"/>
      <w:r w:rsidRPr="00F30AD4">
        <w:rPr>
          <w:rFonts w:ascii="Palatino Linotype" w:eastAsia="Palatino Linotype" w:hAnsi="Palatino Linotype" w:cs="Palatino Linotype"/>
          <w:b/>
          <w:i/>
        </w:rPr>
        <w:t>“DESCRIPCIÓN CLARA Y PRECISA DE LA INFORMACIÓN SOLICITADA:</w:t>
      </w:r>
    </w:p>
    <w:p w:rsidR="00EF2151" w:rsidRPr="00F30AD4" w:rsidRDefault="00A8726A">
      <w:pPr>
        <w:widowControl w:val="0"/>
        <w:tabs>
          <w:tab w:val="left" w:pos="4667"/>
        </w:tabs>
        <w:spacing w:line="360" w:lineRule="auto"/>
        <w:ind w:left="567" w:right="567"/>
        <w:jc w:val="both"/>
        <w:rPr>
          <w:rFonts w:ascii="Palatino Linotype" w:eastAsia="Palatino Linotype" w:hAnsi="Palatino Linotype" w:cs="Palatino Linotype"/>
          <w:i/>
        </w:rPr>
      </w:pPr>
      <w:r w:rsidRPr="00F30AD4">
        <w:rPr>
          <w:rFonts w:ascii="Palatino Linotype" w:eastAsia="Palatino Linotype" w:hAnsi="Palatino Linotype" w:cs="Palatino Linotype"/>
          <w:i/>
          <w:color w:val="000000"/>
        </w:rPr>
        <w:t xml:space="preserve">Quiero conocer todos los acuerdos emitidos por la Comisión Ejecutiva aprobados y los que aun estén en estatus de pendiente </w:t>
      </w:r>
      <w:r w:rsidR="00077245" w:rsidRPr="00F30AD4">
        <w:rPr>
          <w:rFonts w:ascii="Palatino Linotype" w:eastAsia="Palatino Linotype" w:hAnsi="Palatino Linotype" w:cs="Palatino Linotype"/>
          <w:i/>
          <w:color w:val="000000"/>
        </w:rPr>
        <w:t>así</w:t>
      </w:r>
      <w:r w:rsidRPr="00F30AD4">
        <w:rPr>
          <w:rFonts w:ascii="Palatino Linotype" w:eastAsia="Palatino Linotype" w:hAnsi="Palatino Linotype" w:cs="Palatino Linotype"/>
          <w:i/>
          <w:color w:val="000000"/>
        </w:rPr>
        <w:t xml:space="preserve"> como aquellos que se hayan modificado desde el año 2018 a la fecha.</w:t>
      </w:r>
      <w:r w:rsidRPr="00F30AD4">
        <w:rPr>
          <w:rFonts w:ascii="Palatino Linotype" w:eastAsia="Palatino Linotype" w:hAnsi="Palatino Linotype" w:cs="Palatino Linotype"/>
          <w:i/>
        </w:rPr>
        <w:t>”(Sic)</w:t>
      </w:r>
    </w:p>
    <w:p w:rsidR="00EF2151" w:rsidRPr="00F30AD4" w:rsidRDefault="00EF2151">
      <w:pPr>
        <w:tabs>
          <w:tab w:val="left" w:pos="4667"/>
        </w:tabs>
        <w:spacing w:line="360" w:lineRule="auto"/>
        <w:ind w:left="567" w:right="567"/>
        <w:jc w:val="both"/>
        <w:rPr>
          <w:rFonts w:ascii="Palatino Linotype" w:eastAsia="Palatino Linotype" w:hAnsi="Palatino Linotype" w:cs="Palatino Linotype"/>
          <w:i/>
        </w:rPr>
      </w:pPr>
    </w:p>
    <w:p w:rsidR="00EF2151" w:rsidRPr="00F30AD4" w:rsidRDefault="00A8726A">
      <w:pPr>
        <w:tabs>
          <w:tab w:val="left" w:pos="4667"/>
        </w:tabs>
        <w:spacing w:line="360" w:lineRule="auto"/>
        <w:ind w:left="567"/>
        <w:jc w:val="both"/>
        <w:rPr>
          <w:rFonts w:ascii="Palatino Linotype" w:eastAsia="Palatino Linotype" w:hAnsi="Palatino Linotype" w:cs="Palatino Linotype"/>
          <w:b/>
          <w:i/>
        </w:rPr>
      </w:pPr>
      <w:r w:rsidRPr="00F30AD4">
        <w:rPr>
          <w:rFonts w:ascii="Palatino Linotype" w:eastAsia="Palatino Linotype" w:hAnsi="Palatino Linotype" w:cs="Palatino Linotype"/>
          <w:b/>
          <w:i/>
        </w:rPr>
        <w:t xml:space="preserve">“Modalidad de Entrega: </w:t>
      </w:r>
    </w:p>
    <w:p w:rsidR="00EF2151" w:rsidRPr="00F30AD4" w:rsidRDefault="00A8726A">
      <w:pPr>
        <w:tabs>
          <w:tab w:val="left" w:pos="567"/>
        </w:tabs>
        <w:spacing w:line="360" w:lineRule="auto"/>
        <w:ind w:left="567" w:right="-28"/>
        <w:jc w:val="both"/>
        <w:rPr>
          <w:rFonts w:ascii="Palatino Linotype" w:eastAsia="Palatino Linotype" w:hAnsi="Palatino Linotype" w:cs="Palatino Linotype"/>
          <w:i/>
        </w:rPr>
      </w:pPr>
      <w:r w:rsidRPr="00F30AD4">
        <w:rPr>
          <w:rFonts w:ascii="Palatino Linotype" w:eastAsia="Palatino Linotype" w:hAnsi="Palatino Linotype" w:cs="Palatino Linotype"/>
          <w:b/>
          <w:i/>
        </w:rPr>
        <w:lastRenderedPageBreak/>
        <w:t xml:space="preserve"> </w:t>
      </w:r>
      <w:r w:rsidRPr="00F30AD4">
        <w:rPr>
          <w:rFonts w:ascii="Palatino Linotype" w:eastAsia="Palatino Linotype" w:hAnsi="Palatino Linotype" w:cs="Palatino Linotype"/>
          <w:i/>
        </w:rPr>
        <w:t xml:space="preserve">A través de SAIMEX” </w:t>
      </w:r>
    </w:p>
    <w:p w:rsidR="00F30AD4" w:rsidRPr="00F30AD4" w:rsidRDefault="00F30AD4">
      <w:pPr>
        <w:spacing w:line="360" w:lineRule="auto"/>
        <w:rPr>
          <w:rFonts w:ascii="Palatino Linotype" w:eastAsia="Palatino Linotype" w:hAnsi="Palatino Linotype" w:cs="Palatino Linotype"/>
          <w:b/>
          <w:sz w:val="22"/>
          <w:szCs w:val="22"/>
        </w:rPr>
      </w:pPr>
      <w:bookmarkStart w:id="1" w:name="_heading=h.30j0zll" w:colFirst="0" w:colLast="0"/>
      <w:bookmarkEnd w:id="1"/>
    </w:p>
    <w:p w:rsidR="00EF2151" w:rsidRPr="00F30AD4" w:rsidRDefault="00A8726A">
      <w:pPr>
        <w:spacing w:line="360" w:lineRule="auto"/>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t>II. Respuesta del Sujeto Obligado</w:t>
      </w:r>
    </w:p>
    <w:p w:rsidR="00EF2151" w:rsidRPr="00F30AD4" w:rsidRDefault="00EF2151">
      <w:pPr>
        <w:tabs>
          <w:tab w:val="left" w:pos="4667"/>
        </w:tabs>
        <w:spacing w:line="360" w:lineRule="auto"/>
        <w:ind w:right="567"/>
        <w:jc w:val="both"/>
        <w:rPr>
          <w:rFonts w:ascii="Palatino Linotype" w:eastAsia="Palatino Linotype" w:hAnsi="Palatino Linotype" w:cs="Palatino Linotype"/>
          <w:b/>
          <w:sz w:val="22"/>
          <w:szCs w:val="22"/>
        </w:rPr>
      </w:pPr>
    </w:p>
    <w:p w:rsidR="00EF2151" w:rsidRPr="00F30AD4" w:rsidRDefault="00A8726A">
      <w:pPr>
        <w:spacing w:line="360" w:lineRule="auto"/>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t>Con fecha cinco de noviembre de dos mil veinticuatro, el</w:t>
      </w:r>
      <w:r w:rsidRPr="00F30AD4">
        <w:rPr>
          <w:rFonts w:ascii="Palatino Linotype" w:eastAsia="Palatino Linotype" w:hAnsi="Palatino Linotype" w:cs="Palatino Linotype"/>
          <w:b/>
          <w:sz w:val="22"/>
          <w:szCs w:val="22"/>
        </w:rPr>
        <w:t xml:space="preserve"> </w:t>
      </w:r>
      <w:r w:rsidRPr="00F30AD4">
        <w:rPr>
          <w:rFonts w:ascii="Palatino Linotype" w:eastAsia="Palatino Linotype" w:hAnsi="Palatino Linotype" w:cs="Palatino Linotype"/>
          <w:sz w:val="22"/>
          <w:szCs w:val="22"/>
        </w:rPr>
        <w:t>Sujeto Obligado dio respuesta a la solicitud de acceso a la información a través del Sistema de Acceso a la Información Mexiquense (SAIMEX), por medio de la digitalización de los documentos siguientes:</w:t>
      </w:r>
    </w:p>
    <w:p w:rsidR="00EF2151" w:rsidRPr="00F30AD4" w:rsidRDefault="00EF2151">
      <w:pPr>
        <w:spacing w:line="360" w:lineRule="auto"/>
        <w:jc w:val="both"/>
        <w:rPr>
          <w:rFonts w:ascii="Palatino Linotype" w:eastAsia="Palatino Linotype" w:hAnsi="Palatino Linotype" w:cs="Palatino Linotype"/>
          <w:sz w:val="22"/>
          <w:szCs w:val="22"/>
        </w:rPr>
      </w:pPr>
    </w:p>
    <w:p w:rsidR="00EF2151" w:rsidRPr="00F30AD4" w:rsidRDefault="00A8726A">
      <w:pPr>
        <w:spacing w:line="360" w:lineRule="auto"/>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t>i) Oficio número 411001000000100S/089/2024, del cuatro de noviembre de la presente anualidad, suscrito por la Jefa de la Unidad de Enlace, dirigido a la Titular de la Unidad de Planeación y Transparencia, a través del cual manifiesta y expone lo siguiente:</w:t>
      </w:r>
    </w:p>
    <w:p w:rsidR="00EF2151" w:rsidRPr="00F30AD4" w:rsidRDefault="00EF2151">
      <w:pPr>
        <w:spacing w:line="360" w:lineRule="auto"/>
        <w:jc w:val="both"/>
        <w:rPr>
          <w:rFonts w:ascii="Palatino Linotype" w:eastAsia="Palatino Linotype" w:hAnsi="Palatino Linotype" w:cs="Palatino Linotype"/>
          <w:sz w:val="22"/>
          <w:szCs w:val="22"/>
        </w:rPr>
      </w:pPr>
    </w:p>
    <w:p w:rsidR="00EF2151" w:rsidRPr="00F30AD4" w:rsidRDefault="00A8726A">
      <w:pPr>
        <w:spacing w:line="360" w:lineRule="auto"/>
        <w:ind w:left="567" w:right="567"/>
        <w:jc w:val="both"/>
        <w:rPr>
          <w:rFonts w:ascii="Palatino Linotype" w:eastAsia="Palatino Linotype" w:hAnsi="Palatino Linotype" w:cs="Palatino Linotype"/>
          <w:i/>
        </w:rPr>
      </w:pPr>
      <w:r w:rsidRPr="00F30AD4">
        <w:rPr>
          <w:rFonts w:ascii="Palatino Linotype" w:eastAsia="Palatino Linotype" w:hAnsi="Palatino Linotype" w:cs="Palatino Linotype"/>
          <w:i/>
        </w:rPr>
        <w:t>“…</w:t>
      </w:r>
    </w:p>
    <w:p w:rsidR="00EF2151" w:rsidRPr="00F30AD4" w:rsidRDefault="00A8726A">
      <w:pPr>
        <w:spacing w:line="360" w:lineRule="auto"/>
        <w:ind w:left="567" w:right="567"/>
        <w:jc w:val="both"/>
        <w:rPr>
          <w:rFonts w:ascii="Palatino Linotype" w:eastAsia="Palatino Linotype" w:hAnsi="Palatino Linotype" w:cs="Palatino Linotype"/>
          <w:i/>
        </w:rPr>
      </w:pPr>
      <w:r w:rsidRPr="00F30AD4">
        <w:rPr>
          <w:rFonts w:ascii="Palatino Linotype" w:eastAsia="Palatino Linotype" w:hAnsi="Palatino Linotype" w:cs="Palatino Linotype"/>
          <w:i/>
        </w:rPr>
        <w:t>Al respecto, le informo que todos los acuerdos presentados, discutidos y aprobados en las sesiones de la Comisión Ejecutiva desde 2018 al 2024 se encuentran inscritos en las actas correspondientes a las sesiones ordinarias y extraordinarias de dicha Comisión, por lo cual adjunto las actas correspondientes al periodo 14 de febrero de 2018 al 02 de octubre de 2024, así mismo se hace de su conocimiento la inexistencia de acuerdos en estatus de pendiente o que hayan sido modificados del 2018 a la fecha.</w:t>
      </w:r>
    </w:p>
    <w:p w:rsidR="00EF2151" w:rsidRPr="00F30AD4" w:rsidRDefault="00A8726A">
      <w:pPr>
        <w:spacing w:line="360" w:lineRule="auto"/>
        <w:ind w:left="567" w:right="567"/>
        <w:jc w:val="both"/>
        <w:rPr>
          <w:rFonts w:ascii="Palatino Linotype" w:eastAsia="Palatino Linotype" w:hAnsi="Palatino Linotype" w:cs="Palatino Linotype"/>
          <w:i/>
        </w:rPr>
      </w:pPr>
      <w:r w:rsidRPr="00F30AD4">
        <w:rPr>
          <w:rFonts w:ascii="Palatino Linotype" w:eastAsia="Palatino Linotype" w:hAnsi="Palatino Linotype" w:cs="Palatino Linotype"/>
          <w:i/>
        </w:rPr>
        <w:t>…”</w:t>
      </w:r>
    </w:p>
    <w:p w:rsidR="00EF2151" w:rsidRPr="00F30AD4" w:rsidRDefault="00EF2151">
      <w:pPr>
        <w:spacing w:line="360" w:lineRule="auto"/>
        <w:jc w:val="both"/>
        <w:rPr>
          <w:rFonts w:ascii="Palatino Linotype" w:eastAsia="Palatino Linotype" w:hAnsi="Palatino Linotype" w:cs="Palatino Linotype"/>
          <w:sz w:val="22"/>
          <w:szCs w:val="22"/>
        </w:rPr>
      </w:pPr>
    </w:p>
    <w:p w:rsidR="00EF2151" w:rsidRPr="00F30AD4" w:rsidRDefault="00A8726A">
      <w:pPr>
        <w:spacing w:line="360" w:lineRule="auto"/>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t>ii) Oficio número 411001000300000S/1266/2024, de fecha de su presentación, suscrito por la Jefa de la Unidad de Planeación y Transparencia, dirigido al Solicitante a través del cual manifiesta y expone lo siguiente:</w:t>
      </w:r>
    </w:p>
    <w:p w:rsidR="00EF2151" w:rsidRPr="00F30AD4" w:rsidRDefault="00EF2151">
      <w:pPr>
        <w:spacing w:line="360" w:lineRule="auto"/>
        <w:jc w:val="both"/>
        <w:rPr>
          <w:rFonts w:ascii="Palatino Linotype" w:eastAsia="Palatino Linotype" w:hAnsi="Palatino Linotype" w:cs="Palatino Linotype"/>
          <w:sz w:val="22"/>
          <w:szCs w:val="22"/>
        </w:rPr>
      </w:pPr>
    </w:p>
    <w:p w:rsidR="00EF2151" w:rsidRPr="00F30AD4" w:rsidRDefault="00A8726A">
      <w:pPr>
        <w:spacing w:line="360" w:lineRule="auto"/>
        <w:ind w:left="567" w:right="567"/>
        <w:jc w:val="both"/>
        <w:rPr>
          <w:rFonts w:ascii="Palatino Linotype" w:eastAsia="Palatino Linotype" w:hAnsi="Palatino Linotype" w:cs="Palatino Linotype"/>
          <w:i/>
        </w:rPr>
      </w:pPr>
      <w:r w:rsidRPr="00F30AD4">
        <w:rPr>
          <w:rFonts w:ascii="Palatino Linotype" w:eastAsia="Palatino Linotype" w:hAnsi="Palatino Linotype" w:cs="Palatino Linotype"/>
          <w:i/>
        </w:rPr>
        <w:t>“…</w:t>
      </w:r>
    </w:p>
    <w:p w:rsidR="00EF2151" w:rsidRPr="00F30AD4" w:rsidRDefault="00A8726A">
      <w:pPr>
        <w:spacing w:line="360" w:lineRule="auto"/>
        <w:ind w:left="567" w:right="567"/>
        <w:jc w:val="both"/>
        <w:rPr>
          <w:rFonts w:ascii="Palatino Linotype" w:eastAsia="Palatino Linotype" w:hAnsi="Palatino Linotype" w:cs="Palatino Linotype"/>
          <w:i/>
        </w:rPr>
      </w:pPr>
      <w:r w:rsidRPr="00F30AD4">
        <w:rPr>
          <w:rFonts w:ascii="Palatino Linotype" w:eastAsia="Palatino Linotype" w:hAnsi="Palatino Linotype" w:cs="Palatino Linotype"/>
          <w:i/>
        </w:rPr>
        <w:lastRenderedPageBreak/>
        <w:t xml:space="preserve">Hago de su conocimiento, la respuesta entregada por la Unidad de Enlace con </w:t>
      </w:r>
      <w:r w:rsidR="00077245" w:rsidRPr="00F30AD4">
        <w:rPr>
          <w:rFonts w:ascii="Palatino Linotype" w:eastAsia="Palatino Linotype" w:hAnsi="Palatino Linotype" w:cs="Palatino Linotype"/>
          <w:i/>
        </w:rPr>
        <w:t>número</w:t>
      </w:r>
      <w:r w:rsidRPr="00F30AD4">
        <w:rPr>
          <w:rFonts w:ascii="Palatino Linotype" w:eastAsia="Palatino Linotype" w:hAnsi="Palatino Linotype" w:cs="Palatino Linotype"/>
          <w:i/>
        </w:rPr>
        <w:t xml:space="preserve"> 41100100000100S/089/2024 en la cual se encuentra la información solicitada, por lo que se anexa en formato </w:t>
      </w:r>
      <w:proofErr w:type="spellStart"/>
      <w:r w:rsidRPr="00F30AD4">
        <w:rPr>
          <w:rFonts w:ascii="Palatino Linotype" w:eastAsia="Palatino Linotype" w:hAnsi="Palatino Linotype" w:cs="Palatino Linotype"/>
          <w:i/>
        </w:rPr>
        <w:t>pdf</w:t>
      </w:r>
      <w:proofErr w:type="spellEnd"/>
      <w:r w:rsidRPr="00F30AD4">
        <w:rPr>
          <w:rFonts w:ascii="Palatino Linotype" w:eastAsia="Palatino Linotype" w:hAnsi="Palatino Linotype" w:cs="Palatino Linotype"/>
          <w:i/>
        </w:rPr>
        <w:t>.</w:t>
      </w:r>
    </w:p>
    <w:p w:rsidR="00EF2151" w:rsidRPr="00F30AD4" w:rsidRDefault="00EF2151">
      <w:pPr>
        <w:spacing w:line="360" w:lineRule="auto"/>
        <w:ind w:left="567" w:right="567"/>
        <w:jc w:val="both"/>
        <w:rPr>
          <w:rFonts w:ascii="Palatino Linotype" w:eastAsia="Palatino Linotype" w:hAnsi="Palatino Linotype" w:cs="Palatino Linotype"/>
          <w:i/>
        </w:rPr>
      </w:pPr>
    </w:p>
    <w:p w:rsidR="00EF2151" w:rsidRPr="00F30AD4" w:rsidRDefault="00A8726A">
      <w:pPr>
        <w:spacing w:line="360" w:lineRule="auto"/>
        <w:ind w:left="567" w:right="567"/>
        <w:jc w:val="both"/>
        <w:rPr>
          <w:rFonts w:ascii="Palatino Linotype" w:eastAsia="Palatino Linotype" w:hAnsi="Palatino Linotype" w:cs="Palatino Linotype"/>
          <w:i/>
        </w:rPr>
      </w:pPr>
      <w:r w:rsidRPr="00F30AD4">
        <w:rPr>
          <w:rFonts w:ascii="Palatino Linotype" w:eastAsia="Palatino Linotype" w:hAnsi="Palatino Linotype" w:cs="Palatino Linotype"/>
          <w:i/>
        </w:rPr>
        <w:t xml:space="preserve">Con lo anteriormente expuesto esta Unidad de Planeación y Transparencia, da por atendida la solicitud de información; por otra parte, no omito manifestar que usted puede acceder a la información pública que corresponde a este sujeto obligado a través del sistema de Información Pública de Oficio Mexiquense </w:t>
      </w:r>
    </w:p>
    <w:p w:rsidR="00EF2151" w:rsidRPr="00F30AD4" w:rsidRDefault="00EF2151">
      <w:pPr>
        <w:spacing w:line="360" w:lineRule="auto"/>
        <w:ind w:left="567" w:right="567" w:firstLine="708"/>
        <w:jc w:val="both"/>
        <w:rPr>
          <w:rFonts w:ascii="Palatino Linotype" w:eastAsia="Palatino Linotype" w:hAnsi="Palatino Linotype" w:cs="Palatino Linotype"/>
          <w:i/>
        </w:rPr>
      </w:pPr>
    </w:p>
    <w:p w:rsidR="00EF2151" w:rsidRPr="00F30AD4" w:rsidRDefault="003866AB">
      <w:pPr>
        <w:spacing w:line="360" w:lineRule="auto"/>
        <w:ind w:left="567" w:right="567" w:firstLine="708"/>
        <w:jc w:val="center"/>
        <w:rPr>
          <w:rFonts w:ascii="Palatino Linotype" w:eastAsia="Palatino Linotype" w:hAnsi="Palatino Linotype" w:cs="Palatino Linotype"/>
          <w:i/>
        </w:rPr>
      </w:pPr>
      <w:hyperlink r:id="rId8" w:anchor="/obligaciones/357">
        <w:r w:rsidR="00A8726A" w:rsidRPr="00F30AD4">
          <w:rPr>
            <w:rFonts w:ascii="Palatino Linotype" w:eastAsia="Palatino Linotype" w:hAnsi="Palatino Linotype" w:cs="Palatino Linotype"/>
            <w:i/>
            <w:color w:val="000000"/>
            <w:u w:val="single"/>
          </w:rPr>
          <w:t>https://infoem2.ipomex.org.mx/ipomex/#/obligaciones/357</w:t>
        </w:r>
      </w:hyperlink>
    </w:p>
    <w:p w:rsidR="00EF2151" w:rsidRPr="00F30AD4" w:rsidRDefault="00EF2151">
      <w:pPr>
        <w:spacing w:line="360" w:lineRule="auto"/>
        <w:ind w:left="567" w:right="567"/>
        <w:jc w:val="both"/>
        <w:rPr>
          <w:rFonts w:ascii="Palatino Linotype" w:eastAsia="Palatino Linotype" w:hAnsi="Palatino Linotype" w:cs="Palatino Linotype"/>
          <w:i/>
        </w:rPr>
      </w:pPr>
    </w:p>
    <w:p w:rsidR="00EF2151" w:rsidRPr="00F30AD4" w:rsidRDefault="00A8726A">
      <w:pPr>
        <w:spacing w:line="360" w:lineRule="auto"/>
        <w:ind w:left="567" w:right="567" w:firstLine="708"/>
        <w:jc w:val="both"/>
        <w:rPr>
          <w:rFonts w:ascii="Palatino Linotype" w:eastAsia="Palatino Linotype" w:hAnsi="Palatino Linotype" w:cs="Palatino Linotype"/>
          <w:i/>
        </w:rPr>
      </w:pPr>
      <w:r w:rsidRPr="00F30AD4">
        <w:rPr>
          <w:rFonts w:ascii="Palatino Linotype" w:eastAsia="Palatino Linotype" w:hAnsi="Palatino Linotype" w:cs="Palatino Linotype"/>
          <w:i/>
        </w:rPr>
        <w:t xml:space="preserve">y en la Plataforma Nacional de Transparencia </w:t>
      </w:r>
      <w:hyperlink r:id="rId9">
        <w:r w:rsidRPr="00F30AD4">
          <w:rPr>
            <w:rFonts w:ascii="Palatino Linotype" w:eastAsia="Palatino Linotype" w:hAnsi="Palatino Linotype" w:cs="Palatino Linotype"/>
            <w:i/>
            <w:u w:val="single"/>
          </w:rPr>
          <w:t>https://www.plataformadetransparencia.org.mx/web/guest/inicio</w:t>
        </w:r>
      </w:hyperlink>
      <w:r w:rsidRPr="00F30AD4">
        <w:rPr>
          <w:rFonts w:ascii="Palatino Linotype" w:eastAsia="Palatino Linotype" w:hAnsi="Palatino Linotype" w:cs="Palatino Linotype"/>
          <w:i/>
        </w:rPr>
        <w:t xml:space="preserve">, seleccionando el icono del Poder Ejecutivo en donde podrá encontrar a la Secretaría Ejecutiva del Sistema Estatal Anticorrupción y consultar el listado de información disponible de obligaciones de transparencia en términos de los artículos 92, 93, 94 y 103 d la ley de Transparencia y Acceso a la Información Pública del Estado de México y Municipios; entre los cuales se encuentran las remuneraciones del personal. </w:t>
      </w:r>
    </w:p>
    <w:p w:rsidR="00EF2151" w:rsidRPr="00F30AD4" w:rsidRDefault="00EF2151">
      <w:pPr>
        <w:spacing w:line="360" w:lineRule="auto"/>
        <w:ind w:left="567" w:right="567"/>
        <w:jc w:val="both"/>
        <w:rPr>
          <w:rFonts w:ascii="Palatino Linotype" w:eastAsia="Palatino Linotype" w:hAnsi="Palatino Linotype" w:cs="Palatino Linotype"/>
          <w:i/>
        </w:rPr>
      </w:pPr>
    </w:p>
    <w:p w:rsidR="00EF2151" w:rsidRPr="00F30AD4" w:rsidRDefault="00A8726A">
      <w:pPr>
        <w:spacing w:line="360" w:lineRule="auto"/>
        <w:ind w:left="567" w:right="567" w:firstLine="708"/>
        <w:jc w:val="both"/>
        <w:rPr>
          <w:rFonts w:ascii="Palatino Linotype" w:eastAsia="Palatino Linotype" w:hAnsi="Palatino Linotype" w:cs="Palatino Linotype"/>
          <w:i/>
        </w:rPr>
      </w:pPr>
      <w:r w:rsidRPr="00F30AD4">
        <w:rPr>
          <w:rFonts w:ascii="Palatino Linotype" w:eastAsia="Palatino Linotype" w:hAnsi="Palatino Linotype" w:cs="Palatino Linotype"/>
          <w:i/>
        </w:rPr>
        <w:t xml:space="preserve">Así mismo, se le invita a visitar la página </w:t>
      </w:r>
      <w:hyperlink r:id="rId10">
        <w:r w:rsidRPr="00F30AD4">
          <w:rPr>
            <w:rFonts w:ascii="Palatino Linotype" w:eastAsia="Palatino Linotype" w:hAnsi="Palatino Linotype" w:cs="Palatino Linotype"/>
            <w:i/>
            <w:u w:val="single"/>
          </w:rPr>
          <w:t>www.sesaemm.gob.mx</w:t>
        </w:r>
      </w:hyperlink>
      <w:r w:rsidRPr="00F30AD4">
        <w:rPr>
          <w:rFonts w:ascii="Palatino Linotype" w:eastAsia="Palatino Linotype" w:hAnsi="Palatino Linotype" w:cs="Palatino Linotype"/>
          <w:i/>
        </w:rPr>
        <w:t xml:space="preserve">, en la cual podrá, conocer más información sobre las actividades que realiza la Secretaría Ejecutiva del Sistema Estatal Anticorrupción, así como consultar el Sistema de Gestión </w:t>
      </w:r>
      <w:proofErr w:type="spellStart"/>
      <w:r w:rsidRPr="00F30AD4">
        <w:rPr>
          <w:rFonts w:ascii="Palatino Linotype" w:eastAsia="Palatino Linotype" w:hAnsi="Palatino Linotype" w:cs="Palatino Linotype"/>
          <w:i/>
        </w:rPr>
        <w:t>Antisoborno</w:t>
      </w:r>
      <w:proofErr w:type="spellEnd"/>
      <w:r w:rsidRPr="00F30AD4">
        <w:rPr>
          <w:rFonts w:ascii="Palatino Linotype" w:eastAsia="Palatino Linotype" w:hAnsi="Palatino Linotype" w:cs="Palatino Linotype"/>
          <w:i/>
        </w:rPr>
        <w:t xml:space="preserve"> y descargar la Política </w:t>
      </w:r>
      <w:proofErr w:type="spellStart"/>
      <w:r w:rsidRPr="00F30AD4">
        <w:rPr>
          <w:rFonts w:ascii="Palatino Linotype" w:eastAsia="Palatino Linotype" w:hAnsi="Palatino Linotype" w:cs="Palatino Linotype"/>
          <w:i/>
        </w:rPr>
        <w:t>Antisoborno</w:t>
      </w:r>
      <w:proofErr w:type="spellEnd"/>
      <w:r w:rsidRPr="00F30AD4">
        <w:rPr>
          <w:rFonts w:ascii="Palatino Linotype" w:eastAsia="Palatino Linotype" w:hAnsi="Palatino Linotype" w:cs="Palatino Linotype"/>
          <w:i/>
        </w:rPr>
        <w:t xml:space="preserve"> en el siguiente enlace:  </w:t>
      </w:r>
      <w:hyperlink r:id="rId11">
        <w:r w:rsidRPr="00F30AD4">
          <w:rPr>
            <w:rFonts w:ascii="Palatino Linotype" w:eastAsia="Palatino Linotype" w:hAnsi="Palatino Linotype" w:cs="Palatino Linotype"/>
            <w:i/>
            <w:u w:val="single"/>
          </w:rPr>
          <w:t>https://sesaemm.gob.mx/politica_antisoborno/</w:t>
        </w:r>
      </w:hyperlink>
      <w:r w:rsidRPr="00F30AD4">
        <w:rPr>
          <w:rFonts w:ascii="Palatino Linotype" w:eastAsia="Palatino Linotype" w:hAnsi="Palatino Linotype" w:cs="Palatino Linotype"/>
          <w:i/>
        </w:rPr>
        <w:t xml:space="preserve"> </w:t>
      </w:r>
    </w:p>
    <w:p w:rsidR="00EF2151" w:rsidRPr="00F30AD4" w:rsidRDefault="00EF2151">
      <w:pPr>
        <w:spacing w:line="360" w:lineRule="auto"/>
        <w:ind w:left="567" w:right="567"/>
        <w:jc w:val="both"/>
        <w:rPr>
          <w:rFonts w:ascii="Palatino Linotype" w:eastAsia="Palatino Linotype" w:hAnsi="Palatino Linotype" w:cs="Palatino Linotype"/>
          <w:i/>
        </w:rPr>
      </w:pPr>
    </w:p>
    <w:p w:rsidR="00EF2151" w:rsidRPr="00F30AD4" w:rsidRDefault="00A8726A">
      <w:pPr>
        <w:spacing w:line="360" w:lineRule="auto"/>
        <w:ind w:left="567" w:right="567"/>
        <w:jc w:val="both"/>
        <w:rPr>
          <w:rFonts w:ascii="Palatino Linotype" w:eastAsia="Palatino Linotype" w:hAnsi="Palatino Linotype" w:cs="Palatino Linotype"/>
          <w:i/>
        </w:rPr>
      </w:pPr>
      <w:r w:rsidRPr="00F30AD4">
        <w:rPr>
          <w:rFonts w:ascii="Palatino Linotype" w:eastAsia="Palatino Linotype" w:hAnsi="Palatino Linotype" w:cs="Palatino Linotype"/>
          <w:i/>
        </w:rPr>
        <w:t>En caso de requerir asesoría, orientación o cualquier auxilio relacionado con la elaboración de solicitudes de información, con la presente respuesta, o en general con las obligaciones en materias transparencia y acceso a la información pública a cargo de la Secretaría Ejecutiva del Sistema Estatal Anticorrupción, esta Unidad de Transparencia se encuentra a sus órdenes a través de los datos de identificación siguientes:</w:t>
      </w:r>
    </w:p>
    <w:p w:rsidR="00EF2151" w:rsidRPr="00F30AD4" w:rsidRDefault="00EF2151">
      <w:pPr>
        <w:spacing w:line="360" w:lineRule="auto"/>
        <w:ind w:left="567" w:right="567"/>
        <w:jc w:val="both"/>
        <w:rPr>
          <w:rFonts w:ascii="Palatino Linotype" w:eastAsia="Palatino Linotype" w:hAnsi="Palatino Linotype" w:cs="Palatino Linotype"/>
          <w:i/>
        </w:rPr>
      </w:pPr>
    </w:p>
    <w:p w:rsidR="00EF2151" w:rsidRPr="00F30AD4" w:rsidRDefault="00A8726A">
      <w:pPr>
        <w:pBdr>
          <w:top w:val="nil"/>
          <w:left w:val="nil"/>
          <w:bottom w:val="nil"/>
          <w:right w:val="nil"/>
          <w:between w:val="nil"/>
        </w:pBdr>
        <w:spacing w:line="360" w:lineRule="auto"/>
        <w:ind w:left="567" w:right="567"/>
        <w:jc w:val="both"/>
        <w:rPr>
          <w:rFonts w:ascii="Palatino Linotype" w:eastAsia="Palatino Linotype" w:hAnsi="Palatino Linotype" w:cs="Palatino Linotype"/>
          <w:i/>
        </w:rPr>
      </w:pPr>
      <w:r w:rsidRPr="00F30AD4">
        <w:rPr>
          <w:rFonts w:ascii="Palatino Linotype" w:eastAsia="Palatino Linotype" w:hAnsi="Palatino Linotype" w:cs="Palatino Linotype"/>
          <w:i/>
        </w:rPr>
        <w:t xml:space="preserve">Información de contacto que puede ser consultada de manera actualizada en la fracción XVI, del portal de obligaciones de transparencia de esta Secretaría Ejecutiva que se refirió previamente, o, directamente en el enlace siguiente: </w:t>
      </w:r>
    </w:p>
    <w:p w:rsidR="00EF2151" w:rsidRPr="00F30AD4" w:rsidRDefault="00EF2151">
      <w:pPr>
        <w:pBdr>
          <w:top w:val="nil"/>
          <w:left w:val="nil"/>
          <w:bottom w:val="nil"/>
          <w:right w:val="nil"/>
          <w:between w:val="nil"/>
        </w:pBdr>
        <w:spacing w:line="360" w:lineRule="auto"/>
        <w:ind w:left="567" w:right="567" w:firstLine="567"/>
        <w:jc w:val="both"/>
        <w:rPr>
          <w:rFonts w:ascii="Palatino Linotype" w:eastAsia="Palatino Linotype" w:hAnsi="Palatino Linotype" w:cs="Palatino Linotype"/>
          <w:i/>
        </w:rPr>
      </w:pPr>
    </w:p>
    <w:p w:rsidR="00EF2151" w:rsidRPr="00F30AD4" w:rsidRDefault="003866AB">
      <w:pPr>
        <w:pBdr>
          <w:top w:val="nil"/>
          <w:left w:val="nil"/>
          <w:bottom w:val="nil"/>
          <w:right w:val="nil"/>
          <w:between w:val="nil"/>
        </w:pBdr>
        <w:spacing w:line="360" w:lineRule="auto"/>
        <w:ind w:left="567" w:right="567" w:firstLine="567"/>
        <w:jc w:val="both"/>
        <w:rPr>
          <w:rFonts w:ascii="Palatino Linotype" w:eastAsia="Palatino Linotype" w:hAnsi="Palatino Linotype" w:cs="Palatino Linotype"/>
          <w:i/>
          <w:color w:val="000000"/>
          <w:u w:val="single"/>
        </w:rPr>
      </w:pPr>
      <w:hyperlink r:id="rId12" w:anchor="/info-fraccion/22/357/12">
        <w:r w:rsidR="00A8726A" w:rsidRPr="00F30AD4">
          <w:rPr>
            <w:rFonts w:ascii="Palatino Linotype" w:eastAsia="Palatino Linotype" w:hAnsi="Palatino Linotype" w:cs="Palatino Linotype"/>
            <w:i/>
            <w:color w:val="000000"/>
            <w:u w:val="single"/>
          </w:rPr>
          <w:t>https://infoem2.ipomex.org.mx/ipomex/#/info-fraccion/22/357/12</w:t>
        </w:r>
      </w:hyperlink>
      <w:r w:rsidR="00A8726A" w:rsidRPr="00F30AD4">
        <w:rPr>
          <w:rFonts w:ascii="Palatino Linotype" w:eastAsia="Palatino Linotype" w:hAnsi="Palatino Linotype" w:cs="Palatino Linotype"/>
          <w:i/>
          <w:color w:val="000000"/>
          <w:u w:val="single"/>
        </w:rPr>
        <w:t xml:space="preserve"> </w:t>
      </w:r>
    </w:p>
    <w:p w:rsidR="00EF2151" w:rsidRPr="00F30AD4" w:rsidRDefault="00A8726A">
      <w:pPr>
        <w:pBdr>
          <w:top w:val="nil"/>
          <w:left w:val="nil"/>
          <w:bottom w:val="nil"/>
          <w:right w:val="nil"/>
          <w:between w:val="nil"/>
        </w:pBdr>
        <w:spacing w:line="360" w:lineRule="auto"/>
        <w:ind w:left="567" w:right="567"/>
        <w:jc w:val="both"/>
        <w:rPr>
          <w:rFonts w:ascii="Palatino Linotype" w:eastAsia="Palatino Linotype" w:hAnsi="Palatino Linotype" w:cs="Palatino Linotype"/>
          <w:i/>
        </w:rPr>
      </w:pPr>
      <w:r w:rsidRPr="00F30AD4">
        <w:rPr>
          <w:rFonts w:ascii="Palatino Linotype" w:eastAsia="Palatino Linotype" w:hAnsi="Palatino Linotype" w:cs="Palatino Linotype"/>
          <w:i/>
        </w:rPr>
        <w:t>…”</w:t>
      </w:r>
    </w:p>
    <w:p w:rsidR="00EF2151" w:rsidRPr="00F30AD4" w:rsidRDefault="00EF2151">
      <w:pPr>
        <w:spacing w:line="360" w:lineRule="auto"/>
        <w:jc w:val="both"/>
        <w:rPr>
          <w:rFonts w:ascii="Palatino Linotype" w:eastAsia="Palatino Linotype" w:hAnsi="Palatino Linotype" w:cs="Palatino Linotype"/>
          <w:sz w:val="22"/>
          <w:szCs w:val="22"/>
        </w:rPr>
      </w:pPr>
    </w:p>
    <w:p w:rsidR="00EF2151" w:rsidRPr="00F30AD4" w:rsidRDefault="00A8726A">
      <w:pPr>
        <w:spacing w:line="360" w:lineRule="auto"/>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t xml:space="preserve">iii) El Sujeto Obligado proporcionó las actas de sesiones ordinarias y extraordinarias de la Comisión Ejecutiva de la </w:t>
      </w:r>
      <w:r w:rsidRPr="00F30AD4">
        <w:rPr>
          <w:rFonts w:ascii="Palatino Linotype" w:eastAsia="Palatino Linotype" w:hAnsi="Palatino Linotype" w:cs="Palatino Linotype"/>
          <w:color w:val="000000"/>
          <w:sz w:val="22"/>
          <w:szCs w:val="22"/>
        </w:rPr>
        <w:t>Secretaría Ejecutiva del Sistema Estatal Anticorrupción</w:t>
      </w:r>
      <w:r w:rsidRPr="00F30AD4">
        <w:rPr>
          <w:rFonts w:ascii="Palatino Linotype" w:eastAsia="Palatino Linotype" w:hAnsi="Palatino Linotype" w:cs="Palatino Linotype"/>
          <w:sz w:val="22"/>
          <w:szCs w:val="22"/>
        </w:rPr>
        <w:t>, de los ejercicios fiscales dos mil dieciocho, dos mil diecinueve, dos mil veinte, dos mil veintiuno, dos mil veintidós, dos mil veintitrés y dos mil veinticuatro, las cuales se enlistan conforme a lo siguiente:</w:t>
      </w:r>
    </w:p>
    <w:p w:rsidR="00EF2151" w:rsidRPr="00F30AD4" w:rsidRDefault="00EF2151">
      <w:pPr>
        <w:spacing w:line="360" w:lineRule="auto"/>
        <w:jc w:val="both"/>
        <w:rPr>
          <w:rFonts w:ascii="Palatino Linotype" w:eastAsia="Palatino Linotype" w:hAnsi="Palatino Linotype" w:cs="Palatino Linotype"/>
          <w:sz w:val="22"/>
          <w:szCs w:val="22"/>
        </w:rPr>
      </w:pPr>
    </w:p>
    <w:p w:rsidR="00EF2151" w:rsidRPr="00F30AD4" w:rsidRDefault="00A8726A">
      <w:pPr>
        <w:spacing w:line="360" w:lineRule="auto"/>
        <w:ind w:left="360"/>
        <w:jc w:val="both"/>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t>2018</w:t>
      </w:r>
    </w:p>
    <w:p w:rsidR="00EF2151" w:rsidRPr="00F30AD4" w:rsidRDefault="00A8726A">
      <w:pPr>
        <w:spacing w:line="360" w:lineRule="auto"/>
        <w:ind w:left="360"/>
        <w:jc w:val="both"/>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t xml:space="preserve">Actas de Sesiones Ordinarias: </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Primera Sesión Ordinaria, del catorce de febrero de dos mil dieciocho;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Segunda Sesión Ordinaria, del veintiocho de febrero de dos mil dieciocho;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Tercera Sesión Ordinaria, del catorce de marzo de dos mil dieciocho;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Cuarta Sesión Ordinaria, del cuatro de abril de dos mil dieciocho;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Quinta Sesión Ordinaria, del dieciocho de abril de dos mil dieciocho;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Sexta Sesión Ordinaria, del dos de mayo de dos mil dieciocho;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Séptima Sesión Ordinaria, del treinta de mayo de dos mil dieciocho;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Octava Sesión Ordinaria, del trece de junio de dos mil dieciocho;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Novena Sesión Ordinaria, del veintisiete de junio de dos mil dieciocho;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Sesión Ordinaria, del once de julio de dos mil dieciocho;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lastRenderedPageBreak/>
        <w:t>Acta de la Décima Primera Sesión Ordinaria, del primero de agosto de dos mil dieciocho;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Segunda Sesión Ordinaria, del quince de agosto de dos mil dieciocho;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Tercera Sesión Ordinaria, del veintinueve de agosto de dos mil dieciocho;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Cuarta Sesión Ordinaria, del trece de septiembre de dos mil dieciocho;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Quinta Sesión Ordinaria, del veintiséis de septiembre de dos mil dieciocho;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Sexta Sesión Ordinaria, del diez de octubre de dos mil dieciocho;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Séptima Sesión Ordinaria, del veinticuatro de octubre de dos mil dieciocho;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Octava Sesión Ordinaria, del catorce de noviembre de dos mil dieciocho;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Novena Sesión Ordinaria, del veintiuno de noviembre de dos mil dieciocho;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Vigésima Sesión Ordinaria, del cinco de diciembre de dos mil dieciocho;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Vigésima Primera Sesión Ordinaria, del diecinueve de diciembre de dos mil dieciocho.</w:t>
      </w:r>
    </w:p>
    <w:p w:rsidR="00EF2151" w:rsidRPr="00F30AD4" w:rsidRDefault="00EF2151">
      <w:pPr>
        <w:spacing w:line="360" w:lineRule="auto"/>
        <w:ind w:left="360"/>
        <w:jc w:val="both"/>
        <w:rPr>
          <w:rFonts w:ascii="Palatino Linotype" w:eastAsia="Palatino Linotype" w:hAnsi="Palatino Linotype" w:cs="Palatino Linotype"/>
          <w:b/>
        </w:rPr>
      </w:pPr>
    </w:p>
    <w:p w:rsidR="00EF2151" w:rsidRPr="00F30AD4" w:rsidRDefault="00A8726A">
      <w:pPr>
        <w:spacing w:line="360" w:lineRule="auto"/>
        <w:ind w:left="360"/>
        <w:jc w:val="both"/>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t xml:space="preserve">Actas de Sesiones Extraordinarias: </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Primera Sesión Extraordinaria, del veintitrés de mayo de dos mil dieciocho;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Segunda Sesión Extraordinaria, del tres de octubre de dos mil dieciocho.</w:t>
      </w:r>
    </w:p>
    <w:p w:rsidR="00EF2151" w:rsidRPr="00F30AD4" w:rsidRDefault="00EF2151">
      <w:pPr>
        <w:spacing w:line="360" w:lineRule="auto"/>
        <w:jc w:val="both"/>
        <w:rPr>
          <w:rFonts w:ascii="Palatino Linotype" w:eastAsia="Palatino Linotype" w:hAnsi="Palatino Linotype" w:cs="Palatino Linotype"/>
          <w:b/>
          <w:sz w:val="22"/>
          <w:szCs w:val="22"/>
        </w:rPr>
      </w:pPr>
    </w:p>
    <w:p w:rsidR="00EF2151" w:rsidRPr="00F30AD4" w:rsidRDefault="00A8726A">
      <w:pPr>
        <w:spacing w:line="360" w:lineRule="auto"/>
        <w:ind w:left="360"/>
        <w:jc w:val="both"/>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t>2019</w:t>
      </w:r>
    </w:p>
    <w:p w:rsidR="00EF2151" w:rsidRPr="00F30AD4" w:rsidRDefault="00A8726A">
      <w:pPr>
        <w:spacing w:line="360" w:lineRule="auto"/>
        <w:ind w:left="360"/>
        <w:jc w:val="both"/>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lastRenderedPageBreak/>
        <w:t xml:space="preserve">Actas de Sesiones Ordinarias: </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Primera Sesión Ordinaria, del nueve de enero de dos mil diecinueve;</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Segunda Sesión Ordinaria, del treinta de enero de dos mil diecinueve;</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Tercera Sesión Ordinaria, del trece de febrero de dos mil diecinueve;</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Cuarta Sesión Ordinaria, del seis de marzo de dos mil diecinueve;</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Quinta Sesión Ordinaria, del seis de marzo de dos mil diecinueve;</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Sexta Sesión Ordinaria, del veinte de marzo de dos mil diecinueve;</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Séptima Sesión Ordinaria, del diez de abril de dos mil diecinueve;</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Octava Sesión Ordinaria, del diez de abril de dos mil diecinueve;</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Novena Sesión Ordinaria, del quince de mayo de dos mil diecinueve;</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Sesión Ordinaria, del veintinueve de mayo de dos mil diecinueve;</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Primera Sesión Ordinaria, del quince de junio de dos mil diecinueve;</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Segunda Sesión Ordinaria, del dieciocho de junio de dos mil diecinueve;</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Tercera Sesión Ordinaria, del tres de julio de dos mil diecinueve;</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Cuarta Sesión Ordinaria, del veinticuatro de julio de dos mil diecinueve;</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Quinta Sesión Ordinaria, del siete de agosto de dos mil diecinueve;</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Sexta Sesión Ordinaria, del veintiuno de agosto de dos mil diecinueve;</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Séptima Sesión Ordinaria, del cuatro de septiembre de dos mil diecinueve;</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Octava Sesión Ordinaria, del dieciocho de septiembre de dos mil diecinueve;</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Novena Sesión Ordinaria, del dos de octubre de dos mil diecinueve;</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Vigésima Sesión Ordinaria, del treinta de octubre de dos mil diecinueve;</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lastRenderedPageBreak/>
        <w:t>Acta de la Vigésimo Primera Sesión Ordinaria, del treinta de octubre de dos mil diecinueve;</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Vigésimo Segunda Sesión Ordinaria, del trece de noviembre de dos mil diecinueve;</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Vigésimo Tercera Sesión Ordinaria, del veintisiete de noviembre de dos mil diecinueve;</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Vigésimo Cuarta Sesión Ordinaria, del once de diciembre de dos mil diecinueve.</w:t>
      </w:r>
    </w:p>
    <w:p w:rsidR="00EF2151" w:rsidRPr="00F30AD4" w:rsidRDefault="00EF2151">
      <w:pPr>
        <w:spacing w:line="360" w:lineRule="auto"/>
        <w:jc w:val="both"/>
        <w:rPr>
          <w:rFonts w:ascii="Palatino Linotype" w:eastAsia="Palatino Linotype" w:hAnsi="Palatino Linotype" w:cs="Palatino Linotype"/>
          <w:i/>
        </w:rPr>
      </w:pPr>
    </w:p>
    <w:p w:rsidR="00EF2151" w:rsidRPr="00F30AD4" w:rsidRDefault="00A8726A">
      <w:pPr>
        <w:spacing w:line="360" w:lineRule="auto"/>
        <w:ind w:left="360"/>
        <w:jc w:val="both"/>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t>2020</w:t>
      </w:r>
    </w:p>
    <w:p w:rsidR="00EF2151" w:rsidRPr="00F30AD4" w:rsidRDefault="00A8726A">
      <w:pPr>
        <w:spacing w:line="360" w:lineRule="auto"/>
        <w:ind w:left="360"/>
        <w:jc w:val="both"/>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t xml:space="preserve">Actas de Sesiones Ordinarias: </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Primera Sesión Ordinaria, del quince de enero de dos mil veinte;</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Segunda Sesión Ordinaria, del veinte de enero de dos mil veinte;</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Tercera Sesión Ordinaria, del doce de febrero de dos mil veinte;</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Cuarta Sesión Ordinaria, del veintiséis de febrero de dos mil veinte;</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Quinta Sesión Ordinaria, del once de marzo de dos mil veinte;</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Sexta Sesión Ordinaria, del veinticinco de marzo de dos mil veinte;</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Séptima Sesión Ordinaria, del quince de abril de dos mil veinte;</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Octava Sesión Ordinaria, del veintinueve de abril de dos mil veinte;</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Novena Sesión Ordinaria, del trece de mayo de dos mil veinte;</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Sesión Ordinaria, del veintisiete de mayo de dos mil veinte;</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Primera Sesión Ordinaria, del diez de junio de dos mil veinte;</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Segunda Sesión Ordinaria, del veinticuatro de junio de dos mil veinte;</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Tercera Sesión Ordinaria, del trece de julio de dos mil veinte;</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Cuarta Sesión Ordinaria, del veintinueve de julio de dos mil veinte;</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lastRenderedPageBreak/>
        <w:t>Acta de la Décima Quinta Sesión Ordinaria, del doce de agosto de dos mil veinte;</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Sexta Sesión Ordinaria, del veintiséis de agosto de dos mil veinte;</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Séptima Sesión Ordinaria, del nueve de septiembre de dos mil veinte;</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Octava Sesión Ordinaria, del veintitrés de septiembre de dos mil veinte;</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Novena Sesión Ordinaria, del siete de octubre de dos mil veinte;</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Vigésima Sesión Ordinaria, del veintiuno de octubre de dos mil veinte;</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Vigésimo Primera Sesión Ordinaria, del cuatro de noviembre de dos mil veinte;</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Vigésimo Segunda Sesión Ordinaria, del dieciocho de noviembre de dos mil veinte;</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Vigésimo Tercera Sesión Ordinaria, del dos de diciembre de dos mil veinte;</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Vigésimo Cuarta Sesión Ordinaria, del dieciséis de diciembre de dos mil veinte.</w:t>
      </w:r>
    </w:p>
    <w:p w:rsidR="00EF2151" w:rsidRPr="00F30AD4" w:rsidRDefault="00EF2151">
      <w:pPr>
        <w:spacing w:line="360" w:lineRule="auto"/>
        <w:jc w:val="both"/>
        <w:rPr>
          <w:rFonts w:ascii="Palatino Linotype" w:eastAsia="Palatino Linotype" w:hAnsi="Palatino Linotype" w:cs="Palatino Linotype"/>
          <w:i/>
        </w:rPr>
      </w:pPr>
    </w:p>
    <w:p w:rsidR="00EF2151" w:rsidRPr="00F30AD4" w:rsidRDefault="00A8726A">
      <w:pPr>
        <w:spacing w:line="360" w:lineRule="auto"/>
        <w:ind w:left="360"/>
        <w:jc w:val="both"/>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t>2021</w:t>
      </w:r>
    </w:p>
    <w:p w:rsidR="00EF2151" w:rsidRPr="00F30AD4" w:rsidRDefault="00A8726A">
      <w:pPr>
        <w:spacing w:line="360" w:lineRule="auto"/>
        <w:ind w:left="360"/>
        <w:jc w:val="both"/>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t xml:space="preserve">Actas de Sesiones Ordinarias: </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Primera Sesión Ordinaria, del trece de enero de dos mil veintiuno;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Segunda Sesión Ordinaria, del veintisiete de enero de dos mil veintiuno;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Tercera Sesión Ordinaria, del diez de febrero de dos mil veintiuno;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Cuarta Sesión Ordinaria, del veinticuatro de febrero de dos mil veintiuno;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Quinta Sesión Ordinaria, del diez de marzo de dos mil veintiuno;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Sexta Sesión Ordinaria, del veinticuatro de marzo de dos mil veintiuno;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Séptima Sesión Ordinaria, del siete de abril de dos mil veintiuno;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Octava Sesión Ordinaria, del veintiuno de abril de dos mil veintiuno;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lastRenderedPageBreak/>
        <w:t>Acta de la Novena Sesión Ordinaria, del doce de mayo de dos mil veintiuno;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Sesión Ordinaria, del veintiséis de mayo de dos mil veintiuno;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Primera Sesión Ordinaria, del nueve de junio de dos mil veintiuno;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Segunda Sesión Ordinaria, del veintitrés de junio de dos mil veintiuno;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Tercera Sesión Ordinaria, del siete de julio de dos mil veintiuno;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Cuarta Sesión Ordinaria, del veintiuno de julio de dos mil veintiuno;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Quinta Sesión Ordinaria, del cuatro de agosto de dos mil veintiuno;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Sexta Sesión Ordinaria, del dieciocho de agosto de dos mil veintiuno;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Séptima Sesión Ordinaria, del ocho de septiembre de dos mil veintiuno;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Octava Sesión Ordinaria, del veintidós de septiembre de dos mil veintiuno;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Novena Sesión Ordinaria, del seis de octubre de dos mil veintiuno;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Vigésima Sesión Ordinaria, del veinte de octubre de dos mil veintiuno;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Vigésima Primera Sesión Ordinaria, del diez de noviembre de dos mil veintiuno;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Vigésima Segunda Sesión Ordinaria, del veinticuatro de noviembre de dos mil veintiuno;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Vigésima Tercera Sesión Ordinaria, del ocho de diciembre de dos mil veintiuno;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Vigésima Cuarta Sesión Ordinaria, del veintidós de diciembre de dos mil veintiuno;</w:t>
      </w:r>
    </w:p>
    <w:p w:rsidR="00EF2151" w:rsidRPr="00F30AD4" w:rsidRDefault="00EF2151">
      <w:pPr>
        <w:spacing w:line="360" w:lineRule="auto"/>
        <w:ind w:left="360" w:right="-28"/>
        <w:jc w:val="both"/>
        <w:rPr>
          <w:rFonts w:ascii="Palatino Linotype" w:eastAsia="Palatino Linotype" w:hAnsi="Palatino Linotype" w:cs="Palatino Linotype"/>
          <w:b/>
        </w:rPr>
      </w:pPr>
    </w:p>
    <w:p w:rsidR="00EF2151" w:rsidRPr="00F30AD4" w:rsidRDefault="00A8726A">
      <w:pPr>
        <w:spacing w:line="360" w:lineRule="auto"/>
        <w:ind w:left="360"/>
        <w:jc w:val="both"/>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t xml:space="preserve">Actas de Sesiones Extraordinarias: </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lastRenderedPageBreak/>
        <w:t>Acta de la Primera Sesión Extraordinaria, del veintiséis de agosto de dos mil veintiuno;</w:t>
      </w:r>
    </w:p>
    <w:p w:rsidR="00EF2151" w:rsidRPr="00F30AD4" w:rsidRDefault="00EF2151">
      <w:pPr>
        <w:spacing w:line="360" w:lineRule="auto"/>
        <w:ind w:left="360" w:right="-28"/>
        <w:jc w:val="both"/>
        <w:rPr>
          <w:rFonts w:ascii="Palatino Linotype" w:eastAsia="Palatino Linotype" w:hAnsi="Palatino Linotype" w:cs="Palatino Linotype"/>
          <w:b/>
        </w:rPr>
      </w:pPr>
    </w:p>
    <w:p w:rsidR="00EF2151" w:rsidRPr="00F30AD4" w:rsidRDefault="00A8726A">
      <w:pPr>
        <w:spacing w:line="360" w:lineRule="auto"/>
        <w:ind w:left="360"/>
        <w:jc w:val="both"/>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t>2022</w:t>
      </w:r>
    </w:p>
    <w:p w:rsidR="00EF2151" w:rsidRPr="00F30AD4" w:rsidRDefault="00A8726A">
      <w:pPr>
        <w:spacing w:line="360" w:lineRule="auto"/>
        <w:ind w:left="360"/>
        <w:jc w:val="both"/>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t xml:space="preserve">Actas de Sesiones Ordinarias: </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Primera Sesión Ordinaria, del doce de enero de dos mil veintidós;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Segunda Sesión Ordinaria, del veintiséis de enero de dos mil veintidós;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Tercera Sesión Ordinaria, del nueve de febrero de dos mil veintidós;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Cuarta Sesión Ordinaria, del veintitrés de febrero de dos mil veintidós;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Quinta Sesión Ordinaria, del nueve de marzo de dos mil veintidós;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Sexta Sesión Ordinaria, del veintitrés de marzo de dos mil veintidós;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Séptima Sesión Ordinaria, del seis de abril de dos mil veintidós;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Octava Sesión Ordinaria, del veintisiete de abril de dos mil veintidós;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Novena Sesión Ordinaria, del once de mayo de dos mil veintidós;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Sesión Ordinaria, del veinticinco de mayo de dos mil veintidós;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Primera Sesión Ordinaria, del ocho de junio de dos mil veintidós;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Segunda Sesión Ordinaria, del veintidós de junio de dos mil veintidós;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Tercera Sesión Ordinaria, del seis de julio de dos mil veintidós;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Cuarta Sesión Ordinaria, del veintisiete de julio de dos mil veintidós;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Quinta Sesión Ordinaria, del diez de agosto de dos mil veintidós;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Sexta Sesión Ordinaria, del veinticuatro de agosto de dos mil veintidós;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Séptima Sesión Ordinaria, del siete de septiembre de dos mil veintidós;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lastRenderedPageBreak/>
        <w:t>Acta de la Décima Octava Sesión Ordinaria, del veintiuno de septiembre de dos mil veintidós;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Novena Sesión Ordinaria, del cinco de octubre de dos mil veintidós;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Vigésima Sesión Ordinaria, del diecinueve de octubre de dos mil veintidós;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Vigésima Primera Sesión Ordinaria, del nueve de noviembre de dos mil veintidós;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Vigésima Segunda Sesión Ordinaria, del veintitrés de noviembre de dos mil veintidós;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Vigésima Tercera Sesión Ordinaria, del siete de diciembre de dos mil veintidós;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Vigésima Cuarta Sesión Ordinaria, del veintiuno de diciembre de dos mil veintidós;</w:t>
      </w:r>
    </w:p>
    <w:p w:rsidR="00EF2151" w:rsidRPr="00F30AD4" w:rsidRDefault="00EF2151">
      <w:pPr>
        <w:spacing w:line="360" w:lineRule="auto"/>
        <w:ind w:right="-28"/>
        <w:jc w:val="both"/>
        <w:rPr>
          <w:rFonts w:ascii="Palatino Linotype" w:eastAsia="Palatino Linotype" w:hAnsi="Palatino Linotype" w:cs="Palatino Linotype"/>
          <w:b/>
          <w:sz w:val="22"/>
          <w:szCs w:val="22"/>
        </w:rPr>
      </w:pPr>
    </w:p>
    <w:p w:rsidR="00EF2151" w:rsidRPr="00F30AD4" w:rsidRDefault="00A8726A">
      <w:pPr>
        <w:spacing w:line="360" w:lineRule="auto"/>
        <w:ind w:left="360"/>
        <w:jc w:val="both"/>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t xml:space="preserve">Actas de Sesiones Extraordinarias: </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Primera Sesión Extraordinaria, del tres de agosto de dos mil veintidós; y</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Segunda Sesión Extraordinaria, del treinta y uno de agosto de dos mil veintidós;</w:t>
      </w:r>
    </w:p>
    <w:p w:rsidR="00EF2151" w:rsidRPr="00F30AD4" w:rsidRDefault="00EF2151">
      <w:pPr>
        <w:spacing w:line="360" w:lineRule="auto"/>
        <w:ind w:right="-28"/>
        <w:jc w:val="both"/>
        <w:rPr>
          <w:rFonts w:ascii="Palatino Linotype" w:eastAsia="Palatino Linotype" w:hAnsi="Palatino Linotype" w:cs="Palatino Linotype"/>
          <w:b/>
          <w:sz w:val="22"/>
          <w:szCs w:val="22"/>
        </w:rPr>
      </w:pPr>
    </w:p>
    <w:p w:rsidR="00EF2151" w:rsidRPr="00F30AD4" w:rsidRDefault="00A8726A">
      <w:pPr>
        <w:spacing w:line="360" w:lineRule="auto"/>
        <w:ind w:left="360"/>
        <w:jc w:val="both"/>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t>2023</w:t>
      </w:r>
    </w:p>
    <w:p w:rsidR="00EF2151" w:rsidRPr="00F30AD4" w:rsidRDefault="00A8726A">
      <w:pPr>
        <w:spacing w:line="360" w:lineRule="auto"/>
        <w:ind w:left="360"/>
        <w:jc w:val="both"/>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t xml:space="preserve">Actas de Sesiones Ordinarias: </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Primera Sesión Ordinaria, del once de enero de dos mil veintitrés;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Segunda Sesión Ordinaria, del veinticinco de enero de dos mil veintitrés;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Tercera Sesión Ordinaria, del ocho de febrero de dos mil veintitrés;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Cuarta Sesión Ordinaria, del veintidós de febrero de dos mil veintitrés;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Quinta Sesión Ordinaria, del ocho de marzo de dos mil veintitrés;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Sexta Sesión Ordinaria, del veintidós de marzo de dos mil veintitrés;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lastRenderedPageBreak/>
        <w:t>Acta de la Séptima Sesión Ordinaria, del doce de abril de dos mil veintitrés;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Octava Sesión Ordinaria, del veintiséis de abril de dos mil veintitrés;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Novena Sesión Ordinaria, del once de mayo de dos mil veintitrés;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Sesión Ordinaria, del veinticuatro de mayo de dos mil veintitrés;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Primera Sesión Ordinaria, del ocho de junio de dos mil veintitrés;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Segunda Sesión Ordinaria, del veintiuno de junio de dos mil veintitrés;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Tercera Sesión Ordinaria, del doce de julio de dos mil veintitrés;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Cuarta Sesión Ordinaria, del treinta y uno de julio de dos mil veintitrés;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Quinta Sesión Ordinaria, del nueve de agosto de dos mil veintitrés;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Sexta Sesión Ordinaria, del veintitrés de agosto de dos mil veintitrés;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Séptima Sesión Ordinaria, del trece de septiembre de dos mil veintitrés;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Octava Sesión Ordinaria, del veintisiete de septiembre de dos mil veintitrés;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Novena Sesión Ordinaria, del once de octubre de dos mil veintitrés;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Vigésima Sesión Ordinaria, del veinticinco de octubre de dos mil veintitrés;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Vigésima Primera Sesión Ordinaria, del ocho de noviembre de dos mil veintitrés;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Vigésima Segunda Sesión Ordinaria, del veintidós de noviembre de dos mil veintitrés;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Vigésima Tercera Sesión Ordinaria, del seis de diciembre de dos mil veintitrés; y</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Vigésima Cuarta Sesión Ordinaria, del trece de diciembre de dos mil veintitrés;</w:t>
      </w:r>
    </w:p>
    <w:p w:rsidR="00EF2151" w:rsidRPr="00F30AD4" w:rsidRDefault="00EF2151">
      <w:pPr>
        <w:pBdr>
          <w:top w:val="nil"/>
          <w:left w:val="nil"/>
          <w:bottom w:val="nil"/>
          <w:right w:val="nil"/>
          <w:between w:val="nil"/>
        </w:pBdr>
        <w:spacing w:line="360" w:lineRule="auto"/>
        <w:ind w:left="720" w:right="-28"/>
        <w:jc w:val="both"/>
        <w:rPr>
          <w:rFonts w:ascii="Palatino Linotype" w:eastAsia="Palatino Linotype" w:hAnsi="Palatino Linotype" w:cs="Palatino Linotype"/>
          <w:b/>
          <w:color w:val="000000"/>
          <w:sz w:val="22"/>
          <w:szCs w:val="22"/>
        </w:rPr>
      </w:pPr>
    </w:p>
    <w:p w:rsidR="00EF2151" w:rsidRPr="00F30AD4" w:rsidRDefault="00A8726A">
      <w:pPr>
        <w:spacing w:line="360" w:lineRule="auto"/>
        <w:ind w:left="360"/>
        <w:jc w:val="both"/>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t xml:space="preserve">Actas de Sesiones Extraordinarias: </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Primera Sesión Extraordinaria, del diecisiete de mayo de dos mil veintitrés; y</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Segunda Sesión Extraordinaria, del treinta de agosto de dos mil veintitrés.</w:t>
      </w:r>
    </w:p>
    <w:p w:rsidR="00EF2151" w:rsidRPr="00F30AD4" w:rsidRDefault="00EF2151">
      <w:pPr>
        <w:spacing w:line="360" w:lineRule="auto"/>
        <w:jc w:val="both"/>
        <w:rPr>
          <w:rFonts w:ascii="Palatino Linotype" w:eastAsia="Palatino Linotype" w:hAnsi="Palatino Linotype" w:cs="Palatino Linotype"/>
          <w:sz w:val="22"/>
          <w:szCs w:val="22"/>
        </w:rPr>
      </w:pPr>
    </w:p>
    <w:p w:rsidR="00EF2151" w:rsidRPr="00F30AD4" w:rsidRDefault="00A8726A">
      <w:pPr>
        <w:spacing w:line="360" w:lineRule="auto"/>
        <w:ind w:left="360"/>
        <w:jc w:val="both"/>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t>2024</w:t>
      </w:r>
    </w:p>
    <w:p w:rsidR="00EF2151" w:rsidRPr="00F30AD4" w:rsidRDefault="00A8726A">
      <w:pPr>
        <w:spacing w:line="360" w:lineRule="auto"/>
        <w:ind w:left="360"/>
        <w:jc w:val="both"/>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t xml:space="preserve">Actas de Sesiones Ordinarias: </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Primera Sesión Ordinaria, del diecisiete de enero de dos mil veinticuatro;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Segunda Sesión Ordinaria, del treinta de enero de dos mil veinticuatro;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Tercera Sesión Ordinaria, del catorce de febrero de dos mil veinticuatro;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Cuarta Sesión Ordinaria, del veintiocho de febrero de dos mil veinticuatro;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Quinta Sesión Ordinaria, del trece de marzo de dos mil veinticuatro;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Sexta Sesión Ordinaria, del veinte de marzo de dos mil veinticuatro;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Séptima Sesión Ordinaria, del diez de abril de dos mil veinticuatro;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Octava Sesión Ordinaria, del veinticuatro de abril de dos mil veinticuatro;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Novena Sesión Ordinaria, del ocho de mayo de dos mil veinticuatro;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Sesión Ordinaria, del veintidós de mayo de dos mil veinticuatro;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Primera Sesión Ordinaria, del cinco de junio de dos mil veinticuatro;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Segunda Sesión Ordinaria, del diecinueve de junio de dos mil veinticuatro;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Tercera Sesión Ordinaria, del tres de julio de dos mil veinticuatro;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Cuarta Sesión Ordinaria, del diecisiete de julio de dos mil veinticuatro;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Quinta Sesión Ordinaria, del siete de agosto de dos mil veinticuatro;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lastRenderedPageBreak/>
        <w:t>Acta de la Décima Sexta Sesión Ordinaria, del veintiuno de agosto de dos mil veinticuatro;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Séptima Sesión Ordinaria, del cuatro de septiembre de dos mil veinticuatro;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Octava Sesión Ordinaria, del dieciocho de septiembre de dos mil veinticuatro;</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Acta de la Décima Novena Sesión Ordinaria, del dos de octubre de dos mil veinticuatro;</w:t>
      </w:r>
    </w:p>
    <w:p w:rsidR="00EF2151" w:rsidRPr="00F30AD4" w:rsidRDefault="00EF2151">
      <w:pPr>
        <w:spacing w:line="360" w:lineRule="auto"/>
        <w:jc w:val="both"/>
        <w:rPr>
          <w:rFonts w:ascii="Palatino Linotype" w:eastAsia="Palatino Linotype" w:hAnsi="Palatino Linotype" w:cs="Palatino Linotype"/>
          <w:b/>
        </w:rPr>
      </w:pPr>
    </w:p>
    <w:p w:rsidR="00EF2151" w:rsidRPr="00F30AD4" w:rsidRDefault="00A8726A">
      <w:pPr>
        <w:spacing w:line="360" w:lineRule="auto"/>
        <w:ind w:left="360"/>
        <w:jc w:val="both"/>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t xml:space="preserve">Actas de Sesiones Extraordinarias: </w:t>
      </w:r>
    </w:p>
    <w:p w:rsidR="00EF2151" w:rsidRPr="00F30AD4" w:rsidRDefault="00A8726A">
      <w:pPr>
        <w:numPr>
          <w:ilvl w:val="0"/>
          <w:numId w:val="2"/>
        </w:num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sz w:val="22"/>
          <w:szCs w:val="22"/>
        </w:rPr>
      </w:pPr>
      <w:r w:rsidRPr="00F30AD4">
        <w:rPr>
          <w:rFonts w:ascii="Palatino Linotype" w:eastAsia="Palatino Linotype" w:hAnsi="Palatino Linotype" w:cs="Palatino Linotype"/>
          <w:color w:val="000000"/>
          <w:sz w:val="22"/>
          <w:szCs w:val="22"/>
        </w:rPr>
        <w:t>Acta de la Primera Sesión Extraordinaria, del veinte de febrero de dos mil veinticuatro;</w:t>
      </w:r>
    </w:p>
    <w:p w:rsidR="00EF2151" w:rsidRPr="00F30AD4" w:rsidRDefault="00A8726A">
      <w:pPr>
        <w:numPr>
          <w:ilvl w:val="0"/>
          <w:numId w:val="2"/>
        </w:num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sz w:val="22"/>
          <w:szCs w:val="22"/>
        </w:rPr>
      </w:pPr>
      <w:r w:rsidRPr="00F30AD4">
        <w:rPr>
          <w:rFonts w:ascii="Palatino Linotype" w:eastAsia="Palatino Linotype" w:hAnsi="Palatino Linotype" w:cs="Palatino Linotype"/>
          <w:color w:val="000000"/>
          <w:sz w:val="22"/>
          <w:szCs w:val="22"/>
        </w:rPr>
        <w:t>Acta de la Segunda Sesión Extraordinaria, del cinco de septiembre de dos mil veinticuatro;</w:t>
      </w:r>
    </w:p>
    <w:p w:rsidR="00EF2151" w:rsidRPr="00F30AD4" w:rsidRDefault="00A8726A">
      <w:pPr>
        <w:numPr>
          <w:ilvl w:val="0"/>
          <w:numId w:val="2"/>
        </w:num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sz w:val="22"/>
          <w:szCs w:val="22"/>
        </w:rPr>
      </w:pPr>
      <w:r w:rsidRPr="00F30AD4">
        <w:rPr>
          <w:rFonts w:ascii="Palatino Linotype" w:eastAsia="Palatino Linotype" w:hAnsi="Palatino Linotype" w:cs="Palatino Linotype"/>
          <w:color w:val="000000"/>
          <w:sz w:val="22"/>
          <w:szCs w:val="22"/>
        </w:rPr>
        <w:t>Acta de la Tercera Sesión Extraordinaria, del veinte de septiembre de dos mil veinticuatro.</w:t>
      </w:r>
    </w:p>
    <w:p w:rsidR="00EF2151" w:rsidRPr="00F30AD4" w:rsidRDefault="00EF2151">
      <w:pPr>
        <w:pBdr>
          <w:top w:val="nil"/>
          <w:left w:val="nil"/>
          <w:bottom w:val="nil"/>
          <w:right w:val="nil"/>
          <w:between w:val="nil"/>
        </w:pBdr>
        <w:spacing w:line="360" w:lineRule="auto"/>
        <w:ind w:left="720" w:right="-28"/>
        <w:jc w:val="both"/>
        <w:rPr>
          <w:rFonts w:ascii="Palatino Linotype" w:eastAsia="Palatino Linotype" w:hAnsi="Palatino Linotype" w:cs="Palatino Linotype"/>
          <w:b/>
          <w:color w:val="000000"/>
          <w:sz w:val="22"/>
          <w:szCs w:val="22"/>
        </w:rPr>
      </w:pPr>
    </w:p>
    <w:p w:rsidR="00EF2151" w:rsidRPr="00F30AD4" w:rsidRDefault="00A8726A">
      <w:pPr>
        <w:spacing w:line="360" w:lineRule="auto"/>
        <w:ind w:right="-28"/>
        <w:jc w:val="both"/>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t>III. Interposición del Recurso de Revisión</w:t>
      </w:r>
    </w:p>
    <w:p w:rsidR="00EF2151" w:rsidRPr="00F30AD4" w:rsidRDefault="00EF2151">
      <w:pPr>
        <w:spacing w:line="360" w:lineRule="auto"/>
        <w:ind w:right="-28"/>
        <w:jc w:val="both"/>
        <w:rPr>
          <w:rFonts w:ascii="Palatino Linotype" w:eastAsia="Palatino Linotype" w:hAnsi="Palatino Linotype" w:cs="Palatino Linotype"/>
          <w:sz w:val="22"/>
          <w:szCs w:val="22"/>
        </w:rPr>
      </w:pPr>
    </w:p>
    <w:p w:rsidR="00EF2151" w:rsidRPr="00F30AD4" w:rsidRDefault="00A8726A">
      <w:pPr>
        <w:spacing w:line="360" w:lineRule="auto"/>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t>Con fecha cinco de noviembre de dos mil veinticuatro se recibió en este Instituto, a través del Sistema de Acceso a la Información Mexiquense (SAIMEX), el Recurso de Revisión interpuesto por la parte Recurrente, en contra de la respuesta del Sujeto Obligado, en los siguientes términos:</w:t>
      </w:r>
    </w:p>
    <w:p w:rsidR="00EF2151" w:rsidRPr="00F30AD4" w:rsidRDefault="00EF2151">
      <w:pPr>
        <w:spacing w:line="360" w:lineRule="auto"/>
        <w:ind w:right="-28"/>
        <w:jc w:val="both"/>
        <w:rPr>
          <w:rFonts w:ascii="Palatino Linotype" w:eastAsia="Palatino Linotype" w:hAnsi="Palatino Linotype" w:cs="Palatino Linotype"/>
          <w:i/>
        </w:rPr>
      </w:pPr>
    </w:p>
    <w:p w:rsidR="00EF2151" w:rsidRPr="00F30AD4" w:rsidRDefault="00A8726A">
      <w:pPr>
        <w:tabs>
          <w:tab w:val="left" w:pos="4667"/>
        </w:tabs>
        <w:spacing w:line="360" w:lineRule="auto"/>
        <w:ind w:left="567" w:right="567"/>
        <w:jc w:val="both"/>
        <w:rPr>
          <w:rFonts w:ascii="Palatino Linotype" w:eastAsia="Palatino Linotype" w:hAnsi="Palatino Linotype" w:cs="Palatino Linotype"/>
          <w:b/>
          <w:i/>
        </w:rPr>
      </w:pPr>
      <w:r w:rsidRPr="00F30AD4">
        <w:rPr>
          <w:rFonts w:ascii="Palatino Linotype" w:eastAsia="Palatino Linotype" w:hAnsi="Palatino Linotype" w:cs="Palatino Linotype"/>
          <w:b/>
          <w:i/>
        </w:rPr>
        <w:t>“ACTO IMPUGNADO</w:t>
      </w:r>
    </w:p>
    <w:p w:rsidR="00EF2151" w:rsidRPr="00F30AD4" w:rsidRDefault="00A8726A">
      <w:pPr>
        <w:tabs>
          <w:tab w:val="left" w:pos="4667"/>
        </w:tabs>
        <w:spacing w:line="360" w:lineRule="auto"/>
        <w:ind w:left="567" w:right="567"/>
        <w:jc w:val="both"/>
        <w:rPr>
          <w:rFonts w:ascii="Palatino Linotype" w:eastAsia="Palatino Linotype" w:hAnsi="Palatino Linotype" w:cs="Palatino Linotype"/>
          <w:i/>
        </w:rPr>
      </w:pPr>
      <w:r w:rsidRPr="00F30AD4">
        <w:rPr>
          <w:rFonts w:ascii="Palatino Linotype" w:eastAsia="Palatino Linotype" w:hAnsi="Palatino Linotype" w:cs="Palatino Linotype"/>
          <w:i/>
        </w:rPr>
        <w:t xml:space="preserve">La información </w:t>
      </w:r>
      <w:r w:rsidR="00077245" w:rsidRPr="00F30AD4">
        <w:rPr>
          <w:rFonts w:ascii="Palatino Linotype" w:eastAsia="Palatino Linotype" w:hAnsi="Palatino Linotype" w:cs="Palatino Linotype"/>
          <w:i/>
        </w:rPr>
        <w:t>está</w:t>
      </w:r>
      <w:r w:rsidRPr="00F30AD4">
        <w:rPr>
          <w:rFonts w:ascii="Palatino Linotype" w:eastAsia="Palatino Linotype" w:hAnsi="Palatino Linotype" w:cs="Palatino Linotype"/>
          <w:i/>
        </w:rPr>
        <w:t xml:space="preserve"> incompleta” (Sic.)</w:t>
      </w:r>
    </w:p>
    <w:p w:rsidR="00EF2151" w:rsidRPr="00F30AD4" w:rsidRDefault="00EF2151">
      <w:pPr>
        <w:tabs>
          <w:tab w:val="left" w:pos="4667"/>
        </w:tabs>
        <w:spacing w:line="360" w:lineRule="auto"/>
        <w:ind w:left="567" w:right="567"/>
        <w:jc w:val="both"/>
        <w:rPr>
          <w:rFonts w:ascii="Palatino Linotype" w:eastAsia="Palatino Linotype" w:hAnsi="Palatino Linotype" w:cs="Palatino Linotype"/>
          <w:i/>
        </w:rPr>
      </w:pPr>
    </w:p>
    <w:p w:rsidR="00EF2151" w:rsidRPr="00F30AD4" w:rsidRDefault="00A8726A">
      <w:pPr>
        <w:tabs>
          <w:tab w:val="left" w:pos="4667"/>
        </w:tabs>
        <w:spacing w:line="360" w:lineRule="auto"/>
        <w:ind w:left="567" w:right="567"/>
        <w:jc w:val="both"/>
        <w:rPr>
          <w:rFonts w:ascii="Palatino Linotype" w:eastAsia="Palatino Linotype" w:hAnsi="Palatino Linotype" w:cs="Palatino Linotype"/>
          <w:b/>
          <w:i/>
        </w:rPr>
      </w:pPr>
      <w:r w:rsidRPr="00F30AD4">
        <w:rPr>
          <w:rFonts w:ascii="Palatino Linotype" w:eastAsia="Palatino Linotype" w:hAnsi="Palatino Linotype" w:cs="Palatino Linotype"/>
          <w:b/>
          <w:i/>
        </w:rPr>
        <w:lastRenderedPageBreak/>
        <w:t>“RAZONES O MOTIVOS DE LA INCONFORMIDAD</w:t>
      </w:r>
    </w:p>
    <w:p w:rsidR="00EF2151" w:rsidRPr="00F30AD4" w:rsidRDefault="00A8726A">
      <w:pPr>
        <w:spacing w:line="360" w:lineRule="auto"/>
        <w:ind w:left="567" w:right="567"/>
        <w:jc w:val="both"/>
        <w:rPr>
          <w:rFonts w:ascii="Palatino Linotype" w:eastAsia="Palatino Linotype" w:hAnsi="Palatino Linotype" w:cs="Palatino Linotype"/>
          <w:i/>
        </w:rPr>
      </w:pPr>
      <w:r w:rsidRPr="00F30AD4">
        <w:rPr>
          <w:rFonts w:ascii="Palatino Linotype" w:eastAsia="Palatino Linotype" w:hAnsi="Palatino Linotype" w:cs="Palatino Linotype"/>
          <w:i/>
          <w:color w:val="000000"/>
        </w:rPr>
        <w:t xml:space="preserve">La información </w:t>
      </w:r>
      <w:r w:rsidR="00077245" w:rsidRPr="00F30AD4">
        <w:rPr>
          <w:rFonts w:ascii="Palatino Linotype" w:eastAsia="Palatino Linotype" w:hAnsi="Palatino Linotype" w:cs="Palatino Linotype"/>
          <w:i/>
          <w:color w:val="000000"/>
        </w:rPr>
        <w:t>está</w:t>
      </w:r>
      <w:bookmarkStart w:id="2" w:name="_GoBack"/>
      <w:bookmarkEnd w:id="2"/>
      <w:r w:rsidRPr="00F30AD4">
        <w:rPr>
          <w:rFonts w:ascii="Palatino Linotype" w:eastAsia="Palatino Linotype" w:hAnsi="Palatino Linotype" w:cs="Palatino Linotype"/>
          <w:i/>
          <w:color w:val="000000"/>
        </w:rPr>
        <w:t xml:space="preserve"> incompleta.</w:t>
      </w:r>
      <w:r w:rsidRPr="00F30AD4">
        <w:rPr>
          <w:rFonts w:ascii="Palatino Linotype" w:eastAsia="Palatino Linotype" w:hAnsi="Palatino Linotype" w:cs="Palatino Linotype"/>
          <w:i/>
        </w:rPr>
        <w:t>” (Sic)</w:t>
      </w:r>
    </w:p>
    <w:p w:rsidR="00EF2151" w:rsidRPr="00F30AD4" w:rsidRDefault="00EF2151">
      <w:pPr>
        <w:spacing w:line="360" w:lineRule="auto"/>
        <w:ind w:right="-28"/>
        <w:jc w:val="both"/>
        <w:rPr>
          <w:rFonts w:ascii="Palatino Linotype" w:eastAsia="Palatino Linotype" w:hAnsi="Palatino Linotype" w:cs="Palatino Linotype"/>
          <w:sz w:val="22"/>
          <w:szCs w:val="22"/>
        </w:rPr>
      </w:pPr>
    </w:p>
    <w:p w:rsidR="00EF2151" w:rsidRPr="00F30AD4" w:rsidRDefault="00A8726A">
      <w:pPr>
        <w:spacing w:line="360" w:lineRule="auto"/>
        <w:ind w:right="-28"/>
        <w:jc w:val="both"/>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t>IV. Trámite del Recurso de Revisión ante el Instituto</w:t>
      </w:r>
    </w:p>
    <w:p w:rsidR="00EF2151" w:rsidRPr="00F30AD4" w:rsidRDefault="00EF2151">
      <w:pPr>
        <w:spacing w:line="360" w:lineRule="auto"/>
        <w:ind w:right="-28"/>
        <w:jc w:val="both"/>
        <w:rPr>
          <w:rFonts w:ascii="Palatino Linotype" w:eastAsia="Palatino Linotype" w:hAnsi="Palatino Linotype" w:cs="Palatino Linotype"/>
          <w:b/>
          <w:sz w:val="22"/>
          <w:szCs w:val="22"/>
        </w:rPr>
      </w:pPr>
    </w:p>
    <w:p w:rsidR="00EF2151" w:rsidRPr="00F30AD4" w:rsidRDefault="00A8726A">
      <w:pPr>
        <w:spacing w:line="360" w:lineRule="auto"/>
        <w:ind w:right="-28"/>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b/>
          <w:sz w:val="22"/>
          <w:szCs w:val="22"/>
        </w:rPr>
        <w:t xml:space="preserve">a) Turno del Recurso de Revisión. </w:t>
      </w:r>
      <w:r w:rsidRPr="00F30AD4">
        <w:rPr>
          <w:rFonts w:ascii="Palatino Linotype" w:eastAsia="Palatino Linotype" w:hAnsi="Palatino Linotype" w:cs="Palatino Linotype"/>
          <w:sz w:val="22"/>
          <w:szCs w:val="22"/>
        </w:rPr>
        <w:t xml:space="preserve">El cinco de noviembre de dos mil veinticuatro, el Sistema de Acceso a la Información Mexiquense (SAIMEX), asignó el número de expediente </w:t>
      </w:r>
      <w:r w:rsidRPr="00F30AD4">
        <w:rPr>
          <w:rFonts w:ascii="Palatino Linotype" w:eastAsia="Palatino Linotype" w:hAnsi="Palatino Linotype" w:cs="Palatino Linotype"/>
          <w:b/>
          <w:sz w:val="22"/>
          <w:szCs w:val="22"/>
        </w:rPr>
        <w:t xml:space="preserve">07066/INFOEM/IP/RR/2024, </w:t>
      </w:r>
      <w:r w:rsidRPr="00F30AD4">
        <w:rPr>
          <w:rFonts w:ascii="Palatino Linotype" w:eastAsia="Palatino Linotype" w:hAnsi="Palatino Linotype" w:cs="Palatino Linotype"/>
          <w:sz w:val="22"/>
          <w:szCs w:val="22"/>
        </w:rPr>
        <w:t xml:space="preserve">al Recurso de Revisión y lo turnó al Comisionado Ponente </w:t>
      </w:r>
      <w:r w:rsidRPr="00F30AD4">
        <w:rPr>
          <w:rFonts w:ascii="Palatino Linotype" w:eastAsia="Palatino Linotype" w:hAnsi="Palatino Linotype" w:cs="Palatino Linotype"/>
          <w:b/>
          <w:sz w:val="22"/>
          <w:szCs w:val="22"/>
        </w:rPr>
        <w:t>Luis Gustavo Parra Noriega</w:t>
      </w:r>
      <w:r w:rsidRPr="00F30AD4">
        <w:rPr>
          <w:rFonts w:ascii="Palatino Linotype" w:eastAsia="Palatino Linotype" w:hAnsi="Palatino Linotype" w:cs="Palatino Linotype"/>
          <w:sz w:val="22"/>
          <w:szCs w:val="22"/>
        </w:rPr>
        <w:t>, para los efectos del artículo 185, fracción I, de la Ley de Transparencia y Acceso a la Información Pública del Estado de México y Municipios.</w:t>
      </w:r>
    </w:p>
    <w:p w:rsidR="00EF2151" w:rsidRPr="00F30AD4" w:rsidRDefault="00EF2151">
      <w:pPr>
        <w:spacing w:line="360" w:lineRule="auto"/>
        <w:ind w:right="-28"/>
        <w:jc w:val="both"/>
        <w:rPr>
          <w:rFonts w:ascii="Palatino Linotype" w:eastAsia="Palatino Linotype" w:hAnsi="Palatino Linotype" w:cs="Palatino Linotype"/>
          <w:b/>
          <w:sz w:val="22"/>
          <w:szCs w:val="22"/>
        </w:rPr>
      </w:pPr>
    </w:p>
    <w:p w:rsidR="00EF2151" w:rsidRPr="00F30AD4" w:rsidRDefault="00A8726A">
      <w:pPr>
        <w:spacing w:line="360" w:lineRule="auto"/>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b/>
          <w:sz w:val="22"/>
          <w:szCs w:val="22"/>
        </w:rPr>
        <w:t xml:space="preserve">b) Admisión del Recurso de Revisión. </w:t>
      </w:r>
      <w:r w:rsidRPr="00F30AD4">
        <w:rPr>
          <w:rFonts w:ascii="Palatino Linotype" w:eastAsia="Palatino Linotype" w:hAnsi="Palatino Linotype" w:cs="Palatino Linotype"/>
          <w:sz w:val="22"/>
          <w:szCs w:val="22"/>
        </w:rPr>
        <w:t>El ocho de noviembre de dos mil veinticuatro,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rsidR="00EF2151" w:rsidRPr="00F30AD4" w:rsidRDefault="00EF2151">
      <w:pPr>
        <w:spacing w:line="360" w:lineRule="auto"/>
        <w:jc w:val="both"/>
        <w:rPr>
          <w:rFonts w:ascii="Palatino Linotype" w:eastAsia="Palatino Linotype" w:hAnsi="Palatino Linotype" w:cs="Palatino Linotype"/>
          <w:sz w:val="22"/>
          <w:szCs w:val="22"/>
        </w:rPr>
      </w:pPr>
    </w:p>
    <w:p w:rsidR="00EF2151" w:rsidRPr="00F30AD4" w:rsidRDefault="00A8726A">
      <w:pPr>
        <w:spacing w:line="360" w:lineRule="auto"/>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b/>
          <w:sz w:val="22"/>
          <w:szCs w:val="22"/>
        </w:rPr>
        <w:t xml:space="preserve">c) Informe Justificado. </w:t>
      </w:r>
      <w:r w:rsidRPr="00F30AD4">
        <w:rPr>
          <w:rFonts w:ascii="Palatino Linotype" w:eastAsia="Palatino Linotype" w:hAnsi="Palatino Linotype" w:cs="Palatino Linotype"/>
          <w:sz w:val="22"/>
          <w:szCs w:val="22"/>
        </w:rPr>
        <w:t>El veinte de noviembre de dos mil veinticuatro, se recibió, a través del Sistema de Acceso a la Información Mexiquense (SAIMEX), el Informe Justificado, a través de la digitalización de los documentos siguientes:</w:t>
      </w:r>
    </w:p>
    <w:p w:rsidR="00EF2151" w:rsidRPr="00F30AD4" w:rsidRDefault="00EF2151">
      <w:pPr>
        <w:spacing w:line="360" w:lineRule="auto"/>
        <w:jc w:val="both"/>
        <w:rPr>
          <w:rFonts w:ascii="Palatino Linotype" w:eastAsia="Palatino Linotype" w:hAnsi="Palatino Linotype" w:cs="Palatino Linotype"/>
          <w:sz w:val="22"/>
          <w:szCs w:val="22"/>
        </w:rPr>
      </w:pPr>
    </w:p>
    <w:p w:rsidR="00EF2151" w:rsidRPr="00F30AD4" w:rsidRDefault="00A8726A">
      <w:pPr>
        <w:spacing w:line="360" w:lineRule="auto"/>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t xml:space="preserve">i) Oficio número 41100100030000S/1880/2024, de fecha de su presentación, suscrito por la Jefa de la Unidad de Planeación y Transparencia, dirigido al Comisionado Ponente, por medio del cual esencialmente ratifica su respuesta inicial. </w:t>
      </w:r>
    </w:p>
    <w:p w:rsidR="00EF2151" w:rsidRPr="00F30AD4" w:rsidRDefault="00EF2151">
      <w:pPr>
        <w:spacing w:line="360" w:lineRule="auto"/>
        <w:jc w:val="both"/>
        <w:rPr>
          <w:rFonts w:ascii="Palatino Linotype" w:eastAsia="Palatino Linotype" w:hAnsi="Palatino Linotype" w:cs="Palatino Linotype"/>
          <w:sz w:val="22"/>
          <w:szCs w:val="22"/>
        </w:rPr>
      </w:pPr>
    </w:p>
    <w:p w:rsidR="00EF2151" w:rsidRPr="00F30AD4" w:rsidRDefault="00A8726A">
      <w:pPr>
        <w:spacing w:line="360" w:lineRule="auto"/>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t>ii) Oficio número 41100100030000S/0096/2024, del doce de noviembre de dos mil veinticuatro, suscrito por la Jefa de la Unidad de Enlace, dirigido a la Jefa de la Unidad de Planeación y Transparencia, por medio del cual esencialmente ratifica su respuesta inicial.</w:t>
      </w:r>
    </w:p>
    <w:p w:rsidR="00EF2151" w:rsidRPr="00F30AD4" w:rsidRDefault="00EF2151">
      <w:pPr>
        <w:spacing w:line="360" w:lineRule="auto"/>
        <w:jc w:val="both"/>
        <w:rPr>
          <w:rFonts w:ascii="Palatino Linotype" w:eastAsia="Palatino Linotype" w:hAnsi="Palatino Linotype" w:cs="Palatino Linotype"/>
          <w:sz w:val="22"/>
          <w:szCs w:val="22"/>
        </w:rPr>
      </w:pPr>
    </w:p>
    <w:p w:rsidR="00EF2151" w:rsidRPr="00F30AD4" w:rsidRDefault="00A8726A">
      <w:pPr>
        <w:spacing w:line="360" w:lineRule="auto"/>
        <w:jc w:val="both"/>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t xml:space="preserve">d) Cierre de instrucción. </w:t>
      </w:r>
      <w:r w:rsidRPr="00F30AD4">
        <w:rPr>
          <w:rFonts w:ascii="Palatino Linotype" w:eastAsia="Palatino Linotype" w:hAnsi="Palatino Linotype" w:cs="Palatino Linotype"/>
          <w:sz w:val="22"/>
          <w:szCs w:val="22"/>
        </w:rPr>
        <w:t>El tres de diciembre de dos mil veinticuatro, al no existir diligencias pendientes por desahogar, se emitió el acuerdo por medio del cual se declaró cerrada la instrucción y se determinó pasar el expediente a resolución, en términos de lo dispuesto en el artículo 185, fracciones VI y VIII, de la Ley de Transparencia y Acceso a la Información Pública del Estado de México y Municipios, mismo que fue notificado a las partes el mismo día, a través del Sistema de Acceso a la Información Mexiquense (SAIMEX).</w:t>
      </w:r>
    </w:p>
    <w:p w:rsidR="00EF2151" w:rsidRPr="00F30AD4" w:rsidRDefault="00A8726A">
      <w:pPr>
        <w:spacing w:line="360" w:lineRule="auto"/>
        <w:ind w:right="-28"/>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En razón de que fue debidamente sustanciado el expediente electrónico y no existe diligencia pendiente de desahogo, se emite la resolución que conforme a Derecho proceda, de acuerdo a los siguientes:</w:t>
      </w:r>
    </w:p>
    <w:p w:rsidR="00EF2151" w:rsidRPr="00F30AD4" w:rsidRDefault="00EF2151">
      <w:pPr>
        <w:spacing w:line="360" w:lineRule="auto"/>
        <w:ind w:right="-28"/>
        <w:jc w:val="both"/>
        <w:rPr>
          <w:rFonts w:ascii="Palatino Linotype" w:eastAsia="Palatino Linotype" w:hAnsi="Palatino Linotype" w:cs="Palatino Linotype"/>
          <w:color w:val="000000"/>
          <w:sz w:val="22"/>
          <w:szCs w:val="22"/>
        </w:rPr>
      </w:pPr>
    </w:p>
    <w:p w:rsidR="00EF2151" w:rsidRPr="00F30AD4" w:rsidRDefault="00A8726A">
      <w:pPr>
        <w:spacing w:line="360" w:lineRule="auto"/>
        <w:ind w:right="-28"/>
        <w:jc w:val="center"/>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t>C O N S I D E R A N D O S</w:t>
      </w:r>
    </w:p>
    <w:p w:rsidR="00EF2151" w:rsidRPr="00F30AD4" w:rsidRDefault="00EF2151">
      <w:pPr>
        <w:spacing w:line="360" w:lineRule="auto"/>
        <w:ind w:right="-28"/>
        <w:jc w:val="center"/>
        <w:rPr>
          <w:rFonts w:ascii="Palatino Linotype" w:eastAsia="Palatino Linotype" w:hAnsi="Palatino Linotype" w:cs="Palatino Linotype"/>
          <w:b/>
          <w:sz w:val="22"/>
          <w:szCs w:val="22"/>
        </w:rPr>
      </w:pPr>
    </w:p>
    <w:p w:rsidR="00EF2151" w:rsidRPr="00F30AD4" w:rsidRDefault="00A8726A">
      <w:pPr>
        <w:spacing w:line="360" w:lineRule="auto"/>
        <w:ind w:right="-28"/>
        <w:jc w:val="both"/>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color w:val="000000"/>
          <w:sz w:val="22"/>
          <w:szCs w:val="22"/>
        </w:rPr>
        <w:t>PRIMERO</w:t>
      </w:r>
      <w:r w:rsidRPr="00F30AD4">
        <w:rPr>
          <w:rFonts w:ascii="Palatino Linotype" w:eastAsia="Palatino Linotype" w:hAnsi="Palatino Linotype" w:cs="Palatino Linotype"/>
          <w:color w:val="000000"/>
          <w:sz w:val="22"/>
          <w:szCs w:val="22"/>
        </w:rPr>
        <w:t xml:space="preserve">. </w:t>
      </w:r>
      <w:r w:rsidRPr="00F30AD4">
        <w:rPr>
          <w:rFonts w:ascii="Palatino Linotype" w:eastAsia="Palatino Linotype" w:hAnsi="Palatino Linotype" w:cs="Palatino Linotype"/>
          <w:b/>
          <w:sz w:val="22"/>
          <w:szCs w:val="22"/>
        </w:rPr>
        <w:t>Competencia</w:t>
      </w:r>
    </w:p>
    <w:p w:rsidR="00EF2151" w:rsidRPr="00F30AD4" w:rsidRDefault="00EF2151">
      <w:pPr>
        <w:spacing w:line="360" w:lineRule="auto"/>
        <w:ind w:right="-28"/>
        <w:jc w:val="both"/>
        <w:rPr>
          <w:rFonts w:ascii="Palatino Linotype" w:eastAsia="Palatino Linotype" w:hAnsi="Palatino Linotype" w:cs="Palatino Linotype"/>
          <w:b/>
          <w:sz w:val="22"/>
          <w:szCs w:val="22"/>
        </w:rPr>
      </w:pPr>
    </w:p>
    <w:p w:rsidR="00EF2151" w:rsidRPr="00F30AD4" w:rsidRDefault="00A8726A">
      <w:pPr>
        <w:spacing w:line="360" w:lineRule="auto"/>
        <w:ind w:right="-28"/>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37 y 42, fracciones I, II y III, de la Ley General de Transparencia y Acceso a la Información Pública; 1°, 2°, </w:t>
      </w:r>
      <w:r w:rsidRPr="00F30AD4">
        <w:rPr>
          <w:rFonts w:ascii="Palatino Linotype" w:eastAsia="Palatino Linotype" w:hAnsi="Palatino Linotype" w:cs="Palatino Linotype"/>
          <w:color w:val="000000"/>
          <w:sz w:val="22"/>
          <w:szCs w:val="22"/>
        </w:rPr>
        <w:lastRenderedPageBreak/>
        <w:t>fracciones II y IV; 13,  29, 36, fracciones I y II; 176, 178, 179, 181 párrafo tercero, 185, 188 y 189 de la Ley Transparencia y Acceso a la Información Pública del Estado de México y Municipios;</w:t>
      </w:r>
      <w:r w:rsidRPr="00F30AD4">
        <w:rPr>
          <w:color w:val="000000"/>
        </w:rPr>
        <w:t xml:space="preserve"> 7°, </w:t>
      </w:r>
      <w:r w:rsidRPr="00F30AD4">
        <w:rPr>
          <w:rFonts w:ascii="Palatino Linotype" w:eastAsia="Palatino Linotype" w:hAnsi="Palatino Linotype" w:cs="Palatino Linotype"/>
          <w:color w:val="000000"/>
          <w:sz w:val="22"/>
          <w:szCs w:val="22"/>
        </w:rPr>
        <w:t>9°, fracciones I y XXIII y 11 del Reglamento Interior del Instituto de Transparencia, Acceso a la Información Pública y Protección de Datos Personales del Estado de México y Municipios.</w:t>
      </w:r>
    </w:p>
    <w:p w:rsidR="00EF2151" w:rsidRPr="00F30AD4" w:rsidRDefault="00EF2151">
      <w:pPr>
        <w:spacing w:line="360" w:lineRule="auto"/>
        <w:ind w:right="-28"/>
        <w:jc w:val="both"/>
        <w:rPr>
          <w:rFonts w:ascii="Palatino Linotype" w:eastAsia="Palatino Linotype" w:hAnsi="Palatino Linotype" w:cs="Palatino Linotype"/>
          <w:color w:val="000000"/>
          <w:sz w:val="22"/>
          <w:szCs w:val="22"/>
        </w:rPr>
      </w:pPr>
    </w:p>
    <w:p w:rsidR="00EF2151" w:rsidRPr="00F30AD4" w:rsidRDefault="00A8726A">
      <w:pPr>
        <w:spacing w:line="360" w:lineRule="auto"/>
        <w:ind w:right="-28"/>
        <w:jc w:val="both"/>
        <w:rPr>
          <w:rFonts w:ascii="Palatino Linotype" w:eastAsia="Palatino Linotype" w:hAnsi="Palatino Linotype" w:cs="Palatino Linotype"/>
          <w:b/>
          <w:color w:val="000000"/>
          <w:sz w:val="22"/>
          <w:szCs w:val="22"/>
        </w:rPr>
      </w:pPr>
      <w:r w:rsidRPr="00F30AD4">
        <w:rPr>
          <w:rFonts w:ascii="Palatino Linotype" w:eastAsia="Palatino Linotype" w:hAnsi="Palatino Linotype" w:cs="Palatino Linotype"/>
          <w:b/>
          <w:color w:val="000000"/>
          <w:sz w:val="22"/>
          <w:szCs w:val="22"/>
        </w:rPr>
        <w:t>SEGUNDO. Causales de improcedencia y sobreseimiento</w:t>
      </w:r>
    </w:p>
    <w:p w:rsidR="00EF2151" w:rsidRPr="00F30AD4" w:rsidRDefault="00EF2151">
      <w:pPr>
        <w:spacing w:line="360" w:lineRule="auto"/>
        <w:jc w:val="both"/>
        <w:rPr>
          <w:rFonts w:ascii="Palatino Linotype" w:eastAsia="Palatino Linotype" w:hAnsi="Palatino Linotype" w:cs="Palatino Linotype"/>
          <w:sz w:val="22"/>
          <w:szCs w:val="22"/>
        </w:rPr>
      </w:pPr>
    </w:p>
    <w:p w:rsidR="00EF2151" w:rsidRPr="00F30AD4" w:rsidRDefault="00A8726A">
      <w:pPr>
        <w:spacing w:line="360" w:lineRule="auto"/>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t xml:space="preserve">De las constancias que forma parte del Recurso de Revisión que se analiza, se advierte que previo al estudio del fondo de la </w:t>
      </w:r>
      <w:proofErr w:type="spellStart"/>
      <w:r w:rsidRPr="00F30AD4">
        <w:rPr>
          <w:rFonts w:ascii="Palatino Linotype" w:eastAsia="Palatino Linotype" w:hAnsi="Palatino Linotype" w:cs="Palatino Linotype"/>
          <w:i/>
          <w:sz w:val="22"/>
          <w:szCs w:val="22"/>
        </w:rPr>
        <w:t>litis</w:t>
      </w:r>
      <w:proofErr w:type="spellEnd"/>
      <w:r w:rsidRPr="00F30AD4">
        <w:rPr>
          <w:rFonts w:ascii="Palatino Linotype" w:eastAsia="Palatino Linotype" w:hAnsi="Palatino Linotype" w:cs="Palatino Linotype"/>
          <w:sz w:val="22"/>
          <w:szCs w:val="22"/>
        </w:rPr>
        <w:t>, es necesario estudiar las causales de improcedencia, para determinar lo que en Derecho proceda.</w:t>
      </w:r>
    </w:p>
    <w:p w:rsidR="00EF2151" w:rsidRPr="00F30AD4" w:rsidRDefault="00A8726A">
      <w:pPr>
        <w:spacing w:line="360" w:lineRule="auto"/>
        <w:jc w:val="both"/>
        <w:rPr>
          <w:rFonts w:ascii="Palatino Linotype" w:eastAsia="Palatino Linotype" w:hAnsi="Palatino Linotype" w:cs="Palatino Linotype"/>
          <w:b/>
          <w:color w:val="000000"/>
          <w:sz w:val="22"/>
          <w:szCs w:val="22"/>
        </w:rPr>
      </w:pPr>
      <w:r w:rsidRPr="00F30AD4">
        <w:rPr>
          <w:rFonts w:ascii="Palatino Linotype" w:eastAsia="Palatino Linotype" w:hAnsi="Palatino Linotype" w:cs="Palatino Linotype"/>
          <w:b/>
          <w:color w:val="000000"/>
          <w:sz w:val="22"/>
          <w:szCs w:val="22"/>
        </w:rPr>
        <w:t>Causales de improcedencia</w:t>
      </w:r>
    </w:p>
    <w:p w:rsidR="00EF2151" w:rsidRPr="00F30AD4" w:rsidRDefault="00EF2151">
      <w:pPr>
        <w:spacing w:line="360" w:lineRule="auto"/>
        <w:jc w:val="both"/>
        <w:rPr>
          <w:rFonts w:ascii="Palatino Linotype" w:eastAsia="Palatino Linotype" w:hAnsi="Palatino Linotype" w:cs="Palatino Linotype"/>
          <w:color w:val="000000"/>
          <w:sz w:val="22"/>
          <w:szCs w:val="22"/>
        </w:rPr>
      </w:pPr>
    </w:p>
    <w:p w:rsidR="00EF2151" w:rsidRPr="00F30AD4" w:rsidRDefault="00A8726A">
      <w:pPr>
        <w:spacing w:line="360" w:lineRule="auto"/>
        <w:ind w:right="-28"/>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EF2151" w:rsidRPr="00F30AD4" w:rsidRDefault="00EF2151">
      <w:pPr>
        <w:spacing w:line="360" w:lineRule="auto"/>
        <w:ind w:right="-28"/>
        <w:jc w:val="both"/>
        <w:rPr>
          <w:rFonts w:ascii="Palatino Linotype" w:eastAsia="Palatino Linotype" w:hAnsi="Palatino Linotype" w:cs="Palatino Linotype"/>
          <w:color w:val="000000"/>
          <w:sz w:val="22"/>
          <w:szCs w:val="22"/>
        </w:rPr>
      </w:pPr>
    </w:p>
    <w:p w:rsidR="00EF2151" w:rsidRPr="00F30AD4" w:rsidRDefault="00A8726A">
      <w:pP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sz w:val="22"/>
          <w:szCs w:val="22"/>
        </w:rPr>
        <w:t>En el presente caso, </w:t>
      </w:r>
      <w:r w:rsidRPr="00F30AD4">
        <w:rPr>
          <w:rFonts w:ascii="Palatino Linotype" w:eastAsia="Palatino Linotype" w:hAnsi="Palatino Linotype" w:cs="Palatino Linotype"/>
          <w:b/>
          <w:sz w:val="22"/>
          <w:szCs w:val="22"/>
        </w:rPr>
        <w:t>no se actualiza ninguna de las causales de improcedencia</w:t>
      </w:r>
      <w:r w:rsidRPr="00F30AD4">
        <w:rPr>
          <w:rFonts w:ascii="Palatino Linotype" w:eastAsia="Palatino Linotype" w:hAnsi="Palatino Linotype" w:cs="Palatino Linotype"/>
          <w:sz w:val="22"/>
          <w:szCs w:val="22"/>
        </w:rPr>
        <w:t xml:space="preserve">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w:t>
      </w:r>
      <w:r w:rsidRPr="00F30AD4">
        <w:rPr>
          <w:rFonts w:ascii="Palatino Linotype" w:eastAsia="Palatino Linotype" w:hAnsi="Palatino Linotype" w:cs="Palatino Linotype"/>
          <w:sz w:val="22"/>
          <w:szCs w:val="22"/>
        </w:rPr>
        <w:lastRenderedPageBreak/>
        <w:t xml:space="preserve">el Recurrente ante otra instancia; no existió prevención alguna; la veracidad de la respuesta no formó parte del agravio; ni se realizó una consulta o ampliación a los alcances del requerimiento informativo; además de que </w:t>
      </w:r>
      <w:r w:rsidRPr="00F30AD4">
        <w:rPr>
          <w:rFonts w:ascii="Palatino Linotype" w:eastAsia="Palatino Linotype" w:hAnsi="Palatino Linotype" w:cs="Palatino Linotype"/>
          <w:color w:val="000000"/>
          <w:sz w:val="22"/>
          <w:szCs w:val="22"/>
        </w:rPr>
        <w:t>el medio de impugnación fue presentado en tiempo.</w:t>
      </w:r>
    </w:p>
    <w:p w:rsidR="00EF2151" w:rsidRPr="00F30AD4" w:rsidRDefault="00EF2151">
      <w:pPr>
        <w:spacing w:line="360" w:lineRule="auto"/>
        <w:jc w:val="both"/>
        <w:rPr>
          <w:rFonts w:ascii="Palatino Linotype" w:eastAsia="Palatino Linotype" w:hAnsi="Palatino Linotype" w:cs="Palatino Linotype"/>
          <w:color w:val="000000"/>
          <w:sz w:val="22"/>
          <w:szCs w:val="22"/>
        </w:rPr>
      </w:pPr>
    </w:p>
    <w:p w:rsidR="00EF2151" w:rsidRPr="00F30AD4" w:rsidRDefault="00A8726A">
      <w:pPr>
        <w:widowControl w:val="0"/>
        <w:spacing w:line="360" w:lineRule="auto"/>
        <w:jc w:val="both"/>
        <w:rPr>
          <w:rFonts w:ascii="Palatino Linotype" w:eastAsia="Palatino Linotype" w:hAnsi="Palatino Linotype" w:cs="Palatino Linotype"/>
          <w:color w:val="222222"/>
        </w:rPr>
      </w:pPr>
      <w:r w:rsidRPr="00F30AD4">
        <w:rPr>
          <w:rFonts w:ascii="Palatino Linotype" w:eastAsia="Palatino Linotype" w:hAnsi="Palatino Linotype" w:cs="Palatino Linotype"/>
          <w:sz w:val="22"/>
          <w:szCs w:val="22"/>
        </w:rPr>
        <w:t xml:space="preserve">Asimismo, se actualiza la causal de procedencia del Recurso de Revisión señalada en el artículo 179, fracción V, de la Ley en cita, </w:t>
      </w:r>
      <w:r w:rsidRPr="00F30AD4">
        <w:rPr>
          <w:rFonts w:ascii="Palatino Linotype" w:eastAsia="Palatino Linotype" w:hAnsi="Palatino Linotype" w:cs="Palatino Linotype"/>
          <w:color w:val="000000"/>
          <w:sz w:val="22"/>
          <w:szCs w:val="22"/>
        </w:rPr>
        <w:t xml:space="preserve">pues el Recurrente se inconformó con </w:t>
      </w:r>
      <w:r w:rsidRPr="00F30AD4">
        <w:rPr>
          <w:rFonts w:ascii="Palatino Linotype" w:eastAsia="Palatino Linotype" w:hAnsi="Palatino Linotype" w:cs="Palatino Linotype"/>
          <w:sz w:val="22"/>
          <w:szCs w:val="22"/>
        </w:rPr>
        <w:t xml:space="preserve">la </w:t>
      </w:r>
      <w:proofErr w:type="spellStart"/>
      <w:r w:rsidRPr="00F30AD4">
        <w:rPr>
          <w:rFonts w:ascii="Palatino Linotype" w:eastAsia="Palatino Linotype" w:hAnsi="Palatino Linotype" w:cs="Palatino Linotype"/>
          <w:sz w:val="22"/>
          <w:szCs w:val="22"/>
        </w:rPr>
        <w:t>entregade</w:t>
      </w:r>
      <w:proofErr w:type="spellEnd"/>
      <w:r w:rsidRPr="00F30AD4">
        <w:rPr>
          <w:rFonts w:ascii="Palatino Linotype" w:eastAsia="Palatino Linotype" w:hAnsi="Palatino Linotype" w:cs="Palatino Linotype"/>
          <w:sz w:val="22"/>
          <w:szCs w:val="22"/>
        </w:rPr>
        <w:t xml:space="preserve"> información incompleta.</w:t>
      </w:r>
    </w:p>
    <w:p w:rsidR="00EF2151" w:rsidRPr="00F30AD4" w:rsidRDefault="00EF2151">
      <w:pPr>
        <w:spacing w:line="360" w:lineRule="auto"/>
        <w:ind w:right="-28"/>
        <w:jc w:val="both"/>
        <w:rPr>
          <w:rFonts w:ascii="Palatino Linotype" w:eastAsia="Palatino Linotype" w:hAnsi="Palatino Linotype" w:cs="Palatino Linotype"/>
          <w:color w:val="000000"/>
          <w:sz w:val="22"/>
          <w:szCs w:val="22"/>
        </w:rPr>
      </w:pPr>
    </w:p>
    <w:p w:rsidR="00EF2151" w:rsidRPr="00F30AD4" w:rsidRDefault="00A8726A">
      <w:pPr>
        <w:spacing w:line="360" w:lineRule="auto"/>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b/>
          <w:sz w:val="22"/>
          <w:szCs w:val="22"/>
        </w:rPr>
        <w:t>Causales de sobreseimiento.</w:t>
      </w:r>
    </w:p>
    <w:p w:rsidR="00EF2151" w:rsidRPr="00F30AD4" w:rsidRDefault="00EF2151">
      <w:pPr>
        <w:spacing w:line="360" w:lineRule="auto"/>
        <w:jc w:val="both"/>
        <w:rPr>
          <w:rFonts w:ascii="Palatino Linotype" w:eastAsia="Palatino Linotype" w:hAnsi="Palatino Linotype" w:cs="Palatino Linotype"/>
          <w:sz w:val="22"/>
          <w:szCs w:val="22"/>
        </w:rPr>
      </w:pPr>
    </w:p>
    <w:p w:rsidR="00EF2151" w:rsidRPr="00F30AD4" w:rsidRDefault="00A8726A">
      <w:pPr>
        <w:spacing w:line="360" w:lineRule="auto"/>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t>Por ser de previo y especial pronunciamiento, este Instituto analiza si se actualiza alguna causal de sobreseimiento.</w:t>
      </w:r>
    </w:p>
    <w:p w:rsidR="00EF2151" w:rsidRPr="00F30AD4" w:rsidRDefault="00EF2151">
      <w:pPr>
        <w:spacing w:line="360" w:lineRule="auto"/>
        <w:jc w:val="both"/>
        <w:rPr>
          <w:rFonts w:ascii="Palatino Linotype" w:eastAsia="Palatino Linotype" w:hAnsi="Palatino Linotype" w:cs="Palatino Linotype"/>
          <w:sz w:val="22"/>
          <w:szCs w:val="22"/>
        </w:rPr>
      </w:pPr>
    </w:p>
    <w:p w:rsidR="00EF2151" w:rsidRPr="00F30AD4" w:rsidRDefault="00A8726A">
      <w:pPr>
        <w:spacing w:line="360" w:lineRule="auto"/>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00EF2151" w:rsidRPr="00F30AD4" w:rsidRDefault="00EF2151">
      <w:pPr>
        <w:spacing w:line="360" w:lineRule="auto"/>
        <w:jc w:val="both"/>
        <w:rPr>
          <w:rFonts w:ascii="Palatino Linotype" w:eastAsia="Palatino Linotype" w:hAnsi="Palatino Linotype" w:cs="Palatino Linotype"/>
          <w:sz w:val="22"/>
          <w:szCs w:val="22"/>
        </w:rPr>
      </w:pPr>
    </w:p>
    <w:p w:rsidR="00EF2151" w:rsidRPr="00F30AD4" w:rsidRDefault="00A8726A">
      <w:pPr>
        <w:tabs>
          <w:tab w:val="left" w:pos="4962"/>
        </w:tabs>
        <w:spacing w:line="360" w:lineRule="auto"/>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t xml:space="preserve">Por tales motivos, se considera procedente entrar al fondo del presente asunto. </w:t>
      </w:r>
    </w:p>
    <w:p w:rsidR="00EF2151" w:rsidRPr="00F30AD4" w:rsidRDefault="00EF2151">
      <w:pPr>
        <w:tabs>
          <w:tab w:val="left" w:pos="4962"/>
        </w:tabs>
        <w:spacing w:line="360" w:lineRule="auto"/>
        <w:ind w:right="-28"/>
        <w:jc w:val="both"/>
        <w:rPr>
          <w:rFonts w:ascii="Palatino Linotype" w:eastAsia="Palatino Linotype" w:hAnsi="Palatino Linotype" w:cs="Palatino Linotype"/>
          <w:b/>
          <w:sz w:val="22"/>
          <w:szCs w:val="22"/>
        </w:rPr>
      </w:pPr>
    </w:p>
    <w:p w:rsidR="00EF2151" w:rsidRPr="00F30AD4" w:rsidRDefault="00A8726A">
      <w:pPr>
        <w:tabs>
          <w:tab w:val="left" w:pos="4962"/>
        </w:tabs>
        <w:spacing w:line="360" w:lineRule="auto"/>
        <w:ind w:right="-28"/>
        <w:jc w:val="both"/>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t>TERCERO. Determinación de la Controversia</w:t>
      </w:r>
    </w:p>
    <w:p w:rsidR="00EF2151" w:rsidRPr="00F30AD4" w:rsidRDefault="00EF2151">
      <w:pPr>
        <w:tabs>
          <w:tab w:val="left" w:pos="4962"/>
        </w:tabs>
        <w:spacing w:line="360" w:lineRule="auto"/>
        <w:ind w:right="-28"/>
        <w:jc w:val="both"/>
        <w:rPr>
          <w:rFonts w:ascii="Palatino Linotype" w:eastAsia="Palatino Linotype" w:hAnsi="Palatino Linotype" w:cs="Palatino Linotype"/>
          <w:sz w:val="22"/>
          <w:szCs w:val="22"/>
        </w:rPr>
      </w:pPr>
    </w:p>
    <w:p w:rsidR="00EF2151" w:rsidRPr="00F30AD4" w:rsidRDefault="00A8726A">
      <w:pPr>
        <w:tabs>
          <w:tab w:val="left" w:pos="4962"/>
        </w:tabs>
        <w:spacing w:line="360" w:lineRule="auto"/>
        <w:ind w:right="-28"/>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lastRenderedPageBreak/>
        <w:t>Una vez realizado el estudio de las constancias que integran el expediente en que se actúa, se desprende que el Particular solicitó, los acuerdos emitidos por la Comisión Ejecutiva aprobados, pendientes y modificados, del primero de enero de dos mil dieciocho al veintidós de octubre de dos mil veinticuatro.</w:t>
      </w:r>
    </w:p>
    <w:p w:rsidR="00EF2151" w:rsidRPr="00F30AD4" w:rsidRDefault="00EF2151">
      <w:pPr>
        <w:tabs>
          <w:tab w:val="left" w:pos="4962"/>
        </w:tabs>
        <w:spacing w:line="360" w:lineRule="auto"/>
        <w:ind w:right="-28"/>
        <w:jc w:val="both"/>
        <w:rPr>
          <w:rFonts w:ascii="Palatino Linotype" w:eastAsia="Palatino Linotype" w:hAnsi="Palatino Linotype" w:cs="Palatino Linotype"/>
        </w:rPr>
      </w:pPr>
    </w:p>
    <w:p w:rsidR="00EF2151" w:rsidRPr="00F30AD4" w:rsidRDefault="00A8726A">
      <w:pPr>
        <w:tabs>
          <w:tab w:val="left" w:pos="4667"/>
        </w:tabs>
        <w:spacing w:line="360" w:lineRule="auto"/>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t>En respuesta, el Sujeto Obligado proporcionó las Actas de Sesiones generadas de dos mil dieciocho a dos mil veinticuatro, indicando no había acuerdos pendientes y modificados, además entregó diversos enlaces por los que indicó que se localizaba diversa información; ante dicha circunstancia, la parte Recurrente se inconformó de la entrega de información incompleta</w:t>
      </w:r>
      <w:r w:rsidRPr="00F30AD4">
        <w:rPr>
          <w:rFonts w:ascii="Palatino Linotype" w:eastAsia="Palatino Linotype" w:hAnsi="Palatino Linotype" w:cs="Palatino Linotype"/>
          <w:color w:val="000000"/>
          <w:sz w:val="22"/>
          <w:szCs w:val="22"/>
        </w:rPr>
        <w:t xml:space="preserve">, lo cual actualiza el supuesto previsto en el artículo 179, fracción V, de la Ley de Transparencia y Acceso a la Información Pública del Estado de México y Municipios. Así las cosas, una vez admitido y notificado el Recurso de Revisión a las partes, el Sujeto Obligado esencialmente ratificó su respuesta inicial. </w:t>
      </w:r>
    </w:p>
    <w:p w:rsidR="00EF2151" w:rsidRPr="00F30AD4" w:rsidRDefault="00EF2151">
      <w:pPr>
        <w:pBdr>
          <w:top w:val="nil"/>
          <w:left w:val="nil"/>
          <w:bottom w:val="nil"/>
          <w:right w:val="nil"/>
          <w:between w:val="nil"/>
        </w:pBdr>
        <w:tabs>
          <w:tab w:val="left" w:pos="4962"/>
        </w:tabs>
        <w:spacing w:line="360" w:lineRule="auto"/>
        <w:ind w:right="-28"/>
        <w:jc w:val="both"/>
        <w:rPr>
          <w:rFonts w:ascii="Palatino Linotype" w:eastAsia="Palatino Linotype" w:hAnsi="Palatino Linotype" w:cs="Palatino Linotype"/>
          <w:color w:val="000000"/>
          <w:sz w:val="22"/>
          <w:szCs w:val="22"/>
        </w:rPr>
      </w:pPr>
    </w:p>
    <w:p w:rsidR="00EF2151" w:rsidRPr="00F30AD4" w:rsidRDefault="00A8726A">
      <w:pPr>
        <w:tabs>
          <w:tab w:val="left" w:pos="4667"/>
        </w:tabs>
        <w:spacing w:line="360" w:lineRule="auto"/>
        <w:jc w:val="both"/>
        <w:rPr>
          <w:rFonts w:ascii="Palatino Linotype" w:eastAsia="Palatino Linotype" w:hAnsi="Palatino Linotype" w:cs="Palatino Linotype"/>
          <w:b/>
          <w:sz w:val="22"/>
          <w:szCs w:val="22"/>
        </w:rPr>
      </w:pPr>
      <w:r w:rsidRPr="00F30AD4">
        <w:rPr>
          <w:rFonts w:ascii="Palatino Linotype" w:eastAsia="Palatino Linotype" w:hAnsi="Palatino Linotype" w:cs="Palatino Linotype"/>
          <w:sz w:val="22"/>
          <w:szCs w:val="22"/>
        </w:rPr>
        <w:t xml:space="preserve">Lo anterior, se desprende de las documentales que obran en el expediente de referencia, materia de la presente resolución, consistentes en: la solicitud de acceso a la información; la respuesta proporcionada por el Sujeto Obligado, el escrito </w:t>
      </w:r>
      <w:proofErr w:type="spellStart"/>
      <w:r w:rsidRPr="00F30AD4">
        <w:rPr>
          <w:rFonts w:ascii="Palatino Linotype" w:eastAsia="Palatino Linotype" w:hAnsi="Palatino Linotype" w:cs="Palatino Linotype"/>
          <w:sz w:val="22"/>
          <w:szCs w:val="22"/>
        </w:rPr>
        <w:t>recursal</w:t>
      </w:r>
      <w:proofErr w:type="spellEnd"/>
      <w:r w:rsidRPr="00F30AD4">
        <w:rPr>
          <w:rFonts w:ascii="Palatino Linotype" w:eastAsia="Palatino Linotype" w:hAnsi="Palatino Linotype" w:cs="Palatino Linotype"/>
          <w:sz w:val="22"/>
          <w:szCs w:val="22"/>
        </w:rPr>
        <w:t xml:space="preserve">, y el Informe Justificado; instrumentales que se toman en cuenta a efecto de resolver el presente medio de impugnación, conforme a lo dispuesto por el artículo 185, fracción IV, de la Ley de Transparencia y Acceso a la Información Pública del Estado de México y Municipios. </w:t>
      </w:r>
      <w:r w:rsidRPr="00F30AD4">
        <w:rPr>
          <w:rFonts w:ascii="Palatino Linotype" w:eastAsia="Palatino Linotype" w:hAnsi="Palatino Linotype" w:cs="Palatino Linotype"/>
          <w:b/>
          <w:sz w:val="22"/>
          <w:szCs w:val="22"/>
        </w:rPr>
        <w:t>Cabe señalar que el Particular fue omiso en realizar manifestaciones y alegatos a que tuviera derecho.</w:t>
      </w:r>
    </w:p>
    <w:p w:rsidR="00EF2151" w:rsidRPr="00F30AD4" w:rsidRDefault="00EF2151">
      <w:pPr>
        <w:tabs>
          <w:tab w:val="left" w:pos="4962"/>
        </w:tabs>
        <w:spacing w:line="360" w:lineRule="auto"/>
        <w:ind w:right="-28"/>
        <w:jc w:val="both"/>
        <w:rPr>
          <w:rFonts w:ascii="Palatino Linotype" w:eastAsia="Palatino Linotype" w:hAnsi="Palatino Linotype" w:cs="Palatino Linotype"/>
          <w:sz w:val="22"/>
          <w:szCs w:val="22"/>
        </w:rPr>
      </w:pPr>
    </w:p>
    <w:p w:rsidR="00EF2151" w:rsidRPr="00F30AD4" w:rsidRDefault="00A8726A">
      <w:pPr>
        <w:spacing w:line="360" w:lineRule="auto"/>
        <w:ind w:right="-28"/>
        <w:jc w:val="both"/>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t>CUARTO. Marco normativo aplicable en materia de transparencia y acceso a la información pública</w:t>
      </w:r>
    </w:p>
    <w:p w:rsidR="00EF2151" w:rsidRPr="00F30AD4" w:rsidRDefault="00EF2151">
      <w:pPr>
        <w:spacing w:line="360" w:lineRule="auto"/>
        <w:ind w:right="-28"/>
        <w:jc w:val="both"/>
        <w:rPr>
          <w:rFonts w:ascii="Palatino Linotype" w:eastAsia="Palatino Linotype" w:hAnsi="Palatino Linotype" w:cs="Palatino Linotype"/>
          <w:sz w:val="22"/>
          <w:szCs w:val="22"/>
        </w:rPr>
      </w:pPr>
    </w:p>
    <w:p w:rsidR="00EF2151" w:rsidRPr="00F30AD4" w:rsidRDefault="00A8726A">
      <w:pPr>
        <w:spacing w:line="360" w:lineRule="auto"/>
        <w:ind w:right="-28"/>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EF2151" w:rsidRPr="00F30AD4" w:rsidRDefault="00EF2151">
      <w:pPr>
        <w:spacing w:line="360" w:lineRule="auto"/>
        <w:ind w:right="-28"/>
        <w:jc w:val="both"/>
        <w:rPr>
          <w:rFonts w:ascii="Palatino Linotype" w:eastAsia="Palatino Linotype" w:hAnsi="Palatino Linotype" w:cs="Palatino Linotype"/>
          <w:sz w:val="22"/>
          <w:szCs w:val="22"/>
        </w:rPr>
      </w:pPr>
    </w:p>
    <w:p w:rsidR="00EF2151" w:rsidRPr="00F30AD4" w:rsidRDefault="00A8726A">
      <w:pPr>
        <w:spacing w:line="360" w:lineRule="auto"/>
        <w:ind w:right="-28"/>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rsidR="00EF2151" w:rsidRPr="00F30AD4" w:rsidRDefault="00EF2151">
      <w:pPr>
        <w:spacing w:line="360" w:lineRule="auto"/>
        <w:ind w:right="-28"/>
        <w:jc w:val="both"/>
        <w:rPr>
          <w:rFonts w:ascii="Palatino Linotype" w:eastAsia="Palatino Linotype" w:hAnsi="Palatino Linotype" w:cs="Palatino Linotype"/>
          <w:sz w:val="22"/>
          <w:szCs w:val="22"/>
        </w:rPr>
      </w:pPr>
    </w:p>
    <w:p w:rsidR="00EF2151" w:rsidRPr="00F30AD4" w:rsidRDefault="00A8726A">
      <w:pPr>
        <w:spacing w:line="360" w:lineRule="auto"/>
        <w:ind w:right="-28"/>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EF2151" w:rsidRPr="00F30AD4" w:rsidRDefault="00EF2151">
      <w:pPr>
        <w:spacing w:line="360" w:lineRule="auto"/>
        <w:ind w:right="-28"/>
        <w:jc w:val="both"/>
        <w:rPr>
          <w:rFonts w:ascii="Palatino Linotype" w:eastAsia="Palatino Linotype" w:hAnsi="Palatino Linotype" w:cs="Palatino Linotype"/>
          <w:sz w:val="22"/>
          <w:szCs w:val="22"/>
        </w:rPr>
      </w:pPr>
    </w:p>
    <w:p w:rsidR="00EF2151" w:rsidRPr="00F30AD4" w:rsidRDefault="00A8726A">
      <w:pPr>
        <w:spacing w:line="360" w:lineRule="auto"/>
        <w:ind w:right="-28"/>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t>Por su parte, la Ley de Transparencia y Acceso a la Información Pública del Estado de México y Municipios (Reglamentaria del artículo 5° de la Constitución Local), establece lo siguiente:</w:t>
      </w:r>
    </w:p>
    <w:p w:rsidR="00EF2151" w:rsidRPr="00F30AD4" w:rsidRDefault="00EF2151">
      <w:pPr>
        <w:spacing w:line="360" w:lineRule="auto"/>
        <w:ind w:right="-28"/>
        <w:jc w:val="both"/>
        <w:rPr>
          <w:rFonts w:ascii="Palatino Linotype" w:eastAsia="Palatino Linotype" w:hAnsi="Palatino Linotype" w:cs="Palatino Linotype"/>
          <w:sz w:val="22"/>
          <w:szCs w:val="22"/>
        </w:rPr>
      </w:pPr>
    </w:p>
    <w:p w:rsidR="00EF2151" w:rsidRPr="00F30AD4" w:rsidRDefault="00A8726A">
      <w:pPr>
        <w:spacing w:line="360" w:lineRule="auto"/>
        <w:ind w:right="-28"/>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t>El artículo 12, que, quienes generen, recopilen, administren, manejen, procesen, archiven o conserven información pública serán responsables de la misma.</w:t>
      </w:r>
    </w:p>
    <w:p w:rsidR="00EF2151" w:rsidRPr="00F30AD4" w:rsidRDefault="00EF2151">
      <w:pPr>
        <w:spacing w:line="360" w:lineRule="auto"/>
        <w:ind w:right="-28"/>
        <w:jc w:val="both"/>
        <w:rPr>
          <w:rFonts w:ascii="Palatino Linotype" w:eastAsia="Palatino Linotype" w:hAnsi="Palatino Linotype" w:cs="Palatino Linotype"/>
          <w:sz w:val="22"/>
          <w:szCs w:val="22"/>
        </w:rPr>
      </w:pPr>
    </w:p>
    <w:p w:rsidR="00EF2151" w:rsidRPr="00F30AD4" w:rsidRDefault="00A8726A">
      <w:pPr>
        <w:spacing w:line="360" w:lineRule="auto"/>
        <w:ind w:right="-28"/>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00EF2151" w:rsidRPr="00F30AD4" w:rsidRDefault="00EF2151">
      <w:pPr>
        <w:spacing w:line="360" w:lineRule="auto"/>
        <w:ind w:right="-28"/>
        <w:jc w:val="both"/>
        <w:rPr>
          <w:rFonts w:ascii="Palatino Linotype" w:eastAsia="Palatino Linotype" w:hAnsi="Palatino Linotype" w:cs="Palatino Linotype"/>
          <w:sz w:val="22"/>
          <w:szCs w:val="22"/>
        </w:rPr>
      </w:pPr>
    </w:p>
    <w:p w:rsidR="00EF2151" w:rsidRPr="00F30AD4" w:rsidRDefault="00A8726A">
      <w:pPr>
        <w:spacing w:line="360" w:lineRule="auto"/>
        <w:ind w:right="-28"/>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t xml:space="preserve">El artículo 19, que, se presume que la información debe existir si se refiere a las facultades, competencias y funciones que los ordenamientos jurídicos aplicables otorgan a los sujetos </w:t>
      </w:r>
      <w:r w:rsidRPr="00F30AD4">
        <w:rPr>
          <w:rFonts w:ascii="Palatino Linotype" w:eastAsia="Palatino Linotype" w:hAnsi="Palatino Linotype" w:cs="Palatino Linotype"/>
          <w:sz w:val="22"/>
          <w:szCs w:val="22"/>
        </w:rPr>
        <w:lastRenderedPageBreak/>
        <w:t>obligados y en caso de que dichas facultades no se hayan ejercido, se deberá motivar la respuesta en función de las causas que motivaron tal circunstancia.</w:t>
      </w:r>
    </w:p>
    <w:p w:rsidR="00EF2151" w:rsidRPr="00F30AD4" w:rsidRDefault="00EF2151">
      <w:pPr>
        <w:spacing w:line="360" w:lineRule="auto"/>
        <w:ind w:right="-28"/>
        <w:jc w:val="both"/>
        <w:rPr>
          <w:rFonts w:ascii="Palatino Linotype" w:eastAsia="Palatino Linotype" w:hAnsi="Palatino Linotype" w:cs="Palatino Linotype"/>
          <w:b/>
          <w:sz w:val="22"/>
          <w:szCs w:val="22"/>
        </w:rPr>
      </w:pPr>
    </w:p>
    <w:p w:rsidR="00EF2151" w:rsidRPr="00F30AD4" w:rsidRDefault="00EF2151">
      <w:pPr>
        <w:spacing w:line="360" w:lineRule="auto"/>
        <w:ind w:right="-28"/>
        <w:jc w:val="both"/>
        <w:rPr>
          <w:rFonts w:ascii="Palatino Linotype" w:eastAsia="Palatino Linotype" w:hAnsi="Palatino Linotype" w:cs="Palatino Linotype"/>
          <w:b/>
          <w:sz w:val="22"/>
          <w:szCs w:val="22"/>
        </w:rPr>
      </w:pPr>
    </w:p>
    <w:p w:rsidR="00EF2151" w:rsidRPr="00F30AD4" w:rsidRDefault="00A8726A">
      <w:pPr>
        <w:spacing w:line="360" w:lineRule="auto"/>
        <w:ind w:right="-28"/>
        <w:jc w:val="both"/>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t>QUINTO. Estudio de Fondo</w:t>
      </w:r>
    </w:p>
    <w:p w:rsidR="00EF2151" w:rsidRPr="00F30AD4" w:rsidRDefault="00EF2151">
      <w:pPr>
        <w:tabs>
          <w:tab w:val="left" w:pos="4962"/>
        </w:tabs>
        <w:spacing w:line="360" w:lineRule="auto"/>
        <w:ind w:right="-28"/>
        <w:jc w:val="both"/>
        <w:rPr>
          <w:rFonts w:ascii="Palatino Linotype" w:eastAsia="Palatino Linotype" w:hAnsi="Palatino Linotype" w:cs="Palatino Linotype"/>
          <w:sz w:val="22"/>
          <w:szCs w:val="22"/>
        </w:rPr>
      </w:pPr>
    </w:p>
    <w:p w:rsidR="00EF2151" w:rsidRPr="00F30AD4" w:rsidRDefault="00A8726A">
      <w:pPr>
        <w:tabs>
          <w:tab w:val="left" w:pos="4962"/>
        </w:tabs>
        <w:spacing w:line="360" w:lineRule="auto"/>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t>Expuestas las posturas de las partes, se procede a realizar el análisis del agravio hecho valer por el ahora Recurrente, concerniente a la entrega de información incompleta, por lo que en principio resulta necesario contextualizar la solicitud de información, referente a los acuerdos solicitados.</w:t>
      </w:r>
    </w:p>
    <w:p w:rsidR="00EF2151" w:rsidRPr="00F30AD4" w:rsidRDefault="00EF2151">
      <w:pPr>
        <w:spacing w:line="360" w:lineRule="auto"/>
        <w:ind w:right="-28"/>
        <w:jc w:val="both"/>
        <w:rPr>
          <w:rFonts w:ascii="Palatino Linotype" w:eastAsia="Palatino Linotype" w:hAnsi="Palatino Linotype" w:cs="Palatino Linotype"/>
          <w:sz w:val="22"/>
          <w:szCs w:val="22"/>
        </w:rPr>
      </w:pPr>
    </w:p>
    <w:p w:rsidR="00EF2151" w:rsidRPr="00F30AD4" w:rsidRDefault="00A8726A">
      <w:pPr>
        <w:spacing w:line="360" w:lineRule="auto"/>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t>En principio, los artículos 6º, 30, 31, y 32 de la Ley del Sistema Anticorrupción del Estado de México y Municipios, establece que el Sistema Estatal Anticorrupción, tiene por objeto establecer principios, bases generales, políticas públicas y procedimientos para la coordinación entre autoridades del Estado de México y sus Municipios, en materia de prevención, detección y sanción de faltas administrativas y hechos de corrupción, así como la fiscalización y control de recursos públicos, transparencia y rendición de cuentas, en congruencia con el Sistema Nacional Anticorrupción, es una instancia cuya finalidad es establecer, articular y evaluar la política en la materia.</w:t>
      </w:r>
    </w:p>
    <w:p w:rsidR="00EF2151" w:rsidRPr="00F30AD4" w:rsidRDefault="00EF2151">
      <w:pPr>
        <w:spacing w:line="360" w:lineRule="auto"/>
        <w:jc w:val="both"/>
        <w:rPr>
          <w:rFonts w:ascii="Palatino Linotype" w:eastAsia="Palatino Linotype" w:hAnsi="Palatino Linotype" w:cs="Palatino Linotype"/>
          <w:sz w:val="22"/>
          <w:szCs w:val="22"/>
        </w:rPr>
      </w:pPr>
    </w:p>
    <w:p w:rsidR="00EF2151" w:rsidRPr="00F30AD4" w:rsidRDefault="00A8726A">
      <w:pPr>
        <w:spacing w:line="360" w:lineRule="auto"/>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t>Las políticas públicas que establezca el Comité Coordinador, deberán ser implementadas por todos los entes públicos, se auxiliará de su Secretaría Ejecutiva, y esta a su vez de la Comisión Ejecutiva integrada por un Secretario Técnico y un Comité de Participación Ciudadana. La Comisión tendrá a su cargo, la generación de los insumos técnicos necesarios para que el Comité Coordinador, realice sus funciones, por lo que elaborará las siguientes propuestas para ser sometidas a la aprobación del referido Comité lo siguiente:</w:t>
      </w:r>
    </w:p>
    <w:p w:rsidR="00EF2151" w:rsidRPr="00F30AD4" w:rsidRDefault="00EF2151">
      <w:pPr>
        <w:spacing w:line="360" w:lineRule="auto"/>
        <w:jc w:val="both"/>
        <w:rPr>
          <w:rFonts w:ascii="Palatino Linotype" w:eastAsia="Palatino Linotype" w:hAnsi="Palatino Linotype" w:cs="Palatino Linotype"/>
          <w:sz w:val="22"/>
          <w:szCs w:val="22"/>
        </w:rPr>
      </w:pP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 xml:space="preserve">Las políticas integrales, en materia de prevención, control y disuasión de faltas administrativas y hechos de corrupción, así como de fiscalización y control de los recursos públicos; </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La metodología, para medir y dar seguimiento, con base en indicadores objetivos y confiables, a los hechos de corrupción, así como a las Políticas Integrales, a que se refiere el punto anterior;</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La metodología, para medir y dar seguimiento, con base en indicadores objetivos y confiables, a los hechos de corrupción, así como a las Políticas Integrales, a que se refiere el punto anterior;</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Los informes de las evaluaciones que someta a su consideración el Secretario Técnico respecto de las Políticas;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Los mecanismos de suministro, intercambio, sistematización y actualización de la información en materia de fiscalización y control de los recursos públicos, de prevención, control y disuasión de faltas administrativas y hechos de corrupción;</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Las bases y principios para la efectiva coordinación de las autoridades a nivel estatal y municipal en materia de fiscalización y control de los recursos públicos;</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El informe anual que contenga los avances y resultados del ejercicio de las funciones y de la aplicación de las políticas y programas en la materia;</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Las recomendaciones no vinculantes que serán dirigidas a los entes públicos que se requieran, en virtud de los resultados advertidos en el informe anual, así como el informe de seguimiento que contenga los resultados sistematizados de la atención otorgada por las autoridades a dichas recomendaciones; y</w:t>
      </w:r>
    </w:p>
    <w:p w:rsidR="00EF2151" w:rsidRPr="00F30AD4" w:rsidRDefault="00A872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Los Mecanismos de coordinación con el Sistema Nacional Anticorrupción, así como con los Sistemas Municipales Anticorrupción.</w:t>
      </w:r>
    </w:p>
    <w:p w:rsidR="00EF2151" w:rsidRPr="00F30AD4" w:rsidRDefault="00EF2151">
      <w:pPr>
        <w:spacing w:line="360" w:lineRule="auto"/>
        <w:jc w:val="both"/>
        <w:rPr>
          <w:rFonts w:ascii="Palatino Linotype" w:eastAsia="Palatino Linotype" w:hAnsi="Palatino Linotype" w:cs="Palatino Linotype"/>
          <w:sz w:val="22"/>
          <w:szCs w:val="22"/>
        </w:rPr>
      </w:pPr>
    </w:p>
    <w:p w:rsidR="00EF2151" w:rsidRPr="00F30AD4" w:rsidRDefault="00A8726A">
      <w:pPr>
        <w:spacing w:line="360" w:lineRule="auto"/>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lastRenderedPageBreak/>
        <w:t>La Comisión Ejecutiva celebrará Sesiones ordinarias y extraordinarias que serán convocadas por el Secretario Técnico, se podrá invitar a las sesiones, a especialistas en los temas a tratar, los cuales contarán con voz, pero sin voto, mismos que serán previamente citados por este. La Comisión podrá además, emitir exhortos que considere necesarios a las autoridades integradas por el Comité Coordinador a través del secretario técnico previamente referido.</w:t>
      </w:r>
    </w:p>
    <w:p w:rsidR="00EF2151" w:rsidRPr="00F30AD4" w:rsidRDefault="00EF2151">
      <w:pPr>
        <w:spacing w:line="360" w:lineRule="auto"/>
        <w:jc w:val="both"/>
        <w:rPr>
          <w:rFonts w:ascii="Palatino Linotype" w:eastAsia="Palatino Linotype" w:hAnsi="Palatino Linotype" w:cs="Palatino Linotype"/>
          <w:sz w:val="22"/>
          <w:szCs w:val="22"/>
        </w:rPr>
      </w:pPr>
    </w:p>
    <w:p w:rsidR="00EF2151" w:rsidRPr="00F30AD4" w:rsidRDefault="00A8726A">
      <w:pPr>
        <w:tabs>
          <w:tab w:val="left" w:pos="4962"/>
        </w:tabs>
        <w:spacing w:line="360" w:lineRule="auto"/>
        <w:ind w:right="-28"/>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t>Conforme a lo anterior, se logra vislumbrar el Sujeto Obligado cuenta con competencia para conocer sobre lo solicitado, y que la pretensión del ahora Recurrente es obtener los documentos donde consten los Acuerdos aprobados, pendientes y modificado, en las Sesiones de la Comisión Ejecutiva, celebradas del primero de enero de dos mil dieciocho al veintidós de octubre de dos mil veinticuatro.</w:t>
      </w:r>
    </w:p>
    <w:p w:rsidR="00EF2151" w:rsidRPr="00F30AD4" w:rsidRDefault="00EF2151">
      <w:pPr>
        <w:spacing w:line="360" w:lineRule="auto"/>
        <w:jc w:val="both"/>
        <w:rPr>
          <w:rFonts w:ascii="Palatino Linotype" w:eastAsia="Palatino Linotype" w:hAnsi="Palatino Linotype" w:cs="Palatino Linotype"/>
          <w:sz w:val="22"/>
          <w:szCs w:val="22"/>
        </w:rPr>
      </w:pPr>
    </w:p>
    <w:p w:rsidR="00EF2151" w:rsidRPr="00F30AD4" w:rsidRDefault="00A8726A">
      <w:pPr>
        <w:spacing w:line="360" w:lineRule="auto"/>
        <w:ind w:right="-28"/>
        <w:jc w:val="both"/>
        <w:rPr>
          <w:rFonts w:ascii="Palatino Linotype" w:eastAsia="Palatino Linotype" w:hAnsi="Palatino Linotype" w:cs="Palatino Linotype"/>
        </w:rPr>
      </w:pPr>
      <w:r w:rsidRPr="00F30AD4">
        <w:rPr>
          <w:rFonts w:ascii="Palatino Linotype" w:eastAsia="Palatino Linotype" w:hAnsi="Palatino Linotype" w:cs="Palatino Linotype"/>
          <w:sz w:val="22"/>
          <w:szCs w:val="22"/>
        </w:rPr>
        <w:t>Ahora bien, de las constancias que obran en el expediente se advierte que el Sujeto Obligado turno el requerimiento de información a la Jefatura de la Unidad de Enlace, por lo que, es necesario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rsidR="00EF2151" w:rsidRPr="00F30AD4" w:rsidRDefault="00EF2151">
      <w:pPr>
        <w:pBdr>
          <w:top w:val="nil"/>
          <w:left w:val="nil"/>
          <w:bottom w:val="nil"/>
          <w:right w:val="nil"/>
          <w:between w:val="nil"/>
        </w:pBdr>
        <w:spacing w:line="360" w:lineRule="auto"/>
        <w:ind w:left="720" w:right="-28"/>
        <w:jc w:val="both"/>
        <w:rPr>
          <w:rFonts w:ascii="Palatino Linotype" w:eastAsia="Palatino Linotype" w:hAnsi="Palatino Linotype" w:cs="Palatino Linotype"/>
          <w:color w:val="000000"/>
          <w:sz w:val="22"/>
          <w:szCs w:val="22"/>
        </w:rPr>
      </w:pPr>
    </w:p>
    <w:p w:rsidR="00EF2151" w:rsidRPr="00F30AD4" w:rsidRDefault="00A8726A">
      <w:pPr>
        <w:spacing w:line="360" w:lineRule="auto"/>
        <w:ind w:right="-28"/>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t xml:space="preserve">Así, a efecto de verificar que el Sujeto Obligado cumplió con dicho procedimiento, es necesario traer a colación el Manual General de Organización de la Secretaría Ejecutiva del Sistema Estatal Anticorrupción, que precisa que el Sujeto Obligado para el ejercicio de sus atribuciones cuenta con diversas unidades administrativas, entre las cuales se encuentra la Unidad de </w:t>
      </w:r>
      <w:r w:rsidRPr="00F30AD4">
        <w:rPr>
          <w:rFonts w:ascii="Palatino Linotype" w:eastAsia="Palatino Linotype" w:hAnsi="Palatino Linotype" w:cs="Palatino Linotype"/>
          <w:sz w:val="22"/>
          <w:szCs w:val="22"/>
        </w:rPr>
        <w:lastRenderedPageBreak/>
        <w:t>Enlace que funge como vínculo entre los integrantes del Comité de Participación Ciudadana y la Secretaría Ejecutiva, así como apoyar en la operación de la Comisión Ejecutiva, quien además le corresponderá el ejercicio de las siguientes funciones:</w:t>
      </w:r>
    </w:p>
    <w:p w:rsidR="00EF2151" w:rsidRPr="00F30AD4" w:rsidRDefault="00EF2151">
      <w:pPr>
        <w:spacing w:line="360" w:lineRule="auto"/>
        <w:ind w:right="-28"/>
        <w:jc w:val="both"/>
        <w:rPr>
          <w:rFonts w:ascii="Palatino Linotype" w:eastAsia="Palatino Linotype" w:hAnsi="Palatino Linotype" w:cs="Palatino Linotype"/>
          <w:sz w:val="22"/>
          <w:szCs w:val="22"/>
        </w:rPr>
      </w:pPr>
    </w:p>
    <w:p w:rsidR="00EF2151" w:rsidRPr="00F30AD4" w:rsidRDefault="00A8726A">
      <w:pPr>
        <w:numPr>
          <w:ilvl w:val="0"/>
          <w:numId w:val="2"/>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Llevar a cabo mecanismos de vinculación establecidos al efecto con los integrantes del Comité de Participación Ciudadana, realizando las actividades solicitadas;</w:t>
      </w:r>
    </w:p>
    <w:p w:rsidR="00EF2151" w:rsidRPr="00F30AD4" w:rsidRDefault="00A8726A">
      <w:pPr>
        <w:numPr>
          <w:ilvl w:val="0"/>
          <w:numId w:val="2"/>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Fungir como Secretario de sesiones de la Comisión Ejecutiva, brindando la asistencia técnica correspondiente;</w:t>
      </w:r>
    </w:p>
    <w:p w:rsidR="00EF2151" w:rsidRPr="00F30AD4" w:rsidRDefault="00A8726A">
      <w:pPr>
        <w:numPr>
          <w:ilvl w:val="0"/>
          <w:numId w:val="2"/>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Elaborar y someter a la consideración del superior jerárquico los proyectos de calendarios, convocatorias, órdenes del día y anexos para las sesiones de la Comisión Ejecutiva que se celebren;</w:t>
      </w:r>
    </w:p>
    <w:p w:rsidR="00EF2151" w:rsidRPr="00F30AD4" w:rsidRDefault="00A8726A">
      <w:pPr>
        <w:numPr>
          <w:ilvl w:val="0"/>
          <w:numId w:val="2"/>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Elaborar las actas de sesión, acuerdos, propuestas y demás documentos que emita la Comisión Ejecutiva;</w:t>
      </w:r>
    </w:p>
    <w:p w:rsidR="00EF2151" w:rsidRPr="00F30AD4" w:rsidRDefault="00A8726A">
      <w:pPr>
        <w:numPr>
          <w:ilvl w:val="0"/>
          <w:numId w:val="2"/>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Coordinar con los titulares de las unidades administrativas de la Secretaría Ejecutiva, la provisión de insumos que sean requeridos por la Comisión Ejecutiva;</w:t>
      </w:r>
    </w:p>
    <w:p w:rsidR="00EF2151" w:rsidRPr="00F30AD4" w:rsidRDefault="00A8726A">
      <w:pPr>
        <w:numPr>
          <w:ilvl w:val="0"/>
          <w:numId w:val="2"/>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Dar seguimiento a los acuerdos emitidos por la Comisión Ejecutiva;</w:t>
      </w:r>
    </w:p>
    <w:p w:rsidR="00EF2151" w:rsidRPr="00F30AD4" w:rsidRDefault="00A8726A">
      <w:pPr>
        <w:numPr>
          <w:ilvl w:val="0"/>
          <w:numId w:val="2"/>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Auxiliar al titular de la Secretaría Técnica en los asuntos que se le sean solicitados;</w:t>
      </w:r>
    </w:p>
    <w:p w:rsidR="00EF2151" w:rsidRPr="00F30AD4" w:rsidRDefault="00A8726A">
      <w:pPr>
        <w:numPr>
          <w:ilvl w:val="0"/>
          <w:numId w:val="2"/>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Auxiliar en la logística de los eventos organizados por el Comité Coordinador, Secretaría Ejecutiva o la Comisión Ejecutiva del Sistema Estatal Anticorrupción;</w:t>
      </w:r>
    </w:p>
    <w:p w:rsidR="00EF2151" w:rsidRPr="00F30AD4" w:rsidRDefault="00A8726A">
      <w:pPr>
        <w:numPr>
          <w:ilvl w:val="0"/>
          <w:numId w:val="2"/>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Elaborar los informes que le sean requeridos sobre el desempeño de sus actividades y asuntos encomendados;</w:t>
      </w:r>
    </w:p>
    <w:p w:rsidR="00EF2151" w:rsidRPr="00F30AD4" w:rsidRDefault="00A8726A">
      <w:pPr>
        <w:numPr>
          <w:ilvl w:val="0"/>
          <w:numId w:val="2"/>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Expedir copias certificadas de los documentos que haya emitido en ejercicio de sus atribuciones, así como realizar cotejos de los documentos que obren en los archivos de la Unidad;</w:t>
      </w:r>
    </w:p>
    <w:p w:rsidR="00EF2151" w:rsidRPr="00F30AD4" w:rsidRDefault="00A8726A">
      <w:pPr>
        <w:numPr>
          <w:ilvl w:val="0"/>
          <w:numId w:val="2"/>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lastRenderedPageBreak/>
        <w:t>Validar el trabajo técnico para la elaboración de documentos que se llevarán como propuesta al Órgano de Gobierno y al Comité Coordinador de la Secretaría Ejecutiva en el ámbito de su competencia; y</w:t>
      </w:r>
    </w:p>
    <w:p w:rsidR="00EF2151" w:rsidRPr="00F30AD4" w:rsidRDefault="00A8726A">
      <w:pPr>
        <w:numPr>
          <w:ilvl w:val="0"/>
          <w:numId w:val="2"/>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Atender los asuntos que le correspondan, relacionados con los acuerdos y resoluciones emitidos por el Órgano de Gobierno y el Comité Coordinador de la Secretaría Ejecutiva.</w:t>
      </w:r>
    </w:p>
    <w:p w:rsidR="00EF2151" w:rsidRPr="00F30AD4" w:rsidRDefault="00EF2151">
      <w:pPr>
        <w:spacing w:line="360" w:lineRule="auto"/>
        <w:ind w:right="-28"/>
        <w:jc w:val="both"/>
        <w:rPr>
          <w:rFonts w:ascii="Palatino Linotype" w:eastAsia="Palatino Linotype" w:hAnsi="Palatino Linotype" w:cs="Palatino Linotype"/>
          <w:sz w:val="22"/>
          <w:szCs w:val="22"/>
        </w:rPr>
      </w:pPr>
    </w:p>
    <w:p w:rsidR="00EF2151" w:rsidRPr="00F30AD4" w:rsidRDefault="00A8726A">
      <w:pPr>
        <w:spacing w:line="360" w:lineRule="auto"/>
        <w:ind w:right="-28"/>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t>De tal circunstancia, se logra colegir que el Sujeto Obligado cumplió con el procedimiento de búsqueda establecido en el artículo 162 de la Ley de Transparencia y Acceso a la Información Pública del Estado de México y Municipios, pues el Sujeto Obligado turnó la solicitud de información a la Jefatura de la Unidad de Enlace, encargada de fungir como Secretario Técnico de la Comisión Ejecutiva, encargado de la elaboración de las actas de sesión que emite la referida Comisión.</w:t>
      </w:r>
    </w:p>
    <w:p w:rsidR="00EF2151" w:rsidRPr="00F30AD4" w:rsidRDefault="00EF2151">
      <w:pPr>
        <w:spacing w:line="360" w:lineRule="auto"/>
        <w:ind w:right="-28"/>
        <w:jc w:val="both"/>
        <w:rPr>
          <w:rFonts w:ascii="Palatino Linotype" w:eastAsia="Palatino Linotype" w:hAnsi="Palatino Linotype" w:cs="Palatino Linotype"/>
          <w:color w:val="0D0D0D"/>
          <w:sz w:val="22"/>
          <w:szCs w:val="22"/>
        </w:rPr>
      </w:pPr>
    </w:p>
    <w:p w:rsidR="00EF2151" w:rsidRPr="00F30AD4" w:rsidRDefault="00A8726A">
      <w:pPr>
        <w:spacing w:line="360" w:lineRule="auto"/>
        <w:ind w:right="-28"/>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t>Ahora bien, dicha área en respuesta, el área competente proporcionó diversos enlaces por los que indicó que se podría consultar diversa información de la Secretaría Ejecutiva del Sistema Estatal Anticorrupción, de los cuales se logró vislumbrar lo siguiente:</w:t>
      </w:r>
    </w:p>
    <w:p w:rsidR="00EF2151" w:rsidRPr="00F30AD4" w:rsidRDefault="00EF2151">
      <w:pPr>
        <w:spacing w:line="360" w:lineRule="auto"/>
        <w:ind w:right="-28"/>
        <w:jc w:val="both"/>
        <w:rPr>
          <w:rFonts w:ascii="Palatino Linotype" w:eastAsia="Palatino Linotype" w:hAnsi="Palatino Linotype" w:cs="Palatino Linotype"/>
          <w:sz w:val="22"/>
          <w:szCs w:val="22"/>
        </w:rPr>
      </w:pPr>
    </w:p>
    <w:p w:rsidR="00EF2151" w:rsidRPr="00F30AD4" w:rsidRDefault="003866AB">
      <w:pPr>
        <w:spacing w:line="360" w:lineRule="auto"/>
        <w:jc w:val="center"/>
        <w:rPr>
          <w:rFonts w:ascii="Palatino Linotype" w:eastAsia="Palatino Linotype" w:hAnsi="Palatino Linotype" w:cs="Palatino Linotype"/>
          <w:color w:val="0563C1"/>
          <w:sz w:val="22"/>
          <w:szCs w:val="22"/>
          <w:u w:val="single"/>
        </w:rPr>
      </w:pPr>
      <w:hyperlink r:id="rId13" w:anchor="/obligaciones/357">
        <w:r w:rsidR="00A8726A" w:rsidRPr="00F30AD4">
          <w:rPr>
            <w:rFonts w:ascii="Palatino Linotype" w:eastAsia="Palatino Linotype" w:hAnsi="Palatino Linotype" w:cs="Palatino Linotype"/>
            <w:color w:val="0563C1"/>
            <w:sz w:val="22"/>
            <w:szCs w:val="22"/>
            <w:u w:val="single"/>
          </w:rPr>
          <w:t>https://infoem2.ipomex.org.mx/ipomex/#/obligaciones/357</w:t>
        </w:r>
      </w:hyperlink>
    </w:p>
    <w:p w:rsidR="00EF2151" w:rsidRPr="00F30AD4" w:rsidRDefault="00EF2151">
      <w:pPr>
        <w:spacing w:line="360" w:lineRule="auto"/>
        <w:jc w:val="center"/>
        <w:rPr>
          <w:rFonts w:ascii="Palatino Linotype" w:eastAsia="Palatino Linotype" w:hAnsi="Palatino Linotype" w:cs="Palatino Linotype"/>
          <w:sz w:val="22"/>
          <w:szCs w:val="22"/>
        </w:rPr>
      </w:pPr>
    </w:p>
    <w:p w:rsidR="00EF2151" w:rsidRPr="00F30AD4" w:rsidRDefault="00A8726A">
      <w:pPr>
        <w:spacing w:line="360" w:lineRule="auto"/>
        <w:ind w:right="-28"/>
        <w:jc w:val="center"/>
      </w:pPr>
      <w:r w:rsidRPr="00F30AD4">
        <w:rPr>
          <w:rFonts w:ascii="Palatino Linotype" w:eastAsia="Palatino Linotype" w:hAnsi="Palatino Linotype" w:cs="Palatino Linotype"/>
          <w:noProof/>
          <w:sz w:val="22"/>
          <w:szCs w:val="22"/>
          <w:lang w:eastAsia="es-MX"/>
        </w:rPr>
        <w:drawing>
          <wp:inline distT="0" distB="0" distL="0" distR="0">
            <wp:extent cx="4688205" cy="1670685"/>
            <wp:effectExtent l="0" t="0" r="0" b="0"/>
            <wp:docPr id="7987064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688205" cy="1670685"/>
                    </a:xfrm>
                    <a:prstGeom prst="rect">
                      <a:avLst/>
                    </a:prstGeom>
                    <a:ln/>
                  </pic:spPr>
                </pic:pic>
              </a:graphicData>
            </a:graphic>
          </wp:inline>
        </w:drawing>
      </w:r>
    </w:p>
    <w:p w:rsidR="00EF2151" w:rsidRPr="00F30AD4" w:rsidRDefault="00EF2151">
      <w:pPr>
        <w:spacing w:line="360" w:lineRule="auto"/>
        <w:ind w:right="-28"/>
        <w:jc w:val="center"/>
      </w:pPr>
    </w:p>
    <w:p w:rsidR="00EF2151" w:rsidRPr="00F30AD4" w:rsidRDefault="003866AB">
      <w:pPr>
        <w:spacing w:line="360" w:lineRule="auto"/>
        <w:ind w:right="-28"/>
        <w:jc w:val="center"/>
        <w:rPr>
          <w:rFonts w:ascii="Palatino Linotype" w:eastAsia="Palatino Linotype" w:hAnsi="Palatino Linotype" w:cs="Palatino Linotype"/>
          <w:color w:val="0563C1"/>
          <w:sz w:val="22"/>
          <w:szCs w:val="22"/>
          <w:u w:val="single"/>
        </w:rPr>
      </w:pPr>
      <w:hyperlink r:id="rId15">
        <w:r w:rsidR="00A8726A" w:rsidRPr="00F30AD4">
          <w:rPr>
            <w:rFonts w:ascii="Palatino Linotype" w:eastAsia="Palatino Linotype" w:hAnsi="Palatino Linotype" w:cs="Palatino Linotype"/>
            <w:color w:val="0563C1"/>
            <w:sz w:val="22"/>
            <w:szCs w:val="22"/>
            <w:u w:val="single"/>
          </w:rPr>
          <w:t>https://www.plataformadetransparencia.org.mx/web/guest/inicio</w:t>
        </w:r>
      </w:hyperlink>
    </w:p>
    <w:p w:rsidR="00EF2151" w:rsidRPr="00F30AD4" w:rsidRDefault="00EF2151">
      <w:pPr>
        <w:spacing w:line="360" w:lineRule="auto"/>
        <w:ind w:right="-28"/>
        <w:rPr>
          <w:rFonts w:ascii="Palatino Linotype" w:eastAsia="Palatino Linotype" w:hAnsi="Palatino Linotype" w:cs="Palatino Linotype"/>
          <w:sz w:val="22"/>
          <w:szCs w:val="22"/>
        </w:rPr>
      </w:pPr>
    </w:p>
    <w:p w:rsidR="00EF2151" w:rsidRPr="00F30AD4" w:rsidRDefault="00A8726A">
      <w:pPr>
        <w:spacing w:line="360" w:lineRule="auto"/>
        <w:ind w:right="-28"/>
        <w:jc w:val="center"/>
        <w:rPr>
          <w:rFonts w:ascii="Palatino Linotype" w:eastAsia="Palatino Linotype" w:hAnsi="Palatino Linotype" w:cs="Palatino Linotype"/>
          <w:sz w:val="22"/>
          <w:szCs w:val="22"/>
        </w:rPr>
      </w:pPr>
      <w:r w:rsidRPr="00F30AD4">
        <w:rPr>
          <w:rFonts w:ascii="Palatino Linotype" w:eastAsia="Palatino Linotype" w:hAnsi="Palatino Linotype" w:cs="Palatino Linotype"/>
          <w:noProof/>
          <w:sz w:val="22"/>
          <w:szCs w:val="22"/>
          <w:lang w:eastAsia="es-MX"/>
        </w:rPr>
        <w:drawing>
          <wp:inline distT="0" distB="0" distL="0" distR="0">
            <wp:extent cx="5456555" cy="1030605"/>
            <wp:effectExtent l="0" t="0" r="0" b="0"/>
            <wp:docPr id="7987064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456555" cy="1030605"/>
                    </a:xfrm>
                    <a:prstGeom prst="rect">
                      <a:avLst/>
                    </a:prstGeom>
                    <a:ln/>
                  </pic:spPr>
                </pic:pic>
              </a:graphicData>
            </a:graphic>
          </wp:inline>
        </w:drawing>
      </w:r>
    </w:p>
    <w:p w:rsidR="00EF2151" w:rsidRPr="00F30AD4" w:rsidRDefault="00EF2151">
      <w:pPr>
        <w:spacing w:line="360" w:lineRule="auto"/>
        <w:ind w:right="-28"/>
        <w:jc w:val="both"/>
      </w:pPr>
    </w:p>
    <w:p w:rsidR="00EF2151" w:rsidRPr="00F30AD4" w:rsidRDefault="003866AB">
      <w:pPr>
        <w:spacing w:line="360" w:lineRule="auto"/>
        <w:ind w:right="-28"/>
        <w:jc w:val="center"/>
        <w:rPr>
          <w:rFonts w:ascii="Palatino Linotype" w:eastAsia="Palatino Linotype" w:hAnsi="Palatino Linotype" w:cs="Palatino Linotype"/>
          <w:color w:val="0563C1"/>
          <w:sz w:val="22"/>
          <w:szCs w:val="22"/>
          <w:u w:val="single"/>
        </w:rPr>
      </w:pPr>
      <w:hyperlink r:id="rId17">
        <w:r w:rsidR="00A8726A" w:rsidRPr="00F30AD4">
          <w:rPr>
            <w:rFonts w:ascii="Palatino Linotype" w:eastAsia="Palatino Linotype" w:hAnsi="Palatino Linotype" w:cs="Palatino Linotype"/>
            <w:color w:val="0563C1"/>
            <w:sz w:val="22"/>
            <w:szCs w:val="22"/>
            <w:u w:val="single"/>
          </w:rPr>
          <w:t>www.sesaemm.gob.mx</w:t>
        </w:r>
      </w:hyperlink>
    </w:p>
    <w:p w:rsidR="00EF2151" w:rsidRPr="00F30AD4" w:rsidRDefault="00EF2151">
      <w:pPr>
        <w:spacing w:line="360" w:lineRule="auto"/>
        <w:ind w:right="-28"/>
        <w:jc w:val="both"/>
        <w:rPr>
          <w:rFonts w:ascii="Palatino Linotype" w:eastAsia="Palatino Linotype" w:hAnsi="Palatino Linotype" w:cs="Palatino Linotype"/>
          <w:color w:val="0563C1"/>
          <w:sz w:val="22"/>
          <w:szCs w:val="22"/>
          <w:u w:val="single"/>
        </w:rPr>
      </w:pPr>
    </w:p>
    <w:p w:rsidR="00EF2151" w:rsidRPr="00F30AD4" w:rsidRDefault="00A8726A">
      <w:pPr>
        <w:spacing w:line="360" w:lineRule="auto"/>
        <w:ind w:right="-28"/>
        <w:jc w:val="center"/>
      </w:pPr>
      <w:r w:rsidRPr="00F30AD4">
        <w:rPr>
          <w:rFonts w:ascii="Palatino Linotype" w:eastAsia="Palatino Linotype" w:hAnsi="Palatino Linotype" w:cs="Palatino Linotype"/>
          <w:noProof/>
          <w:sz w:val="22"/>
          <w:szCs w:val="22"/>
          <w:lang w:eastAsia="es-MX"/>
        </w:rPr>
        <w:drawing>
          <wp:inline distT="0" distB="0" distL="0" distR="0">
            <wp:extent cx="4478687" cy="1827660"/>
            <wp:effectExtent l="0" t="0" r="0" b="0"/>
            <wp:docPr id="7987064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4478687" cy="1827660"/>
                    </a:xfrm>
                    <a:prstGeom prst="rect">
                      <a:avLst/>
                    </a:prstGeom>
                    <a:ln/>
                  </pic:spPr>
                </pic:pic>
              </a:graphicData>
            </a:graphic>
          </wp:inline>
        </w:drawing>
      </w:r>
    </w:p>
    <w:p w:rsidR="00EF2151" w:rsidRPr="00F30AD4" w:rsidRDefault="00EF2151">
      <w:pPr>
        <w:spacing w:line="360" w:lineRule="auto"/>
        <w:ind w:right="-28"/>
        <w:rPr>
          <w:rFonts w:ascii="Helvetica Neue Light" w:eastAsia="Helvetica Neue Light" w:hAnsi="Helvetica Neue Light" w:cs="Helvetica Neue Light"/>
          <w:color w:val="0563C1"/>
          <w:u w:val="single"/>
        </w:rPr>
      </w:pPr>
    </w:p>
    <w:p w:rsidR="00EF2151" w:rsidRPr="00F30AD4" w:rsidRDefault="003866AB">
      <w:pPr>
        <w:spacing w:line="360" w:lineRule="auto"/>
        <w:ind w:right="-28"/>
        <w:jc w:val="center"/>
        <w:rPr>
          <w:rFonts w:ascii="Palatino Linotype" w:eastAsia="Palatino Linotype" w:hAnsi="Palatino Linotype" w:cs="Palatino Linotype"/>
          <w:color w:val="0563C1"/>
          <w:sz w:val="22"/>
          <w:szCs w:val="22"/>
          <w:u w:val="single"/>
        </w:rPr>
      </w:pPr>
      <w:hyperlink r:id="rId19">
        <w:r w:rsidR="00A8726A" w:rsidRPr="00F30AD4">
          <w:rPr>
            <w:rFonts w:ascii="Palatino Linotype" w:eastAsia="Palatino Linotype" w:hAnsi="Palatino Linotype" w:cs="Palatino Linotype"/>
            <w:color w:val="0563C1"/>
            <w:sz w:val="22"/>
            <w:szCs w:val="22"/>
            <w:u w:val="single"/>
          </w:rPr>
          <w:t>https://sesaemm.gob.mx/politica_antisoborno/</w:t>
        </w:r>
      </w:hyperlink>
    </w:p>
    <w:p w:rsidR="00EF2151" w:rsidRPr="00F30AD4" w:rsidRDefault="00EF2151">
      <w:pPr>
        <w:spacing w:line="360" w:lineRule="auto"/>
        <w:ind w:right="-28"/>
        <w:rPr>
          <w:rFonts w:ascii="Palatino Linotype" w:eastAsia="Palatino Linotype" w:hAnsi="Palatino Linotype" w:cs="Palatino Linotype"/>
          <w:color w:val="0563C1"/>
          <w:sz w:val="22"/>
          <w:szCs w:val="22"/>
          <w:u w:val="single"/>
        </w:rPr>
      </w:pPr>
    </w:p>
    <w:p w:rsidR="00EF2151" w:rsidRPr="00F30AD4" w:rsidRDefault="00A8726A">
      <w:pPr>
        <w:spacing w:line="360" w:lineRule="auto"/>
        <w:ind w:right="-28"/>
        <w:jc w:val="center"/>
        <w:rPr>
          <w:rFonts w:ascii="Palatino Linotype" w:eastAsia="Palatino Linotype" w:hAnsi="Palatino Linotype" w:cs="Palatino Linotype"/>
          <w:sz w:val="22"/>
          <w:szCs w:val="22"/>
        </w:rPr>
      </w:pPr>
      <w:r w:rsidRPr="00F30AD4">
        <w:rPr>
          <w:rFonts w:ascii="Palatino Linotype" w:eastAsia="Palatino Linotype" w:hAnsi="Palatino Linotype" w:cs="Palatino Linotype"/>
          <w:noProof/>
          <w:sz w:val="22"/>
          <w:szCs w:val="22"/>
          <w:lang w:eastAsia="es-MX"/>
        </w:rPr>
        <w:lastRenderedPageBreak/>
        <w:drawing>
          <wp:inline distT="0" distB="0" distL="0" distR="0">
            <wp:extent cx="5742940" cy="2105025"/>
            <wp:effectExtent l="0" t="0" r="0" b="0"/>
            <wp:docPr id="7987064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b="4080"/>
                    <a:stretch>
                      <a:fillRect/>
                    </a:stretch>
                  </pic:blipFill>
                  <pic:spPr>
                    <a:xfrm>
                      <a:off x="0" y="0"/>
                      <a:ext cx="5742940" cy="2105025"/>
                    </a:xfrm>
                    <a:prstGeom prst="rect">
                      <a:avLst/>
                    </a:prstGeom>
                    <a:ln/>
                  </pic:spPr>
                </pic:pic>
              </a:graphicData>
            </a:graphic>
          </wp:inline>
        </w:drawing>
      </w:r>
    </w:p>
    <w:p w:rsidR="00EF2151" w:rsidRPr="00F30AD4" w:rsidRDefault="00EF2151">
      <w:pPr>
        <w:spacing w:line="360" w:lineRule="auto"/>
        <w:ind w:right="-28"/>
        <w:jc w:val="center"/>
        <w:rPr>
          <w:rFonts w:ascii="Palatino Linotype" w:eastAsia="Palatino Linotype" w:hAnsi="Palatino Linotype" w:cs="Palatino Linotype"/>
          <w:sz w:val="22"/>
          <w:szCs w:val="22"/>
        </w:rPr>
      </w:pPr>
    </w:p>
    <w:p w:rsidR="00EF2151" w:rsidRPr="00F30AD4" w:rsidRDefault="003866AB">
      <w:pPr>
        <w:spacing w:line="360" w:lineRule="auto"/>
        <w:ind w:right="-28"/>
        <w:jc w:val="center"/>
        <w:rPr>
          <w:rFonts w:ascii="Palatino Linotype" w:eastAsia="Palatino Linotype" w:hAnsi="Palatino Linotype" w:cs="Palatino Linotype"/>
          <w:sz w:val="22"/>
          <w:szCs w:val="22"/>
        </w:rPr>
      </w:pPr>
      <w:hyperlink r:id="rId21" w:anchor="/info-fraccion/22/357/12">
        <w:r w:rsidR="00A8726A" w:rsidRPr="00F30AD4">
          <w:rPr>
            <w:rFonts w:ascii="Palatino Linotype" w:eastAsia="Palatino Linotype" w:hAnsi="Palatino Linotype" w:cs="Palatino Linotype"/>
            <w:color w:val="0563C1"/>
            <w:sz w:val="22"/>
            <w:szCs w:val="22"/>
            <w:u w:val="single"/>
          </w:rPr>
          <w:t>https://infoem2.ipomex.org.mx/ipomex/#/info-fraccion/22/357/12</w:t>
        </w:r>
      </w:hyperlink>
    </w:p>
    <w:p w:rsidR="00EF2151" w:rsidRPr="00F30AD4" w:rsidRDefault="00A8726A">
      <w:pPr>
        <w:spacing w:line="360" w:lineRule="auto"/>
        <w:ind w:right="-28"/>
        <w:jc w:val="center"/>
        <w:rPr>
          <w:rFonts w:ascii="Palatino Linotype" w:eastAsia="Palatino Linotype" w:hAnsi="Palatino Linotype" w:cs="Palatino Linotype"/>
          <w:sz w:val="22"/>
          <w:szCs w:val="22"/>
        </w:rPr>
      </w:pPr>
      <w:r w:rsidRPr="00F30AD4">
        <w:rPr>
          <w:rFonts w:ascii="Palatino Linotype" w:eastAsia="Palatino Linotype" w:hAnsi="Palatino Linotype" w:cs="Palatino Linotype"/>
          <w:noProof/>
          <w:sz w:val="22"/>
          <w:szCs w:val="22"/>
          <w:lang w:eastAsia="es-MX"/>
        </w:rPr>
        <w:drawing>
          <wp:inline distT="0" distB="0" distL="0" distR="0">
            <wp:extent cx="4603115" cy="1396365"/>
            <wp:effectExtent l="0" t="0" r="0" b="0"/>
            <wp:docPr id="7987064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4603115" cy="1396365"/>
                    </a:xfrm>
                    <a:prstGeom prst="rect">
                      <a:avLst/>
                    </a:prstGeom>
                    <a:ln/>
                  </pic:spPr>
                </pic:pic>
              </a:graphicData>
            </a:graphic>
          </wp:inline>
        </w:drawing>
      </w:r>
    </w:p>
    <w:p w:rsidR="00EF2151" w:rsidRPr="00F30AD4" w:rsidRDefault="00EF2151">
      <w:pPr>
        <w:spacing w:line="360" w:lineRule="auto"/>
        <w:ind w:right="-28"/>
        <w:jc w:val="both"/>
        <w:rPr>
          <w:rFonts w:ascii="Palatino Linotype" w:eastAsia="Palatino Linotype" w:hAnsi="Palatino Linotype" w:cs="Palatino Linotype"/>
          <w:sz w:val="22"/>
          <w:szCs w:val="22"/>
        </w:rPr>
      </w:pPr>
    </w:p>
    <w:p w:rsidR="00EF2151" w:rsidRPr="00F30AD4" w:rsidRDefault="00A8726A">
      <w:pPr>
        <w:spacing w:line="360" w:lineRule="auto"/>
        <w:ind w:right="-28"/>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t>Como se logra observar, si bien el Sujeto Obligado indicó que proporcionaba diversos enlaces que conducían a diversa información, lo cierto es que no dirigen a la información específica solicitada a saber, las actas de sesiones de los ejercicios fiscales requeridos, en virtud de que no indicó el procedimiento para acceder a la información requerida, por lo que incumplió con lo establecido en el artículo 161 de la Ley de la materia, por lo que no se pueden convalidar los enlaces previamente señalados.</w:t>
      </w:r>
    </w:p>
    <w:p w:rsidR="00EF2151" w:rsidRPr="00F30AD4" w:rsidRDefault="00EF2151">
      <w:pPr>
        <w:spacing w:line="360" w:lineRule="auto"/>
        <w:jc w:val="both"/>
        <w:rPr>
          <w:rFonts w:ascii="Palatino Linotype" w:eastAsia="Palatino Linotype" w:hAnsi="Palatino Linotype" w:cs="Palatino Linotype"/>
          <w:sz w:val="22"/>
          <w:szCs w:val="22"/>
        </w:rPr>
      </w:pPr>
    </w:p>
    <w:p w:rsidR="00EF2151" w:rsidRPr="00F30AD4" w:rsidRDefault="00A8726A">
      <w:pPr>
        <w:spacing w:line="360" w:lineRule="auto"/>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t xml:space="preserve">No obstante, proporcionó las Actas de Sesiones Ordinarias y Extraordinarias de la Comisión Ejecutiva de la </w:t>
      </w:r>
      <w:r w:rsidRPr="00F30AD4">
        <w:rPr>
          <w:rFonts w:ascii="Palatino Linotype" w:eastAsia="Palatino Linotype" w:hAnsi="Palatino Linotype" w:cs="Palatino Linotype"/>
          <w:color w:val="000000"/>
          <w:sz w:val="22"/>
          <w:szCs w:val="22"/>
        </w:rPr>
        <w:t>Secretaría Ejecutiva del Sistema Estatal Anticorrupción</w:t>
      </w:r>
      <w:r w:rsidRPr="00F30AD4">
        <w:rPr>
          <w:rFonts w:ascii="Palatino Linotype" w:eastAsia="Palatino Linotype" w:hAnsi="Palatino Linotype" w:cs="Palatino Linotype"/>
          <w:sz w:val="22"/>
          <w:szCs w:val="22"/>
        </w:rPr>
        <w:t xml:space="preserve">, de los ejercicios fiscales </w:t>
      </w:r>
      <w:r w:rsidRPr="00F30AD4">
        <w:rPr>
          <w:rFonts w:ascii="Palatino Linotype" w:eastAsia="Palatino Linotype" w:hAnsi="Palatino Linotype" w:cs="Palatino Linotype"/>
          <w:sz w:val="22"/>
          <w:szCs w:val="22"/>
        </w:rPr>
        <w:lastRenderedPageBreak/>
        <w:t>dos mil dieciocho, dos mil diecinueve, dos mil veinte, dos mil veintiuno, dos mil veintidós, y dos mil veinticuatro, como se puede advertir conforme a los cuadros siguientes:</w:t>
      </w:r>
    </w:p>
    <w:p w:rsidR="00EF2151" w:rsidRPr="00F30AD4" w:rsidRDefault="00EF2151">
      <w:pPr>
        <w:spacing w:line="360" w:lineRule="auto"/>
        <w:jc w:val="both"/>
        <w:rPr>
          <w:rFonts w:ascii="Palatino Linotype" w:eastAsia="Palatino Linotype" w:hAnsi="Palatino Linotype" w:cs="Palatino Linotype"/>
          <w:sz w:val="22"/>
          <w:szCs w:val="22"/>
        </w:rPr>
      </w:pPr>
    </w:p>
    <w:tbl>
      <w:tblPr>
        <w:tblStyle w:val="a"/>
        <w:tblW w:w="9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7"/>
        <w:gridCol w:w="4517"/>
      </w:tblGrid>
      <w:tr w:rsidR="00EF2151" w:rsidRPr="00F30AD4">
        <w:tc>
          <w:tcPr>
            <w:tcW w:w="9034" w:type="dxa"/>
            <w:gridSpan w:val="2"/>
            <w:shd w:val="clear" w:color="auto" w:fill="D0CECE"/>
          </w:tcPr>
          <w:p w:rsidR="00EF2151" w:rsidRPr="00F30AD4" w:rsidRDefault="00A8726A">
            <w:pPr>
              <w:spacing w:line="360" w:lineRule="auto"/>
              <w:jc w:val="center"/>
              <w:rPr>
                <w:rFonts w:ascii="Palatino Linotype" w:eastAsia="Palatino Linotype" w:hAnsi="Palatino Linotype" w:cs="Palatino Linotype"/>
                <w:sz w:val="22"/>
                <w:szCs w:val="22"/>
              </w:rPr>
            </w:pPr>
            <w:r w:rsidRPr="00F30AD4">
              <w:rPr>
                <w:rFonts w:ascii="Palatino Linotype" w:eastAsia="Palatino Linotype" w:hAnsi="Palatino Linotype" w:cs="Palatino Linotype"/>
                <w:b/>
                <w:sz w:val="22"/>
                <w:szCs w:val="22"/>
              </w:rPr>
              <w:t>Actas de sesiones del ejercicio fiscal dos mil dieciocho</w:t>
            </w:r>
          </w:p>
        </w:tc>
      </w:tr>
      <w:tr w:rsidR="00EF2151" w:rsidRPr="00F30AD4">
        <w:tc>
          <w:tcPr>
            <w:tcW w:w="4517" w:type="dxa"/>
          </w:tcPr>
          <w:p w:rsidR="00EF2151" w:rsidRPr="00F30AD4" w:rsidRDefault="00A8726A">
            <w:pPr>
              <w:spacing w:line="360" w:lineRule="auto"/>
              <w:jc w:val="center"/>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t>Ordinarias</w:t>
            </w:r>
          </w:p>
        </w:tc>
        <w:tc>
          <w:tcPr>
            <w:tcW w:w="4517" w:type="dxa"/>
          </w:tcPr>
          <w:p w:rsidR="00EF2151" w:rsidRPr="00F30AD4" w:rsidRDefault="00A8726A">
            <w:pPr>
              <w:spacing w:line="360" w:lineRule="auto"/>
              <w:jc w:val="center"/>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t>Extraordinarias</w:t>
            </w:r>
          </w:p>
        </w:tc>
      </w:tr>
      <w:tr w:rsidR="00EF2151" w:rsidRPr="00F30AD4">
        <w:tc>
          <w:tcPr>
            <w:tcW w:w="4517" w:type="dxa"/>
          </w:tcPr>
          <w:p w:rsidR="00EF2151" w:rsidRPr="00F30AD4" w:rsidRDefault="00A8726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30AD4">
              <w:rPr>
                <w:rFonts w:ascii="Palatino Linotype" w:eastAsia="Palatino Linotype" w:hAnsi="Palatino Linotype" w:cs="Palatino Linotype"/>
                <w:color w:val="000000"/>
              </w:rPr>
              <w:t>- SAEMM/CE/SES/ORD/01/2018, del catorce de febrero de dos mil dieciocho;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SAEMM/CE/SES/ORD/02/2018, del veintiocho de febrero de dos mil dieciocho;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SAEMM/CE/SES/ORD/03/2018, del catorce de marzo de dos mil dieciocho;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SAEMM/CE/SES/ORD/04/2018, del cuatro de abril de dos mil dieciocho;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SAEMM/CE/SES/ORD/05/2018, del dieciocho de abril de dos mil dieciocho;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SAEMM/CE/SES/ORD/06/2018, del dos de mayo de dos mil dieciocho;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SAEMM/CE/SES/ORD/07/2018, del treinta de mayo de dos mil dieciocho;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SAEMM/CE/SES/ORD/08/2018, del trece de junio de dos mil dieciocho;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SAEMM/CE/SES/ORD/09/2018, del veintisiete de junio de dos mil dieciocho;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SAEMM/CE/SES/ORD/10/2018, del once de julio de dos mil dieciocho;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SAEMM/CE/SES/ORD/11/2018, del primero de agosto de dos mil dieciocho;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lastRenderedPageBreak/>
              <w:t>- SAEMM/CE/SES/ORD/12/2018, del quince de agosto de dos mil dieciocho;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SAEMM/CE/SES/ORD/13/2018, del veintinueve de agosto de dos mil dieciocho;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SAEMM/CE/SES/ORD/14/2018, del trece de septiembre de dos mil dieciocho;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SAEMM/CE/SES/ORD/15/2018, del veintiséis de septiembre de dos mil dieciocho;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SAEMM/CE/SES/ORD/16/2018, del diez de octubre de dos mil dieciocho;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SAEMM/CE/SES/ORD/17/2018, del veinticuatro de octubre de dos mil dieciocho;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SAEMM/CE/SES/ORD/18/2018, del catorce de noviembre de dos mil dieciocho;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SAEMM/CE/SES/ORD/19/2018, del veintiuno de noviembre de dos mil dieciocho;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SAEMM/CE/SES/ORD/20/2018, del cinco de diciembre de dos mil dieciocho;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SAEMM/CE/SES/ORD/21/2018, del diecinueve de diciembre de dos mil dieciocho.</w:t>
            </w:r>
          </w:p>
        </w:tc>
        <w:tc>
          <w:tcPr>
            <w:tcW w:w="4517" w:type="dxa"/>
          </w:tcPr>
          <w:p w:rsidR="00EF2151" w:rsidRPr="00F30AD4" w:rsidRDefault="00A8726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30AD4">
              <w:rPr>
                <w:rFonts w:ascii="Palatino Linotype" w:eastAsia="Palatino Linotype" w:hAnsi="Palatino Linotype" w:cs="Palatino Linotype"/>
                <w:color w:val="000000"/>
              </w:rPr>
              <w:lastRenderedPageBreak/>
              <w:t>- SAEMM/CE/SES/EXT/1/2018, del veintitrés de mayo de dos mil dieciocho; y</w:t>
            </w:r>
          </w:p>
          <w:p w:rsidR="00EF2151" w:rsidRPr="00F30AD4" w:rsidRDefault="00A8726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30AD4">
              <w:rPr>
                <w:rFonts w:ascii="Palatino Linotype" w:eastAsia="Palatino Linotype" w:hAnsi="Palatino Linotype" w:cs="Palatino Linotype"/>
                <w:color w:val="000000"/>
              </w:rPr>
              <w:t>- SAEMM/CE/SES/EXT/2/2018, del tres de octubre de dos mil dieciocho.</w:t>
            </w:r>
          </w:p>
          <w:p w:rsidR="00EF2151" w:rsidRPr="00F30AD4" w:rsidRDefault="00EF2151">
            <w:pPr>
              <w:spacing w:line="360" w:lineRule="auto"/>
            </w:pPr>
          </w:p>
          <w:p w:rsidR="00EF2151" w:rsidRPr="00F30AD4" w:rsidRDefault="00EF2151">
            <w:pPr>
              <w:spacing w:line="360" w:lineRule="auto"/>
              <w:jc w:val="both"/>
              <w:rPr>
                <w:rFonts w:ascii="Palatino Linotype" w:eastAsia="Palatino Linotype" w:hAnsi="Palatino Linotype" w:cs="Palatino Linotype"/>
                <w:sz w:val="22"/>
                <w:szCs w:val="22"/>
              </w:rPr>
            </w:pPr>
          </w:p>
        </w:tc>
      </w:tr>
    </w:tbl>
    <w:p w:rsidR="00EF2151" w:rsidRPr="00F30AD4" w:rsidRDefault="00EF2151">
      <w:pPr>
        <w:spacing w:line="360" w:lineRule="auto"/>
        <w:jc w:val="both"/>
        <w:rPr>
          <w:rFonts w:ascii="Palatino Linotype" w:eastAsia="Palatino Linotype" w:hAnsi="Palatino Linotype" w:cs="Palatino Linotype"/>
          <w:sz w:val="22"/>
          <w:szCs w:val="22"/>
        </w:rPr>
      </w:pPr>
    </w:p>
    <w:tbl>
      <w:tblPr>
        <w:tblStyle w:val="a0"/>
        <w:tblW w:w="9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7"/>
        <w:gridCol w:w="4517"/>
      </w:tblGrid>
      <w:tr w:rsidR="00EF2151" w:rsidRPr="00F30AD4">
        <w:tc>
          <w:tcPr>
            <w:tcW w:w="9034" w:type="dxa"/>
            <w:gridSpan w:val="2"/>
            <w:shd w:val="clear" w:color="auto" w:fill="D0CECE"/>
          </w:tcPr>
          <w:p w:rsidR="00EF2151" w:rsidRPr="00F30AD4" w:rsidRDefault="00A8726A">
            <w:pPr>
              <w:spacing w:line="360" w:lineRule="auto"/>
              <w:jc w:val="center"/>
              <w:rPr>
                <w:rFonts w:ascii="Palatino Linotype" w:eastAsia="Palatino Linotype" w:hAnsi="Palatino Linotype" w:cs="Palatino Linotype"/>
                <w:sz w:val="22"/>
                <w:szCs w:val="22"/>
              </w:rPr>
            </w:pPr>
            <w:r w:rsidRPr="00F30AD4">
              <w:rPr>
                <w:rFonts w:ascii="Palatino Linotype" w:eastAsia="Palatino Linotype" w:hAnsi="Palatino Linotype" w:cs="Palatino Linotype"/>
                <w:b/>
                <w:sz w:val="22"/>
                <w:szCs w:val="22"/>
              </w:rPr>
              <w:t xml:space="preserve">Actas de sesiones del ejercicio fiscal dos mil diecinueve </w:t>
            </w:r>
          </w:p>
        </w:tc>
      </w:tr>
      <w:tr w:rsidR="00EF2151" w:rsidRPr="00F30AD4">
        <w:tc>
          <w:tcPr>
            <w:tcW w:w="4517" w:type="dxa"/>
          </w:tcPr>
          <w:p w:rsidR="00EF2151" w:rsidRPr="00F30AD4" w:rsidRDefault="00A8726A">
            <w:pPr>
              <w:spacing w:line="360" w:lineRule="auto"/>
              <w:jc w:val="center"/>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t>Ordinarias</w:t>
            </w:r>
          </w:p>
        </w:tc>
        <w:tc>
          <w:tcPr>
            <w:tcW w:w="4517" w:type="dxa"/>
          </w:tcPr>
          <w:p w:rsidR="00EF2151" w:rsidRPr="00F30AD4" w:rsidRDefault="00A8726A">
            <w:pPr>
              <w:spacing w:line="360" w:lineRule="auto"/>
              <w:jc w:val="center"/>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t>Extraordinarias</w:t>
            </w:r>
          </w:p>
        </w:tc>
      </w:tr>
      <w:tr w:rsidR="00EF2151" w:rsidRPr="00F30AD4">
        <w:tc>
          <w:tcPr>
            <w:tcW w:w="4517" w:type="dxa"/>
          </w:tcPr>
          <w:p w:rsidR="00EF2151" w:rsidRPr="00F30AD4" w:rsidRDefault="00A8726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30AD4">
              <w:rPr>
                <w:rFonts w:ascii="Palatino Linotype" w:eastAsia="Palatino Linotype" w:hAnsi="Palatino Linotype" w:cs="Palatino Linotype"/>
                <w:color w:val="000000"/>
              </w:rPr>
              <w:t>- SAEMM/CE/SES/ORD/01/2019, del nueve de enero de dos mil diecinueve;</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SAEMM/CE/SES/ORD/02/2019, del treinta de enero de dos mil diecinueve;</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lastRenderedPageBreak/>
              <w:t>- SAEMM/CE/SES/ORD/03/2019, del trece de febrero de dos mil diecinueve;</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SAEMM/CE/SES/ORD/04/2019, del seis de marzo de dos mil diecinueve;</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SAEMM/CE/SES/ORD/05/2019, del seis de marzo de dos mil diecinueve;</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SAEMM/CE/SES/ORD/06/2019, del veinte de marzo de dos mil diecinueve;</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SAEMM/CE/SES/ORD/07/2019, del diez de abril de dos mil diecinueve;</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SAEMM/CE/SES/ORD/08/2019, del diez de abril de dos mil diecinueve;</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SAEMM/CE/SES/ORD/09/2019, del quince de mayo de dos mil diecinueve;</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SAEMM/CE/SES/ORD/10/2019, del veintinueve de mayo de dos mil diecinueve;</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SAEMM/CE/SES/ORD/11/2019, del cinco de junio de dos mil diecinueve;</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SAEMM/CE/SES/ORD/12/2019, del dieciocho de junio de dos mil diecinueve;</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SAEMM/CE/SES/ORD/13/2019, del tres de julio de dos mil diecinueve;</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SAEMM/CE/SES/ORD/14/2019, del veinticuatro de julio de dos mil diecinueve;</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SAEMM/CE/SES/ORD/15/2019, del siete de agosto de dos mil diecinueve;</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SAEMM/CE/SES/ORD/16/2019, del veintiuno de agosto de dos mil diecinueve;</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lastRenderedPageBreak/>
              <w:t>- SAEMM/CE/SES/ORD/17/2019, del cuatro de septiembre de dos mil diecinueve;</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SAEMM/CE/SES/ORD/18/2019, del dieciocho de septiembre de dos mil diecinueve;</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SAEMM/CE/SES/ORD/19/2019, del dos de octubre de dos mil diecinueve;</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SAEMM/CE/SES/ORD/20/2019, del treinta de octubre de dos mil diecinueve;</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SAEMM/CE/SES/ORD/21/2019, del treinta de octubre de dos mil diecinueve;</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SAEMM/CE/SES/ORD/22/2019, del trece de noviembre de dos mil diecinueve;</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SAEMM/CE/SES/ORD/23/2019, del veintisiete de noviembre de dos mil diecinueve; y</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SAEMM/CE/SES/ORD/24/2019, del once de diciembre de dos mil diecinueve.</w:t>
            </w:r>
          </w:p>
        </w:tc>
        <w:tc>
          <w:tcPr>
            <w:tcW w:w="4517" w:type="dxa"/>
          </w:tcPr>
          <w:p w:rsidR="00EF2151" w:rsidRPr="00F30AD4" w:rsidRDefault="00A8726A">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sidRPr="00F30AD4">
              <w:rPr>
                <w:rFonts w:ascii="Palatino Linotype" w:eastAsia="Palatino Linotype" w:hAnsi="Palatino Linotype" w:cs="Palatino Linotype"/>
                <w:color w:val="000000"/>
              </w:rPr>
              <w:lastRenderedPageBreak/>
              <w:t>No sesionó</w:t>
            </w:r>
          </w:p>
          <w:p w:rsidR="00EF2151" w:rsidRPr="00F30AD4" w:rsidRDefault="00EF2151">
            <w:pPr>
              <w:spacing w:line="360" w:lineRule="auto"/>
            </w:pPr>
          </w:p>
          <w:p w:rsidR="00EF2151" w:rsidRPr="00F30AD4" w:rsidRDefault="00EF2151">
            <w:pPr>
              <w:spacing w:line="360" w:lineRule="auto"/>
              <w:jc w:val="both"/>
              <w:rPr>
                <w:rFonts w:ascii="Palatino Linotype" w:eastAsia="Palatino Linotype" w:hAnsi="Palatino Linotype" w:cs="Palatino Linotype"/>
                <w:sz w:val="22"/>
                <w:szCs w:val="22"/>
              </w:rPr>
            </w:pPr>
          </w:p>
        </w:tc>
      </w:tr>
    </w:tbl>
    <w:p w:rsidR="00EF2151" w:rsidRPr="00F30AD4" w:rsidRDefault="00EF2151">
      <w:pPr>
        <w:spacing w:line="360" w:lineRule="auto"/>
        <w:jc w:val="both"/>
        <w:rPr>
          <w:rFonts w:ascii="Palatino Linotype" w:eastAsia="Palatino Linotype" w:hAnsi="Palatino Linotype" w:cs="Palatino Linotype"/>
          <w:sz w:val="22"/>
          <w:szCs w:val="22"/>
        </w:rPr>
      </w:pPr>
    </w:p>
    <w:p w:rsidR="00EF2151" w:rsidRPr="00F30AD4" w:rsidRDefault="00EF2151">
      <w:pPr>
        <w:spacing w:line="360" w:lineRule="auto"/>
        <w:jc w:val="both"/>
        <w:rPr>
          <w:rFonts w:ascii="Palatino Linotype" w:eastAsia="Palatino Linotype" w:hAnsi="Palatino Linotype" w:cs="Palatino Linotype"/>
          <w:sz w:val="22"/>
          <w:szCs w:val="22"/>
        </w:rPr>
      </w:pPr>
    </w:p>
    <w:tbl>
      <w:tblPr>
        <w:tblStyle w:val="a1"/>
        <w:tblW w:w="9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7"/>
        <w:gridCol w:w="4517"/>
      </w:tblGrid>
      <w:tr w:rsidR="00EF2151" w:rsidRPr="00F30AD4">
        <w:tc>
          <w:tcPr>
            <w:tcW w:w="9034" w:type="dxa"/>
            <w:gridSpan w:val="2"/>
            <w:shd w:val="clear" w:color="auto" w:fill="D0CECE"/>
          </w:tcPr>
          <w:p w:rsidR="00EF2151" w:rsidRPr="00F30AD4" w:rsidRDefault="00A8726A">
            <w:pPr>
              <w:spacing w:line="360" w:lineRule="auto"/>
              <w:jc w:val="center"/>
              <w:rPr>
                <w:rFonts w:ascii="Palatino Linotype" w:eastAsia="Palatino Linotype" w:hAnsi="Palatino Linotype" w:cs="Palatino Linotype"/>
                <w:sz w:val="22"/>
                <w:szCs w:val="22"/>
              </w:rPr>
            </w:pPr>
            <w:r w:rsidRPr="00F30AD4">
              <w:rPr>
                <w:rFonts w:ascii="Palatino Linotype" w:eastAsia="Palatino Linotype" w:hAnsi="Palatino Linotype" w:cs="Palatino Linotype"/>
                <w:b/>
                <w:sz w:val="22"/>
                <w:szCs w:val="22"/>
              </w:rPr>
              <w:t>Actas de sesiones del ejercicio fiscal dos mil veinte</w:t>
            </w:r>
          </w:p>
        </w:tc>
      </w:tr>
      <w:tr w:rsidR="00EF2151" w:rsidRPr="00F30AD4">
        <w:tc>
          <w:tcPr>
            <w:tcW w:w="4517" w:type="dxa"/>
          </w:tcPr>
          <w:p w:rsidR="00EF2151" w:rsidRPr="00F30AD4" w:rsidRDefault="00A8726A">
            <w:pPr>
              <w:spacing w:line="360" w:lineRule="auto"/>
              <w:jc w:val="center"/>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t>Ordinarias</w:t>
            </w:r>
          </w:p>
        </w:tc>
        <w:tc>
          <w:tcPr>
            <w:tcW w:w="4517" w:type="dxa"/>
          </w:tcPr>
          <w:p w:rsidR="00EF2151" w:rsidRPr="00F30AD4" w:rsidRDefault="00A8726A">
            <w:pPr>
              <w:spacing w:line="360" w:lineRule="auto"/>
              <w:jc w:val="center"/>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t>Extraordinarias</w:t>
            </w:r>
          </w:p>
        </w:tc>
      </w:tr>
      <w:tr w:rsidR="00EF2151" w:rsidRPr="00F30AD4">
        <w:tc>
          <w:tcPr>
            <w:tcW w:w="4517" w:type="dxa"/>
          </w:tcPr>
          <w:p w:rsidR="00EF2151" w:rsidRPr="00F30AD4" w:rsidRDefault="00A8726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30AD4">
              <w:rPr>
                <w:rFonts w:ascii="Palatino Linotype" w:eastAsia="Palatino Linotype" w:hAnsi="Palatino Linotype" w:cs="Palatino Linotype"/>
                <w:color w:val="000000"/>
              </w:rPr>
              <w:t>- SAEMM/CE/SES/ORD/01/2020, del quince de enero de dos mil veinte;</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SAEMM/CE/SES/ORD/02/2020, del veintinueve de enero de dos mil veinte;</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SAEMM/CE/SES/ORD/03/2020, del doce de febrero de dos mil veinte;</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SAEMM/CE/SES/ORD/04/2020, del veintiséis de febrero de dos mil veinte;</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lastRenderedPageBreak/>
              <w:t>- SAEMM/CE/SES/ORD/05/2020, del once de marzo de dos mil veinte;</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SAEMM/CE/SES/ORD/06/2020, del veinticinco de marzo de dos mil veinte;</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SAEMM/CE/SES/ORD/07/2020, del quince de abril de dos mil veinte;</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SAEMM/CE/SES/ORD/08/2020, del veintinueve de abril de dos mil veinte;</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SAEMM/CE/SES/ORD/09/2020, del trece de mayo de dos mil veinte;</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SAEMM/CE/SES/ORD/10/2020, del veintisiete de mayo de dos mil veinte;</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SAEMM/CE/SES/ORD/11/2020, del diez de junio de dos mil veinte;</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SAEMM/CE/SES/ORD/12/2020, del veinticuatro de junio de dos mil veinte;</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SAEMM/CE/SES/ORD/13/2020, del quince de julio de dos mil veinte;</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SAEMM/CE/SES/ORD/14/2020, del veintinueve de julio de dos mil veinte;</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SAEMM/CE/SES/ORD/15/2020, del veinte de agosto de dos mil veinte;</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SAEMM/CE/SES/ORD/16/2020, del veintiséis de agosto de dos mil veinte;</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SAEMM/CE/SES/ORD/17/2020, del nueve de septiembre de dos mil veinte;</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SAEMM/CE/SES/ORD/18/2020, del veintitrés de septiembre de dos mil veinte;</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lastRenderedPageBreak/>
              <w:t>- SAEMM/CE/SES/ORD/19/2020, del siete de octubre de dos mil veinte;</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SAEMM/CE/SES/ORD/20/2020, del veintiuno de octubre de dos mil veinte;</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SAEMM/CE/SES/ORD/21/2020, del cuatro de noviembre de dos mil veinte;</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SAEMM/CE/SES/ORD/22/2020, del dieciocho de noviembre de dos mil veinte;</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SAEMM/CE/SES/ORD/23/2020, del dos  diciembre de dos mil veinte; y</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SAEMM/CE/SES/ORD/24/2020, del dieciséis de diciembre de dos mil veinte.</w:t>
            </w:r>
          </w:p>
        </w:tc>
        <w:tc>
          <w:tcPr>
            <w:tcW w:w="4517" w:type="dxa"/>
          </w:tcPr>
          <w:p w:rsidR="00EF2151" w:rsidRPr="00F30AD4" w:rsidRDefault="00A8726A">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sidRPr="00F30AD4">
              <w:rPr>
                <w:rFonts w:ascii="Palatino Linotype" w:eastAsia="Palatino Linotype" w:hAnsi="Palatino Linotype" w:cs="Palatino Linotype"/>
                <w:color w:val="000000"/>
              </w:rPr>
              <w:lastRenderedPageBreak/>
              <w:t>No sesionó</w:t>
            </w:r>
          </w:p>
          <w:p w:rsidR="00EF2151" w:rsidRPr="00F30AD4" w:rsidRDefault="00EF2151">
            <w:pPr>
              <w:spacing w:line="360" w:lineRule="auto"/>
            </w:pPr>
          </w:p>
          <w:p w:rsidR="00EF2151" w:rsidRPr="00F30AD4" w:rsidRDefault="00EF2151">
            <w:pPr>
              <w:spacing w:line="360" w:lineRule="auto"/>
              <w:jc w:val="both"/>
              <w:rPr>
                <w:rFonts w:ascii="Palatino Linotype" w:eastAsia="Palatino Linotype" w:hAnsi="Palatino Linotype" w:cs="Palatino Linotype"/>
                <w:sz w:val="22"/>
                <w:szCs w:val="22"/>
              </w:rPr>
            </w:pPr>
          </w:p>
        </w:tc>
      </w:tr>
    </w:tbl>
    <w:p w:rsidR="00EF2151" w:rsidRPr="00F30AD4" w:rsidRDefault="00EF2151">
      <w:pPr>
        <w:spacing w:line="360" w:lineRule="auto"/>
        <w:jc w:val="both"/>
        <w:rPr>
          <w:rFonts w:ascii="Palatino Linotype" w:eastAsia="Palatino Linotype" w:hAnsi="Palatino Linotype" w:cs="Palatino Linotype"/>
          <w:sz w:val="22"/>
          <w:szCs w:val="22"/>
        </w:rPr>
      </w:pPr>
    </w:p>
    <w:tbl>
      <w:tblPr>
        <w:tblStyle w:val="a2"/>
        <w:tblW w:w="9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7"/>
        <w:gridCol w:w="4517"/>
      </w:tblGrid>
      <w:tr w:rsidR="00EF2151" w:rsidRPr="00F30AD4">
        <w:tc>
          <w:tcPr>
            <w:tcW w:w="9034" w:type="dxa"/>
            <w:gridSpan w:val="2"/>
            <w:shd w:val="clear" w:color="auto" w:fill="D0CECE"/>
          </w:tcPr>
          <w:p w:rsidR="00EF2151" w:rsidRPr="00F30AD4" w:rsidRDefault="00A8726A">
            <w:pPr>
              <w:spacing w:line="360" w:lineRule="auto"/>
              <w:jc w:val="center"/>
              <w:rPr>
                <w:rFonts w:ascii="Palatino Linotype" w:eastAsia="Palatino Linotype" w:hAnsi="Palatino Linotype" w:cs="Palatino Linotype"/>
                <w:sz w:val="22"/>
                <w:szCs w:val="22"/>
              </w:rPr>
            </w:pPr>
            <w:r w:rsidRPr="00F30AD4">
              <w:rPr>
                <w:rFonts w:ascii="Palatino Linotype" w:eastAsia="Palatino Linotype" w:hAnsi="Palatino Linotype" w:cs="Palatino Linotype"/>
                <w:b/>
                <w:sz w:val="22"/>
                <w:szCs w:val="22"/>
              </w:rPr>
              <w:t>Actas de sesiones del ejercicio fiscal dos mil veintiuno</w:t>
            </w:r>
          </w:p>
        </w:tc>
      </w:tr>
      <w:tr w:rsidR="00EF2151" w:rsidRPr="00F30AD4">
        <w:tc>
          <w:tcPr>
            <w:tcW w:w="4517" w:type="dxa"/>
          </w:tcPr>
          <w:p w:rsidR="00EF2151" w:rsidRPr="00F30AD4" w:rsidRDefault="00A8726A">
            <w:pPr>
              <w:spacing w:line="360" w:lineRule="auto"/>
              <w:jc w:val="center"/>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t>Ordinarias</w:t>
            </w:r>
          </w:p>
        </w:tc>
        <w:tc>
          <w:tcPr>
            <w:tcW w:w="4517" w:type="dxa"/>
          </w:tcPr>
          <w:p w:rsidR="00EF2151" w:rsidRPr="00F30AD4" w:rsidRDefault="00A8726A">
            <w:pPr>
              <w:spacing w:line="360" w:lineRule="auto"/>
              <w:jc w:val="center"/>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t>Extraordinarias</w:t>
            </w:r>
          </w:p>
        </w:tc>
      </w:tr>
      <w:tr w:rsidR="00EF2151" w:rsidRPr="00F30AD4">
        <w:tc>
          <w:tcPr>
            <w:tcW w:w="4517" w:type="dxa"/>
          </w:tcPr>
          <w:p w:rsidR="00EF2151" w:rsidRPr="00F30AD4" w:rsidRDefault="00A8726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30AD4">
              <w:rPr>
                <w:rFonts w:ascii="Palatino Linotype" w:eastAsia="Palatino Linotype" w:hAnsi="Palatino Linotype" w:cs="Palatino Linotype"/>
                <w:color w:val="000000"/>
              </w:rPr>
              <w:t>- SAEMM/CE/SES/ORD/01/2021, del trece de enero de dos mil veintiuno;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SAEMM/CE/SES/ORD/02/2021, del veintisiete de enero de dos mil veintiuno;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SAEMM/CE/SES/ORD/03/2021, del diez de febrero de dos mil veintiuno;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SAEMM/CE/SES/ORD/04/2021, del veinticuatro de febrero de dos mil veintiuno;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SAEMM/CE/SES/ORD/05/2021, del diez de marzo de dos mil veintiuno;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SAEMM/CE/SES/ORD/06/2021, del veinticuatro de marzo de dos mil veintiuno;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lastRenderedPageBreak/>
              <w:t>- SAEMM/CE/SES/ORD/07/2021, del siete de abril de dos mil veintiuno;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SAEMM/CE/SES/ORD/08/2021, del veintiuno de abril de dos mil veintiuno;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SAEMM/CE/SES/ORD/09/2021, del doce de mayo de dos mil veintiuno;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SAEMM/CE/SES/ORD/10/2021, del veintiséis de mayo de dos mil veintiuno;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SAEMM/CE/SES/ORD/11/2021, del nueve de junio de dos mil veintiuno;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SAEMM/CE/SES/ORD/12/2021, del veintitrés de junio de dos mil veintiuno;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SAEMM/CE/SES/ORD/13/2021, del siete de julio de dos mil veintiuno;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SAEMM/CE/SES/ORD/14/2021, del veintiuno de julio de dos mil veintiuno;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SAEMM/CE/SES/ORD/15/2021, del cuatro de agosto de dos mil veintiuno;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SAEMM/CE/SES/ORD/16/2021, del dieciocho de agosto de dos mil veintiuno;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SAEMM/CE/SES/ORD/17/2021, del ocho de septiembre de dos mil veintiuno;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SAEMM/CE/SES/ORD/18/2021, del veintidós de septiembre de dos mil veintiuno;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SAEMM/CE/SES/ORD/19/2021, del seis de octubre de dos mil veintiuno;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SAEMM/CE/SES/ORD/20/2021, del veinte de octubre de dos mil veintiuno;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lastRenderedPageBreak/>
              <w:t>- SAEMM/CE/SES/ORD/21/2021, del diez de noviembre de dos mil veintiuno;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SAEMM/CE/SES/ORD/22/2021, del catorce de noviembre de dos mil veintiuno;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SAEMM/CE/SES/ORD/23/2021, del ocho diciembre de dos mil veintiuno; y</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SAEMM/CE/SES/ORD/24/2021, del veintidós de diciembre de dos mil veintiuno.</w:t>
            </w:r>
          </w:p>
        </w:tc>
        <w:tc>
          <w:tcPr>
            <w:tcW w:w="4517" w:type="dxa"/>
          </w:tcPr>
          <w:p w:rsidR="00EF2151" w:rsidRPr="00F30AD4" w:rsidRDefault="00A8726A">
            <w:pPr>
              <w:spacing w:line="360" w:lineRule="auto"/>
            </w:pPr>
            <w:r w:rsidRPr="00F30AD4">
              <w:rPr>
                <w:rFonts w:ascii="Palatino Linotype" w:eastAsia="Palatino Linotype" w:hAnsi="Palatino Linotype" w:cs="Palatino Linotype"/>
              </w:rPr>
              <w:lastRenderedPageBreak/>
              <w:t>SAEMM/CE/SES/EXT/1/2021, del veintiséis de agosto de dos mil veintiuno.</w:t>
            </w:r>
            <w:r w:rsidRPr="00F30AD4">
              <w:t xml:space="preserve"> </w:t>
            </w:r>
          </w:p>
          <w:p w:rsidR="00EF2151" w:rsidRPr="00F30AD4" w:rsidRDefault="00EF2151">
            <w:pPr>
              <w:spacing w:line="360" w:lineRule="auto"/>
              <w:jc w:val="both"/>
              <w:rPr>
                <w:rFonts w:ascii="Palatino Linotype" w:eastAsia="Palatino Linotype" w:hAnsi="Palatino Linotype" w:cs="Palatino Linotype"/>
                <w:sz w:val="22"/>
                <w:szCs w:val="22"/>
              </w:rPr>
            </w:pPr>
          </w:p>
        </w:tc>
      </w:tr>
    </w:tbl>
    <w:p w:rsidR="00EF2151" w:rsidRPr="00F30AD4" w:rsidRDefault="00EF2151">
      <w:pPr>
        <w:spacing w:line="360" w:lineRule="auto"/>
        <w:jc w:val="both"/>
        <w:rPr>
          <w:rFonts w:ascii="Palatino Linotype" w:eastAsia="Palatino Linotype" w:hAnsi="Palatino Linotype" w:cs="Palatino Linotype"/>
          <w:sz w:val="22"/>
          <w:szCs w:val="22"/>
        </w:rPr>
      </w:pPr>
    </w:p>
    <w:tbl>
      <w:tblPr>
        <w:tblStyle w:val="a3"/>
        <w:tblW w:w="9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7"/>
        <w:gridCol w:w="4517"/>
      </w:tblGrid>
      <w:tr w:rsidR="00EF2151" w:rsidRPr="00F30AD4">
        <w:tc>
          <w:tcPr>
            <w:tcW w:w="9034" w:type="dxa"/>
            <w:gridSpan w:val="2"/>
            <w:shd w:val="clear" w:color="auto" w:fill="D0CECE"/>
          </w:tcPr>
          <w:p w:rsidR="00EF2151" w:rsidRPr="00F30AD4" w:rsidRDefault="00A8726A">
            <w:pPr>
              <w:spacing w:line="360" w:lineRule="auto"/>
              <w:jc w:val="center"/>
              <w:rPr>
                <w:rFonts w:ascii="Palatino Linotype" w:eastAsia="Palatino Linotype" w:hAnsi="Palatino Linotype" w:cs="Palatino Linotype"/>
                <w:sz w:val="22"/>
                <w:szCs w:val="22"/>
              </w:rPr>
            </w:pPr>
            <w:r w:rsidRPr="00F30AD4">
              <w:rPr>
                <w:rFonts w:ascii="Palatino Linotype" w:eastAsia="Palatino Linotype" w:hAnsi="Palatino Linotype" w:cs="Palatino Linotype"/>
                <w:b/>
                <w:sz w:val="22"/>
                <w:szCs w:val="22"/>
              </w:rPr>
              <w:t>Actas de sesiones del ejercicio fiscal dos mil veintidós</w:t>
            </w:r>
          </w:p>
        </w:tc>
      </w:tr>
      <w:tr w:rsidR="00EF2151" w:rsidRPr="00F30AD4">
        <w:tc>
          <w:tcPr>
            <w:tcW w:w="4517" w:type="dxa"/>
          </w:tcPr>
          <w:p w:rsidR="00EF2151" w:rsidRPr="00F30AD4" w:rsidRDefault="00A8726A">
            <w:pPr>
              <w:spacing w:line="360" w:lineRule="auto"/>
              <w:jc w:val="center"/>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t>Ordinarias</w:t>
            </w:r>
          </w:p>
        </w:tc>
        <w:tc>
          <w:tcPr>
            <w:tcW w:w="4517" w:type="dxa"/>
          </w:tcPr>
          <w:p w:rsidR="00EF2151" w:rsidRPr="00F30AD4" w:rsidRDefault="00A8726A">
            <w:pPr>
              <w:spacing w:line="360" w:lineRule="auto"/>
              <w:jc w:val="center"/>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t>Extraordinarias</w:t>
            </w:r>
          </w:p>
        </w:tc>
      </w:tr>
      <w:tr w:rsidR="00EF2151" w:rsidRPr="00F30AD4">
        <w:tc>
          <w:tcPr>
            <w:tcW w:w="4517" w:type="dxa"/>
          </w:tcPr>
          <w:p w:rsidR="00EF2151" w:rsidRPr="00F30AD4" w:rsidRDefault="00A8726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30AD4">
              <w:rPr>
                <w:rFonts w:ascii="Palatino Linotype" w:eastAsia="Palatino Linotype" w:hAnsi="Palatino Linotype" w:cs="Palatino Linotype"/>
                <w:color w:val="000000"/>
              </w:rPr>
              <w:t>- SAEMM/CE/SES/ORD/01/2022, del doce de enero de dos mil veintidós;</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SAEMM/CE/SES/ORD/02/2022, del veintiséis de enero de dos mil veintidós;</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SAEMM/CE/SES/ORD/03/2022, del nieve de febrero de dos mil veintidós;</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SAEMM/CE/SES/ORD/04/2022, del veintitrés de febrero de dos mil veintidós;</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SAEMM/CE/SES/ORD/05/2022, del nueve de marzo de dos mil veintidós;</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SAEMM/CE/SES/ORD/06/2022, del veintitrés de marzo de dos mil veintidós;</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SAEMM/CE/SES/ORD/07/2022, del seis de abril de dos mil veintidós;</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SAEMM/CE/SES/ORD/08/2022, del veintisiete de abril de dos mil veintidós;</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lastRenderedPageBreak/>
              <w:t>- SAEMM/CE/SES/ORD/09/2022, del once de mayo de dos mil veintidós;</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SAEMM/CE/SES/ORD/10/2022, del veinticinco de mayo de dos mil veintidós;</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SAEMM/CE/SES/ORD/11/2022, del ocho de junio de dos mil veintidós;</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SAEMM/CE/SES/ORD/12/2022, del veintidós de junio de dos mil veintidós;</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SAEMM/CE/SES/ORD/13/2022, del seis de julio de dos mil veintidós;</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SAEMM/CE/SES/ORD/14/2022, del veintisiete de julio de dos mil veintidós;</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SAEMM/CE/SES/ORD/15/2022, del diez de agosto de dos mil veintidós;</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SAEMM/CE/SES/ORD/16/2022, del veinticuatro de agosto de dos mil veintidós;</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SAEMM/CE/SES/ORD/17/2022, del siete de septiembre de dos mil veintidós;</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SAEMM/CE/SES/ORD/18/2022, del veintiuno de septiembre de dos mil veintidós;</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SAEMM/CE/SES/ORD/19/2022, del cinco de octubre de dos mil veintidós;</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SAEMM/CE/SES/ORD/20/2022, del diecinueve de octubre de dos mil veintidós;</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SAEMM/CE/SES/ORD/21/2022, del nueve de noviembre de dos mil veintidós;</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SAEMM/CE/SES/ORD/22/2022, del veintitrés de noviembre de dos mil veintidós;</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lastRenderedPageBreak/>
              <w:t>- SAEMM/CE/SES/ORD/23/2022, del siete diciembre de dos mil veintidós; y</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SAEMM/CE/SES/ORD/24/2022, del veintiuno de diciembre de dos mil veintidós.</w:t>
            </w:r>
          </w:p>
        </w:tc>
        <w:tc>
          <w:tcPr>
            <w:tcW w:w="4517" w:type="dxa"/>
          </w:tcPr>
          <w:p w:rsidR="00EF2151" w:rsidRPr="00F30AD4" w:rsidRDefault="00A8726A">
            <w:pPr>
              <w:spacing w:line="360" w:lineRule="auto"/>
              <w:rPr>
                <w:rFonts w:ascii="Palatino Linotype" w:eastAsia="Palatino Linotype" w:hAnsi="Palatino Linotype" w:cs="Palatino Linotype"/>
              </w:rPr>
            </w:pPr>
            <w:r w:rsidRPr="00F30AD4">
              <w:rPr>
                <w:rFonts w:ascii="Palatino Linotype" w:eastAsia="Palatino Linotype" w:hAnsi="Palatino Linotype" w:cs="Palatino Linotype"/>
              </w:rPr>
              <w:lastRenderedPageBreak/>
              <w:t>- SAEMM/CE/SES/EXT/1/2022, del tres de agosto de dos mil veintidós; y</w:t>
            </w:r>
          </w:p>
          <w:p w:rsidR="00EF2151" w:rsidRPr="00F30AD4" w:rsidRDefault="00A8726A">
            <w:pPr>
              <w:spacing w:line="360" w:lineRule="auto"/>
            </w:pPr>
            <w:r w:rsidRPr="00F30AD4">
              <w:rPr>
                <w:rFonts w:ascii="Palatino Linotype" w:eastAsia="Palatino Linotype" w:hAnsi="Palatino Linotype" w:cs="Palatino Linotype"/>
              </w:rPr>
              <w:t>- SAEMM/CE/SES/EXT/2/2022, del treinta y uno de agosto de dos mil veintidós.</w:t>
            </w:r>
          </w:p>
          <w:p w:rsidR="00EF2151" w:rsidRPr="00F30AD4" w:rsidRDefault="00EF2151">
            <w:pPr>
              <w:spacing w:line="360" w:lineRule="auto"/>
              <w:jc w:val="both"/>
              <w:rPr>
                <w:rFonts w:ascii="Palatino Linotype" w:eastAsia="Palatino Linotype" w:hAnsi="Palatino Linotype" w:cs="Palatino Linotype"/>
                <w:sz w:val="22"/>
                <w:szCs w:val="22"/>
              </w:rPr>
            </w:pPr>
          </w:p>
        </w:tc>
      </w:tr>
    </w:tbl>
    <w:p w:rsidR="00EF2151" w:rsidRPr="00F30AD4" w:rsidRDefault="00EF2151">
      <w:pPr>
        <w:spacing w:line="360" w:lineRule="auto"/>
        <w:jc w:val="both"/>
        <w:rPr>
          <w:rFonts w:ascii="Palatino Linotype" w:eastAsia="Palatino Linotype" w:hAnsi="Palatino Linotype" w:cs="Palatino Linotype"/>
          <w:sz w:val="22"/>
          <w:szCs w:val="22"/>
        </w:rPr>
      </w:pPr>
    </w:p>
    <w:tbl>
      <w:tblPr>
        <w:tblStyle w:val="a4"/>
        <w:tblW w:w="9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7"/>
        <w:gridCol w:w="4517"/>
      </w:tblGrid>
      <w:tr w:rsidR="00EF2151" w:rsidRPr="00F30AD4">
        <w:tc>
          <w:tcPr>
            <w:tcW w:w="9034" w:type="dxa"/>
            <w:gridSpan w:val="2"/>
            <w:shd w:val="clear" w:color="auto" w:fill="D0CECE"/>
          </w:tcPr>
          <w:p w:rsidR="00EF2151" w:rsidRPr="00F30AD4" w:rsidRDefault="00A8726A">
            <w:pPr>
              <w:spacing w:line="360" w:lineRule="auto"/>
              <w:jc w:val="center"/>
              <w:rPr>
                <w:rFonts w:ascii="Palatino Linotype" w:eastAsia="Palatino Linotype" w:hAnsi="Palatino Linotype" w:cs="Palatino Linotype"/>
                <w:sz w:val="22"/>
                <w:szCs w:val="22"/>
              </w:rPr>
            </w:pPr>
            <w:r w:rsidRPr="00F30AD4">
              <w:rPr>
                <w:rFonts w:ascii="Palatino Linotype" w:eastAsia="Palatino Linotype" w:hAnsi="Palatino Linotype" w:cs="Palatino Linotype"/>
                <w:b/>
                <w:sz w:val="22"/>
                <w:szCs w:val="22"/>
              </w:rPr>
              <w:t>Actas de sesiones del ejercicio fiscal dos mil veintitrés</w:t>
            </w:r>
          </w:p>
        </w:tc>
      </w:tr>
      <w:tr w:rsidR="00EF2151" w:rsidRPr="00F30AD4">
        <w:tc>
          <w:tcPr>
            <w:tcW w:w="4517" w:type="dxa"/>
          </w:tcPr>
          <w:p w:rsidR="00EF2151" w:rsidRPr="00F30AD4" w:rsidRDefault="00A8726A">
            <w:pPr>
              <w:spacing w:line="360" w:lineRule="auto"/>
              <w:jc w:val="center"/>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t>Ordinarias</w:t>
            </w:r>
          </w:p>
        </w:tc>
        <w:tc>
          <w:tcPr>
            <w:tcW w:w="4517" w:type="dxa"/>
          </w:tcPr>
          <w:p w:rsidR="00EF2151" w:rsidRPr="00F30AD4" w:rsidRDefault="00A8726A">
            <w:pPr>
              <w:spacing w:line="360" w:lineRule="auto"/>
              <w:jc w:val="center"/>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t>Extraordinarias</w:t>
            </w:r>
          </w:p>
        </w:tc>
      </w:tr>
      <w:tr w:rsidR="00EF2151" w:rsidRPr="00F30AD4">
        <w:tc>
          <w:tcPr>
            <w:tcW w:w="4517" w:type="dxa"/>
          </w:tcPr>
          <w:p w:rsidR="00EF2151" w:rsidRPr="00F30AD4" w:rsidRDefault="00A8726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30AD4">
              <w:rPr>
                <w:rFonts w:ascii="Palatino Linotype" w:eastAsia="Palatino Linotype" w:hAnsi="Palatino Linotype" w:cs="Palatino Linotype"/>
                <w:color w:val="000000"/>
              </w:rPr>
              <w:t>- SAEMM/CE/SES/ORD/01/2023, del once de enero de dos mil veintitrés;</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SAEMM/CE/SES/ORD/02/2023, del veinticinco de enero de dos mil veintitrés;</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SAEMM/CE/SES/ORD/03/2023, del ocho de febrero de dos mil veintitrés;</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SAEMM/CE/SES/ORD/04/2023, del veintidós de febrero de dos mil veintitrés;</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SAEMM/CE/SES/ORD/05/2023, del ocho de marzo de dos mil veintitrés;</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SAEMM/CE/SES/ORD/06/2023, del veintidós de marzo de dos mil veintitrés;</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SAEMM/CE/SES/ORD/07/2023, del doce de abril de dos mil veintitrés;</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SAEMM/CE/SES/ORD/08/2023, del veintiséis de abril de dos mil veintitrés;</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SAEMM/CE/SES/ORD/09/2023, del once de mayo de dos mil veintitrés;</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SAEMM/CE/SES/ORD/10/2023, del veinticuatro de mayo de dos mil veintitrés;</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lastRenderedPageBreak/>
              <w:t>- SAEMM/CE/SES/ORD/11/2023, del ocho de junio de dos mil veintitrés;</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SAEMM/CE/SES/ORD/12/2023, del veintiuno de junio de dos mil veintitrés;</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SAEMM/CE/SES/ORD/13/2023, del doce de julio de dos mil veintitrés;</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SAEMM/CE/SES/ORD/14/2023, del treinta y uno de julio de dos mil veintitrés;</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SAEMM/CE/SES/ORD/15/2023, del nueve de agosto de dos mil veintitrés;</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SAEMM/CE/SES/ORD/16/2023, del veintitrés de agosto de dos mil veintitrés;</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SAEMM/CE/SES/ORD/17/2023, del trece de septiembre de dos mil veintitrés;</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SAEMM/CE/SES/ORD/18/2023, del veintisiete de septiembre de dos mil veintitrés;</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SAEMM/CE/SES/ORD/19/2023, del once de octubre de dos mil veintitrés;</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SAEMM/CE/SES/ORD/20/2023, del veinticinco de octubre de dos mil veintitrés;</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SAEMM/CE/SES/ORD/21/2023, del ocho de noviembre de dos mil veintitrés;</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SAEMM/CE/SES/ORD/22/2023, del veintidós de noviembre de dos mil veintitrés;</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SAEMM/CE/SES/ORD/23/2023, del seis diciembre de dos mil veintitrés; y</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SAEMM/CE/SES/ORD/24/2023, del trece de diciembre de dos mil veintitrés.</w:t>
            </w:r>
          </w:p>
        </w:tc>
        <w:tc>
          <w:tcPr>
            <w:tcW w:w="4517" w:type="dxa"/>
          </w:tcPr>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lastRenderedPageBreak/>
              <w:t>- SAEMM/CE/SES/EXT/1/2023, del diecisiete de mayo de dos mil veintitrés; y</w:t>
            </w:r>
          </w:p>
          <w:p w:rsidR="00EF2151" w:rsidRPr="00F30AD4" w:rsidRDefault="00A8726A">
            <w:pPr>
              <w:spacing w:line="360" w:lineRule="auto"/>
              <w:jc w:val="both"/>
            </w:pPr>
            <w:r w:rsidRPr="00F30AD4">
              <w:rPr>
                <w:rFonts w:ascii="Palatino Linotype" w:eastAsia="Palatino Linotype" w:hAnsi="Palatino Linotype" w:cs="Palatino Linotype"/>
              </w:rPr>
              <w:t>- SAEMM/CE/SES/EXT/2/2023, del treinta de agosto de dos mil veintitrés.</w:t>
            </w:r>
          </w:p>
          <w:p w:rsidR="00EF2151" w:rsidRPr="00F30AD4" w:rsidRDefault="00EF2151">
            <w:pPr>
              <w:spacing w:line="360" w:lineRule="auto"/>
              <w:jc w:val="both"/>
              <w:rPr>
                <w:rFonts w:ascii="Palatino Linotype" w:eastAsia="Palatino Linotype" w:hAnsi="Palatino Linotype" w:cs="Palatino Linotype"/>
                <w:sz w:val="22"/>
                <w:szCs w:val="22"/>
              </w:rPr>
            </w:pPr>
          </w:p>
        </w:tc>
      </w:tr>
    </w:tbl>
    <w:p w:rsidR="00EF2151" w:rsidRPr="00F30AD4" w:rsidRDefault="00EF2151">
      <w:pPr>
        <w:spacing w:line="360" w:lineRule="auto"/>
        <w:jc w:val="both"/>
        <w:rPr>
          <w:rFonts w:ascii="Palatino Linotype" w:eastAsia="Palatino Linotype" w:hAnsi="Palatino Linotype" w:cs="Palatino Linotype"/>
          <w:sz w:val="22"/>
          <w:szCs w:val="22"/>
        </w:rPr>
      </w:pPr>
    </w:p>
    <w:tbl>
      <w:tblPr>
        <w:tblStyle w:val="a5"/>
        <w:tblW w:w="9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7"/>
        <w:gridCol w:w="4517"/>
      </w:tblGrid>
      <w:tr w:rsidR="00EF2151" w:rsidRPr="00F30AD4">
        <w:tc>
          <w:tcPr>
            <w:tcW w:w="9034" w:type="dxa"/>
            <w:gridSpan w:val="2"/>
            <w:shd w:val="clear" w:color="auto" w:fill="D0CECE"/>
          </w:tcPr>
          <w:p w:rsidR="00EF2151" w:rsidRPr="00F30AD4" w:rsidRDefault="00A8726A">
            <w:pPr>
              <w:spacing w:line="360" w:lineRule="auto"/>
              <w:jc w:val="center"/>
              <w:rPr>
                <w:rFonts w:ascii="Palatino Linotype" w:eastAsia="Palatino Linotype" w:hAnsi="Palatino Linotype" w:cs="Palatino Linotype"/>
                <w:sz w:val="22"/>
                <w:szCs w:val="22"/>
              </w:rPr>
            </w:pPr>
            <w:r w:rsidRPr="00F30AD4">
              <w:rPr>
                <w:rFonts w:ascii="Palatino Linotype" w:eastAsia="Palatino Linotype" w:hAnsi="Palatino Linotype" w:cs="Palatino Linotype"/>
                <w:b/>
                <w:sz w:val="22"/>
                <w:szCs w:val="22"/>
              </w:rPr>
              <w:t>Actas de sesiones del ejercicio fiscal dos mil veinticuatro</w:t>
            </w:r>
          </w:p>
        </w:tc>
      </w:tr>
      <w:tr w:rsidR="00EF2151" w:rsidRPr="00F30AD4">
        <w:tc>
          <w:tcPr>
            <w:tcW w:w="4517" w:type="dxa"/>
          </w:tcPr>
          <w:p w:rsidR="00EF2151" w:rsidRPr="00F30AD4" w:rsidRDefault="00A8726A">
            <w:pPr>
              <w:spacing w:line="360" w:lineRule="auto"/>
              <w:jc w:val="center"/>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t>Ordinarias</w:t>
            </w:r>
          </w:p>
        </w:tc>
        <w:tc>
          <w:tcPr>
            <w:tcW w:w="4517" w:type="dxa"/>
          </w:tcPr>
          <w:p w:rsidR="00EF2151" w:rsidRPr="00F30AD4" w:rsidRDefault="00A8726A">
            <w:pPr>
              <w:spacing w:line="360" w:lineRule="auto"/>
              <w:jc w:val="center"/>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t>Extraordinarias</w:t>
            </w:r>
          </w:p>
        </w:tc>
      </w:tr>
      <w:tr w:rsidR="00EF2151" w:rsidRPr="00F30AD4">
        <w:tc>
          <w:tcPr>
            <w:tcW w:w="4517" w:type="dxa"/>
          </w:tcPr>
          <w:p w:rsidR="00EF2151" w:rsidRPr="00F30AD4" w:rsidRDefault="00A8726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30AD4">
              <w:rPr>
                <w:rFonts w:ascii="Palatino Linotype" w:eastAsia="Palatino Linotype" w:hAnsi="Palatino Linotype" w:cs="Palatino Linotype"/>
                <w:color w:val="000000"/>
              </w:rPr>
              <w:t>- SAEMM/CE/SES/ORD/01/2024, del diecisiete de enero de dos mil veinticuatro;</w:t>
            </w:r>
          </w:p>
          <w:p w:rsidR="00EF2151" w:rsidRPr="00F30AD4" w:rsidRDefault="00A8726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30AD4">
              <w:rPr>
                <w:rFonts w:ascii="Palatino Linotype" w:eastAsia="Palatino Linotype" w:hAnsi="Palatino Linotype" w:cs="Palatino Linotype"/>
                <w:color w:val="000000"/>
              </w:rPr>
              <w:t>- SAEMM/CE/SES/ORD/02/2024, del treinta y uno de enero de dos mil veinticuatro;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SAEMM/CE/SES/ORD/03/2024, del catorce de febrero de dos mil veinticuatro;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SAEMM/CE/SES/ORD/04/2024, del veintiocho de febrero de dos mil veinticuatro;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SAEMM/CE/SES/ORD/05/2024, del trece de marzo de dos mil veinticuatro;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SAEMM/CE/SES/ORD/06/2024, del veinte de marzo de dos mil veinticuatro;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SAEMM/CE/SES/ORD/07/2024, del diez de abril de dos mil veinticuatro;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SAEMM/CE/SES/ORD/08/2024, del veinticuatro de abril de dos mil veinticuatro;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SAEMM/CE/SES/ORD/09/2024, del ocho de mayo de dos mil veinticuatro;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SAEMM/CE/SES/ORD/10/2024, del veintidós de mayo de dos mil veinticuatro;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SAEMM/CE/SES/ORD/11/2024, del cinco de junio de dos mil veinticuatro;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SAEMM/CE/SES/ORD/12/2024, del diecinueve de junio de dos mil veinticuatro;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lastRenderedPageBreak/>
              <w:t>- SAEMM/CE/SES/ORD/13/2024, del tres de julio de dos mil veinticuatro;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SAEMM/CE/SES/ORD/14/2024, del diecisiete de julio de dos mil veinticuatro;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SAEMM/CE/SES/ORD/15/2024, del siete de agosto de dos mil veinticuatro;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SAEMM/CE/SES/ORD/16/2024, del veintiuno de agosto de dos mil veinticuatro;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SAEMM/CE/SES/ORD/17/2024, del cuatro de septiembre de dos mil veinticuatro;</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SAEMM/CE/SES/ORD/18/2024, del dieciocho de septiembre de dos mil veinticuatro; y</w:t>
            </w:r>
          </w:p>
          <w:p w:rsidR="00EF2151" w:rsidRPr="00F30AD4" w:rsidRDefault="00A8726A">
            <w:pPr>
              <w:spacing w:line="360" w:lineRule="auto"/>
              <w:jc w:val="both"/>
            </w:pPr>
            <w:r w:rsidRPr="00F30AD4">
              <w:rPr>
                <w:rFonts w:ascii="Palatino Linotype" w:eastAsia="Palatino Linotype" w:hAnsi="Palatino Linotype" w:cs="Palatino Linotype"/>
              </w:rPr>
              <w:t>- SAEMM/CE/SES/ORD/19/2024, del dos de octubre de dos mil veinticuatro.</w:t>
            </w:r>
          </w:p>
        </w:tc>
        <w:tc>
          <w:tcPr>
            <w:tcW w:w="4517" w:type="dxa"/>
          </w:tcPr>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lastRenderedPageBreak/>
              <w:t>- SAEMM/CE/SES/EXT/01/2024, del veinte de febrero de dos mil veinticuatro; y</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SAEMM/CE/SES/EXT/02/2024, del cinco de septiembre de dos mil veinticuatro; y</w:t>
            </w:r>
          </w:p>
          <w:p w:rsidR="00EF2151" w:rsidRPr="00F30AD4" w:rsidRDefault="00A8726A">
            <w:pPr>
              <w:spacing w:line="360" w:lineRule="auto"/>
              <w:jc w:val="both"/>
              <w:rPr>
                <w:rFonts w:ascii="Palatino Linotype" w:eastAsia="Palatino Linotype" w:hAnsi="Palatino Linotype" w:cs="Palatino Linotype"/>
              </w:rPr>
            </w:pPr>
            <w:r w:rsidRPr="00F30AD4">
              <w:rPr>
                <w:rFonts w:ascii="Palatino Linotype" w:eastAsia="Palatino Linotype" w:hAnsi="Palatino Linotype" w:cs="Palatino Linotype"/>
              </w:rPr>
              <w:t>- SAEMM/CE/SES/EXT/03/2024, del veinte de septiembre de dos mil veinticuatro.</w:t>
            </w:r>
          </w:p>
          <w:p w:rsidR="00EF2151" w:rsidRPr="00F30AD4" w:rsidRDefault="00EF2151">
            <w:pPr>
              <w:spacing w:line="360" w:lineRule="auto"/>
              <w:jc w:val="both"/>
              <w:rPr>
                <w:rFonts w:ascii="Palatino Linotype" w:eastAsia="Palatino Linotype" w:hAnsi="Palatino Linotype" w:cs="Palatino Linotype"/>
                <w:sz w:val="22"/>
                <w:szCs w:val="22"/>
              </w:rPr>
            </w:pPr>
          </w:p>
        </w:tc>
      </w:tr>
    </w:tbl>
    <w:p w:rsidR="00EF2151" w:rsidRPr="00F30AD4" w:rsidRDefault="00EF2151">
      <w:pPr>
        <w:spacing w:line="360" w:lineRule="auto"/>
        <w:jc w:val="both"/>
        <w:rPr>
          <w:rFonts w:ascii="Palatino Linotype" w:eastAsia="Palatino Linotype" w:hAnsi="Palatino Linotype" w:cs="Palatino Linotype"/>
          <w:sz w:val="22"/>
          <w:szCs w:val="22"/>
        </w:rPr>
      </w:pPr>
    </w:p>
    <w:p w:rsidR="00EF2151" w:rsidRPr="00F30AD4" w:rsidRDefault="00A8726A">
      <w:pPr>
        <w:spacing w:line="360" w:lineRule="auto"/>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t>En ese orden de ideas, de la revisión de las actas proporcionadas, se logra vislumbrar que contienen los Acuerdos aprobados por la Comisión Ejecutiva de la Secretaría Ejecutiva del Sistema Anticorrupción del Estado de México y Municipios, del primero de enero de dos mil dieciocho al dos de octubre de dos mil veinticuatro; además, que aclaró que no existían acuerdos pendientes, ni modificados; por lo que, se logra vislumbrar que las Actas de las Sesiones son los documentos que dan cuenta de lo peticionado, al contener la información requerida por el Particular.</w:t>
      </w:r>
    </w:p>
    <w:p w:rsidR="00EF2151" w:rsidRPr="00F30AD4" w:rsidRDefault="00EF2151">
      <w:pPr>
        <w:spacing w:line="360" w:lineRule="auto"/>
        <w:jc w:val="both"/>
        <w:rPr>
          <w:rFonts w:ascii="Palatino Linotype" w:eastAsia="Palatino Linotype" w:hAnsi="Palatino Linotype" w:cs="Palatino Linotype"/>
          <w:sz w:val="22"/>
          <w:szCs w:val="22"/>
        </w:rPr>
      </w:pPr>
    </w:p>
    <w:p w:rsidR="00EF2151" w:rsidRPr="00F30AD4" w:rsidRDefault="00A8726A">
      <w:pPr>
        <w:spacing w:line="360" w:lineRule="auto"/>
        <w:ind w:right="-28"/>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t xml:space="preserve">Dicha determinación, toma sustento en el artículo 12 de la Ley de la materia, los sujetos obligados sólo están constreñidos a proporcionar la información pública que obre en sus archivos, en el estado en que esta se encuentre; por lo que, la entrega no comprende el </w:t>
      </w:r>
      <w:r w:rsidRPr="00F30AD4">
        <w:rPr>
          <w:rFonts w:ascii="Palatino Linotype" w:eastAsia="Palatino Linotype" w:hAnsi="Palatino Linotype" w:cs="Palatino Linotype"/>
          <w:sz w:val="22"/>
          <w:szCs w:val="22"/>
        </w:rPr>
        <w:lastRenderedPageBreak/>
        <w:t>procesamiento de la misma, ni presentarla conforme al interés del solicitante, además, que tampoco deberá generarla, resumirla, efectuar cálculos o practicar investigaciones.</w:t>
      </w:r>
    </w:p>
    <w:p w:rsidR="00EF2151" w:rsidRPr="00F30AD4" w:rsidRDefault="00EF2151">
      <w:pPr>
        <w:spacing w:line="360" w:lineRule="auto"/>
        <w:jc w:val="both"/>
        <w:rPr>
          <w:rFonts w:ascii="Palatino Linotype" w:eastAsia="Palatino Linotype" w:hAnsi="Palatino Linotype" w:cs="Palatino Linotype"/>
          <w:color w:val="000000"/>
          <w:sz w:val="22"/>
          <w:szCs w:val="22"/>
        </w:rPr>
      </w:pPr>
    </w:p>
    <w:p w:rsidR="00EF2151" w:rsidRPr="00F30AD4" w:rsidRDefault="00A8726A">
      <w:pPr>
        <w:spacing w:line="360" w:lineRule="auto"/>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t xml:space="preserve">De esta manera, el derecho de acceso a la información pública se satisface en aquellos casos en que se entregue el soporte documental en el que conste la información solicitada, sin necesidad de elaborar documentos </w:t>
      </w:r>
      <w:r w:rsidRPr="00F30AD4">
        <w:rPr>
          <w:rFonts w:ascii="Palatino Linotype" w:eastAsia="Palatino Linotype" w:hAnsi="Palatino Linotype" w:cs="Palatino Linotype"/>
          <w:i/>
          <w:sz w:val="22"/>
          <w:szCs w:val="22"/>
        </w:rPr>
        <w:t>ad hoc</w:t>
      </w:r>
      <w:r w:rsidRPr="00F30AD4">
        <w:rPr>
          <w:rFonts w:ascii="Palatino Linotype" w:eastAsia="Palatino Linotype" w:hAnsi="Palatino Linotype" w:cs="Palatino Linotype"/>
          <w:sz w:val="22"/>
          <w:szCs w:val="22"/>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rsidR="00EF2151" w:rsidRPr="00F30AD4" w:rsidRDefault="00EF2151">
      <w:pPr>
        <w:spacing w:line="360" w:lineRule="auto"/>
        <w:jc w:val="both"/>
        <w:rPr>
          <w:rFonts w:ascii="Palatino Linotype" w:eastAsia="Palatino Linotype" w:hAnsi="Palatino Linotype" w:cs="Palatino Linotype"/>
          <w:color w:val="000000"/>
          <w:sz w:val="22"/>
          <w:szCs w:val="22"/>
        </w:rPr>
      </w:pPr>
    </w:p>
    <w:p w:rsidR="00EF2151" w:rsidRPr="00F30AD4" w:rsidRDefault="00A8726A">
      <w:pPr>
        <w:spacing w:line="360" w:lineRule="auto"/>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t>De tales circunstancias, se concluye que los sujetos obligados únicamente se encuentran constreñidos a proporcionar los documentos que den cuenta de la información solicitada, como obren en sus archivos, sin tener que elaborarlos a las necesidades del Recurrente; lo cual aconteció, pues proporcionó los documentos que daban cuenta de la información requerida al dos de octubre de dos mil veinticuatro.</w:t>
      </w:r>
    </w:p>
    <w:p w:rsidR="00EF2151" w:rsidRPr="00F30AD4" w:rsidRDefault="00EF2151">
      <w:pPr>
        <w:spacing w:line="360" w:lineRule="auto"/>
        <w:jc w:val="both"/>
        <w:rPr>
          <w:rFonts w:ascii="Palatino Linotype" w:eastAsia="Palatino Linotype" w:hAnsi="Palatino Linotype" w:cs="Palatino Linotype"/>
          <w:sz w:val="22"/>
          <w:szCs w:val="22"/>
        </w:rPr>
      </w:pPr>
    </w:p>
    <w:p w:rsidR="00EF2151" w:rsidRPr="00F30AD4" w:rsidRDefault="00A8726A">
      <w:pPr>
        <w:spacing w:line="360" w:lineRule="auto"/>
        <w:ind w:right="-28"/>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t xml:space="preserve">No obstante, de la revisión del enlace </w:t>
      </w:r>
      <w:hyperlink r:id="rId23">
        <w:r w:rsidRPr="00F30AD4">
          <w:rPr>
            <w:rFonts w:ascii="Palatino Linotype" w:eastAsia="Palatino Linotype" w:hAnsi="Palatino Linotype" w:cs="Palatino Linotype"/>
            <w:color w:val="0563C1"/>
            <w:sz w:val="22"/>
            <w:szCs w:val="22"/>
            <w:u w:val="single"/>
          </w:rPr>
          <w:t>www.sesaemm.gob.mx</w:t>
        </w:r>
      </w:hyperlink>
      <w:r w:rsidRPr="00F30AD4">
        <w:rPr>
          <w:rFonts w:ascii="Palatino Linotype" w:eastAsia="Palatino Linotype" w:hAnsi="Palatino Linotype" w:cs="Palatino Linotype"/>
          <w:color w:val="0563C1"/>
          <w:sz w:val="22"/>
          <w:szCs w:val="22"/>
          <w:u w:val="single"/>
        </w:rPr>
        <w:t>,</w:t>
      </w:r>
      <w:r w:rsidRPr="00F30AD4">
        <w:rPr>
          <w:rFonts w:ascii="Palatino Linotype" w:eastAsia="Palatino Linotype" w:hAnsi="Palatino Linotype" w:cs="Palatino Linotype"/>
          <w:color w:val="0563C1"/>
          <w:sz w:val="22"/>
          <w:szCs w:val="22"/>
        </w:rPr>
        <w:t xml:space="preserve"> </w:t>
      </w:r>
      <w:r w:rsidRPr="00F30AD4">
        <w:rPr>
          <w:rFonts w:ascii="Palatino Linotype" w:eastAsia="Palatino Linotype" w:hAnsi="Palatino Linotype" w:cs="Palatino Linotype"/>
          <w:sz w:val="22"/>
          <w:szCs w:val="22"/>
        </w:rPr>
        <w:t>en el apartado de “Comisión Ejecutiva” se logró localizar las Actas de Sesiones celebradas, tal como se muestra a continuación:</w:t>
      </w:r>
    </w:p>
    <w:p w:rsidR="00EF2151" w:rsidRPr="00F30AD4" w:rsidRDefault="00A8726A">
      <w:pPr>
        <w:spacing w:line="360" w:lineRule="auto"/>
        <w:ind w:right="-28"/>
        <w:jc w:val="center"/>
        <w:rPr>
          <w:rFonts w:ascii="Palatino Linotype" w:eastAsia="Palatino Linotype" w:hAnsi="Palatino Linotype" w:cs="Palatino Linotype"/>
          <w:color w:val="0563C1"/>
          <w:sz w:val="22"/>
          <w:szCs w:val="22"/>
          <w:u w:val="single"/>
        </w:rPr>
      </w:pPr>
      <w:r w:rsidRPr="00F30AD4">
        <w:rPr>
          <w:rFonts w:ascii="Palatino Linotype" w:eastAsia="Palatino Linotype" w:hAnsi="Palatino Linotype" w:cs="Palatino Linotype"/>
          <w:noProof/>
          <w:color w:val="0563C1"/>
          <w:sz w:val="22"/>
          <w:szCs w:val="22"/>
          <w:lang w:eastAsia="es-MX"/>
        </w:rPr>
        <w:lastRenderedPageBreak/>
        <w:drawing>
          <wp:inline distT="0" distB="0" distL="0" distR="0">
            <wp:extent cx="5552757" cy="2895073"/>
            <wp:effectExtent l="0" t="0" r="0" b="0"/>
            <wp:docPr id="7987064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5552757" cy="2895073"/>
                    </a:xfrm>
                    <a:prstGeom prst="rect">
                      <a:avLst/>
                    </a:prstGeom>
                    <a:ln/>
                  </pic:spPr>
                </pic:pic>
              </a:graphicData>
            </a:graphic>
          </wp:inline>
        </w:drawing>
      </w:r>
    </w:p>
    <w:p w:rsidR="00EF2151" w:rsidRPr="00F30AD4" w:rsidRDefault="00EF2151">
      <w:pPr>
        <w:spacing w:line="360" w:lineRule="auto"/>
        <w:ind w:right="-28"/>
        <w:jc w:val="both"/>
        <w:rPr>
          <w:rFonts w:ascii="Palatino Linotype" w:eastAsia="Palatino Linotype" w:hAnsi="Palatino Linotype" w:cs="Palatino Linotype"/>
          <w:sz w:val="22"/>
          <w:szCs w:val="22"/>
        </w:rPr>
      </w:pPr>
    </w:p>
    <w:p w:rsidR="00EF2151" w:rsidRPr="00F30AD4" w:rsidRDefault="00A8726A">
      <w:pPr>
        <w:spacing w:line="360" w:lineRule="auto"/>
        <w:ind w:right="-28"/>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t>En ese orden de ideas, de la revisión de las Actas, se logra vislumbrar que la última Sesión celebrada a la fecha de la solicitud (veintidós de octubre de dos mil veinticuatro), fue la correspondiente a la Vigésima Sesión Ordinaria del dieciséis de octubre de dos mil veinticuatro, tal como se muestra a continuación:</w:t>
      </w:r>
    </w:p>
    <w:p w:rsidR="00EF2151" w:rsidRPr="00F30AD4" w:rsidRDefault="00EF2151">
      <w:pPr>
        <w:spacing w:line="360" w:lineRule="auto"/>
        <w:ind w:right="-28"/>
        <w:jc w:val="both"/>
        <w:rPr>
          <w:rFonts w:ascii="Palatino Linotype" w:eastAsia="Palatino Linotype" w:hAnsi="Palatino Linotype" w:cs="Palatino Linotype"/>
          <w:sz w:val="22"/>
          <w:szCs w:val="22"/>
        </w:rPr>
      </w:pPr>
    </w:p>
    <w:p w:rsidR="00EF2151" w:rsidRPr="00F30AD4" w:rsidRDefault="00A8726A">
      <w:pPr>
        <w:spacing w:line="360" w:lineRule="auto"/>
        <w:ind w:right="-28"/>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noProof/>
          <w:sz w:val="22"/>
          <w:szCs w:val="22"/>
          <w:lang w:eastAsia="es-MX"/>
        </w:rPr>
        <w:drawing>
          <wp:inline distT="0" distB="0" distL="0" distR="0">
            <wp:extent cx="5828517" cy="1019175"/>
            <wp:effectExtent l="0" t="0" r="0" b="0"/>
            <wp:docPr id="7987064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b="74221"/>
                    <a:stretch>
                      <a:fillRect/>
                    </a:stretch>
                  </pic:blipFill>
                  <pic:spPr>
                    <a:xfrm>
                      <a:off x="0" y="0"/>
                      <a:ext cx="5828517" cy="1019175"/>
                    </a:xfrm>
                    <a:prstGeom prst="rect">
                      <a:avLst/>
                    </a:prstGeom>
                    <a:ln/>
                  </pic:spPr>
                </pic:pic>
              </a:graphicData>
            </a:graphic>
          </wp:inline>
        </w:drawing>
      </w:r>
    </w:p>
    <w:p w:rsidR="00EF2151" w:rsidRPr="00F30AD4" w:rsidRDefault="00EF2151">
      <w:pPr>
        <w:spacing w:line="360" w:lineRule="auto"/>
        <w:ind w:right="-28"/>
        <w:jc w:val="both"/>
        <w:rPr>
          <w:rFonts w:ascii="Palatino Linotype" w:eastAsia="Palatino Linotype" w:hAnsi="Palatino Linotype" w:cs="Palatino Linotype"/>
          <w:sz w:val="22"/>
          <w:szCs w:val="22"/>
        </w:rPr>
      </w:pPr>
    </w:p>
    <w:p w:rsidR="00EF2151" w:rsidRPr="00F30AD4" w:rsidRDefault="00A8726A">
      <w:pPr>
        <w:spacing w:line="360" w:lineRule="auto"/>
        <w:ind w:right="-28"/>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t>Lo anterior, toma relevancia pues se localizó el Acta de la Vigésimo Primera Sesión Ordinaria, del seis de noviembre de dos mil veinticuatro, de la cual se logra vislumbrar que no se aprobó ningún acuerdo, pues no existió Quorum legal para sesionar, tal como se muestra a continuación:</w:t>
      </w:r>
    </w:p>
    <w:p w:rsidR="00EF2151" w:rsidRPr="00F30AD4" w:rsidRDefault="00EF2151">
      <w:pPr>
        <w:spacing w:line="360" w:lineRule="auto"/>
        <w:ind w:right="-28"/>
        <w:jc w:val="both"/>
        <w:rPr>
          <w:rFonts w:ascii="Palatino Linotype" w:eastAsia="Palatino Linotype" w:hAnsi="Palatino Linotype" w:cs="Palatino Linotype"/>
          <w:sz w:val="22"/>
          <w:szCs w:val="22"/>
        </w:rPr>
      </w:pPr>
    </w:p>
    <w:p w:rsidR="00EF2151" w:rsidRPr="00F30AD4" w:rsidRDefault="00A8726A">
      <w:pPr>
        <w:spacing w:line="360" w:lineRule="auto"/>
        <w:ind w:right="-28"/>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noProof/>
          <w:sz w:val="22"/>
          <w:szCs w:val="22"/>
          <w:lang w:eastAsia="es-MX"/>
        </w:rPr>
        <w:drawing>
          <wp:inline distT="0" distB="0" distL="0" distR="0">
            <wp:extent cx="5742940" cy="476250"/>
            <wp:effectExtent l="0" t="0" r="0" b="0"/>
            <wp:docPr id="7987064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b="88076"/>
                    <a:stretch>
                      <a:fillRect/>
                    </a:stretch>
                  </pic:blipFill>
                  <pic:spPr>
                    <a:xfrm>
                      <a:off x="0" y="0"/>
                      <a:ext cx="5742940" cy="476250"/>
                    </a:xfrm>
                    <a:prstGeom prst="rect">
                      <a:avLst/>
                    </a:prstGeom>
                    <a:ln/>
                  </pic:spPr>
                </pic:pic>
              </a:graphicData>
            </a:graphic>
          </wp:inline>
        </w:drawing>
      </w:r>
    </w:p>
    <w:p w:rsidR="00EF2151" w:rsidRPr="00F30AD4" w:rsidRDefault="00A8726A">
      <w:pPr>
        <w:spacing w:line="360" w:lineRule="auto"/>
        <w:ind w:right="-28"/>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noProof/>
          <w:sz w:val="22"/>
          <w:szCs w:val="22"/>
          <w:lang w:eastAsia="es-MX"/>
        </w:rPr>
        <w:drawing>
          <wp:inline distT="0" distB="0" distL="0" distR="0">
            <wp:extent cx="5742940" cy="412750"/>
            <wp:effectExtent l="0" t="0" r="0" b="0"/>
            <wp:docPr id="7987064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t="89666"/>
                    <a:stretch>
                      <a:fillRect/>
                    </a:stretch>
                  </pic:blipFill>
                  <pic:spPr>
                    <a:xfrm>
                      <a:off x="0" y="0"/>
                      <a:ext cx="5742940" cy="412750"/>
                    </a:xfrm>
                    <a:prstGeom prst="rect">
                      <a:avLst/>
                    </a:prstGeom>
                    <a:ln/>
                  </pic:spPr>
                </pic:pic>
              </a:graphicData>
            </a:graphic>
          </wp:inline>
        </w:drawing>
      </w:r>
    </w:p>
    <w:p w:rsidR="00EF2151" w:rsidRPr="00F30AD4" w:rsidRDefault="00EF2151">
      <w:pPr>
        <w:spacing w:line="360" w:lineRule="auto"/>
        <w:ind w:right="-28"/>
        <w:jc w:val="both"/>
        <w:rPr>
          <w:rFonts w:ascii="Palatino Linotype" w:eastAsia="Palatino Linotype" w:hAnsi="Palatino Linotype" w:cs="Palatino Linotype"/>
          <w:sz w:val="22"/>
          <w:szCs w:val="22"/>
        </w:rPr>
      </w:pPr>
    </w:p>
    <w:p w:rsidR="00EF2151" w:rsidRPr="00F30AD4" w:rsidRDefault="00A8726A">
      <w:pPr>
        <w:spacing w:line="360" w:lineRule="auto"/>
        <w:ind w:right="-28"/>
        <w:jc w:val="both"/>
        <w:rPr>
          <w:rFonts w:ascii="Palatino Linotype" w:eastAsia="Palatino Linotype" w:hAnsi="Palatino Linotype" w:cs="Palatino Linotype"/>
          <w:b/>
          <w:sz w:val="22"/>
          <w:szCs w:val="22"/>
        </w:rPr>
      </w:pPr>
      <w:r w:rsidRPr="00F30AD4">
        <w:rPr>
          <w:rFonts w:ascii="Palatino Linotype" w:eastAsia="Palatino Linotype" w:hAnsi="Palatino Linotype" w:cs="Palatino Linotype"/>
          <w:sz w:val="22"/>
          <w:szCs w:val="22"/>
        </w:rPr>
        <w:t xml:space="preserve">Conforme a lo anterior, se logra colegir que, si bien el Sujeto Obligado proporcionó parte de la información solicitada, lo cierto es omitió proporcionar el Acta de la Vigésima Sesión Ordinaria, que contiene los acuerdos aprobados en dicha reunión, por lo que, se considera que la información fue proporcionada de manera incompleta, lo cual da como resultado que el agravio sea </w:t>
      </w:r>
      <w:r w:rsidRPr="00F30AD4">
        <w:rPr>
          <w:rFonts w:ascii="Palatino Linotype" w:eastAsia="Palatino Linotype" w:hAnsi="Palatino Linotype" w:cs="Palatino Linotype"/>
          <w:b/>
          <w:sz w:val="22"/>
          <w:szCs w:val="22"/>
        </w:rPr>
        <w:t>FUNDADO.</w:t>
      </w:r>
    </w:p>
    <w:p w:rsidR="00EF2151" w:rsidRPr="00F30AD4" w:rsidRDefault="00EF2151">
      <w:pPr>
        <w:spacing w:line="360" w:lineRule="auto"/>
        <w:ind w:right="-28"/>
        <w:jc w:val="both"/>
        <w:rPr>
          <w:rFonts w:ascii="Palatino Linotype" w:eastAsia="Palatino Linotype" w:hAnsi="Palatino Linotype" w:cs="Palatino Linotype"/>
          <w:b/>
          <w:sz w:val="22"/>
          <w:szCs w:val="22"/>
        </w:rPr>
      </w:pPr>
    </w:p>
    <w:p w:rsidR="00EF2151" w:rsidRPr="00F30AD4" w:rsidRDefault="00A8726A">
      <w:pPr>
        <w:spacing w:line="360" w:lineRule="auto"/>
        <w:ind w:right="-28"/>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t>Conforme a lo anterior y para dar cumplimiento a los artículos 12 y 160 de la Ley de Transparencia y Acceso a la Información Pública de Estado de México y Municipios, el Sujeto Obligado deberá proporcionar el Acta faltante, al contener los acuerdos aprobados por la Comisión Ejecutiva de la Secretaría Ejecutiva del Sistema Anticorrupción del Estado de México y Municipios; sobre dicha circunstancia, este Instituto revisó la misma y no contiene información clasificada, por lo que, deberá entregarla en versión íntegra.</w:t>
      </w:r>
    </w:p>
    <w:p w:rsidR="00EF2151" w:rsidRPr="00F30AD4" w:rsidRDefault="00EF2151">
      <w:pPr>
        <w:spacing w:line="360" w:lineRule="auto"/>
        <w:rPr>
          <w:rFonts w:ascii="Palatino Linotype" w:eastAsia="Palatino Linotype" w:hAnsi="Palatino Linotype" w:cs="Palatino Linotype"/>
          <w:b/>
          <w:sz w:val="22"/>
          <w:szCs w:val="22"/>
        </w:rPr>
      </w:pPr>
    </w:p>
    <w:p w:rsidR="00EF2151" w:rsidRPr="00F30AD4" w:rsidRDefault="00A8726A">
      <w:pPr>
        <w:spacing w:line="360" w:lineRule="auto"/>
        <w:jc w:val="both"/>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t>SEXTO. Decisión</w:t>
      </w:r>
    </w:p>
    <w:p w:rsidR="00EF2151" w:rsidRPr="00F30AD4" w:rsidRDefault="00A8726A">
      <w:pPr>
        <w:spacing w:line="360" w:lineRule="auto"/>
        <w:jc w:val="both"/>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t xml:space="preserve"> </w:t>
      </w:r>
    </w:p>
    <w:p w:rsidR="00EF2151" w:rsidRPr="00F30AD4" w:rsidRDefault="00A8726A">
      <w:pPr>
        <w:spacing w:line="360" w:lineRule="auto"/>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t xml:space="preserve">Con fundamento en el artículo 186, fracción III, de la Ley de Transparencia y Acceso a la Información Pública del Estado de México y Municipios, este Instituto considera procedente </w:t>
      </w:r>
      <w:r w:rsidRPr="00F30AD4">
        <w:rPr>
          <w:rFonts w:ascii="Palatino Linotype" w:eastAsia="Palatino Linotype" w:hAnsi="Palatino Linotype" w:cs="Palatino Linotype"/>
          <w:b/>
          <w:sz w:val="22"/>
          <w:szCs w:val="22"/>
        </w:rPr>
        <w:t>MODIFICAR</w:t>
      </w:r>
      <w:r w:rsidRPr="00F30AD4">
        <w:rPr>
          <w:rFonts w:ascii="Palatino Linotype" w:eastAsia="Palatino Linotype" w:hAnsi="Palatino Linotype" w:cs="Palatino Linotype"/>
          <w:sz w:val="22"/>
          <w:szCs w:val="22"/>
        </w:rPr>
        <w:t xml:space="preserve"> la respuesta otorgada a la solicitud de información, a efecto de que previa búsqueda exhaustiva y razonable en los archivos del Sujeto Obligado, entregue el Acta de la Sesión faltante.</w:t>
      </w:r>
    </w:p>
    <w:p w:rsidR="00EF2151" w:rsidRPr="00F30AD4" w:rsidRDefault="00EF2151">
      <w:pPr>
        <w:spacing w:line="360" w:lineRule="auto"/>
        <w:jc w:val="both"/>
        <w:rPr>
          <w:rFonts w:ascii="Palatino Linotype" w:eastAsia="Palatino Linotype" w:hAnsi="Palatino Linotype" w:cs="Palatino Linotype"/>
          <w:b/>
          <w:sz w:val="22"/>
          <w:szCs w:val="22"/>
        </w:rPr>
      </w:pPr>
    </w:p>
    <w:p w:rsidR="00EF2151" w:rsidRPr="00F30AD4" w:rsidRDefault="00EF2151">
      <w:pPr>
        <w:spacing w:line="360" w:lineRule="auto"/>
        <w:jc w:val="both"/>
        <w:rPr>
          <w:rFonts w:ascii="Palatino Linotype" w:eastAsia="Palatino Linotype" w:hAnsi="Palatino Linotype" w:cs="Palatino Linotype"/>
          <w:b/>
          <w:sz w:val="22"/>
          <w:szCs w:val="22"/>
        </w:rPr>
      </w:pPr>
    </w:p>
    <w:p w:rsidR="00EF2151" w:rsidRPr="00F30AD4" w:rsidRDefault="00A8726A">
      <w:pPr>
        <w:spacing w:line="360" w:lineRule="auto"/>
        <w:jc w:val="both"/>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t>Términos de la Resolución para conocimiento del Particular</w:t>
      </w:r>
    </w:p>
    <w:p w:rsidR="00EF2151" w:rsidRPr="00F30AD4" w:rsidRDefault="00EF2151">
      <w:pPr>
        <w:spacing w:line="360" w:lineRule="auto"/>
        <w:jc w:val="both"/>
        <w:rPr>
          <w:rFonts w:ascii="Palatino Linotype" w:eastAsia="Palatino Linotype" w:hAnsi="Palatino Linotype" w:cs="Palatino Linotype"/>
          <w:b/>
          <w:sz w:val="22"/>
          <w:szCs w:val="22"/>
        </w:rPr>
      </w:pPr>
    </w:p>
    <w:p w:rsidR="00EF2151" w:rsidRPr="00F30AD4" w:rsidRDefault="00A8726A">
      <w:pPr>
        <w:widowControl w:val="0"/>
        <w:spacing w:line="360" w:lineRule="auto"/>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t xml:space="preserve">Se le hace del conocimiento al Particular, que, en el presente caso, se le concede la razón, toda vez que, si bien el Sujeto Obligado proporcionó las Actas generadas de los ejercicios fiscales requeridos, omitió proporcionar la última generada </w:t>
      </w:r>
      <w:proofErr w:type="gramStart"/>
      <w:r w:rsidRPr="00F30AD4">
        <w:rPr>
          <w:rFonts w:ascii="Palatino Linotype" w:eastAsia="Palatino Linotype" w:hAnsi="Palatino Linotype" w:cs="Palatino Linotype"/>
          <w:sz w:val="22"/>
          <w:szCs w:val="22"/>
        </w:rPr>
        <w:t>previo</w:t>
      </w:r>
      <w:proofErr w:type="gramEnd"/>
      <w:r w:rsidRPr="00F30AD4">
        <w:rPr>
          <w:rFonts w:ascii="Palatino Linotype" w:eastAsia="Palatino Linotype" w:hAnsi="Palatino Linotype" w:cs="Palatino Linotype"/>
          <w:sz w:val="22"/>
          <w:szCs w:val="22"/>
        </w:rPr>
        <w:t xml:space="preserve"> a la presentación a la solicitud.  La labor del Instituto es apoyar a la población a acceder a la información pública y garantizar la protección de los datos personales. </w:t>
      </w:r>
    </w:p>
    <w:p w:rsidR="00EF2151" w:rsidRPr="00F30AD4" w:rsidRDefault="00EF2151">
      <w:pPr>
        <w:spacing w:line="360" w:lineRule="auto"/>
        <w:jc w:val="both"/>
        <w:rPr>
          <w:rFonts w:ascii="Palatino Linotype" w:eastAsia="Palatino Linotype" w:hAnsi="Palatino Linotype" w:cs="Palatino Linotype"/>
          <w:sz w:val="22"/>
          <w:szCs w:val="22"/>
        </w:rPr>
      </w:pPr>
    </w:p>
    <w:p w:rsidR="00EF2151" w:rsidRPr="00F30AD4" w:rsidRDefault="00A8726A">
      <w:pPr>
        <w:spacing w:line="360" w:lineRule="auto"/>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t>Por lo expuesto y fundado, este Pleno:</w:t>
      </w:r>
    </w:p>
    <w:p w:rsidR="00EF2151" w:rsidRPr="00F30AD4" w:rsidRDefault="00EF2151">
      <w:pPr>
        <w:spacing w:line="360" w:lineRule="auto"/>
        <w:jc w:val="both"/>
        <w:rPr>
          <w:rFonts w:ascii="Palatino Linotype" w:eastAsia="Palatino Linotype" w:hAnsi="Palatino Linotype" w:cs="Palatino Linotype"/>
          <w:sz w:val="22"/>
          <w:szCs w:val="22"/>
        </w:rPr>
      </w:pPr>
    </w:p>
    <w:p w:rsidR="00EF2151" w:rsidRPr="00F30AD4" w:rsidRDefault="00A8726A">
      <w:pPr>
        <w:spacing w:line="360" w:lineRule="auto"/>
        <w:jc w:val="center"/>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t>R E S U E L V E</w:t>
      </w:r>
    </w:p>
    <w:p w:rsidR="00EF2151" w:rsidRPr="00F30AD4" w:rsidRDefault="00A8726A">
      <w:pPr>
        <w:spacing w:line="360" w:lineRule="auto"/>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t xml:space="preserve"> </w:t>
      </w:r>
    </w:p>
    <w:p w:rsidR="00EF2151" w:rsidRPr="00F30AD4" w:rsidRDefault="00A8726A">
      <w:pPr>
        <w:spacing w:line="360" w:lineRule="auto"/>
        <w:jc w:val="both"/>
        <w:rPr>
          <w:rFonts w:ascii="Palatino Linotype" w:eastAsia="Palatino Linotype" w:hAnsi="Palatino Linotype" w:cs="Palatino Linotype"/>
          <w:b/>
          <w:sz w:val="22"/>
          <w:szCs w:val="22"/>
        </w:rPr>
      </w:pPr>
      <w:r w:rsidRPr="00F30AD4">
        <w:rPr>
          <w:rFonts w:ascii="Palatino Linotype" w:eastAsia="Palatino Linotype" w:hAnsi="Palatino Linotype" w:cs="Palatino Linotype"/>
          <w:b/>
          <w:sz w:val="22"/>
          <w:szCs w:val="22"/>
        </w:rPr>
        <w:t xml:space="preserve">PRIMERO. </w:t>
      </w:r>
      <w:r w:rsidRPr="00F30AD4">
        <w:rPr>
          <w:rFonts w:ascii="Palatino Linotype" w:eastAsia="Palatino Linotype" w:hAnsi="Palatino Linotype" w:cs="Palatino Linotype"/>
          <w:sz w:val="22"/>
          <w:szCs w:val="22"/>
        </w:rPr>
        <w:t xml:space="preserve">Se </w:t>
      </w:r>
      <w:r w:rsidRPr="00F30AD4">
        <w:rPr>
          <w:rFonts w:ascii="Palatino Linotype" w:eastAsia="Palatino Linotype" w:hAnsi="Palatino Linotype" w:cs="Palatino Linotype"/>
          <w:b/>
          <w:sz w:val="22"/>
          <w:szCs w:val="22"/>
        </w:rPr>
        <w:t xml:space="preserve">MODIFICA </w:t>
      </w:r>
      <w:r w:rsidRPr="00F30AD4">
        <w:rPr>
          <w:rFonts w:ascii="Palatino Linotype" w:eastAsia="Palatino Linotype" w:hAnsi="Palatino Linotype" w:cs="Palatino Linotype"/>
          <w:sz w:val="22"/>
          <w:szCs w:val="22"/>
        </w:rPr>
        <w:t>la</w:t>
      </w:r>
      <w:r w:rsidRPr="00F30AD4">
        <w:rPr>
          <w:rFonts w:ascii="Palatino Linotype" w:eastAsia="Palatino Linotype" w:hAnsi="Palatino Linotype" w:cs="Palatino Linotype"/>
          <w:b/>
          <w:sz w:val="22"/>
          <w:szCs w:val="22"/>
        </w:rPr>
        <w:t xml:space="preserve"> </w:t>
      </w:r>
      <w:r w:rsidRPr="00F30AD4">
        <w:rPr>
          <w:rFonts w:ascii="Palatino Linotype" w:eastAsia="Palatino Linotype" w:hAnsi="Palatino Linotype" w:cs="Palatino Linotype"/>
          <w:sz w:val="22"/>
          <w:szCs w:val="22"/>
        </w:rPr>
        <w:t xml:space="preserve">respuesta entregada por la </w:t>
      </w:r>
      <w:r w:rsidRPr="00F30AD4">
        <w:rPr>
          <w:rFonts w:ascii="Palatino Linotype" w:eastAsia="Palatino Linotype" w:hAnsi="Palatino Linotype" w:cs="Palatino Linotype"/>
          <w:color w:val="000000"/>
          <w:sz w:val="22"/>
          <w:szCs w:val="22"/>
        </w:rPr>
        <w:t>Secretaría Ejecutiva del Sistema Estatal Anticorrupción</w:t>
      </w:r>
      <w:r w:rsidRPr="00F30AD4">
        <w:rPr>
          <w:rFonts w:ascii="Palatino Linotype" w:eastAsia="Palatino Linotype" w:hAnsi="Palatino Linotype" w:cs="Palatino Linotype"/>
          <w:sz w:val="22"/>
          <w:szCs w:val="22"/>
        </w:rPr>
        <w:t>, a la solicitud de información</w:t>
      </w:r>
      <w:r w:rsidRPr="00F30AD4">
        <w:rPr>
          <w:rFonts w:ascii="Palatino Linotype" w:eastAsia="Palatino Linotype" w:hAnsi="Palatino Linotype" w:cs="Palatino Linotype"/>
          <w:b/>
          <w:sz w:val="22"/>
          <w:szCs w:val="22"/>
        </w:rPr>
        <w:t xml:space="preserve"> </w:t>
      </w:r>
      <w:r w:rsidRPr="00F30AD4">
        <w:rPr>
          <w:rFonts w:ascii="Palatino Linotype" w:eastAsia="Palatino Linotype" w:hAnsi="Palatino Linotype" w:cs="Palatino Linotype"/>
          <w:sz w:val="22"/>
          <w:szCs w:val="22"/>
        </w:rPr>
        <w:t xml:space="preserve">01021/SESEA/IP/2024, por resultar </w:t>
      </w:r>
      <w:r w:rsidRPr="00F30AD4">
        <w:rPr>
          <w:rFonts w:ascii="Palatino Linotype" w:eastAsia="Palatino Linotype" w:hAnsi="Palatino Linotype" w:cs="Palatino Linotype"/>
          <w:b/>
          <w:sz w:val="22"/>
          <w:szCs w:val="22"/>
        </w:rPr>
        <w:t>FUNDADAS</w:t>
      </w:r>
      <w:r w:rsidRPr="00F30AD4">
        <w:rPr>
          <w:rFonts w:ascii="Palatino Linotype" w:eastAsia="Palatino Linotype" w:hAnsi="Palatino Linotype" w:cs="Palatino Linotype"/>
          <w:sz w:val="22"/>
          <w:szCs w:val="22"/>
        </w:rPr>
        <w:t xml:space="preserve"> las razones o motivos de inconformidad hechos valer por el Recurrente, en términos de los considerandos QUINTO y SEXTO de la presente Resolución.</w:t>
      </w:r>
    </w:p>
    <w:p w:rsidR="00EF2151" w:rsidRPr="00F30AD4" w:rsidRDefault="00EF2151">
      <w:pPr>
        <w:spacing w:line="360" w:lineRule="auto"/>
        <w:jc w:val="both"/>
        <w:rPr>
          <w:rFonts w:ascii="Palatino Linotype" w:eastAsia="Palatino Linotype" w:hAnsi="Palatino Linotype" w:cs="Palatino Linotype"/>
          <w:sz w:val="22"/>
          <w:szCs w:val="22"/>
        </w:rPr>
      </w:pPr>
    </w:p>
    <w:p w:rsidR="00EF2151" w:rsidRPr="00F30AD4" w:rsidRDefault="00A8726A">
      <w:pPr>
        <w:spacing w:line="360" w:lineRule="auto"/>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b/>
          <w:sz w:val="22"/>
          <w:szCs w:val="22"/>
        </w:rPr>
        <w:t xml:space="preserve">SEGUNDO. </w:t>
      </w:r>
      <w:r w:rsidRPr="00F30AD4">
        <w:rPr>
          <w:rFonts w:ascii="Palatino Linotype" w:eastAsia="Palatino Linotype" w:hAnsi="Palatino Linotype" w:cs="Palatino Linotype"/>
          <w:sz w:val="22"/>
          <w:szCs w:val="22"/>
        </w:rPr>
        <w:t xml:space="preserve">Se </w:t>
      </w:r>
      <w:r w:rsidRPr="00F30AD4">
        <w:rPr>
          <w:rFonts w:ascii="Palatino Linotype" w:eastAsia="Palatino Linotype" w:hAnsi="Palatino Linotype" w:cs="Palatino Linotype"/>
          <w:b/>
          <w:sz w:val="22"/>
          <w:szCs w:val="22"/>
        </w:rPr>
        <w:t xml:space="preserve">ORDENA </w:t>
      </w:r>
      <w:r w:rsidRPr="00F30AD4">
        <w:rPr>
          <w:rFonts w:ascii="Palatino Linotype" w:eastAsia="Palatino Linotype" w:hAnsi="Palatino Linotype" w:cs="Palatino Linotype"/>
          <w:sz w:val="22"/>
          <w:szCs w:val="22"/>
        </w:rPr>
        <w:t xml:space="preserve">al </w:t>
      </w:r>
      <w:r w:rsidRPr="00F30AD4">
        <w:rPr>
          <w:rFonts w:ascii="Palatino Linotype" w:eastAsia="Palatino Linotype" w:hAnsi="Palatino Linotype" w:cs="Palatino Linotype"/>
          <w:color w:val="0C0C0C"/>
          <w:sz w:val="22"/>
          <w:szCs w:val="22"/>
        </w:rPr>
        <w:t>Sujeto Obligado</w:t>
      </w:r>
      <w:r w:rsidRPr="00F30AD4">
        <w:rPr>
          <w:rFonts w:ascii="Palatino Linotype" w:eastAsia="Palatino Linotype" w:hAnsi="Palatino Linotype" w:cs="Palatino Linotype"/>
          <w:sz w:val="22"/>
          <w:szCs w:val="22"/>
        </w:rPr>
        <w:t>, a efecto de que entregue a través del Sistema de Acceso a la Información Mexiquense (SAIMEX), lo siguiente:</w:t>
      </w:r>
    </w:p>
    <w:p w:rsidR="00EF2151" w:rsidRPr="00F30AD4" w:rsidRDefault="00EF2151">
      <w:pPr>
        <w:spacing w:line="360" w:lineRule="auto"/>
        <w:jc w:val="both"/>
        <w:rPr>
          <w:rFonts w:ascii="Palatino Linotype" w:eastAsia="Palatino Linotype" w:hAnsi="Palatino Linotype" w:cs="Palatino Linotype"/>
          <w:sz w:val="22"/>
          <w:szCs w:val="22"/>
        </w:rPr>
      </w:pPr>
    </w:p>
    <w:p w:rsidR="00EF2151" w:rsidRPr="00F30AD4" w:rsidRDefault="00A8726A">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30AD4">
        <w:rPr>
          <w:rFonts w:ascii="Palatino Linotype" w:eastAsia="Palatino Linotype" w:hAnsi="Palatino Linotype" w:cs="Palatino Linotype"/>
          <w:color w:val="000000"/>
          <w:sz w:val="22"/>
          <w:szCs w:val="22"/>
        </w:rPr>
        <w:t>El Acta de la Vigésima Sesión Ordinaria de la Comisión Ejecutiva de la Secretaría Ejecutiva del Sistema Anticorrupción del Estado de México y Municipios, del dieciséis de octubre de dos mil veinticuatro.</w:t>
      </w:r>
    </w:p>
    <w:p w:rsidR="00EF2151" w:rsidRPr="00F30AD4" w:rsidRDefault="00EF2151">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p>
    <w:p w:rsidR="00EF2151" w:rsidRPr="00F30AD4" w:rsidRDefault="00A8726A">
      <w:pPr>
        <w:spacing w:line="360" w:lineRule="auto"/>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b/>
          <w:sz w:val="22"/>
          <w:szCs w:val="22"/>
        </w:rPr>
        <w:lastRenderedPageBreak/>
        <w:t xml:space="preserve">TERCERO. NOTIFÍQUESE POR SAIMEX </w:t>
      </w:r>
      <w:r w:rsidRPr="00F30AD4">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rsidR="00EF2151" w:rsidRPr="00F30AD4" w:rsidRDefault="00EF2151">
      <w:pPr>
        <w:spacing w:line="360" w:lineRule="auto"/>
        <w:jc w:val="both"/>
        <w:rPr>
          <w:rFonts w:ascii="Palatino Linotype" w:eastAsia="Palatino Linotype" w:hAnsi="Palatino Linotype" w:cs="Palatino Linotype"/>
          <w:sz w:val="22"/>
          <w:szCs w:val="22"/>
        </w:rPr>
      </w:pPr>
    </w:p>
    <w:p w:rsidR="00EF2151" w:rsidRPr="00F30AD4" w:rsidRDefault="00A8726A">
      <w:pPr>
        <w:spacing w:line="360" w:lineRule="auto"/>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t>De conformidad con el artículo 198 de la Ley de la materia, de considerarlo procedente, el Sujeto Obligado de manera fundada y motivada, podrá solicitar una ampliación de plazo para el cumplimiento de la presente Resolución.</w:t>
      </w:r>
    </w:p>
    <w:p w:rsidR="00EF2151" w:rsidRPr="00F30AD4" w:rsidRDefault="00EF2151">
      <w:pPr>
        <w:spacing w:line="360" w:lineRule="auto"/>
        <w:jc w:val="both"/>
        <w:rPr>
          <w:rFonts w:ascii="Palatino Linotype" w:eastAsia="Palatino Linotype" w:hAnsi="Palatino Linotype" w:cs="Palatino Linotype"/>
          <w:sz w:val="22"/>
          <w:szCs w:val="22"/>
        </w:rPr>
      </w:pPr>
    </w:p>
    <w:p w:rsidR="00EF2151" w:rsidRPr="00F30AD4" w:rsidRDefault="00A8726A">
      <w:pPr>
        <w:shd w:val="clear" w:color="auto" w:fill="FFFFFF"/>
        <w:spacing w:line="360" w:lineRule="auto"/>
        <w:ind w:right="-28"/>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b/>
          <w:sz w:val="22"/>
          <w:szCs w:val="22"/>
        </w:rPr>
        <w:t>CUARTO. NOTIFÍQUESE POR SAIMEX</w:t>
      </w:r>
      <w:r w:rsidRPr="00F30AD4">
        <w:rPr>
          <w:rFonts w:ascii="Palatino Linotype" w:eastAsia="Palatino Linotype" w:hAnsi="Palatino Linotype" w:cs="Palatino Linotype"/>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EF2151" w:rsidRPr="00F30AD4" w:rsidRDefault="00A8726A">
      <w:pPr>
        <w:spacing w:line="360" w:lineRule="auto"/>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t xml:space="preserve"> </w:t>
      </w:r>
    </w:p>
    <w:p w:rsidR="00EF2151" w:rsidRDefault="00A8726A">
      <w:pPr>
        <w:spacing w:line="360" w:lineRule="auto"/>
        <w:jc w:val="both"/>
        <w:rPr>
          <w:rFonts w:ascii="Palatino Linotype" w:eastAsia="Palatino Linotype" w:hAnsi="Palatino Linotype" w:cs="Palatino Linotype"/>
          <w:sz w:val="22"/>
          <w:szCs w:val="22"/>
        </w:rPr>
      </w:pPr>
      <w:r w:rsidRPr="00F30AD4">
        <w:rPr>
          <w:rFonts w:ascii="Palatino Linotype" w:eastAsia="Palatino Linotype" w:hAnsi="Palatino Linotype" w:cs="Palatino Linotype"/>
          <w:sz w:val="22"/>
          <w:szCs w:val="22"/>
        </w:rPr>
        <w:t xml:space="preserve">ASÍ LO RESUELVE, POR </w:t>
      </w:r>
      <w:r w:rsidRPr="000D3808">
        <w:rPr>
          <w:rFonts w:ascii="Palatino Linotype" w:eastAsia="Palatino Linotype" w:hAnsi="Palatino Linotype" w:cs="Palatino Linotype"/>
          <w:b/>
          <w:sz w:val="22"/>
          <w:szCs w:val="22"/>
        </w:rPr>
        <w:t>UNANIMIDAD</w:t>
      </w:r>
      <w:r w:rsidRPr="00F30AD4">
        <w:rPr>
          <w:rFonts w:ascii="Palatino Linotype" w:eastAsia="Palatino Linotype" w:hAnsi="Palatino Linotype" w:cs="Palatino Linotype"/>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SEGUNDA SESIÓN </w:t>
      </w:r>
      <w:r w:rsidRPr="00F30AD4">
        <w:rPr>
          <w:rFonts w:ascii="Palatino Linotype" w:eastAsia="Palatino Linotype" w:hAnsi="Palatino Linotype" w:cs="Palatino Linotype"/>
          <w:sz w:val="22"/>
          <w:szCs w:val="22"/>
        </w:rPr>
        <w:lastRenderedPageBreak/>
        <w:t>ORDINARIA, CELEBRADA EL CUATRO DE DICIEMBRE DE DOS MIL VEINTICUATRO, ANTE EL SECRETARIO TÉCNICO DEL PLENO, ALEXIS TAPIA RAMÍREZ.</w:t>
      </w:r>
    </w:p>
    <w:p w:rsidR="00EF2151" w:rsidRDefault="00A8726A">
      <w:pPr>
        <w:spacing w:line="360" w:lineRule="auto"/>
        <w:jc w:val="both"/>
        <w:rPr>
          <w:rFonts w:ascii="Palatino Linotype" w:eastAsia="Palatino Linotype" w:hAnsi="Palatino Linotype" w:cs="Palatino Linotype"/>
          <w:sz w:val="22"/>
          <w:szCs w:val="22"/>
        </w:rPr>
      </w:pPr>
      <w:r>
        <w:br w:type="page"/>
      </w:r>
    </w:p>
    <w:p w:rsidR="00EF2151" w:rsidRDefault="00EF2151">
      <w:pPr>
        <w:spacing w:line="360" w:lineRule="auto"/>
      </w:pPr>
    </w:p>
    <w:p w:rsidR="00EF2151" w:rsidRDefault="00EF2151">
      <w:pPr>
        <w:spacing w:line="360" w:lineRule="auto"/>
      </w:pPr>
    </w:p>
    <w:p w:rsidR="00EF2151" w:rsidRDefault="00EF2151">
      <w:pPr>
        <w:spacing w:line="360" w:lineRule="auto"/>
      </w:pPr>
    </w:p>
    <w:p w:rsidR="00EF2151" w:rsidRDefault="00EF2151">
      <w:pPr>
        <w:spacing w:line="360" w:lineRule="auto"/>
      </w:pPr>
    </w:p>
    <w:p w:rsidR="00EF2151" w:rsidRDefault="00EF2151">
      <w:pPr>
        <w:spacing w:line="360" w:lineRule="auto"/>
      </w:pPr>
    </w:p>
    <w:p w:rsidR="00EF2151" w:rsidRDefault="00EF2151">
      <w:pPr>
        <w:spacing w:line="360" w:lineRule="auto"/>
      </w:pPr>
    </w:p>
    <w:p w:rsidR="00EF2151" w:rsidRDefault="00EF2151">
      <w:pPr>
        <w:spacing w:line="360" w:lineRule="auto"/>
      </w:pPr>
    </w:p>
    <w:p w:rsidR="00EF2151" w:rsidRDefault="00EF2151">
      <w:pPr>
        <w:spacing w:line="360" w:lineRule="auto"/>
      </w:pPr>
    </w:p>
    <w:p w:rsidR="00EF2151" w:rsidRDefault="00EF2151">
      <w:pPr>
        <w:spacing w:line="360" w:lineRule="auto"/>
      </w:pPr>
    </w:p>
    <w:p w:rsidR="00EF2151" w:rsidRDefault="00EF2151">
      <w:pPr>
        <w:spacing w:line="360" w:lineRule="auto"/>
      </w:pPr>
    </w:p>
    <w:p w:rsidR="00EF2151" w:rsidRDefault="00EF2151">
      <w:pPr>
        <w:spacing w:line="360" w:lineRule="auto"/>
      </w:pPr>
    </w:p>
    <w:sectPr w:rsidR="00EF2151">
      <w:headerReference w:type="even" r:id="rId27"/>
      <w:headerReference w:type="default" r:id="rId28"/>
      <w:footerReference w:type="default" r:id="rId29"/>
      <w:headerReference w:type="first" r:id="rId30"/>
      <w:footerReference w:type="first" r:id="rId31"/>
      <w:pgSz w:w="12240" w:h="15840"/>
      <w:pgMar w:top="80" w:right="1608" w:bottom="1134" w:left="1588" w:header="850" w:footer="6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66AB" w:rsidRDefault="003866AB">
      <w:r>
        <w:separator/>
      </w:r>
    </w:p>
  </w:endnote>
  <w:endnote w:type="continuationSeparator" w:id="0">
    <w:p w:rsidR="003866AB" w:rsidRDefault="00386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altName w:val="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Light">
    <w:altName w:val="Times New Roman"/>
    <w:charset w:val="00"/>
    <w:family w:val="auto"/>
    <w:pitch w:val="default"/>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151" w:rsidRDefault="00EF2151">
    <w:pPr>
      <w:pBdr>
        <w:top w:val="nil"/>
        <w:left w:val="nil"/>
        <w:bottom w:val="nil"/>
        <w:right w:val="nil"/>
        <w:between w:val="nil"/>
      </w:pBdr>
      <w:tabs>
        <w:tab w:val="center" w:pos="4419"/>
        <w:tab w:val="right" w:pos="8838"/>
      </w:tabs>
      <w:jc w:val="right"/>
      <w:rPr>
        <w:color w:val="000000"/>
        <w:sz w:val="26"/>
        <w:szCs w:val="26"/>
      </w:rPr>
    </w:pPr>
  </w:p>
  <w:p w:rsidR="00EF2151" w:rsidRDefault="00A8726A">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077245">
      <w:rPr>
        <w:b/>
        <w:noProof/>
        <w:color w:val="000000"/>
        <w:sz w:val="24"/>
        <w:szCs w:val="24"/>
      </w:rPr>
      <w:t>47</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77245">
      <w:rPr>
        <w:b/>
        <w:noProof/>
        <w:color w:val="000000"/>
        <w:sz w:val="24"/>
        <w:szCs w:val="24"/>
      </w:rPr>
      <w:t>47</w:t>
    </w:r>
    <w:r>
      <w:rPr>
        <w:b/>
        <w:color w:val="000000"/>
        <w:sz w:val="24"/>
        <w:szCs w:val="24"/>
      </w:rPr>
      <w:fldChar w:fldCharType="end"/>
    </w:r>
  </w:p>
  <w:p w:rsidR="00EF2151" w:rsidRDefault="00EF2151">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151" w:rsidRDefault="00EF2151">
    <w:pPr>
      <w:pBdr>
        <w:top w:val="nil"/>
        <w:left w:val="nil"/>
        <w:bottom w:val="nil"/>
        <w:right w:val="nil"/>
        <w:between w:val="nil"/>
      </w:pBdr>
      <w:tabs>
        <w:tab w:val="center" w:pos="4419"/>
        <w:tab w:val="right" w:pos="8838"/>
      </w:tabs>
      <w:jc w:val="right"/>
      <w:rPr>
        <w:color w:val="000000"/>
      </w:rPr>
    </w:pPr>
  </w:p>
  <w:p w:rsidR="00EF2151" w:rsidRDefault="00EF2151">
    <w:pPr>
      <w:pBdr>
        <w:top w:val="nil"/>
        <w:left w:val="nil"/>
        <w:bottom w:val="nil"/>
        <w:right w:val="nil"/>
        <w:between w:val="nil"/>
      </w:pBdr>
      <w:tabs>
        <w:tab w:val="center" w:pos="4419"/>
        <w:tab w:val="right" w:pos="8838"/>
      </w:tabs>
      <w:jc w:val="right"/>
      <w:rPr>
        <w:color w:val="000000"/>
      </w:rPr>
    </w:pPr>
  </w:p>
  <w:p w:rsidR="00EF2151" w:rsidRDefault="00EF2151">
    <w:pPr>
      <w:pBdr>
        <w:top w:val="nil"/>
        <w:left w:val="nil"/>
        <w:bottom w:val="nil"/>
        <w:right w:val="nil"/>
        <w:between w:val="nil"/>
      </w:pBdr>
      <w:tabs>
        <w:tab w:val="center" w:pos="4419"/>
        <w:tab w:val="right" w:pos="8838"/>
      </w:tabs>
      <w:jc w:val="right"/>
      <w:rPr>
        <w:color w:val="000000"/>
      </w:rPr>
    </w:pPr>
  </w:p>
  <w:p w:rsidR="00EF2151" w:rsidRDefault="00A8726A">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077245">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77245">
      <w:rPr>
        <w:b/>
        <w:noProof/>
        <w:color w:val="000000"/>
        <w:sz w:val="24"/>
        <w:szCs w:val="24"/>
      </w:rPr>
      <w:t>47</w:t>
    </w:r>
    <w:r>
      <w:rPr>
        <w:b/>
        <w:color w:val="00000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66AB" w:rsidRDefault="003866AB">
      <w:r>
        <w:separator/>
      </w:r>
    </w:p>
  </w:footnote>
  <w:footnote w:type="continuationSeparator" w:id="0">
    <w:p w:rsidR="003866AB" w:rsidRDefault="003866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151" w:rsidRDefault="003866AB">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aguaINFOEM" style="position:absolute;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151" w:rsidRDefault="003866AB">
    <w:pPr>
      <w:tabs>
        <w:tab w:val="left" w:pos="3416"/>
      </w:tabs>
      <w:rPr>
        <w:sz w:val="22"/>
        <w:szCs w:val="22"/>
      </w:rPr>
    </w:pPr>
    <w:r>
      <w:rPr>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marcaaguaINFOEM" style="position:absolute;margin-left:-100.7pt;margin-top:-126.25pt;width:663.5pt;height:12in;z-index:-251659776;mso-position-horizontal:absolute;mso-position-horizontal-relative:margin;mso-position-vertical:absolute;mso-position-vertical-relative:margin">
          <v:imagedata r:id="rId1" o:title="image1"/>
          <w10:wrap anchorx="margin" anchory="margin"/>
        </v:shape>
      </w:pict>
    </w:r>
  </w:p>
  <w:tbl>
    <w:tblPr>
      <w:tblStyle w:val="a6"/>
      <w:tblW w:w="9461" w:type="dxa"/>
      <w:tblInd w:w="0" w:type="dxa"/>
      <w:tblLayout w:type="fixed"/>
      <w:tblLook w:val="0400" w:firstRow="0" w:lastRow="0" w:firstColumn="0" w:lastColumn="0" w:noHBand="0" w:noVBand="1"/>
    </w:tblPr>
    <w:tblGrid>
      <w:gridCol w:w="2268"/>
      <w:gridCol w:w="7193"/>
    </w:tblGrid>
    <w:tr w:rsidR="00EF2151">
      <w:trPr>
        <w:trHeight w:val="70"/>
      </w:trPr>
      <w:tc>
        <w:tcPr>
          <w:tcW w:w="2268" w:type="dxa"/>
          <w:shd w:val="clear" w:color="auto" w:fill="auto"/>
        </w:tcPr>
        <w:p w:rsidR="00EF2151" w:rsidRDefault="00EF2151">
          <w:pPr>
            <w:tabs>
              <w:tab w:val="right" w:pos="4273"/>
            </w:tabs>
            <w:rPr>
              <w:rFonts w:ascii="Garamond" w:eastAsia="Garamond" w:hAnsi="Garamond" w:cs="Garamond"/>
              <w:sz w:val="16"/>
              <w:szCs w:val="16"/>
            </w:rPr>
          </w:pPr>
        </w:p>
      </w:tc>
      <w:tc>
        <w:tcPr>
          <w:tcW w:w="7193" w:type="dxa"/>
          <w:shd w:val="clear" w:color="auto" w:fill="auto"/>
        </w:tcPr>
        <w:p w:rsidR="00EF2151" w:rsidRDefault="00EF2151">
          <w:pPr>
            <w:widowControl w:val="0"/>
            <w:pBdr>
              <w:top w:val="nil"/>
              <w:left w:val="nil"/>
              <w:bottom w:val="nil"/>
              <w:right w:val="nil"/>
              <w:between w:val="nil"/>
            </w:pBdr>
            <w:spacing w:line="276" w:lineRule="auto"/>
            <w:rPr>
              <w:rFonts w:ascii="Garamond" w:eastAsia="Garamond" w:hAnsi="Garamond" w:cs="Garamond"/>
              <w:sz w:val="16"/>
              <w:szCs w:val="16"/>
            </w:rPr>
          </w:pPr>
        </w:p>
        <w:tbl>
          <w:tblPr>
            <w:tblStyle w:val="a7"/>
            <w:tblW w:w="793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578"/>
            <w:gridCol w:w="4360"/>
          </w:tblGrid>
          <w:tr w:rsidR="00EF2151">
            <w:trPr>
              <w:trHeight w:val="128"/>
            </w:trPr>
            <w:tc>
              <w:tcPr>
                <w:tcW w:w="3578" w:type="dxa"/>
                <w:vAlign w:val="bottom"/>
              </w:tcPr>
              <w:p w:rsidR="00EF2151" w:rsidRDefault="00A8726A">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Recurso de Revisión:</w:t>
                </w:r>
              </w:p>
            </w:tc>
            <w:tc>
              <w:tcPr>
                <w:tcW w:w="4360" w:type="dxa"/>
              </w:tcPr>
              <w:p w:rsidR="00EF2151" w:rsidRDefault="00A8726A">
                <w:pPr>
                  <w:tabs>
                    <w:tab w:val="right" w:pos="8838"/>
                  </w:tabs>
                  <w:ind w:left="-28" w:right="683"/>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07066/INFOEM/IP/RR/2024</w:t>
                </w:r>
              </w:p>
            </w:tc>
          </w:tr>
          <w:tr w:rsidR="00EF2151">
            <w:trPr>
              <w:trHeight w:val="251"/>
            </w:trPr>
            <w:tc>
              <w:tcPr>
                <w:tcW w:w="3578" w:type="dxa"/>
              </w:tcPr>
              <w:p w:rsidR="00EF2151" w:rsidRDefault="00A8726A">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Sujeto Obligado:</w:t>
                </w:r>
              </w:p>
            </w:tc>
            <w:tc>
              <w:tcPr>
                <w:tcW w:w="4360" w:type="dxa"/>
              </w:tcPr>
              <w:p w:rsidR="00EF2151" w:rsidRDefault="00A8726A">
                <w:pPr>
                  <w:tabs>
                    <w:tab w:val="right" w:pos="8838"/>
                  </w:tabs>
                  <w:ind w:right="1008"/>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Secretaría Ejecutiva del Sistema Estatal Anticorrupción</w:t>
                </w:r>
              </w:p>
            </w:tc>
          </w:tr>
          <w:tr w:rsidR="00EF2151">
            <w:trPr>
              <w:trHeight w:val="251"/>
            </w:trPr>
            <w:tc>
              <w:tcPr>
                <w:tcW w:w="3578" w:type="dxa"/>
              </w:tcPr>
              <w:p w:rsidR="00EF2151" w:rsidRDefault="00A8726A">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Comisionado Ponente:</w:t>
                </w:r>
              </w:p>
            </w:tc>
            <w:tc>
              <w:tcPr>
                <w:tcW w:w="4360" w:type="dxa"/>
              </w:tcPr>
              <w:p w:rsidR="00EF2151" w:rsidRDefault="00A8726A">
                <w:pPr>
                  <w:tabs>
                    <w:tab w:val="right" w:pos="8838"/>
                  </w:tabs>
                  <w:ind w:right="-32"/>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Luis Gustavo Parra Noriega</w:t>
                </w:r>
              </w:p>
            </w:tc>
          </w:tr>
        </w:tbl>
        <w:p w:rsidR="00EF2151" w:rsidRDefault="00EF2151">
          <w:pPr>
            <w:tabs>
              <w:tab w:val="right" w:pos="8838"/>
            </w:tabs>
            <w:ind w:left="-28"/>
            <w:rPr>
              <w:rFonts w:ascii="Arial" w:eastAsia="Arial" w:hAnsi="Arial" w:cs="Arial"/>
              <w:b/>
            </w:rPr>
          </w:pPr>
        </w:p>
      </w:tc>
    </w:tr>
  </w:tbl>
  <w:p w:rsidR="00EF2151" w:rsidRDefault="00EF2151">
    <w:pPr>
      <w:pBdr>
        <w:top w:val="nil"/>
        <w:left w:val="nil"/>
        <w:bottom w:val="nil"/>
        <w:right w:val="nil"/>
        <w:between w:val="nil"/>
      </w:pBdr>
      <w:tabs>
        <w:tab w:val="center" w:pos="4419"/>
        <w:tab w:val="right" w:pos="8838"/>
      </w:tabs>
      <w:rPr>
        <w:color w:val="000000"/>
        <w:sz w:val="14"/>
        <w:szCs w:val="14"/>
      </w:rPr>
    </w:pPr>
  </w:p>
  <w:p w:rsidR="00EF2151" w:rsidRDefault="00EF2151">
    <w:pPr>
      <w:pBdr>
        <w:top w:val="nil"/>
        <w:left w:val="nil"/>
        <w:bottom w:val="nil"/>
        <w:right w:val="nil"/>
        <w:between w:val="nil"/>
      </w:pBdr>
      <w:tabs>
        <w:tab w:val="center" w:pos="4419"/>
        <w:tab w:val="right" w:pos="8838"/>
      </w:tabs>
      <w:rPr>
        <w:color w:val="000000"/>
        <w:sz w:val="14"/>
        <w:szCs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151" w:rsidRDefault="00EF2151">
    <w:pPr>
      <w:widowControl w:val="0"/>
      <w:pBdr>
        <w:top w:val="nil"/>
        <w:left w:val="nil"/>
        <w:bottom w:val="nil"/>
        <w:right w:val="nil"/>
        <w:between w:val="nil"/>
      </w:pBdr>
      <w:spacing w:line="276" w:lineRule="auto"/>
      <w:rPr>
        <w:color w:val="000000"/>
        <w:sz w:val="14"/>
        <w:szCs w:val="14"/>
      </w:rPr>
    </w:pPr>
  </w:p>
  <w:tbl>
    <w:tblPr>
      <w:tblStyle w:val="a8"/>
      <w:tblW w:w="6946" w:type="dxa"/>
      <w:tblInd w:w="2268" w:type="dxa"/>
      <w:tblBorders>
        <w:top w:val="nil"/>
        <w:left w:val="nil"/>
        <w:bottom w:val="nil"/>
        <w:right w:val="nil"/>
        <w:insideH w:val="nil"/>
        <w:insideV w:val="nil"/>
      </w:tblBorders>
      <w:tblLayout w:type="fixed"/>
      <w:tblLook w:val="0400" w:firstRow="0" w:lastRow="0" w:firstColumn="0" w:lastColumn="0" w:noHBand="0" w:noVBand="1"/>
    </w:tblPr>
    <w:tblGrid>
      <w:gridCol w:w="3686"/>
      <w:gridCol w:w="3260"/>
    </w:tblGrid>
    <w:tr w:rsidR="00EF2151">
      <w:trPr>
        <w:trHeight w:val="302"/>
      </w:trPr>
      <w:tc>
        <w:tcPr>
          <w:tcW w:w="3686" w:type="dxa"/>
        </w:tcPr>
        <w:p w:rsidR="00EF2151" w:rsidRDefault="00A8726A">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Recurso de Revisión:</w:t>
          </w:r>
        </w:p>
      </w:tc>
      <w:tc>
        <w:tcPr>
          <w:tcW w:w="3260" w:type="dxa"/>
        </w:tcPr>
        <w:p w:rsidR="00EF2151" w:rsidRDefault="00A8726A">
          <w:pPr>
            <w:tabs>
              <w:tab w:val="right" w:pos="8838"/>
            </w:tabs>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07066/INFOEM/IP/RR/2024</w:t>
          </w:r>
        </w:p>
      </w:tc>
    </w:tr>
    <w:tr w:rsidR="00EF2151">
      <w:trPr>
        <w:trHeight w:val="110"/>
      </w:trPr>
      <w:tc>
        <w:tcPr>
          <w:tcW w:w="3686" w:type="dxa"/>
        </w:tcPr>
        <w:p w:rsidR="00EF2151" w:rsidRDefault="00A8726A">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Recurrente:</w:t>
          </w:r>
        </w:p>
      </w:tc>
      <w:tc>
        <w:tcPr>
          <w:tcW w:w="3260" w:type="dxa"/>
        </w:tcPr>
        <w:p w:rsidR="00EF2151" w:rsidRDefault="004D53A5">
          <w:pPr>
            <w:jc w:val="both"/>
            <w:rPr>
              <w:rFonts w:ascii="Palatino Linotype" w:eastAsia="Palatino Linotype" w:hAnsi="Palatino Linotype" w:cs="Palatino Linotype"/>
              <w:sz w:val="22"/>
              <w:szCs w:val="22"/>
            </w:rPr>
          </w:pPr>
          <w:r w:rsidRPr="004D53A5">
            <w:rPr>
              <w:rFonts w:ascii="Palatino Linotype" w:eastAsia="Palatino Linotype" w:hAnsi="Palatino Linotype" w:cs="Palatino Linotype"/>
              <w:sz w:val="22"/>
              <w:szCs w:val="22"/>
              <w:highlight w:val="black"/>
            </w:rPr>
            <w:t>XX</w:t>
          </w:r>
        </w:p>
      </w:tc>
    </w:tr>
    <w:tr w:rsidR="00EF2151">
      <w:trPr>
        <w:trHeight w:val="248"/>
      </w:trPr>
      <w:tc>
        <w:tcPr>
          <w:tcW w:w="3686" w:type="dxa"/>
        </w:tcPr>
        <w:p w:rsidR="00EF2151" w:rsidRDefault="00A8726A">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Sujeto Obligado:</w:t>
          </w:r>
        </w:p>
      </w:tc>
      <w:tc>
        <w:tcPr>
          <w:tcW w:w="3260" w:type="dxa"/>
        </w:tcPr>
        <w:p w:rsidR="00EF2151" w:rsidRDefault="00A8726A">
          <w:pPr>
            <w:tabs>
              <w:tab w:val="right" w:pos="8838"/>
            </w:tabs>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Secretaría Ejecutiva del Sistema Estatal Anticorrupción</w:t>
          </w:r>
        </w:p>
      </w:tc>
    </w:tr>
    <w:tr w:rsidR="00EF2151">
      <w:trPr>
        <w:trHeight w:val="248"/>
      </w:trPr>
      <w:tc>
        <w:tcPr>
          <w:tcW w:w="3686" w:type="dxa"/>
        </w:tcPr>
        <w:p w:rsidR="00EF2151" w:rsidRDefault="00A8726A">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Comisionado Ponente:</w:t>
          </w:r>
        </w:p>
      </w:tc>
      <w:tc>
        <w:tcPr>
          <w:tcW w:w="3260" w:type="dxa"/>
        </w:tcPr>
        <w:p w:rsidR="00EF2151" w:rsidRDefault="00A8726A">
          <w:pPr>
            <w:tabs>
              <w:tab w:val="right" w:pos="8838"/>
            </w:tabs>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rsidR="00EF2151" w:rsidRDefault="003866AB">
    <w:pPr>
      <w:ind w:right="-31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marcaaguaINFOEM" style="position:absolute;margin-left:-92.55pt;margin-top:-120.9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EE5BC6"/>
    <w:multiLevelType w:val="multilevel"/>
    <w:tmpl w:val="217ABB4A"/>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2EC1EE1"/>
    <w:multiLevelType w:val="multilevel"/>
    <w:tmpl w:val="891467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151"/>
    <w:rsid w:val="00077245"/>
    <w:rsid w:val="000D3808"/>
    <w:rsid w:val="002A1EA5"/>
    <w:rsid w:val="003120FE"/>
    <w:rsid w:val="003866AB"/>
    <w:rsid w:val="00467EFF"/>
    <w:rsid w:val="004D53A5"/>
    <w:rsid w:val="0051755E"/>
    <w:rsid w:val="007E4934"/>
    <w:rsid w:val="00A8726A"/>
    <w:rsid w:val="00B34F85"/>
    <w:rsid w:val="00EF2151"/>
    <w:rsid w:val="00F30A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2A81A91-7773-45CF-8955-A2AB8F988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44A7"/>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8B44A7"/>
    <w:pPr>
      <w:tabs>
        <w:tab w:val="center" w:pos="4419"/>
        <w:tab w:val="right" w:pos="8838"/>
      </w:tabs>
    </w:pPr>
  </w:style>
  <w:style w:type="character" w:customStyle="1" w:styleId="EncabezadoCar">
    <w:name w:val="Encabezado Car"/>
    <w:basedOn w:val="Fuentedeprrafopredeter"/>
    <w:link w:val="Encabezado"/>
    <w:uiPriority w:val="99"/>
    <w:rsid w:val="008B44A7"/>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8B44A7"/>
    <w:pPr>
      <w:tabs>
        <w:tab w:val="center" w:pos="4419"/>
        <w:tab w:val="right" w:pos="8838"/>
      </w:tabs>
    </w:pPr>
  </w:style>
  <w:style w:type="character" w:customStyle="1" w:styleId="PiedepginaCar">
    <w:name w:val="Pie de página Car"/>
    <w:basedOn w:val="Fuentedeprrafopredeter"/>
    <w:link w:val="Piedepgina"/>
    <w:uiPriority w:val="99"/>
    <w:rsid w:val="008B44A7"/>
    <w:rPr>
      <w:rFonts w:ascii="Times New Roman" w:eastAsia="Times New Roman" w:hAnsi="Times New Roman" w:cs="Times New Roman"/>
      <w:sz w:val="20"/>
      <w:szCs w:val="20"/>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B44A7"/>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8B44A7"/>
    <w:rPr>
      <w:rFonts w:ascii="Century Gothic" w:eastAsia="Times New Roman" w:hAnsi="Century Gothic" w:cs="Times New Roman"/>
      <w:szCs w:val="24"/>
      <w:lang w:eastAsia="es-ES"/>
    </w:rPr>
  </w:style>
  <w:style w:type="table" w:styleId="Tablaconcuadrcula">
    <w:name w:val="Table Grid"/>
    <w:basedOn w:val="Tablanormal"/>
    <w:uiPriority w:val="39"/>
    <w:rsid w:val="008B44A7"/>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80204"/>
    <w:rPr>
      <w:color w:val="0563C1" w:themeColor="hyperlink"/>
      <w:u w:val="single"/>
    </w:rPr>
  </w:style>
  <w:style w:type="paragraph" w:customStyle="1" w:styleId="Default">
    <w:name w:val="Default"/>
    <w:rsid w:val="0077236F"/>
    <w:pPr>
      <w:autoSpaceDE w:val="0"/>
      <w:autoSpaceDN w:val="0"/>
      <w:adjustRightInd w:val="0"/>
    </w:pPr>
    <w:rPr>
      <w:rFonts w:ascii="Arial" w:hAnsi="Arial" w:cs="Arial"/>
      <w:color w:val="000000"/>
      <w:sz w:val="24"/>
      <w:szCs w:val="24"/>
    </w:rPr>
  </w:style>
  <w:style w:type="character" w:customStyle="1" w:styleId="UnresolvedMention">
    <w:name w:val="Unresolved Mention"/>
    <w:basedOn w:val="Fuentedeprrafopredeter"/>
    <w:uiPriority w:val="99"/>
    <w:semiHidden/>
    <w:unhideWhenUsed/>
    <w:rsid w:val="009B3703"/>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infoem2.ipomex.org.mx/ipomex/" TargetMode="External"/><Relationship Id="rId18" Type="http://schemas.openxmlformats.org/officeDocument/2006/relationships/image" Target="media/image3.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infoem2.ipomex.org.mx/ipomex/" TargetMode="External"/><Relationship Id="rId7" Type="http://schemas.openxmlformats.org/officeDocument/2006/relationships/endnotes" Target="endnotes.xml"/><Relationship Id="rId12" Type="http://schemas.openxmlformats.org/officeDocument/2006/relationships/hyperlink" Target="https://infoem2.ipomex.org.mx/ipomex/" TargetMode="External"/><Relationship Id="rId17" Type="http://schemas.openxmlformats.org/officeDocument/2006/relationships/hyperlink" Target="http://www.sesaemm.gob.mx" TargetMode="Externa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saemm.gob.mx/politica_antisoborno/" TargetMode="Externa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plataformadetransparencia.org.mx/web/guest/inicio" TargetMode="External"/><Relationship Id="rId23" Type="http://schemas.openxmlformats.org/officeDocument/2006/relationships/hyperlink" Target="http://www.sesaemm.gob.mx" TargetMode="External"/><Relationship Id="rId28" Type="http://schemas.openxmlformats.org/officeDocument/2006/relationships/header" Target="header2.xml"/><Relationship Id="rId10" Type="http://schemas.openxmlformats.org/officeDocument/2006/relationships/hyperlink" Target="http://www.sesaemm.gob.mx" TargetMode="External"/><Relationship Id="rId19" Type="http://schemas.openxmlformats.org/officeDocument/2006/relationships/hyperlink" Target="https://sesaemm.gob.mx/politica_antisoborno/"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plataformadetransparencia.org.mx/web/guest/inicio"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hyperlink" Target="https://infoem2.ipomex.org.mx/ipome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MI4p9zteQRMcf7P0/AiYmZk3oA==">CgMxLjAyCGguZ2pkZ3hzMgloLjMwajB6bGw4AHIhMTJiRGdxYTFoNUVnbG1Uc2p2V245bEM0TzlDTlF5TFBj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47</Pages>
  <Words>9316</Words>
  <Characters>51239</Characters>
  <Application>Microsoft Office Word</Application>
  <DocSecurity>0</DocSecurity>
  <Lines>426</Lines>
  <Paragraphs>120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60435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INFOEM500</dc:creator>
  <cp:lastModifiedBy>INFOEM</cp:lastModifiedBy>
  <cp:revision>5</cp:revision>
  <cp:lastPrinted>2024-12-05T17:52:00Z</cp:lastPrinted>
  <dcterms:created xsi:type="dcterms:W3CDTF">2024-12-05T17:52:00Z</dcterms:created>
  <dcterms:modified xsi:type="dcterms:W3CDTF">2025-02-04T20:41:00Z</dcterms:modified>
</cp:coreProperties>
</file>