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1C058" w14:textId="77777777" w:rsidR="005F0980" w:rsidRDefault="005F0980" w:rsidP="005F0980">
      <w:pPr>
        <w:shd w:val="clear" w:color="auto" w:fill="FFFFFF"/>
        <w:spacing w:line="360" w:lineRule="auto"/>
        <w:jc w:val="both"/>
        <w:rPr>
          <w:rFonts w:ascii="Palatino Linotype" w:hAnsi="Palatino Linotype" w:cs="Arial"/>
          <w:color w:val="000000"/>
          <w:lang w:val="es-MX" w:eastAsia="es-MX"/>
        </w:rPr>
      </w:pPr>
    </w:p>
    <w:p w14:paraId="62ECDCD6" w14:textId="6B0160DC" w:rsidR="005F0980" w:rsidRPr="00037B15" w:rsidRDefault="005F0980" w:rsidP="005F0980">
      <w:pPr>
        <w:shd w:val="clear" w:color="auto" w:fill="FFFFFF"/>
        <w:spacing w:line="360" w:lineRule="auto"/>
        <w:jc w:val="both"/>
        <w:rPr>
          <w:rFonts w:ascii="Palatino Linotype" w:hAnsi="Palatino Linotype" w:cs="Arial"/>
          <w:color w:val="000000"/>
          <w:lang w:val="es-MX" w:eastAsia="es-MX"/>
        </w:rPr>
      </w:pPr>
      <w:r w:rsidRPr="00037B1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Pr="00B76636">
        <w:rPr>
          <w:rFonts w:ascii="Palatino Linotype" w:hAnsi="Palatino Linotype" w:cs="Arial"/>
          <w:b/>
          <w:color w:val="000000"/>
          <w:lang w:val="es-MX" w:eastAsia="es-MX"/>
        </w:rPr>
        <w:t>tr</w:t>
      </w:r>
      <w:r>
        <w:rPr>
          <w:rFonts w:ascii="Palatino Linotype" w:hAnsi="Palatino Linotype" w:cs="Arial"/>
          <w:b/>
          <w:color w:val="000000"/>
          <w:lang w:val="es-MX" w:eastAsia="es-MX"/>
        </w:rPr>
        <w:t>es</w:t>
      </w:r>
      <w:r w:rsidRPr="00B76636">
        <w:rPr>
          <w:rFonts w:ascii="Palatino Linotype" w:hAnsi="Palatino Linotype" w:cs="Arial"/>
          <w:b/>
          <w:color w:val="000000"/>
          <w:lang w:val="es-MX" w:eastAsia="es-MX"/>
        </w:rPr>
        <w:t xml:space="preserve"> de </w:t>
      </w:r>
      <w:r>
        <w:rPr>
          <w:rFonts w:ascii="Palatino Linotype" w:hAnsi="Palatino Linotype" w:cs="Arial"/>
          <w:b/>
          <w:color w:val="000000"/>
          <w:lang w:val="es-MX" w:eastAsia="es-MX"/>
        </w:rPr>
        <w:t>abril</w:t>
      </w:r>
      <w:r w:rsidRPr="00B76636">
        <w:rPr>
          <w:rFonts w:ascii="Palatino Linotype" w:hAnsi="Palatino Linotype" w:cs="Arial"/>
          <w:b/>
          <w:color w:val="000000"/>
          <w:lang w:val="es-MX" w:eastAsia="es-MX"/>
        </w:rPr>
        <w:t xml:space="preserve"> </w:t>
      </w:r>
      <w:r w:rsidR="00066A7F">
        <w:rPr>
          <w:rFonts w:ascii="Palatino Linotype" w:hAnsi="Palatino Linotype" w:cs="Arial"/>
          <w:b/>
          <w:color w:val="000000"/>
          <w:lang w:val="es-MX" w:eastAsia="es-MX"/>
        </w:rPr>
        <w:t xml:space="preserve">de </w:t>
      </w:r>
      <w:r w:rsidRPr="00B76636">
        <w:rPr>
          <w:rFonts w:ascii="Palatino Linotype" w:hAnsi="Palatino Linotype" w:cs="Arial"/>
          <w:b/>
          <w:color w:val="000000"/>
          <w:lang w:val="es-MX" w:eastAsia="es-MX"/>
        </w:rPr>
        <w:t>dos mil veinticuatro</w:t>
      </w:r>
      <w:r w:rsidRPr="00037B15">
        <w:rPr>
          <w:rFonts w:ascii="Palatino Linotype" w:hAnsi="Palatino Linotype" w:cs="Arial"/>
          <w:color w:val="000000"/>
          <w:lang w:val="es-MX" w:eastAsia="es-MX"/>
        </w:rPr>
        <w:t>.</w:t>
      </w:r>
    </w:p>
    <w:p w14:paraId="33E0FB19" w14:textId="77777777" w:rsidR="005F0980" w:rsidRPr="00037B15" w:rsidRDefault="005F0980" w:rsidP="005F0980">
      <w:pPr>
        <w:tabs>
          <w:tab w:val="left" w:pos="1701"/>
        </w:tabs>
        <w:spacing w:line="360" w:lineRule="auto"/>
        <w:jc w:val="both"/>
        <w:rPr>
          <w:rFonts w:ascii="Palatino Linotype" w:hAnsi="Palatino Linotype" w:cs="Arial"/>
          <w:color w:val="000000"/>
          <w:lang w:val="es-MX" w:eastAsia="es-MX"/>
        </w:rPr>
      </w:pPr>
    </w:p>
    <w:p w14:paraId="590DC380" w14:textId="77777777" w:rsidR="005F0980" w:rsidRPr="00037B15" w:rsidRDefault="005F0980" w:rsidP="005F0980">
      <w:pPr>
        <w:tabs>
          <w:tab w:val="left" w:pos="1701"/>
        </w:tabs>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b/>
          <w:lang w:val="es-MX" w:eastAsia="en-US"/>
        </w:rPr>
        <w:t>VISTO</w:t>
      </w:r>
      <w:r w:rsidRPr="00037B15">
        <w:rPr>
          <w:rFonts w:ascii="Palatino Linotype" w:eastAsiaTheme="minorHAnsi" w:hAnsi="Palatino Linotype" w:cs="Arial"/>
          <w:lang w:val="es-MX" w:eastAsia="en-US"/>
        </w:rPr>
        <w:t xml:space="preserve"> el expediente electrónico formado con motivo del recurso de revisión número </w:t>
      </w:r>
      <w:bookmarkStart w:id="0" w:name="_GoBack"/>
      <w:r>
        <w:rPr>
          <w:rFonts w:ascii="Palatino Linotype" w:eastAsiaTheme="minorHAnsi" w:hAnsi="Palatino Linotype" w:cs="Arial"/>
          <w:b/>
          <w:lang w:val="es-MX" w:eastAsia="en-US"/>
        </w:rPr>
        <w:t>07525</w:t>
      </w:r>
      <w:r w:rsidRPr="00037B15">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3</w:t>
      </w:r>
      <w:bookmarkEnd w:id="0"/>
      <w:r w:rsidRPr="00037B15">
        <w:rPr>
          <w:rFonts w:ascii="Palatino Linotype" w:eastAsiaTheme="minorHAnsi" w:hAnsi="Palatino Linotype" w:cs="Arial"/>
          <w:lang w:val="es-MX" w:eastAsia="en-US"/>
        </w:rPr>
        <w:t xml:space="preserve">, </w:t>
      </w:r>
      <w:r w:rsidRPr="00037B15">
        <w:rPr>
          <w:rFonts w:ascii="Palatino Linotype" w:hAnsi="Palatino Linotype" w:cs="Arial"/>
        </w:rPr>
        <w:t xml:space="preserve">interpuesto por </w:t>
      </w:r>
      <w:r>
        <w:rPr>
          <w:rFonts w:ascii="Palatino Linotype" w:hAnsi="Palatino Linotype" w:cs="Arial"/>
          <w:b/>
        </w:rPr>
        <w:t>no proporcionó nombre</w:t>
      </w:r>
      <w:r>
        <w:rPr>
          <w:rFonts w:ascii="Palatino Linotype" w:hAnsi="Palatino Linotype" w:cs="Arial"/>
        </w:rPr>
        <w:t>,</w:t>
      </w:r>
      <w:r w:rsidRPr="00037B15">
        <w:rPr>
          <w:rFonts w:ascii="Palatino Linotype" w:hAnsi="Palatino Linotype" w:cs="Arial"/>
        </w:rPr>
        <w:t xml:space="preserve"> con el cual desee ser identificado,</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la parte Recurrente</w:t>
      </w:r>
      <w:r w:rsidRPr="00037B15">
        <w:rPr>
          <w:rFonts w:ascii="Palatino Linotype" w:eastAsiaTheme="minorHAnsi" w:hAnsi="Palatino Linotype" w:cs="Arial"/>
          <w:lang w:val="es-MX" w:eastAsia="en-US"/>
        </w:rPr>
        <w:t xml:space="preserve">, en contra de la respuesta del </w:t>
      </w:r>
      <w:r w:rsidRPr="005F0980">
        <w:rPr>
          <w:rFonts w:ascii="Palatino Linotype" w:eastAsiaTheme="minorHAnsi" w:hAnsi="Palatino Linotype" w:cs="Arial"/>
          <w:b/>
          <w:lang w:val="es-MX" w:eastAsia="en-US"/>
        </w:rPr>
        <w:t>Secretaría de Movilidad</w:t>
      </w:r>
      <w:r w:rsidRPr="00037B15">
        <w:rPr>
          <w:rFonts w:ascii="Palatino Linotype" w:eastAsiaTheme="minorHAnsi" w:hAnsi="Palatino Linotype" w:cs="Arial"/>
          <w:lang w:val="es-MX" w:eastAsia="en-US"/>
        </w:rPr>
        <w:t>,</w:t>
      </w:r>
      <w:r w:rsidRPr="00037B15">
        <w:rPr>
          <w:rFonts w:ascii="Palatino Linotype" w:eastAsiaTheme="minorHAnsi" w:hAnsi="Palatino Linotype" w:cs="Arial"/>
          <w:b/>
          <w:lang w:val="es-MX" w:eastAsia="en-US"/>
        </w:rPr>
        <w:t xml:space="preserve"> </w:t>
      </w:r>
      <w:r w:rsidRPr="00037B15">
        <w:rPr>
          <w:rFonts w:ascii="Palatino Linotype" w:eastAsiaTheme="minorHAnsi" w:hAnsi="Palatino Linotype" w:cs="Arial"/>
          <w:lang w:val="es-MX" w:eastAsia="en-US"/>
        </w:rPr>
        <w:t>en lo subsecuente</w:t>
      </w:r>
      <w:r w:rsidRPr="00037B15">
        <w:rPr>
          <w:rFonts w:ascii="Palatino Linotype" w:eastAsiaTheme="minorHAnsi" w:hAnsi="Palatino Linotype" w:cs="Arial"/>
          <w:b/>
          <w:lang w:val="es-MX" w:eastAsia="en-US"/>
        </w:rPr>
        <w:t xml:space="preserve"> </w:t>
      </w:r>
      <w:r w:rsidRPr="00CC215B">
        <w:rPr>
          <w:rFonts w:ascii="Palatino Linotype" w:eastAsiaTheme="minorHAnsi" w:hAnsi="Palatino Linotype" w:cs="Arial"/>
          <w:lang w:val="es-MX" w:eastAsia="en-US"/>
        </w:rPr>
        <w:t xml:space="preserve">el </w:t>
      </w:r>
      <w:r w:rsidRPr="00037B15">
        <w:rPr>
          <w:rFonts w:ascii="Palatino Linotype" w:eastAsiaTheme="minorHAnsi" w:hAnsi="Palatino Linotype" w:cs="Arial"/>
          <w:b/>
          <w:lang w:val="es-MX" w:eastAsia="en-US"/>
        </w:rPr>
        <w:t xml:space="preserve">Sujeto Obligado, </w:t>
      </w:r>
      <w:r w:rsidRPr="00037B15">
        <w:rPr>
          <w:rFonts w:ascii="Palatino Linotype" w:eastAsiaTheme="minorHAnsi" w:hAnsi="Palatino Linotype" w:cs="Arial"/>
          <w:lang w:val="es-MX" w:eastAsia="en-US"/>
        </w:rPr>
        <w:t>se procede a dictar la presente resolución.</w:t>
      </w:r>
    </w:p>
    <w:p w14:paraId="0011E20A" w14:textId="77777777" w:rsidR="005F0980" w:rsidRPr="00037B15" w:rsidRDefault="005F0980" w:rsidP="005F0980">
      <w:pPr>
        <w:tabs>
          <w:tab w:val="left" w:pos="1701"/>
        </w:tabs>
        <w:spacing w:line="360" w:lineRule="auto"/>
        <w:jc w:val="both"/>
        <w:rPr>
          <w:rFonts w:ascii="Palatino Linotype" w:eastAsiaTheme="minorHAnsi" w:hAnsi="Palatino Linotype" w:cs="Arial"/>
          <w:b/>
          <w:sz w:val="20"/>
          <w:lang w:val="es-MX" w:eastAsia="en-US"/>
        </w:rPr>
      </w:pPr>
    </w:p>
    <w:p w14:paraId="4919599F" w14:textId="77777777" w:rsidR="005F0980" w:rsidRPr="00037B15" w:rsidRDefault="005F0980" w:rsidP="005F0980">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A N T E C E D E N T E S</w:t>
      </w:r>
    </w:p>
    <w:p w14:paraId="6C90073F" w14:textId="77777777" w:rsidR="005F0980" w:rsidRPr="00037B15" w:rsidRDefault="005F0980" w:rsidP="005F0980">
      <w:pPr>
        <w:spacing w:line="360" w:lineRule="auto"/>
        <w:jc w:val="center"/>
        <w:rPr>
          <w:rFonts w:ascii="Palatino Linotype" w:eastAsiaTheme="minorHAnsi" w:hAnsi="Palatino Linotype" w:cs="Arial"/>
          <w:b/>
          <w:sz w:val="16"/>
          <w:lang w:val="es-MX" w:eastAsia="en-US"/>
        </w:rPr>
      </w:pPr>
    </w:p>
    <w:p w14:paraId="6C72E53C" w14:textId="77777777" w:rsidR="005F0980" w:rsidRPr="00037B15" w:rsidRDefault="005F0980" w:rsidP="005F0980">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PRIMERO. De la solicitud de información.</w:t>
      </w:r>
    </w:p>
    <w:p w14:paraId="0ED117A0" w14:textId="77777777" w:rsidR="005F0980" w:rsidRPr="002100AE" w:rsidRDefault="005F0980" w:rsidP="005F0980">
      <w:pPr>
        <w:spacing w:line="360" w:lineRule="auto"/>
        <w:jc w:val="both"/>
        <w:rPr>
          <w:rFonts w:ascii="Palatino Linotype" w:eastAsiaTheme="minorHAnsi" w:hAnsi="Palatino Linotype" w:cs="Arial"/>
          <w:b/>
          <w:szCs w:val="22"/>
          <w:lang w:val="es-MX" w:eastAsia="en-US"/>
        </w:rPr>
      </w:pPr>
      <w:r w:rsidRPr="00037B15">
        <w:rPr>
          <w:rFonts w:ascii="Palatino Linotype" w:eastAsiaTheme="minorHAnsi" w:hAnsi="Palatino Linotype" w:cs="Arial"/>
          <w:szCs w:val="22"/>
          <w:lang w:val="es-MX" w:eastAsia="en-US"/>
        </w:rPr>
        <w:t xml:space="preserve">En fecha </w:t>
      </w:r>
      <w:r>
        <w:rPr>
          <w:rFonts w:ascii="Palatino Linotype" w:eastAsiaTheme="minorHAnsi" w:hAnsi="Palatino Linotype" w:cs="Arial"/>
          <w:b/>
          <w:szCs w:val="22"/>
          <w:lang w:val="es-MX" w:eastAsia="en-US"/>
        </w:rPr>
        <w:t>veintiocho</w:t>
      </w:r>
      <w:r w:rsidRPr="00A86565">
        <w:rPr>
          <w:rFonts w:ascii="Palatino Linotype" w:eastAsiaTheme="minorHAnsi" w:hAnsi="Palatino Linotype" w:cs="Arial"/>
          <w:b/>
          <w:szCs w:val="22"/>
          <w:lang w:val="es-MX" w:eastAsia="en-US"/>
        </w:rPr>
        <w:t xml:space="preserve"> de </w:t>
      </w:r>
      <w:r>
        <w:rPr>
          <w:rFonts w:ascii="Palatino Linotype" w:eastAsiaTheme="minorHAnsi" w:hAnsi="Palatino Linotype" w:cs="Arial"/>
          <w:b/>
          <w:szCs w:val="22"/>
          <w:lang w:val="es-MX" w:eastAsia="en-US"/>
        </w:rPr>
        <w:t>septiembre</w:t>
      </w:r>
      <w:r w:rsidRPr="00A86565">
        <w:rPr>
          <w:rFonts w:ascii="Palatino Linotype" w:eastAsiaTheme="minorHAnsi" w:hAnsi="Palatino Linotype" w:cs="Arial"/>
          <w:b/>
          <w:szCs w:val="22"/>
          <w:lang w:val="es-MX" w:eastAsia="en-US"/>
        </w:rPr>
        <w:t xml:space="preserve"> de dos mil veinti</w:t>
      </w:r>
      <w:r>
        <w:rPr>
          <w:rFonts w:ascii="Palatino Linotype" w:eastAsiaTheme="minorHAnsi" w:hAnsi="Palatino Linotype" w:cs="Arial"/>
          <w:b/>
          <w:szCs w:val="22"/>
          <w:lang w:val="es-MX" w:eastAsia="en-US"/>
        </w:rPr>
        <w:t>tré</w:t>
      </w:r>
      <w:r w:rsidRPr="00A86565">
        <w:rPr>
          <w:rFonts w:ascii="Palatino Linotype" w:eastAsiaTheme="minorHAnsi" w:hAnsi="Palatino Linotype" w:cs="Arial"/>
          <w:b/>
          <w:szCs w:val="22"/>
          <w:lang w:val="es-MX" w:eastAsia="en-US"/>
        </w:rPr>
        <w:t>s</w:t>
      </w:r>
      <w:r w:rsidRPr="00037B15">
        <w:rPr>
          <w:rFonts w:ascii="Palatino Linotype" w:eastAsiaTheme="minorHAnsi" w:hAnsi="Palatino Linotype" w:cs="Arial"/>
          <w:szCs w:val="22"/>
          <w:lang w:val="es-MX" w:eastAsia="en-US"/>
        </w:rPr>
        <w:t xml:space="preserve">, </w:t>
      </w:r>
      <w:r>
        <w:rPr>
          <w:rFonts w:ascii="Palatino Linotype" w:eastAsiaTheme="minorHAnsi" w:hAnsi="Palatino Linotype" w:cs="Arial"/>
          <w:szCs w:val="22"/>
          <w:lang w:val="es-MX" w:eastAsia="en-US"/>
        </w:rPr>
        <w:t>la parte</w:t>
      </w:r>
      <w:r w:rsidRPr="00037B15">
        <w:rPr>
          <w:rFonts w:ascii="Palatino Linotype" w:eastAsiaTheme="minorHAnsi" w:hAnsi="Palatino Linotype" w:cs="Arial"/>
          <w:szCs w:val="22"/>
          <w:lang w:val="es-MX" w:eastAsia="en-US"/>
        </w:rPr>
        <w:t xml:space="preserve"> </w:t>
      </w:r>
      <w:r w:rsidRPr="00037B15">
        <w:rPr>
          <w:rFonts w:ascii="Palatino Linotype" w:eastAsiaTheme="minorHAnsi" w:hAnsi="Palatino Linotype" w:cs="Arial"/>
          <w:b/>
          <w:szCs w:val="22"/>
          <w:lang w:val="es-MX" w:eastAsia="en-US"/>
        </w:rPr>
        <w:t>Recurrente</w:t>
      </w:r>
      <w:r w:rsidRPr="00037B15">
        <w:rPr>
          <w:rFonts w:ascii="Palatino Linotype" w:eastAsiaTheme="minorHAnsi" w:hAnsi="Palatino Linotype" w:cs="Arial"/>
          <w:szCs w:val="22"/>
          <w:lang w:val="es-MX" w:eastAsia="en-US"/>
        </w:rPr>
        <w:t xml:space="preserve">, presentó a través del Sistema de Acceso a la Información Mexiquense </w:t>
      </w:r>
      <w:r w:rsidRPr="00037B15">
        <w:rPr>
          <w:rFonts w:ascii="Palatino Linotype" w:eastAsiaTheme="minorHAnsi" w:hAnsi="Palatino Linotype" w:cs="Arial"/>
          <w:b/>
          <w:szCs w:val="22"/>
          <w:lang w:val="es-MX" w:eastAsia="en-US"/>
        </w:rPr>
        <w:t>(SAIMEX),</w:t>
      </w:r>
      <w:r w:rsidRPr="00037B15">
        <w:rPr>
          <w:rFonts w:ascii="Palatino Linotype" w:eastAsiaTheme="minorHAnsi" w:hAnsi="Palatino Linotype" w:cs="Arial"/>
          <w:szCs w:val="22"/>
          <w:lang w:val="es-MX" w:eastAsia="en-US"/>
        </w:rPr>
        <w:t xml:space="preserve"> ante el </w:t>
      </w:r>
      <w:r w:rsidRPr="00037B15">
        <w:rPr>
          <w:rFonts w:ascii="Palatino Linotype" w:eastAsiaTheme="minorHAnsi" w:hAnsi="Palatino Linotype" w:cs="Arial"/>
          <w:b/>
          <w:szCs w:val="22"/>
          <w:lang w:val="es-MX" w:eastAsia="en-US"/>
        </w:rPr>
        <w:t>Sujeto Obligado</w:t>
      </w:r>
      <w:r w:rsidRPr="00037B15">
        <w:rPr>
          <w:rFonts w:ascii="Palatino Linotype" w:eastAsiaTheme="minorHAnsi" w:hAnsi="Palatino Linotype" w:cs="Arial"/>
          <w:szCs w:val="22"/>
          <w:lang w:val="es-MX" w:eastAsia="en-US"/>
        </w:rPr>
        <w:t xml:space="preserve">, la solicitud de acceso a la información pública, a la que se le asignó el número de expediente </w:t>
      </w:r>
      <w:r w:rsidRPr="005F0980">
        <w:rPr>
          <w:rFonts w:ascii="Palatino Linotype" w:eastAsiaTheme="minorHAnsi" w:hAnsi="Palatino Linotype" w:cs="Arial"/>
          <w:b/>
          <w:szCs w:val="22"/>
          <w:lang w:val="es-MX" w:eastAsia="en-US"/>
        </w:rPr>
        <w:t>00497/SMOV/IP/2023</w:t>
      </w:r>
      <w:r w:rsidRPr="00037B15">
        <w:rPr>
          <w:rFonts w:ascii="Palatino Linotype" w:eastAsiaTheme="minorHAnsi" w:hAnsi="Palatino Linotype" w:cs="Arial"/>
          <w:szCs w:val="22"/>
          <w:lang w:val="es-MX" w:eastAsia="en-US"/>
        </w:rPr>
        <w:t>, mediante la cual solicitó lo siguiente:</w:t>
      </w:r>
    </w:p>
    <w:p w14:paraId="06840D1A" w14:textId="77777777" w:rsidR="005F0980" w:rsidRPr="00037B15" w:rsidRDefault="005F0980" w:rsidP="005F0980">
      <w:pPr>
        <w:pStyle w:val="Sinespaciado"/>
        <w:rPr>
          <w:rFonts w:eastAsiaTheme="minorHAnsi"/>
          <w:lang w:eastAsia="en-US"/>
        </w:rPr>
      </w:pPr>
    </w:p>
    <w:p w14:paraId="12F745DC" w14:textId="77777777" w:rsidR="005F0980" w:rsidRDefault="005F0980" w:rsidP="005F0980">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lang w:val="es-MX"/>
        </w:rPr>
        <w:t>“</w:t>
      </w:r>
      <w:r w:rsidRPr="005F0980">
        <w:rPr>
          <w:rFonts w:ascii="Palatino Linotype" w:hAnsi="Palatino Linotype"/>
          <w:i/>
          <w:sz w:val="22"/>
          <w:szCs w:val="22"/>
          <w:lang w:val="es-MX" w:eastAsia="es-MX"/>
        </w:rPr>
        <w:t>Las rutas que serán las alimentadora en el TREN INSURGENTE en su primera etapa de operación.</w:t>
      </w:r>
      <w:r w:rsidRPr="00037B15">
        <w:rPr>
          <w:rFonts w:ascii="Palatino Linotype" w:hAnsi="Palatino Linotype"/>
          <w:i/>
          <w:sz w:val="22"/>
          <w:szCs w:val="22"/>
          <w:lang w:val="es-MX"/>
        </w:rPr>
        <w:t>”</w:t>
      </w:r>
      <w:r w:rsidRPr="00037B15">
        <w:rPr>
          <w:rFonts w:ascii="Palatino Linotype" w:hAnsi="Palatino Linotype"/>
          <w:i/>
          <w:sz w:val="22"/>
          <w:szCs w:val="22"/>
          <w:lang w:val="es-ES_tradnl"/>
        </w:rPr>
        <w:t xml:space="preserve"> (Sic).</w:t>
      </w:r>
    </w:p>
    <w:p w14:paraId="333FD13B" w14:textId="77777777" w:rsidR="005F0980" w:rsidRDefault="005F0980" w:rsidP="005F0980">
      <w:pPr>
        <w:spacing w:line="360" w:lineRule="auto"/>
        <w:ind w:left="284" w:right="332"/>
        <w:jc w:val="both"/>
        <w:rPr>
          <w:rFonts w:ascii="Palatino Linotype" w:hAnsi="Palatino Linotype"/>
          <w:sz w:val="22"/>
          <w:szCs w:val="22"/>
          <w:lang w:val="es-ES_tradnl"/>
        </w:rPr>
      </w:pPr>
    </w:p>
    <w:p w14:paraId="324A82C6" w14:textId="77777777" w:rsidR="005F0980" w:rsidRDefault="005F0980" w:rsidP="005F0980">
      <w:pPr>
        <w:tabs>
          <w:tab w:val="left" w:pos="5647"/>
        </w:tabs>
        <w:spacing w:line="360" w:lineRule="auto"/>
        <w:ind w:right="49"/>
        <w:jc w:val="both"/>
        <w:rPr>
          <w:rFonts w:ascii="Palatino Linotype" w:eastAsiaTheme="minorHAnsi" w:hAnsi="Palatino Linotype" w:cstheme="minorBidi"/>
          <w:color w:val="000000"/>
          <w:lang w:val="es-MX"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val="es-MX" w:eastAsia="en-US"/>
        </w:rPr>
        <w:t xml:space="preserve">A través del </w:t>
      </w:r>
      <w:r w:rsidRPr="00037B15">
        <w:rPr>
          <w:rFonts w:ascii="Palatino Linotype" w:eastAsiaTheme="minorHAnsi" w:hAnsi="Palatino Linotype" w:cstheme="minorBidi"/>
          <w:b/>
          <w:color w:val="000000"/>
          <w:lang w:val="es-MX" w:eastAsia="en-US"/>
        </w:rPr>
        <w:t>SAIMEX</w:t>
      </w:r>
      <w:r w:rsidRPr="00037B15">
        <w:rPr>
          <w:rFonts w:ascii="Palatino Linotype" w:eastAsiaTheme="minorHAnsi" w:hAnsi="Palatino Linotype" w:cstheme="minorBidi"/>
          <w:color w:val="000000"/>
          <w:lang w:val="es-MX" w:eastAsia="en-US"/>
        </w:rPr>
        <w:t>.</w:t>
      </w:r>
    </w:p>
    <w:p w14:paraId="6F87C490" w14:textId="77777777" w:rsidR="005F0980" w:rsidRPr="00D04063" w:rsidRDefault="005F0980" w:rsidP="005F0980">
      <w:pPr>
        <w:tabs>
          <w:tab w:val="left" w:pos="5647"/>
        </w:tabs>
        <w:spacing w:line="360" w:lineRule="auto"/>
        <w:ind w:right="49"/>
        <w:jc w:val="both"/>
        <w:rPr>
          <w:rFonts w:ascii="Palatino Linotype" w:eastAsiaTheme="minorHAnsi" w:hAnsi="Palatino Linotype" w:cstheme="minorBidi"/>
          <w:color w:val="000000"/>
          <w:lang w:val="es-MX" w:eastAsia="en-US"/>
        </w:rPr>
      </w:pPr>
    </w:p>
    <w:p w14:paraId="468CB1F6" w14:textId="77777777" w:rsidR="005F0980" w:rsidRDefault="005F0980" w:rsidP="005F0980">
      <w:pPr>
        <w:spacing w:line="360" w:lineRule="auto"/>
        <w:jc w:val="both"/>
        <w:rPr>
          <w:rFonts w:ascii="Palatino Linotype" w:eastAsiaTheme="minorHAnsi" w:hAnsi="Palatino Linotype" w:cs="Arial"/>
          <w:b/>
          <w:sz w:val="28"/>
          <w:lang w:val="es-MX" w:eastAsia="en-US"/>
        </w:rPr>
      </w:pPr>
    </w:p>
    <w:p w14:paraId="1E9408B4" w14:textId="77777777" w:rsidR="005F0980" w:rsidRDefault="005F0980" w:rsidP="005F0980">
      <w:pPr>
        <w:spacing w:line="360" w:lineRule="auto"/>
        <w:jc w:val="both"/>
        <w:rPr>
          <w:rFonts w:ascii="Palatino Linotype" w:eastAsiaTheme="minorHAnsi" w:hAnsi="Palatino Linotype" w:cs="Arial"/>
          <w:b/>
          <w:sz w:val="28"/>
          <w:lang w:val="es-MX" w:eastAsia="en-US"/>
        </w:rPr>
      </w:pPr>
    </w:p>
    <w:p w14:paraId="301EAF2B" w14:textId="77777777" w:rsidR="005F0980" w:rsidRPr="00037B15" w:rsidRDefault="005F0980" w:rsidP="005F0980">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SEGUNDO. De la respuesta del Sujeto Obligado. </w:t>
      </w:r>
    </w:p>
    <w:p w14:paraId="2432CCEE" w14:textId="77777777" w:rsidR="005F0980" w:rsidRPr="00037B15" w:rsidRDefault="005F0980" w:rsidP="005F0980">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De las constancias que obran en el sistema SAIMEX, se advierte que en fecha </w:t>
      </w:r>
      <w:r w:rsidR="00C50469" w:rsidRPr="00C50469">
        <w:rPr>
          <w:rFonts w:ascii="Palatino Linotype" w:eastAsiaTheme="minorHAnsi" w:hAnsi="Palatino Linotype" w:cs="Arial"/>
          <w:b/>
          <w:lang w:val="es-MX" w:eastAsia="en-US"/>
        </w:rPr>
        <w:t>d</w:t>
      </w:r>
      <w:r w:rsidR="00C50469">
        <w:rPr>
          <w:rFonts w:ascii="Palatino Linotype" w:eastAsiaTheme="minorHAnsi" w:hAnsi="Palatino Linotype" w:cs="Arial"/>
          <w:b/>
          <w:lang w:val="es-MX" w:eastAsia="en-US"/>
        </w:rPr>
        <w:t xml:space="preserve">iecinueve </w:t>
      </w:r>
      <w:r w:rsidRPr="00A86565">
        <w:rPr>
          <w:rFonts w:ascii="Palatino Linotype" w:eastAsiaTheme="minorHAnsi" w:hAnsi="Palatino Linotype" w:cs="Arial"/>
          <w:b/>
          <w:lang w:val="es-MX" w:eastAsia="en-US"/>
        </w:rPr>
        <w:t>de o</w:t>
      </w:r>
      <w:r>
        <w:rPr>
          <w:rFonts w:ascii="Palatino Linotype" w:eastAsiaTheme="minorHAnsi" w:hAnsi="Palatino Linotype" w:cs="Arial"/>
          <w:b/>
          <w:lang w:val="es-MX" w:eastAsia="en-US"/>
        </w:rPr>
        <w:t>ctubre</w:t>
      </w:r>
      <w:r w:rsidRPr="00A86565">
        <w:rPr>
          <w:rFonts w:ascii="Palatino Linotype" w:eastAsiaTheme="minorHAnsi" w:hAnsi="Palatino Linotype" w:cs="Arial"/>
          <w:b/>
          <w:lang w:val="es-MX" w:eastAsia="en-US"/>
        </w:rPr>
        <w:t xml:space="preserve"> de dos mil veintitrés</w:t>
      </w:r>
      <w:r w:rsidRPr="00037B15">
        <w:rPr>
          <w:rFonts w:ascii="Palatino Linotype" w:eastAsiaTheme="minorHAnsi" w:hAnsi="Palatino Linotype" w:cs="Arial"/>
          <w:lang w:val="es-MX" w:eastAsia="en-US"/>
        </w:rPr>
        <w:t xml:space="preserve">, </w:t>
      </w:r>
      <w:r w:rsidRPr="00037B15">
        <w:rPr>
          <w:rFonts w:ascii="Palatino Linotype" w:eastAsiaTheme="minorHAnsi" w:hAnsi="Palatino Linotype" w:cs="Arial"/>
          <w:b/>
          <w:lang w:val="es-MX" w:eastAsia="en-US"/>
        </w:rPr>
        <w:t>El Sujeto Obligado</w:t>
      </w:r>
      <w:r w:rsidRPr="00037B15">
        <w:rPr>
          <w:rFonts w:ascii="Palatino Linotype" w:eastAsiaTheme="minorHAnsi" w:hAnsi="Palatino Linotype" w:cs="Arial"/>
          <w:lang w:val="es-MX" w:eastAsia="en-US"/>
        </w:rPr>
        <w:t xml:space="preserve"> emitió </w:t>
      </w:r>
      <w:r>
        <w:rPr>
          <w:rFonts w:ascii="Palatino Linotype" w:eastAsiaTheme="minorHAnsi" w:hAnsi="Palatino Linotype" w:cs="Arial"/>
          <w:lang w:val="es-MX" w:eastAsia="en-US"/>
        </w:rPr>
        <w:t>su</w:t>
      </w:r>
      <w:r w:rsidRPr="00037B15">
        <w:rPr>
          <w:rFonts w:ascii="Palatino Linotype" w:eastAsiaTheme="minorHAnsi" w:hAnsi="Palatino Linotype" w:cs="Arial"/>
          <w:lang w:val="es-MX" w:eastAsia="en-US"/>
        </w:rPr>
        <w:t xml:space="preserve"> respuesta en los siguientes términos:</w:t>
      </w:r>
    </w:p>
    <w:p w14:paraId="4BEC84CD" w14:textId="77777777" w:rsidR="005F0980" w:rsidRPr="00037B15" w:rsidRDefault="005F0980" w:rsidP="005F0980">
      <w:pPr>
        <w:rPr>
          <w:lang w:val="es-MX"/>
        </w:rPr>
      </w:pPr>
    </w:p>
    <w:p w14:paraId="4BAF8B1B" w14:textId="77777777" w:rsidR="00C50469" w:rsidRPr="00C50469" w:rsidRDefault="005F0980" w:rsidP="00C50469">
      <w:pPr>
        <w:spacing w:line="276" w:lineRule="auto"/>
        <w:ind w:left="567" w:right="567"/>
        <w:jc w:val="both"/>
        <w:rPr>
          <w:rFonts w:ascii="Palatino Linotype" w:hAnsi="Palatino Linotype"/>
          <w:i/>
          <w:sz w:val="22"/>
          <w:szCs w:val="22"/>
          <w:lang w:val="es-MX" w:eastAsia="es-MX"/>
        </w:rPr>
      </w:pPr>
      <w:r w:rsidRPr="00037B15">
        <w:rPr>
          <w:rFonts w:ascii="Palatino Linotype" w:hAnsi="Palatino Linotype"/>
          <w:i/>
          <w:sz w:val="22"/>
          <w:szCs w:val="22"/>
          <w:lang w:val="es-MX" w:eastAsia="es-MX"/>
        </w:rPr>
        <w:t>“</w:t>
      </w:r>
      <w:r w:rsidR="00C50469" w:rsidRPr="00C50469">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8787476" w14:textId="77777777" w:rsidR="00C50469" w:rsidRPr="00C50469" w:rsidRDefault="00C50469" w:rsidP="00C50469">
      <w:pPr>
        <w:spacing w:line="276" w:lineRule="auto"/>
        <w:ind w:left="567" w:right="567"/>
        <w:jc w:val="both"/>
        <w:rPr>
          <w:rFonts w:ascii="Palatino Linotype" w:hAnsi="Palatino Linotype"/>
          <w:i/>
          <w:sz w:val="22"/>
          <w:szCs w:val="22"/>
          <w:lang w:val="es-MX" w:eastAsia="es-MX"/>
        </w:rPr>
      </w:pPr>
      <w:proofErr w:type="gramStart"/>
      <w:r w:rsidRPr="00C50469">
        <w:rPr>
          <w:rFonts w:ascii="Palatino Linotype" w:hAnsi="Palatino Linotype"/>
          <w:i/>
          <w:sz w:val="22"/>
          <w:szCs w:val="22"/>
          <w:lang w:val="es-MX" w:eastAsia="es-MX"/>
        </w:rPr>
        <w:t>se</w:t>
      </w:r>
      <w:proofErr w:type="gramEnd"/>
      <w:r w:rsidRPr="00C50469">
        <w:rPr>
          <w:rFonts w:ascii="Palatino Linotype" w:hAnsi="Palatino Linotype"/>
          <w:i/>
          <w:sz w:val="22"/>
          <w:szCs w:val="22"/>
          <w:lang w:val="es-MX" w:eastAsia="es-MX"/>
        </w:rPr>
        <w:t xml:space="preserve"> anexa respuesta</w:t>
      </w:r>
    </w:p>
    <w:p w14:paraId="30188AB1" w14:textId="77777777" w:rsidR="00C50469" w:rsidRPr="00C50469" w:rsidRDefault="00C50469" w:rsidP="00C50469">
      <w:pPr>
        <w:spacing w:line="276" w:lineRule="auto"/>
        <w:ind w:left="567" w:right="567"/>
        <w:jc w:val="both"/>
        <w:rPr>
          <w:rFonts w:ascii="Palatino Linotype" w:hAnsi="Palatino Linotype"/>
          <w:i/>
          <w:sz w:val="22"/>
          <w:szCs w:val="22"/>
          <w:lang w:val="es-MX" w:eastAsia="es-MX"/>
        </w:rPr>
      </w:pPr>
      <w:r w:rsidRPr="00C50469">
        <w:rPr>
          <w:rFonts w:ascii="Palatino Linotype" w:hAnsi="Palatino Linotype"/>
          <w:i/>
          <w:sz w:val="22"/>
          <w:szCs w:val="22"/>
          <w:lang w:val="es-MX" w:eastAsia="es-MX"/>
        </w:rPr>
        <w:t>ATENTAMENTE</w:t>
      </w:r>
    </w:p>
    <w:p w14:paraId="388D6824" w14:textId="77777777" w:rsidR="005F0980" w:rsidRPr="00037B15" w:rsidRDefault="00C50469" w:rsidP="00C50469">
      <w:pPr>
        <w:spacing w:line="276" w:lineRule="auto"/>
        <w:ind w:left="567" w:right="567"/>
        <w:jc w:val="both"/>
        <w:rPr>
          <w:rFonts w:ascii="Palatino Linotype" w:hAnsi="Palatino Linotype"/>
          <w:i/>
          <w:sz w:val="22"/>
          <w:szCs w:val="22"/>
          <w:lang w:val="es-MX" w:eastAsia="es-MX"/>
        </w:rPr>
      </w:pPr>
      <w:r w:rsidRPr="00C50469">
        <w:rPr>
          <w:rFonts w:ascii="Palatino Linotype" w:hAnsi="Palatino Linotype"/>
          <w:i/>
          <w:sz w:val="22"/>
          <w:szCs w:val="22"/>
          <w:lang w:val="es-MX" w:eastAsia="es-MX"/>
        </w:rPr>
        <w:t>Lic. Alejandro Hernández Aguilar</w:t>
      </w:r>
      <w:r w:rsidR="005F0980" w:rsidRPr="00037B15">
        <w:rPr>
          <w:rFonts w:ascii="Palatino Linotype" w:hAnsi="Palatino Linotype"/>
          <w:i/>
          <w:sz w:val="22"/>
          <w:szCs w:val="22"/>
          <w:lang w:val="es-MX" w:eastAsia="es-MX"/>
        </w:rPr>
        <w:t>” (Sic).</w:t>
      </w:r>
    </w:p>
    <w:p w14:paraId="23E0FDA1" w14:textId="77777777" w:rsidR="005F0980" w:rsidRPr="00037B15" w:rsidRDefault="005F0980" w:rsidP="005F0980">
      <w:pPr>
        <w:ind w:right="567"/>
        <w:jc w:val="both"/>
        <w:rPr>
          <w:rFonts w:ascii="Palatino Linotype" w:hAnsi="Palatino Linotype"/>
          <w:i/>
          <w:sz w:val="14"/>
          <w:szCs w:val="22"/>
          <w:lang w:val="es-MX" w:eastAsia="es-MX"/>
        </w:rPr>
      </w:pPr>
    </w:p>
    <w:p w14:paraId="096EC715" w14:textId="77777777" w:rsidR="005F0980" w:rsidRPr="00037B15" w:rsidRDefault="005F0980" w:rsidP="005F0980">
      <w:pPr>
        <w:pStyle w:val="Sinespaciado"/>
        <w:rPr>
          <w:lang w:eastAsia="es-MX"/>
        </w:rPr>
      </w:pPr>
    </w:p>
    <w:p w14:paraId="79D82FF1" w14:textId="77777777" w:rsidR="005F0980" w:rsidRPr="00037B15" w:rsidRDefault="005F0980" w:rsidP="005F0980">
      <w:pPr>
        <w:spacing w:line="360" w:lineRule="auto"/>
        <w:jc w:val="both"/>
        <w:rPr>
          <w:rFonts w:ascii="Palatino Linotype" w:hAnsi="Palatino Linotype"/>
          <w:i/>
          <w:sz w:val="22"/>
          <w:szCs w:val="22"/>
          <w:lang w:val="es-MX" w:eastAsia="es-MX"/>
        </w:rPr>
      </w:pPr>
      <w:r w:rsidRPr="00037B15">
        <w:rPr>
          <w:rFonts w:ascii="Palatino Linotype" w:eastAsiaTheme="minorHAnsi" w:hAnsi="Palatino Linotype" w:cs="Arial"/>
          <w:lang w:val="es-MX" w:eastAsia="en-US"/>
        </w:rPr>
        <w:t xml:space="preserve">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xml:space="preserve"> adjuntó a su respuesta, </w:t>
      </w:r>
      <w:r>
        <w:rPr>
          <w:rFonts w:ascii="Palatino Linotype" w:eastAsiaTheme="minorHAnsi" w:hAnsi="Palatino Linotype" w:cs="Arial"/>
          <w:lang w:val="es-MX" w:eastAsia="en-US"/>
        </w:rPr>
        <w:t>el</w:t>
      </w:r>
      <w:r w:rsidRPr="00037B15">
        <w:rPr>
          <w:rFonts w:ascii="Palatino Linotype" w:eastAsiaTheme="minorHAnsi" w:hAnsi="Palatino Linotype" w:cs="Arial"/>
          <w:lang w:val="es-MX" w:eastAsia="en-US"/>
        </w:rPr>
        <w:t xml:space="preserve"> archivo electrónico denominado </w:t>
      </w:r>
      <w:r>
        <w:rPr>
          <w:rFonts w:ascii="Palatino Linotype" w:eastAsiaTheme="minorHAnsi" w:hAnsi="Palatino Linotype" w:cs="Arial"/>
          <w:lang w:val="es-MX" w:eastAsia="en-US"/>
        </w:rPr>
        <w:t>“</w:t>
      </w:r>
      <w:r w:rsidR="00C50469" w:rsidRPr="00C50469">
        <w:rPr>
          <w:rFonts w:ascii="Palatino Linotype" w:eastAsiaTheme="minorHAnsi" w:hAnsi="Palatino Linotype" w:cs="Arial"/>
          <w:i/>
          <w:lang w:val="es-MX" w:eastAsia="en-US"/>
        </w:rPr>
        <w:t>Respuesta a Solicitud 497.pdf</w:t>
      </w:r>
      <w:r>
        <w:rPr>
          <w:rFonts w:ascii="Palatino Linotype" w:eastAsiaTheme="minorHAnsi" w:hAnsi="Palatino Linotype" w:cs="Arial"/>
          <w:i/>
          <w:lang w:val="es-MX" w:eastAsia="en-US"/>
        </w:rPr>
        <w:t>”</w:t>
      </w:r>
      <w:r w:rsidRPr="00037B15">
        <w:rPr>
          <w:rFonts w:ascii="Palatino Linotype" w:eastAsiaTheme="minorHAnsi" w:hAnsi="Palatino Linotype" w:cs="Arial"/>
          <w:i/>
          <w:lang w:val="es-MX" w:eastAsia="en-US"/>
        </w:rPr>
        <w:t>;</w:t>
      </w:r>
      <w:r w:rsidRPr="00037B15">
        <w:rPr>
          <w:rFonts w:ascii="Palatino Linotype" w:eastAsiaTheme="minorHAnsi" w:hAnsi="Palatino Linotype" w:cs="Arial"/>
          <w:lang w:val="es-MX" w:eastAsia="en-US"/>
        </w:rPr>
        <w:t xml:space="preserve"> cuyo contenido no se inserta por ser del conocimiento de las partes</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 xml:space="preserve"> sin embargo, será motivo de estudio en el Considerado respectivo. </w:t>
      </w:r>
    </w:p>
    <w:p w14:paraId="75B41D0B" w14:textId="77777777" w:rsidR="005F0980" w:rsidRPr="00037B15" w:rsidRDefault="005F0980" w:rsidP="005F0980">
      <w:pPr>
        <w:spacing w:line="360" w:lineRule="auto"/>
        <w:jc w:val="both"/>
        <w:rPr>
          <w:rFonts w:ascii="Palatino Linotype" w:eastAsiaTheme="minorHAnsi" w:hAnsi="Palatino Linotype" w:cs="Arial"/>
          <w:b/>
          <w:lang w:val="es-MX" w:eastAsia="en-US"/>
        </w:rPr>
      </w:pPr>
    </w:p>
    <w:p w14:paraId="19CB2FCD" w14:textId="77777777" w:rsidR="005F0980" w:rsidRPr="00037B15" w:rsidRDefault="005F0980" w:rsidP="005F0980">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TERCERO. Del recurso de revisión.</w:t>
      </w:r>
    </w:p>
    <w:p w14:paraId="22F5883E" w14:textId="77777777" w:rsidR="005F0980" w:rsidRPr="00037B15" w:rsidRDefault="005F0980" w:rsidP="005F0980">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Inconforme con la respuesta por parte del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 a</w:t>
      </w:r>
      <w:r w:rsidRPr="00037B15">
        <w:rPr>
          <w:rFonts w:ascii="Palatino Linotype" w:eastAsiaTheme="minorHAnsi" w:hAnsi="Palatino Linotype" w:cs="Arial"/>
          <w:lang w:val="es-MX" w:eastAsia="en-US"/>
        </w:rPr>
        <w:t xml:space="preserve">hora </w:t>
      </w:r>
      <w:r w:rsidRPr="00037B15">
        <w:rPr>
          <w:rFonts w:ascii="Palatino Linotype" w:eastAsiaTheme="minorHAnsi" w:hAnsi="Palatino Linotype" w:cs="Arial"/>
          <w:b/>
          <w:lang w:val="es-MX" w:eastAsia="en-US"/>
        </w:rPr>
        <w:t>Recurrente</w:t>
      </w:r>
      <w:r w:rsidRPr="00037B15">
        <w:rPr>
          <w:rFonts w:ascii="Palatino Linotype" w:eastAsiaTheme="minorHAnsi" w:hAnsi="Palatino Linotype" w:cs="Arial"/>
          <w:lang w:val="es-MX" w:eastAsia="en-US"/>
        </w:rPr>
        <w:t xml:space="preserve"> interpuso el presente recurso de revisión en fecha </w:t>
      </w:r>
      <w:r w:rsidRPr="00140BD7">
        <w:rPr>
          <w:rFonts w:ascii="Palatino Linotype" w:eastAsiaTheme="minorHAnsi" w:hAnsi="Palatino Linotype" w:cs="Arial"/>
          <w:b/>
          <w:lang w:val="es-MX" w:eastAsia="en-US"/>
        </w:rPr>
        <w:t>veinti</w:t>
      </w:r>
      <w:r w:rsidRPr="00A86565">
        <w:rPr>
          <w:rFonts w:ascii="Palatino Linotype" w:eastAsiaTheme="minorHAnsi" w:hAnsi="Palatino Linotype" w:cs="Arial"/>
          <w:b/>
          <w:lang w:val="es-MX" w:eastAsia="en-US"/>
        </w:rPr>
        <w:t>si</w:t>
      </w:r>
      <w:r>
        <w:rPr>
          <w:rFonts w:ascii="Palatino Linotype" w:eastAsiaTheme="minorHAnsi" w:hAnsi="Palatino Linotype" w:cs="Arial"/>
          <w:b/>
          <w:lang w:val="es-MX" w:eastAsia="en-US"/>
        </w:rPr>
        <w:t>ete</w:t>
      </w:r>
      <w:r w:rsidRPr="00A86565">
        <w:rPr>
          <w:rFonts w:ascii="Palatino Linotype" w:eastAsiaTheme="minorHAnsi" w:hAnsi="Palatino Linotype" w:cs="Arial"/>
          <w:b/>
          <w:lang w:val="es-MX" w:eastAsia="en-US"/>
        </w:rPr>
        <w:t xml:space="preserve"> de o</w:t>
      </w:r>
      <w:r>
        <w:rPr>
          <w:rFonts w:ascii="Palatino Linotype" w:eastAsiaTheme="minorHAnsi" w:hAnsi="Palatino Linotype" w:cs="Arial"/>
          <w:b/>
          <w:lang w:val="es-MX" w:eastAsia="en-US"/>
        </w:rPr>
        <w:t>ctubre</w:t>
      </w:r>
      <w:r w:rsidRPr="00A86565">
        <w:rPr>
          <w:rFonts w:ascii="Palatino Linotype" w:eastAsiaTheme="minorHAnsi" w:hAnsi="Palatino Linotype" w:cs="Arial"/>
          <w:b/>
          <w:lang w:val="es-MX" w:eastAsia="en-US"/>
        </w:rPr>
        <w:t xml:space="preserve"> de dos mil veintitrés</w:t>
      </w:r>
      <w:r w:rsidRPr="00037B15">
        <w:rPr>
          <w:rFonts w:ascii="Palatino Linotype" w:eastAsiaTheme="minorHAnsi" w:hAnsi="Palatino Linotype" w:cs="Arial"/>
          <w:lang w:val="es-MX" w:eastAsia="en-US"/>
        </w:rPr>
        <w:t>, el cual fue registrado</w:t>
      </w:r>
      <w:r w:rsidRPr="00037B15">
        <w:rPr>
          <w:rFonts w:ascii="Palatino Linotype" w:eastAsiaTheme="minorHAnsi" w:hAnsi="Palatino Linotype" w:cs="Arial"/>
          <w:b/>
          <w:lang w:val="es-MX" w:eastAsia="en-US"/>
        </w:rPr>
        <w:t xml:space="preserve"> </w:t>
      </w:r>
      <w:r w:rsidRPr="00037B15">
        <w:rPr>
          <w:rFonts w:ascii="Palatino Linotype" w:eastAsiaTheme="minorHAnsi" w:hAnsi="Palatino Linotype" w:cs="Arial"/>
          <w:lang w:val="es-MX" w:eastAsia="en-US"/>
        </w:rPr>
        <w:t xml:space="preserve">en el sistema electrónico con el expediente número </w:t>
      </w:r>
      <w:r w:rsidRPr="00AB11F1">
        <w:rPr>
          <w:rFonts w:ascii="Palatino Linotype" w:eastAsiaTheme="minorHAnsi" w:hAnsi="Palatino Linotype" w:cs="Arial"/>
          <w:b/>
          <w:lang w:val="es-MX" w:eastAsia="en-US"/>
        </w:rPr>
        <w:t>0</w:t>
      </w:r>
      <w:r>
        <w:rPr>
          <w:rFonts w:ascii="Palatino Linotype" w:eastAsiaTheme="minorHAnsi" w:hAnsi="Palatino Linotype" w:cs="Arial"/>
          <w:b/>
          <w:lang w:val="es-MX" w:eastAsia="en-US"/>
        </w:rPr>
        <w:t>752</w:t>
      </w:r>
      <w:r w:rsidR="00C50469">
        <w:rPr>
          <w:rFonts w:ascii="Palatino Linotype" w:eastAsiaTheme="minorHAnsi" w:hAnsi="Palatino Linotype" w:cs="Arial"/>
          <w:b/>
          <w:lang w:val="es-MX" w:eastAsia="en-US"/>
        </w:rPr>
        <w:t>5</w:t>
      </w:r>
      <w:r w:rsidRPr="00037B15">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3</w:t>
      </w:r>
      <w:r w:rsidRPr="00037B15">
        <w:rPr>
          <w:rFonts w:ascii="Palatino Linotype" w:eastAsiaTheme="minorHAnsi" w:hAnsi="Palatino Linotype" w:cs="Arial"/>
          <w:lang w:val="es-MX" w:eastAsia="en-US"/>
        </w:rPr>
        <w:t>, en el cual aduce, las siguientes manifestaciones:</w:t>
      </w:r>
    </w:p>
    <w:p w14:paraId="407871EA" w14:textId="77777777" w:rsidR="005F0980" w:rsidRDefault="005F0980" w:rsidP="005F0980">
      <w:pPr>
        <w:rPr>
          <w:lang w:val="es-MX"/>
        </w:rPr>
      </w:pPr>
    </w:p>
    <w:p w14:paraId="67B6EB1B" w14:textId="77777777" w:rsidR="005F0980" w:rsidRPr="00037B15" w:rsidRDefault="005F0980" w:rsidP="005F0980">
      <w:pPr>
        <w:rPr>
          <w:lang w:val="es-MX"/>
        </w:rPr>
      </w:pPr>
    </w:p>
    <w:p w14:paraId="6F66677D" w14:textId="77777777" w:rsidR="005F0980" w:rsidRDefault="005F0980" w:rsidP="005F0980">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469D09D7" w14:textId="77777777" w:rsidR="005F0980" w:rsidRDefault="005F0980" w:rsidP="005F0980">
      <w:pPr>
        <w:spacing w:line="259" w:lineRule="auto"/>
        <w:ind w:left="720"/>
        <w:jc w:val="both"/>
        <w:rPr>
          <w:rFonts w:ascii="Palatino Linotype" w:eastAsiaTheme="minorHAnsi" w:hAnsi="Palatino Linotype" w:cstheme="minorBidi"/>
          <w:i/>
          <w:color w:val="000000"/>
          <w:sz w:val="22"/>
          <w:szCs w:val="22"/>
          <w:lang w:val="es-MX" w:eastAsia="en-US"/>
        </w:rPr>
      </w:pPr>
      <w:r w:rsidRPr="00037B15">
        <w:rPr>
          <w:rFonts w:ascii="Palatino Linotype" w:eastAsiaTheme="minorHAnsi" w:hAnsi="Palatino Linotype" w:cstheme="minorBidi"/>
          <w:i/>
          <w:color w:val="000000"/>
          <w:sz w:val="22"/>
          <w:szCs w:val="22"/>
          <w:lang w:val="es-MX" w:eastAsia="en-US"/>
        </w:rPr>
        <w:t>“</w:t>
      </w:r>
      <w:r w:rsidR="00C50469" w:rsidRPr="00C50469">
        <w:rPr>
          <w:rFonts w:ascii="Palatino Linotype" w:eastAsiaTheme="minorHAnsi" w:hAnsi="Palatino Linotype" w:cstheme="minorBidi"/>
          <w:i/>
          <w:color w:val="000000"/>
          <w:sz w:val="22"/>
          <w:szCs w:val="22"/>
          <w:lang w:val="es-MX" w:eastAsia="en-US"/>
        </w:rPr>
        <w:t>LA NEGATIVA DE LA INFORMACIÓN.</w:t>
      </w:r>
      <w:r w:rsidRPr="00037B15">
        <w:rPr>
          <w:rFonts w:ascii="Palatino Linotype" w:eastAsiaTheme="minorHAnsi" w:hAnsi="Palatino Linotype" w:cstheme="minorBidi"/>
          <w:i/>
          <w:color w:val="000000"/>
          <w:sz w:val="22"/>
          <w:szCs w:val="22"/>
          <w:lang w:val="es-MX" w:eastAsia="en-US"/>
        </w:rPr>
        <w:t>” (Sic).</w:t>
      </w:r>
    </w:p>
    <w:p w14:paraId="118F5872" w14:textId="77777777" w:rsidR="005F0980" w:rsidRPr="00037B15" w:rsidRDefault="005F0980" w:rsidP="005F0980">
      <w:pPr>
        <w:spacing w:line="259" w:lineRule="auto"/>
        <w:ind w:left="720"/>
        <w:jc w:val="both"/>
        <w:rPr>
          <w:rFonts w:ascii="Palatino Linotype" w:hAnsi="Palatino Linotype" w:cs="Arial"/>
          <w:b/>
          <w:sz w:val="26"/>
          <w:szCs w:val="26"/>
        </w:rPr>
      </w:pPr>
    </w:p>
    <w:p w14:paraId="4340D100" w14:textId="77777777" w:rsidR="005F0980" w:rsidRPr="00304479" w:rsidRDefault="005F0980" w:rsidP="005F0980">
      <w:pPr>
        <w:pStyle w:val="Prrafodelista"/>
        <w:numPr>
          <w:ilvl w:val="0"/>
          <w:numId w:val="1"/>
        </w:numPr>
        <w:jc w:val="both"/>
        <w:rPr>
          <w:rFonts w:ascii="Palatino Linotype" w:hAnsi="Palatino Linotype"/>
          <w:i/>
          <w:sz w:val="26"/>
          <w:szCs w:val="26"/>
          <w:lang w:val="es-MX" w:eastAsia="es-MX"/>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289EC0B2" w14:textId="77777777" w:rsidR="005F0980" w:rsidRPr="00304479" w:rsidRDefault="005F0980" w:rsidP="005F0980">
      <w:pPr>
        <w:pStyle w:val="Prrafodelista"/>
        <w:ind w:left="720"/>
        <w:jc w:val="both"/>
        <w:rPr>
          <w:rFonts w:ascii="Palatino Linotype" w:hAnsi="Palatino Linotype"/>
          <w:i/>
          <w:sz w:val="26"/>
          <w:szCs w:val="26"/>
          <w:lang w:val="es-MX" w:eastAsia="es-MX"/>
        </w:rPr>
      </w:pPr>
      <w:r w:rsidRPr="00037B15">
        <w:rPr>
          <w:rFonts w:ascii="Palatino Linotype" w:eastAsiaTheme="minorHAnsi" w:hAnsi="Palatino Linotype" w:cs="Arial"/>
          <w:i/>
          <w:sz w:val="22"/>
          <w:szCs w:val="22"/>
          <w:lang w:val="es-MX" w:eastAsia="en-US"/>
        </w:rPr>
        <w:lastRenderedPageBreak/>
        <w:t>“</w:t>
      </w:r>
      <w:r w:rsidR="00C50469" w:rsidRPr="00C50469">
        <w:rPr>
          <w:rFonts w:ascii="Palatino Linotype" w:eastAsiaTheme="minorHAnsi" w:hAnsi="Palatino Linotype" w:cstheme="minorBidi"/>
          <w:i/>
          <w:color w:val="000000"/>
          <w:sz w:val="22"/>
          <w:szCs w:val="22"/>
          <w:lang w:val="es-MX" w:eastAsia="en-US"/>
        </w:rPr>
        <w:t>No entrega la información que debe existir en los archivos ya que las reuniones las tuvimos con la Dirección de zona I PARA REORDENAR LAS RUTA HOY DICEN NO TENER NADADA</w:t>
      </w:r>
      <w:r w:rsidRPr="00037B15">
        <w:rPr>
          <w:rFonts w:ascii="Palatino Linotype" w:eastAsiaTheme="minorHAnsi" w:hAnsi="Palatino Linotype" w:cstheme="minorBidi"/>
          <w:i/>
          <w:color w:val="000000"/>
          <w:sz w:val="22"/>
          <w:szCs w:val="22"/>
          <w:lang w:val="es-MX" w:eastAsia="en-US"/>
        </w:rPr>
        <w:t>” (Sic)</w:t>
      </w:r>
    </w:p>
    <w:p w14:paraId="6D534261" w14:textId="77777777" w:rsidR="005F0980" w:rsidRPr="008406F2" w:rsidRDefault="005F0980" w:rsidP="005F0980">
      <w:pPr>
        <w:spacing w:line="360" w:lineRule="auto"/>
        <w:jc w:val="both"/>
        <w:rPr>
          <w:rFonts w:ascii="Palatino Linotype" w:eastAsiaTheme="minorHAnsi" w:hAnsi="Palatino Linotype" w:cs="Arial"/>
          <w:lang w:val="es-MX" w:eastAsia="en-US"/>
        </w:rPr>
      </w:pPr>
    </w:p>
    <w:p w14:paraId="2E267BA6" w14:textId="77777777" w:rsidR="005F0980" w:rsidRPr="00037B15" w:rsidRDefault="005F0980" w:rsidP="005F0980">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CUARTO. Del turno del recurso de revisión.</w:t>
      </w:r>
    </w:p>
    <w:p w14:paraId="15626540" w14:textId="77777777" w:rsidR="005F0980" w:rsidRPr="00037B15" w:rsidRDefault="005F0980" w:rsidP="005F0980">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Medio de impugnación que le fue turnado al Comisionado Presidente </w:t>
      </w:r>
      <w:r w:rsidRPr="00037B15">
        <w:rPr>
          <w:rFonts w:ascii="Palatino Linotype" w:eastAsiaTheme="minorHAnsi" w:hAnsi="Palatino Linotype" w:cs="Arial"/>
          <w:b/>
          <w:lang w:val="es-MX" w:eastAsia="en-US"/>
        </w:rPr>
        <w:t>José Martínez Vilchis</w:t>
      </w:r>
      <w:r w:rsidRPr="00037B1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Pr="00A86565">
        <w:rPr>
          <w:rFonts w:ascii="Palatino Linotype" w:eastAsiaTheme="minorHAnsi" w:hAnsi="Palatino Linotype" w:cs="Arial"/>
          <w:b/>
          <w:lang w:val="es-MX" w:eastAsia="en-US"/>
        </w:rPr>
        <w:t>t</w:t>
      </w:r>
      <w:r>
        <w:rPr>
          <w:rFonts w:ascii="Palatino Linotype" w:eastAsiaTheme="minorHAnsi" w:hAnsi="Palatino Linotype" w:cs="Arial"/>
          <w:b/>
          <w:lang w:val="es-MX" w:eastAsia="en-US"/>
        </w:rPr>
        <w:t>r</w:t>
      </w:r>
      <w:r w:rsidRPr="00A86565">
        <w:rPr>
          <w:rFonts w:ascii="Palatino Linotype" w:eastAsiaTheme="minorHAnsi" w:hAnsi="Palatino Linotype" w:cs="Arial"/>
          <w:b/>
          <w:lang w:val="es-MX" w:eastAsia="en-US"/>
        </w:rPr>
        <w:t>e</w:t>
      </w:r>
      <w:r>
        <w:rPr>
          <w:rFonts w:ascii="Palatino Linotype" w:eastAsiaTheme="minorHAnsi" w:hAnsi="Palatino Linotype" w:cs="Arial"/>
          <w:b/>
          <w:lang w:val="es-MX" w:eastAsia="en-US"/>
        </w:rPr>
        <w:t>s</w:t>
      </w:r>
      <w:r w:rsidRPr="00A86565">
        <w:rPr>
          <w:rFonts w:ascii="Palatino Linotype" w:eastAsiaTheme="minorHAnsi" w:hAnsi="Palatino Linotype" w:cs="Arial"/>
          <w:b/>
          <w:lang w:val="es-MX" w:eastAsia="en-US"/>
        </w:rPr>
        <w:t xml:space="preserve"> de </w:t>
      </w:r>
      <w:r>
        <w:rPr>
          <w:rFonts w:ascii="Palatino Linotype" w:eastAsiaTheme="minorHAnsi" w:hAnsi="Palatino Linotype" w:cs="Arial"/>
          <w:b/>
          <w:lang w:val="es-MX" w:eastAsia="en-US"/>
        </w:rPr>
        <w:t>noviembre</w:t>
      </w:r>
      <w:r w:rsidRPr="00A86565">
        <w:rPr>
          <w:rFonts w:ascii="Palatino Linotype" w:eastAsiaTheme="minorHAnsi" w:hAnsi="Palatino Linotype" w:cs="Arial"/>
          <w:b/>
          <w:lang w:val="es-MX" w:eastAsia="en-US"/>
        </w:rPr>
        <w:t xml:space="preserve"> de dos mil veintitrés</w:t>
      </w:r>
      <w:r w:rsidRPr="00037B1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AD308D6" w14:textId="77777777" w:rsidR="005F0980" w:rsidRPr="00037B15" w:rsidRDefault="005F0980" w:rsidP="005F0980">
      <w:pPr>
        <w:spacing w:line="360" w:lineRule="auto"/>
        <w:jc w:val="both"/>
        <w:rPr>
          <w:rFonts w:ascii="Palatino Linotype" w:eastAsiaTheme="minorHAnsi" w:hAnsi="Palatino Linotype" w:cs="Arial"/>
          <w:lang w:val="es-MX" w:eastAsia="en-US"/>
        </w:rPr>
      </w:pPr>
    </w:p>
    <w:p w14:paraId="0D06E99D" w14:textId="77777777" w:rsidR="005F0980" w:rsidRPr="00037B15" w:rsidRDefault="005F0980" w:rsidP="005F0980">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QUINTO. De la etapa de manifestaciones y/o alegatos.</w:t>
      </w:r>
    </w:p>
    <w:p w14:paraId="5D3CE6DA" w14:textId="77777777" w:rsidR="00C50469" w:rsidRPr="00B9472B" w:rsidRDefault="00C50469" w:rsidP="00C50469">
      <w:pPr>
        <w:spacing w:line="360" w:lineRule="auto"/>
        <w:jc w:val="both"/>
        <w:rPr>
          <w:rFonts w:ascii="Palatino Linotype" w:hAnsi="Palatino Linotype" w:cs="Arial"/>
        </w:rPr>
      </w:pPr>
      <w:r w:rsidRPr="00037B15">
        <w:rPr>
          <w:rFonts w:ascii="Palatino Linotype" w:eastAsiaTheme="minorHAnsi" w:hAnsi="Palatino Linotype" w:cs="Arial"/>
          <w:lang w:val="es-MX" w:eastAsia="en-US"/>
        </w:rPr>
        <w:t xml:space="preserve">Una vez transcurrido el término legal referido </w:t>
      </w:r>
      <w:r w:rsidRPr="00037B15">
        <w:rPr>
          <w:rFonts w:ascii="Palatino Linotype" w:eastAsiaTheme="minorHAnsi" w:hAnsi="Palatino Linotype" w:cs="Arial"/>
          <w:b/>
          <w:lang w:val="es-MX" w:eastAsia="en-US"/>
        </w:rPr>
        <w:t>El Sujeto Obligado</w:t>
      </w:r>
      <w:r w:rsidRPr="00037B15">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rindió</w:t>
      </w:r>
      <w:r w:rsidRPr="00037B15">
        <w:rPr>
          <w:rFonts w:ascii="Palatino Linotype" w:eastAsiaTheme="minorHAnsi" w:hAnsi="Palatino Linotype" w:cs="Arial"/>
          <w:lang w:val="es-MX" w:eastAsia="en-US"/>
        </w:rPr>
        <w:t xml:space="preserve"> su informe justificado</w:t>
      </w:r>
      <w:r>
        <w:rPr>
          <w:rFonts w:ascii="Palatino Linotype" w:eastAsiaTheme="minorHAnsi" w:hAnsi="Palatino Linotype" w:cs="Arial"/>
          <w:lang w:val="es-MX" w:eastAsia="en-US"/>
        </w:rPr>
        <w:t xml:space="preserve">, el día </w:t>
      </w:r>
      <w:r>
        <w:rPr>
          <w:rFonts w:ascii="Palatino Linotype" w:eastAsiaTheme="minorHAnsi" w:hAnsi="Palatino Linotype" w:cs="Arial"/>
          <w:b/>
          <w:lang w:val="es-MX" w:eastAsia="en-US"/>
        </w:rPr>
        <w:t>catorce</w:t>
      </w:r>
      <w:r w:rsidRPr="00383FBE">
        <w:rPr>
          <w:rFonts w:ascii="Palatino Linotype" w:eastAsiaTheme="minorHAnsi" w:hAnsi="Palatino Linotype" w:cs="Arial"/>
          <w:b/>
          <w:lang w:val="es-MX" w:eastAsia="en-US"/>
        </w:rPr>
        <w:t xml:space="preserve"> de </w:t>
      </w:r>
      <w:r>
        <w:rPr>
          <w:rFonts w:ascii="Palatino Linotype" w:eastAsiaTheme="minorHAnsi" w:hAnsi="Palatino Linotype" w:cs="Arial"/>
          <w:b/>
          <w:lang w:val="es-MX" w:eastAsia="en-US"/>
        </w:rPr>
        <w:t>n</w:t>
      </w:r>
      <w:r w:rsidRPr="00383FBE">
        <w:rPr>
          <w:rFonts w:ascii="Palatino Linotype" w:eastAsiaTheme="minorHAnsi" w:hAnsi="Palatino Linotype" w:cs="Arial"/>
          <w:b/>
          <w:lang w:val="es-MX" w:eastAsia="en-US"/>
        </w:rPr>
        <w:t>o</w:t>
      </w:r>
      <w:r>
        <w:rPr>
          <w:rFonts w:ascii="Palatino Linotype" w:eastAsiaTheme="minorHAnsi" w:hAnsi="Palatino Linotype" w:cs="Arial"/>
          <w:b/>
          <w:lang w:val="es-MX" w:eastAsia="en-US"/>
        </w:rPr>
        <w:t>viembre</w:t>
      </w:r>
      <w:r w:rsidRPr="00383FBE">
        <w:rPr>
          <w:rFonts w:ascii="Palatino Linotype" w:eastAsiaTheme="minorHAnsi" w:hAnsi="Palatino Linotype" w:cs="Arial"/>
          <w:b/>
          <w:lang w:val="es-MX" w:eastAsia="en-US"/>
        </w:rPr>
        <w:t xml:space="preserve"> del dos mil veintitrés</w:t>
      </w:r>
      <w:r>
        <w:rPr>
          <w:rFonts w:ascii="Palatino Linotype" w:eastAsiaTheme="minorHAnsi" w:hAnsi="Palatino Linotype" w:cs="Arial"/>
          <w:lang w:val="es-MX" w:eastAsia="en-US"/>
        </w:rPr>
        <w:t xml:space="preserve">, a través de los archivos electrónicos denominados </w:t>
      </w:r>
      <w:r w:rsidRPr="00A00916">
        <w:rPr>
          <w:rFonts w:ascii="Palatino Linotype" w:eastAsiaTheme="minorHAnsi" w:hAnsi="Palatino Linotype" w:cs="Arial"/>
          <w:i/>
          <w:iCs/>
          <w:lang w:val="es-MX" w:eastAsia="en-US"/>
        </w:rPr>
        <w:t>“</w:t>
      </w:r>
      <w:r w:rsidRPr="00C50469">
        <w:rPr>
          <w:rFonts w:ascii="Palatino Linotype" w:eastAsiaTheme="minorHAnsi" w:hAnsi="Palatino Linotype" w:cs="Arial"/>
          <w:i/>
          <w:iCs/>
          <w:lang w:val="es-MX" w:eastAsia="en-US"/>
        </w:rPr>
        <w:t>ANEXOS.pdf</w:t>
      </w:r>
      <w:r>
        <w:rPr>
          <w:rFonts w:ascii="Palatino Linotype" w:eastAsiaTheme="minorHAnsi" w:hAnsi="Palatino Linotype" w:cs="Arial"/>
          <w:i/>
          <w:iCs/>
          <w:lang w:val="es-MX" w:eastAsia="en-US"/>
        </w:rPr>
        <w:t xml:space="preserve">” </w:t>
      </w:r>
      <w:proofErr w:type="gramStart"/>
      <w:r>
        <w:rPr>
          <w:rFonts w:ascii="Palatino Linotype" w:eastAsiaTheme="minorHAnsi" w:hAnsi="Palatino Linotype" w:cs="Arial"/>
          <w:i/>
          <w:iCs/>
          <w:lang w:val="es-MX" w:eastAsia="en-US"/>
        </w:rPr>
        <w:t>e ”</w:t>
      </w:r>
      <w:proofErr w:type="gramEnd"/>
      <w:r w:rsidRPr="00C50469">
        <w:rPr>
          <w:rFonts w:ascii="Palatino Linotype" w:eastAsiaTheme="minorHAnsi" w:hAnsi="Palatino Linotype" w:cs="Arial"/>
          <w:i/>
          <w:iCs/>
          <w:lang w:val="es-MX" w:eastAsia="en-US"/>
        </w:rPr>
        <w:t>Informe Jusrtificado_7525.pdf</w:t>
      </w:r>
      <w:r w:rsidRPr="00A86565">
        <w:rPr>
          <w:rFonts w:ascii="Palatino Linotype" w:eastAsiaTheme="minorHAnsi" w:hAnsi="Palatino Linotype" w:cs="Arial"/>
          <w:i/>
          <w:lang w:val="es-MX" w:eastAsia="en-US"/>
        </w:rPr>
        <w:t xml:space="preserve">”, </w:t>
      </w:r>
      <w:r>
        <w:rPr>
          <w:rFonts w:ascii="Palatino Linotype" w:eastAsiaTheme="minorHAnsi" w:hAnsi="Palatino Linotype" w:cs="Arial"/>
          <w:lang w:val="es-MX" w:eastAsia="en-US"/>
        </w:rPr>
        <w:t xml:space="preserve">los cuales fueron puestos a la vista de la parte Recurrente en fecha </w:t>
      </w:r>
      <w:r>
        <w:rPr>
          <w:rFonts w:ascii="Palatino Linotype" w:eastAsiaTheme="minorHAnsi" w:hAnsi="Palatino Linotype" w:cs="Arial"/>
          <w:b/>
          <w:lang w:val="es-MX" w:eastAsia="en-US"/>
        </w:rPr>
        <w:t>quince</w:t>
      </w:r>
      <w:r w:rsidRPr="00383FBE">
        <w:rPr>
          <w:rFonts w:ascii="Palatino Linotype" w:eastAsiaTheme="minorHAnsi" w:hAnsi="Palatino Linotype" w:cs="Arial"/>
          <w:b/>
          <w:lang w:val="es-MX" w:eastAsia="en-US"/>
        </w:rPr>
        <w:t xml:space="preserve"> de </w:t>
      </w:r>
      <w:r>
        <w:rPr>
          <w:rFonts w:ascii="Palatino Linotype" w:eastAsiaTheme="minorHAnsi" w:hAnsi="Palatino Linotype" w:cs="Arial"/>
          <w:b/>
          <w:lang w:val="es-MX" w:eastAsia="en-US"/>
        </w:rPr>
        <w:t>noviembre</w:t>
      </w:r>
      <w:r w:rsidRPr="00383FBE">
        <w:rPr>
          <w:rFonts w:ascii="Palatino Linotype" w:eastAsiaTheme="minorHAnsi" w:hAnsi="Palatino Linotype" w:cs="Arial"/>
          <w:b/>
          <w:lang w:val="es-MX" w:eastAsia="en-US"/>
        </w:rPr>
        <w:t xml:space="preserve"> del año dos mil veintitrés</w:t>
      </w:r>
      <w:r w:rsidRPr="00037B15">
        <w:rPr>
          <w:rFonts w:ascii="Palatino Linotype" w:eastAsiaTheme="minorHAnsi" w:hAnsi="Palatino Linotype" w:cs="Arial"/>
          <w:lang w:val="es-MX" w:eastAsia="en-US"/>
        </w:rPr>
        <w:t xml:space="preserve">; </w:t>
      </w:r>
      <w:r w:rsidRPr="00B9472B">
        <w:rPr>
          <w:rFonts w:ascii="Palatino Linotype" w:hAnsi="Palatino Linotype" w:cs="Arial"/>
        </w:rPr>
        <w:t xml:space="preserve">Asimismo, se advierte que </w:t>
      </w:r>
      <w:r>
        <w:rPr>
          <w:rFonts w:ascii="Palatino Linotype" w:hAnsi="Palatino Linotype" w:cs="Arial"/>
        </w:rPr>
        <w:t>la parte</w:t>
      </w:r>
      <w:r w:rsidRPr="00B9472B">
        <w:rPr>
          <w:rFonts w:ascii="Palatino Linotype" w:hAnsi="Palatino Linotype" w:cs="Arial"/>
        </w:rPr>
        <w:t xml:space="preserve"> </w:t>
      </w:r>
      <w:r>
        <w:rPr>
          <w:rFonts w:ascii="Palatino Linotype" w:hAnsi="Palatino Linotype" w:cs="Arial"/>
        </w:rPr>
        <w:t>R</w:t>
      </w:r>
      <w:r w:rsidRPr="00B9472B">
        <w:rPr>
          <w:rFonts w:ascii="Palatino Linotype" w:hAnsi="Palatino Linotype" w:cs="Arial"/>
        </w:rPr>
        <w:t>ecurrente no realizó sus manifestaciones.</w:t>
      </w:r>
    </w:p>
    <w:p w14:paraId="04712997" w14:textId="77777777" w:rsidR="005F0980" w:rsidRPr="00D1528C" w:rsidRDefault="005F0980" w:rsidP="005F0980">
      <w:pPr>
        <w:tabs>
          <w:tab w:val="left" w:pos="3206"/>
        </w:tabs>
        <w:spacing w:line="360" w:lineRule="auto"/>
        <w:jc w:val="center"/>
        <w:rPr>
          <w:rFonts w:ascii="Palatino Linotype" w:eastAsiaTheme="minorHAnsi" w:hAnsi="Palatino Linotype" w:cs="Arial"/>
          <w:b/>
          <w:lang w:val="es-MX" w:eastAsia="en-US"/>
        </w:rPr>
      </w:pPr>
    </w:p>
    <w:p w14:paraId="04554B05" w14:textId="77777777" w:rsidR="005F0980" w:rsidRPr="00037B15" w:rsidRDefault="005F0980" w:rsidP="005F0980">
      <w:pPr>
        <w:tabs>
          <w:tab w:val="left" w:pos="3206"/>
        </w:tabs>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SEXTO. Del cierre de instrucción.</w:t>
      </w:r>
      <w:r w:rsidRPr="00037B15">
        <w:rPr>
          <w:rFonts w:ascii="Palatino Linotype" w:eastAsiaTheme="minorHAnsi" w:hAnsi="Palatino Linotype" w:cs="Arial"/>
          <w:b/>
          <w:sz w:val="28"/>
          <w:lang w:val="es-MX" w:eastAsia="en-US"/>
        </w:rPr>
        <w:tab/>
      </w:r>
    </w:p>
    <w:p w14:paraId="572BA507" w14:textId="77777777" w:rsidR="005F0980" w:rsidRPr="00037B15" w:rsidRDefault="005F0980" w:rsidP="005F0980">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U</w:t>
      </w:r>
      <w:r w:rsidRPr="00037B15">
        <w:rPr>
          <w:rFonts w:ascii="Palatino Linotype" w:eastAsiaTheme="minorHAnsi" w:hAnsi="Palatino Linotype" w:cs="Arial"/>
          <w:lang w:val="es-MX" w:eastAsia="en-US"/>
        </w:rPr>
        <w:t xml:space="preserve">na vez transcurrido el término legal, </w:t>
      </w:r>
      <w:r>
        <w:rPr>
          <w:rFonts w:ascii="Palatino Linotype" w:eastAsiaTheme="minorHAnsi" w:hAnsi="Palatino Linotype" w:cs="Arial"/>
          <w:lang w:val="es-MX" w:eastAsia="en-US"/>
        </w:rPr>
        <w:t>se</w:t>
      </w:r>
      <w:r w:rsidRPr="00037B15">
        <w:rPr>
          <w:rFonts w:ascii="Palatino Linotype" w:eastAsiaTheme="minorHAnsi" w:hAnsi="Palatino Linotype" w:cs="Arial"/>
          <w:lang w:val="es-MX" w:eastAsia="en-US"/>
        </w:rPr>
        <w:t xml:space="preserve"> decret</w:t>
      </w:r>
      <w:r>
        <w:rPr>
          <w:rFonts w:ascii="Palatino Linotype" w:eastAsiaTheme="minorHAnsi" w:hAnsi="Palatino Linotype" w:cs="Arial"/>
          <w:lang w:val="es-MX" w:eastAsia="en-US"/>
        </w:rPr>
        <w:t>ó</w:t>
      </w:r>
      <w:r w:rsidRPr="00037B15">
        <w:rPr>
          <w:rFonts w:ascii="Palatino Linotype" w:eastAsiaTheme="minorHAnsi" w:hAnsi="Palatino Linotype" w:cs="Arial"/>
          <w:lang w:val="es-MX" w:eastAsia="en-US"/>
        </w:rPr>
        <w:t xml:space="preserve"> el cierre de instrucción en fecha </w:t>
      </w:r>
      <w:r w:rsidR="00C50469">
        <w:rPr>
          <w:rFonts w:ascii="Palatino Linotype" w:eastAsiaTheme="minorHAnsi" w:hAnsi="Palatino Linotype" w:cs="Arial"/>
          <w:b/>
          <w:lang w:val="es-MX" w:eastAsia="en-US"/>
        </w:rPr>
        <w:t>ve</w:t>
      </w:r>
      <w:r>
        <w:rPr>
          <w:rFonts w:ascii="Palatino Linotype" w:eastAsiaTheme="minorHAnsi" w:hAnsi="Palatino Linotype" w:cs="Arial"/>
          <w:b/>
          <w:lang w:val="es-MX" w:eastAsia="en-US"/>
        </w:rPr>
        <w:t>in</w:t>
      </w:r>
      <w:r w:rsidR="00C50469">
        <w:rPr>
          <w:rFonts w:ascii="Palatino Linotype" w:eastAsiaTheme="minorHAnsi" w:hAnsi="Palatino Linotype" w:cs="Arial"/>
          <w:b/>
          <w:lang w:val="es-MX" w:eastAsia="en-US"/>
        </w:rPr>
        <w:t>tisiet</w:t>
      </w:r>
      <w:r>
        <w:rPr>
          <w:rFonts w:ascii="Palatino Linotype" w:eastAsiaTheme="minorHAnsi" w:hAnsi="Palatino Linotype" w:cs="Arial"/>
          <w:b/>
          <w:lang w:val="es-MX" w:eastAsia="en-US"/>
        </w:rPr>
        <w:t>e</w:t>
      </w:r>
      <w:r w:rsidRPr="00C031B6">
        <w:rPr>
          <w:rFonts w:ascii="Palatino Linotype" w:eastAsiaTheme="minorHAnsi" w:hAnsi="Palatino Linotype" w:cs="Arial"/>
          <w:b/>
          <w:lang w:val="es-MX" w:eastAsia="en-US"/>
        </w:rPr>
        <w:t xml:space="preserve"> de </w:t>
      </w:r>
      <w:r>
        <w:rPr>
          <w:rFonts w:ascii="Palatino Linotype" w:eastAsiaTheme="minorHAnsi" w:hAnsi="Palatino Linotype" w:cs="Arial"/>
          <w:b/>
          <w:lang w:val="es-MX" w:eastAsia="en-US"/>
        </w:rPr>
        <w:t>n</w:t>
      </w:r>
      <w:r w:rsidRPr="00C031B6">
        <w:rPr>
          <w:rFonts w:ascii="Palatino Linotype" w:eastAsiaTheme="minorHAnsi" w:hAnsi="Palatino Linotype" w:cs="Arial"/>
          <w:b/>
          <w:lang w:val="es-MX" w:eastAsia="en-US"/>
        </w:rPr>
        <w:t>o</w:t>
      </w:r>
      <w:r>
        <w:rPr>
          <w:rFonts w:ascii="Palatino Linotype" w:eastAsiaTheme="minorHAnsi" w:hAnsi="Palatino Linotype" w:cs="Arial"/>
          <w:b/>
          <w:lang w:val="es-MX" w:eastAsia="en-US"/>
        </w:rPr>
        <w:t>viembre</w:t>
      </w:r>
      <w:r w:rsidRPr="00C031B6">
        <w:rPr>
          <w:rFonts w:ascii="Palatino Linotype" w:eastAsiaTheme="minorHAnsi" w:hAnsi="Palatino Linotype" w:cs="Arial"/>
          <w:b/>
          <w:lang w:val="es-MX" w:eastAsia="en-US"/>
        </w:rPr>
        <w:t xml:space="preserve"> del año en dos mil veintitrés</w:t>
      </w:r>
      <w:r w:rsidRPr="00037B15">
        <w:rPr>
          <w:rFonts w:ascii="Palatino Linotype" w:eastAsiaTheme="minorHAnsi" w:hAnsi="Palatino Linotype" w:cs="Arial"/>
          <w:lang w:val="es-MX" w:eastAsia="en-US"/>
        </w:rPr>
        <w:t xml:space="preserve">, en términos del artículo 185, </w:t>
      </w:r>
      <w:r>
        <w:rPr>
          <w:rFonts w:ascii="Palatino Linotype" w:eastAsiaTheme="minorHAnsi" w:hAnsi="Palatino Linotype" w:cs="Arial"/>
          <w:lang w:val="es-MX" w:eastAsia="en-US"/>
        </w:rPr>
        <w:t>f</w:t>
      </w:r>
      <w:r w:rsidRPr="00037B15">
        <w:rPr>
          <w:rFonts w:ascii="Palatino Linotype" w:eastAsiaTheme="minorHAnsi" w:hAnsi="Palatino Linotype" w:cs="Arial"/>
          <w:lang w:val="es-MX" w:eastAsia="en-US"/>
        </w:rPr>
        <w:t>racción VI, de la Ley de Transparencia y Acceso a la Información Pública del Estado de México y Municipios, iniciando el término legal para dictar resolución definitiva del asunto.</w:t>
      </w:r>
    </w:p>
    <w:p w14:paraId="4066EFCF" w14:textId="77777777" w:rsidR="005F0980" w:rsidRDefault="005F0980" w:rsidP="005F0980">
      <w:pPr>
        <w:spacing w:line="360" w:lineRule="auto"/>
        <w:jc w:val="both"/>
        <w:rPr>
          <w:rFonts w:ascii="Palatino Linotype" w:eastAsiaTheme="minorHAnsi" w:hAnsi="Palatino Linotype" w:cs="Arial"/>
          <w:lang w:val="es-MX" w:eastAsia="en-US"/>
        </w:rPr>
      </w:pPr>
    </w:p>
    <w:p w14:paraId="480AB21D" w14:textId="77777777" w:rsidR="005F0980" w:rsidRPr="00C220D0" w:rsidRDefault="005F0980" w:rsidP="005F0980">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 xml:space="preserve">O.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14:paraId="5D5FDB2D" w14:textId="77777777" w:rsidR="005F0980" w:rsidRDefault="005F0980" w:rsidP="005F0980">
      <w:pPr>
        <w:spacing w:line="360" w:lineRule="auto"/>
        <w:jc w:val="both"/>
        <w:rPr>
          <w:rFonts w:ascii="Palatino Linotype" w:hAnsi="Palatino Linotype" w:cs="Arial"/>
        </w:rPr>
      </w:pPr>
      <w:r>
        <w:rPr>
          <w:rFonts w:ascii="Palatino Linotype" w:hAnsi="Palatino Linotype" w:cs="Arial"/>
        </w:rPr>
        <w:t>E</w:t>
      </w:r>
      <w:r w:rsidRPr="00667998">
        <w:rPr>
          <w:rFonts w:ascii="Palatino Linotype" w:hAnsi="Palatino Linotype" w:cs="Arial"/>
        </w:rPr>
        <w:t xml:space="preserve">n fecha </w:t>
      </w:r>
      <w:r w:rsidR="00C50469">
        <w:rPr>
          <w:rFonts w:ascii="Palatino Linotype" w:hAnsi="Palatino Linotype" w:cs="Arial"/>
          <w:b/>
        </w:rPr>
        <w:t xml:space="preserve">dieciocho </w:t>
      </w:r>
      <w:r w:rsidRPr="002C133B">
        <w:rPr>
          <w:rFonts w:ascii="Palatino Linotype" w:hAnsi="Palatino Linotype" w:cs="Arial"/>
          <w:b/>
        </w:rPr>
        <w:t xml:space="preserve">de </w:t>
      </w:r>
      <w:r>
        <w:rPr>
          <w:rFonts w:ascii="Palatino Linotype" w:hAnsi="Palatino Linotype" w:cs="Arial"/>
          <w:b/>
        </w:rPr>
        <w:t>diciembre</w:t>
      </w:r>
      <w:r w:rsidRPr="002C133B">
        <w:rPr>
          <w:rFonts w:ascii="Palatino Linotype" w:hAnsi="Palatino Linotype" w:cs="Arial"/>
          <w:b/>
        </w:rPr>
        <w:t xml:space="preserve"> del año dos mil veintitrés</w:t>
      </w:r>
      <w:r w:rsidRPr="00667998">
        <w:rPr>
          <w:rFonts w:ascii="Palatino Linotype" w:hAnsi="Palatino Linotype" w:cs="Arial"/>
        </w:rPr>
        <w:t>, se amplió el plazo para dictar resolución, en términos del artículo 181, de la Ley de Transparencia y Acceso a la Información Pública del Estado de México y Municipios.</w:t>
      </w:r>
    </w:p>
    <w:p w14:paraId="4168229E" w14:textId="77777777" w:rsidR="005F0980" w:rsidRDefault="005F0980" w:rsidP="005F0980">
      <w:pPr>
        <w:spacing w:line="360" w:lineRule="auto"/>
        <w:jc w:val="both"/>
        <w:rPr>
          <w:rFonts w:ascii="Palatino Linotype" w:hAnsi="Palatino Linotype" w:cs="Arial"/>
        </w:rPr>
      </w:pPr>
    </w:p>
    <w:p w14:paraId="5304D5FF"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B92863A" w14:textId="77777777" w:rsidR="005F0980" w:rsidRDefault="005F0980" w:rsidP="005F0980">
      <w:pPr>
        <w:spacing w:line="360" w:lineRule="auto"/>
        <w:jc w:val="both"/>
        <w:rPr>
          <w:rFonts w:ascii="Palatino Linotype" w:hAnsi="Palatino Linotype"/>
        </w:rPr>
      </w:pPr>
      <w:r w:rsidRPr="000A7EB9">
        <w:rPr>
          <w:rFonts w:ascii="Palatino Linotype" w:hAnsi="Palatino Linotype"/>
        </w:rPr>
        <w:t xml:space="preserve"> </w:t>
      </w:r>
    </w:p>
    <w:p w14:paraId="3F34632B"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7CD4B73"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 xml:space="preserve"> </w:t>
      </w:r>
    </w:p>
    <w:p w14:paraId="79D46B04"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51A7C66"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lastRenderedPageBreak/>
        <w:t xml:space="preserve"> </w:t>
      </w:r>
    </w:p>
    <w:p w14:paraId="44235050"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9CCDF30"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 xml:space="preserve"> </w:t>
      </w:r>
    </w:p>
    <w:p w14:paraId="639AEAE9" w14:textId="77777777" w:rsidR="005F0980" w:rsidRDefault="005F0980" w:rsidP="005F0980">
      <w:pPr>
        <w:spacing w:line="360" w:lineRule="auto"/>
        <w:jc w:val="both"/>
        <w:rPr>
          <w:rFonts w:ascii="Palatino Linotype" w:hAnsi="Palatino Linotype"/>
        </w:rPr>
      </w:pPr>
      <w:r w:rsidRPr="000A7EB9">
        <w:rPr>
          <w:rFonts w:ascii="Palatino Linotype" w:hAnsi="Palatino Linotype"/>
        </w:rPr>
        <w:t>Por ello, excepcionalmente, si un asunto es resuelto con posterioridad a los plazos señalados por la norma debe analizarse la razonabilidad del tiempo necesario para su resolución, atento</w:t>
      </w:r>
      <w:r>
        <w:rPr>
          <w:rFonts w:ascii="Palatino Linotype" w:hAnsi="Palatino Linotype"/>
        </w:rPr>
        <w:t xml:space="preserve">s a los siguientes criterios:  </w:t>
      </w:r>
    </w:p>
    <w:p w14:paraId="4932C882" w14:textId="77777777" w:rsidR="005F0980" w:rsidRDefault="005F0980" w:rsidP="005F0980">
      <w:pPr>
        <w:spacing w:line="360" w:lineRule="auto"/>
        <w:jc w:val="both"/>
        <w:rPr>
          <w:rFonts w:ascii="Palatino Linotype" w:hAnsi="Palatino Linotype"/>
        </w:rPr>
      </w:pPr>
    </w:p>
    <w:p w14:paraId="3C42F13A" w14:textId="77777777" w:rsidR="005F0980" w:rsidRPr="000A7EB9" w:rsidRDefault="005F0980" w:rsidP="005F0980">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t>Complejidad del asunto: La complejidad de la prueba, la pluralidad de sujetos procesales, el tiempo transcurrido, las características y contexto del recurso.</w:t>
      </w:r>
    </w:p>
    <w:p w14:paraId="6F2D1B47" w14:textId="77777777" w:rsidR="005F0980" w:rsidRPr="000A7EB9" w:rsidRDefault="005F0980" w:rsidP="005F0980">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t>Actividad Procesal del interesado: Acciones u omisiones del interesado.</w:t>
      </w:r>
    </w:p>
    <w:p w14:paraId="307C717F" w14:textId="77777777" w:rsidR="005F0980" w:rsidRPr="000A7EB9" w:rsidRDefault="005F0980" w:rsidP="005F0980">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t>Conducta de la Autoridad: Las Acciones u omisiones realizadas en el procedimiento. Así como si la autoridad actuó con la debida diligencia.</w:t>
      </w:r>
    </w:p>
    <w:p w14:paraId="311AF4F9" w14:textId="77777777" w:rsidR="005F0980" w:rsidRPr="000A7EB9" w:rsidRDefault="005F0980" w:rsidP="005F0980">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t>La afectación generada en la situación jurídica de la persona involucrada en el proceso: Violación a sus derechos humanos.</w:t>
      </w:r>
    </w:p>
    <w:p w14:paraId="7234B425" w14:textId="77777777" w:rsidR="005F0980" w:rsidRPr="000A7EB9" w:rsidRDefault="005F0980" w:rsidP="005F0980">
      <w:pPr>
        <w:spacing w:line="360" w:lineRule="auto"/>
        <w:jc w:val="both"/>
        <w:rPr>
          <w:rFonts w:ascii="Palatino Linotype" w:hAnsi="Palatino Linotype"/>
        </w:rPr>
      </w:pPr>
    </w:p>
    <w:p w14:paraId="6AEFD86A"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E4E46C8"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 xml:space="preserve"> </w:t>
      </w:r>
    </w:p>
    <w:p w14:paraId="6BFE2C43" w14:textId="77777777" w:rsidR="00C50469" w:rsidRDefault="00C50469" w:rsidP="005F0980">
      <w:pPr>
        <w:spacing w:line="360" w:lineRule="auto"/>
        <w:jc w:val="both"/>
        <w:rPr>
          <w:rFonts w:ascii="Palatino Linotype" w:hAnsi="Palatino Linotype"/>
        </w:rPr>
      </w:pPr>
    </w:p>
    <w:p w14:paraId="10F4FCBB" w14:textId="77777777" w:rsidR="00C50469" w:rsidRDefault="00C50469" w:rsidP="005F0980">
      <w:pPr>
        <w:spacing w:line="360" w:lineRule="auto"/>
        <w:jc w:val="both"/>
        <w:rPr>
          <w:rFonts w:ascii="Palatino Linotype" w:hAnsi="Palatino Linotype"/>
        </w:rPr>
      </w:pPr>
    </w:p>
    <w:p w14:paraId="2190451D"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Argumento que encuentra sustento en la jurisprudencia P</w:t>
      </w:r>
      <w:proofErr w:type="gramStart"/>
      <w:r w:rsidRPr="000A7EB9">
        <w:rPr>
          <w:rFonts w:ascii="Palatino Linotype" w:hAnsi="Palatino Linotype"/>
        </w:rPr>
        <w:t>./</w:t>
      </w:r>
      <w:proofErr w:type="gramEnd"/>
      <w:r w:rsidRPr="000A7EB9">
        <w:rPr>
          <w:rFonts w:ascii="Palatino Linotype"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6B81F56"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 xml:space="preserve"> </w:t>
      </w:r>
    </w:p>
    <w:p w14:paraId="5096E9C0"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925DD7" w14:textId="77777777" w:rsidR="005F0980" w:rsidRDefault="005F0980" w:rsidP="005F0980">
      <w:pPr>
        <w:spacing w:line="360" w:lineRule="auto"/>
        <w:jc w:val="both"/>
        <w:rPr>
          <w:rFonts w:ascii="Palatino Linotype" w:hAnsi="Palatino Linotype"/>
        </w:rPr>
      </w:pPr>
    </w:p>
    <w:p w14:paraId="3226DAF2"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17AA4797"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 xml:space="preserve"> </w:t>
      </w:r>
    </w:p>
    <w:p w14:paraId="7A891EE1"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lastRenderedPageBreak/>
        <w:t xml:space="preserve"> “PLAZO RAZONABLE PARA RESOLVER. DIMENSIÓN Y EFECTOS DE ESTE CONCEPTO CUANDO SE ADUCE EXCESIVA CARGA DE TRABAJO.” consultable en el Seminario Judicial de la Federación y su gaceta, con el registro digital 2002351.</w:t>
      </w:r>
    </w:p>
    <w:p w14:paraId="79729253"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 xml:space="preserve"> </w:t>
      </w:r>
    </w:p>
    <w:p w14:paraId="3B646C45" w14:textId="77777777" w:rsidR="005F0980" w:rsidRPr="000A7EB9" w:rsidRDefault="005F0980" w:rsidP="005F0980">
      <w:pPr>
        <w:spacing w:line="360" w:lineRule="auto"/>
        <w:jc w:val="both"/>
        <w:rPr>
          <w:rFonts w:ascii="Palatino Linotype" w:hAnsi="Palatino Linotype"/>
        </w:rPr>
      </w:pPr>
      <w:r w:rsidRPr="000A7EB9">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169A5F1F" w14:textId="77777777" w:rsidR="005F0980" w:rsidRPr="000A7EB9" w:rsidRDefault="005F0980" w:rsidP="005F0980">
      <w:pPr>
        <w:spacing w:line="360" w:lineRule="auto"/>
        <w:jc w:val="both"/>
        <w:rPr>
          <w:rFonts w:ascii="Palatino Linotype" w:hAnsi="Palatino Linotype"/>
        </w:rPr>
      </w:pPr>
    </w:p>
    <w:p w14:paraId="3B3FE9C0" w14:textId="77777777" w:rsidR="005F0980" w:rsidRDefault="005F0980" w:rsidP="005F0980">
      <w:pPr>
        <w:spacing w:line="360" w:lineRule="auto"/>
        <w:jc w:val="both"/>
        <w:rPr>
          <w:rFonts w:ascii="Palatino Linotype" w:hAnsi="Palatino Linotype"/>
        </w:rPr>
      </w:pPr>
      <w:r w:rsidRPr="000A7EB9">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1DF73B27" w14:textId="77777777" w:rsidR="005F0980" w:rsidRDefault="005F0980" w:rsidP="005F0980">
      <w:pPr>
        <w:spacing w:line="360" w:lineRule="auto"/>
        <w:jc w:val="center"/>
        <w:rPr>
          <w:rFonts w:ascii="Palatino Linotype" w:eastAsiaTheme="minorHAnsi" w:hAnsi="Palatino Linotype" w:cs="Arial"/>
          <w:b/>
          <w:sz w:val="28"/>
          <w:lang w:val="es-MX" w:eastAsia="en-US"/>
        </w:rPr>
      </w:pPr>
    </w:p>
    <w:p w14:paraId="30A4F6D3" w14:textId="77777777" w:rsidR="005F0980" w:rsidRPr="00037B15" w:rsidRDefault="005F0980" w:rsidP="005F0980">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C O N S I D E R A N D O </w:t>
      </w:r>
    </w:p>
    <w:p w14:paraId="439DC435" w14:textId="77777777" w:rsidR="005F0980" w:rsidRPr="00037B15" w:rsidRDefault="005F0980" w:rsidP="005F0980">
      <w:pPr>
        <w:spacing w:line="360" w:lineRule="auto"/>
        <w:jc w:val="center"/>
        <w:rPr>
          <w:rFonts w:ascii="Palatino Linotype" w:eastAsiaTheme="minorHAnsi" w:hAnsi="Palatino Linotype" w:cs="Arial"/>
          <w:b/>
          <w:sz w:val="14"/>
          <w:lang w:val="es-MX" w:eastAsia="en-US"/>
        </w:rPr>
      </w:pPr>
    </w:p>
    <w:p w14:paraId="167D1101" w14:textId="77777777" w:rsidR="005F0980" w:rsidRPr="00037B15" w:rsidRDefault="005F0980" w:rsidP="005F0980">
      <w:pPr>
        <w:spacing w:line="360" w:lineRule="auto"/>
        <w:jc w:val="both"/>
        <w:rPr>
          <w:rFonts w:ascii="Palatino Linotype" w:eastAsiaTheme="minorHAnsi" w:hAnsi="Palatino Linotype" w:cs="Arial"/>
          <w:sz w:val="28"/>
          <w:lang w:val="es-MX" w:eastAsia="en-US"/>
        </w:rPr>
      </w:pPr>
      <w:r w:rsidRPr="00037B15">
        <w:rPr>
          <w:rFonts w:ascii="Palatino Linotype" w:eastAsiaTheme="minorHAnsi" w:hAnsi="Palatino Linotype" w:cs="Arial"/>
          <w:b/>
          <w:sz w:val="28"/>
          <w:lang w:val="es-MX" w:eastAsia="en-US"/>
        </w:rPr>
        <w:t>PRIMERO. De la competencia</w:t>
      </w:r>
      <w:r w:rsidRPr="00037B15">
        <w:rPr>
          <w:rFonts w:ascii="Palatino Linotype" w:eastAsiaTheme="minorHAnsi" w:hAnsi="Palatino Linotype" w:cs="Arial"/>
          <w:sz w:val="28"/>
          <w:lang w:val="es-MX" w:eastAsia="en-US"/>
        </w:rPr>
        <w:t>.</w:t>
      </w:r>
    </w:p>
    <w:p w14:paraId="57020E7B" w14:textId="77777777" w:rsidR="005F0980" w:rsidRPr="00037B15" w:rsidRDefault="005F0980" w:rsidP="005F0980">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val="es-MX"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val="es-MX" w:eastAsia="en-US"/>
        </w:rPr>
        <w:t xml:space="preserve">el Reglamento Interior del Instituto de Transparencia, Acceso a la </w:t>
      </w:r>
      <w:r w:rsidRPr="00037B15">
        <w:rPr>
          <w:rFonts w:ascii="Palatino Linotype" w:eastAsiaTheme="minorHAnsi" w:hAnsi="Palatino Linotype" w:cs="Arial"/>
          <w:lang w:val="es-MX" w:eastAsia="en-US"/>
        </w:rPr>
        <w:lastRenderedPageBreak/>
        <w:t>Información Pública y Protección de Datos Personales del Estado de México y Municipios.</w:t>
      </w:r>
    </w:p>
    <w:p w14:paraId="04F26A97" w14:textId="77777777" w:rsidR="005F0980" w:rsidRPr="00037B15" w:rsidRDefault="005F0980" w:rsidP="005F0980">
      <w:pPr>
        <w:spacing w:line="360" w:lineRule="auto"/>
        <w:jc w:val="both"/>
        <w:rPr>
          <w:rFonts w:ascii="Palatino Linotype" w:eastAsiaTheme="minorHAnsi" w:hAnsi="Palatino Linotype" w:cs="Arial"/>
          <w:lang w:val="es-MX" w:eastAsia="en-US"/>
        </w:rPr>
      </w:pPr>
    </w:p>
    <w:p w14:paraId="62EFD787" w14:textId="77777777" w:rsidR="005F0980" w:rsidRPr="00037B15" w:rsidRDefault="005F0980" w:rsidP="005F0980">
      <w:pPr>
        <w:autoSpaceDE w:val="0"/>
        <w:autoSpaceDN w:val="0"/>
        <w:adjustRightInd w:val="0"/>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SEGUNDO. De los alcances del Recurso de Revisión. </w:t>
      </w:r>
    </w:p>
    <w:p w14:paraId="262C4A7C" w14:textId="77777777" w:rsidR="005F0980" w:rsidRPr="00037B15" w:rsidRDefault="005F0980" w:rsidP="005F0980">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C3234DE" w14:textId="77777777" w:rsidR="005F0980" w:rsidRDefault="005F0980" w:rsidP="005F0980">
      <w:pPr>
        <w:autoSpaceDE w:val="0"/>
        <w:autoSpaceDN w:val="0"/>
        <w:adjustRightInd w:val="0"/>
        <w:spacing w:line="360" w:lineRule="auto"/>
        <w:jc w:val="both"/>
        <w:rPr>
          <w:rFonts w:ascii="Palatino Linotype" w:hAnsi="Palatino Linotype" w:cs="Arial"/>
          <w:b/>
          <w:sz w:val="28"/>
        </w:rPr>
      </w:pPr>
    </w:p>
    <w:p w14:paraId="7D22D680" w14:textId="77777777" w:rsidR="00C50469" w:rsidRPr="0025170A" w:rsidRDefault="005F0980" w:rsidP="00C50469">
      <w:pPr>
        <w:spacing w:line="360" w:lineRule="auto"/>
        <w:jc w:val="both"/>
        <w:rPr>
          <w:rFonts w:ascii="Palatino Linotype" w:eastAsia="Calibri" w:hAnsi="Palatino Linotype" w:cs="Arial"/>
          <w:sz w:val="26"/>
          <w:szCs w:val="26"/>
        </w:rPr>
      </w:pPr>
      <w:r w:rsidRPr="00037B15">
        <w:rPr>
          <w:rFonts w:ascii="Palatino Linotype" w:hAnsi="Palatino Linotype" w:cs="Arial"/>
          <w:b/>
          <w:sz w:val="28"/>
        </w:rPr>
        <w:t xml:space="preserve">TERCERO. </w:t>
      </w:r>
      <w:r w:rsidR="00C50469" w:rsidRPr="0025170A">
        <w:rPr>
          <w:rFonts w:ascii="Palatino Linotype" w:eastAsia="Calibri" w:hAnsi="Palatino Linotype" w:cs="Arial"/>
          <w:b/>
          <w:sz w:val="26"/>
          <w:szCs w:val="26"/>
        </w:rPr>
        <w:t>Cuestiones de previo y especial pronunciamiento.</w:t>
      </w:r>
    </w:p>
    <w:p w14:paraId="3C8BF2FF" w14:textId="77777777" w:rsidR="00C50469" w:rsidRPr="0025170A" w:rsidRDefault="00C50469" w:rsidP="00C50469">
      <w:pPr>
        <w:spacing w:line="360" w:lineRule="auto"/>
        <w:jc w:val="both"/>
        <w:rPr>
          <w:rFonts w:ascii="Palatino Linotype" w:hAnsi="Palatino Linotype"/>
        </w:rPr>
      </w:pPr>
      <w:r w:rsidRPr="0025170A">
        <w:rPr>
          <w:rFonts w:ascii="Palatino Linotype" w:hAnsi="Palatino Linotype" w:cs="Arial"/>
        </w:rPr>
        <w:t xml:space="preserve">El Recurso de Revisión en estudio contiene los elementos normativos de validez exigidos en </w:t>
      </w:r>
      <w:r w:rsidRPr="0025170A">
        <w:rPr>
          <w:rFonts w:ascii="Palatino Linotype" w:hAnsi="Palatino Linotype"/>
        </w:rPr>
        <w:t xml:space="preserve">la Ley de Transparencia y </w:t>
      </w:r>
      <w:r w:rsidRPr="0025170A">
        <w:rPr>
          <w:rFonts w:ascii="Palatino Linotype" w:hAnsi="Palatino Linotype" w:cs="Arial"/>
          <w:lang w:val="es-ES_tradnl"/>
        </w:rPr>
        <w:t>Acceso a la Información Pública del Estado de México y Municipios</w:t>
      </w:r>
      <w:r w:rsidRPr="0025170A">
        <w:rPr>
          <w:rFonts w:ascii="Palatino Linotype" w:hAnsi="Palatino Linotype"/>
        </w:rPr>
        <w:t>, establecidos en el artículo 180 que enuncia:</w:t>
      </w:r>
    </w:p>
    <w:p w14:paraId="5FF5FC46" w14:textId="77777777" w:rsidR="00C50469" w:rsidRPr="0025170A" w:rsidRDefault="00C50469" w:rsidP="00C50469">
      <w:pPr>
        <w:spacing w:line="360" w:lineRule="auto"/>
        <w:jc w:val="both"/>
        <w:rPr>
          <w:rFonts w:ascii="Palatino Linotype" w:hAnsi="Palatino Linotype"/>
          <w:sz w:val="18"/>
        </w:rPr>
      </w:pPr>
    </w:p>
    <w:p w14:paraId="7ADBE8E3"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b/>
          <w:i/>
        </w:rPr>
        <w:t xml:space="preserve">“Artículo 180. </w:t>
      </w:r>
      <w:r w:rsidRPr="0025170A">
        <w:rPr>
          <w:rFonts w:ascii="Palatino Linotype" w:hAnsi="Palatino Linotype" w:cs="Arial"/>
          <w:i/>
        </w:rPr>
        <w:t>El recurso de revisión contendrá:</w:t>
      </w:r>
    </w:p>
    <w:p w14:paraId="61823609"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I. El sujeto obligado ante la cual se presentó la solicitud;</w:t>
      </w:r>
    </w:p>
    <w:p w14:paraId="5B5FF4EC"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b/>
          <w:i/>
        </w:rPr>
        <w:t>II. El nombre del solicitante que recurre</w:t>
      </w:r>
      <w:r w:rsidRPr="0025170A">
        <w:rPr>
          <w:rFonts w:ascii="Palatino Linotype" w:hAnsi="Palatino Linotype" w:cs="Arial"/>
          <w:i/>
        </w:rPr>
        <w:t xml:space="preserve"> o de su representante y, en su caso, del tercero interesado, así como la dirección o medio que señale para recibir notificaciones;</w:t>
      </w:r>
    </w:p>
    <w:p w14:paraId="0B43F308"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III. El número de folio de respuesta de la solicitud de acceso;</w:t>
      </w:r>
    </w:p>
    <w:p w14:paraId="48CF1F98"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IV. La fecha en que fue notificada la respuesta al solicitante o tuvo conocimiento del acto reclamado, o de presentación de la solicitud, en caso de falta de respuesta;</w:t>
      </w:r>
    </w:p>
    <w:p w14:paraId="4CFBF212"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V. El acto que se recurre;</w:t>
      </w:r>
    </w:p>
    <w:p w14:paraId="78826CEF"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VI. Las razones o motivos de inconformidad;</w:t>
      </w:r>
    </w:p>
    <w:p w14:paraId="3E9A0935"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VII. La copia de la respuesta que se impugna y, en su caso, de la notificación correspondiente, en el caso de respuesta de la solicitud; y</w:t>
      </w:r>
    </w:p>
    <w:p w14:paraId="365FFDD0"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lastRenderedPageBreak/>
        <w:t>VIII. Firma del recurrente, en su caso, cuando se presente por escrito, requisito sin el cual se dará trámite al recurso.</w:t>
      </w:r>
    </w:p>
    <w:p w14:paraId="1B98D9F3" w14:textId="77777777" w:rsidR="00C50469" w:rsidRPr="0025170A" w:rsidRDefault="00C50469" w:rsidP="00C50469">
      <w:pPr>
        <w:ind w:left="567" w:right="567"/>
        <w:jc w:val="both"/>
        <w:rPr>
          <w:rFonts w:ascii="Palatino Linotype" w:hAnsi="Palatino Linotype" w:cs="Arial"/>
          <w:i/>
        </w:rPr>
      </w:pPr>
    </w:p>
    <w:p w14:paraId="51EDFA65"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Adicionalmente, se podrán anexar las pruebas y demás elementos que considere procedentes someter a juicio del Instituto.</w:t>
      </w:r>
    </w:p>
    <w:p w14:paraId="31ABDA98" w14:textId="77777777" w:rsidR="00C50469" w:rsidRPr="0025170A" w:rsidRDefault="00C50469" w:rsidP="00C50469">
      <w:pPr>
        <w:ind w:left="567" w:right="567"/>
        <w:jc w:val="both"/>
        <w:rPr>
          <w:rFonts w:ascii="Palatino Linotype" w:hAnsi="Palatino Linotype" w:cs="Arial"/>
          <w:i/>
        </w:rPr>
      </w:pPr>
    </w:p>
    <w:p w14:paraId="28EDD442"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i/>
        </w:rPr>
        <w:t>En ningún caso será necesario que el particular ratifique el recurso de revisión interpuesto.</w:t>
      </w:r>
    </w:p>
    <w:p w14:paraId="46F4B60D" w14:textId="77777777" w:rsidR="00C50469" w:rsidRPr="0025170A" w:rsidRDefault="00C50469" w:rsidP="00C50469">
      <w:pPr>
        <w:ind w:left="567" w:right="567"/>
        <w:jc w:val="both"/>
        <w:rPr>
          <w:rFonts w:ascii="Palatino Linotype" w:hAnsi="Palatino Linotype" w:cs="Arial"/>
          <w:i/>
        </w:rPr>
      </w:pPr>
    </w:p>
    <w:p w14:paraId="34F8F4E7" w14:textId="77777777" w:rsidR="00C50469" w:rsidRPr="0025170A" w:rsidRDefault="00C50469" w:rsidP="00C50469">
      <w:pPr>
        <w:ind w:left="567" w:right="567"/>
        <w:jc w:val="both"/>
        <w:rPr>
          <w:rFonts w:ascii="Palatino Linotype" w:hAnsi="Palatino Linotype" w:cs="Arial"/>
          <w:i/>
        </w:rPr>
      </w:pPr>
      <w:r w:rsidRPr="0025170A">
        <w:rPr>
          <w:rFonts w:ascii="Palatino Linotype" w:hAnsi="Palatino Linotype" w:cs="Arial"/>
          <w:b/>
          <w:i/>
        </w:rPr>
        <w:t>En caso de que el recurso se interponga de manera electrónica no será indispensable que contengan los requisitos establecidos en las fracciones II</w:t>
      </w:r>
      <w:r w:rsidRPr="0025170A">
        <w:rPr>
          <w:rFonts w:ascii="Palatino Linotype" w:hAnsi="Palatino Linotype" w:cs="Arial"/>
          <w:i/>
        </w:rPr>
        <w:t>, IV, VII y VIII.”</w:t>
      </w:r>
    </w:p>
    <w:p w14:paraId="4DD81623" w14:textId="77777777" w:rsidR="00C50469" w:rsidRPr="0025170A" w:rsidRDefault="00C50469" w:rsidP="00C50469">
      <w:pPr>
        <w:ind w:left="567" w:right="567"/>
        <w:jc w:val="right"/>
        <w:rPr>
          <w:rFonts w:ascii="Palatino Linotype" w:hAnsi="Palatino Linotype" w:cs="Arial"/>
          <w:i/>
          <w:sz w:val="20"/>
        </w:rPr>
      </w:pPr>
      <w:r w:rsidRPr="0025170A">
        <w:rPr>
          <w:rFonts w:ascii="Palatino Linotype" w:hAnsi="Palatino Linotype" w:cs="Arial"/>
          <w:i/>
          <w:sz w:val="20"/>
        </w:rPr>
        <w:t>[Énfasis añadido]</w:t>
      </w:r>
    </w:p>
    <w:p w14:paraId="75D61CD8" w14:textId="77777777" w:rsidR="00C50469" w:rsidRPr="0025170A" w:rsidRDefault="00C50469" w:rsidP="00C50469">
      <w:pPr>
        <w:spacing w:line="276" w:lineRule="auto"/>
        <w:ind w:left="851"/>
        <w:jc w:val="right"/>
        <w:rPr>
          <w:rFonts w:ascii="Palatino Linotype" w:hAnsi="Palatino Linotype" w:cs="Arial"/>
          <w:b/>
          <w:i/>
        </w:rPr>
      </w:pPr>
    </w:p>
    <w:p w14:paraId="321D8C65" w14:textId="77777777" w:rsidR="00C50469" w:rsidRDefault="00C50469" w:rsidP="00C50469">
      <w:pPr>
        <w:spacing w:line="360" w:lineRule="auto"/>
        <w:jc w:val="both"/>
        <w:rPr>
          <w:rFonts w:ascii="Palatino Linotype" w:eastAsia="Calibri" w:hAnsi="Palatino Linotype" w:cs="Arial"/>
        </w:rPr>
      </w:pPr>
      <w:r w:rsidRPr="0025170A">
        <w:rPr>
          <w:rFonts w:ascii="Palatino Linotype" w:eastAsia="Calibri" w:hAnsi="Palatino Linotype" w:cs="Segoe UI"/>
        </w:rPr>
        <w:t xml:space="preserve">Cabe señalar que </w:t>
      </w:r>
      <w:r w:rsidRPr="0025170A">
        <w:rPr>
          <w:rFonts w:ascii="Palatino Linotype" w:eastAsia="Calibri" w:hAnsi="Palatino Linotype" w:cs="Segoe UI"/>
          <w:b/>
        </w:rPr>
        <w:t>l</w:t>
      </w:r>
      <w:r>
        <w:rPr>
          <w:rFonts w:ascii="Palatino Linotype" w:eastAsia="Calibri" w:hAnsi="Palatino Linotype" w:cs="Segoe UI"/>
          <w:b/>
        </w:rPr>
        <w:t>a parte</w:t>
      </w:r>
      <w:r w:rsidRPr="0025170A">
        <w:rPr>
          <w:rFonts w:ascii="Palatino Linotype" w:eastAsia="Calibri" w:hAnsi="Palatino Linotype" w:cs="Segoe UI"/>
          <w:b/>
        </w:rPr>
        <w:t xml:space="preserve"> Recurrente</w:t>
      </w:r>
      <w:r w:rsidRPr="0025170A">
        <w:rPr>
          <w:rFonts w:ascii="Palatino Linotype" w:eastAsia="Calibri" w:hAnsi="Palatino Linotype" w:cs="Segoe UI"/>
        </w:rPr>
        <w:t xml:space="preserve"> ejerció de manera anónima su derecho de acceso a la información pública</w:t>
      </w:r>
      <w:r w:rsidRPr="0025170A">
        <w:rPr>
          <w:rFonts w:ascii="Palatino Linotype" w:eastAsia="Calibri" w:hAnsi="Palatino Linotype"/>
        </w:rPr>
        <w:t xml:space="preserve">, sin embargo, no es motivo para desechar las </w:t>
      </w:r>
      <w:r w:rsidRPr="0025170A">
        <w:rPr>
          <w:rFonts w:ascii="Palatino Linotype" w:eastAsia="Calibri"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329FD755" w14:textId="77777777" w:rsidR="00C50469" w:rsidRPr="0025170A" w:rsidRDefault="00C50469" w:rsidP="00C50469">
      <w:pPr>
        <w:spacing w:line="360" w:lineRule="auto"/>
        <w:jc w:val="both"/>
        <w:rPr>
          <w:rFonts w:ascii="Palatino Linotype" w:eastAsia="Calibri" w:hAnsi="Palatino Linotype" w:cs="Arial"/>
        </w:rPr>
      </w:pPr>
    </w:p>
    <w:p w14:paraId="3914AD26" w14:textId="77777777" w:rsidR="00C50469" w:rsidRPr="0025170A" w:rsidRDefault="00C50469" w:rsidP="00C50469">
      <w:pPr>
        <w:ind w:left="567" w:right="567"/>
        <w:jc w:val="both"/>
        <w:rPr>
          <w:rFonts w:ascii="Palatino Linotype" w:eastAsia="Calibri" w:hAnsi="Palatino Linotype" w:cs="Arial"/>
          <w:i/>
        </w:rPr>
      </w:pPr>
      <w:r w:rsidRPr="0025170A">
        <w:rPr>
          <w:rFonts w:ascii="Palatino Linotype" w:eastAsia="Calibri" w:hAnsi="Palatino Linotype" w:cs="Arial"/>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69435967" w14:textId="77777777" w:rsidR="00C50469" w:rsidRDefault="00C50469" w:rsidP="00C50469">
      <w:pPr>
        <w:spacing w:line="360" w:lineRule="auto"/>
        <w:jc w:val="both"/>
        <w:rPr>
          <w:rFonts w:ascii="Palatino Linotype" w:eastAsia="Calibri" w:hAnsi="Palatino Linotype"/>
        </w:rPr>
      </w:pPr>
    </w:p>
    <w:p w14:paraId="57C9B303" w14:textId="77777777" w:rsidR="00C50469" w:rsidRDefault="00C50469" w:rsidP="00C50469">
      <w:pPr>
        <w:spacing w:line="360" w:lineRule="auto"/>
        <w:jc w:val="both"/>
        <w:rPr>
          <w:rFonts w:ascii="Palatino Linotype" w:eastAsia="Calibri" w:hAnsi="Palatino Linotype"/>
        </w:rPr>
      </w:pPr>
      <w:r w:rsidRPr="0025170A">
        <w:rPr>
          <w:rFonts w:ascii="Palatino Linotype" w:eastAsia="Calibri" w:hAnsi="Palatino Linotype"/>
        </w:rPr>
        <w:t xml:space="preserve">Robusteciendo lo anterior se encuentra lo dispuesto en los artículos 6, Apartado A, fracciones III y IV, de la Constitución Política de los Estados Unidos Mexicanos y 5 párrafos </w:t>
      </w:r>
      <w:r w:rsidRPr="0025170A">
        <w:rPr>
          <w:rFonts w:ascii="Palatino Linotype" w:eastAsia="Calibri" w:hAnsi="Palatino Linotype" w:cs="Arial"/>
        </w:rPr>
        <w:t>vigésimo, vigésimo primero</w:t>
      </w:r>
      <w:r w:rsidRPr="0025170A">
        <w:rPr>
          <w:rFonts w:ascii="Palatino Linotype" w:hAnsi="Palatino Linotype" w:cs="Arial"/>
        </w:rPr>
        <w:t xml:space="preserve"> y vigésimo segundo</w:t>
      </w:r>
      <w:r w:rsidRPr="0025170A">
        <w:rPr>
          <w:rFonts w:ascii="Palatino Linotype" w:eastAsia="Calibri" w:hAnsi="Palatino Linotype"/>
        </w:rPr>
        <w:t>, de la Constitución Política del Estado Libre y Soberano de México, se establece lo siguiente:</w:t>
      </w:r>
    </w:p>
    <w:p w14:paraId="6FE557D3" w14:textId="77777777" w:rsidR="00C50469" w:rsidRPr="0025170A" w:rsidRDefault="00C50469" w:rsidP="00C50469">
      <w:pPr>
        <w:spacing w:line="360" w:lineRule="auto"/>
        <w:jc w:val="both"/>
        <w:rPr>
          <w:rFonts w:ascii="Palatino Linotype" w:eastAsia="Calibri" w:hAnsi="Palatino Linotype"/>
        </w:rPr>
      </w:pPr>
    </w:p>
    <w:p w14:paraId="4C671C68" w14:textId="77777777" w:rsidR="00C50469" w:rsidRPr="0025170A" w:rsidRDefault="00C50469" w:rsidP="00C50469">
      <w:pPr>
        <w:ind w:left="567" w:right="567"/>
        <w:jc w:val="center"/>
        <w:rPr>
          <w:rFonts w:ascii="Palatino Linotype" w:eastAsia="Calibri" w:hAnsi="Palatino Linotype"/>
          <w:b/>
          <w:i/>
        </w:rPr>
      </w:pPr>
      <w:r w:rsidRPr="0025170A">
        <w:rPr>
          <w:rFonts w:ascii="Palatino Linotype" w:eastAsia="Calibri" w:hAnsi="Palatino Linotype"/>
          <w:b/>
          <w:i/>
        </w:rPr>
        <w:t>Constitución Política de los Estados Unidos Mexicanos</w:t>
      </w:r>
    </w:p>
    <w:p w14:paraId="2AB9AB35"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lastRenderedPageBreak/>
        <w:t>“</w:t>
      </w:r>
      <w:r w:rsidRPr="0025170A">
        <w:rPr>
          <w:rFonts w:ascii="Palatino Linotype" w:eastAsia="Calibri" w:hAnsi="Palatino Linotype"/>
          <w:b/>
          <w:i/>
        </w:rPr>
        <w:t>Artículo 6</w:t>
      </w:r>
      <w:r w:rsidRPr="0025170A">
        <w:rPr>
          <w:rFonts w:ascii="Palatino Linotype" w:eastAsia="Calibri"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FE9D989"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w:t>
      </w:r>
    </w:p>
    <w:p w14:paraId="394B28F9"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 xml:space="preserve">Para efectos de lo dispuesto en el presente artículo se observará lo siguiente: </w:t>
      </w:r>
    </w:p>
    <w:p w14:paraId="136FA7E2"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A. Para el ejercicio del derecho de acceso a la información, la Federación, los Estados y el Distrito Federal, en el ámbito de sus respectivas competencias, se regirán por los siguientes principios y bases:</w:t>
      </w:r>
    </w:p>
    <w:p w14:paraId="3D885142"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w:t>
      </w:r>
    </w:p>
    <w:p w14:paraId="31A227BF"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 xml:space="preserve">III. Toda persona, sin necesidad de acreditar interés alguno o justificar su utilización, tendrá acceso gratuito a la información pública, a sus datos personales o a la rectificación de éstos. </w:t>
      </w:r>
    </w:p>
    <w:p w14:paraId="34DB8AE7"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 xml:space="preserve">IV. Se establecerán mecanismos de acceso a la información y procedimientos de revisión expeditos que se sustanciarán ante los organismos autónomos especializados e imparciales que establece esta Constitución.” </w:t>
      </w:r>
    </w:p>
    <w:p w14:paraId="656C8274" w14:textId="77777777" w:rsidR="00C50469" w:rsidRPr="0025170A" w:rsidRDefault="00C50469" w:rsidP="00C50469">
      <w:pPr>
        <w:ind w:left="567" w:right="567"/>
        <w:jc w:val="both"/>
        <w:rPr>
          <w:rFonts w:ascii="Palatino Linotype" w:eastAsia="Calibri" w:hAnsi="Palatino Linotype"/>
          <w:i/>
        </w:rPr>
      </w:pPr>
    </w:p>
    <w:p w14:paraId="0ED5815F" w14:textId="77777777" w:rsidR="00C50469" w:rsidRPr="0025170A" w:rsidRDefault="00C50469" w:rsidP="00C50469">
      <w:pPr>
        <w:ind w:left="567" w:right="567"/>
        <w:jc w:val="center"/>
        <w:rPr>
          <w:rFonts w:ascii="Palatino Linotype" w:eastAsia="Calibri" w:hAnsi="Palatino Linotype"/>
          <w:b/>
          <w:i/>
        </w:rPr>
      </w:pPr>
      <w:r w:rsidRPr="0025170A">
        <w:rPr>
          <w:rFonts w:ascii="Palatino Linotype" w:eastAsia="Calibri" w:hAnsi="Palatino Linotype"/>
          <w:b/>
          <w:i/>
        </w:rPr>
        <w:t>Constitución Política del Estado Libre y Soberano de México</w:t>
      </w:r>
    </w:p>
    <w:p w14:paraId="2FD0DC33"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w:t>
      </w:r>
      <w:r w:rsidRPr="0025170A">
        <w:rPr>
          <w:rFonts w:ascii="Palatino Linotype" w:eastAsia="Calibri" w:hAnsi="Palatino Linotype"/>
          <w:b/>
          <w:i/>
        </w:rPr>
        <w:t>Artículo 5</w:t>
      </w:r>
      <w:r w:rsidRPr="0025170A">
        <w:rPr>
          <w:rFonts w:ascii="Palatino Linotype" w:eastAsia="Calibri"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A9C5D53"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w:t>
      </w:r>
    </w:p>
    <w:p w14:paraId="5BB54052"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Toda persona en el Estado de México, tiene derecho al libre acceso a la información plural y oportuna, así como a buscar recibir y difundir información e ideas de toda índole por cualquier medio de expresión.</w:t>
      </w:r>
    </w:p>
    <w:p w14:paraId="53717DB4"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 xml:space="preserve"> (…)</w:t>
      </w:r>
    </w:p>
    <w:p w14:paraId="43F03C28"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 xml:space="preserve">El derecho a la información será garantizado por el Estado. La ley establecerá las previsiones que permitan asegurar la protección, el respeto y la difusión de este derecho. </w:t>
      </w:r>
    </w:p>
    <w:p w14:paraId="7240953B" w14:textId="77777777" w:rsidR="00C50469" w:rsidRDefault="00C50469" w:rsidP="00C50469">
      <w:pPr>
        <w:ind w:left="567" w:right="567"/>
        <w:jc w:val="both"/>
        <w:rPr>
          <w:rFonts w:ascii="Palatino Linotype" w:eastAsia="Calibri" w:hAnsi="Palatino Linotype"/>
          <w:i/>
        </w:rPr>
      </w:pPr>
    </w:p>
    <w:p w14:paraId="32A9FC4F"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w:t>
      </w:r>
      <w:r w:rsidRPr="0025170A">
        <w:rPr>
          <w:rFonts w:ascii="Palatino Linotype" w:eastAsia="Calibri" w:hAnsi="Palatino Linotype"/>
          <w:i/>
        </w:rPr>
        <w:lastRenderedPageBreak/>
        <w:t>aplicables, la información será oportuna, clara, veraz y de fácil acceso. Este derecho se regirá por los principios y bases siguientes:</w:t>
      </w:r>
    </w:p>
    <w:p w14:paraId="3E41308D" w14:textId="77777777" w:rsidR="00C50469" w:rsidRPr="0025170A" w:rsidRDefault="00C50469" w:rsidP="00C50469">
      <w:pPr>
        <w:ind w:left="567" w:right="567"/>
        <w:jc w:val="both"/>
        <w:rPr>
          <w:rFonts w:ascii="Palatino Linotype" w:eastAsia="Calibri" w:hAnsi="Palatino Linotype"/>
          <w:i/>
        </w:rPr>
      </w:pPr>
    </w:p>
    <w:p w14:paraId="65F0607F"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III. Toda persona, sin necesidad de acreditar interés alguno o justificar su utilización, tendrá acceso gratuito a la información pública, a sus datos personales o a la rectificación de éstos;</w:t>
      </w:r>
    </w:p>
    <w:p w14:paraId="51B2C8B8"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IV. Se establecerán mecanismos de acceso a la información y procedimientos de revisión expeditos que se sustanciarán ante el organismo autónomo especializado e imparcial que establece esta Constitución.</w:t>
      </w:r>
    </w:p>
    <w:p w14:paraId="52CB19DA"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w:t>
      </w:r>
    </w:p>
    <w:p w14:paraId="54ABA652"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81887BB" w14:textId="77777777" w:rsidR="00C50469" w:rsidRPr="0025170A" w:rsidRDefault="00C50469" w:rsidP="00C50469">
      <w:pPr>
        <w:spacing w:line="360" w:lineRule="auto"/>
        <w:jc w:val="both"/>
        <w:rPr>
          <w:rFonts w:ascii="Palatino Linotype" w:eastAsia="Calibri" w:hAnsi="Palatino Linotype"/>
        </w:rPr>
      </w:pPr>
    </w:p>
    <w:p w14:paraId="401BF902" w14:textId="77777777" w:rsidR="00C50469" w:rsidRPr="0025170A" w:rsidRDefault="00C50469" w:rsidP="00C50469">
      <w:pPr>
        <w:spacing w:line="360" w:lineRule="auto"/>
        <w:jc w:val="both"/>
        <w:rPr>
          <w:rFonts w:ascii="Palatino Linotype" w:eastAsia="Calibri" w:hAnsi="Palatino Linotype"/>
        </w:rPr>
      </w:pPr>
      <w:r w:rsidRPr="0025170A">
        <w:rPr>
          <w:rFonts w:ascii="Palatino Linotype" w:eastAsia="Calibri" w:hAnsi="Palatino Linotype"/>
        </w:rPr>
        <w:t>Por otra parte, del contenido del artículo 1 de la Constitución Política de los Estados Unidos Mexicanos, se destaca lo siguiente:</w:t>
      </w:r>
    </w:p>
    <w:p w14:paraId="0C2CA708" w14:textId="77777777" w:rsidR="00C50469" w:rsidRPr="0025170A" w:rsidRDefault="00C50469" w:rsidP="00C50469">
      <w:pPr>
        <w:rPr>
          <w:rFonts w:eastAsia="Calibri"/>
        </w:rPr>
      </w:pPr>
    </w:p>
    <w:p w14:paraId="2810A790"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w:t>
      </w:r>
      <w:r w:rsidRPr="0025170A">
        <w:rPr>
          <w:rFonts w:ascii="Palatino Linotype" w:eastAsia="Calibri" w:hAnsi="Palatino Linotype"/>
          <w:b/>
          <w:i/>
        </w:rPr>
        <w:t>Artículo 1o</w:t>
      </w:r>
      <w:r w:rsidRPr="0025170A">
        <w:rPr>
          <w:rFonts w:ascii="Palatino Linotype" w:eastAsia="Calibri" w:hAnsi="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1F907FF"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Las normas relativas a los derechos humanos se interpretarán de conformidad con esta Constitución y con los tratados internacionales de la materia favoreciendo en todo tiempo a las personas la protección más amplia.</w:t>
      </w:r>
    </w:p>
    <w:p w14:paraId="69B47C74" w14:textId="77777777" w:rsidR="00C50469" w:rsidRDefault="00C50469" w:rsidP="00C50469">
      <w:pPr>
        <w:ind w:left="567" w:right="567"/>
        <w:jc w:val="both"/>
        <w:rPr>
          <w:rFonts w:ascii="Palatino Linotype" w:eastAsia="Calibri" w:hAnsi="Palatino Linotype"/>
          <w:i/>
        </w:rPr>
      </w:pPr>
      <w:r w:rsidRPr="0025170A">
        <w:rPr>
          <w:rFonts w:ascii="Palatino Linotype" w:eastAsia="Calibri" w:hAnsi="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4C175E88" w14:textId="77777777" w:rsidR="00C50469" w:rsidRDefault="00C50469" w:rsidP="00C50469">
      <w:pPr>
        <w:ind w:left="567" w:right="567"/>
        <w:jc w:val="both"/>
        <w:rPr>
          <w:rFonts w:ascii="Palatino Linotype" w:eastAsia="Calibri" w:hAnsi="Palatino Linotype"/>
          <w:i/>
        </w:rPr>
      </w:pPr>
    </w:p>
    <w:p w14:paraId="379272EE" w14:textId="77777777" w:rsidR="00C50469" w:rsidRPr="0025170A" w:rsidRDefault="00C50469" w:rsidP="00C50469">
      <w:pPr>
        <w:ind w:left="567" w:right="567"/>
        <w:jc w:val="both"/>
        <w:rPr>
          <w:rFonts w:ascii="Palatino Linotype" w:eastAsia="Calibri" w:hAnsi="Palatino Linotype"/>
          <w:i/>
        </w:rPr>
      </w:pPr>
      <w:r w:rsidRPr="0025170A">
        <w:rPr>
          <w:rFonts w:ascii="Palatino Linotype" w:eastAsia="Calibri" w:hAnsi="Palatino Linotype"/>
          <w:i/>
        </w:rPr>
        <w:t>En consecuencia, el Estado deberá prevenir, investigar, sancionar y reparar las violaciones a los derechos humanos, en los términos que establezca la ley.”</w:t>
      </w:r>
    </w:p>
    <w:p w14:paraId="084FE10B" w14:textId="77777777" w:rsidR="00C50469" w:rsidRPr="0025170A" w:rsidRDefault="00C50469" w:rsidP="00C50469">
      <w:pPr>
        <w:rPr>
          <w:rFonts w:eastAsia="Calibri"/>
        </w:rPr>
      </w:pPr>
    </w:p>
    <w:p w14:paraId="7B790888" w14:textId="77777777" w:rsidR="00C50469" w:rsidRPr="0025170A" w:rsidRDefault="00C50469" w:rsidP="00C50469">
      <w:pPr>
        <w:spacing w:line="360" w:lineRule="auto"/>
        <w:jc w:val="both"/>
        <w:rPr>
          <w:rFonts w:ascii="Palatino Linotype" w:eastAsia="Calibri" w:hAnsi="Palatino Linotype"/>
        </w:rPr>
      </w:pPr>
      <w:r w:rsidRPr="0025170A">
        <w:rPr>
          <w:rFonts w:ascii="Palatino Linotype" w:eastAsia="Calibri"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5170A">
        <w:rPr>
          <w:rFonts w:ascii="Palatino Linotype" w:eastAsia="Calibri" w:hAnsi="Palatino Linotype"/>
          <w:b/>
          <w:u w:val="single"/>
        </w:rPr>
        <w:t>incluso, la solicitud de acceso a la información pueda ser anónima o no contener un nombre que identifique al solicitante o que permita tener certeza sobre su identidad</w:t>
      </w:r>
      <w:r w:rsidRPr="0025170A">
        <w:rPr>
          <w:rFonts w:ascii="Palatino Linotype" w:eastAsia="Calibri" w:hAnsi="Palatino Linotype"/>
        </w:rPr>
        <w:t>.</w:t>
      </w:r>
    </w:p>
    <w:p w14:paraId="6D4949AE" w14:textId="77777777" w:rsidR="00C50469" w:rsidRDefault="00C50469" w:rsidP="00C50469">
      <w:pPr>
        <w:autoSpaceDE w:val="0"/>
        <w:autoSpaceDN w:val="0"/>
        <w:adjustRightInd w:val="0"/>
        <w:spacing w:line="360" w:lineRule="auto"/>
        <w:jc w:val="both"/>
        <w:rPr>
          <w:rFonts w:ascii="Palatino Linotype" w:eastAsia="Calibri" w:hAnsi="Palatino Linotype" w:cs="Arial"/>
        </w:rPr>
      </w:pPr>
    </w:p>
    <w:p w14:paraId="2F9C9737" w14:textId="77777777" w:rsidR="00C50469" w:rsidRDefault="00C50469" w:rsidP="00C50469">
      <w:pPr>
        <w:autoSpaceDE w:val="0"/>
        <w:autoSpaceDN w:val="0"/>
        <w:adjustRightInd w:val="0"/>
        <w:spacing w:line="360" w:lineRule="auto"/>
        <w:jc w:val="both"/>
        <w:rPr>
          <w:rFonts w:ascii="Palatino Linotype" w:eastAsia="Calibri" w:hAnsi="Palatino Linotype" w:cs="Arial"/>
        </w:rPr>
      </w:pPr>
      <w:r w:rsidRPr="0025170A">
        <w:rPr>
          <w:rFonts w:ascii="Palatino Linotype" w:eastAsia="Calibri" w:hAnsi="Palatino Linotype" w:cs="Arial"/>
        </w:rPr>
        <w:t xml:space="preserve">En conclusión, se cubrieron los requisitos de procedencia y </w:t>
      </w:r>
      <w:proofErr w:type="spellStart"/>
      <w:r w:rsidRPr="0025170A">
        <w:rPr>
          <w:rFonts w:ascii="Palatino Linotype" w:eastAsia="Calibri" w:hAnsi="Palatino Linotype" w:cs="Arial"/>
        </w:rPr>
        <w:t>procedibilidad</w:t>
      </w:r>
      <w:proofErr w:type="spellEnd"/>
      <w:r w:rsidRPr="0025170A">
        <w:rPr>
          <w:rFonts w:ascii="Palatino Linotype" w:eastAsia="Calibri" w:hAnsi="Palatino Linotype" w:cs="Arial"/>
        </w:rPr>
        <w:t xml:space="preserve"> y conforme a las constancias que obran en el expediente.</w:t>
      </w:r>
    </w:p>
    <w:p w14:paraId="2561EE53" w14:textId="77777777" w:rsidR="00C50469" w:rsidRPr="0025170A" w:rsidRDefault="00C50469" w:rsidP="00C50469">
      <w:pPr>
        <w:autoSpaceDE w:val="0"/>
        <w:autoSpaceDN w:val="0"/>
        <w:adjustRightInd w:val="0"/>
        <w:spacing w:line="360" w:lineRule="auto"/>
        <w:jc w:val="both"/>
        <w:rPr>
          <w:rFonts w:ascii="Palatino Linotype" w:eastAsia="Calibri" w:hAnsi="Palatino Linotype" w:cs="Arial"/>
        </w:rPr>
      </w:pPr>
    </w:p>
    <w:p w14:paraId="3900BBB9" w14:textId="77777777" w:rsidR="005F0980" w:rsidRDefault="00C50469" w:rsidP="005F0980">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 xml:space="preserve">CUARTO. </w:t>
      </w:r>
      <w:r w:rsidR="005F0980">
        <w:rPr>
          <w:rFonts w:ascii="Palatino Linotype" w:hAnsi="Palatino Linotype" w:cs="Arial"/>
          <w:b/>
          <w:sz w:val="28"/>
        </w:rPr>
        <w:t>De las causas de improcedencia.</w:t>
      </w:r>
    </w:p>
    <w:p w14:paraId="6C2E6C51" w14:textId="77777777" w:rsidR="005F0980" w:rsidRPr="00667998" w:rsidRDefault="005F0980" w:rsidP="005F0980">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BFE3D89"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rPr>
      </w:pPr>
    </w:p>
    <w:p w14:paraId="738B9000"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w:t>
      </w:r>
      <w:r w:rsidRPr="00667998">
        <w:rPr>
          <w:rFonts w:ascii="Palatino Linotype" w:hAnsi="Palatino Linotype" w:cs="Arial"/>
        </w:rPr>
        <w:lastRenderedPageBreak/>
        <w:t>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4C204B08"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rPr>
      </w:pPr>
    </w:p>
    <w:p w14:paraId="0DEB55A4"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18411EFE" w14:textId="77777777" w:rsidR="005F0980" w:rsidRPr="00ED250C" w:rsidRDefault="005F0980" w:rsidP="005F0980">
      <w:pPr>
        <w:pStyle w:val="Prrafodelista"/>
        <w:autoSpaceDE w:val="0"/>
        <w:autoSpaceDN w:val="0"/>
        <w:adjustRightInd w:val="0"/>
        <w:spacing w:line="360" w:lineRule="auto"/>
        <w:ind w:left="0"/>
        <w:jc w:val="both"/>
        <w:rPr>
          <w:rFonts w:ascii="Palatino Linotype" w:hAnsi="Palatino Linotype" w:cs="Arial"/>
          <w:b/>
        </w:rPr>
      </w:pPr>
    </w:p>
    <w:p w14:paraId="154EA269" w14:textId="77777777" w:rsidR="005F0980" w:rsidRDefault="00C50469" w:rsidP="005F0980">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w:t>
      </w:r>
      <w:r w:rsidR="005F0980">
        <w:rPr>
          <w:rFonts w:ascii="Palatino Linotype" w:hAnsi="Palatino Linotype" w:cs="Arial"/>
          <w:b/>
          <w:sz w:val="28"/>
        </w:rPr>
        <w:t>T</w:t>
      </w:r>
      <w:r w:rsidR="005F0980" w:rsidRPr="00667998">
        <w:rPr>
          <w:rFonts w:ascii="Palatino Linotype" w:hAnsi="Palatino Linotype" w:cs="Arial"/>
          <w:b/>
          <w:sz w:val="28"/>
        </w:rPr>
        <w:t>O. Estudio y resolución del asunto.</w:t>
      </w:r>
    </w:p>
    <w:p w14:paraId="04B9491A"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lastRenderedPageBreak/>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53360B57"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rPr>
      </w:pPr>
    </w:p>
    <w:p w14:paraId="5B5DD87A" w14:textId="77777777" w:rsidR="005F0980" w:rsidRPr="002869E1" w:rsidRDefault="005F0980" w:rsidP="005F0980">
      <w:pPr>
        <w:spacing w:line="360" w:lineRule="auto"/>
        <w:jc w:val="both"/>
        <w:rPr>
          <w:rFonts w:ascii="Palatino Linotype" w:hAnsi="Palatino Linotype"/>
        </w:rPr>
      </w:pPr>
      <w:r w:rsidRPr="002869E1">
        <w:rPr>
          <w:rFonts w:ascii="Palatino Linotype" w:hAnsi="Palatino Linotype" w:cs="Arial"/>
        </w:rPr>
        <w:t xml:space="preserve">En este tenor, es necesario subrayar que </w:t>
      </w:r>
      <w:r w:rsidRPr="002869E1">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3A46B249"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rPr>
      </w:pPr>
    </w:p>
    <w:p w14:paraId="45327EEC"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b/>
          <w:i/>
          <w:sz w:val="22"/>
          <w:szCs w:val="22"/>
        </w:rPr>
        <w:t>“Artículo 4.</w:t>
      </w:r>
      <w:r w:rsidRPr="00DF68E9">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D3C0CDC"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3C627B1"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23ED8DFD"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b/>
          <w:i/>
          <w:sz w:val="22"/>
          <w:szCs w:val="22"/>
        </w:rPr>
        <w:t>Artículo 12.</w:t>
      </w:r>
      <w:r w:rsidRPr="00DF68E9">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6B6CF0D5"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D6017FC"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w:t>
      </w:r>
    </w:p>
    <w:p w14:paraId="7A84FB14" w14:textId="77777777" w:rsidR="005F0980" w:rsidRPr="00DF68E9" w:rsidRDefault="005F0980" w:rsidP="005F0980">
      <w:pPr>
        <w:spacing w:line="360" w:lineRule="auto"/>
        <w:ind w:left="567" w:right="567"/>
        <w:jc w:val="both"/>
        <w:rPr>
          <w:rFonts w:ascii="Palatino Linotype" w:hAnsi="Palatino Linotype"/>
          <w:b/>
          <w:i/>
          <w:sz w:val="22"/>
          <w:szCs w:val="22"/>
        </w:rPr>
      </w:pPr>
      <w:r w:rsidRPr="00DF68E9">
        <w:rPr>
          <w:rFonts w:ascii="Palatino Linotype" w:hAnsi="Palatino Linotype"/>
          <w:b/>
          <w:i/>
          <w:sz w:val="22"/>
          <w:szCs w:val="22"/>
        </w:rPr>
        <w:t xml:space="preserve">Artículo 24. </w:t>
      </w:r>
    </w:p>
    <w:p w14:paraId="5AA13AFB"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w:t>
      </w:r>
    </w:p>
    <w:p w14:paraId="76608DD1"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Los sujetos obligados solo proporcionarán la información pública que generen, administren o posean en el ejercicio de sus atribuciones.”</w:t>
      </w:r>
    </w:p>
    <w:p w14:paraId="712D7492"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w:t>
      </w:r>
    </w:p>
    <w:p w14:paraId="77DE09BC" w14:textId="77777777" w:rsidR="005F0980" w:rsidRPr="00DF68E9" w:rsidRDefault="005F0980" w:rsidP="005F0980">
      <w:pPr>
        <w:spacing w:line="360" w:lineRule="auto"/>
        <w:ind w:left="567" w:right="567"/>
        <w:jc w:val="both"/>
        <w:rPr>
          <w:rFonts w:ascii="Palatino Linotype" w:hAnsi="Palatino Linotype"/>
          <w:i/>
          <w:sz w:val="22"/>
          <w:szCs w:val="22"/>
        </w:rPr>
      </w:pPr>
      <w:r w:rsidRPr="00DF68E9">
        <w:rPr>
          <w:rFonts w:ascii="Palatino Linotype" w:hAnsi="Palatino Linotype"/>
          <w:b/>
          <w:i/>
          <w:sz w:val="22"/>
          <w:szCs w:val="22"/>
        </w:rPr>
        <w:t>Artículo 160.</w:t>
      </w:r>
      <w:r w:rsidRPr="00DF68E9">
        <w:rPr>
          <w:rFonts w:ascii="Palatino Linotype" w:hAnsi="Palatino Linotype"/>
          <w:i/>
          <w:sz w:val="22"/>
          <w:szCs w:val="22"/>
        </w:rPr>
        <w:t xml:space="preserve"> Los sujetos obligados deberán otorgar acceso a los documentos que se </w:t>
      </w:r>
      <w:r w:rsidRPr="00DF68E9">
        <w:rPr>
          <w:rFonts w:ascii="Palatino Linotype" w:hAnsi="Palatino Linotype"/>
          <w:b/>
          <w:i/>
          <w:sz w:val="22"/>
          <w:szCs w:val="22"/>
        </w:rPr>
        <w:t xml:space="preserve"> </w:t>
      </w:r>
      <w:r w:rsidRPr="00DF68E9">
        <w:rPr>
          <w:rFonts w:ascii="Palatino Linotype" w:hAnsi="Palatino Linotype"/>
          <w:i/>
          <w:sz w:val="22"/>
          <w:szCs w:val="22"/>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C286583" w14:textId="77777777" w:rsidR="005F0980" w:rsidRPr="00DF68E9" w:rsidRDefault="005F0980" w:rsidP="005F0980">
      <w:pPr>
        <w:spacing w:line="360" w:lineRule="auto"/>
        <w:ind w:left="567" w:right="567"/>
        <w:jc w:val="both"/>
        <w:rPr>
          <w:rFonts w:ascii="Palatino Linotype" w:hAnsi="Palatino Linotype"/>
          <w:b/>
          <w:i/>
          <w:sz w:val="22"/>
          <w:szCs w:val="22"/>
        </w:rPr>
      </w:pPr>
      <w:r w:rsidRPr="00DF68E9">
        <w:rPr>
          <w:rFonts w:ascii="Palatino Linotype" w:hAnsi="Palatino Linotype"/>
          <w:i/>
          <w:sz w:val="22"/>
          <w:szCs w:val="22"/>
        </w:rPr>
        <w:t>En caso que la información solicitada consista en bases de datos se deberá privilegiar la entrega de la misma en formatos abiertos.”</w:t>
      </w:r>
      <w:r w:rsidRPr="00DF68E9">
        <w:rPr>
          <w:rFonts w:ascii="Palatino Linotype" w:hAnsi="Palatino Linotype"/>
          <w:b/>
          <w:i/>
          <w:sz w:val="22"/>
          <w:szCs w:val="22"/>
        </w:rPr>
        <w:t>[Sic]</w:t>
      </w:r>
    </w:p>
    <w:p w14:paraId="54CB21F0" w14:textId="77777777" w:rsidR="005F0980" w:rsidRDefault="005F0980" w:rsidP="005F0980">
      <w:pPr>
        <w:spacing w:line="360" w:lineRule="auto"/>
        <w:jc w:val="both"/>
        <w:rPr>
          <w:rFonts w:ascii="Palatino Linotype" w:hAnsi="Palatino Linotype"/>
        </w:rPr>
      </w:pPr>
    </w:p>
    <w:p w14:paraId="0FE1DBBE" w14:textId="77777777" w:rsidR="005F0980" w:rsidRDefault="005F0980" w:rsidP="005F0980">
      <w:pPr>
        <w:spacing w:line="360" w:lineRule="auto"/>
        <w:jc w:val="both"/>
        <w:rPr>
          <w:rFonts w:ascii="Palatino Linotype" w:hAnsi="Palatino Linotype"/>
        </w:rPr>
      </w:pPr>
      <w:r w:rsidRPr="006010FE">
        <w:rPr>
          <w:rFonts w:ascii="Palatino Linotype" w:hAnsi="Palatino Linotype"/>
        </w:rPr>
        <w:t>As</w:t>
      </w:r>
      <w:r>
        <w:rPr>
          <w:rFonts w:ascii="Palatino Linotype" w:hAnsi="Palatino Linotype"/>
        </w:rPr>
        <w:t xml:space="preserve">í que la obligación de los </w:t>
      </w:r>
      <w:r w:rsidRPr="006E4CCA">
        <w:rPr>
          <w:rFonts w:ascii="Palatino Linotype" w:hAnsi="Palatino Linotype"/>
          <w:b/>
        </w:rPr>
        <w:t>Sujetos Obligados</w:t>
      </w:r>
      <w:r w:rsidRPr="006010FE">
        <w:rPr>
          <w:rFonts w:ascii="Palatino Linotype" w:hAnsi="Palatino Linotype"/>
        </w:rPr>
        <w:t xml:space="preserve"> de dar acceso a la información pública que generen, administre o posean, se tendrá por cumplida cuando el solicitante tenga </w:t>
      </w:r>
      <w:r w:rsidRPr="006010FE">
        <w:rPr>
          <w:rFonts w:ascii="Palatino Linotype" w:hAnsi="Palatino Linotype"/>
        </w:rPr>
        <w:lastRenderedPageBreak/>
        <w:t xml:space="preserve">a su disposición la información requerida, o cuando realice la consulta de la misma en el lugar que ésta se localice, de acuerdo a lo señalado por el artículo 166 </w:t>
      </w:r>
      <w:r w:rsidRPr="006010FE">
        <w:rPr>
          <w:rFonts w:ascii="Palatino Linotype" w:hAnsi="Palatino Linotype"/>
          <w:bCs/>
        </w:rPr>
        <w:t>de la Ley local en la materia, que se reproduce de la siguiente forma</w:t>
      </w:r>
      <w:r w:rsidRPr="006010FE">
        <w:rPr>
          <w:rFonts w:ascii="Palatino Linotype" w:hAnsi="Palatino Linotype"/>
        </w:rPr>
        <w:t>:</w:t>
      </w:r>
    </w:p>
    <w:p w14:paraId="66B7BC8C" w14:textId="77777777" w:rsidR="005F0980" w:rsidRPr="006010FE" w:rsidRDefault="005F0980" w:rsidP="005F0980">
      <w:pPr>
        <w:spacing w:line="360" w:lineRule="auto"/>
        <w:jc w:val="both"/>
        <w:rPr>
          <w:rFonts w:ascii="Palatino Linotype" w:hAnsi="Palatino Linotype"/>
        </w:rPr>
      </w:pPr>
    </w:p>
    <w:p w14:paraId="31C92D5D" w14:textId="77777777" w:rsidR="005F0980" w:rsidRDefault="005F0980" w:rsidP="005F0980">
      <w:pPr>
        <w:spacing w:line="360" w:lineRule="auto"/>
        <w:ind w:left="567" w:right="567"/>
        <w:jc w:val="both"/>
        <w:rPr>
          <w:rFonts w:ascii="Palatino Linotype" w:hAnsi="Palatino Linotype" w:cs="Arial"/>
          <w:b/>
          <w:i/>
        </w:rPr>
      </w:pPr>
      <w:r w:rsidRPr="006E4CCA">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14:paraId="0DDE0ED9" w14:textId="77777777" w:rsidR="005F0980" w:rsidRDefault="005F0980" w:rsidP="005F0980">
      <w:pPr>
        <w:pStyle w:val="Prrafodelista"/>
        <w:autoSpaceDE w:val="0"/>
        <w:autoSpaceDN w:val="0"/>
        <w:adjustRightInd w:val="0"/>
        <w:spacing w:line="360" w:lineRule="auto"/>
        <w:ind w:left="0"/>
        <w:jc w:val="both"/>
        <w:rPr>
          <w:rFonts w:ascii="Palatino Linotype" w:hAnsi="Palatino Linotype" w:cs="Arial"/>
        </w:rPr>
      </w:pPr>
    </w:p>
    <w:p w14:paraId="1AEC47F1" w14:textId="77777777" w:rsidR="005F0980" w:rsidRPr="00667998" w:rsidRDefault="005F0980" w:rsidP="005F0980">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590A95C" w14:textId="77777777" w:rsidR="005F0980" w:rsidRPr="00667998" w:rsidRDefault="005F0980" w:rsidP="005F0980">
      <w:pPr>
        <w:tabs>
          <w:tab w:val="left" w:pos="709"/>
        </w:tabs>
        <w:spacing w:line="360" w:lineRule="auto"/>
        <w:jc w:val="both"/>
        <w:rPr>
          <w:rFonts w:ascii="Palatino Linotype" w:hAnsi="Palatino Linotype" w:cs="Arial"/>
        </w:rPr>
      </w:pPr>
    </w:p>
    <w:p w14:paraId="49BE3332" w14:textId="77777777" w:rsidR="005F0980" w:rsidRDefault="005F0980" w:rsidP="005F0980">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el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20BED9E9" w14:textId="77777777" w:rsidR="005F0980" w:rsidRDefault="005F0980" w:rsidP="005F0980">
      <w:pPr>
        <w:pStyle w:val="Sinespaciado"/>
        <w:spacing w:line="360" w:lineRule="auto"/>
        <w:jc w:val="both"/>
        <w:rPr>
          <w:rFonts w:ascii="Palatino Linotype" w:hAnsi="Palatino Linotype" w:cs="Arial"/>
          <w:color w:val="000000"/>
          <w:lang w:val="es-ES_tradnl"/>
        </w:rPr>
      </w:pPr>
    </w:p>
    <w:p w14:paraId="54BA83D4" w14:textId="77777777" w:rsidR="005F0980" w:rsidRDefault="00C50469" w:rsidP="00C50469">
      <w:pPr>
        <w:pStyle w:val="Sinespaciado"/>
        <w:numPr>
          <w:ilvl w:val="0"/>
          <w:numId w:val="6"/>
        </w:numPr>
        <w:spacing w:line="360" w:lineRule="auto"/>
        <w:jc w:val="both"/>
        <w:rPr>
          <w:rFonts w:ascii="Palatino Linotype" w:hAnsi="Palatino Linotype" w:cs="Arial"/>
          <w:color w:val="000000"/>
          <w:lang w:val="es-ES_tradnl"/>
        </w:rPr>
      </w:pPr>
      <w:r w:rsidRPr="00C50469">
        <w:rPr>
          <w:rFonts w:ascii="Palatino Linotype" w:hAnsi="Palatino Linotype" w:cs="Arial"/>
          <w:color w:val="000000"/>
          <w:lang w:val="es-ES_tradnl"/>
        </w:rPr>
        <w:t>Las rutas que serán las alimentadora</w:t>
      </w:r>
      <w:r w:rsidR="007868E7">
        <w:rPr>
          <w:rFonts w:ascii="Palatino Linotype" w:hAnsi="Palatino Linotype" w:cs="Arial"/>
          <w:color w:val="000000"/>
          <w:lang w:val="es-ES_tradnl"/>
        </w:rPr>
        <w:t>s</w:t>
      </w:r>
      <w:r w:rsidRPr="00C50469">
        <w:rPr>
          <w:rFonts w:ascii="Palatino Linotype" w:hAnsi="Palatino Linotype" w:cs="Arial"/>
          <w:color w:val="000000"/>
          <w:lang w:val="es-ES_tradnl"/>
        </w:rPr>
        <w:t xml:space="preserve"> en el TREN INSURGENTE en su primera etapa de operación.</w:t>
      </w:r>
    </w:p>
    <w:p w14:paraId="12604119" w14:textId="77777777" w:rsidR="007868E7" w:rsidRDefault="007868E7" w:rsidP="005F0980">
      <w:pPr>
        <w:spacing w:line="360" w:lineRule="auto"/>
        <w:jc w:val="both"/>
        <w:rPr>
          <w:rFonts w:ascii="Palatino Linotype" w:hAnsi="Palatino Linotype"/>
        </w:rPr>
      </w:pPr>
    </w:p>
    <w:p w14:paraId="11AE10D6" w14:textId="77777777" w:rsidR="007868E7" w:rsidRDefault="007868E7" w:rsidP="005F0980">
      <w:pPr>
        <w:spacing w:line="360" w:lineRule="auto"/>
        <w:jc w:val="both"/>
        <w:rPr>
          <w:rFonts w:ascii="Palatino Linotype" w:hAnsi="Palatino Linotype"/>
        </w:rPr>
      </w:pPr>
    </w:p>
    <w:p w14:paraId="5DC8906C" w14:textId="77777777" w:rsidR="007868E7" w:rsidRDefault="007868E7" w:rsidP="005F0980">
      <w:pPr>
        <w:spacing w:line="360" w:lineRule="auto"/>
        <w:jc w:val="both"/>
        <w:rPr>
          <w:rFonts w:ascii="Palatino Linotype" w:hAnsi="Palatino Linotype"/>
        </w:rPr>
      </w:pPr>
    </w:p>
    <w:p w14:paraId="72595F4A" w14:textId="77777777" w:rsidR="005F0980" w:rsidRDefault="005F0980" w:rsidP="005F0980">
      <w:pPr>
        <w:spacing w:line="360" w:lineRule="auto"/>
        <w:jc w:val="both"/>
        <w:rPr>
          <w:rFonts w:ascii="Palatino Linotype" w:eastAsiaTheme="minorHAnsi" w:hAnsi="Palatino Linotype" w:cs="TimesNewRomanPS-ItalicMT"/>
          <w:iCs/>
          <w:lang w:val="es-MX" w:eastAsia="en-US"/>
        </w:rPr>
      </w:pPr>
      <w:r>
        <w:rPr>
          <w:rFonts w:ascii="Palatino Linotype" w:hAnsi="Palatino Linotype"/>
        </w:rPr>
        <w:t>El Sujeto Obligado e</w:t>
      </w:r>
      <w:r w:rsidRPr="00CF4795">
        <w:rPr>
          <w:rFonts w:ascii="Palatino Linotype" w:eastAsia="Arial Unicode MS" w:hAnsi="Palatino Linotype" w:cs="Arial"/>
        </w:rPr>
        <w:t>n atención a</w:t>
      </w:r>
      <w:r>
        <w:rPr>
          <w:rFonts w:ascii="Palatino Linotype" w:eastAsia="Arial Unicode MS" w:hAnsi="Palatino Linotype" w:cs="Arial"/>
        </w:rPr>
        <w:t xml:space="preserve"> </w:t>
      </w:r>
      <w:r w:rsidRPr="00CF4795">
        <w:rPr>
          <w:rFonts w:ascii="Palatino Linotype" w:eastAsia="Arial Unicode MS" w:hAnsi="Palatino Linotype" w:cs="Arial"/>
        </w:rPr>
        <w:t>l</w:t>
      </w:r>
      <w:r>
        <w:rPr>
          <w:rFonts w:ascii="Palatino Linotype" w:eastAsia="Arial Unicode MS" w:hAnsi="Palatino Linotype" w:cs="Arial"/>
        </w:rPr>
        <w:t>os</w:t>
      </w:r>
      <w:r w:rsidRPr="00CF4795">
        <w:rPr>
          <w:rFonts w:ascii="Palatino Linotype" w:eastAsia="Arial Unicode MS" w:hAnsi="Palatino Linotype" w:cs="Arial"/>
        </w:rPr>
        <w:t xml:space="preserve"> requerimiento</w:t>
      </w:r>
      <w:r>
        <w:rPr>
          <w:rFonts w:ascii="Palatino Linotype" w:eastAsia="Arial Unicode MS" w:hAnsi="Palatino Linotype" w:cs="Arial"/>
        </w:rPr>
        <w:t>s</w:t>
      </w:r>
      <w:r w:rsidRPr="00CF4795">
        <w:rPr>
          <w:rFonts w:ascii="Palatino Linotype" w:eastAsia="Arial Unicode MS" w:hAnsi="Palatino Linotype" w:cs="Arial"/>
        </w:rPr>
        <w:t xml:space="preserve"> de información planteado</w:t>
      </w:r>
      <w:r>
        <w:rPr>
          <w:rFonts w:ascii="Palatino Linotype" w:eastAsia="Arial Unicode MS" w:hAnsi="Palatino Linotype" w:cs="Arial"/>
        </w:rPr>
        <w:t>s</w:t>
      </w:r>
      <w:r w:rsidRPr="00CF4795">
        <w:rPr>
          <w:rFonts w:ascii="Palatino Linotype" w:eastAsia="Arial Unicode MS" w:hAnsi="Palatino Linotype" w:cs="Arial"/>
        </w:rPr>
        <w:t xml:space="preserve">, </w:t>
      </w:r>
      <w:r>
        <w:rPr>
          <w:rFonts w:ascii="Palatino Linotype" w:eastAsia="Arial Unicode MS" w:hAnsi="Palatino Linotype" w:cs="Arial"/>
          <w:bCs/>
        </w:rPr>
        <w:t xml:space="preserve">adjuntó a su respuesta el archivo electrónico denominado </w:t>
      </w:r>
      <w:r w:rsidRPr="00037B15">
        <w:rPr>
          <w:rFonts w:ascii="Palatino Linotype" w:eastAsiaTheme="minorHAnsi" w:hAnsi="Palatino Linotype" w:cs="Arial"/>
          <w:i/>
          <w:sz w:val="22"/>
          <w:szCs w:val="22"/>
          <w:lang w:val="es-MX" w:eastAsia="en-US"/>
        </w:rPr>
        <w:t>“</w:t>
      </w:r>
      <w:r w:rsidRPr="00140BD7">
        <w:rPr>
          <w:rFonts w:ascii="Palatino Linotype" w:eastAsiaTheme="minorHAnsi" w:hAnsi="Palatino Linotype" w:cs="Arial"/>
          <w:i/>
          <w:sz w:val="22"/>
          <w:szCs w:val="22"/>
          <w:lang w:val="es-MX" w:eastAsia="en-US"/>
        </w:rPr>
        <w:t>SOLICITUD00027OASLERMAIP2023.pdf</w:t>
      </w:r>
      <w:r>
        <w:rPr>
          <w:rFonts w:ascii="Palatino Linotype" w:eastAsiaTheme="minorHAnsi" w:hAnsi="Palatino Linotype" w:cs="Arial"/>
          <w:i/>
          <w:sz w:val="22"/>
          <w:szCs w:val="22"/>
          <w:lang w:val="es-MX" w:eastAsia="en-US"/>
        </w:rPr>
        <w:t>”</w:t>
      </w:r>
      <w:r w:rsidRPr="00037B15">
        <w:rPr>
          <w:rFonts w:ascii="Palatino Linotype" w:eastAsiaTheme="minorHAnsi" w:hAnsi="Palatino Linotype" w:cs="Arial"/>
          <w:i/>
          <w:sz w:val="22"/>
          <w:szCs w:val="22"/>
          <w:lang w:val="es-MX" w:eastAsia="en-US"/>
        </w:rPr>
        <w:t xml:space="preserve">; </w:t>
      </w:r>
      <w:r>
        <w:rPr>
          <w:rFonts w:ascii="Palatino Linotype" w:eastAsiaTheme="minorHAnsi" w:hAnsi="Palatino Linotype" w:cs="TimesNewRomanPS-ItalicMT"/>
          <w:iCs/>
          <w:lang w:val="es-MX" w:eastAsia="en-US"/>
        </w:rPr>
        <w:t>el</w:t>
      </w:r>
      <w:r w:rsidRPr="00037B15">
        <w:rPr>
          <w:rFonts w:ascii="Palatino Linotype" w:eastAsiaTheme="minorHAnsi" w:hAnsi="Palatino Linotype" w:cs="TimesNewRomanPS-ItalicMT"/>
          <w:iCs/>
          <w:lang w:val="es-MX" w:eastAsia="en-US"/>
        </w:rPr>
        <w:t xml:space="preserve"> cual </w:t>
      </w:r>
      <w:r>
        <w:rPr>
          <w:rFonts w:ascii="Palatino Linotype" w:eastAsiaTheme="minorHAnsi" w:hAnsi="Palatino Linotype" w:cs="TimesNewRomanPS-ItalicMT"/>
          <w:iCs/>
          <w:lang w:val="es-MX" w:eastAsia="en-US"/>
        </w:rPr>
        <w:t>se describe a continuación</w:t>
      </w:r>
      <w:r w:rsidRPr="00037B15">
        <w:rPr>
          <w:rFonts w:ascii="Palatino Linotype" w:eastAsiaTheme="minorHAnsi" w:hAnsi="Palatino Linotype" w:cs="TimesNewRomanPS-ItalicMT"/>
          <w:iCs/>
          <w:lang w:val="es-MX" w:eastAsia="en-US"/>
        </w:rPr>
        <w:t>:</w:t>
      </w:r>
    </w:p>
    <w:p w14:paraId="69A994D7" w14:textId="77777777" w:rsidR="005F0980" w:rsidRDefault="005F0980" w:rsidP="005F0980">
      <w:pPr>
        <w:spacing w:line="360" w:lineRule="auto"/>
        <w:jc w:val="both"/>
        <w:rPr>
          <w:rFonts w:ascii="Palatino Linotype" w:eastAsiaTheme="minorHAnsi" w:hAnsi="Palatino Linotype" w:cs="TimesNewRomanPS-ItalicMT"/>
          <w:iCs/>
          <w:lang w:val="es-MX" w:eastAsia="en-US"/>
        </w:rPr>
      </w:pPr>
    </w:p>
    <w:p w14:paraId="29BFD8CB" w14:textId="77777777" w:rsidR="005F0980" w:rsidRDefault="003A17F2" w:rsidP="003A17F2">
      <w:pPr>
        <w:pStyle w:val="Prrafodelista"/>
        <w:numPr>
          <w:ilvl w:val="0"/>
          <w:numId w:val="3"/>
        </w:numPr>
        <w:spacing w:line="360" w:lineRule="auto"/>
        <w:jc w:val="both"/>
        <w:rPr>
          <w:rFonts w:ascii="Palatino Linotype" w:eastAsiaTheme="minorHAnsi" w:hAnsi="Palatino Linotype" w:cs="TimesNewRomanPS-ItalicMT"/>
          <w:iCs/>
          <w:lang w:val="es-MX" w:eastAsia="en-US"/>
        </w:rPr>
      </w:pPr>
      <w:r w:rsidRPr="003A17F2">
        <w:rPr>
          <w:rFonts w:ascii="Palatino Linotype" w:eastAsiaTheme="minorHAnsi" w:hAnsi="Palatino Linotype" w:cs="TimesNewRomanPS-ItalicMT"/>
          <w:b/>
          <w:iCs/>
          <w:lang w:val="es-MX" w:eastAsia="en-US"/>
        </w:rPr>
        <w:t>Respuesta a Solicitud 497.pdf</w:t>
      </w:r>
      <w:r w:rsidR="005F0980">
        <w:rPr>
          <w:rFonts w:ascii="Palatino Linotype" w:eastAsiaTheme="minorHAnsi" w:hAnsi="Palatino Linotype" w:cs="TimesNewRomanPS-ItalicMT"/>
          <w:iCs/>
          <w:lang w:val="es-MX" w:eastAsia="en-US"/>
        </w:rPr>
        <w:t xml:space="preserve">: Documento constante de </w:t>
      </w:r>
      <w:r>
        <w:rPr>
          <w:rFonts w:ascii="Palatino Linotype" w:eastAsiaTheme="minorHAnsi" w:hAnsi="Palatino Linotype" w:cs="TimesNewRomanPS-ItalicMT"/>
          <w:iCs/>
          <w:lang w:val="es-MX" w:eastAsia="en-US"/>
        </w:rPr>
        <w:t>dos</w:t>
      </w:r>
      <w:r w:rsidR="005F0980">
        <w:rPr>
          <w:rFonts w:ascii="Palatino Linotype" w:eastAsiaTheme="minorHAnsi" w:hAnsi="Palatino Linotype" w:cs="TimesNewRomanPS-ItalicMT"/>
          <w:iCs/>
          <w:lang w:val="es-MX" w:eastAsia="en-US"/>
        </w:rPr>
        <w:t xml:space="preserve"> (</w:t>
      </w:r>
      <w:r>
        <w:rPr>
          <w:rFonts w:ascii="Palatino Linotype" w:eastAsiaTheme="minorHAnsi" w:hAnsi="Palatino Linotype" w:cs="TimesNewRomanPS-ItalicMT"/>
          <w:iCs/>
          <w:lang w:val="es-MX" w:eastAsia="en-US"/>
        </w:rPr>
        <w:t>2</w:t>
      </w:r>
      <w:r w:rsidR="005F0980">
        <w:rPr>
          <w:rFonts w:ascii="Palatino Linotype" w:eastAsiaTheme="minorHAnsi" w:hAnsi="Palatino Linotype" w:cs="TimesNewRomanPS-ItalicMT"/>
          <w:iCs/>
          <w:lang w:val="es-MX" w:eastAsia="en-US"/>
        </w:rPr>
        <w:t xml:space="preserve">) fojas, </w:t>
      </w:r>
      <w:r>
        <w:rPr>
          <w:rFonts w:ascii="Palatino Linotype" w:eastAsiaTheme="minorHAnsi" w:hAnsi="Palatino Linotype" w:cs="TimesNewRomanPS-ItalicMT"/>
          <w:iCs/>
          <w:lang w:val="es-MX" w:eastAsia="en-US"/>
        </w:rPr>
        <w:t xml:space="preserve">consistente en número oficio de fecha diecinueve de octubre de dos mil veintitrés, </w:t>
      </w:r>
      <w:r w:rsidR="005F0980">
        <w:rPr>
          <w:rFonts w:ascii="Palatino Linotype" w:eastAsiaTheme="minorHAnsi" w:hAnsi="Palatino Linotype" w:cs="TimesNewRomanPS-ItalicMT"/>
          <w:iCs/>
          <w:lang w:val="es-MX" w:eastAsia="en-US"/>
        </w:rPr>
        <w:t xml:space="preserve">en </w:t>
      </w:r>
      <w:r>
        <w:rPr>
          <w:rFonts w:ascii="Palatino Linotype" w:eastAsiaTheme="minorHAnsi" w:hAnsi="Palatino Linotype" w:cs="TimesNewRomanPS-ItalicMT"/>
          <w:iCs/>
          <w:lang w:val="es-MX" w:eastAsia="en-US"/>
        </w:rPr>
        <w:t>el que</w:t>
      </w:r>
      <w:r w:rsidR="005F0980">
        <w:rPr>
          <w:rFonts w:ascii="Palatino Linotype" w:eastAsiaTheme="minorHAnsi" w:hAnsi="Palatino Linotype" w:cs="TimesNewRomanPS-ItalicMT"/>
          <w:iCs/>
          <w:lang w:val="es-MX" w:eastAsia="en-US"/>
        </w:rPr>
        <w:t xml:space="preserve"> se advierte lo siguiente:</w:t>
      </w:r>
    </w:p>
    <w:p w14:paraId="3FECB1AC" w14:textId="77777777" w:rsidR="005F0980" w:rsidRDefault="003A17F2" w:rsidP="005F0980">
      <w:pPr>
        <w:pStyle w:val="Prrafodelista"/>
        <w:numPr>
          <w:ilvl w:val="0"/>
          <w:numId w:val="5"/>
        </w:num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La Subsecretaría de Movilidad señaló que después de una búsqueda minuciosa del archivo documental de esa Subsecretaría de Movilidad, no se localizó documento alguno que acredite fehacientemente la modificación u otorgamiento de rutas del servicio público de transporte en la modalidad de colectivo que funja como rutas alimentadoras para el tren referido.</w:t>
      </w:r>
    </w:p>
    <w:p w14:paraId="7668E9B9" w14:textId="77777777" w:rsidR="005F0980" w:rsidRPr="00922F87" w:rsidRDefault="003A17F2" w:rsidP="005F0980">
      <w:pPr>
        <w:pStyle w:val="Prrafodelista"/>
        <w:numPr>
          <w:ilvl w:val="0"/>
          <w:numId w:val="5"/>
        </w:num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La Dirección General de Movilidad Zona I, informó que después de haber realizado una búsqueda</w:t>
      </w:r>
      <w:r w:rsidR="00CD2161">
        <w:rPr>
          <w:rFonts w:ascii="Palatino Linotype" w:eastAsiaTheme="minorHAnsi" w:hAnsi="Palatino Linotype" w:cs="TimesNewRomanPS-ItalicMT"/>
          <w:iCs/>
          <w:lang w:val="es-MX" w:eastAsia="en-US"/>
        </w:rPr>
        <w:t xml:space="preserve"> dentro de los archivos de esa Dirección General, no se localizó antecedente alguno con la información solicitada</w:t>
      </w:r>
      <w:r w:rsidR="005F0980">
        <w:rPr>
          <w:rFonts w:ascii="Palatino Linotype" w:eastAsiaTheme="minorHAnsi" w:hAnsi="Palatino Linotype" w:cs="TimesNewRomanPS-ItalicMT"/>
          <w:iCs/>
          <w:lang w:val="es-MX" w:eastAsia="en-US"/>
        </w:rPr>
        <w:t>.</w:t>
      </w:r>
    </w:p>
    <w:p w14:paraId="31DB6108" w14:textId="77777777" w:rsidR="00771C85" w:rsidRDefault="00771C85" w:rsidP="005F0980">
      <w:pPr>
        <w:spacing w:line="360" w:lineRule="auto"/>
        <w:ind w:right="141"/>
        <w:jc w:val="both"/>
        <w:rPr>
          <w:rFonts w:ascii="Palatino Linotype" w:hAnsi="Palatino Linotype" w:cs="Arial"/>
          <w:bCs/>
        </w:rPr>
      </w:pPr>
    </w:p>
    <w:p w14:paraId="48264F71" w14:textId="77777777" w:rsidR="005F0980" w:rsidRPr="00352C80" w:rsidRDefault="005F0980" w:rsidP="005F0980">
      <w:pPr>
        <w:spacing w:line="360" w:lineRule="auto"/>
        <w:ind w:right="141"/>
        <w:jc w:val="both"/>
        <w:rPr>
          <w:rFonts w:ascii="Palatino Linotype" w:hAnsi="Palatino Linotype" w:cs="Arial"/>
          <w:bCs/>
        </w:rPr>
      </w:pP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l</w:t>
      </w:r>
      <w:r w:rsidR="00771C85">
        <w:rPr>
          <w:rFonts w:ascii="Palatino Linotype" w:hAnsi="Palatino Linotype" w:cs="Arial"/>
          <w:b/>
        </w:rPr>
        <w:t>a parte</w:t>
      </w:r>
      <w:r w:rsidRPr="00352C80">
        <w:rPr>
          <w:rFonts w:ascii="Palatino Linotype" w:hAnsi="Palatino Linotype" w:cs="Arial"/>
          <w:b/>
        </w:rPr>
        <w:t xml:space="preserve">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00C26C3C" w14:textId="77777777" w:rsidR="005F0980" w:rsidRPr="00352C80" w:rsidRDefault="005F0980" w:rsidP="005F0980">
      <w:pPr>
        <w:spacing w:line="360" w:lineRule="auto"/>
        <w:ind w:left="567" w:right="567"/>
        <w:jc w:val="both"/>
        <w:rPr>
          <w:rFonts w:ascii="Palatino Linotype" w:eastAsia="Arial Unicode MS" w:hAnsi="Palatino Linotype" w:cs="Arial"/>
        </w:rPr>
      </w:pPr>
    </w:p>
    <w:p w14:paraId="3DBEE688" w14:textId="77777777" w:rsidR="005F0980" w:rsidRDefault="005F0980" w:rsidP="005F0980">
      <w:pPr>
        <w:spacing w:line="360" w:lineRule="auto"/>
        <w:ind w:right="190"/>
        <w:jc w:val="both"/>
        <w:rPr>
          <w:rFonts w:ascii="Palatino Linotype" w:hAnsi="Palatino Linotype" w:cs="Arial"/>
          <w:i/>
        </w:rPr>
      </w:pPr>
      <w:r w:rsidRPr="00352C80">
        <w:rPr>
          <w:rFonts w:ascii="Palatino Linotype" w:eastAsia="Arial Unicode MS" w:hAnsi="Palatino Linotype" w:cs="Arial"/>
          <w:i/>
        </w:rPr>
        <w:t>“</w:t>
      </w:r>
      <w:r w:rsidR="00771C85" w:rsidRPr="00771C85">
        <w:rPr>
          <w:rFonts w:ascii="Palatino Linotype" w:eastAsia="Arial Unicode MS" w:hAnsi="Palatino Linotype" w:cs="Arial"/>
          <w:i/>
        </w:rPr>
        <w:t>No entrega la información que debe existir en los archivos ya que las reuniones las tuvimos con la Dirección de zona I PARA REORDENAR LAS RUTA HOY DICEN NO TENER NADADA</w:t>
      </w:r>
      <w:r w:rsidRPr="00352C80">
        <w:rPr>
          <w:rFonts w:ascii="Palatino Linotype" w:hAnsi="Palatino Linotype" w:cs="Arial"/>
          <w:i/>
        </w:rPr>
        <w:t>” (Sic).</w:t>
      </w:r>
    </w:p>
    <w:p w14:paraId="5F9EB3BE" w14:textId="77777777" w:rsidR="005F0980" w:rsidRPr="009859D1" w:rsidRDefault="005F0980" w:rsidP="005F0980">
      <w:pPr>
        <w:spacing w:line="360" w:lineRule="auto"/>
        <w:ind w:right="190"/>
        <w:jc w:val="both"/>
        <w:rPr>
          <w:rFonts w:ascii="Palatino Linotype" w:hAnsi="Palatino Linotype" w:cs="Arial"/>
          <w:i/>
        </w:rPr>
      </w:pPr>
    </w:p>
    <w:p w14:paraId="66625823" w14:textId="77777777" w:rsidR="00771C85" w:rsidRDefault="00771C85" w:rsidP="005F0980">
      <w:pPr>
        <w:pStyle w:val="Sinespaciado"/>
        <w:spacing w:line="360" w:lineRule="auto"/>
        <w:jc w:val="both"/>
        <w:rPr>
          <w:rFonts w:ascii="Palatino Linotype" w:hAnsi="Palatino Linotype" w:cs="Arial"/>
        </w:rPr>
      </w:pPr>
    </w:p>
    <w:p w14:paraId="65DC27EE" w14:textId="77777777" w:rsidR="00771C85" w:rsidRDefault="00771C85" w:rsidP="00771C85">
      <w:pPr>
        <w:spacing w:line="360" w:lineRule="auto"/>
        <w:jc w:val="both"/>
        <w:rPr>
          <w:rFonts w:ascii="Palatino Linotype" w:eastAsiaTheme="minorHAnsi" w:hAnsi="Palatino Linotype" w:cs="Arial"/>
          <w:lang w:val="es-MX" w:eastAsia="en-US"/>
        </w:rPr>
      </w:pPr>
      <w:r>
        <w:rPr>
          <w:rFonts w:ascii="Palatino Linotype" w:hAnsi="Palatino Linotype"/>
        </w:rPr>
        <w:t>Posteriormente, el</w:t>
      </w:r>
      <w:r w:rsidRPr="00037B15">
        <w:rPr>
          <w:rFonts w:ascii="Palatino Linotype" w:eastAsiaTheme="minorHAnsi" w:hAnsi="Palatino Linotype" w:cs="Arial"/>
          <w:b/>
          <w:lang w:val="es-MX" w:eastAsia="en-US"/>
        </w:rPr>
        <w:t xml:space="preserve"> Sujeto Obligado</w:t>
      </w:r>
      <w:r w:rsidRPr="00037B15">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rindió</w:t>
      </w:r>
      <w:r w:rsidRPr="00037B15">
        <w:rPr>
          <w:rFonts w:ascii="Palatino Linotype" w:eastAsiaTheme="minorHAnsi" w:hAnsi="Palatino Linotype" w:cs="Arial"/>
          <w:lang w:val="es-MX" w:eastAsia="en-US"/>
        </w:rPr>
        <w:t xml:space="preserve"> su informe justificado</w:t>
      </w:r>
      <w:r>
        <w:rPr>
          <w:rFonts w:ascii="Palatino Linotype" w:eastAsiaTheme="minorHAnsi" w:hAnsi="Palatino Linotype" w:cs="Arial"/>
          <w:lang w:val="es-MX" w:eastAsia="en-US"/>
        </w:rPr>
        <w:t xml:space="preserve">, a través del archivo electrónico denominado </w:t>
      </w:r>
      <w:r w:rsidRPr="00A00916">
        <w:rPr>
          <w:rFonts w:ascii="Palatino Linotype" w:eastAsiaTheme="minorHAnsi" w:hAnsi="Palatino Linotype" w:cs="Arial"/>
          <w:i/>
          <w:iCs/>
          <w:lang w:val="es-MX" w:eastAsia="en-US"/>
        </w:rPr>
        <w:t>“</w:t>
      </w:r>
      <w:r w:rsidRPr="00771C85">
        <w:rPr>
          <w:rFonts w:ascii="Palatino Linotype" w:eastAsiaTheme="minorHAnsi" w:hAnsi="Palatino Linotype" w:cs="Arial"/>
          <w:i/>
          <w:iCs/>
          <w:lang w:val="es-MX" w:eastAsia="en-US"/>
        </w:rPr>
        <w:t>ANEXOS.pdf</w:t>
      </w:r>
      <w:r>
        <w:rPr>
          <w:rFonts w:ascii="Palatino Linotype" w:eastAsiaTheme="minorHAnsi" w:hAnsi="Palatino Linotype" w:cs="Arial"/>
          <w:i/>
          <w:iCs/>
          <w:lang w:val="es-MX" w:eastAsia="en-US"/>
        </w:rPr>
        <w:t>” e “</w:t>
      </w:r>
      <w:r w:rsidRPr="00771C85">
        <w:rPr>
          <w:rFonts w:ascii="Palatino Linotype" w:eastAsiaTheme="minorHAnsi" w:hAnsi="Palatino Linotype" w:cs="Arial"/>
          <w:i/>
          <w:iCs/>
          <w:lang w:val="es-MX" w:eastAsia="en-US"/>
        </w:rPr>
        <w:t>Informe Jusrtificado_7525.pdf</w:t>
      </w:r>
      <w:r w:rsidRPr="00A86565">
        <w:rPr>
          <w:rFonts w:ascii="Palatino Linotype" w:eastAsiaTheme="minorHAnsi" w:hAnsi="Palatino Linotype" w:cs="Arial"/>
          <w:i/>
          <w:lang w:val="es-MX" w:eastAsia="en-US"/>
        </w:rPr>
        <w:t>”</w:t>
      </w:r>
      <w:proofErr w:type="gramStart"/>
      <w:r>
        <w:rPr>
          <w:rFonts w:ascii="Palatino Linotype" w:eastAsiaTheme="minorHAnsi" w:hAnsi="Palatino Linotype" w:cs="Arial"/>
          <w:lang w:val="es-MX" w:eastAsia="en-US"/>
        </w:rPr>
        <w:t>,  los</w:t>
      </w:r>
      <w:proofErr w:type="gramEnd"/>
      <w:r>
        <w:rPr>
          <w:rFonts w:ascii="Palatino Linotype" w:eastAsiaTheme="minorHAnsi" w:hAnsi="Palatino Linotype" w:cs="Arial"/>
          <w:lang w:val="es-MX" w:eastAsia="en-US"/>
        </w:rPr>
        <w:t xml:space="preserve"> cuales se describen a continuación:</w:t>
      </w:r>
    </w:p>
    <w:p w14:paraId="49F4C0E8" w14:textId="77777777" w:rsidR="00771C85" w:rsidRDefault="00771C85" w:rsidP="00771C85">
      <w:pPr>
        <w:spacing w:line="360" w:lineRule="auto"/>
        <w:jc w:val="both"/>
        <w:rPr>
          <w:rFonts w:ascii="Palatino Linotype" w:eastAsiaTheme="minorHAnsi" w:hAnsi="Palatino Linotype" w:cs="Arial"/>
          <w:lang w:val="es-MX" w:eastAsia="en-US"/>
        </w:rPr>
      </w:pPr>
    </w:p>
    <w:p w14:paraId="4D997041" w14:textId="77777777" w:rsidR="009F3A4C" w:rsidRDefault="00771C85" w:rsidP="00771C85">
      <w:pPr>
        <w:pStyle w:val="Prrafodelista"/>
        <w:numPr>
          <w:ilvl w:val="0"/>
          <w:numId w:val="3"/>
        </w:numPr>
        <w:spacing w:line="360" w:lineRule="auto"/>
        <w:jc w:val="both"/>
        <w:rPr>
          <w:rFonts w:ascii="Palatino Linotype" w:hAnsi="Palatino Linotype"/>
        </w:rPr>
      </w:pPr>
      <w:r w:rsidRPr="00771C85">
        <w:rPr>
          <w:rFonts w:ascii="Palatino Linotype" w:hAnsi="Palatino Linotype"/>
          <w:b/>
        </w:rPr>
        <w:t>ANEXOS.pdf</w:t>
      </w:r>
      <w:r w:rsidRPr="003A188C">
        <w:rPr>
          <w:rFonts w:ascii="Palatino Linotype" w:hAnsi="Palatino Linotype"/>
        </w:rPr>
        <w:t>: Documento constante de una (</w:t>
      </w:r>
      <w:r w:rsidR="009F3A4C">
        <w:rPr>
          <w:rFonts w:ascii="Palatino Linotype" w:hAnsi="Palatino Linotype"/>
        </w:rPr>
        <w:t>8</w:t>
      </w:r>
      <w:r w:rsidRPr="003A188C">
        <w:rPr>
          <w:rFonts w:ascii="Palatino Linotype" w:hAnsi="Palatino Linotype"/>
        </w:rPr>
        <w:t>) foja</w:t>
      </w:r>
      <w:r w:rsidR="009F3A4C">
        <w:rPr>
          <w:rFonts w:ascii="Palatino Linotype" w:hAnsi="Palatino Linotype"/>
        </w:rPr>
        <w:t>s</w:t>
      </w:r>
      <w:r w:rsidRPr="003A188C">
        <w:rPr>
          <w:rFonts w:ascii="Palatino Linotype" w:hAnsi="Palatino Linotype"/>
        </w:rPr>
        <w:t xml:space="preserve">, </w:t>
      </w:r>
      <w:r w:rsidR="009F3A4C">
        <w:rPr>
          <w:rFonts w:ascii="Palatino Linotype" w:hAnsi="Palatino Linotype"/>
        </w:rPr>
        <w:t>consistente en los siguientes oficios</w:t>
      </w:r>
    </w:p>
    <w:p w14:paraId="12743DA4" w14:textId="77777777" w:rsidR="00771C85" w:rsidRDefault="009F3A4C" w:rsidP="009F3A4C">
      <w:pPr>
        <w:pStyle w:val="Prrafodelista"/>
        <w:numPr>
          <w:ilvl w:val="0"/>
          <w:numId w:val="5"/>
        </w:numPr>
        <w:spacing w:line="360" w:lineRule="auto"/>
        <w:jc w:val="both"/>
        <w:rPr>
          <w:rFonts w:ascii="Palatino Linotype" w:hAnsi="Palatino Linotype"/>
        </w:rPr>
      </w:pPr>
      <w:r>
        <w:rPr>
          <w:rFonts w:ascii="Palatino Linotype" w:hAnsi="Palatino Linotype"/>
        </w:rPr>
        <w:t>N</w:t>
      </w:r>
      <w:r w:rsidRPr="003A188C">
        <w:rPr>
          <w:rFonts w:ascii="Palatino Linotype" w:hAnsi="Palatino Linotype"/>
        </w:rPr>
        <w:t xml:space="preserve">úmero de oficio </w:t>
      </w:r>
      <w:r>
        <w:rPr>
          <w:rFonts w:ascii="Palatino Linotype" w:hAnsi="Palatino Linotype"/>
        </w:rPr>
        <w:t xml:space="preserve">22001001A000000, </w:t>
      </w:r>
      <w:r w:rsidR="00771C85" w:rsidRPr="003A188C">
        <w:rPr>
          <w:rFonts w:ascii="Palatino Linotype" w:hAnsi="Palatino Linotype"/>
        </w:rPr>
        <w:t xml:space="preserve">de fecha </w:t>
      </w:r>
      <w:r w:rsidR="00BA4B9C">
        <w:rPr>
          <w:rFonts w:ascii="Palatino Linotype" w:hAnsi="Palatino Linotype"/>
        </w:rPr>
        <w:t>primero</w:t>
      </w:r>
      <w:r w:rsidR="00771C85" w:rsidRPr="003A188C">
        <w:rPr>
          <w:rFonts w:ascii="Palatino Linotype" w:hAnsi="Palatino Linotype"/>
        </w:rPr>
        <w:t xml:space="preserve"> de </w:t>
      </w:r>
      <w:r w:rsidR="00BA4B9C">
        <w:rPr>
          <w:rFonts w:ascii="Palatino Linotype" w:hAnsi="Palatino Linotype"/>
        </w:rPr>
        <w:t>n</w:t>
      </w:r>
      <w:r w:rsidR="00771C85" w:rsidRPr="003A188C">
        <w:rPr>
          <w:rFonts w:ascii="Palatino Linotype" w:hAnsi="Palatino Linotype"/>
        </w:rPr>
        <w:t>o</w:t>
      </w:r>
      <w:r w:rsidR="00BA4B9C">
        <w:rPr>
          <w:rFonts w:ascii="Palatino Linotype" w:hAnsi="Palatino Linotype"/>
        </w:rPr>
        <w:t>viembre</w:t>
      </w:r>
      <w:r w:rsidR="00771C85" w:rsidRPr="003A188C">
        <w:rPr>
          <w:rFonts w:ascii="Palatino Linotype" w:hAnsi="Palatino Linotype"/>
        </w:rPr>
        <w:t xml:space="preserve"> de dos mil veinti</w:t>
      </w:r>
      <w:r w:rsidR="00BA4B9C">
        <w:rPr>
          <w:rFonts w:ascii="Palatino Linotype" w:hAnsi="Palatino Linotype"/>
        </w:rPr>
        <w:t>tré</w:t>
      </w:r>
      <w:r w:rsidR="00771C85" w:rsidRPr="003A188C">
        <w:rPr>
          <w:rFonts w:ascii="Palatino Linotype" w:hAnsi="Palatino Linotype"/>
        </w:rPr>
        <w:t xml:space="preserve">s, a través del cual el </w:t>
      </w:r>
      <w:r w:rsidR="00771C85" w:rsidRPr="009F3A4C">
        <w:rPr>
          <w:rFonts w:ascii="Palatino Linotype" w:hAnsi="Palatino Linotype"/>
          <w:b/>
        </w:rPr>
        <w:t xml:space="preserve">Director </w:t>
      </w:r>
      <w:r w:rsidR="00BA4B9C" w:rsidRPr="009F3A4C">
        <w:rPr>
          <w:rFonts w:ascii="Palatino Linotype" w:hAnsi="Palatino Linotype"/>
          <w:b/>
        </w:rPr>
        <w:t>General de Movilidad Zona I</w:t>
      </w:r>
      <w:r w:rsidR="00771C85" w:rsidRPr="003A188C">
        <w:rPr>
          <w:rFonts w:ascii="Palatino Linotype" w:hAnsi="Palatino Linotype"/>
        </w:rPr>
        <w:t xml:space="preserve"> informó </w:t>
      </w:r>
      <w:r w:rsidR="00BA4B9C">
        <w:rPr>
          <w:rFonts w:ascii="Palatino Linotype" w:hAnsi="Palatino Linotype"/>
        </w:rPr>
        <w:t xml:space="preserve">que si bien es cierto se realizaron reuniones con </w:t>
      </w:r>
      <w:r>
        <w:rPr>
          <w:rFonts w:ascii="Palatino Linotype" w:hAnsi="Palatino Linotype"/>
        </w:rPr>
        <w:t>concesionarias</w:t>
      </w:r>
      <w:r w:rsidR="00BA4B9C">
        <w:rPr>
          <w:rFonts w:ascii="Palatino Linotype" w:hAnsi="Palatino Linotype"/>
        </w:rPr>
        <w:t xml:space="preserve"> del servicio de transporte público en la modalidad de colectivo, también lo es que a la fecha esa </w:t>
      </w:r>
      <w:r w:rsidR="00BA4B9C" w:rsidRPr="003A188C">
        <w:rPr>
          <w:rFonts w:ascii="Palatino Linotype" w:hAnsi="Palatino Linotype"/>
        </w:rPr>
        <w:t>Direc</w:t>
      </w:r>
      <w:r w:rsidR="00BA4B9C">
        <w:rPr>
          <w:rFonts w:ascii="Palatino Linotype" w:hAnsi="Palatino Linotype"/>
        </w:rPr>
        <w:t>ción</w:t>
      </w:r>
      <w:r w:rsidR="00BA4B9C" w:rsidRPr="003A188C">
        <w:rPr>
          <w:rFonts w:ascii="Palatino Linotype" w:hAnsi="Palatino Linotype"/>
        </w:rPr>
        <w:t xml:space="preserve"> </w:t>
      </w:r>
      <w:r w:rsidR="00BA4B9C">
        <w:rPr>
          <w:rFonts w:ascii="Palatino Linotype" w:hAnsi="Palatino Linotype"/>
        </w:rPr>
        <w:t>General de Movilidad Zona I, no ha emitido acto alguno relacionado con la implementación de las rutas alimentadoras al “Tren Insurgentes” ya que únicamente se solicitaron las propuestas de manera verbal a los interesados, sin que dichas reuniones conllevaran a la creación de las citadas rutas alimentadoras, por lo que ratifica su respuesta inicial.</w:t>
      </w:r>
    </w:p>
    <w:p w14:paraId="106D6FC2" w14:textId="77777777" w:rsidR="009F3A4C" w:rsidRDefault="009F3A4C" w:rsidP="009F3A4C">
      <w:pPr>
        <w:pStyle w:val="Prrafodelista"/>
        <w:numPr>
          <w:ilvl w:val="0"/>
          <w:numId w:val="5"/>
        </w:numPr>
        <w:spacing w:line="360" w:lineRule="auto"/>
        <w:jc w:val="both"/>
        <w:rPr>
          <w:rFonts w:ascii="Palatino Linotype" w:hAnsi="Palatino Linotype"/>
        </w:rPr>
      </w:pPr>
      <w:r>
        <w:rPr>
          <w:rFonts w:ascii="Palatino Linotype" w:hAnsi="Palatino Linotype"/>
        </w:rPr>
        <w:t>Oficio de fecha tres de noviembre de dos mil veintitrés, a través del cual el Subsecretario de Movilidad rinde su informe justificado a través de las constancias que integran el expediente electrónica del SAIMEX, asimismo reitera los argumentos y fundamentos vertidos en la respuesta inicial.</w:t>
      </w:r>
    </w:p>
    <w:p w14:paraId="51651B46" w14:textId="77777777" w:rsidR="009F3A4C" w:rsidRDefault="009F3A4C" w:rsidP="009F3A4C">
      <w:pPr>
        <w:pStyle w:val="Prrafodelista"/>
        <w:spacing w:line="360" w:lineRule="auto"/>
        <w:ind w:left="720"/>
        <w:jc w:val="both"/>
        <w:rPr>
          <w:rFonts w:ascii="Palatino Linotype" w:hAnsi="Palatino Linotype"/>
        </w:rPr>
      </w:pPr>
    </w:p>
    <w:p w14:paraId="2ED4364E" w14:textId="77777777" w:rsidR="009F3A4C" w:rsidRDefault="009F3A4C" w:rsidP="009F3A4C">
      <w:pPr>
        <w:pStyle w:val="Prrafodelista"/>
        <w:numPr>
          <w:ilvl w:val="0"/>
          <w:numId w:val="3"/>
        </w:numPr>
        <w:spacing w:line="360" w:lineRule="auto"/>
        <w:jc w:val="both"/>
        <w:rPr>
          <w:rFonts w:ascii="Palatino Linotype" w:hAnsi="Palatino Linotype"/>
        </w:rPr>
      </w:pPr>
      <w:r w:rsidRPr="009F3A4C">
        <w:rPr>
          <w:rFonts w:ascii="Palatino Linotype" w:hAnsi="Palatino Linotype"/>
          <w:b/>
        </w:rPr>
        <w:t>Informe Jusrtificado_7525.pdf</w:t>
      </w:r>
      <w:r w:rsidRPr="003A188C">
        <w:rPr>
          <w:rFonts w:ascii="Palatino Linotype" w:hAnsi="Palatino Linotype"/>
        </w:rPr>
        <w:t xml:space="preserve">: Documento constante de una (1) foja, de fecha </w:t>
      </w:r>
      <w:r>
        <w:rPr>
          <w:rFonts w:ascii="Palatino Linotype" w:hAnsi="Palatino Linotype"/>
        </w:rPr>
        <w:t>primero</w:t>
      </w:r>
      <w:r w:rsidRPr="003A188C">
        <w:rPr>
          <w:rFonts w:ascii="Palatino Linotype" w:hAnsi="Palatino Linotype"/>
        </w:rPr>
        <w:t xml:space="preserve"> de </w:t>
      </w:r>
      <w:r>
        <w:rPr>
          <w:rFonts w:ascii="Palatino Linotype" w:hAnsi="Palatino Linotype"/>
        </w:rPr>
        <w:t>n</w:t>
      </w:r>
      <w:r w:rsidRPr="003A188C">
        <w:rPr>
          <w:rFonts w:ascii="Palatino Linotype" w:hAnsi="Palatino Linotype"/>
        </w:rPr>
        <w:t>o</w:t>
      </w:r>
      <w:r>
        <w:rPr>
          <w:rFonts w:ascii="Palatino Linotype" w:hAnsi="Palatino Linotype"/>
        </w:rPr>
        <w:t>viembre</w:t>
      </w:r>
      <w:r w:rsidRPr="003A188C">
        <w:rPr>
          <w:rFonts w:ascii="Palatino Linotype" w:hAnsi="Palatino Linotype"/>
        </w:rPr>
        <w:t xml:space="preserve"> de dos mil veinti</w:t>
      </w:r>
      <w:r>
        <w:rPr>
          <w:rFonts w:ascii="Palatino Linotype" w:hAnsi="Palatino Linotype"/>
        </w:rPr>
        <w:t>tré</w:t>
      </w:r>
      <w:r w:rsidRPr="003A188C">
        <w:rPr>
          <w:rFonts w:ascii="Palatino Linotype" w:hAnsi="Palatino Linotype"/>
        </w:rPr>
        <w:t xml:space="preserve">s, consistente en número de oficio </w:t>
      </w:r>
      <w:r>
        <w:rPr>
          <w:rFonts w:ascii="Palatino Linotype" w:hAnsi="Palatino Linotype"/>
        </w:rPr>
        <w:t>22001001ª000000</w:t>
      </w:r>
      <w:r w:rsidRPr="003A188C">
        <w:rPr>
          <w:rFonts w:ascii="Palatino Linotype" w:hAnsi="Palatino Linotype"/>
        </w:rPr>
        <w:t xml:space="preserve">, a través del cual el Director </w:t>
      </w:r>
      <w:r>
        <w:rPr>
          <w:rFonts w:ascii="Palatino Linotype" w:hAnsi="Palatino Linotype"/>
        </w:rPr>
        <w:t>General de Movilidad Zona I</w:t>
      </w:r>
      <w:r w:rsidRPr="003A188C">
        <w:rPr>
          <w:rFonts w:ascii="Palatino Linotype" w:hAnsi="Palatino Linotype"/>
        </w:rPr>
        <w:t xml:space="preserve"> </w:t>
      </w:r>
      <w:r w:rsidRPr="003A188C">
        <w:rPr>
          <w:rFonts w:ascii="Palatino Linotype" w:hAnsi="Palatino Linotype"/>
        </w:rPr>
        <w:lastRenderedPageBreak/>
        <w:t xml:space="preserve">informó </w:t>
      </w:r>
      <w:r>
        <w:rPr>
          <w:rFonts w:ascii="Palatino Linotype" w:hAnsi="Palatino Linotype"/>
        </w:rPr>
        <w:t xml:space="preserve">que si bien es cierto se realizaron reuniones con concesionarias del servicio de transporte público en la modalidad de colectivo, también lo es que a la fecha esa </w:t>
      </w:r>
      <w:r w:rsidRPr="003A188C">
        <w:rPr>
          <w:rFonts w:ascii="Palatino Linotype" w:hAnsi="Palatino Linotype"/>
        </w:rPr>
        <w:t>Direc</w:t>
      </w:r>
      <w:r>
        <w:rPr>
          <w:rFonts w:ascii="Palatino Linotype" w:hAnsi="Palatino Linotype"/>
        </w:rPr>
        <w:t>ción</w:t>
      </w:r>
      <w:r w:rsidRPr="003A188C">
        <w:rPr>
          <w:rFonts w:ascii="Palatino Linotype" w:hAnsi="Palatino Linotype"/>
        </w:rPr>
        <w:t xml:space="preserve"> </w:t>
      </w:r>
      <w:r>
        <w:rPr>
          <w:rFonts w:ascii="Palatino Linotype" w:hAnsi="Palatino Linotype"/>
        </w:rPr>
        <w:t>General de Movilidad Zona I, no ha emitido acto alguno relacionado con la implementación de las rutas alimentadoras al “Tren Insurgentes” ya que únicamente se solicitaron las propuestas de manera verbal a los interesados, sin que dichas reuniones conllevaran a la creación de las citadas rutas alimentadoras, por lo que ratifica su respuesta inicial.</w:t>
      </w:r>
    </w:p>
    <w:p w14:paraId="1E341B11" w14:textId="77777777" w:rsidR="005F0980" w:rsidRDefault="005F0980" w:rsidP="005F0980">
      <w:pPr>
        <w:spacing w:line="360" w:lineRule="auto"/>
        <w:jc w:val="both"/>
        <w:rPr>
          <w:rFonts w:ascii="Palatino Linotype" w:hAnsi="Palatino Linotype"/>
        </w:rPr>
      </w:pPr>
    </w:p>
    <w:p w14:paraId="4FFF0EA7" w14:textId="77777777" w:rsidR="005F0980" w:rsidRPr="00A45D9E" w:rsidRDefault="005F0980" w:rsidP="005F0980">
      <w:pPr>
        <w:spacing w:line="360" w:lineRule="auto"/>
        <w:jc w:val="both"/>
        <w:rPr>
          <w:rFonts w:ascii="Palatino Linotype" w:hAnsi="Palatino Linotype" w:cs="Arial"/>
        </w:rPr>
      </w:pPr>
      <w:r w:rsidRPr="00A45D9E">
        <w:rPr>
          <w:rFonts w:ascii="Palatino Linotype" w:hAnsi="Palatino Linotype" w:cs="Tahoma"/>
          <w:bCs/>
        </w:rPr>
        <w:t xml:space="preserve">Bajo estas líneas argumentativas, al retomar y delimitar los requerimientos del ahora </w:t>
      </w:r>
      <w:r w:rsidRPr="00A45D9E">
        <w:rPr>
          <w:rFonts w:ascii="Palatino Linotype" w:hAnsi="Palatino Linotype" w:cs="Tahoma"/>
          <w:b/>
          <w:bCs/>
        </w:rPr>
        <w:t>Recurrente</w:t>
      </w:r>
      <w:r w:rsidRPr="00A45D9E">
        <w:rPr>
          <w:rFonts w:ascii="Palatino Linotype" w:hAnsi="Palatino Linotype" w:cs="Tahoma"/>
          <w:bCs/>
        </w:rPr>
        <w:t>, de manera objetiva se precisa que se queja de la siguiente información:</w:t>
      </w:r>
      <w:r>
        <w:rPr>
          <w:rFonts w:ascii="Palatino Linotype" w:hAnsi="Palatino Linotype" w:cs="Tahoma"/>
          <w:bCs/>
        </w:rPr>
        <w:t xml:space="preserve"> “</w:t>
      </w:r>
      <w:r w:rsidR="000D4EAE" w:rsidRPr="000D4EAE">
        <w:rPr>
          <w:rFonts w:ascii="Palatino Linotype" w:hAnsi="Palatino Linotype" w:cs="Tahoma"/>
          <w:bCs/>
          <w:i/>
        </w:rPr>
        <w:t>No entrega la información que debe existir en los archivos ya que las reuniones las tuvimos con la Dirección de zona I PARA REORDENAR LAS RUTA HOY DICEN NO TENER NADADA</w:t>
      </w:r>
      <w:r>
        <w:rPr>
          <w:rFonts w:ascii="Palatino Linotype" w:hAnsi="Palatino Linotype" w:cs="Tahoma"/>
          <w:bCs/>
          <w:i/>
        </w:rPr>
        <w:t>” (Sic)</w:t>
      </w:r>
    </w:p>
    <w:p w14:paraId="06E1EE58" w14:textId="77777777" w:rsidR="005F0980" w:rsidRPr="00A45D9E" w:rsidRDefault="005F0980" w:rsidP="005F0980">
      <w:pPr>
        <w:pStyle w:val="Sinespaciado"/>
        <w:rPr>
          <w:rFonts w:eastAsiaTheme="minorHAnsi"/>
          <w:lang w:eastAsia="es-MX"/>
        </w:rPr>
      </w:pPr>
    </w:p>
    <w:p w14:paraId="248158FF" w14:textId="77777777" w:rsidR="005F0980" w:rsidRDefault="005F0980" w:rsidP="005F0980">
      <w:pPr>
        <w:spacing w:line="360" w:lineRule="auto"/>
        <w:jc w:val="both"/>
        <w:rPr>
          <w:rFonts w:ascii="Palatino Linotype" w:hAnsi="Palatino Linotype"/>
          <w:color w:val="000000"/>
          <w:lang w:val="es-MX"/>
        </w:rPr>
      </w:pPr>
      <w:r w:rsidRPr="00A45D9E">
        <w:rPr>
          <w:rFonts w:ascii="Palatino Linotype" w:hAnsi="Palatino Linotype"/>
          <w:color w:val="000000"/>
          <w:lang w:val="es-MX"/>
        </w:rPr>
        <w:t>Primeramente, es necesario indicar que la Titular de la Unidad de Transparencia, turnó el requerimiento de información a</w:t>
      </w:r>
      <w:r w:rsidR="000D4EAE">
        <w:rPr>
          <w:rFonts w:ascii="Palatino Linotype" w:hAnsi="Palatino Linotype"/>
          <w:color w:val="000000"/>
          <w:lang w:val="es-MX"/>
        </w:rPr>
        <w:t xml:space="preserve"> </w:t>
      </w:r>
      <w:r w:rsidRPr="00A45D9E">
        <w:rPr>
          <w:rFonts w:ascii="Palatino Linotype" w:hAnsi="Palatino Linotype"/>
          <w:color w:val="000000"/>
          <w:lang w:val="es-MX"/>
        </w:rPr>
        <w:t>l</w:t>
      </w:r>
      <w:r w:rsidR="000D4EAE">
        <w:rPr>
          <w:rFonts w:ascii="Palatino Linotype" w:hAnsi="Palatino Linotype"/>
          <w:color w:val="000000"/>
          <w:lang w:val="es-MX"/>
        </w:rPr>
        <w:t>os</w:t>
      </w:r>
      <w:r w:rsidRPr="00A45D9E">
        <w:rPr>
          <w:rFonts w:ascii="Palatino Linotype" w:hAnsi="Palatino Linotype"/>
          <w:color w:val="000000"/>
          <w:lang w:val="es-MX"/>
        </w:rPr>
        <w:t xml:space="preserve"> servidor</w:t>
      </w:r>
      <w:r w:rsidR="000D4EAE">
        <w:rPr>
          <w:rFonts w:ascii="Palatino Linotype" w:hAnsi="Palatino Linotype"/>
          <w:color w:val="000000"/>
          <w:lang w:val="es-MX"/>
        </w:rPr>
        <w:t>es</w:t>
      </w:r>
      <w:r w:rsidRPr="00A45D9E">
        <w:rPr>
          <w:rFonts w:ascii="Palatino Linotype" w:hAnsi="Palatino Linotype"/>
          <w:color w:val="000000"/>
          <w:lang w:val="es-MX"/>
        </w:rPr>
        <w:t xml:space="preserve"> públic</w:t>
      </w:r>
      <w:r>
        <w:rPr>
          <w:rFonts w:ascii="Palatino Linotype" w:hAnsi="Palatino Linotype"/>
          <w:color w:val="000000"/>
          <w:lang w:val="es-MX"/>
        </w:rPr>
        <w:t>o</w:t>
      </w:r>
      <w:r w:rsidR="000D4EAE">
        <w:rPr>
          <w:rFonts w:ascii="Palatino Linotype" w:hAnsi="Palatino Linotype"/>
          <w:color w:val="000000"/>
          <w:lang w:val="es-MX"/>
        </w:rPr>
        <w:t>s</w:t>
      </w:r>
      <w:r w:rsidRPr="00A45D9E">
        <w:rPr>
          <w:rFonts w:ascii="Palatino Linotype" w:hAnsi="Palatino Linotype"/>
          <w:color w:val="000000"/>
          <w:lang w:val="es-MX"/>
        </w:rPr>
        <w:t xml:space="preserve"> habilitad</w:t>
      </w:r>
      <w:r>
        <w:rPr>
          <w:rFonts w:ascii="Palatino Linotype" w:hAnsi="Palatino Linotype"/>
          <w:color w:val="000000"/>
          <w:lang w:val="es-MX"/>
        </w:rPr>
        <w:t>o</w:t>
      </w:r>
      <w:r w:rsidR="000D4EAE">
        <w:rPr>
          <w:rFonts w:ascii="Palatino Linotype" w:hAnsi="Palatino Linotype"/>
          <w:color w:val="000000"/>
          <w:lang w:val="es-MX"/>
        </w:rPr>
        <w:t>s</w:t>
      </w:r>
      <w:r w:rsidRPr="00A45D9E">
        <w:rPr>
          <w:rFonts w:ascii="Palatino Linotype" w:hAnsi="Palatino Linotype"/>
          <w:color w:val="000000"/>
          <w:lang w:val="es-MX"/>
        </w:rPr>
        <w:t xml:space="preserve"> que estimó pertinente, a fin de colmar la solicitud de Acceso a la Información Pública</w:t>
      </w:r>
      <w:r>
        <w:rPr>
          <w:rFonts w:ascii="Palatino Linotype" w:hAnsi="Palatino Linotype"/>
          <w:color w:val="000000"/>
          <w:lang w:val="es-MX"/>
        </w:rPr>
        <w:t>.</w:t>
      </w:r>
    </w:p>
    <w:p w14:paraId="113FFCDD" w14:textId="77777777" w:rsidR="005F0980" w:rsidRPr="00313F3A" w:rsidRDefault="005F0980" w:rsidP="005F0980">
      <w:pPr>
        <w:pStyle w:val="Sinespaciado"/>
        <w:rPr>
          <w:rFonts w:ascii="Palatino Linotype" w:hAnsi="Palatino Linotype"/>
        </w:rPr>
      </w:pPr>
    </w:p>
    <w:p w14:paraId="5ED47609" w14:textId="77777777" w:rsidR="005F0980" w:rsidRPr="0009064B" w:rsidRDefault="005F0980" w:rsidP="005F0980">
      <w:pPr>
        <w:pStyle w:val="Sinespaciado"/>
      </w:pPr>
    </w:p>
    <w:p w14:paraId="17C1299D" w14:textId="77777777" w:rsidR="005F0980" w:rsidRPr="00A45D9E" w:rsidRDefault="005F0980" w:rsidP="005F0980">
      <w:pPr>
        <w:spacing w:line="360" w:lineRule="auto"/>
        <w:jc w:val="both"/>
        <w:rPr>
          <w:rFonts w:ascii="Palatino Linotype" w:hAnsi="Palatino Linotype"/>
          <w:color w:val="000000"/>
          <w:lang w:val="es-MX"/>
        </w:rPr>
      </w:pPr>
      <w:r w:rsidRPr="00A45D9E">
        <w:rPr>
          <w:rFonts w:ascii="Palatino Linotype" w:hAnsi="Palatino Linotype"/>
          <w:color w:val="000000"/>
          <w:lang w:val="es-MX"/>
        </w:rPr>
        <w:t>Por lo que, mediante el oficio</w:t>
      </w:r>
      <w:r w:rsidRPr="00313F3A">
        <w:rPr>
          <w:rFonts w:ascii="Palatino Linotype" w:hAnsi="Palatino Linotype"/>
          <w:color w:val="000000"/>
          <w:lang w:val="es-MX"/>
        </w:rPr>
        <w:t xml:space="preserve"> de fecha </w:t>
      </w:r>
      <w:r w:rsidR="000D4EAE">
        <w:rPr>
          <w:rFonts w:ascii="Palatino Linotype" w:hAnsi="Palatino Linotype"/>
          <w:color w:val="000000"/>
          <w:lang w:val="es-MX"/>
        </w:rPr>
        <w:t>diecinueve</w:t>
      </w:r>
      <w:r w:rsidRPr="00313F3A">
        <w:rPr>
          <w:rFonts w:ascii="Palatino Linotype" w:hAnsi="Palatino Linotype"/>
          <w:color w:val="000000"/>
          <w:lang w:val="es-MX"/>
        </w:rPr>
        <w:t xml:space="preserve"> de octubre de dos mil veintitrés</w:t>
      </w:r>
      <w:r w:rsidRPr="00A45D9E">
        <w:rPr>
          <w:rFonts w:ascii="Palatino Linotype" w:hAnsi="Palatino Linotype"/>
          <w:color w:val="000000"/>
          <w:lang w:val="es-MX"/>
        </w:rPr>
        <w:t xml:space="preserve">, </w:t>
      </w:r>
      <w:r w:rsidR="000D4EAE" w:rsidRPr="000D4EAE">
        <w:rPr>
          <w:rFonts w:ascii="Palatino Linotype" w:eastAsiaTheme="minorHAnsi" w:hAnsi="Palatino Linotype" w:cs="TimesNewRomanPS-ItalicMT"/>
          <w:iCs/>
          <w:lang w:val="es-MX" w:eastAsia="en-US"/>
        </w:rPr>
        <w:t>Subsecretaría de Movilidad</w:t>
      </w:r>
      <w:r w:rsidR="000D4EAE">
        <w:rPr>
          <w:rFonts w:ascii="Palatino Linotype" w:eastAsiaTheme="minorHAnsi" w:hAnsi="Palatino Linotype" w:cs="TimesNewRomanPS-ItalicMT"/>
          <w:iCs/>
          <w:lang w:val="es-MX" w:eastAsia="en-US"/>
        </w:rPr>
        <w:t xml:space="preserve"> y la Dirección General de Movilidad Zona I</w:t>
      </w:r>
      <w:r w:rsidRPr="00922F87">
        <w:rPr>
          <w:rFonts w:ascii="Palatino Linotype" w:eastAsiaTheme="minorHAnsi" w:hAnsi="Palatino Linotype" w:cs="TimesNewRomanPS-ItalicMT"/>
          <w:iCs/>
          <w:lang w:val="es-MX" w:eastAsia="en-US"/>
        </w:rPr>
        <w:t>, inform</w:t>
      </w:r>
      <w:r w:rsidR="000D4EAE">
        <w:rPr>
          <w:rFonts w:ascii="Palatino Linotype" w:eastAsiaTheme="minorHAnsi" w:hAnsi="Palatino Linotype" w:cs="TimesNewRomanPS-ItalicMT"/>
          <w:iCs/>
          <w:lang w:val="es-MX" w:eastAsia="en-US"/>
        </w:rPr>
        <w:t>aron</w:t>
      </w:r>
      <w:r w:rsidRPr="00922F87">
        <w:rPr>
          <w:rFonts w:ascii="Palatino Linotype" w:eastAsiaTheme="minorHAnsi" w:hAnsi="Palatino Linotype" w:cs="TimesNewRomanPS-ItalicMT"/>
          <w:iCs/>
          <w:lang w:val="es-MX" w:eastAsia="en-US"/>
        </w:rPr>
        <w:t xml:space="preserve"> </w:t>
      </w:r>
      <w:r w:rsidRPr="00313F3A">
        <w:rPr>
          <w:rFonts w:ascii="Palatino Linotype" w:eastAsiaTheme="minorHAnsi" w:hAnsi="Palatino Linotype" w:cs="TimesNewRomanPS-ItalicMT"/>
          <w:b/>
          <w:iCs/>
          <w:u w:val="single"/>
          <w:lang w:val="es-MX" w:eastAsia="en-US"/>
        </w:rPr>
        <w:t>que des</w:t>
      </w:r>
      <w:r w:rsidR="000D4EAE">
        <w:rPr>
          <w:rFonts w:ascii="Palatino Linotype" w:eastAsiaTheme="minorHAnsi" w:hAnsi="Palatino Linotype" w:cs="TimesNewRomanPS-ItalicMT"/>
          <w:b/>
          <w:iCs/>
          <w:u w:val="single"/>
          <w:lang w:val="es-MX" w:eastAsia="en-US"/>
        </w:rPr>
        <w:t>pués de una búsqueda minuciosa dentro de</w:t>
      </w:r>
      <w:r w:rsidRPr="00313F3A">
        <w:rPr>
          <w:rFonts w:ascii="Palatino Linotype" w:eastAsiaTheme="minorHAnsi" w:hAnsi="Palatino Linotype" w:cs="TimesNewRomanPS-ItalicMT"/>
          <w:b/>
          <w:iCs/>
          <w:u w:val="single"/>
          <w:lang w:val="es-MX" w:eastAsia="en-US"/>
        </w:rPr>
        <w:t xml:space="preserve"> los archivos </w:t>
      </w:r>
      <w:r w:rsidR="000D4EAE">
        <w:rPr>
          <w:rFonts w:ascii="Palatino Linotype" w:eastAsiaTheme="minorHAnsi" w:hAnsi="Palatino Linotype" w:cs="TimesNewRomanPS-ItalicMT"/>
          <w:b/>
          <w:iCs/>
          <w:u w:val="single"/>
          <w:lang w:val="es-MX" w:eastAsia="en-US"/>
        </w:rPr>
        <w:t>de esas áreas no se localizó información relacionada con lo solicitado</w:t>
      </w:r>
      <w:r>
        <w:rPr>
          <w:rFonts w:ascii="Palatino Linotype" w:eastAsiaTheme="minorHAnsi" w:hAnsi="Palatino Linotype" w:cs="TimesNewRomanPS-ItalicMT"/>
          <w:iCs/>
          <w:lang w:val="es-MX" w:eastAsia="en-US"/>
        </w:rPr>
        <w:t>.</w:t>
      </w:r>
    </w:p>
    <w:p w14:paraId="6866268D" w14:textId="77777777" w:rsidR="005F0980" w:rsidRDefault="005F0980" w:rsidP="005F0980">
      <w:pPr>
        <w:spacing w:line="360" w:lineRule="auto"/>
        <w:jc w:val="both"/>
        <w:rPr>
          <w:rFonts w:ascii="Palatino Linotype" w:hAnsi="Palatino Linotype"/>
        </w:rPr>
      </w:pPr>
    </w:p>
    <w:p w14:paraId="31E1EA1B" w14:textId="77777777" w:rsidR="005F0980" w:rsidRDefault="005F0980" w:rsidP="005F0980">
      <w:pPr>
        <w:spacing w:line="360" w:lineRule="auto"/>
        <w:jc w:val="both"/>
        <w:rPr>
          <w:rFonts w:ascii="Palatino Linotype" w:hAnsi="Palatino Linotype"/>
        </w:rPr>
      </w:pPr>
      <w:r w:rsidRPr="008A6DA9">
        <w:rPr>
          <w:rFonts w:ascii="Palatino Linotype" w:hAnsi="Palatino Linotype"/>
        </w:rPr>
        <w:t xml:space="preserve">Por lo anteriormente expuesto, traeremos a contexto el </w:t>
      </w:r>
      <w:r w:rsidR="000D4EAE">
        <w:rPr>
          <w:rFonts w:ascii="Palatino Linotype" w:hAnsi="Palatino Linotype"/>
        </w:rPr>
        <w:t>Reglamento Interior de la Secretaría de Movilidad</w:t>
      </w:r>
      <w:r w:rsidRPr="008A6DA9">
        <w:rPr>
          <w:rFonts w:ascii="Palatino Linotype" w:hAnsi="Palatino Linotype"/>
        </w:rPr>
        <w:t xml:space="preserve">, </w:t>
      </w:r>
      <w:r>
        <w:rPr>
          <w:rFonts w:ascii="Palatino Linotype" w:hAnsi="Palatino Linotype"/>
        </w:rPr>
        <w:t>el cual</w:t>
      </w:r>
      <w:r w:rsidRPr="008A6DA9">
        <w:rPr>
          <w:rFonts w:ascii="Palatino Linotype" w:hAnsi="Palatino Linotype"/>
        </w:rPr>
        <w:t xml:space="preserve"> establece </w:t>
      </w:r>
      <w:r w:rsidR="000D4EAE">
        <w:rPr>
          <w:rFonts w:ascii="Palatino Linotype" w:hAnsi="Palatino Linotype"/>
        </w:rPr>
        <w:t>las atribuciones</w:t>
      </w:r>
      <w:r>
        <w:rPr>
          <w:rFonts w:ascii="Palatino Linotype" w:hAnsi="Palatino Linotype"/>
        </w:rPr>
        <w:t xml:space="preserve"> </w:t>
      </w:r>
      <w:r w:rsidRPr="008A6DA9">
        <w:rPr>
          <w:rFonts w:ascii="Palatino Linotype" w:hAnsi="Palatino Linotype"/>
        </w:rPr>
        <w:t>del área encargada de dar respuesta a la solicitud de información, de conformidad con lo siguiente:</w:t>
      </w:r>
    </w:p>
    <w:p w14:paraId="42DEE374" w14:textId="77777777" w:rsidR="005F0980" w:rsidRDefault="005F0980" w:rsidP="005F0980">
      <w:pPr>
        <w:spacing w:line="360" w:lineRule="auto"/>
        <w:jc w:val="both"/>
        <w:rPr>
          <w:rFonts w:ascii="Palatino Linotype" w:hAnsi="Palatino Linotype"/>
        </w:rPr>
      </w:pPr>
    </w:p>
    <w:p w14:paraId="7BC8A437" w14:textId="77777777" w:rsidR="000D4EAE" w:rsidRPr="000D4EAE" w:rsidRDefault="000D4EAE" w:rsidP="000D4EAE">
      <w:pPr>
        <w:ind w:left="567" w:right="567"/>
        <w:jc w:val="both"/>
        <w:rPr>
          <w:rFonts w:ascii="Palatino Linotype" w:hAnsi="Palatino Linotype"/>
          <w:i/>
          <w:sz w:val="22"/>
        </w:rPr>
      </w:pPr>
      <w:r w:rsidRPr="007348AD">
        <w:rPr>
          <w:rFonts w:ascii="Palatino Linotype" w:hAnsi="Palatino Linotype"/>
          <w:b/>
          <w:i/>
          <w:sz w:val="22"/>
        </w:rPr>
        <w:t>Artículo 10.</w:t>
      </w:r>
      <w:r w:rsidRPr="000D4EAE">
        <w:rPr>
          <w:rFonts w:ascii="Palatino Linotype" w:hAnsi="Palatino Linotype"/>
          <w:i/>
          <w:sz w:val="22"/>
        </w:rPr>
        <w:t xml:space="preserve"> Corresponden a la </w:t>
      </w:r>
      <w:r w:rsidRPr="007348AD">
        <w:rPr>
          <w:rFonts w:ascii="Palatino Linotype" w:hAnsi="Palatino Linotype"/>
          <w:b/>
          <w:i/>
          <w:sz w:val="22"/>
        </w:rPr>
        <w:t xml:space="preserve">Subsecretaría </w:t>
      </w:r>
      <w:r w:rsidRPr="000D4EAE">
        <w:rPr>
          <w:rFonts w:ascii="Palatino Linotype" w:hAnsi="Palatino Linotype"/>
          <w:i/>
          <w:sz w:val="22"/>
        </w:rPr>
        <w:t>las siguientes atribuciones:</w:t>
      </w:r>
    </w:p>
    <w:p w14:paraId="5B50D255" w14:textId="77777777" w:rsidR="001D115F" w:rsidRDefault="000D4EAE" w:rsidP="000D4EAE">
      <w:pPr>
        <w:ind w:left="567" w:right="567"/>
        <w:jc w:val="both"/>
        <w:rPr>
          <w:rFonts w:ascii="Palatino Linotype" w:hAnsi="Palatino Linotype"/>
          <w:i/>
          <w:sz w:val="22"/>
        </w:rPr>
      </w:pPr>
      <w:r w:rsidRPr="007348AD">
        <w:rPr>
          <w:rFonts w:ascii="Palatino Linotype" w:hAnsi="Palatino Linotype"/>
          <w:b/>
          <w:i/>
          <w:sz w:val="22"/>
        </w:rPr>
        <w:t>I. Planear, coordinar, dirigir, controlar y evaluar la operatividad del servicio de transporte público y mixto en el Estado</w:t>
      </w:r>
      <w:r w:rsidRPr="000D4EAE">
        <w:rPr>
          <w:rFonts w:ascii="Palatino Linotype" w:hAnsi="Palatino Linotype"/>
          <w:i/>
          <w:sz w:val="22"/>
        </w:rPr>
        <w:t>,</w:t>
      </w:r>
      <w:r w:rsidR="001D115F">
        <w:rPr>
          <w:rFonts w:ascii="Palatino Linotype" w:hAnsi="Palatino Linotype"/>
          <w:i/>
          <w:sz w:val="22"/>
        </w:rPr>
        <w:t xml:space="preserve"> </w:t>
      </w:r>
      <w:r w:rsidRPr="000D4EAE">
        <w:rPr>
          <w:rFonts w:ascii="Palatino Linotype" w:hAnsi="Palatino Linotype"/>
          <w:i/>
          <w:sz w:val="22"/>
        </w:rPr>
        <w:t>con apego a las leyes, reglamentos y demás ordenamientos jurídicos aplicables;</w:t>
      </w:r>
      <w:r w:rsidR="001D115F">
        <w:rPr>
          <w:rFonts w:ascii="Palatino Linotype" w:hAnsi="Palatino Linotype"/>
          <w:i/>
          <w:sz w:val="22"/>
        </w:rPr>
        <w:t xml:space="preserve"> </w:t>
      </w:r>
    </w:p>
    <w:p w14:paraId="46A1E690" w14:textId="77777777" w:rsidR="005F0980" w:rsidRDefault="000D4EAE" w:rsidP="000D4EAE">
      <w:pPr>
        <w:ind w:left="567" w:right="567"/>
        <w:jc w:val="both"/>
        <w:rPr>
          <w:rFonts w:ascii="Palatino Linotype" w:hAnsi="Palatino Linotype"/>
          <w:i/>
          <w:sz w:val="22"/>
        </w:rPr>
      </w:pPr>
      <w:r w:rsidRPr="000D4EAE">
        <w:rPr>
          <w:rFonts w:ascii="Palatino Linotype" w:hAnsi="Palatino Linotype"/>
          <w:i/>
          <w:sz w:val="22"/>
        </w:rPr>
        <w:t>II. Suscribir los documentos relacionados con el otorgamiento de concesiones, permisos, autorizaciones de bases,</w:t>
      </w:r>
      <w:r w:rsidR="001D115F">
        <w:rPr>
          <w:rFonts w:ascii="Palatino Linotype" w:hAnsi="Palatino Linotype"/>
          <w:i/>
          <w:sz w:val="22"/>
        </w:rPr>
        <w:t xml:space="preserve"> </w:t>
      </w:r>
      <w:r w:rsidRPr="000D4EAE">
        <w:rPr>
          <w:rFonts w:ascii="Palatino Linotype" w:hAnsi="Palatino Linotype"/>
          <w:i/>
          <w:sz w:val="22"/>
        </w:rPr>
        <w:t>lanzaderas y derroteros, modificaciones de alargamientos y enlaces de los mismos, así como con las autorizaciones</w:t>
      </w:r>
      <w:r w:rsidR="001D115F">
        <w:rPr>
          <w:rFonts w:ascii="Palatino Linotype" w:hAnsi="Palatino Linotype"/>
          <w:i/>
          <w:sz w:val="22"/>
        </w:rPr>
        <w:t xml:space="preserve"> </w:t>
      </w:r>
      <w:r w:rsidRPr="000D4EAE">
        <w:rPr>
          <w:rFonts w:ascii="Palatino Linotype" w:hAnsi="Palatino Linotype"/>
          <w:i/>
          <w:sz w:val="22"/>
        </w:rPr>
        <w:t xml:space="preserve">de </w:t>
      </w:r>
      <w:proofErr w:type="spellStart"/>
      <w:r w:rsidRPr="000D4EAE">
        <w:rPr>
          <w:rFonts w:ascii="Palatino Linotype" w:hAnsi="Palatino Linotype"/>
          <w:i/>
          <w:sz w:val="22"/>
        </w:rPr>
        <w:t>emplacamiento</w:t>
      </w:r>
      <w:proofErr w:type="spellEnd"/>
      <w:r w:rsidRPr="000D4EAE">
        <w:rPr>
          <w:rFonts w:ascii="Palatino Linotype" w:hAnsi="Palatino Linotype"/>
          <w:i/>
          <w:sz w:val="22"/>
        </w:rPr>
        <w:t>, previo acuerdo con la persona Titular de la Secretaría;</w:t>
      </w:r>
    </w:p>
    <w:p w14:paraId="4C16FA6E"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III. Suscribir los documentos relativos a concesiones, permisos y autorizaciones para la prestación del servicio público de transporte en sus diversas modalidades o relacionadas con él, de los servicios auxiliares y de las autorizaciones de los servicios conexos y aquellas para la operación de los talleres de inspección y servicio; </w:t>
      </w:r>
    </w:p>
    <w:p w14:paraId="289218D1"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IV. Coordinar las acciones y la realización de los operativos de verificación e inspección en la prestación del servicio público de transporte de pasajeros, así como de las condiciones físicas de los equipos, instalaciones y servicios complementarios, además de los de alcoholimetría y los relativos a la prestación de los servicios auxiliares, en el ámbito de su competencia y de acuerdo con los lineamientos establecidos por el Sistema Nacional de Movilidad y Seguridad Vial; </w:t>
      </w:r>
    </w:p>
    <w:p w14:paraId="07CECF03"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V. Validar y proponer a la persona titular de la Secretaría programas, proyectos, políticas y presupuestos para el desarrollo del transporte público en el Estado y vigilar su cumplimiento; </w:t>
      </w:r>
    </w:p>
    <w:p w14:paraId="23E86BB3"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VI. Ordenar y dirigir el seguimiento a las acciones que en materia de transporte público se deriven de los acuerdos y convenios suscritos por el Gobierno del Estado de México</w:t>
      </w:r>
      <w:r w:rsidRPr="001D115F">
        <w:rPr>
          <w:rFonts w:ascii="Palatino Linotype" w:hAnsi="Palatino Linotype"/>
          <w:i/>
          <w:sz w:val="22"/>
        </w:rPr>
        <w:t xml:space="preserve"> con los gobiernos Federal, de la Ciudad de México, de otras entidades federativas y municipios; </w:t>
      </w:r>
    </w:p>
    <w:p w14:paraId="2678820D"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VII. Informar a la Coordinación de Asuntos Jurídicos, Igualdad de Género y Erradicación de la Violencia sobre la presunta comisión de delitos de los que tenga conocimiento en el ejercicio de sus funciones, aportando los elementos que sustenten la denuncia o querella correspondiente; </w:t>
      </w:r>
    </w:p>
    <w:p w14:paraId="78220642"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VIII. Determinar los casos en que el servicio público de transporte deba prestarse en carriles confinados, con base en los programas que determine la Secretaría; </w:t>
      </w:r>
    </w:p>
    <w:p w14:paraId="4C571480"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IX. Revocar los actos administrativos emitidos por una persona servidora pública subalterna, fundando y motivando las razones de tal determinación; </w:t>
      </w:r>
    </w:p>
    <w:p w14:paraId="43BA5C86"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 Determinar, en el ámbito de su competencia, la viabilidad para la contratación de servicios técnicos y profesionales en materia de transporte, de conformidad con las disposiciones jurídicas aplicables; </w:t>
      </w:r>
    </w:p>
    <w:p w14:paraId="5F7C5B57"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XI. Recibir, remitir y dar seguimiento en conjunto con las direcciones generales de movilidad que corresponda a las quejas, sugerencias y denuncias que sean presentadas en contra de concesionarios, permisionarios o autorizados, con motivo de la prestación de la movilidad en el Estado; </w:t>
      </w:r>
    </w:p>
    <w:p w14:paraId="40C91091"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lastRenderedPageBreak/>
        <w:t xml:space="preserve">XII. Establecer el seguimiento, monitoreo, evaluación y vigilancia del cumplimiento de la normatividad vigente incluyendo las Normas Oficiales Mexicanas en materia de transporte, movilidad y seguridad vial, en coordinación con las demás dependencias y unidades administrativas involucradas; </w:t>
      </w:r>
    </w:p>
    <w:p w14:paraId="7C8D5D18"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XIII. Establecer los acuerdos y medidas necesarias para la conservación, mantenimiento y renovación del parque vehicular destinado a la prestación del servicio público, mercantil y privado de transporte de pasajeros y carga; </w:t>
      </w:r>
    </w:p>
    <w:p w14:paraId="56395A6D"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XIV. Promover y coordinar la organización y evaluación, con la participación de las autoridades y sectores involucrados, de la investigación, educación, capacitación, desarrollo tecnológico, innovación e información en materia de movilidad, transporte y seguridad vial considerando sus implicaciones sociales, económicas, urbanas y ambientales, así como instruir la realización de los estudios necesarios sobre transporte y circulación multimodal, para determinar las medidas técnicas y operaciones de todos los medios de transporte urbano; </w:t>
      </w:r>
    </w:p>
    <w:p w14:paraId="714EF969"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XV. Dirigir la formulación y proponer los mecanismos para fortalecer el transporte público de pasajeros individual</w:t>
      </w:r>
      <w:r w:rsidRPr="001D115F">
        <w:rPr>
          <w:rFonts w:ascii="Palatino Linotype" w:hAnsi="Palatino Linotype"/>
          <w:i/>
          <w:sz w:val="22"/>
        </w:rPr>
        <w:t xml:space="preserve"> y colectivo para la inclusión de los grupos en situación de vulnerabilidad destinándoles lugares exclusivos; </w:t>
      </w:r>
    </w:p>
    <w:p w14:paraId="7DC32DF9"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XVI. Proponer mecanismos para incentivar la circulación de vehículos eficientes ambientalmente</w:t>
      </w:r>
      <w:r w:rsidRPr="001D115F">
        <w:rPr>
          <w:rFonts w:ascii="Palatino Linotype" w:hAnsi="Palatino Linotype"/>
          <w:i/>
          <w:sz w:val="22"/>
        </w:rPr>
        <w:t xml:space="preserve">, establecer el marco normativo y programas correspondientes para su adecuada operación; así como instruir la implementación de su infraestructura vial y equipamiento necesario, en coordinación con las autoridades competentes; </w:t>
      </w:r>
    </w:p>
    <w:p w14:paraId="43C79AF9"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XVII. Autorizar y evaluar la creación, administración y actualización de los índices y bases de datos en materia de movilidad y seguridad vial</w:t>
      </w:r>
      <w:r w:rsidRPr="001D115F">
        <w:rPr>
          <w:rFonts w:ascii="Palatino Linotype" w:hAnsi="Palatino Linotype"/>
          <w:i/>
          <w:sz w:val="22"/>
        </w:rPr>
        <w:t xml:space="preserve">, así como ordenar su incorporación al Sistema de Información Territorial y Urbano, dentro del ámbito de su competencia, y </w:t>
      </w:r>
    </w:p>
    <w:p w14:paraId="5B91237D"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XVIII. Las demás que les confieran otras disposiciones jurídicas aplicables y las que les encomiende la persona titular de la Secretaría. </w:t>
      </w:r>
    </w:p>
    <w:p w14:paraId="6A0B54DD" w14:textId="77777777" w:rsidR="001D115F" w:rsidRDefault="001D115F" w:rsidP="000D4EAE">
      <w:pPr>
        <w:ind w:left="567" w:right="567"/>
        <w:jc w:val="both"/>
        <w:rPr>
          <w:rFonts w:ascii="Palatino Linotype" w:hAnsi="Palatino Linotype"/>
          <w:i/>
          <w:sz w:val="22"/>
        </w:rPr>
      </w:pPr>
    </w:p>
    <w:p w14:paraId="4FC3960C"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b/>
          <w:i/>
          <w:sz w:val="22"/>
        </w:rPr>
        <w:t>Artículo 11.</w:t>
      </w:r>
      <w:r w:rsidRPr="001D115F">
        <w:rPr>
          <w:rFonts w:ascii="Palatino Linotype" w:hAnsi="Palatino Linotype"/>
          <w:i/>
          <w:sz w:val="22"/>
        </w:rPr>
        <w:t xml:space="preserve"> </w:t>
      </w:r>
      <w:r w:rsidRPr="007348AD">
        <w:rPr>
          <w:rFonts w:ascii="Palatino Linotype" w:hAnsi="Palatino Linotype"/>
          <w:i/>
          <w:sz w:val="22"/>
          <w:u w:val="single"/>
        </w:rPr>
        <w:t>La Subsecretaría tendrá bajo su adscripción las siguientes unidades administrativas</w:t>
      </w:r>
      <w:r w:rsidRPr="001D115F">
        <w:rPr>
          <w:rFonts w:ascii="Palatino Linotype" w:hAnsi="Palatino Linotype"/>
          <w:i/>
          <w:sz w:val="22"/>
        </w:rPr>
        <w:t xml:space="preserve">: </w:t>
      </w:r>
    </w:p>
    <w:p w14:paraId="1D603C8D"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I. Dirección General de Movilidad Zona I</w:t>
      </w:r>
      <w:r w:rsidRPr="001D115F">
        <w:rPr>
          <w:rFonts w:ascii="Palatino Linotype" w:hAnsi="Palatino Linotype"/>
          <w:i/>
          <w:sz w:val="22"/>
        </w:rPr>
        <w:t xml:space="preserve">; </w:t>
      </w:r>
    </w:p>
    <w:p w14:paraId="0FFFC02C"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II. Dirección General de Movilidad Zona II; </w:t>
      </w:r>
    </w:p>
    <w:p w14:paraId="617C0E61"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III. Dirección General de Movilidad Zona III; </w:t>
      </w:r>
    </w:p>
    <w:p w14:paraId="6F409A7E" w14:textId="77777777" w:rsidR="001D115F" w:rsidRPr="001D115F" w:rsidRDefault="001D115F" w:rsidP="000D4EAE">
      <w:pPr>
        <w:ind w:left="567" w:right="567"/>
        <w:jc w:val="both"/>
        <w:rPr>
          <w:rFonts w:ascii="Palatino Linotype" w:hAnsi="Palatino Linotype"/>
          <w:i/>
          <w:sz w:val="20"/>
        </w:rPr>
      </w:pPr>
      <w:r w:rsidRPr="001D115F">
        <w:rPr>
          <w:rFonts w:ascii="Palatino Linotype" w:hAnsi="Palatino Linotype"/>
          <w:i/>
          <w:sz w:val="22"/>
        </w:rPr>
        <w:t>IV. Dirección General de Movilidad Zona IV, y</w:t>
      </w:r>
    </w:p>
    <w:p w14:paraId="1C73CC43" w14:textId="77777777" w:rsidR="001D115F" w:rsidRP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V. Dirección del Registro Estatal de Transporte Público. </w:t>
      </w:r>
    </w:p>
    <w:p w14:paraId="216FDCD1" w14:textId="77777777" w:rsidR="001D115F" w:rsidRPr="001D115F" w:rsidRDefault="001D115F" w:rsidP="000D4EAE">
      <w:pPr>
        <w:ind w:left="567" w:right="567"/>
        <w:jc w:val="both"/>
        <w:rPr>
          <w:rFonts w:ascii="Palatino Linotype" w:hAnsi="Palatino Linotype"/>
          <w:i/>
          <w:sz w:val="22"/>
        </w:rPr>
      </w:pPr>
    </w:p>
    <w:p w14:paraId="5B76F36C"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Artículo 12</w:t>
      </w:r>
      <w:r w:rsidRPr="001D115F">
        <w:rPr>
          <w:rFonts w:ascii="Palatino Linotype" w:hAnsi="Palatino Linotype"/>
          <w:i/>
          <w:sz w:val="22"/>
        </w:rPr>
        <w:t xml:space="preserve">. Corresponden a las </w:t>
      </w:r>
      <w:r w:rsidRPr="007348AD">
        <w:rPr>
          <w:rFonts w:ascii="Palatino Linotype" w:hAnsi="Palatino Linotype"/>
          <w:b/>
          <w:i/>
          <w:sz w:val="22"/>
        </w:rPr>
        <w:t>Direcciones Generales de Movilidad Zona I</w:t>
      </w:r>
      <w:r w:rsidRPr="001D115F">
        <w:rPr>
          <w:rFonts w:ascii="Palatino Linotype" w:hAnsi="Palatino Linotype"/>
          <w:i/>
          <w:sz w:val="22"/>
        </w:rPr>
        <w:t xml:space="preserve">, II, III y IV, en su respectiva circunscripción territorial, las </w:t>
      </w:r>
      <w:r w:rsidRPr="007348AD">
        <w:rPr>
          <w:rFonts w:ascii="Palatino Linotype" w:hAnsi="Palatino Linotype"/>
          <w:b/>
          <w:i/>
          <w:sz w:val="22"/>
        </w:rPr>
        <w:t>atribuciones</w:t>
      </w:r>
      <w:r w:rsidRPr="001D115F">
        <w:rPr>
          <w:rFonts w:ascii="Palatino Linotype" w:hAnsi="Palatino Linotype"/>
          <w:i/>
          <w:sz w:val="22"/>
        </w:rPr>
        <w:t xml:space="preserve"> siguientes: </w:t>
      </w:r>
    </w:p>
    <w:p w14:paraId="7D656A98"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 xml:space="preserve">I. Proponer a la persona titular de la Subsecretaría que solicite a la Agencia Mexiquense del Transporte Público y Movilidad la realización los estudios que </w:t>
      </w:r>
      <w:r w:rsidRPr="007348AD">
        <w:rPr>
          <w:rFonts w:ascii="Palatino Linotype" w:hAnsi="Palatino Linotype"/>
          <w:b/>
          <w:i/>
          <w:sz w:val="22"/>
        </w:rPr>
        <w:lastRenderedPageBreak/>
        <w:t>garanticen el derecho a la movilidad en condiciones de accesibilidad, calidad y seguridad vial</w:t>
      </w:r>
      <w:r w:rsidRPr="001D115F">
        <w:rPr>
          <w:rFonts w:ascii="Palatino Linotype" w:hAnsi="Palatino Linotype"/>
          <w:i/>
          <w:sz w:val="22"/>
        </w:rPr>
        <w:t xml:space="preserve">, en coordinación con autoridades federales, estatales y municipales; </w:t>
      </w:r>
    </w:p>
    <w:p w14:paraId="36B74CCB"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II. Coordinar la evaluación y el monitoreo del cumplimiento a las Normas Oficiales Mexicanas, así como de lo establecido en el Plan de Desarrollo del Estado de México vigente en materia de movilidad, seguridad vial, transporte e infraestructura vial; </w:t>
      </w:r>
    </w:p>
    <w:p w14:paraId="3109E016"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III. Diseñar, implementar, promover y/o apoyar programas de educación vial</w:t>
      </w:r>
      <w:r w:rsidRPr="001D115F">
        <w:rPr>
          <w:rFonts w:ascii="Palatino Linotype" w:hAnsi="Palatino Linotype"/>
          <w:i/>
          <w:sz w:val="22"/>
        </w:rPr>
        <w:t xml:space="preserve"> en los entornos escolares y áreas habitacionales que propicien una cultura de movilidad; </w:t>
      </w:r>
    </w:p>
    <w:p w14:paraId="62E68BC0"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IV. Promover y organizar la capacitación, investigación y desarrollo tecnológico en materia de movilidad; </w:t>
      </w:r>
    </w:p>
    <w:p w14:paraId="418C23D6"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V. Coordinar la atención a las solicitudes y dar seguimiento a la expedición de concesiones, permisos, autorizaciones de para los alargamientos, derroteros, enlace, enrolamiento, bases, paraderos, frecuencia, rutas y horarios para la operación de los servicios de transporte en la Entidad, de acuerdo con los estudios técnicos y tomando en cuenta la necesidad pública existente; </w:t>
      </w:r>
    </w:p>
    <w:p w14:paraId="38478F7A"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VI. Planear, coordinar y dictaminar sobre la implementación de corredores de mediana capacidad, o de nuevos sistemas de movilidad que optimicen la accesibilidad a una movilidad integral; </w:t>
      </w:r>
    </w:p>
    <w:p w14:paraId="2C5800C8"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VII. Coordinar la supervisión de los programas de seguridad vial con el ordenamiento territorial que le competen</w:t>
      </w:r>
      <w:r w:rsidRPr="001D115F">
        <w:rPr>
          <w:rFonts w:ascii="Palatino Linotype" w:hAnsi="Palatino Linotype"/>
          <w:i/>
          <w:sz w:val="22"/>
        </w:rPr>
        <w:t xml:space="preserve"> con lo dispuesto en la Ley General de Movilidad y Seguridad Vial y otras leyes aplicables; </w:t>
      </w:r>
    </w:p>
    <w:p w14:paraId="4722BABE" w14:textId="77777777" w:rsidR="007348AD" w:rsidRDefault="001D115F" w:rsidP="000D4EAE">
      <w:pPr>
        <w:ind w:left="567" w:right="567"/>
        <w:jc w:val="both"/>
        <w:rPr>
          <w:rFonts w:ascii="Palatino Linotype" w:hAnsi="Palatino Linotype"/>
          <w:i/>
          <w:sz w:val="22"/>
        </w:rPr>
      </w:pPr>
      <w:r w:rsidRPr="007348AD">
        <w:rPr>
          <w:rFonts w:ascii="Palatino Linotype" w:hAnsi="Palatino Linotype"/>
          <w:b/>
          <w:i/>
          <w:sz w:val="22"/>
        </w:rPr>
        <w:t>VIII. Vigilar la adecuada implementación y permanencia de los elementos de identificación de los vehículos afectos a la prestación del servicio público de transporte</w:t>
      </w:r>
      <w:r w:rsidRPr="001D115F">
        <w:rPr>
          <w:rFonts w:ascii="Palatino Linotype" w:hAnsi="Palatino Linotype"/>
          <w:i/>
          <w:sz w:val="22"/>
        </w:rPr>
        <w:t xml:space="preserve">; </w:t>
      </w:r>
    </w:p>
    <w:p w14:paraId="1A62ECCF"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IX. Dirigir la supervisión del estado que guarda el parque vehicular destinado a la prestación de los servicios público</w:t>
      </w:r>
      <w:r w:rsidRPr="001D115F">
        <w:rPr>
          <w:rFonts w:ascii="Palatino Linotype" w:hAnsi="Palatino Linotype"/>
          <w:i/>
          <w:sz w:val="22"/>
        </w:rPr>
        <w:t xml:space="preserve">, mercantil y privado de transporte de pasajeros y de carga, de conformidad con la legislación aplicable; </w:t>
      </w:r>
    </w:p>
    <w:p w14:paraId="6023763F"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 Coordinar los trámites para los elementos de identificación de los vehículos, tanto del transporte público como el destinado a la prestación de servicios a la población por parte de instituciones federales, estatales o municipales, que no sean competencia de otras autoridades; </w:t>
      </w:r>
    </w:p>
    <w:p w14:paraId="4B7C3FCE"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XI. Dirigir los trámites para la obtención de las licencias, permisos y demás autorizaciones para conducir vehículos destinados al transporte en cualquiera de sus modalidades; </w:t>
      </w:r>
    </w:p>
    <w:p w14:paraId="78A89168"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XII. Monitorear la correcta aplicación de los lineamientos para el uso de vehículos eficientes ambientalmente</w:t>
      </w:r>
      <w:r w:rsidRPr="001D115F">
        <w:rPr>
          <w:rFonts w:ascii="Palatino Linotype" w:hAnsi="Palatino Linotype"/>
          <w:i/>
          <w:sz w:val="22"/>
        </w:rPr>
        <w:t xml:space="preserve">, su infraestructura y equipamiento; </w:t>
      </w:r>
    </w:p>
    <w:p w14:paraId="75DF3F3C"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XIII. Coordinar la supervisión de la implementación y operación del servicio de pago tarifario anticipado para el acceso de la población al servicio público de transporte de pasajeros en las modalidades de colectivo, individual y mixto; </w:t>
      </w:r>
    </w:p>
    <w:p w14:paraId="1089D5C3"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t>XIV. Dirigir la supervisión de la implementación y operación de los Centros de Gestión y Control Común</w:t>
      </w:r>
      <w:r w:rsidRPr="001D115F">
        <w:rPr>
          <w:rFonts w:ascii="Palatino Linotype" w:hAnsi="Palatino Linotype"/>
          <w:i/>
          <w:sz w:val="22"/>
        </w:rPr>
        <w:t xml:space="preserve"> a través de los cuales se operen redes integradas de transporte público de pasajeros en sus diversas modalidades; </w:t>
      </w:r>
    </w:p>
    <w:p w14:paraId="12DA6226" w14:textId="77777777" w:rsidR="001D115F" w:rsidRDefault="001D115F" w:rsidP="000D4EAE">
      <w:pPr>
        <w:ind w:left="567" w:right="567"/>
        <w:jc w:val="both"/>
        <w:rPr>
          <w:rFonts w:ascii="Palatino Linotype" w:hAnsi="Palatino Linotype"/>
          <w:i/>
          <w:sz w:val="22"/>
        </w:rPr>
      </w:pPr>
      <w:r w:rsidRPr="007348AD">
        <w:rPr>
          <w:rFonts w:ascii="Palatino Linotype" w:hAnsi="Palatino Linotype"/>
          <w:b/>
          <w:i/>
          <w:sz w:val="22"/>
        </w:rPr>
        <w:lastRenderedPageBreak/>
        <w:t>XV. Llevar a cabo y supervisar las visitas de verificación e inspección de vehículos relacionados con el transporte público</w:t>
      </w:r>
      <w:r w:rsidRPr="001D115F">
        <w:rPr>
          <w:rFonts w:ascii="Palatino Linotype" w:hAnsi="Palatino Linotype"/>
          <w:i/>
          <w:sz w:val="22"/>
        </w:rPr>
        <w:t xml:space="preserve"> y revisar que los concesionarios y permisionarios cumplan con el cobro de las tarifas autorizadas y la debida prestación del servicio, previa autorización del Instituto de Verificación Administrativa del Estado de México, en concordancia con lo establecido en la Ley que crea el Instituto de Verificación Administrativa del Estado de México; </w:t>
      </w:r>
    </w:p>
    <w:p w14:paraId="5EF40A25"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XVI. Canalizar para su atención los conflictos que surjan entre concesionarios y permisionarios con motivo de la prestación del servicio público de transporte, a la Dirección de lo Contencioso dependiente de la Dirección General de Asuntos Jurídicos e Igualdad de Género, para efecto de que se sustancie ante ella el procedimiento de Conciliación y Arbitraje correspondiente; </w:t>
      </w:r>
    </w:p>
    <w:p w14:paraId="53360C13"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XVII. Coordinar la realización de visitas de inspección a las empresas prestadoras de servicio público registradas en la Secretaría, en cuanto a su padrón de choferes y parque vehicular con la finalidad de una óptima prestación del servicio; </w:t>
      </w:r>
    </w:p>
    <w:p w14:paraId="5B7A1E8D"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XVIII. Supervisar la efectiva aplicación de las sanciones a que se hagan acreedores quienes presten el servicio público de transporte, por las delegaciones regionales de Movilidad, de conformidad con las disposiciones de la materia; </w:t>
      </w:r>
    </w:p>
    <w:p w14:paraId="76F2E568"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XIX. Dictaminar respecto de la creación, modificación, enlace o cancelación de alargamientos, derroteros, enlaces, enrolamientos, bases, paraderos, frecuencias y horarios, previo acuerdo de la persona titular de la Subsecretaría; </w:t>
      </w:r>
    </w:p>
    <w:p w14:paraId="5F57ACFB"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 Supervisar los actos relacionados con el otorgamiento de concesiones, permisos y autorizaciones en los que intervengan las delegaciones regionales de movilidad bajo su adscripción; </w:t>
      </w:r>
    </w:p>
    <w:p w14:paraId="41941018"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XXI. Supervisar que las delegaciones regionales y subdelegaciones de movilidad bajo su adscripción cumplan con las funciones y actividades que les sean encomendadas; </w:t>
      </w:r>
    </w:p>
    <w:p w14:paraId="683A4CAC"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XXII. Coordinar y supervisar la retención de unidades destinadas al servicio público de transporte, determinando y ejecutando, en los casos que así proceda, la aplicación de esta medida conforme a la normatividad aplicable; </w:t>
      </w:r>
    </w:p>
    <w:p w14:paraId="1F9C482A"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XXIII. Dirigir el monitoreo de la seguridad vial y la movilidad urbana, interurbana, rural e insular, en términos de las disposiciones legales aplicables; </w:t>
      </w:r>
    </w:p>
    <w:p w14:paraId="49893964"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XXIV. Instrumentar el seguimiento, en coordinación con los municipios, a las acciones y proyectos en materia de movilidad y seguridad vial, infraestructura, servicios auxiliares y transporte; </w:t>
      </w:r>
    </w:p>
    <w:p w14:paraId="306B8BC5"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XXV. Coordinar la supervisión de la implementación de las estrategias, programas y proyectos para la movilidad y la seguridad vial; </w:t>
      </w:r>
    </w:p>
    <w:p w14:paraId="28DDC143"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XXVI. Dirigir el monitoreo y evaluación de los sistemas de movilidad en los centros de población; </w:t>
      </w:r>
    </w:p>
    <w:p w14:paraId="5E4BDFC2"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XXVII. Coordinar con las autoridades federales, estatales y municipales, las actividades tendientes a resolver problemas en materia del transporte público, así como de movilidad integral, de conformidad con los convenios suscritos por la Secretaría; </w:t>
      </w:r>
    </w:p>
    <w:p w14:paraId="1FD40D10"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lastRenderedPageBreak/>
        <w:t xml:space="preserve">XXVIII. Coordinar la realización de los trámites para el uso y el aprovechamiento de espacios públicos ubicados en el derecho de vía de la infraestructura vial primaria, para su rehabilitación, mantenimiento y operación, con la finalidad de fomentar el desarrollo de áreas de convivencia o interés social; </w:t>
      </w:r>
    </w:p>
    <w:p w14:paraId="2505F4C2"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XXIX. Verificar el cumplimiento de las obligaciones establecidas en los permisos de espacios públicos ubicados en el derecho de vía de la infraestructura vial primaria, e informar a la persona titular de la Secretaría cuando haya incumplimiento para que, en su caso, se resuelva lo conducente; </w:t>
      </w:r>
    </w:p>
    <w:p w14:paraId="708B7710"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 Recibir y canalizar las solicitudes de prórroga, cesión parcial de derechos y transmisión de uso y/o aprovechamiento de los bienes materia de los permisos de espacios públicos ubicados en el derecho de vía de la infraestructura vial primaria que hayan sido otorgados; </w:t>
      </w:r>
    </w:p>
    <w:p w14:paraId="316390AF"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XXXI. Coordinar la realización de los trámites para el otorgamiento de permisos para la prestación de servicios de transporte de pasajeros, de carga y de arrastre y traslado; de servicios conexos; y para la instalación y explotación de anuncios publicitarios en los diversos tipos de vehículos y servicios auxiliares y conexos; </w:t>
      </w:r>
    </w:p>
    <w:p w14:paraId="53B24464"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XXXII. Supervisar que los concesionarios del servicio público de arrastre, salvamento, guarda, custodia y depósito de vehículos, así como los permisionarios del servicio público de arrastre y traslado cumplan con las obligaciones jurídicas que le sean aplicables; </w:t>
      </w:r>
    </w:p>
    <w:p w14:paraId="78F6A0B8"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XXXIII. Presentar las querellas por el delito contemplado en el artículo 148 del Código Penal del Estado de México; </w:t>
      </w:r>
    </w:p>
    <w:p w14:paraId="28809E5E"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XXXIV. Dictaminar y presentar, así como planear y coordinar la implementación de corredores de mediana capacidad, o de nuevos sistemas de movilidad que optimicen la accesibilidad a una movilidad integral; </w:t>
      </w:r>
    </w:p>
    <w:p w14:paraId="694848CC"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XXXV. Dirigir la atención y seguimiento, en conjunto con las direcciones generales que corresponda, del debido cumplimiento de las obligaciones por parte de los titulares de concesiones, permisos o autorizaciones en materia de transporte público; </w:t>
      </w:r>
    </w:p>
    <w:p w14:paraId="151DB359"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XXXVI. Determinar para cada delegación regional de movilidad a su cargo, en el mes de diciembre, el rol de turno de servicios aplicable para el ejercicio del año siguiente, al que estarán sujetos los concesionarios del servicio público de arrastre, salvamento, guarda, custodia y depósito de vehículos, vigilando su participación de manera equitativa, conforme a los títulos de concesión y al tipo de equipo que posean, así como ordenar su publicación en el Periódico Oficial “Gaceta del Gobierno”; </w:t>
      </w:r>
    </w:p>
    <w:p w14:paraId="2F760CC3" w14:textId="77777777" w:rsidR="001D115F" w:rsidRDefault="001D115F" w:rsidP="000D4EAE">
      <w:pPr>
        <w:ind w:left="567" w:right="567"/>
        <w:jc w:val="both"/>
        <w:rPr>
          <w:rFonts w:ascii="Palatino Linotype" w:hAnsi="Palatino Linotype"/>
          <w:i/>
          <w:sz w:val="22"/>
        </w:rPr>
      </w:pPr>
      <w:r w:rsidRPr="001D115F">
        <w:rPr>
          <w:rFonts w:ascii="Palatino Linotype" w:hAnsi="Palatino Linotype"/>
          <w:i/>
          <w:sz w:val="22"/>
        </w:rPr>
        <w:t xml:space="preserve">XXXVII. Elaborar el acta circunstanciada en los casos de intervención de los servicios públicos de transporte concesionados, y </w:t>
      </w:r>
    </w:p>
    <w:p w14:paraId="5ED46DDA" w14:textId="77777777" w:rsidR="001D115F" w:rsidRPr="001D115F" w:rsidRDefault="001D115F" w:rsidP="000D4EAE">
      <w:pPr>
        <w:ind w:left="567" w:right="567"/>
        <w:jc w:val="both"/>
        <w:rPr>
          <w:rFonts w:ascii="Palatino Linotype" w:hAnsi="Palatino Linotype"/>
          <w:i/>
          <w:sz w:val="20"/>
        </w:rPr>
      </w:pPr>
      <w:r w:rsidRPr="001D115F">
        <w:rPr>
          <w:rFonts w:ascii="Palatino Linotype" w:hAnsi="Palatino Linotype"/>
          <w:i/>
          <w:sz w:val="22"/>
        </w:rPr>
        <w:t>XXXVIII. Las demás que le confieren otras disposiciones jurídicas y las que le encomienden las personas titulares de la Subsecretaría o de la Secretaría.</w:t>
      </w:r>
    </w:p>
    <w:p w14:paraId="16873C4F" w14:textId="77777777" w:rsidR="001D115F" w:rsidRPr="000D4EAE" w:rsidRDefault="001D115F" w:rsidP="000D4EAE">
      <w:pPr>
        <w:ind w:left="567" w:right="567"/>
        <w:jc w:val="both"/>
      </w:pPr>
    </w:p>
    <w:p w14:paraId="5D215CB1" w14:textId="77777777" w:rsidR="004D7035" w:rsidRDefault="004D7035" w:rsidP="005F0980">
      <w:pPr>
        <w:spacing w:line="360" w:lineRule="auto"/>
        <w:jc w:val="both"/>
        <w:rPr>
          <w:rFonts w:ascii="Palatino Linotype" w:hAnsi="Palatino Linotype"/>
        </w:rPr>
      </w:pPr>
    </w:p>
    <w:p w14:paraId="63EDE2C4" w14:textId="77777777" w:rsidR="004D7035" w:rsidRDefault="004D7035" w:rsidP="005F0980">
      <w:pPr>
        <w:spacing w:line="360" w:lineRule="auto"/>
        <w:jc w:val="both"/>
        <w:rPr>
          <w:rFonts w:ascii="Palatino Linotype" w:hAnsi="Palatino Linotype"/>
        </w:rPr>
      </w:pPr>
    </w:p>
    <w:p w14:paraId="38216BB2" w14:textId="77777777" w:rsidR="004D7035" w:rsidRDefault="004D7035" w:rsidP="005F0980">
      <w:pPr>
        <w:spacing w:line="360" w:lineRule="auto"/>
        <w:jc w:val="both"/>
        <w:rPr>
          <w:rFonts w:ascii="Palatino Linotype" w:hAnsi="Palatino Linotype"/>
        </w:rPr>
      </w:pPr>
    </w:p>
    <w:p w14:paraId="752D541E" w14:textId="77777777" w:rsidR="005F0980" w:rsidRPr="006527F8" w:rsidRDefault="005F0980" w:rsidP="005F0980">
      <w:pPr>
        <w:spacing w:line="360" w:lineRule="auto"/>
        <w:jc w:val="both"/>
        <w:rPr>
          <w:rFonts w:ascii="Palatino Linotype" w:hAnsi="Palatino Linotype"/>
        </w:rPr>
      </w:pPr>
      <w:r w:rsidRPr="006527F8">
        <w:rPr>
          <w:rFonts w:ascii="Palatino Linotype" w:hAnsi="Palatino Linotype"/>
        </w:rPr>
        <w:t xml:space="preserve">Por lo tanto la </w:t>
      </w:r>
      <w:r w:rsidRPr="00922F87">
        <w:rPr>
          <w:rFonts w:ascii="Palatino Linotype" w:eastAsiaTheme="minorHAnsi" w:hAnsi="Palatino Linotype" w:cs="TimesNewRomanPS-ItalicMT"/>
          <w:iCs/>
          <w:lang w:val="es-MX" w:eastAsia="en-US"/>
        </w:rPr>
        <w:t>Subs</w:t>
      </w:r>
      <w:r w:rsidR="004D7035">
        <w:rPr>
          <w:rFonts w:ascii="Palatino Linotype" w:eastAsiaTheme="minorHAnsi" w:hAnsi="Palatino Linotype" w:cs="TimesNewRomanPS-ItalicMT"/>
          <w:iCs/>
          <w:lang w:val="es-MX" w:eastAsia="en-US"/>
        </w:rPr>
        <w:t>ecretaría</w:t>
      </w:r>
      <w:r w:rsidRPr="00922F87">
        <w:rPr>
          <w:rFonts w:ascii="Palatino Linotype" w:eastAsiaTheme="minorHAnsi" w:hAnsi="Palatino Linotype" w:cs="TimesNewRomanPS-ItalicMT"/>
          <w:iCs/>
          <w:lang w:val="es-MX" w:eastAsia="en-US"/>
        </w:rPr>
        <w:t xml:space="preserve"> </w:t>
      </w:r>
      <w:r w:rsidRPr="006527F8">
        <w:rPr>
          <w:rFonts w:ascii="Palatino Linotype" w:hAnsi="Palatino Linotype"/>
        </w:rPr>
        <w:t>es la encargada</w:t>
      </w:r>
      <w:r>
        <w:rPr>
          <w:rFonts w:ascii="Palatino Linotype" w:hAnsi="Palatino Linotype"/>
        </w:rPr>
        <w:t xml:space="preserve"> </w:t>
      </w:r>
      <w:r w:rsidR="004D7035">
        <w:rPr>
          <w:rFonts w:ascii="Palatino Linotype" w:hAnsi="Palatino Linotype"/>
        </w:rPr>
        <w:t>de p</w:t>
      </w:r>
      <w:r w:rsidR="004D7035" w:rsidRPr="004D7035">
        <w:rPr>
          <w:rFonts w:ascii="Palatino Linotype" w:hAnsi="Palatino Linotype"/>
        </w:rPr>
        <w:t>lanear, coordinar, dirigir, controlar y evaluar la operatividad del servicio de transporte público</w:t>
      </w:r>
      <w:r w:rsidR="004D7035">
        <w:rPr>
          <w:rFonts w:ascii="Palatino Linotype" w:hAnsi="Palatino Linotype"/>
        </w:rPr>
        <w:t xml:space="preserve">, asimismo la </w:t>
      </w:r>
      <w:r w:rsidR="004D7035" w:rsidRPr="004D7035">
        <w:rPr>
          <w:rFonts w:ascii="Palatino Linotype" w:hAnsi="Palatino Linotype"/>
        </w:rPr>
        <w:t>Dirección General de Movilidad Zona I</w:t>
      </w:r>
      <w:r w:rsidR="004D7035">
        <w:rPr>
          <w:rFonts w:ascii="Palatino Linotype" w:hAnsi="Palatino Linotype"/>
        </w:rPr>
        <w:t xml:space="preserve">, </w:t>
      </w:r>
      <w:r w:rsidR="004D7035" w:rsidRPr="004D7035">
        <w:rPr>
          <w:rFonts w:ascii="Palatino Linotype" w:hAnsi="Palatino Linotype"/>
        </w:rPr>
        <w:t xml:space="preserve">Diseñar, </w:t>
      </w:r>
      <w:r w:rsidR="004D7035">
        <w:rPr>
          <w:rFonts w:ascii="Palatino Linotype" w:hAnsi="Palatino Linotype"/>
        </w:rPr>
        <w:t xml:space="preserve">se encarga de </w:t>
      </w:r>
      <w:r w:rsidR="004D7035" w:rsidRPr="004D7035">
        <w:rPr>
          <w:rFonts w:ascii="Palatino Linotype" w:hAnsi="Palatino Linotype"/>
        </w:rPr>
        <w:t>implementar, promover y/o apoyar programas de educación vial</w:t>
      </w:r>
      <w:r>
        <w:rPr>
          <w:rFonts w:ascii="Palatino Linotype" w:hAnsi="Palatino Linotype"/>
        </w:rPr>
        <w:t>.</w:t>
      </w:r>
    </w:p>
    <w:p w14:paraId="6700F589" w14:textId="77777777" w:rsidR="005F0980" w:rsidRPr="00C4197B" w:rsidRDefault="005F0980" w:rsidP="005F0980">
      <w:pPr>
        <w:spacing w:line="360" w:lineRule="auto"/>
        <w:jc w:val="both"/>
        <w:rPr>
          <w:rFonts w:ascii="Palatino Linotype" w:hAnsi="Palatino Linotype"/>
        </w:rPr>
      </w:pPr>
    </w:p>
    <w:p w14:paraId="2AD885AD" w14:textId="77777777" w:rsidR="005F0980" w:rsidRDefault="005F0980" w:rsidP="005F0980">
      <w:pPr>
        <w:spacing w:line="360" w:lineRule="auto"/>
        <w:jc w:val="both"/>
        <w:rPr>
          <w:rFonts w:ascii="Palatino Linotype" w:hAnsi="Palatino Linotype"/>
        </w:rPr>
      </w:pPr>
      <w:r>
        <w:rPr>
          <w:rFonts w:ascii="Palatino Linotype" w:hAnsi="Palatino Linotype"/>
        </w:rPr>
        <w:t>Hechas las precisiones anteriores se concluye que el Sujeto Obligado colmo las pretensiones requeridas por l</w:t>
      </w:r>
      <w:r w:rsidR="004D7035">
        <w:rPr>
          <w:rFonts w:ascii="Palatino Linotype" w:hAnsi="Palatino Linotype"/>
        </w:rPr>
        <w:t>a parte</w:t>
      </w:r>
      <w:r>
        <w:rPr>
          <w:rFonts w:ascii="Palatino Linotype" w:hAnsi="Palatino Linotype"/>
        </w:rPr>
        <w:t xml:space="preserve"> Recurrente, al </w:t>
      </w:r>
      <w:r w:rsidR="004D7035">
        <w:rPr>
          <w:rFonts w:ascii="Palatino Linotype" w:hAnsi="Palatino Linotype"/>
        </w:rPr>
        <w:t xml:space="preserve">informar </w:t>
      </w:r>
      <w:r w:rsidR="004D7035" w:rsidRPr="004D7035">
        <w:rPr>
          <w:rFonts w:ascii="Palatino Linotype" w:hAnsi="Palatino Linotype"/>
        </w:rPr>
        <w:t>que no se localizó información relacionada con lo solicitado</w:t>
      </w:r>
      <w:r w:rsidR="004D7035">
        <w:rPr>
          <w:rFonts w:ascii="Palatino Linotype" w:hAnsi="Palatino Linotype"/>
        </w:rPr>
        <w:t xml:space="preserve">, además de que en un acto posterior la Dirección General de Movilidad Zona I informó, que si bien es cierto se realizaron reuniones con concesionarias del servicio de transporte público en la modalidad de colectivo, también lo es que a la fecha esa </w:t>
      </w:r>
      <w:r w:rsidR="004D7035" w:rsidRPr="003A188C">
        <w:rPr>
          <w:rFonts w:ascii="Palatino Linotype" w:hAnsi="Palatino Linotype"/>
        </w:rPr>
        <w:t>Direc</w:t>
      </w:r>
      <w:r w:rsidR="004D7035">
        <w:rPr>
          <w:rFonts w:ascii="Palatino Linotype" w:hAnsi="Palatino Linotype"/>
        </w:rPr>
        <w:t>ción</w:t>
      </w:r>
      <w:r w:rsidR="004D7035" w:rsidRPr="003A188C">
        <w:rPr>
          <w:rFonts w:ascii="Palatino Linotype" w:hAnsi="Palatino Linotype"/>
        </w:rPr>
        <w:t xml:space="preserve"> </w:t>
      </w:r>
      <w:r w:rsidR="004D7035">
        <w:rPr>
          <w:rFonts w:ascii="Palatino Linotype" w:hAnsi="Palatino Linotype"/>
        </w:rPr>
        <w:t xml:space="preserve">General de Movilidad Zona I, no ha emitido acto alguno relacionado con la implementación de las rutas alimentadoras al “Tren Insurgentes” ya que únicamente se solicitaron las propuestas de manera verbal a los interesados, sin que dichas reuniones conllevaran a la creación de las citadas rutas alimentadoras </w:t>
      </w:r>
      <w:r w:rsidRPr="006B23DC">
        <w:rPr>
          <w:rFonts w:ascii="Palatino Linotype" w:hAnsi="Palatino Linotype"/>
        </w:rPr>
        <w:t>.</w:t>
      </w:r>
      <w:r>
        <w:rPr>
          <w:rFonts w:ascii="Palatino Linotype" w:hAnsi="Palatino Linotype"/>
        </w:rPr>
        <w:t xml:space="preserve"> P</w:t>
      </w:r>
      <w:r w:rsidRPr="00C1752A">
        <w:rPr>
          <w:rFonts w:ascii="Palatino Linotype" w:hAnsi="Palatino Linotype"/>
        </w:rPr>
        <w:t>or lo tanto, se tiene por colmado dicho requerimiento al haber sido atendido por el Sujeto Obligado.</w:t>
      </w:r>
    </w:p>
    <w:p w14:paraId="4F8D0FD2" w14:textId="77777777" w:rsidR="005F0980" w:rsidRDefault="005F0980" w:rsidP="005F0980">
      <w:pPr>
        <w:tabs>
          <w:tab w:val="left" w:pos="7938"/>
        </w:tabs>
        <w:spacing w:line="360" w:lineRule="auto"/>
        <w:jc w:val="both"/>
        <w:rPr>
          <w:rFonts w:ascii="Palatino Linotype" w:hAnsi="Palatino Linotype" w:cs="Arial"/>
          <w:lang w:val="es-419"/>
        </w:rPr>
      </w:pPr>
    </w:p>
    <w:p w14:paraId="71A4BA30" w14:textId="77777777" w:rsidR="005F0980" w:rsidRPr="009F3B53" w:rsidRDefault="005F0980" w:rsidP="005F0980">
      <w:pPr>
        <w:tabs>
          <w:tab w:val="left" w:pos="7938"/>
        </w:tabs>
        <w:spacing w:line="360" w:lineRule="auto"/>
        <w:jc w:val="both"/>
        <w:rPr>
          <w:rFonts w:ascii="Palatino Linotype" w:hAnsi="Palatino Linotype" w:cs="Arial"/>
          <w:lang w:val="es-419"/>
        </w:rPr>
      </w:pPr>
      <w:r w:rsidRPr="009F3B53">
        <w:rPr>
          <w:rFonts w:ascii="Palatino Linotype" w:hAnsi="Palatino Linotype" w:cs="Arial"/>
          <w:lang w:val="es-419"/>
        </w:rPr>
        <w:t>Al respecto, al tratarse el requerimiento de información originario de documentación que, por las razones aducidas</w:t>
      </w:r>
      <w:r>
        <w:rPr>
          <w:rFonts w:ascii="Palatino Linotype" w:hAnsi="Palatino Linotype" w:cs="Arial"/>
          <w:lang w:val="es-419"/>
        </w:rPr>
        <w:t xml:space="preserve"> del Servidor Público Habilitado competente</w:t>
      </w:r>
      <w:r w:rsidRPr="009F3B53">
        <w:rPr>
          <w:rFonts w:ascii="Palatino Linotype" w:hAnsi="Palatino Linotype" w:cs="Arial"/>
          <w:lang w:val="es-419"/>
        </w:rPr>
        <w:t xml:space="preserve">, </w:t>
      </w:r>
      <w:r>
        <w:rPr>
          <w:rFonts w:ascii="Palatino Linotype" w:hAnsi="Palatino Linotype" w:cs="Arial"/>
          <w:lang w:val="es-419"/>
        </w:rPr>
        <w:t xml:space="preserve">pues el oficio relacionado con el dictamen </w:t>
      </w:r>
      <w:r w:rsidRPr="00140BD7">
        <w:rPr>
          <w:rFonts w:ascii="Palatino Linotype" w:hAnsi="Palatino Linotype" w:cs="Arial"/>
          <w:color w:val="000000"/>
          <w:lang w:val="es-ES_tradnl"/>
        </w:rPr>
        <w:t>de factibilidad de servicios</w:t>
      </w:r>
      <w:r>
        <w:rPr>
          <w:rFonts w:ascii="Palatino Linotype" w:hAnsi="Palatino Linotype" w:cs="Arial"/>
          <w:color w:val="000000"/>
          <w:lang w:val="es-ES_tradnl"/>
        </w:rPr>
        <w:t xml:space="preserve"> no se localizó en los archivos del</w:t>
      </w:r>
      <w:r>
        <w:rPr>
          <w:rFonts w:ascii="Palatino Linotype" w:hAnsi="Palatino Linotype" w:cs="Arial"/>
          <w:lang w:val="es-419"/>
        </w:rPr>
        <w:t xml:space="preserve"> Sujeto Obligado</w:t>
      </w:r>
      <w:r w:rsidRPr="009F3B53">
        <w:rPr>
          <w:rFonts w:ascii="Palatino Linotype" w:hAnsi="Palatino Linotype" w:cs="Arial"/>
          <w:lang w:val="es-419"/>
        </w:rPr>
        <w:t xml:space="preserve">, </w:t>
      </w:r>
      <w:r>
        <w:rPr>
          <w:rFonts w:ascii="Palatino Linotype" w:hAnsi="Palatino Linotype" w:cs="Arial"/>
          <w:lang w:val="es-419"/>
        </w:rPr>
        <w:t xml:space="preserve">por lo que </w:t>
      </w:r>
      <w:r w:rsidRPr="009F3B53">
        <w:rPr>
          <w:rFonts w:ascii="Palatino Linotype" w:hAnsi="Palatino Linotype" w:cs="Arial"/>
          <w:lang w:val="es-419"/>
        </w:rPr>
        <w:t xml:space="preserve">nos encontramos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5787A78A" w14:textId="77777777" w:rsidR="005F0980" w:rsidRPr="009F3B53" w:rsidRDefault="005F0980" w:rsidP="005F0980">
      <w:pPr>
        <w:tabs>
          <w:tab w:val="left" w:pos="7938"/>
        </w:tabs>
        <w:spacing w:line="360" w:lineRule="auto"/>
        <w:jc w:val="both"/>
        <w:rPr>
          <w:rFonts w:ascii="Palatino Linotype" w:hAnsi="Palatino Linotype" w:cs="Arial"/>
          <w:lang w:val="es-419"/>
        </w:rPr>
      </w:pPr>
    </w:p>
    <w:p w14:paraId="0A334CC0" w14:textId="77777777" w:rsidR="005F0980" w:rsidRDefault="005F0980" w:rsidP="005F0980">
      <w:pPr>
        <w:spacing w:line="360" w:lineRule="auto"/>
        <w:ind w:left="567" w:right="567"/>
        <w:jc w:val="both"/>
        <w:rPr>
          <w:rFonts w:ascii="Palatino Linotype" w:hAnsi="Palatino Linotype" w:cs="Arial"/>
          <w:i/>
          <w:iCs/>
          <w:color w:val="222222"/>
        </w:rPr>
      </w:pPr>
      <w:r w:rsidRPr="008A2CEE">
        <w:rPr>
          <w:rFonts w:ascii="Palatino Linotype" w:hAnsi="Palatino Linotype" w:cs="Arial"/>
          <w:i/>
          <w:iCs/>
          <w:color w:val="222222"/>
        </w:rPr>
        <w:t>“</w:t>
      </w:r>
      <w:r w:rsidRPr="00A01CFF">
        <w:rPr>
          <w:rFonts w:ascii="Palatino Linotype" w:hAnsi="Palatino Linotype" w:cs="Arial"/>
          <w:b/>
          <w:bCs/>
          <w:i/>
          <w:iCs/>
          <w:color w:val="222222"/>
        </w:rPr>
        <w:t>HECHOS NEGATIVOS, NO SON SUSCEPTIBLES DE DEMOSTRACION</w:t>
      </w:r>
      <w:r w:rsidRPr="008A2CEE">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6D141FA3" w14:textId="77777777" w:rsidR="005F0980" w:rsidRPr="008A2CEE" w:rsidRDefault="005F0980" w:rsidP="005F0980">
      <w:pPr>
        <w:spacing w:line="360" w:lineRule="auto"/>
        <w:ind w:left="567" w:right="567"/>
        <w:jc w:val="both"/>
        <w:rPr>
          <w:rFonts w:ascii="Palatino Linotype" w:hAnsi="Palatino Linotype"/>
          <w:lang w:val="es-ES_tradnl"/>
        </w:rPr>
      </w:pPr>
    </w:p>
    <w:p w14:paraId="380EB1C4" w14:textId="77777777" w:rsidR="005F0980" w:rsidRPr="008A2CEE" w:rsidRDefault="005F0980" w:rsidP="005F0980">
      <w:pPr>
        <w:tabs>
          <w:tab w:val="left" w:pos="7938"/>
        </w:tabs>
        <w:spacing w:line="360" w:lineRule="auto"/>
        <w:jc w:val="both"/>
        <w:rPr>
          <w:rFonts w:ascii="Palatino Linotype" w:hAnsi="Palatino Linotype" w:cs="Arial"/>
          <w:lang w:val="es-419"/>
        </w:rPr>
      </w:pPr>
      <w:r w:rsidRPr="008A2CEE">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26C6884B" w14:textId="77777777" w:rsidR="005F0980" w:rsidRPr="008A2CEE" w:rsidRDefault="005F0980" w:rsidP="005F0980">
      <w:pPr>
        <w:tabs>
          <w:tab w:val="left" w:pos="7938"/>
        </w:tabs>
        <w:spacing w:line="360" w:lineRule="auto"/>
        <w:jc w:val="both"/>
        <w:rPr>
          <w:rFonts w:ascii="Palatino Linotype" w:hAnsi="Palatino Linotype" w:cs="Arial"/>
          <w:lang w:val="es-419"/>
        </w:rPr>
      </w:pPr>
    </w:p>
    <w:p w14:paraId="296761CA" w14:textId="77777777" w:rsidR="005F0980" w:rsidRPr="00D313B5" w:rsidRDefault="005F0980" w:rsidP="005F0980">
      <w:pPr>
        <w:pStyle w:val="Sinespaciado"/>
        <w:spacing w:line="360"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7E1F533A" w14:textId="77777777" w:rsidR="005F0980" w:rsidRPr="00D313B5" w:rsidRDefault="005F0980" w:rsidP="005F0980">
      <w:pPr>
        <w:pStyle w:val="Sinespaciado"/>
        <w:spacing w:line="360" w:lineRule="auto"/>
        <w:ind w:left="567" w:right="567"/>
        <w:jc w:val="both"/>
        <w:rPr>
          <w:rFonts w:ascii="Palatino Linotype" w:hAnsi="Palatino Linotype"/>
          <w:i/>
        </w:rPr>
      </w:pPr>
    </w:p>
    <w:p w14:paraId="12C8D7E7" w14:textId="77777777" w:rsidR="005F0980" w:rsidRPr="00D313B5" w:rsidRDefault="005F0980" w:rsidP="005F0980">
      <w:pPr>
        <w:pStyle w:val="Sinespaciado"/>
        <w:spacing w:line="360" w:lineRule="auto"/>
        <w:ind w:left="567" w:right="567"/>
        <w:jc w:val="both"/>
        <w:rPr>
          <w:rFonts w:ascii="Palatino Linotype" w:hAnsi="Palatino Linotype"/>
        </w:rPr>
      </w:pPr>
      <w:r w:rsidRPr="00D313B5">
        <w:rPr>
          <w:rFonts w:ascii="Palatino Linotype" w:hAnsi="Palatino Linotype"/>
          <w:b/>
          <w:i/>
          <w:u w:val="single"/>
        </w:rPr>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E0F67E6" w14:textId="77777777" w:rsidR="005F0980" w:rsidRDefault="005F0980" w:rsidP="005F0980">
      <w:pPr>
        <w:tabs>
          <w:tab w:val="left" w:pos="7938"/>
        </w:tabs>
        <w:spacing w:line="360" w:lineRule="auto"/>
        <w:jc w:val="both"/>
        <w:rPr>
          <w:rFonts w:ascii="Palatino Linotype" w:hAnsi="Palatino Linotype" w:cs="Arial"/>
          <w:lang w:val="es-419"/>
        </w:rPr>
      </w:pPr>
    </w:p>
    <w:p w14:paraId="7011B81F" w14:textId="77777777" w:rsidR="005F0980" w:rsidRPr="00970F78" w:rsidRDefault="005F0980" w:rsidP="005F0980">
      <w:pPr>
        <w:tabs>
          <w:tab w:val="left" w:pos="7938"/>
        </w:tabs>
        <w:spacing w:line="360" w:lineRule="auto"/>
        <w:jc w:val="both"/>
        <w:rPr>
          <w:rFonts w:ascii="Palatino Linotype" w:hAnsi="Palatino Linotype" w:cs="Arial"/>
          <w:lang w:val="es-419"/>
        </w:rPr>
      </w:pPr>
      <w:r w:rsidRPr="00970F78">
        <w:rPr>
          <w:rFonts w:ascii="Palatino Linotype" w:hAnsi="Palatino Linotype" w:cs="Arial"/>
          <w:lang w:val="es-419"/>
        </w:rPr>
        <w:t xml:space="preserve">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w:t>
      </w:r>
      <w:r w:rsidRPr="00B85CB6">
        <w:rPr>
          <w:rFonts w:ascii="Palatino Linotype" w:hAnsi="Palatino Linotype" w:cs="Arial"/>
          <w:b/>
          <w:u w:val="single"/>
          <w:lang w:val="es-419"/>
        </w:rPr>
        <w:lastRenderedPageBreak/>
        <w:t>esta Autoridad Garante del acceso a la información pública no cuenta con las atribuciones para determinar si las documentales públicas</w:t>
      </w:r>
      <w:r>
        <w:rPr>
          <w:rFonts w:ascii="Palatino Linotype" w:hAnsi="Palatino Linotype" w:cs="Arial"/>
          <w:b/>
          <w:u w:val="single"/>
          <w:lang w:val="es-419"/>
        </w:rPr>
        <w:t xml:space="preserve"> puestas a disposición por los S</w:t>
      </w:r>
      <w:r w:rsidRPr="00B85CB6">
        <w:rPr>
          <w:rFonts w:ascii="Palatino Linotype" w:hAnsi="Palatino Linotype" w:cs="Arial"/>
          <w:b/>
          <w:u w:val="single"/>
          <w:lang w:val="es-419"/>
        </w:rPr>
        <w:t xml:space="preserve">ujetos </w:t>
      </w:r>
      <w:r>
        <w:rPr>
          <w:rFonts w:ascii="Palatino Linotype" w:hAnsi="Palatino Linotype" w:cs="Arial"/>
          <w:b/>
          <w:u w:val="single"/>
          <w:lang w:val="es-419"/>
        </w:rPr>
        <w:t>O</w:t>
      </w:r>
      <w:r w:rsidRPr="00B85CB6">
        <w:rPr>
          <w:rFonts w:ascii="Palatino Linotype" w:hAnsi="Palatino Linotype" w:cs="Arial"/>
          <w:b/>
          <w:u w:val="single"/>
          <w:lang w:val="es-419"/>
        </w:rPr>
        <w:t>bligados son auténticas o fals</w:t>
      </w:r>
      <w:r>
        <w:rPr>
          <w:rFonts w:ascii="Palatino Linotype" w:hAnsi="Palatino Linotype" w:cs="Arial"/>
          <w:b/>
          <w:u w:val="single"/>
          <w:lang w:val="es-419"/>
        </w:rPr>
        <w:t>as, sino de garantizar que los Sujetos O</w:t>
      </w:r>
      <w:r w:rsidRPr="00B85CB6">
        <w:rPr>
          <w:rFonts w:ascii="Palatino Linotype" w:hAnsi="Palatino Linotype" w:cs="Arial"/>
          <w:b/>
          <w:u w:val="single"/>
          <w:lang w:val="es-419"/>
        </w:rPr>
        <w:t>bligados cumplan con sus obligaciones de transparencia y hagan entrega de la información que se les solicita</w:t>
      </w:r>
      <w:r>
        <w:rPr>
          <w:rFonts w:ascii="Palatino Linotype" w:hAnsi="Palatino Linotype" w:cs="Arial"/>
          <w:b/>
          <w:u w:val="single"/>
          <w:lang w:val="es-419"/>
        </w:rPr>
        <w:t xml:space="preserve"> y que se encuentren dentro de su poder</w:t>
      </w:r>
      <w:r w:rsidRPr="00B85CB6">
        <w:rPr>
          <w:rFonts w:ascii="Palatino Linotype" w:hAnsi="Palatino Linotype" w:cs="Arial"/>
          <w:b/>
          <w:u w:val="single"/>
          <w:lang w:val="es-419"/>
        </w:rPr>
        <w:t>.</w:t>
      </w:r>
    </w:p>
    <w:p w14:paraId="72D167BB" w14:textId="77777777" w:rsidR="005F0980" w:rsidRPr="00970F78" w:rsidRDefault="005F0980" w:rsidP="005F0980">
      <w:pPr>
        <w:spacing w:line="360" w:lineRule="auto"/>
        <w:jc w:val="both"/>
        <w:rPr>
          <w:rFonts w:ascii="Palatino Linotype" w:hAnsi="Palatino Linotype" w:cs="Arial"/>
          <w:lang w:val="es-419"/>
        </w:rPr>
      </w:pPr>
    </w:p>
    <w:p w14:paraId="6685757B" w14:textId="77777777" w:rsidR="005F0980" w:rsidRPr="00970F78" w:rsidRDefault="005F0980" w:rsidP="005F0980">
      <w:pPr>
        <w:spacing w:line="360" w:lineRule="auto"/>
        <w:jc w:val="both"/>
        <w:rPr>
          <w:rFonts w:ascii="Palatino Linotype" w:hAnsi="Palatino Linotype" w:cs="Arial"/>
          <w:lang w:val="es-419"/>
        </w:rPr>
      </w:pPr>
      <w:r w:rsidRPr="00970F78">
        <w:rPr>
          <w:rFonts w:ascii="Palatino Linotype" w:hAnsi="Palatino Linotype" w:cs="Arial"/>
          <w:lang w:val="es-419"/>
        </w:rPr>
        <w:t>Sirve de sustento a lo anterior, el criterio 31/10 emitido por el entonces Instituto Federal de Acceso a la Información y Protección de Datos, ahora Instituto Nacional de Acceso a la Información y Protección de Datos, que enuncia lo siguiente:</w:t>
      </w:r>
    </w:p>
    <w:p w14:paraId="28F8D5F6" w14:textId="77777777" w:rsidR="005F0980" w:rsidRPr="00970F78" w:rsidRDefault="005F0980" w:rsidP="005F0980">
      <w:pPr>
        <w:spacing w:line="360" w:lineRule="auto"/>
        <w:jc w:val="both"/>
        <w:rPr>
          <w:rFonts w:ascii="Palatino Linotype" w:hAnsi="Palatino Linotype" w:cs="Arial"/>
          <w:lang w:val="es-419"/>
        </w:rPr>
      </w:pPr>
    </w:p>
    <w:p w14:paraId="6D3515E2" w14:textId="77777777" w:rsidR="005F0980" w:rsidRPr="00970F78" w:rsidRDefault="005F0980" w:rsidP="005F0980">
      <w:pPr>
        <w:ind w:left="567" w:right="567"/>
        <w:jc w:val="both"/>
        <w:rPr>
          <w:rFonts w:ascii="Palatino Linotype" w:hAnsi="Palatino Linotype" w:cs="Arial"/>
          <w:i/>
        </w:rPr>
      </w:pPr>
      <w:r w:rsidRPr="00970F78">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970F78">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970F78">
        <w:rPr>
          <w:rFonts w:ascii="Palatino Linotype" w:hAnsi="Palatino Linotype" w:cs="Arial"/>
          <w:i/>
        </w:rPr>
        <w:t>Marván</w:t>
      </w:r>
      <w:proofErr w:type="spellEnd"/>
      <w:r w:rsidRPr="00970F78">
        <w:rPr>
          <w:rFonts w:ascii="Palatino Linotype" w:hAnsi="Palatino Linotype" w:cs="Arial"/>
          <w:i/>
        </w:rPr>
        <w:t xml:space="preserve"> Laborde 2395/09 Secretaría de Economía - María </w:t>
      </w:r>
      <w:proofErr w:type="spellStart"/>
      <w:r w:rsidRPr="00970F78">
        <w:rPr>
          <w:rFonts w:ascii="Palatino Linotype" w:hAnsi="Palatino Linotype" w:cs="Arial"/>
          <w:i/>
        </w:rPr>
        <w:t>Marván</w:t>
      </w:r>
      <w:proofErr w:type="spellEnd"/>
      <w:r w:rsidRPr="00970F78">
        <w:rPr>
          <w:rFonts w:ascii="Palatino Linotype" w:hAnsi="Palatino Linotype" w:cs="Arial"/>
          <w:i/>
        </w:rPr>
        <w:t xml:space="preserve"> Laborde 0837/10 Administración Portuaria Integral de Veracruz, S.A. de C.V. – María </w:t>
      </w:r>
      <w:proofErr w:type="spellStart"/>
      <w:r w:rsidRPr="00970F78">
        <w:rPr>
          <w:rFonts w:ascii="Palatino Linotype" w:hAnsi="Palatino Linotype" w:cs="Arial"/>
          <w:i/>
        </w:rPr>
        <w:t>Marván</w:t>
      </w:r>
      <w:proofErr w:type="spellEnd"/>
      <w:r w:rsidRPr="00970F78">
        <w:rPr>
          <w:rFonts w:ascii="Palatino Linotype" w:hAnsi="Palatino Linotype" w:cs="Arial"/>
          <w:i/>
        </w:rPr>
        <w:t xml:space="preserve"> Laborde </w:t>
      </w:r>
    </w:p>
    <w:p w14:paraId="28955EF0" w14:textId="77777777" w:rsidR="005F0980" w:rsidRPr="00970F78" w:rsidRDefault="005F0980" w:rsidP="005F0980">
      <w:pPr>
        <w:ind w:left="567" w:right="567"/>
        <w:jc w:val="both"/>
        <w:rPr>
          <w:rFonts w:ascii="Palatino Linotype" w:hAnsi="Palatino Linotype" w:cs="Arial"/>
          <w:i/>
        </w:rPr>
      </w:pPr>
      <w:r w:rsidRPr="00970F78">
        <w:rPr>
          <w:rFonts w:ascii="Palatino Linotype" w:hAnsi="Palatino Linotype" w:cs="Arial"/>
          <w:i/>
        </w:rPr>
        <w:t>Criterio 31/10</w:t>
      </w:r>
    </w:p>
    <w:p w14:paraId="0567DCF5" w14:textId="77777777" w:rsidR="005F0980" w:rsidRDefault="005F0980" w:rsidP="005F0980">
      <w:pPr>
        <w:spacing w:line="360" w:lineRule="auto"/>
        <w:contextualSpacing/>
        <w:jc w:val="both"/>
        <w:rPr>
          <w:rFonts w:ascii="Palatino Linotype" w:hAnsi="Palatino Linotype" w:cs="Arial"/>
          <w:noProof/>
          <w:color w:val="000000"/>
          <w:lang w:eastAsia="es-MX"/>
        </w:rPr>
      </w:pPr>
    </w:p>
    <w:p w14:paraId="7C944638" w14:textId="77777777" w:rsidR="001A6950" w:rsidRDefault="001A6950" w:rsidP="005F0980">
      <w:pPr>
        <w:spacing w:line="360" w:lineRule="auto"/>
        <w:contextualSpacing/>
        <w:jc w:val="both"/>
        <w:rPr>
          <w:rFonts w:ascii="Palatino Linotype" w:hAnsi="Palatino Linotype" w:cs="Arial"/>
          <w:noProof/>
          <w:color w:val="000000"/>
          <w:lang w:eastAsia="es-MX"/>
        </w:rPr>
      </w:pPr>
    </w:p>
    <w:p w14:paraId="5F56BA6B" w14:textId="77777777" w:rsidR="005F0980" w:rsidRDefault="005F0980" w:rsidP="005F0980">
      <w:pPr>
        <w:spacing w:line="360" w:lineRule="auto"/>
        <w:contextualSpacing/>
        <w:jc w:val="both"/>
        <w:rPr>
          <w:rFonts w:ascii="Palatino Linotype" w:hAnsi="Palatino Linotype" w:cs="Arial"/>
        </w:rPr>
      </w:pPr>
      <w:r w:rsidRPr="0017477F">
        <w:rPr>
          <w:rFonts w:ascii="Palatino Linotype" w:hAnsi="Palatino Linotype" w:cs="Arial"/>
          <w:noProof/>
          <w:color w:val="000000"/>
          <w:lang w:eastAsia="es-MX"/>
        </w:rPr>
        <w:t xml:space="preserve">En virtud de lo anterior, este Órgano Garante arriba a la conclusión de que la respuesta primigenia del </w:t>
      </w:r>
      <w:r w:rsidRPr="002B6B5A">
        <w:rPr>
          <w:rFonts w:ascii="Palatino Linotype" w:hAnsi="Palatino Linotype" w:cs="Arial"/>
          <w:noProof/>
          <w:color w:val="000000"/>
          <w:lang w:eastAsia="es-MX"/>
        </w:rPr>
        <w:t>Sujeto Obligado</w:t>
      </w:r>
      <w:r w:rsidRPr="0017477F">
        <w:rPr>
          <w:rFonts w:ascii="Palatino Linotype" w:hAnsi="Palatino Linotype" w:cs="Arial"/>
          <w:b/>
          <w:noProof/>
          <w:color w:val="000000"/>
          <w:lang w:eastAsia="es-MX"/>
        </w:rPr>
        <w:t xml:space="preserve"> </w:t>
      </w:r>
      <w:r w:rsidRPr="0017477F">
        <w:rPr>
          <w:rFonts w:ascii="Palatino Linotype" w:hAnsi="Palatino Linotype" w:cs="Arial"/>
          <w:noProof/>
          <w:color w:val="000000"/>
          <w:lang w:eastAsia="es-MX"/>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Robustece lo anterior el criterio </w:t>
      </w:r>
      <w:r w:rsidRPr="000F7BB3">
        <w:rPr>
          <w:rFonts w:ascii="Palatino Linotype" w:hAnsi="Palatino Linotype" w:cs="Arial"/>
          <w:b/>
        </w:rPr>
        <w:t xml:space="preserve">02/17 </w:t>
      </w:r>
      <w:r w:rsidRPr="000F7BB3">
        <w:rPr>
          <w:rFonts w:ascii="Palatino Linotype" w:hAnsi="Palatino Linotype" w:cs="Arial"/>
        </w:rPr>
        <w:t xml:space="preserve">del Instituto Nacional de Transparencia, Acceso a la Información y Protección de Datos Personales que dispone a la literalidad lo siguiente: </w:t>
      </w:r>
    </w:p>
    <w:p w14:paraId="1D3A8040" w14:textId="77777777" w:rsidR="005F0980" w:rsidRPr="000F7BB3" w:rsidRDefault="005F0980" w:rsidP="005F0980">
      <w:pPr>
        <w:spacing w:line="360" w:lineRule="auto"/>
        <w:contextualSpacing/>
        <w:jc w:val="both"/>
        <w:rPr>
          <w:rFonts w:ascii="Palatino Linotype" w:hAnsi="Palatino Linotype" w:cs="Arial"/>
        </w:rPr>
      </w:pPr>
    </w:p>
    <w:p w14:paraId="6856E7DF" w14:textId="77777777" w:rsidR="005F0980" w:rsidRPr="000F7BB3" w:rsidRDefault="005F0980" w:rsidP="005F0980">
      <w:pPr>
        <w:spacing w:line="360" w:lineRule="auto"/>
        <w:ind w:left="567" w:right="567"/>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690A40EF" w14:textId="77777777" w:rsidR="005F0980" w:rsidRDefault="005F0980" w:rsidP="005F0980">
      <w:pPr>
        <w:spacing w:line="360" w:lineRule="auto"/>
        <w:ind w:left="567" w:right="567"/>
        <w:jc w:val="both"/>
        <w:rPr>
          <w:rFonts w:ascii="Palatino Linotype" w:hAnsi="Palatino Linotype" w:cs="Arial"/>
          <w:i/>
        </w:rPr>
      </w:pPr>
    </w:p>
    <w:p w14:paraId="4969F261" w14:textId="77777777" w:rsidR="005F0980" w:rsidRPr="000F7BB3" w:rsidRDefault="005F0980" w:rsidP="005F0980">
      <w:pPr>
        <w:spacing w:line="360" w:lineRule="auto"/>
        <w:ind w:left="567" w:right="567"/>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084601D" w14:textId="77777777" w:rsidR="005F0980" w:rsidRPr="000F7BB3" w:rsidRDefault="005F0980" w:rsidP="005F0980">
      <w:pPr>
        <w:spacing w:line="360" w:lineRule="auto"/>
        <w:ind w:left="567" w:right="567"/>
        <w:jc w:val="both"/>
        <w:rPr>
          <w:rFonts w:ascii="Palatino Linotype" w:hAnsi="Palatino Linotype" w:cs="Arial"/>
          <w:i/>
        </w:rPr>
      </w:pPr>
      <w:r w:rsidRPr="000F7BB3">
        <w:rPr>
          <w:rFonts w:ascii="Palatino Linotype" w:hAnsi="Palatino Linotype" w:cs="Arial"/>
          <w:i/>
        </w:rPr>
        <w:t xml:space="preserve">Expedientes: </w:t>
      </w:r>
    </w:p>
    <w:p w14:paraId="7167E916" w14:textId="77777777" w:rsidR="005F0980" w:rsidRPr="000F7BB3" w:rsidRDefault="005F0980" w:rsidP="005F0980">
      <w:pPr>
        <w:pStyle w:val="Prrafodelista"/>
        <w:spacing w:line="360" w:lineRule="auto"/>
        <w:ind w:left="567" w:right="567"/>
        <w:jc w:val="both"/>
        <w:rPr>
          <w:rFonts w:ascii="Palatino Linotype" w:hAnsi="Palatino Linotype" w:cs="Arial"/>
          <w:i/>
        </w:rPr>
      </w:pPr>
      <w:r w:rsidRPr="000F7BB3">
        <w:rPr>
          <w:rFonts w:ascii="Palatino Linotype" w:hAnsi="Palatino Linotype" w:cs="Arial"/>
          <w:i/>
        </w:rPr>
        <w:lastRenderedPageBreak/>
        <w:t xml:space="preserve">RRA 0003/16 Comisión Nacional de las Zonas Áridas. 29 de junio de 2016. Por unanimidad. Comisionado Ponente Oscar Mauricio Guerra Ford. </w:t>
      </w:r>
    </w:p>
    <w:p w14:paraId="3A65E5CF" w14:textId="77777777" w:rsidR="005F0980" w:rsidRPr="000F7BB3" w:rsidRDefault="005F0980" w:rsidP="005F0980">
      <w:pPr>
        <w:pStyle w:val="Prrafodelista"/>
        <w:spacing w:line="360" w:lineRule="auto"/>
        <w:ind w:left="567" w:right="567"/>
        <w:jc w:val="both"/>
        <w:rPr>
          <w:rFonts w:ascii="Palatino Linotype" w:hAnsi="Palatino Linotype" w:cs="Arial"/>
          <w:i/>
        </w:rPr>
      </w:pPr>
      <w:r w:rsidRPr="000F7BB3">
        <w:rPr>
          <w:rFonts w:ascii="Palatino Linotype" w:hAnsi="Palatino Linotype" w:cs="Arial"/>
          <w:i/>
        </w:rPr>
        <w:t xml:space="preserve">RRA 0100/16. Sindicato Nacional de Trabajadores de la Educación. 13 de julio de 2016. Por unanimidad. Comisionada Ponente Areli Cano Guadiana. </w:t>
      </w:r>
    </w:p>
    <w:p w14:paraId="722DFC1B" w14:textId="77777777" w:rsidR="005F0980" w:rsidRPr="000F7BB3" w:rsidRDefault="005F0980" w:rsidP="005F0980">
      <w:pPr>
        <w:pStyle w:val="Prrafodelista"/>
        <w:spacing w:line="360" w:lineRule="auto"/>
        <w:ind w:left="567" w:right="567"/>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sidRPr="000F7BB3">
        <w:rPr>
          <w:rFonts w:ascii="Palatino Linotype" w:hAnsi="Palatino Linotype"/>
          <w:b/>
          <w:i/>
          <w:lang w:val="es-ES_tradnl"/>
        </w:rPr>
        <w:t>[Sic]</w:t>
      </w:r>
    </w:p>
    <w:p w14:paraId="692D83B4" w14:textId="77777777" w:rsidR="005F0980" w:rsidRDefault="005F0980" w:rsidP="005F0980">
      <w:pPr>
        <w:spacing w:line="360" w:lineRule="auto"/>
        <w:jc w:val="both"/>
        <w:rPr>
          <w:rFonts w:ascii="Palatino Linotype" w:hAnsi="Palatino Linotype" w:cs="Arial"/>
          <w:noProof/>
          <w:color w:val="000000"/>
          <w:lang w:eastAsia="es-MX"/>
        </w:rPr>
      </w:pPr>
    </w:p>
    <w:p w14:paraId="12227FD0" w14:textId="77777777" w:rsidR="005F0980" w:rsidRPr="000F7BB3" w:rsidRDefault="005F0980" w:rsidP="005F0980">
      <w:pPr>
        <w:spacing w:line="360" w:lineRule="auto"/>
        <w:jc w:val="both"/>
        <w:rPr>
          <w:rFonts w:ascii="Palatino Linotype" w:hAnsi="Palatino Linotype" w:cs="Arial"/>
          <w:b/>
          <w:noProof/>
          <w:color w:val="000000"/>
          <w:lang w:eastAsia="es-MX"/>
        </w:rPr>
      </w:pPr>
      <w:r w:rsidRPr="000F7BB3">
        <w:rPr>
          <w:rFonts w:ascii="Palatino Linotype" w:hAnsi="Palatino Linotype" w:cs="Arial"/>
          <w:noProof/>
          <w:color w:val="000000"/>
          <w:lang w:eastAsia="es-MX"/>
        </w:rPr>
        <w:t xml:space="preserve">Con base en lo anteriormente expuesto, se </w:t>
      </w:r>
      <w:r>
        <w:rPr>
          <w:rFonts w:ascii="Palatino Linotype" w:hAnsi="Palatino Linotype" w:cs="Arial"/>
          <w:noProof/>
          <w:color w:val="000000"/>
          <w:lang w:eastAsia="es-MX"/>
        </w:rPr>
        <w:t>concluye</w:t>
      </w:r>
      <w:r w:rsidRPr="000F7BB3">
        <w:rPr>
          <w:rFonts w:ascii="Palatino Linotype" w:hAnsi="Palatino Linotype" w:cs="Arial"/>
          <w:noProof/>
          <w:color w:val="000000"/>
          <w:lang w:eastAsia="es-MX"/>
        </w:rPr>
        <w:t xml:space="preserve"> que la respuesta del </w:t>
      </w:r>
      <w:r w:rsidRPr="00912BBB">
        <w:rPr>
          <w:rFonts w:ascii="Palatino Linotype" w:hAnsi="Palatino Linotype" w:cs="Arial"/>
          <w:noProof/>
          <w:color w:val="000000"/>
          <w:lang w:eastAsia="es-MX"/>
        </w:rPr>
        <w:t>Sujeto Obligado</w:t>
      </w:r>
      <w:r w:rsidRPr="000F7BB3">
        <w:rPr>
          <w:rFonts w:ascii="Palatino Linotype" w:hAnsi="Palatino Linotype" w:cs="Arial"/>
          <w:b/>
          <w:noProof/>
          <w:color w:val="000000"/>
          <w:lang w:eastAsia="es-MX"/>
        </w:rPr>
        <w:t xml:space="preserve"> </w:t>
      </w:r>
      <w:r w:rsidRPr="000F7BB3">
        <w:rPr>
          <w:rFonts w:ascii="Palatino Linotype" w:hAnsi="Palatino Linotype" w:cs="Arial"/>
          <w:noProof/>
          <w:color w:val="000000"/>
          <w:lang w:eastAsia="es-MX"/>
        </w:rPr>
        <w:t>colmó el derecho de acceso</w:t>
      </w:r>
      <w:r>
        <w:rPr>
          <w:rFonts w:ascii="Palatino Linotype" w:hAnsi="Palatino Linotype" w:cs="Arial"/>
          <w:noProof/>
          <w:color w:val="000000"/>
          <w:lang w:eastAsia="es-MX"/>
        </w:rPr>
        <w:t xml:space="preserve"> a la información ejercido por </w:t>
      </w:r>
      <w:r w:rsidRPr="000F7BB3">
        <w:rPr>
          <w:rFonts w:ascii="Palatino Linotype" w:hAnsi="Palatino Linotype" w:cs="Arial"/>
          <w:noProof/>
          <w:color w:val="000000"/>
          <w:lang w:eastAsia="es-MX"/>
        </w:rPr>
        <w:t>l</w:t>
      </w:r>
      <w:r>
        <w:rPr>
          <w:rFonts w:ascii="Palatino Linotype" w:hAnsi="Palatino Linotype" w:cs="Arial"/>
          <w:noProof/>
          <w:color w:val="000000"/>
          <w:lang w:eastAsia="es-MX"/>
        </w:rPr>
        <w:t>a</w:t>
      </w:r>
      <w:r w:rsidRPr="000F7BB3">
        <w:rPr>
          <w:rFonts w:ascii="Palatino Linotype" w:hAnsi="Palatino Linotype" w:cs="Arial"/>
          <w:noProof/>
          <w:color w:val="000000"/>
          <w:lang w:eastAsia="es-MX"/>
        </w:rPr>
        <w:t xml:space="preserve"> particular. </w:t>
      </w:r>
    </w:p>
    <w:p w14:paraId="508E05DC" w14:textId="77777777" w:rsidR="005F0980" w:rsidRDefault="005F0980" w:rsidP="005F0980">
      <w:pPr>
        <w:spacing w:line="360" w:lineRule="auto"/>
        <w:jc w:val="both"/>
        <w:rPr>
          <w:rFonts w:ascii="Palatino Linotype" w:hAnsi="Palatino Linotype" w:cs="Arial"/>
        </w:rPr>
      </w:pPr>
    </w:p>
    <w:p w14:paraId="7383A4B5" w14:textId="77777777" w:rsidR="005F0980" w:rsidRPr="00AC5BF2" w:rsidRDefault="005F0980" w:rsidP="005F0980">
      <w:pPr>
        <w:spacing w:line="360" w:lineRule="auto"/>
        <w:jc w:val="both"/>
        <w:rPr>
          <w:rFonts w:ascii="Palatino Linotype" w:hAnsi="Palatino Linotype" w:cs="Arial"/>
        </w:rPr>
      </w:pPr>
      <w:r w:rsidRPr="00AC5BF2">
        <w:rPr>
          <w:rFonts w:ascii="Palatino Linotype" w:hAnsi="Palatino Linotype" w:cs="Arial"/>
        </w:rPr>
        <w:t xml:space="preserve">Así, en mérito de lo expuesto en líneas anteriores </w:t>
      </w:r>
      <w:r w:rsidRPr="00AC5BF2">
        <w:rPr>
          <w:rFonts w:ascii="Palatino Linotype" w:hAnsi="Palatino Linotype"/>
          <w:noProof/>
          <w:lang w:eastAsia="es-MX"/>
        </w:rPr>
        <w:t>resulta</w:t>
      </w:r>
      <w:r>
        <w:rPr>
          <w:rFonts w:ascii="Palatino Linotype" w:hAnsi="Palatino Linotype"/>
          <w:noProof/>
          <w:lang w:eastAsia="es-MX"/>
        </w:rPr>
        <w:t>n</w:t>
      </w:r>
      <w:r w:rsidRPr="00AC5BF2">
        <w:rPr>
          <w:rFonts w:ascii="Palatino Linotype" w:hAnsi="Palatino Linotype"/>
          <w:noProof/>
          <w:lang w:eastAsia="es-MX"/>
        </w:rPr>
        <w:t xml:space="preserve"> </w:t>
      </w:r>
      <w:r w:rsidRPr="00AC5BF2">
        <w:rPr>
          <w:rFonts w:ascii="Palatino Linotype" w:hAnsi="Palatino Linotype"/>
          <w:b/>
          <w:noProof/>
          <w:lang w:eastAsia="es-MX"/>
        </w:rPr>
        <w:t>infundadas</w:t>
      </w:r>
      <w:r w:rsidRPr="00AC5BF2">
        <w:rPr>
          <w:rFonts w:ascii="Palatino Linotype" w:hAnsi="Palatino Linotype"/>
          <w:noProof/>
          <w:lang w:eastAsia="es-MX"/>
        </w:rPr>
        <w:t xml:space="preserve"> las razones o motivos de inconformidad que arguye </w:t>
      </w:r>
      <w:r>
        <w:rPr>
          <w:rFonts w:ascii="Palatino Linotype" w:hAnsi="Palatino Linotype"/>
          <w:noProof/>
          <w:lang w:eastAsia="es-MX"/>
        </w:rPr>
        <w:t>la</w:t>
      </w:r>
      <w:r w:rsidRPr="00AC5BF2">
        <w:rPr>
          <w:rFonts w:ascii="Palatino Linotype" w:hAnsi="Palatino Linotype"/>
          <w:b/>
          <w:noProof/>
          <w:lang w:eastAsia="es-MX"/>
        </w:rPr>
        <w:t xml:space="preserve"> </w:t>
      </w:r>
      <w:r>
        <w:rPr>
          <w:rFonts w:ascii="Palatino Linotype" w:hAnsi="Palatino Linotype"/>
          <w:b/>
          <w:noProof/>
          <w:lang w:eastAsia="es-MX"/>
        </w:rPr>
        <w:t xml:space="preserve">el </w:t>
      </w:r>
      <w:r w:rsidRPr="00AC5BF2">
        <w:rPr>
          <w:rFonts w:ascii="Palatino Linotype" w:hAnsi="Palatino Linotype"/>
          <w:b/>
          <w:noProof/>
          <w:lang w:eastAsia="es-MX"/>
        </w:rPr>
        <w:t>Recurrente</w:t>
      </w:r>
      <w:r w:rsidRPr="00AC5BF2">
        <w:rPr>
          <w:rFonts w:ascii="Palatino Linotype" w:hAnsi="Palatino Linotype"/>
          <w:noProof/>
          <w:lang w:eastAsia="es-MX"/>
        </w:rPr>
        <w:t xml:space="preserve">, </w:t>
      </w:r>
      <w:r w:rsidRPr="00AC5BF2">
        <w:rPr>
          <w:rFonts w:ascii="Palatino Linotype" w:hAnsi="Palatino Linotype" w:cs="Arial"/>
        </w:rPr>
        <w:t xml:space="preserve">por ello con fundamento en el artículo 186, fracción II, de la Ley de Transparencia y Acceso a la Información Pública del Estado de México y Municipios, se </w:t>
      </w:r>
      <w:r w:rsidRPr="00AC5BF2">
        <w:rPr>
          <w:rFonts w:ascii="Palatino Linotype" w:hAnsi="Palatino Linotype" w:cs="Arial"/>
          <w:b/>
        </w:rPr>
        <w:t>CONFIRMA</w:t>
      </w:r>
      <w:r w:rsidRPr="00AC5BF2">
        <w:rPr>
          <w:rFonts w:ascii="Palatino Linotype" w:hAnsi="Palatino Linotype" w:cs="Arial"/>
        </w:rPr>
        <w:t xml:space="preserve"> la respuesta a la solicitud de información pública </w:t>
      </w:r>
      <w:r w:rsidRPr="00B47E83">
        <w:rPr>
          <w:rFonts w:ascii="Palatino Linotype" w:hAnsi="Palatino Linotype" w:cs="Arial"/>
          <w:b/>
        </w:rPr>
        <w:t>0</w:t>
      </w:r>
      <w:r>
        <w:rPr>
          <w:rFonts w:ascii="Palatino Linotype" w:hAnsi="Palatino Linotype" w:cs="Arial"/>
          <w:b/>
        </w:rPr>
        <w:t>0</w:t>
      </w:r>
      <w:r w:rsidR="001A6950">
        <w:rPr>
          <w:rFonts w:ascii="Palatino Linotype" w:hAnsi="Palatino Linotype" w:cs="Arial"/>
          <w:b/>
        </w:rPr>
        <w:t>49</w:t>
      </w:r>
      <w:r>
        <w:rPr>
          <w:rFonts w:ascii="Palatino Linotype" w:hAnsi="Palatino Linotype" w:cs="Arial"/>
          <w:b/>
        </w:rPr>
        <w:t>7</w:t>
      </w:r>
      <w:r w:rsidRPr="00B47E83">
        <w:rPr>
          <w:rFonts w:ascii="Palatino Linotype" w:hAnsi="Palatino Linotype" w:cs="Arial"/>
          <w:b/>
        </w:rPr>
        <w:t>/</w:t>
      </w:r>
      <w:r w:rsidR="001A6950">
        <w:rPr>
          <w:rFonts w:ascii="Palatino Linotype" w:hAnsi="Palatino Linotype" w:cs="Arial"/>
          <w:b/>
        </w:rPr>
        <w:t>SMOV</w:t>
      </w:r>
      <w:r>
        <w:rPr>
          <w:rFonts w:ascii="Palatino Linotype" w:hAnsi="Palatino Linotype" w:cs="Arial"/>
          <w:b/>
        </w:rPr>
        <w:t>/IP</w:t>
      </w:r>
      <w:r w:rsidRPr="00B47E83">
        <w:rPr>
          <w:rFonts w:ascii="Palatino Linotype" w:hAnsi="Palatino Linotype" w:cs="Arial"/>
          <w:b/>
        </w:rPr>
        <w:t>/202</w:t>
      </w:r>
      <w:r>
        <w:rPr>
          <w:rFonts w:ascii="Palatino Linotype" w:hAnsi="Palatino Linotype" w:cs="Arial"/>
          <w:b/>
        </w:rPr>
        <w:t>3</w:t>
      </w:r>
      <w:r w:rsidRPr="0044693A">
        <w:rPr>
          <w:rFonts w:ascii="Palatino Linotype" w:hAnsi="Palatino Linotype" w:cs="Arial"/>
        </w:rPr>
        <w:t>,</w:t>
      </w:r>
      <w:r>
        <w:rPr>
          <w:rFonts w:ascii="Palatino Linotype" w:hAnsi="Palatino Linotype" w:cs="Arial"/>
          <w:b/>
        </w:rPr>
        <w:t xml:space="preserve"> </w:t>
      </w:r>
      <w:r w:rsidRPr="00AC5BF2">
        <w:rPr>
          <w:rFonts w:ascii="Palatino Linotype" w:hAnsi="Palatino Linotype" w:cs="Arial"/>
          <w:bCs/>
        </w:rPr>
        <w:t>que ha sido materia del presente fallo</w:t>
      </w:r>
      <w:r w:rsidRPr="00AC5BF2">
        <w:rPr>
          <w:rFonts w:ascii="Palatino Linotype" w:hAnsi="Palatino Linotype" w:cs="Arial"/>
        </w:rPr>
        <w:t>.</w:t>
      </w:r>
    </w:p>
    <w:p w14:paraId="1C52A127" w14:textId="77777777" w:rsidR="005F0980" w:rsidRDefault="005F0980" w:rsidP="005F0980">
      <w:pPr>
        <w:pStyle w:val="Sinespaciado"/>
        <w:spacing w:line="360" w:lineRule="auto"/>
        <w:jc w:val="both"/>
        <w:rPr>
          <w:rFonts w:ascii="Palatino Linotype" w:hAnsi="Palatino Linotype"/>
        </w:rPr>
      </w:pPr>
    </w:p>
    <w:p w14:paraId="28FD1023" w14:textId="77777777" w:rsidR="005F0980" w:rsidRDefault="005F0980" w:rsidP="005F0980">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14:paraId="0F60E6AF" w14:textId="77777777" w:rsidR="005F0980" w:rsidRPr="001A6950" w:rsidRDefault="005F0980" w:rsidP="005F0980">
      <w:pPr>
        <w:pStyle w:val="Sinespaciado"/>
        <w:spacing w:line="360" w:lineRule="auto"/>
        <w:jc w:val="center"/>
        <w:rPr>
          <w:rFonts w:ascii="Palatino Linotype" w:hAnsi="Palatino Linotype"/>
          <w:b/>
          <w:bCs/>
          <w:spacing w:val="60"/>
          <w:szCs w:val="28"/>
          <w:lang w:val="es-ES_tradnl"/>
        </w:rPr>
      </w:pPr>
    </w:p>
    <w:p w14:paraId="137E847E" w14:textId="77777777" w:rsidR="005F0980" w:rsidRPr="00350442" w:rsidRDefault="005F0980" w:rsidP="005F0980">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14:paraId="77ADA319" w14:textId="77777777" w:rsidR="005F0980" w:rsidRPr="001A6950" w:rsidRDefault="005F0980" w:rsidP="005F0980">
      <w:pPr>
        <w:tabs>
          <w:tab w:val="left" w:pos="8647"/>
        </w:tabs>
        <w:spacing w:line="360" w:lineRule="auto"/>
        <w:jc w:val="both"/>
        <w:rPr>
          <w:rFonts w:ascii="Palatino Linotype" w:hAnsi="Palatino Linotype" w:cs="Arial"/>
          <w:b/>
        </w:rPr>
      </w:pPr>
    </w:p>
    <w:p w14:paraId="5B56E14E" w14:textId="77777777" w:rsidR="005F0980" w:rsidRPr="00682995" w:rsidRDefault="005F0980" w:rsidP="005F0980">
      <w:pPr>
        <w:tabs>
          <w:tab w:val="left" w:pos="8647"/>
        </w:tabs>
        <w:spacing w:line="360" w:lineRule="auto"/>
        <w:jc w:val="both"/>
        <w:rPr>
          <w:rFonts w:ascii="Palatino Linotype" w:hAnsi="Palatino Linotype" w:cs="Arial"/>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rPr>
        <w:t xml:space="preserve">Se </w:t>
      </w:r>
      <w:r w:rsidRPr="00682995">
        <w:rPr>
          <w:rFonts w:ascii="Palatino Linotype" w:hAnsi="Palatino Linotype" w:cs="Arial"/>
          <w:b/>
        </w:rPr>
        <w:t>CONFIRMA</w:t>
      </w:r>
      <w:r w:rsidRPr="00682995">
        <w:rPr>
          <w:rFonts w:ascii="Palatino Linotype" w:hAnsi="Palatino Linotype" w:cs="Arial"/>
        </w:rPr>
        <w:t xml:space="preserve"> la respuesta del </w:t>
      </w:r>
      <w:r w:rsidRPr="00682995">
        <w:rPr>
          <w:rFonts w:ascii="Palatino Linotype" w:hAnsi="Palatino Linotype" w:cs="Arial"/>
          <w:b/>
        </w:rPr>
        <w:t xml:space="preserve">Sujeto Obligado </w:t>
      </w:r>
      <w:r w:rsidRPr="00682995">
        <w:rPr>
          <w:rFonts w:ascii="Palatino Linotype" w:hAnsi="Palatino Linotype" w:cs="Arial"/>
          <w:bCs/>
        </w:rPr>
        <w:t xml:space="preserve">a la solicitud de información </w:t>
      </w:r>
      <w:r w:rsidR="001A6950" w:rsidRPr="00B47E83">
        <w:rPr>
          <w:rFonts w:ascii="Palatino Linotype" w:hAnsi="Palatino Linotype" w:cs="Arial"/>
          <w:b/>
        </w:rPr>
        <w:t>0</w:t>
      </w:r>
      <w:r w:rsidR="001A6950">
        <w:rPr>
          <w:rFonts w:ascii="Palatino Linotype" w:hAnsi="Palatino Linotype" w:cs="Arial"/>
          <w:b/>
        </w:rPr>
        <w:t>0497</w:t>
      </w:r>
      <w:r w:rsidR="001A6950" w:rsidRPr="00B47E83">
        <w:rPr>
          <w:rFonts w:ascii="Palatino Linotype" w:hAnsi="Palatino Linotype" w:cs="Arial"/>
          <w:b/>
        </w:rPr>
        <w:t>/</w:t>
      </w:r>
      <w:r w:rsidR="001A6950">
        <w:rPr>
          <w:rFonts w:ascii="Palatino Linotype" w:hAnsi="Palatino Linotype" w:cs="Arial"/>
          <w:b/>
        </w:rPr>
        <w:t>SMOV/IP</w:t>
      </w:r>
      <w:r w:rsidR="001A6950" w:rsidRPr="00B47E83">
        <w:rPr>
          <w:rFonts w:ascii="Palatino Linotype" w:hAnsi="Palatino Linotype" w:cs="Arial"/>
          <w:b/>
        </w:rPr>
        <w:t>/202</w:t>
      </w:r>
      <w:r w:rsidR="001A6950">
        <w:rPr>
          <w:rFonts w:ascii="Palatino Linotype" w:hAnsi="Palatino Linotype" w:cs="Arial"/>
          <w:b/>
        </w:rPr>
        <w:t>3</w:t>
      </w:r>
      <w:r w:rsidRPr="00682995">
        <w:rPr>
          <w:rFonts w:ascii="Palatino Linotype" w:hAnsi="Palatino Linotype" w:cs="Arial"/>
        </w:rPr>
        <w:t>,</w:t>
      </w:r>
      <w:r w:rsidRPr="00682995">
        <w:rPr>
          <w:rFonts w:ascii="Palatino Linotype" w:hAnsi="Palatino Linotype" w:cs="Arial"/>
          <w:bCs/>
        </w:rPr>
        <w:t xml:space="preserve"> </w:t>
      </w:r>
      <w:r w:rsidRPr="00682995">
        <w:rPr>
          <w:rFonts w:ascii="Palatino Linotype" w:hAnsi="Palatino Linotype" w:cs="Arial"/>
          <w:lang w:val="es-ES_tradnl"/>
        </w:rPr>
        <w:t xml:space="preserve">por resultar </w:t>
      </w:r>
      <w:r w:rsidRPr="00682995">
        <w:rPr>
          <w:rFonts w:ascii="Palatino Linotype" w:hAnsi="Palatino Linotype" w:cs="Arial"/>
        </w:rPr>
        <w:t xml:space="preserve">infundadas las razones o motivos de inconformidad hechos valer por </w:t>
      </w:r>
      <w:r w:rsidR="001A6950">
        <w:rPr>
          <w:rFonts w:ascii="Palatino Linotype" w:hAnsi="Palatino Linotype" w:cs="Arial"/>
          <w:b/>
        </w:rPr>
        <w:t>La parte</w:t>
      </w:r>
      <w:r>
        <w:rPr>
          <w:rFonts w:ascii="Palatino Linotype" w:hAnsi="Palatino Linotype" w:cs="Arial"/>
        </w:rPr>
        <w:t xml:space="preserve"> </w:t>
      </w:r>
      <w:r w:rsidRPr="00682995">
        <w:rPr>
          <w:rFonts w:ascii="Palatino Linotype" w:hAnsi="Palatino Linotype" w:cs="Arial"/>
          <w:b/>
        </w:rPr>
        <w:t>Recurrente</w:t>
      </w:r>
      <w:r w:rsidRPr="00682995">
        <w:rPr>
          <w:rFonts w:ascii="Palatino Linotype" w:hAnsi="Palatino Linotype" w:cs="Arial"/>
        </w:rPr>
        <w:t xml:space="preserve">, en términos del Considerando </w:t>
      </w:r>
      <w:r w:rsidR="001A6950">
        <w:rPr>
          <w:rFonts w:ascii="Palatino Linotype" w:hAnsi="Palatino Linotype" w:cs="Arial"/>
          <w:b/>
        </w:rPr>
        <w:t>QUIN</w:t>
      </w:r>
      <w:r>
        <w:rPr>
          <w:rFonts w:ascii="Palatino Linotype" w:hAnsi="Palatino Linotype" w:cs="Arial"/>
          <w:b/>
        </w:rPr>
        <w:t>T</w:t>
      </w:r>
      <w:r w:rsidRPr="00682995">
        <w:rPr>
          <w:rFonts w:ascii="Palatino Linotype" w:hAnsi="Palatino Linotype" w:cs="Arial"/>
          <w:b/>
        </w:rPr>
        <w:t xml:space="preserve">O </w:t>
      </w:r>
      <w:r w:rsidRPr="00682995">
        <w:rPr>
          <w:rFonts w:ascii="Palatino Linotype" w:hAnsi="Palatino Linotype" w:cs="Arial"/>
        </w:rPr>
        <w:t>de esta resolución.</w:t>
      </w:r>
    </w:p>
    <w:p w14:paraId="2F0E447B" w14:textId="77777777" w:rsidR="005F0980" w:rsidRDefault="005F0980" w:rsidP="005F0980">
      <w:pPr>
        <w:tabs>
          <w:tab w:val="left" w:pos="8647"/>
        </w:tabs>
        <w:spacing w:line="360" w:lineRule="auto"/>
        <w:jc w:val="both"/>
        <w:rPr>
          <w:rFonts w:ascii="Palatino Linotype" w:hAnsi="Palatino Linotype" w:cs="Arial"/>
          <w:b/>
          <w:sz w:val="28"/>
        </w:rPr>
      </w:pPr>
    </w:p>
    <w:p w14:paraId="5165DFAD" w14:textId="77777777" w:rsidR="001A6950" w:rsidRPr="001A6950" w:rsidRDefault="001A6950" w:rsidP="005F0980">
      <w:pPr>
        <w:tabs>
          <w:tab w:val="left" w:pos="8647"/>
        </w:tabs>
        <w:spacing w:line="360" w:lineRule="auto"/>
        <w:jc w:val="both"/>
        <w:rPr>
          <w:rFonts w:ascii="Palatino Linotype" w:hAnsi="Palatino Linotype" w:cs="Arial"/>
          <w:b/>
        </w:rPr>
      </w:pPr>
    </w:p>
    <w:p w14:paraId="4C42C424" w14:textId="77777777" w:rsidR="005F0980" w:rsidRPr="00682995" w:rsidRDefault="005F0980" w:rsidP="005F0980">
      <w:pPr>
        <w:tabs>
          <w:tab w:val="left" w:pos="8647"/>
        </w:tabs>
        <w:spacing w:line="360" w:lineRule="auto"/>
        <w:jc w:val="both"/>
        <w:rPr>
          <w:rFonts w:ascii="Palatino Linotype" w:hAnsi="Palatino Linotype" w:cs="Arial"/>
        </w:rPr>
      </w:pPr>
      <w:r w:rsidRPr="00631AAA">
        <w:rPr>
          <w:rFonts w:ascii="Palatino Linotype" w:hAnsi="Palatino Linotype" w:cs="Arial"/>
          <w:b/>
          <w:sz w:val="28"/>
        </w:rPr>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rPr>
        <w:t>NOTIFÍQUESE</w:t>
      </w:r>
      <w:r w:rsidRPr="00682995">
        <w:rPr>
          <w:rFonts w:ascii="Palatino Linotype" w:hAnsi="Palatino Linotype" w:cs="Arial"/>
        </w:rPr>
        <w:t xml:space="preserve"> la presente resolución</w:t>
      </w:r>
      <w:r>
        <w:rPr>
          <w:rFonts w:ascii="Palatino Linotype" w:hAnsi="Palatino Linotype" w:cs="Arial"/>
        </w:rPr>
        <w:t>,</w:t>
      </w:r>
      <w:r w:rsidRPr="00682995">
        <w:rPr>
          <w:rFonts w:ascii="Palatino Linotype" w:hAnsi="Palatino Linotype" w:cs="Arial"/>
          <w:bCs/>
          <w:lang w:eastAsia="es-MX"/>
        </w:rPr>
        <w:t xml:space="preserve"> vía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sidRPr="00682995">
        <w:rPr>
          <w:rFonts w:ascii="Palatino Linotype" w:hAnsi="Palatino Linotype" w:cs="Arial"/>
        </w:rPr>
        <w:t xml:space="preserve">, al Titular de la Unidad de Transparencia del </w:t>
      </w:r>
      <w:r w:rsidRPr="00682995">
        <w:rPr>
          <w:rFonts w:ascii="Palatino Linotype" w:hAnsi="Palatino Linotype" w:cs="Arial"/>
          <w:b/>
        </w:rPr>
        <w:t>Sujeto Obligado</w:t>
      </w:r>
      <w:r w:rsidRPr="00682995">
        <w:rPr>
          <w:rFonts w:ascii="Palatino Linotype" w:hAnsi="Palatino Linotype" w:cs="Arial"/>
        </w:rPr>
        <w:t>.</w:t>
      </w:r>
    </w:p>
    <w:p w14:paraId="386B802E" w14:textId="77777777" w:rsidR="005F0980" w:rsidRPr="001A6950" w:rsidRDefault="005F0980" w:rsidP="005F0980">
      <w:pPr>
        <w:autoSpaceDE w:val="0"/>
        <w:autoSpaceDN w:val="0"/>
        <w:adjustRightInd w:val="0"/>
        <w:spacing w:line="360" w:lineRule="auto"/>
        <w:jc w:val="both"/>
        <w:rPr>
          <w:rFonts w:ascii="Palatino Linotype" w:hAnsi="Palatino Linotype" w:cs="Arial"/>
          <w:b/>
        </w:rPr>
      </w:pPr>
    </w:p>
    <w:p w14:paraId="0F213C28" w14:textId="77777777" w:rsidR="005F0980" w:rsidRPr="00682995" w:rsidRDefault="005F0980" w:rsidP="005F0980">
      <w:pPr>
        <w:autoSpaceDE w:val="0"/>
        <w:autoSpaceDN w:val="0"/>
        <w:adjustRightInd w:val="0"/>
        <w:spacing w:line="360" w:lineRule="auto"/>
        <w:jc w:val="both"/>
        <w:rPr>
          <w:rFonts w:ascii="Palatino Linotype" w:hAnsi="Palatino Linotype" w:cs="Arial"/>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rPr>
        <w:t>NOTIFÍQUESE</w:t>
      </w:r>
      <w:r w:rsidRPr="00682995">
        <w:rPr>
          <w:rFonts w:ascii="Palatino Linotype" w:hAnsi="Palatino Linotype" w:cs="Arial"/>
        </w:rPr>
        <w:t xml:space="preserve"> a</w:t>
      </w:r>
      <w:r w:rsidR="001A6950">
        <w:rPr>
          <w:rFonts w:ascii="Palatino Linotype" w:hAnsi="Palatino Linotype" w:cs="Arial"/>
        </w:rPr>
        <w:t xml:space="preserve"> </w:t>
      </w:r>
      <w:r w:rsidRPr="00682995">
        <w:rPr>
          <w:rFonts w:ascii="Palatino Linotype" w:hAnsi="Palatino Linotype" w:cs="Arial"/>
        </w:rPr>
        <w:t>l</w:t>
      </w:r>
      <w:r w:rsidR="001A6950">
        <w:rPr>
          <w:rFonts w:ascii="Palatino Linotype" w:hAnsi="Palatino Linotype" w:cs="Arial"/>
        </w:rPr>
        <w:t>a parte</w:t>
      </w:r>
      <w:r>
        <w:rPr>
          <w:rFonts w:ascii="Palatino Linotype" w:hAnsi="Palatino Linotype" w:cs="Arial"/>
          <w:b/>
        </w:rPr>
        <w:t xml:space="preserve"> </w:t>
      </w:r>
      <w:r w:rsidRPr="00682995">
        <w:rPr>
          <w:rFonts w:ascii="Palatino Linotype" w:hAnsi="Palatino Linotype" w:cs="Arial"/>
          <w:b/>
        </w:rPr>
        <w:t>Recurrente</w:t>
      </w:r>
      <w:r w:rsidRPr="00682995">
        <w:rPr>
          <w:rFonts w:ascii="Palatino Linotype" w:hAnsi="Palatino Linotype" w:cs="Arial"/>
        </w:rPr>
        <w:t xml:space="preserve"> la presente resolución</w:t>
      </w:r>
      <w:r>
        <w:rPr>
          <w:rFonts w:ascii="Palatino Linotype" w:hAnsi="Palatino Linotype" w:cs="Arial"/>
        </w:rPr>
        <w:t xml:space="preserve"> a través del</w:t>
      </w:r>
      <w:r w:rsidRPr="00682995">
        <w:rPr>
          <w:rFonts w:ascii="Palatino Linotype" w:hAnsi="Palatino Linotype" w:cs="Arial"/>
          <w:bCs/>
          <w:lang w:eastAsia="es-MX"/>
        </w:rPr>
        <w:t xml:space="preserve">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Pr>
          <w:rFonts w:ascii="Palatino Linotype" w:hAnsi="Palatino Linotype" w:cs="Arial"/>
          <w:b/>
        </w:rPr>
        <w:t xml:space="preserve">, </w:t>
      </w:r>
      <w:r w:rsidRPr="00682995">
        <w:rPr>
          <w:rFonts w:ascii="Palatino Linotype" w:hAnsi="Palatino Linotype" w:cs="Arial"/>
        </w:rPr>
        <w:t>y hágase del conocimiento, que de conformidad con lo establecido en el artículo 196, de la Ley de Transparencia y Acceso a la Información Pública del Estado de México y Municipios, podrá promover el Juicio de Amparo en los términos de las leyes aplicables.</w:t>
      </w:r>
    </w:p>
    <w:p w14:paraId="090D7D09" w14:textId="77777777" w:rsidR="005F0980" w:rsidRDefault="005F0980" w:rsidP="005F0980">
      <w:pPr>
        <w:spacing w:line="360" w:lineRule="auto"/>
        <w:jc w:val="both"/>
        <w:rPr>
          <w:rFonts w:ascii="Palatino Linotype" w:eastAsiaTheme="minorHAnsi" w:hAnsi="Palatino Linotype" w:cs="Arial"/>
          <w:lang w:val="es-MX" w:eastAsia="en-US"/>
        </w:rPr>
      </w:pPr>
    </w:p>
    <w:p w14:paraId="65828614" w14:textId="4647F983" w:rsidR="005F0980" w:rsidRPr="00037B15" w:rsidRDefault="005F0980" w:rsidP="005F0980">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ASÍ LO RESUELVE, POR </w:t>
      </w:r>
      <w:r>
        <w:rPr>
          <w:rFonts w:ascii="Palatino Linotype" w:eastAsiaTheme="minorHAnsi" w:hAnsi="Palatino Linotype" w:cs="Arial"/>
          <w:lang w:val="es-MX" w:eastAsia="en-US"/>
        </w:rPr>
        <w:t>MAYORÍA</w:t>
      </w:r>
      <w:r w:rsidRPr="00037B15">
        <w:rPr>
          <w:rFonts w:ascii="Palatino Linotype" w:eastAsiaTheme="minorHAnsi" w:hAnsi="Palatino Linotype" w:cs="Arial"/>
          <w:lang w:val="es-MX" w:eastAsia="en-US"/>
        </w:rPr>
        <w:t xml:space="preserve"> DE VOTOS, EL PLENO DEL</w:t>
      </w:r>
      <w:r w:rsidRPr="00037B1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val="es-MX" w:eastAsia="en-US"/>
        </w:rPr>
        <w:t xml:space="preserve"> </w:t>
      </w:r>
      <w:r w:rsidRPr="00037B15">
        <w:rPr>
          <w:rFonts w:ascii="Palatino Linotype" w:eastAsiaTheme="minorHAnsi" w:hAnsi="Palatino Linotype" w:cs="Arial"/>
          <w:lang w:val="es-MX" w:eastAsia="en-US"/>
        </w:rPr>
        <w:t xml:space="preserve">Y GUADALUPE RAMÍREZ PEÑA; EN LA </w:t>
      </w:r>
      <w:r>
        <w:rPr>
          <w:rFonts w:ascii="Palatino Linotype" w:eastAsiaTheme="minorHAnsi" w:hAnsi="Palatino Linotype" w:cs="Arial"/>
          <w:lang w:val="es-MX" w:eastAsia="en-US"/>
        </w:rPr>
        <w:t>DÉCIMA PRIMERA</w:t>
      </w:r>
      <w:r w:rsidRPr="00037B15">
        <w:rPr>
          <w:rFonts w:ascii="Palatino Linotype" w:eastAsiaTheme="minorHAnsi" w:hAnsi="Palatino Linotype" w:cs="Arial"/>
          <w:lang w:val="es-MX" w:eastAsia="en-US"/>
        </w:rPr>
        <w:t xml:space="preserve"> SESIÓN ORDINARIA CELEBRADA EL </w:t>
      </w:r>
      <w:r>
        <w:rPr>
          <w:rFonts w:ascii="Palatino Linotype" w:eastAsiaTheme="minorHAnsi" w:hAnsi="Palatino Linotype" w:cs="Arial"/>
          <w:lang w:val="es-MX" w:eastAsia="en-US"/>
        </w:rPr>
        <w:t xml:space="preserve">TRES </w:t>
      </w:r>
      <w:r w:rsidRPr="00037B15">
        <w:rPr>
          <w:rFonts w:ascii="Palatino Linotype" w:hAnsi="Palatino Linotype" w:cs="Arial"/>
          <w:color w:val="000000"/>
          <w:lang w:val="es-MX" w:eastAsia="es-MX"/>
        </w:rPr>
        <w:t xml:space="preserve">DE </w:t>
      </w:r>
      <w:r>
        <w:rPr>
          <w:rFonts w:ascii="Palatino Linotype" w:hAnsi="Palatino Linotype" w:cs="Arial"/>
          <w:color w:val="000000"/>
          <w:lang w:val="es-MX" w:eastAsia="es-MX"/>
        </w:rPr>
        <w:t>ABRIL</w:t>
      </w:r>
      <w:r w:rsidRPr="00037B15">
        <w:rPr>
          <w:rFonts w:ascii="Palatino Linotype" w:hAnsi="Palatino Linotype" w:cs="Arial"/>
          <w:color w:val="000000"/>
          <w:lang w:val="es-MX" w:eastAsia="es-MX"/>
        </w:rPr>
        <w:t xml:space="preserve"> DE</w:t>
      </w:r>
      <w:r w:rsidRPr="00037B15">
        <w:rPr>
          <w:rFonts w:ascii="Palatino Linotype" w:eastAsiaTheme="minorHAnsi" w:hAnsi="Palatino Linotype" w:cs="Arial"/>
          <w:lang w:val="es-MX" w:eastAsia="en-US"/>
        </w:rPr>
        <w:t xml:space="preserve"> DOS MIL VEINTI</w:t>
      </w:r>
      <w:r>
        <w:rPr>
          <w:rFonts w:ascii="Palatino Linotype" w:eastAsiaTheme="minorHAnsi" w:hAnsi="Palatino Linotype" w:cs="Arial"/>
          <w:lang w:val="es-MX" w:eastAsia="en-US"/>
        </w:rPr>
        <w:t>CUATRO</w:t>
      </w:r>
      <w:r w:rsidRPr="00037B15">
        <w:rPr>
          <w:rFonts w:ascii="Palatino Linotype" w:eastAsiaTheme="minorHAnsi" w:hAnsi="Palatino Linotype" w:cs="Arial"/>
          <w:lang w:val="es-MX" w:eastAsia="en-US"/>
        </w:rPr>
        <w:t>, ANTE EL SECRETARIO TÉCNICO</w:t>
      </w:r>
      <w:r w:rsidR="00066A7F">
        <w:rPr>
          <w:rFonts w:ascii="Palatino Linotype" w:eastAsiaTheme="minorHAnsi" w:hAnsi="Palatino Linotype" w:cs="Arial"/>
          <w:lang w:val="es-MX" w:eastAsia="en-US"/>
        </w:rPr>
        <w:t xml:space="preserve"> DEL PLENO</w:t>
      </w:r>
      <w:r w:rsidRPr="00037B15">
        <w:rPr>
          <w:rFonts w:ascii="Palatino Linotype" w:eastAsiaTheme="minorHAnsi" w:hAnsi="Palatino Linotype" w:cs="Arial"/>
          <w:lang w:val="es-MX" w:eastAsia="en-US"/>
        </w:rPr>
        <w:t>, ALEXIS TAPIA RAMÍREZ.------------------------------------------------------------------------------------------------------------------------------------</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w:t>
      </w:r>
    </w:p>
    <w:p w14:paraId="5B5E95DD" w14:textId="77777777" w:rsidR="005F0980" w:rsidRPr="005909E0" w:rsidRDefault="005F0980" w:rsidP="005F0980">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JMV/CCR/BPAC</w:t>
      </w:r>
    </w:p>
    <w:p w14:paraId="56A82F01" w14:textId="77777777" w:rsidR="005F0980" w:rsidRDefault="005F0980" w:rsidP="005F0980"/>
    <w:p w14:paraId="0D200C8A" w14:textId="77777777" w:rsidR="005F0980" w:rsidRDefault="005F0980" w:rsidP="005F0980"/>
    <w:p w14:paraId="218DAF13" w14:textId="77777777" w:rsidR="005F0980" w:rsidRDefault="005F0980" w:rsidP="005F0980"/>
    <w:p w14:paraId="5382346F" w14:textId="77777777" w:rsidR="005F0980" w:rsidRDefault="005F0980" w:rsidP="005F0980"/>
    <w:p w14:paraId="45225992" w14:textId="77777777" w:rsidR="005F0980" w:rsidRDefault="005F0980" w:rsidP="005F0980"/>
    <w:p w14:paraId="51D3084F" w14:textId="77777777" w:rsidR="005F0980" w:rsidRDefault="005F0980" w:rsidP="005F0980"/>
    <w:p w14:paraId="27F2A979" w14:textId="77777777" w:rsidR="005F0980" w:rsidRDefault="005F0980" w:rsidP="005F0980"/>
    <w:p w14:paraId="235C5A94" w14:textId="77777777" w:rsidR="005F0980" w:rsidRDefault="005F0980" w:rsidP="005F0980"/>
    <w:p w14:paraId="290BAE84" w14:textId="77777777" w:rsidR="005F0980" w:rsidRDefault="005F0980" w:rsidP="005F0980"/>
    <w:p w14:paraId="4032D41F" w14:textId="77777777" w:rsidR="005F0980" w:rsidRDefault="005F0980" w:rsidP="005F0980"/>
    <w:p w14:paraId="79007EC0" w14:textId="77777777" w:rsidR="005F0980" w:rsidRDefault="005F0980" w:rsidP="005F0980"/>
    <w:p w14:paraId="230B959F" w14:textId="77777777" w:rsidR="005F0980" w:rsidRDefault="005F0980" w:rsidP="005F0980"/>
    <w:p w14:paraId="0E77B0A2" w14:textId="77777777" w:rsidR="005F0980" w:rsidRDefault="005F0980" w:rsidP="005F0980"/>
    <w:p w14:paraId="20BFEF5A" w14:textId="77777777" w:rsidR="005F0980" w:rsidRDefault="005F0980" w:rsidP="005F0980"/>
    <w:p w14:paraId="7E4E0185" w14:textId="77777777" w:rsidR="005F0980" w:rsidRDefault="005F0980" w:rsidP="005F0980"/>
    <w:p w14:paraId="119D4381" w14:textId="77777777" w:rsidR="005F0980" w:rsidRDefault="005F0980" w:rsidP="005F0980"/>
    <w:p w14:paraId="59336CD3" w14:textId="77777777" w:rsidR="005F0980" w:rsidRDefault="005F0980" w:rsidP="005F0980"/>
    <w:p w14:paraId="24E2C700" w14:textId="77777777" w:rsidR="005F0980" w:rsidRDefault="005F0980" w:rsidP="005F0980"/>
    <w:p w14:paraId="2AF91781" w14:textId="77777777" w:rsidR="005F0980" w:rsidRDefault="005F0980" w:rsidP="005F0980"/>
    <w:p w14:paraId="310774CC" w14:textId="77777777" w:rsidR="005F0980" w:rsidRDefault="005F0980" w:rsidP="005F0980"/>
    <w:p w14:paraId="06189426" w14:textId="77777777" w:rsidR="005F0980" w:rsidRDefault="005F0980" w:rsidP="005F0980"/>
    <w:p w14:paraId="77F827B4" w14:textId="77777777" w:rsidR="005F0980" w:rsidRDefault="005F0980" w:rsidP="005F0980"/>
    <w:p w14:paraId="0618238C" w14:textId="77777777" w:rsidR="005F0980" w:rsidRDefault="005F0980" w:rsidP="005F0980"/>
    <w:p w14:paraId="67186EC6" w14:textId="77777777" w:rsidR="005F0980" w:rsidRDefault="005F0980" w:rsidP="005F0980"/>
    <w:p w14:paraId="2F5E959F" w14:textId="77777777" w:rsidR="005F0980" w:rsidRDefault="005F0980" w:rsidP="005F0980"/>
    <w:p w14:paraId="5A9EB99F" w14:textId="77777777" w:rsidR="005F0980" w:rsidRDefault="005F0980" w:rsidP="005F0980"/>
    <w:p w14:paraId="1643DFD5" w14:textId="77777777" w:rsidR="005F0980" w:rsidRDefault="005F0980" w:rsidP="005F0980"/>
    <w:p w14:paraId="44EEA467" w14:textId="77777777" w:rsidR="005F0980" w:rsidRDefault="005F0980" w:rsidP="005F0980"/>
    <w:p w14:paraId="1225DBD6" w14:textId="77777777" w:rsidR="005F0980" w:rsidRDefault="005F0980" w:rsidP="005F0980"/>
    <w:p w14:paraId="516F611B" w14:textId="77777777" w:rsidR="005F0980" w:rsidRDefault="005F0980" w:rsidP="005F0980"/>
    <w:p w14:paraId="38ED23C6" w14:textId="77777777" w:rsidR="005F0980" w:rsidRDefault="005F0980" w:rsidP="005F0980"/>
    <w:p w14:paraId="7C822A09" w14:textId="77777777" w:rsidR="005F0980" w:rsidRDefault="005F0980" w:rsidP="005F0980"/>
    <w:p w14:paraId="28938392" w14:textId="77777777" w:rsidR="005F0980" w:rsidRDefault="005F0980" w:rsidP="005F0980"/>
    <w:p w14:paraId="3E2B4BE2" w14:textId="77777777" w:rsidR="005F0980" w:rsidRDefault="005F0980" w:rsidP="005F0980"/>
    <w:p w14:paraId="1E0B00C2" w14:textId="77777777" w:rsidR="005F0980" w:rsidRPr="003E56C9" w:rsidRDefault="005F0980" w:rsidP="005F0980"/>
    <w:p w14:paraId="2728DC48" w14:textId="77777777" w:rsidR="005F0980" w:rsidRDefault="005F0980" w:rsidP="005F0980"/>
    <w:p w14:paraId="65978CC5" w14:textId="77777777" w:rsidR="005F0980" w:rsidRDefault="005F0980" w:rsidP="005F0980"/>
    <w:p w14:paraId="020060E0" w14:textId="77777777" w:rsidR="005F0980" w:rsidRDefault="005F0980" w:rsidP="005F0980"/>
    <w:p w14:paraId="639115CA" w14:textId="77777777" w:rsidR="005F0980" w:rsidRDefault="005F0980" w:rsidP="005F0980"/>
    <w:p w14:paraId="4FFDCADD" w14:textId="77777777" w:rsidR="005F0980" w:rsidRDefault="005F0980" w:rsidP="005F0980"/>
    <w:p w14:paraId="565C6104" w14:textId="77777777" w:rsidR="005F0980" w:rsidRDefault="005F0980" w:rsidP="005F0980"/>
    <w:p w14:paraId="3102C366" w14:textId="77777777" w:rsidR="005F0980" w:rsidRDefault="005F0980" w:rsidP="005F0980"/>
    <w:p w14:paraId="520EFDF0" w14:textId="77777777" w:rsidR="005F0980" w:rsidRDefault="005F0980" w:rsidP="005F0980"/>
    <w:p w14:paraId="2430D0E2" w14:textId="77777777" w:rsidR="00CC5400" w:rsidRDefault="00CC5400"/>
    <w:sectPr w:rsidR="00CC5400" w:rsidSect="0043515A">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F7272" w14:textId="77777777" w:rsidR="005F0980" w:rsidRDefault="005F0980" w:rsidP="005F0980">
      <w:r>
        <w:separator/>
      </w:r>
    </w:p>
  </w:endnote>
  <w:endnote w:type="continuationSeparator" w:id="0">
    <w:p w14:paraId="6A8EF8FA" w14:textId="77777777" w:rsidR="005F0980" w:rsidRDefault="005F0980" w:rsidP="005F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D3BC" w14:textId="77777777" w:rsidR="00066A7F" w:rsidRPr="000D3AD4" w:rsidRDefault="008B490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A48AA">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A48AA">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8C55" w14:textId="77777777" w:rsidR="00066A7F" w:rsidRPr="000D3AD4" w:rsidRDefault="008B490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A48A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A48AA">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AF007" w14:textId="77777777" w:rsidR="005F0980" w:rsidRDefault="005F0980" w:rsidP="005F0980">
      <w:r>
        <w:separator/>
      </w:r>
    </w:p>
  </w:footnote>
  <w:footnote w:type="continuationSeparator" w:id="0">
    <w:p w14:paraId="18FB56B3" w14:textId="77777777" w:rsidR="005F0980" w:rsidRDefault="005F0980" w:rsidP="005F0980">
      <w:r>
        <w:continuationSeparator/>
      </w:r>
    </w:p>
  </w:footnote>
  <w:footnote w:id="1">
    <w:p w14:paraId="651E9179" w14:textId="77777777" w:rsidR="005F0980" w:rsidRPr="00481AAF" w:rsidRDefault="005F0980" w:rsidP="005F0980">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60BFADBD" w14:textId="77777777" w:rsidR="005F0980" w:rsidRPr="00946E1F" w:rsidRDefault="005F0980" w:rsidP="005F0980">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612B" w14:textId="77777777" w:rsidR="00066A7F" w:rsidRDefault="009A48AA">
    <w:pPr>
      <w:pStyle w:val="Encabezado"/>
    </w:pPr>
    <w:r>
      <w:rPr>
        <w:noProof/>
        <w:lang w:val="es-MX" w:eastAsia="es-MX"/>
      </w:rPr>
      <w:pict w14:anchorId="20E42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284100DB" w14:textId="77777777" w:rsidTr="00BA27FC">
      <w:tc>
        <w:tcPr>
          <w:tcW w:w="2551" w:type="dxa"/>
          <w:shd w:val="clear" w:color="auto" w:fill="auto"/>
          <w:vAlign w:val="center"/>
        </w:tcPr>
        <w:p w14:paraId="4865218E" w14:textId="77777777" w:rsidR="00066A7F" w:rsidRPr="008F5DAE" w:rsidRDefault="008B490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AC5259E" w14:textId="77777777" w:rsidR="00066A7F" w:rsidRPr="0029071C" w:rsidRDefault="008B4906" w:rsidP="009E15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0752</w:t>
          </w:r>
          <w:r w:rsidR="005F0980">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04B7A" w:rsidRPr="008F2CCC" w14:paraId="2F7D97E4" w14:textId="77777777" w:rsidTr="00BA27FC">
      <w:trPr>
        <w:trHeight w:val="228"/>
      </w:trPr>
      <w:tc>
        <w:tcPr>
          <w:tcW w:w="2551" w:type="dxa"/>
          <w:shd w:val="clear" w:color="auto" w:fill="auto"/>
          <w:vAlign w:val="center"/>
        </w:tcPr>
        <w:p w14:paraId="60CA9F1C" w14:textId="77777777" w:rsidR="00066A7F" w:rsidRPr="008F5DAE" w:rsidRDefault="008B490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846CEEF" w14:textId="77777777" w:rsidR="00066A7F" w:rsidRPr="0029071C" w:rsidRDefault="005F0980" w:rsidP="008902D3">
          <w:pPr>
            <w:spacing w:line="276" w:lineRule="auto"/>
            <w:jc w:val="right"/>
            <w:rPr>
              <w:rFonts w:ascii="Palatino Linotype" w:hAnsi="Palatino Linotype"/>
              <w:sz w:val="22"/>
              <w:szCs w:val="22"/>
            </w:rPr>
          </w:pPr>
          <w:r w:rsidRPr="005F0980">
            <w:rPr>
              <w:rFonts w:ascii="Palatino Linotype" w:hAnsi="Palatino Linotype"/>
              <w:sz w:val="22"/>
              <w:szCs w:val="22"/>
            </w:rPr>
            <w:t>Secretaría de Movilidad</w:t>
          </w:r>
        </w:p>
      </w:tc>
    </w:tr>
    <w:tr w:rsidR="00C04B7A" w:rsidRPr="008F2CCC" w14:paraId="52ACADC7" w14:textId="77777777" w:rsidTr="00BA27FC">
      <w:tc>
        <w:tcPr>
          <w:tcW w:w="2551" w:type="dxa"/>
          <w:shd w:val="clear" w:color="auto" w:fill="auto"/>
          <w:vAlign w:val="center"/>
        </w:tcPr>
        <w:p w14:paraId="0038E358" w14:textId="77777777" w:rsidR="00066A7F" w:rsidRPr="008F5DAE" w:rsidRDefault="008B490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1764E75" w14:textId="77777777" w:rsidR="00066A7F" w:rsidRPr="0029071C" w:rsidRDefault="008B490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5939A43" w14:textId="77777777" w:rsidR="00066A7F" w:rsidRPr="001779E0" w:rsidRDefault="009A48A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AB45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2AEC5420" w14:textId="77777777" w:rsidTr="00BA27FC">
      <w:tc>
        <w:tcPr>
          <w:tcW w:w="2551" w:type="dxa"/>
          <w:shd w:val="clear" w:color="auto" w:fill="auto"/>
          <w:vAlign w:val="center"/>
        </w:tcPr>
        <w:p w14:paraId="7AC1EB82" w14:textId="77777777" w:rsidR="00066A7F" w:rsidRPr="008F5DAE" w:rsidRDefault="008B490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C74E118" w14:textId="77777777" w:rsidR="00066A7F" w:rsidRPr="0029071C" w:rsidRDefault="008B4906" w:rsidP="005F098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0752</w:t>
          </w:r>
          <w:r w:rsidR="005F0980">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04B7A" w:rsidRPr="008F2CCC" w14:paraId="508E2E3C" w14:textId="77777777" w:rsidTr="00BA27FC">
      <w:tc>
        <w:tcPr>
          <w:tcW w:w="2551" w:type="dxa"/>
          <w:shd w:val="clear" w:color="auto" w:fill="auto"/>
          <w:vAlign w:val="center"/>
        </w:tcPr>
        <w:p w14:paraId="47641396" w14:textId="77777777" w:rsidR="00066A7F" w:rsidRPr="008F5DAE" w:rsidRDefault="008B490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655031AA" w14:textId="3AC308AD" w:rsidR="00066A7F" w:rsidRPr="006D30E6" w:rsidRDefault="009A48AA" w:rsidP="002100A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04B7A" w:rsidRPr="008F2CCC" w14:paraId="54C76B91" w14:textId="77777777" w:rsidTr="00BA27FC">
      <w:trPr>
        <w:trHeight w:val="228"/>
      </w:trPr>
      <w:tc>
        <w:tcPr>
          <w:tcW w:w="2551" w:type="dxa"/>
          <w:shd w:val="clear" w:color="auto" w:fill="auto"/>
          <w:vAlign w:val="center"/>
        </w:tcPr>
        <w:p w14:paraId="799087B7" w14:textId="77777777" w:rsidR="00066A7F" w:rsidRPr="008F5DAE" w:rsidRDefault="008B490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8B3621B" w14:textId="77777777" w:rsidR="00066A7F" w:rsidRPr="0029071C" w:rsidRDefault="005F0980" w:rsidP="008902D3">
          <w:pPr>
            <w:spacing w:line="276" w:lineRule="auto"/>
            <w:jc w:val="right"/>
            <w:rPr>
              <w:rFonts w:ascii="Palatino Linotype" w:hAnsi="Palatino Linotype"/>
              <w:sz w:val="22"/>
              <w:szCs w:val="22"/>
            </w:rPr>
          </w:pPr>
          <w:r w:rsidRPr="005F0980">
            <w:rPr>
              <w:rFonts w:ascii="Palatino Linotype" w:hAnsi="Palatino Linotype"/>
              <w:sz w:val="22"/>
              <w:szCs w:val="22"/>
            </w:rPr>
            <w:t>Secretaría de Movilidad</w:t>
          </w:r>
        </w:p>
      </w:tc>
    </w:tr>
    <w:tr w:rsidR="00C04B7A" w:rsidRPr="008F2CCC" w14:paraId="63BA7380" w14:textId="77777777" w:rsidTr="00BA27FC">
      <w:tc>
        <w:tcPr>
          <w:tcW w:w="2551" w:type="dxa"/>
          <w:shd w:val="clear" w:color="auto" w:fill="auto"/>
          <w:vAlign w:val="center"/>
        </w:tcPr>
        <w:p w14:paraId="017677A4" w14:textId="77777777" w:rsidR="00066A7F" w:rsidRPr="008F5DAE" w:rsidRDefault="008B490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8D87983" w14:textId="77777777" w:rsidR="00066A7F" w:rsidRPr="0029071C" w:rsidRDefault="008B490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329F7F56" w14:textId="77777777" w:rsidTr="00BA27FC">
      <w:tc>
        <w:tcPr>
          <w:tcW w:w="2551" w:type="dxa"/>
          <w:shd w:val="clear" w:color="auto" w:fill="auto"/>
          <w:vAlign w:val="center"/>
        </w:tcPr>
        <w:p w14:paraId="02EDE3CC" w14:textId="77777777" w:rsidR="00066A7F" w:rsidRPr="008F5DAE" w:rsidRDefault="00066A7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B48CAF8" w14:textId="77777777" w:rsidR="00066A7F" w:rsidRPr="00BA27FC" w:rsidRDefault="00066A7F" w:rsidP="00BA27FC">
          <w:pPr>
            <w:spacing w:line="276" w:lineRule="auto"/>
            <w:rPr>
              <w:rFonts w:ascii="Palatino Linotype" w:hAnsi="Palatino Linotype"/>
              <w:sz w:val="14"/>
              <w:szCs w:val="22"/>
              <w:lang w:val="es-ES_tradnl"/>
            </w:rPr>
          </w:pPr>
        </w:p>
      </w:tc>
    </w:tr>
  </w:tbl>
  <w:p w14:paraId="2BE4DEBC" w14:textId="77777777" w:rsidR="00066A7F" w:rsidRPr="009F1AB6" w:rsidRDefault="009A48AA">
    <w:pPr>
      <w:pStyle w:val="Encabezado"/>
      <w:rPr>
        <w:sz w:val="10"/>
      </w:rPr>
    </w:pPr>
    <w:r>
      <w:rPr>
        <w:noProof/>
        <w:sz w:val="10"/>
        <w:lang w:val="es-MX" w:eastAsia="es-MX"/>
      </w:rPr>
      <w:pict w14:anchorId="2389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8B1"/>
    <w:multiLevelType w:val="hybridMultilevel"/>
    <w:tmpl w:val="AD148660"/>
    <w:lvl w:ilvl="0" w:tplc="5D40B970">
      <w:start w:val="1"/>
      <w:numFmt w:val="bullet"/>
      <w:lvlText w:val="-"/>
      <w:lvlJc w:val="left"/>
      <w:pPr>
        <w:ind w:left="1080" w:hanging="360"/>
      </w:pPr>
      <w:rPr>
        <w:rFonts w:ascii="Palatino Linotype" w:eastAsiaTheme="minorHAnsi" w:hAnsi="Palatino Linotype" w:cs="TimesNewRomanPS-ItalicM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5686CC6"/>
    <w:multiLevelType w:val="hybridMultilevel"/>
    <w:tmpl w:val="5A1EB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C32515"/>
    <w:multiLevelType w:val="hybridMultilevel"/>
    <w:tmpl w:val="907C49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5E2C4B"/>
    <w:multiLevelType w:val="hybridMultilevel"/>
    <w:tmpl w:val="ADE824A8"/>
    <w:lvl w:ilvl="0" w:tplc="4B90614A">
      <w:start w:val="1"/>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80"/>
    <w:rsid w:val="00066A7F"/>
    <w:rsid w:val="000D4EAE"/>
    <w:rsid w:val="001A6950"/>
    <w:rsid w:val="001D115F"/>
    <w:rsid w:val="003A17F2"/>
    <w:rsid w:val="004D7035"/>
    <w:rsid w:val="005F0980"/>
    <w:rsid w:val="007348AD"/>
    <w:rsid w:val="00771C85"/>
    <w:rsid w:val="007868E7"/>
    <w:rsid w:val="008B4906"/>
    <w:rsid w:val="009A48AA"/>
    <w:rsid w:val="009F3A4C"/>
    <w:rsid w:val="00A567B0"/>
    <w:rsid w:val="00BA4B9C"/>
    <w:rsid w:val="00C50469"/>
    <w:rsid w:val="00CC5400"/>
    <w:rsid w:val="00CD2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B94F7"/>
  <w15:chartTrackingRefBased/>
  <w15:docId w15:val="{F60C7103-CD76-4096-9A45-98B028AF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80"/>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F0980"/>
    <w:rPr>
      <w:rFonts w:eastAsiaTheme="minorEastAsia"/>
      <w:sz w:val="24"/>
      <w:szCs w:val="24"/>
      <w:lang w:val="es-ES_tradnl" w:eastAsia="es-ES"/>
    </w:rPr>
  </w:style>
  <w:style w:type="paragraph" w:styleId="Piedepgina">
    <w:name w:val="footer"/>
    <w:basedOn w:val="Normal"/>
    <w:link w:val="PiedepginaCar"/>
    <w:uiPriority w:val="99"/>
    <w:unhideWhenUsed/>
    <w:rsid w:val="005F0980"/>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F0980"/>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F0980"/>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F0980"/>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0980"/>
    <w:rPr>
      <w:vertAlign w:val="superscript"/>
    </w:rPr>
  </w:style>
  <w:style w:type="character" w:customStyle="1" w:styleId="apple-converted-space">
    <w:name w:val="apple-converted-space"/>
    <w:basedOn w:val="Fuentedeprrafopredeter"/>
    <w:rsid w:val="005F0980"/>
  </w:style>
  <w:style w:type="character" w:styleId="Hipervnculo">
    <w:name w:val="Hyperlink"/>
    <w:aliases w:val="Hipervínculo1,Hipervínculo11,Hipervínculo12,Hipervínculo13,Hipervínculo14,Hipervínculo15"/>
    <w:basedOn w:val="Fuentedeprrafopredeter"/>
    <w:uiPriority w:val="99"/>
    <w:unhideWhenUsed/>
    <w:rsid w:val="005F0980"/>
    <w:rPr>
      <w:color w:val="0563C1" w:themeColor="hyperlink"/>
      <w:u w:val="single"/>
    </w:rPr>
  </w:style>
  <w:style w:type="paragraph" w:styleId="Sinespaciado">
    <w:name w:val="No Spacing"/>
    <w:aliases w:val="Francesa,INAI"/>
    <w:link w:val="SinespaciadoCar"/>
    <w:uiPriority w:val="1"/>
    <w:qFormat/>
    <w:rsid w:val="005F0980"/>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F098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31</Pages>
  <Words>8247</Words>
  <Characters>45364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13</cp:revision>
  <dcterms:created xsi:type="dcterms:W3CDTF">2024-03-20T00:01:00Z</dcterms:created>
  <dcterms:modified xsi:type="dcterms:W3CDTF">2024-05-03T15:59:00Z</dcterms:modified>
</cp:coreProperties>
</file>