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2D1" w:rsidRPr="00803417" w:rsidRDefault="00E33CAA">
      <w:pPr>
        <w:spacing w:line="360" w:lineRule="auto"/>
        <w:ind w:right="-876"/>
        <w:jc w:val="both"/>
        <w:rPr>
          <w:rFonts w:ascii="Palatino Linotype" w:eastAsia="Palatino Linotype" w:hAnsi="Palatino Linotype" w:cs="Palatino Linotype"/>
        </w:rPr>
      </w:pPr>
      <w:r w:rsidRPr="00803417">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once (11) de diciembre de dos mil veinticuatro.</w:t>
      </w:r>
    </w:p>
    <w:p w:rsidR="004542D1" w:rsidRPr="00803417" w:rsidRDefault="004542D1">
      <w:pPr>
        <w:spacing w:line="360" w:lineRule="auto"/>
        <w:ind w:right="-876"/>
        <w:jc w:val="both"/>
        <w:rPr>
          <w:rFonts w:ascii="Palatino Linotype" w:eastAsia="Palatino Linotype" w:hAnsi="Palatino Linotype" w:cs="Palatino Linotype"/>
        </w:rPr>
      </w:pPr>
    </w:p>
    <w:p w:rsidR="004542D1" w:rsidRPr="00803417" w:rsidRDefault="00E33CAA">
      <w:pPr>
        <w:spacing w:line="360" w:lineRule="auto"/>
        <w:ind w:right="-876"/>
        <w:jc w:val="both"/>
        <w:rPr>
          <w:rFonts w:ascii="Palatino Linotype" w:eastAsia="Palatino Linotype" w:hAnsi="Palatino Linotype" w:cs="Palatino Linotype"/>
        </w:rPr>
      </w:pPr>
      <w:r w:rsidRPr="00803417">
        <w:rPr>
          <w:rFonts w:ascii="Palatino Linotype" w:eastAsia="Palatino Linotype" w:hAnsi="Palatino Linotype" w:cs="Palatino Linotype"/>
          <w:b/>
        </w:rPr>
        <w:t>VISTOS</w:t>
      </w:r>
      <w:r w:rsidRPr="00803417">
        <w:rPr>
          <w:rFonts w:ascii="Palatino Linotype" w:eastAsia="Palatino Linotype" w:hAnsi="Palatino Linotype" w:cs="Palatino Linotype"/>
        </w:rPr>
        <w:t xml:space="preserve"> los expedientes electrónicos formados con motivo de los recursos de revisión</w:t>
      </w:r>
      <w:r w:rsidRPr="00803417">
        <w:rPr>
          <w:rFonts w:ascii="Palatino Linotype" w:eastAsia="Palatino Linotype" w:hAnsi="Palatino Linotype" w:cs="Palatino Linotype"/>
          <w:b/>
        </w:rPr>
        <w:t xml:space="preserve"> 04898/INFOEM/IP/RR/2024 y 04899/INFOEM/IP/RR/2024, </w:t>
      </w:r>
      <w:r w:rsidRPr="00803417">
        <w:rPr>
          <w:rFonts w:ascii="Palatino Linotype" w:eastAsia="Palatino Linotype" w:hAnsi="Palatino Linotype" w:cs="Palatino Linotype"/>
        </w:rPr>
        <w:t xml:space="preserve">promovidos por </w:t>
      </w:r>
      <w:r w:rsidRPr="00803417">
        <w:rPr>
          <w:rFonts w:ascii="Palatino Linotype" w:eastAsia="Palatino Linotype" w:hAnsi="Palatino Linotype" w:cs="Palatino Linotype"/>
          <w:b/>
          <w:sz w:val="22"/>
          <w:szCs w:val="22"/>
        </w:rPr>
        <w:t>Una persona que no proporcionó información</w:t>
      </w:r>
      <w:r w:rsidRPr="00803417">
        <w:rPr>
          <w:rFonts w:ascii="Palatino Linotype" w:eastAsia="Palatino Linotype" w:hAnsi="Palatino Linotype" w:cs="Palatino Linotype"/>
          <w:b/>
        </w:rPr>
        <w:t>,</w:t>
      </w:r>
      <w:r w:rsidRPr="00803417">
        <w:rPr>
          <w:rFonts w:ascii="Palatino Linotype" w:eastAsia="Palatino Linotype" w:hAnsi="Palatino Linotype" w:cs="Palatino Linotype"/>
        </w:rPr>
        <w:t xml:space="preserve"> a quien en l</w:t>
      </w:r>
      <w:r w:rsidR="0058759F" w:rsidRPr="00803417">
        <w:rPr>
          <w:rFonts w:ascii="Palatino Linotype" w:eastAsia="Palatino Linotype" w:hAnsi="Palatino Linotype" w:cs="Palatino Linotype"/>
        </w:rPr>
        <w:t>o sucesivo se identificará como</w:t>
      </w:r>
      <w:r w:rsidRPr="00803417">
        <w:rPr>
          <w:rFonts w:ascii="Palatino Linotype" w:eastAsia="Palatino Linotype" w:hAnsi="Palatino Linotype" w:cs="Palatino Linotype"/>
        </w:rPr>
        <w:t xml:space="preserve"> EL</w:t>
      </w:r>
      <w:r w:rsidRPr="00803417">
        <w:rPr>
          <w:rFonts w:ascii="Palatino Linotype" w:eastAsia="Palatino Linotype" w:hAnsi="Palatino Linotype" w:cs="Palatino Linotype"/>
          <w:b/>
        </w:rPr>
        <w:t xml:space="preserve"> RECURRENTE</w:t>
      </w:r>
      <w:r w:rsidRPr="00803417">
        <w:rPr>
          <w:rFonts w:ascii="Palatino Linotype" w:eastAsia="Palatino Linotype" w:hAnsi="Palatino Linotype" w:cs="Palatino Linotype"/>
        </w:rPr>
        <w:t>, en contra de la respuesta de la Secretaría de Movilidad</w:t>
      </w:r>
      <w:r w:rsidRPr="00803417">
        <w:rPr>
          <w:rFonts w:ascii="Palatino Linotype" w:eastAsia="Palatino Linotype" w:hAnsi="Palatino Linotype" w:cs="Palatino Linotype"/>
          <w:b/>
        </w:rPr>
        <w:t xml:space="preserve">, </w:t>
      </w:r>
      <w:r w:rsidRPr="00803417">
        <w:rPr>
          <w:rFonts w:ascii="Palatino Linotype" w:eastAsia="Palatino Linotype" w:hAnsi="Palatino Linotype" w:cs="Palatino Linotype"/>
        </w:rPr>
        <w:t>en adelante el</w:t>
      </w:r>
      <w:r w:rsidRPr="00803417">
        <w:rPr>
          <w:rFonts w:ascii="Palatino Linotype" w:eastAsia="Palatino Linotype" w:hAnsi="Palatino Linotype" w:cs="Palatino Linotype"/>
          <w:b/>
        </w:rPr>
        <w:t xml:space="preserve"> SUJETO OBLIGADO</w:t>
      </w:r>
      <w:r w:rsidRPr="00803417">
        <w:rPr>
          <w:rFonts w:ascii="Palatino Linotype" w:eastAsia="Palatino Linotype" w:hAnsi="Palatino Linotype" w:cs="Palatino Linotype"/>
        </w:rPr>
        <w:t>, por lo que se procede a dictar la presente resolución, con base en los siguientes:</w:t>
      </w:r>
    </w:p>
    <w:p w:rsidR="004542D1" w:rsidRPr="00803417" w:rsidRDefault="004542D1">
      <w:pPr>
        <w:spacing w:line="360" w:lineRule="auto"/>
        <w:ind w:right="-876"/>
        <w:jc w:val="both"/>
        <w:rPr>
          <w:rFonts w:ascii="Palatino Linotype" w:eastAsia="Palatino Linotype" w:hAnsi="Palatino Linotype" w:cs="Palatino Linotype"/>
        </w:rPr>
      </w:pPr>
    </w:p>
    <w:p w:rsidR="004542D1" w:rsidRPr="00803417" w:rsidRDefault="00E33CAA">
      <w:pPr>
        <w:keepNext/>
        <w:keepLines/>
        <w:spacing w:line="360" w:lineRule="auto"/>
        <w:ind w:right="-876"/>
        <w:jc w:val="center"/>
        <w:rPr>
          <w:rFonts w:ascii="Palatino Linotype" w:eastAsia="Palatino Linotype" w:hAnsi="Palatino Linotype" w:cs="Palatino Linotype"/>
          <w:b/>
        </w:rPr>
      </w:pPr>
      <w:bookmarkStart w:id="0" w:name="_heading=h.gjdgxs" w:colFirst="0" w:colLast="0"/>
      <w:bookmarkEnd w:id="0"/>
      <w:r w:rsidRPr="00803417">
        <w:rPr>
          <w:rFonts w:ascii="Palatino Linotype" w:eastAsia="Palatino Linotype" w:hAnsi="Palatino Linotype" w:cs="Palatino Linotype"/>
          <w:b/>
        </w:rPr>
        <w:t>A N T E C E D E N T E S</w:t>
      </w:r>
    </w:p>
    <w:p w:rsidR="004542D1" w:rsidRPr="00803417" w:rsidRDefault="004542D1">
      <w:pPr>
        <w:spacing w:line="360" w:lineRule="auto"/>
        <w:ind w:right="-876"/>
        <w:rPr>
          <w:rFonts w:ascii="Palatino Linotype" w:eastAsia="Palatino Linotype" w:hAnsi="Palatino Linotype" w:cs="Palatino Linotype"/>
        </w:rPr>
      </w:pPr>
    </w:p>
    <w:p w:rsidR="004542D1" w:rsidRPr="00803417" w:rsidRDefault="00E33CAA">
      <w:pPr>
        <w:numPr>
          <w:ilvl w:val="0"/>
          <w:numId w:val="11"/>
        </w:numPr>
        <w:spacing w:line="360" w:lineRule="auto"/>
        <w:ind w:right="-876"/>
        <w:jc w:val="both"/>
        <w:rPr>
          <w:rFonts w:ascii="Palatino Linotype" w:eastAsia="Palatino Linotype" w:hAnsi="Palatino Linotype" w:cs="Palatino Linotype"/>
        </w:rPr>
      </w:pPr>
      <w:r w:rsidRPr="00803417">
        <w:rPr>
          <w:rFonts w:ascii="Palatino Linotype" w:eastAsia="Palatino Linotype" w:hAnsi="Palatino Linotype" w:cs="Palatino Linotype"/>
        </w:rPr>
        <w:t xml:space="preserve">En fecha doce de julio  de dos mil veinticuatro, </w:t>
      </w:r>
      <w:r w:rsidRPr="00803417">
        <w:rPr>
          <w:rFonts w:ascii="Palatino Linotype" w:eastAsia="Palatino Linotype" w:hAnsi="Palatino Linotype" w:cs="Palatino Linotype"/>
          <w:b/>
        </w:rPr>
        <w:t>EL RECURRENTE,</w:t>
      </w:r>
      <w:r w:rsidRPr="00803417">
        <w:rPr>
          <w:rFonts w:ascii="Palatino Linotype" w:eastAsia="Palatino Linotype" w:hAnsi="Palatino Linotype" w:cs="Palatino Linotype"/>
        </w:rPr>
        <w:t xml:space="preserve"> ante el </w:t>
      </w:r>
      <w:r w:rsidRPr="00803417">
        <w:rPr>
          <w:rFonts w:ascii="Palatino Linotype" w:eastAsia="Palatino Linotype" w:hAnsi="Palatino Linotype" w:cs="Palatino Linotype"/>
          <w:b/>
        </w:rPr>
        <w:t>SUJETO OBLIGADO</w:t>
      </w:r>
      <w:r w:rsidRPr="00803417">
        <w:rPr>
          <w:rFonts w:ascii="Palatino Linotype" w:eastAsia="Palatino Linotype" w:hAnsi="Palatino Linotype" w:cs="Palatino Linotype"/>
        </w:rPr>
        <w:t xml:space="preserve"> vía Sistema de Acceso a la Información Mexiquense (</w:t>
      </w:r>
      <w:r w:rsidRPr="00803417">
        <w:rPr>
          <w:rFonts w:ascii="Palatino Linotype" w:eastAsia="Palatino Linotype" w:hAnsi="Palatino Linotype" w:cs="Palatino Linotype"/>
          <w:b/>
        </w:rPr>
        <w:t>SAIMEX)</w:t>
      </w:r>
      <w:r w:rsidRPr="00803417">
        <w:rPr>
          <w:rFonts w:ascii="Palatino Linotype" w:eastAsia="Palatino Linotype" w:hAnsi="Palatino Linotype" w:cs="Palatino Linotype"/>
        </w:rPr>
        <w:t>, presentó las solicitudes de información registradas con los números</w:t>
      </w:r>
      <w:r w:rsidRPr="00803417">
        <w:rPr>
          <w:rFonts w:ascii="Palatino Linotype" w:eastAsia="Palatino Linotype" w:hAnsi="Palatino Linotype" w:cs="Palatino Linotype"/>
          <w:b/>
        </w:rPr>
        <w:t xml:space="preserve"> 00499/SMOV/IP/2024 y 00498/SMOV/IP/2024, </w:t>
      </w:r>
      <w:r w:rsidRPr="00803417">
        <w:rPr>
          <w:rFonts w:ascii="Palatino Linotype" w:eastAsia="Palatino Linotype" w:hAnsi="Palatino Linotype" w:cs="Palatino Linotype"/>
        </w:rPr>
        <w:t>en las que se solicitó lo siguiente:</w:t>
      </w:r>
    </w:p>
    <w:p w:rsidR="004542D1" w:rsidRPr="00803417" w:rsidRDefault="004542D1">
      <w:pPr>
        <w:spacing w:line="360" w:lineRule="auto"/>
        <w:ind w:right="-876"/>
        <w:jc w:val="both"/>
        <w:rPr>
          <w:rFonts w:ascii="Palatino Linotype" w:eastAsia="Palatino Linotype" w:hAnsi="Palatino Linotype" w:cs="Palatino Linotype"/>
        </w:rPr>
      </w:pPr>
    </w:p>
    <w:p w:rsidR="004542D1" w:rsidRPr="00803417" w:rsidRDefault="00E33CAA">
      <w:pPr>
        <w:spacing w:line="360" w:lineRule="auto"/>
        <w:ind w:left="851" w:right="568"/>
        <w:jc w:val="both"/>
        <w:rPr>
          <w:rFonts w:ascii="Palatino Linotype" w:eastAsia="Palatino Linotype" w:hAnsi="Palatino Linotype" w:cs="Palatino Linotype"/>
          <w:b/>
        </w:rPr>
      </w:pPr>
      <w:r w:rsidRPr="00803417">
        <w:rPr>
          <w:rFonts w:ascii="Palatino Linotype" w:eastAsia="Palatino Linotype" w:hAnsi="Palatino Linotype" w:cs="Palatino Linotype"/>
          <w:b/>
        </w:rPr>
        <w:t>00499/SMOV/IP/2024</w:t>
      </w:r>
    </w:p>
    <w:p w:rsidR="004542D1" w:rsidRPr="00803417" w:rsidRDefault="00E33CAA">
      <w:pPr>
        <w:spacing w:line="360" w:lineRule="auto"/>
        <w:ind w:left="851" w:right="568"/>
        <w:jc w:val="both"/>
        <w:rPr>
          <w:rFonts w:ascii="Palatino Linotype" w:eastAsia="Palatino Linotype" w:hAnsi="Palatino Linotype" w:cs="Palatino Linotype"/>
        </w:rPr>
      </w:pPr>
      <w:r w:rsidRPr="00803417">
        <w:rPr>
          <w:rFonts w:ascii="Palatino Linotype" w:eastAsia="Palatino Linotype" w:hAnsi="Palatino Linotype" w:cs="Palatino Linotype"/>
          <w:i/>
        </w:rPr>
        <w:t xml:space="preserve">“Se solicita saber cuántos operadores de transporte público por género fueron capacitados con los documentos que los demuestren del 2017, que institución los capacito, o certificado, el costo de la capacitación, la ruta a la que pertenecían esos operadores. </w:t>
      </w:r>
      <w:proofErr w:type="gramStart"/>
      <w:r w:rsidRPr="00803417">
        <w:rPr>
          <w:rFonts w:ascii="Palatino Linotype" w:eastAsia="Palatino Linotype" w:hAnsi="Palatino Linotype" w:cs="Palatino Linotype"/>
          <w:i/>
        </w:rPr>
        <w:t>el</w:t>
      </w:r>
      <w:proofErr w:type="gramEnd"/>
      <w:r w:rsidRPr="00803417">
        <w:rPr>
          <w:rFonts w:ascii="Palatino Linotype" w:eastAsia="Palatino Linotype" w:hAnsi="Palatino Linotype" w:cs="Palatino Linotype"/>
          <w:i/>
        </w:rPr>
        <w:t xml:space="preserve"> padrón de operadores completo capacitados en ese año con nombre, ruta, numero de unidad y placas..”</w:t>
      </w:r>
      <w:r w:rsidRPr="00803417">
        <w:rPr>
          <w:rFonts w:ascii="Palatino Linotype" w:eastAsia="Palatino Linotype" w:hAnsi="Palatino Linotype" w:cs="Palatino Linotype"/>
        </w:rPr>
        <w:t xml:space="preserve"> (Sic.)</w:t>
      </w:r>
    </w:p>
    <w:p w:rsidR="004542D1" w:rsidRPr="00803417" w:rsidRDefault="004542D1">
      <w:pPr>
        <w:spacing w:line="360" w:lineRule="auto"/>
        <w:ind w:left="851" w:right="568"/>
        <w:jc w:val="both"/>
        <w:rPr>
          <w:rFonts w:ascii="Palatino Linotype" w:eastAsia="Palatino Linotype" w:hAnsi="Palatino Linotype" w:cs="Palatino Linotype"/>
        </w:rPr>
      </w:pPr>
    </w:p>
    <w:p w:rsidR="004542D1" w:rsidRPr="00803417" w:rsidRDefault="00E33CAA">
      <w:pPr>
        <w:spacing w:line="360" w:lineRule="auto"/>
        <w:ind w:left="851" w:right="568"/>
        <w:jc w:val="both"/>
        <w:rPr>
          <w:rFonts w:ascii="Palatino Linotype" w:eastAsia="Palatino Linotype" w:hAnsi="Palatino Linotype" w:cs="Palatino Linotype"/>
        </w:rPr>
      </w:pPr>
      <w:r w:rsidRPr="00803417">
        <w:rPr>
          <w:rFonts w:ascii="Palatino Linotype" w:eastAsia="Palatino Linotype" w:hAnsi="Palatino Linotype" w:cs="Palatino Linotype"/>
          <w:b/>
        </w:rPr>
        <w:lastRenderedPageBreak/>
        <w:t>00498/SMOV/IP/2024</w:t>
      </w:r>
    </w:p>
    <w:p w:rsidR="004542D1" w:rsidRPr="00803417" w:rsidRDefault="004542D1">
      <w:pPr>
        <w:spacing w:line="360" w:lineRule="auto"/>
        <w:ind w:left="851" w:right="568"/>
        <w:jc w:val="both"/>
        <w:rPr>
          <w:rFonts w:ascii="Palatino Linotype" w:eastAsia="Palatino Linotype" w:hAnsi="Palatino Linotype" w:cs="Palatino Linotype"/>
        </w:rPr>
      </w:pPr>
    </w:p>
    <w:p w:rsidR="004542D1" w:rsidRPr="00803417" w:rsidRDefault="00E33CAA">
      <w:pPr>
        <w:tabs>
          <w:tab w:val="left" w:pos="3828"/>
        </w:tabs>
        <w:spacing w:line="360" w:lineRule="auto"/>
        <w:ind w:left="851" w:right="568"/>
        <w:jc w:val="both"/>
        <w:rPr>
          <w:rFonts w:ascii="Palatino Linotype" w:eastAsia="Palatino Linotype" w:hAnsi="Palatino Linotype" w:cs="Palatino Linotype"/>
          <w:i/>
          <w:color w:val="000000"/>
        </w:rPr>
      </w:pPr>
      <w:r w:rsidRPr="00803417">
        <w:rPr>
          <w:rFonts w:ascii="Palatino Linotype" w:eastAsia="Palatino Linotype" w:hAnsi="Palatino Linotype" w:cs="Palatino Linotype"/>
          <w:i/>
        </w:rPr>
        <w:t xml:space="preserve">“Se solicita saber cuántos operadores de transporte público por género fueron capacitados con los documentos que los demuestren del 2016, que institución los capacito, o certificado, el costo de la capacitación, la ruta a la que pertenecían esos operadores. </w:t>
      </w:r>
      <w:proofErr w:type="gramStart"/>
      <w:r w:rsidRPr="00803417">
        <w:rPr>
          <w:rFonts w:ascii="Palatino Linotype" w:eastAsia="Palatino Linotype" w:hAnsi="Palatino Linotype" w:cs="Palatino Linotype"/>
          <w:i/>
        </w:rPr>
        <w:t>el</w:t>
      </w:r>
      <w:proofErr w:type="gramEnd"/>
      <w:r w:rsidRPr="00803417">
        <w:rPr>
          <w:rFonts w:ascii="Palatino Linotype" w:eastAsia="Palatino Linotype" w:hAnsi="Palatino Linotype" w:cs="Palatino Linotype"/>
          <w:i/>
        </w:rPr>
        <w:t xml:space="preserve"> padrón de operadores completo capacitados en ese año con nombre, ruta, numero de unidad y placas. </w:t>
      </w:r>
      <w:r w:rsidRPr="00803417">
        <w:rPr>
          <w:rFonts w:ascii="Palatino Linotype" w:eastAsia="Palatino Linotype" w:hAnsi="Palatino Linotype" w:cs="Palatino Linotype"/>
          <w:i/>
          <w:color w:val="000000"/>
        </w:rPr>
        <w:t>(Sic)</w:t>
      </w:r>
    </w:p>
    <w:p w:rsidR="004542D1" w:rsidRPr="00803417" w:rsidRDefault="004542D1">
      <w:pPr>
        <w:tabs>
          <w:tab w:val="left" w:pos="3828"/>
        </w:tabs>
        <w:spacing w:line="360" w:lineRule="auto"/>
        <w:ind w:right="-876"/>
        <w:jc w:val="both"/>
        <w:rPr>
          <w:rFonts w:ascii="Palatino Linotype" w:eastAsia="Palatino Linotype" w:hAnsi="Palatino Linotype" w:cs="Palatino Linotype"/>
          <w:i/>
          <w:color w:val="000000"/>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rPr>
        <w:t>Se eligió como modalidad de entrega a través de la plataforma digital Sistema de Acceso a la Información Mexiquense (SAIMEX).</w:t>
      </w:r>
    </w:p>
    <w:p w:rsidR="004542D1" w:rsidRPr="00803417" w:rsidRDefault="004542D1">
      <w:pPr>
        <w:spacing w:line="360" w:lineRule="auto"/>
        <w:ind w:right="-876"/>
        <w:jc w:val="both"/>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rPr>
        <w:t xml:space="preserve">En fecha quince de julio de dos mil veinticuatro, se realizaron a los servidores públicos habilitados requerimientos. </w:t>
      </w:r>
    </w:p>
    <w:p w:rsidR="004542D1" w:rsidRPr="00803417" w:rsidRDefault="004542D1">
      <w:pPr>
        <w:ind w:right="-876"/>
        <w:jc w:val="both"/>
        <w:rPr>
          <w:rFonts w:ascii="Palatino Linotype" w:eastAsia="Palatino Linotype" w:hAnsi="Palatino Linotype" w:cs="Palatino Linotype"/>
          <w:i/>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rPr>
        <w:t xml:space="preserve">En fecha dieciséis de agosto de dos mil veinticuatro, el </w:t>
      </w:r>
      <w:r w:rsidRPr="00803417">
        <w:rPr>
          <w:rFonts w:ascii="Palatino Linotype" w:eastAsia="Palatino Linotype" w:hAnsi="Palatino Linotype" w:cs="Palatino Linotype"/>
          <w:b/>
        </w:rPr>
        <w:t>SUJETO OBLIGADO</w:t>
      </w:r>
      <w:r w:rsidRPr="00803417">
        <w:rPr>
          <w:rFonts w:ascii="Palatino Linotype" w:eastAsia="Palatino Linotype" w:hAnsi="Palatino Linotype" w:cs="Palatino Linotype"/>
          <w:b/>
          <w:i/>
        </w:rPr>
        <w:t xml:space="preserve"> </w:t>
      </w:r>
      <w:r w:rsidRPr="00803417">
        <w:rPr>
          <w:rFonts w:ascii="Palatino Linotype" w:eastAsia="Palatino Linotype" w:hAnsi="Palatino Linotype" w:cs="Palatino Linotype"/>
        </w:rPr>
        <w:t>dio respuesta a la solicitudes de información a través de los siguientes archivos electrónicos:</w:t>
      </w:r>
    </w:p>
    <w:p w:rsidR="004542D1" w:rsidRPr="00803417" w:rsidRDefault="004542D1">
      <w:pPr>
        <w:spacing w:line="360" w:lineRule="auto"/>
        <w:ind w:right="-876"/>
        <w:jc w:val="both"/>
        <w:rPr>
          <w:rFonts w:ascii="Palatino Linotype" w:eastAsia="Palatino Linotype" w:hAnsi="Palatino Linotype" w:cs="Palatino Linotype"/>
        </w:rPr>
      </w:pPr>
    </w:p>
    <w:p w:rsidR="004542D1" w:rsidRPr="00803417" w:rsidRDefault="00E33CAA">
      <w:pPr>
        <w:spacing w:line="360" w:lineRule="auto"/>
        <w:ind w:right="-876"/>
        <w:jc w:val="both"/>
        <w:rPr>
          <w:rFonts w:ascii="Palatino Linotype" w:eastAsia="Palatino Linotype" w:hAnsi="Palatino Linotype" w:cs="Palatino Linotype"/>
          <w:b/>
        </w:rPr>
      </w:pPr>
      <w:r w:rsidRPr="00803417">
        <w:rPr>
          <w:rFonts w:ascii="Palatino Linotype" w:eastAsia="Palatino Linotype" w:hAnsi="Palatino Linotype" w:cs="Palatino Linotype"/>
          <w:b/>
        </w:rPr>
        <w:t>04898/INFOEM/IP/RR/2024</w:t>
      </w:r>
    </w:p>
    <w:p w:rsidR="004542D1" w:rsidRPr="00803417" w:rsidRDefault="00E33CAA">
      <w:pPr>
        <w:spacing w:line="360" w:lineRule="auto"/>
        <w:ind w:right="-876"/>
        <w:jc w:val="both"/>
        <w:rPr>
          <w:rFonts w:ascii="Palatino Linotype" w:eastAsia="Palatino Linotype" w:hAnsi="Palatino Linotype" w:cs="Palatino Linotype"/>
          <w:b/>
        </w:rPr>
      </w:pPr>
      <w:r w:rsidRPr="00803417">
        <w:rPr>
          <w:rFonts w:ascii="Palatino Linotype" w:eastAsia="Palatino Linotype" w:hAnsi="Palatino Linotype" w:cs="Palatino Linotype"/>
          <w:b/>
        </w:rPr>
        <w:t>00499/SMOV/IP/2024</w:t>
      </w:r>
    </w:p>
    <w:p w:rsidR="004542D1" w:rsidRPr="00803417" w:rsidRDefault="004542D1">
      <w:pPr>
        <w:spacing w:line="360" w:lineRule="auto"/>
        <w:ind w:right="-876"/>
        <w:jc w:val="both"/>
        <w:rPr>
          <w:rFonts w:ascii="Palatino Linotype" w:eastAsia="Palatino Linotype" w:hAnsi="Palatino Linotype" w:cs="Palatino Linotype"/>
          <w:b/>
        </w:rPr>
      </w:pPr>
    </w:p>
    <w:p w:rsidR="004542D1" w:rsidRPr="00803417" w:rsidRDefault="00E33CAA">
      <w:pPr>
        <w:spacing w:line="360" w:lineRule="auto"/>
        <w:ind w:left="851" w:right="-876"/>
        <w:jc w:val="both"/>
        <w:rPr>
          <w:rFonts w:ascii="Palatino Linotype" w:eastAsia="Palatino Linotype" w:hAnsi="Palatino Linotype" w:cs="Palatino Linotype"/>
        </w:rPr>
      </w:pPr>
      <w:r w:rsidRPr="00803417">
        <w:rPr>
          <w:rFonts w:ascii="Palatino Linotype" w:eastAsia="Palatino Linotype" w:hAnsi="Palatino Linotype" w:cs="Palatino Linotype"/>
        </w:rPr>
        <w:t xml:space="preserve">Al respecto me permito dar respuesta en competencia del Instituto del Transporte en los siguientes términos: Después de una exhaustiva búsqueda en los archivos físicos y electrónicos que obran en este Instituto del Transporte del Estado de México, no se localizó la información solicitada. Para lo cual, con fundamento en el artículo 169, </w:t>
      </w:r>
      <w:r w:rsidRPr="00803417">
        <w:rPr>
          <w:rFonts w:ascii="Palatino Linotype" w:eastAsia="Palatino Linotype" w:hAnsi="Palatino Linotype" w:cs="Palatino Linotype"/>
        </w:rPr>
        <w:lastRenderedPageBreak/>
        <w:t>párrafo tercero y 170 de la Ley de Transparencia y Acceso a la Información Pública del Estado de México y Municipios, se solicita a la Unidad de Transparencia la resolución de inexistencia</w:t>
      </w:r>
    </w:p>
    <w:p w:rsidR="004542D1" w:rsidRPr="00803417" w:rsidRDefault="00E33CAA">
      <w:pPr>
        <w:spacing w:line="360" w:lineRule="auto"/>
        <w:ind w:left="851" w:right="-876"/>
        <w:jc w:val="both"/>
        <w:rPr>
          <w:rFonts w:ascii="Palatino Linotype" w:eastAsia="Palatino Linotype" w:hAnsi="Palatino Linotype" w:cs="Palatino Linotype"/>
        </w:rPr>
      </w:pPr>
      <w:r w:rsidRPr="00803417">
        <w:rPr>
          <w:rFonts w:ascii="Palatino Linotype" w:eastAsia="Palatino Linotype" w:hAnsi="Palatino Linotype" w:cs="Palatino Linotype"/>
        </w:rPr>
        <w:t>ATENTAMENTE</w:t>
      </w:r>
    </w:p>
    <w:p w:rsidR="004542D1" w:rsidRPr="00803417" w:rsidRDefault="00E33CAA">
      <w:pPr>
        <w:spacing w:line="360" w:lineRule="auto"/>
        <w:ind w:left="851" w:right="-876"/>
        <w:jc w:val="both"/>
        <w:rPr>
          <w:rFonts w:ascii="Palatino Linotype" w:eastAsia="Palatino Linotype" w:hAnsi="Palatino Linotype" w:cs="Palatino Linotype"/>
        </w:rPr>
      </w:pPr>
      <w:r w:rsidRPr="00803417">
        <w:rPr>
          <w:rFonts w:ascii="Palatino Linotype" w:eastAsia="Palatino Linotype" w:hAnsi="Palatino Linotype" w:cs="Palatino Linotype"/>
        </w:rPr>
        <w:t>Lic. Alejandro Hernández Aguilar.</w:t>
      </w:r>
    </w:p>
    <w:p w:rsidR="004542D1" w:rsidRPr="00803417" w:rsidRDefault="004542D1">
      <w:pPr>
        <w:spacing w:line="360" w:lineRule="auto"/>
        <w:ind w:left="851" w:right="-876"/>
        <w:jc w:val="both"/>
        <w:rPr>
          <w:rFonts w:ascii="Palatino Linotype" w:eastAsia="Palatino Linotype" w:hAnsi="Palatino Linotype" w:cs="Palatino Linotype"/>
        </w:rPr>
      </w:pPr>
    </w:p>
    <w:p w:rsidR="004542D1" w:rsidRPr="00803417" w:rsidRDefault="00E33CAA">
      <w:pPr>
        <w:spacing w:line="360" w:lineRule="auto"/>
        <w:ind w:left="851" w:right="-876"/>
        <w:jc w:val="both"/>
        <w:rPr>
          <w:rFonts w:ascii="Palatino Linotype" w:eastAsia="Palatino Linotype" w:hAnsi="Palatino Linotype" w:cs="Palatino Linotype"/>
        </w:rPr>
      </w:pPr>
      <w:r w:rsidRPr="00803417">
        <w:rPr>
          <w:rFonts w:ascii="Palatino Linotype" w:eastAsia="Palatino Linotype" w:hAnsi="Palatino Linotype" w:cs="Palatino Linotype"/>
        </w:rPr>
        <w:t>A su respuesta no adjunto ningún archivo electrónico.</w:t>
      </w:r>
    </w:p>
    <w:p w:rsidR="004542D1" w:rsidRPr="00803417" w:rsidRDefault="004542D1">
      <w:pPr>
        <w:spacing w:line="360" w:lineRule="auto"/>
        <w:ind w:right="-876"/>
        <w:jc w:val="both"/>
        <w:rPr>
          <w:rFonts w:ascii="Palatino Linotype" w:eastAsia="Palatino Linotype" w:hAnsi="Palatino Linotype" w:cs="Palatino Linotype"/>
          <w:b/>
        </w:rPr>
      </w:pPr>
    </w:p>
    <w:p w:rsidR="004542D1" w:rsidRPr="00803417" w:rsidRDefault="00E33CAA">
      <w:pPr>
        <w:spacing w:line="360" w:lineRule="auto"/>
        <w:ind w:right="-876"/>
        <w:jc w:val="both"/>
        <w:rPr>
          <w:rFonts w:ascii="Palatino Linotype" w:eastAsia="Palatino Linotype" w:hAnsi="Palatino Linotype" w:cs="Palatino Linotype"/>
          <w:b/>
        </w:rPr>
      </w:pPr>
      <w:r w:rsidRPr="00803417">
        <w:rPr>
          <w:rFonts w:ascii="Palatino Linotype" w:eastAsia="Palatino Linotype" w:hAnsi="Palatino Linotype" w:cs="Palatino Linotype"/>
          <w:b/>
        </w:rPr>
        <w:t>04899/INFOEM/IP/RR/2024</w:t>
      </w:r>
    </w:p>
    <w:p w:rsidR="004542D1" w:rsidRPr="00803417" w:rsidRDefault="00E33CAA">
      <w:pPr>
        <w:spacing w:line="360" w:lineRule="auto"/>
        <w:ind w:right="-876"/>
        <w:jc w:val="both"/>
        <w:rPr>
          <w:rFonts w:ascii="Palatino Linotype" w:eastAsia="Palatino Linotype" w:hAnsi="Palatino Linotype" w:cs="Palatino Linotype"/>
          <w:b/>
        </w:rPr>
      </w:pPr>
      <w:r w:rsidRPr="00803417">
        <w:rPr>
          <w:rFonts w:ascii="Palatino Linotype" w:eastAsia="Palatino Linotype" w:hAnsi="Palatino Linotype" w:cs="Palatino Linotype"/>
          <w:b/>
        </w:rPr>
        <w:t>00498/SMOV/IP/2024</w:t>
      </w:r>
    </w:p>
    <w:p w:rsidR="004542D1" w:rsidRPr="00803417" w:rsidRDefault="004542D1">
      <w:pPr>
        <w:spacing w:line="360" w:lineRule="auto"/>
        <w:ind w:right="-876"/>
        <w:jc w:val="both"/>
        <w:rPr>
          <w:rFonts w:ascii="Palatino Linotype" w:eastAsia="Palatino Linotype" w:hAnsi="Palatino Linotype" w:cs="Palatino Linotype"/>
          <w:b/>
        </w:rPr>
      </w:pPr>
    </w:p>
    <w:p w:rsidR="004542D1" w:rsidRPr="00803417" w:rsidRDefault="00E33CAA">
      <w:pPr>
        <w:spacing w:line="360" w:lineRule="auto"/>
        <w:ind w:left="851" w:right="-876"/>
        <w:jc w:val="both"/>
        <w:rPr>
          <w:rFonts w:ascii="Palatino Linotype" w:eastAsia="Palatino Linotype" w:hAnsi="Palatino Linotype" w:cs="Palatino Linotype"/>
        </w:rPr>
      </w:pPr>
      <w:r w:rsidRPr="00803417">
        <w:rPr>
          <w:rFonts w:ascii="Palatino Linotype" w:eastAsia="Palatino Linotype" w:hAnsi="Palatino Linotype" w:cs="Palatino Linotype"/>
        </w:rPr>
        <w:t>Al respecto me permito dar respuesta en competencia del Instituto del Transporte en los siguientes términos: Después de una exhaustiva búsqueda en los archivos físicos y electrónicos que obran en este Instituto del Transporte del Estado de México, no se localizó la información solicitada. Para lo cual, con fundamento en el artículo 169, párrafo tercero y 170 de la Ley de Transparencia y Acceso a la Información Pública del Estado de México y Municipios, se solicita a la Unidad de Transparencia la resolución de inexistencia</w:t>
      </w:r>
    </w:p>
    <w:p w:rsidR="004542D1" w:rsidRPr="00803417" w:rsidRDefault="004542D1">
      <w:pPr>
        <w:spacing w:line="360" w:lineRule="auto"/>
        <w:ind w:left="851" w:right="-876"/>
        <w:jc w:val="both"/>
        <w:rPr>
          <w:rFonts w:ascii="Palatino Linotype" w:eastAsia="Palatino Linotype" w:hAnsi="Palatino Linotype" w:cs="Palatino Linotype"/>
        </w:rPr>
      </w:pPr>
    </w:p>
    <w:p w:rsidR="004542D1" w:rsidRPr="00803417" w:rsidRDefault="00E33CAA">
      <w:pPr>
        <w:pBdr>
          <w:top w:val="nil"/>
          <w:left w:val="nil"/>
          <w:bottom w:val="nil"/>
          <w:right w:val="nil"/>
          <w:between w:val="nil"/>
        </w:pBdr>
        <w:spacing w:line="360" w:lineRule="auto"/>
        <w:ind w:left="851" w:right="-876"/>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ATENTAMENTE</w:t>
      </w:r>
    </w:p>
    <w:p w:rsidR="004542D1" w:rsidRPr="00803417" w:rsidRDefault="00E33CAA">
      <w:pPr>
        <w:pBdr>
          <w:top w:val="nil"/>
          <w:left w:val="nil"/>
          <w:bottom w:val="nil"/>
          <w:right w:val="nil"/>
          <w:between w:val="nil"/>
        </w:pBdr>
        <w:spacing w:line="360" w:lineRule="auto"/>
        <w:ind w:left="851" w:right="-876"/>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Lic. Alejandro Hernández Aguilar</w:t>
      </w:r>
    </w:p>
    <w:p w:rsidR="004542D1" w:rsidRPr="00803417" w:rsidRDefault="004542D1">
      <w:pPr>
        <w:spacing w:line="360" w:lineRule="auto"/>
        <w:ind w:right="-876"/>
        <w:jc w:val="both"/>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bookmarkStart w:id="1" w:name="_heading=h.30j0zll" w:colFirst="0" w:colLast="0"/>
      <w:bookmarkEnd w:id="1"/>
      <w:r w:rsidRPr="00803417">
        <w:rPr>
          <w:rFonts w:ascii="Palatino Linotype" w:eastAsia="Palatino Linotype" w:hAnsi="Palatino Linotype" w:cs="Palatino Linotype"/>
        </w:rPr>
        <w:lastRenderedPageBreak/>
        <w:t xml:space="preserve">El diecinueve de agosto de dos mil veinticuatro, </w:t>
      </w:r>
      <w:r w:rsidRPr="00803417">
        <w:rPr>
          <w:rFonts w:ascii="Palatino Linotype" w:eastAsia="Palatino Linotype" w:hAnsi="Palatino Linotype" w:cs="Palatino Linotype"/>
          <w:b/>
        </w:rPr>
        <w:t>EL RECURRENTE</w:t>
      </w:r>
      <w:r w:rsidRPr="00803417">
        <w:rPr>
          <w:rFonts w:ascii="Palatino Linotype" w:eastAsia="Palatino Linotype" w:hAnsi="Palatino Linotype" w:cs="Palatino Linotype"/>
        </w:rPr>
        <w:t xml:space="preserve"> interpuso los recursos de revisión, en contra de la respuestas, señalando como:</w:t>
      </w:r>
    </w:p>
    <w:p w:rsidR="004542D1" w:rsidRPr="00803417" w:rsidRDefault="004542D1">
      <w:pPr>
        <w:ind w:left="-283" w:right="257"/>
        <w:jc w:val="both"/>
        <w:rPr>
          <w:rFonts w:ascii="Palatino Linotype" w:eastAsia="Palatino Linotype" w:hAnsi="Palatino Linotype" w:cs="Palatino Linotype"/>
          <w:b/>
          <w:sz w:val="22"/>
          <w:szCs w:val="22"/>
        </w:rPr>
      </w:pPr>
    </w:p>
    <w:p w:rsidR="004542D1" w:rsidRPr="00803417" w:rsidRDefault="00E33CAA">
      <w:pPr>
        <w:spacing w:line="360" w:lineRule="auto"/>
        <w:ind w:right="-876"/>
        <w:jc w:val="both"/>
        <w:rPr>
          <w:rFonts w:ascii="Palatino Linotype" w:eastAsia="Palatino Linotype" w:hAnsi="Palatino Linotype" w:cs="Palatino Linotype"/>
          <w:b/>
        </w:rPr>
      </w:pPr>
      <w:r w:rsidRPr="00803417">
        <w:rPr>
          <w:rFonts w:ascii="Palatino Linotype" w:eastAsia="Palatino Linotype" w:hAnsi="Palatino Linotype" w:cs="Palatino Linotype"/>
          <w:b/>
        </w:rPr>
        <w:t>04898/INFOEM/IP/RR/2024</w:t>
      </w:r>
    </w:p>
    <w:p w:rsidR="004542D1" w:rsidRPr="00803417" w:rsidRDefault="00E33CAA">
      <w:pPr>
        <w:spacing w:line="360" w:lineRule="auto"/>
        <w:ind w:right="-876"/>
        <w:jc w:val="both"/>
        <w:rPr>
          <w:rFonts w:ascii="Palatino Linotype" w:eastAsia="Palatino Linotype" w:hAnsi="Palatino Linotype" w:cs="Palatino Linotype"/>
          <w:b/>
        </w:rPr>
      </w:pPr>
      <w:r w:rsidRPr="00803417">
        <w:rPr>
          <w:rFonts w:ascii="Palatino Linotype" w:eastAsia="Palatino Linotype" w:hAnsi="Palatino Linotype" w:cs="Palatino Linotype"/>
          <w:b/>
        </w:rPr>
        <w:t>00499/SMOV/IP/2024</w:t>
      </w:r>
    </w:p>
    <w:p w:rsidR="004542D1" w:rsidRPr="00803417" w:rsidRDefault="004542D1">
      <w:pPr>
        <w:ind w:left="-283" w:right="257"/>
        <w:jc w:val="both"/>
        <w:rPr>
          <w:rFonts w:ascii="Palatino Linotype" w:eastAsia="Palatino Linotype" w:hAnsi="Palatino Linotype" w:cs="Palatino Linotype"/>
          <w:b/>
          <w:sz w:val="22"/>
          <w:szCs w:val="22"/>
        </w:rPr>
      </w:pPr>
    </w:p>
    <w:p w:rsidR="004542D1" w:rsidRPr="00803417" w:rsidRDefault="00E33CAA">
      <w:pPr>
        <w:numPr>
          <w:ilvl w:val="0"/>
          <w:numId w:val="1"/>
        </w:numPr>
        <w:spacing w:line="360" w:lineRule="auto"/>
        <w:ind w:right="257"/>
        <w:jc w:val="both"/>
        <w:rPr>
          <w:rFonts w:ascii="Palatino Linotype" w:eastAsia="Palatino Linotype" w:hAnsi="Palatino Linotype" w:cs="Palatino Linotype"/>
          <w:sz w:val="22"/>
          <w:szCs w:val="22"/>
        </w:rPr>
      </w:pPr>
      <w:r w:rsidRPr="00803417">
        <w:rPr>
          <w:rFonts w:ascii="Palatino Linotype" w:eastAsia="Palatino Linotype" w:hAnsi="Palatino Linotype" w:cs="Palatino Linotype"/>
          <w:b/>
          <w:sz w:val="22"/>
          <w:szCs w:val="22"/>
        </w:rPr>
        <w:t>Acto impugnado</w:t>
      </w:r>
      <w:r w:rsidRPr="00803417">
        <w:rPr>
          <w:rFonts w:ascii="Palatino Linotype" w:eastAsia="Palatino Linotype" w:hAnsi="Palatino Linotype" w:cs="Palatino Linotype"/>
          <w:b/>
          <w:i/>
          <w:sz w:val="22"/>
          <w:szCs w:val="22"/>
        </w:rPr>
        <w:t>:</w:t>
      </w:r>
      <w:r w:rsidRPr="00803417">
        <w:rPr>
          <w:rFonts w:ascii="Palatino Linotype" w:eastAsia="Palatino Linotype" w:hAnsi="Palatino Linotype" w:cs="Palatino Linotype"/>
          <w:i/>
          <w:color w:val="000000"/>
          <w:sz w:val="22"/>
          <w:szCs w:val="22"/>
        </w:rPr>
        <w:t xml:space="preserve"> “no entregan información que si deben tener la oculta” (Sic)</w:t>
      </w:r>
    </w:p>
    <w:p w:rsidR="004542D1" w:rsidRPr="00803417" w:rsidRDefault="004542D1">
      <w:pPr>
        <w:spacing w:line="360" w:lineRule="auto"/>
        <w:ind w:right="257"/>
        <w:jc w:val="both"/>
        <w:rPr>
          <w:rFonts w:ascii="Palatino Linotype" w:eastAsia="Palatino Linotype" w:hAnsi="Palatino Linotype" w:cs="Palatino Linotype"/>
          <w:sz w:val="22"/>
          <w:szCs w:val="22"/>
        </w:rPr>
      </w:pPr>
    </w:p>
    <w:p w:rsidR="004542D1" w:rsidRPr="00803417" w:rsidRDefault="00E33CAA">
      <w:pPr>
        <w:numPr>
          <w:ilvl w:val="0"/>
          <w:numId w:val="1"/>
        </w:numPr>
        <w:spacing w:line="360" w:lineRule="auto"/>
        <w:ind w:right="257"/>
        <w:jc w:val="both"/>
        <w:rPr>
          <w:rFonts w:ascii="Palatino Linotype" w:eastAsia="Palatino Linotype" w:hAnsi="Palatino Linotype" w:cs="Palatino Linotype"/>
          <w:sz w:val="22"/>
          <w:szCs w:val="22"/>
        </w:rPr>
      </w:pPr>
      <w:r w:rsidRPr="00803417">
        <w:rPr>
          <w:rFonts w:ascii="Palatino Linotype" w:eastAsia="Palatino Linotype" w:hAnsi="Palatino Linotype" w:cs="Palatino Linotype"/>
          <w:b/>
          <w:sz w:val="22"/>
          <w:szCs w:val="22"/>
        </w:rPr>
        <w:t>Razones o Motivos de inconformidad:</w:t>
      </w:r>
      <w:r w:rsidRPr="00803417">
        <w:rPr>
          <w:rFonts w:ascii="Palatino Linotype" w:eastAsia="Palatino Linotype" w:hAnsi="Palatino Linotype" w:cs="Palatino Linotype"/>
          <w:b/>
          <w:color w:val="2E75B5"/>
          <w:sz w:val="22"/>
          <w:szCs w:val="22"/>
        </w:rPr>
        <w:t xml:space="preserve"> </w:t>
      </w:r>
      <w:r w:rsidRPr="00803417">
        <w:rPr>
          <w:rFonts w:ascii="Palatino Linotype" w:eastAsia="Palatino Linotype" w:hAnsi="Palatino Linotype" w:cs="Palatino Linotype"/>
          <w:i/>
          <w:sz w:val="22"/>
          <w:szCs w:val="22"/>
        </w:rPr>
        <w:t xml:space="preserve">“no entrega la </w:t>
      </w:r>
      <w:proofErr w:type="spellStart"/>
      <w:r w:rsidRPr="00803417">
        <w:rPr>
          <w:rFonts w:ascii="Palatino Linotype" w:eastAsia="Palatino Linotype" w:hAnsi="Palatino Linotype" w:cs="Palatino Linotype"/>
          <w:i/>
          <w:sz w:val="22"/>
          <w:szCs w:val="22"/>
        </w:rPr>
        <w:t>informaicón</w:t>
      </w:r>
      <w:proofErr w:type="spellEnd"/>
      <w:r w:rsidRPr="00803417">
        <w:rPr>
          <w:rFonts w:ascii="Palatino Linotype" w:eastAsia="Palatino Linotype" w:hAnsi="Palatino Linotype" w:cs="Palatino Linotype"/>
          <w:i/>
          <w:sz w:val="22"/>
          <w:szCs w:val="22"/>
        </w:rPr>
        <w:t>.”</w:t>
      </w:r>
      <w:r w:rsidRPr="00803417">
        <w:rPr>
          <w:rFonts w:ascii="Palatino Linotype" w:eastAsia="Palatino Linotype" w:hAnsi="Palatino Linotype" w:cs="Palatino Linotype"/>
          <w:i/>
          <w:color w:val="000000"/>
          <w:sz w:val="22"/>
          <w:szCs w:val="22"/>
        </w:rPr>
        <w:t xml:space="preserve"> (Sic).</w:t>
      </w:r>
    </w:p>
    <w:p w:rsidR="004542D1" w:rsidRPr="00803417" w:rsidRDefault="004542D1">
      <w:pPr>
        <w:spacing w:line="360" w:lineRule="auto"/>
        <w:ind w:right="257"/>
        <w:jc w:val="both"/>
        <w:rPr>
          <w:rFonts w:ascii="Palatino Linotype" w:eastAsia="Palatino Linotype" w:hAnsi="Palatino Linotype" w:cs="Palatino Linotype"/>
          <w:sz w:val="22"/>
          <w:szCs w:val="22"/>
        </w:rPr>
      </w:pPr>
    </w:p>
    <w:p w:rsidR="004542D1" w:rsidRPr="00803417" w:rsidRDefault="00E33CAA">
      <w:pPr>
        <w:spacing w:line="360" w:lineRule="auto"/>
        <w:ind w:right="-876"/>
        <w:jc w:val="both"/>
        <w:rPr>
          <w:rFonts w:ascii="Palatino Linotype" w:eastAsia="Palatino Linotype" w:hAnsi="Palatino Linotype" w:cs="Palatino Linotype"/>
          <w:b/>
        </w:rPr>
      </w:pPr>
      <w:r w:rsidRPr="00803417">
        <w:rPr>
          <w:rFonts w:ascii="Palatino Linotype" w:eastAsia="Palatino Linotype" w:hAnsi="Palatino Linotype" w:cs="Palatino Linotype"/>
          <w:b/>
        </w:rPr>
        <w:t>04899/INFOEM/IP/RR/2024</w:t>
      </w:r>
    </w:p>
    <w:p w:rsidR="004542D1" w:rsidRPr="00803417" w:rsidRDefault="00E33CAA">
      <w:pPr>
        <w:spacing w:line="360" w:lineRule="auto"/>
        <w:ind w:right="-876"/>
        <w:jc w:val="both"/>
        <w:rPr>
          <w:rFonts w:ascii="Palatino Linotype" w:eastAsia="Palatino Linotype" w:hAnsi="Palatino Linotype" w:cs="Palatino Linotype"/>
          <w:b/>
        </w:rPr>
      </w:pPr>
      <w:r w:rsidRPr="00803417">
        <w:rPr>
          <w:rFonts w:ascii="Palatino Linotype" w:eastAsia="Palatino Linotype" w:hAnsi="Palatino Linotype" w:cs="Palatino Linotype"/>
          <w:b/>
        </w:rPr>
        <w:t>00498/SMOV/IP/2024</w:t>
      </w:r>
    </w:p>
    <w:p w:rsidR="004542D1" w:rsidRPr="00803417" w:rsidRDefault="004542D1">
      <w:pPr>
        <w:pBdr>
          <w:top w:val="nil"/>
          <w:left w:val="nil"/>
          <w:bottom w:val="nil"/>
          <w:right w:val="nil"/>
          <w:between w:val="nil"/>
        </w:pBdr>
        <w:ind w:right="257"/>
        <w:rPr>
          <w:rFonts w:ascii="Palatino Linotype" w:eastAsia="Palatino Linotype" w:hAnsi="Palatino Linotype" w:cs="Palatino Linotype"/>
          <w:color w:val="000000"/>
          <w:sz w:val="22"/>
          <w:szCs w:val="22"/>
        </w:rPr>
      </w:pPr>
    </w:p>
    <w:p w:rsidR="004542D1" w:rsidRPr="00803417" w:rsidRDefault="00E33CAA">
      <w:pPr>
        <w:numPr>
          <w:ilvl w:val="0"/>
          <w:numId w:val="10"/>
        </w:numPr>
        <w:spacing w:line="360" w:lineRule="auto"/>
        <w:ind w:right="257"/>
        <w:jc w:val="both"/>
        <w:rPr>
          <w:rFonts w:ascii="Palatino Linotype" w:eastAsia="Palatino Linotype" w:hAnsi="Palatino Linotype" w:cs="Palatino Linotype"/>
          <w:sz w:val="22"/>
          <w:szCs w:val="22"/>
        </w:rPr>
      </w:pPr>
      <w:r w:rsidRPr="00803417">
        <w:rPr>
          <w:rFonts w:ascii="Palatino Linotype" w:eastAsia="Palatino Linotype" w:hAnsi="Palatino Linotype" w:cs="Palatino Linotype"/>
          <w:b/>
          <w:sz w:val="22"/>
          <w:szCs w:val="22"/>
        </w:rPr>
        <w:t>Acto impugnado</w:t>
      </w:r>
      <w:r w:rsidRPr="00803417">
        <w:rPr>
          <w:rFonts w:ascii="Palatino Linotype" w:eastAsia="Palatino Linotype" w:hAnsi="Palatino Linotype" w:cs="Palatino Linotype"/>
          <w:b/>
          <w:i/>
          <w:sz w:val="22"/>
          <w:szCs w:val="22"/>
        </w:rPr>
        <w:t>:</w:t>
      </w:r>
      <w:r w:rsidRPr="00803417">
        <w:rPr>
          <w:rFonts w:ascii="Palatino Linotype" w:eastAsia="Palatino Linotype" w:hAnsi="Palatino Linotype" w:cs="Palatino Linotype"/>
          <w:i/>
          <w:color w:val="000000"/>
          <w:sz w:val="22"/>
          <w:szCs w:val="22"/>
        </w:rPr>
        <w:t xml:space="preserve"> “no entrega la información la oculta.” (Sic)</w:t>
      </w:r>
    </w:p>
    <w:p w:rsidR="004542D1" w:rsidRPr="00803417" w:rsidRDefault="004542D1">
      <w:pPr>
        <w:spacing w:line="360" w:lineRule="auto"/>
        <w:ind w:left="720" w:right="257"/>
        <w:jc w:val="both"/>
        <w:rPr>
          <w:rFonts w:ascii="Palatino Linotype" w:eastAsia="Palatino Linotype" w:hAnsi="Palatino Linotype" w:cs="Palatino Linotype"/>
          <w:sz w:val="22"/>
          <w:szCs w:val="22"/>
        </w:rPr>
      </w:pPr>
    </w:p>
    <w:p w:rsidR="004542D1" w:rsidRPr="00803417" w:rsidRDefault="00E33CAA">
      <w:pPr>
        <w:numPr>
          <w:ilvl w:val="0"/>
          <w:numId w:val="10"/>
        </w:numPr>
        <w:spacing w:line="360" w:lineRule="auto"/>
        <w:ind w:right="257"/>
        <w:jc w:val="both"/>
        <w:rPr>
          <w:rFonts w:ascii="Palatino Linotype" w:eastAsia="Palatino Linotype" w:hAnsi="Palatino Linotype" w:cs="Palatino Linotype"/>
          <w:sz w:val="22"/>
          <w:szCs w:val="22"/>
        </w:rPr>
      </w:pPr>
      <w:r w:rsidRPr="00803417">
        <w:rPr>
          <w:rFonts w:ascii="Palatino Linotype" w:eastAsia="Palatino Linotype" w:hAnsi="Palatino Linotype" w:cs="Palatino Linotype"/>
          <w:b/>
          <w:sz w:val="22"/>
          <w:szCs w:val="22"/>
        </w:rPr>
        <w:t>Razones o Motivos de inconformidad:</w:t>
      </w:r>
      <w:r w:rsidRPr="00803417">
        <w:rPr>
          <w:rFonts w:ascii="Palatino Linotype" w:eastAsia="Palatino Linotype" w:hAnsi="Palatino Linotype" w:cs="Palatino Linotype"/>
          <w:b/>
          <w:color w:val="2E75B5"/>
          <w:sz w:val="22"/>
          <w:szCs w:val="22"/>
        </w:rPr>
        <w:t xml:space="preserve"> </w:t>
      </w:r>
      <w:r w:rsidRPr="00803417">
        <w:rPr>
          <w:rFonts w:ascii="Palatino Linotype" w:eastAsia="Palatino Linotype" w:hAnsi="Palatino Linotype" w:cs="Palatino Linotype"/>
          <w:i/>
          <w:sz w:val="22"/>
          <w:szCs w:val="22"/>
        </w:rPr>
        <w:t>“no entrega la información la oculta</w:t>
      </w:r>
      <w:r w:rsidRPr="00803417">
        <w:rPr>
          <w:rFonts w:ascii="Palatino Linotype" w:eastAsia="Palatino Linotype" w:hAnsi="Palatino Linotype" w:cs="Palatino Linotype"/>
          <w:color w:val="000000"/>
          <w:sz w:val="22"/>
          <w:szCs w:val="22"/>
        </w:rPr>
        <w:t>.”(SIC.)</w:t>
      </w:r>
    </w:p>
    <w:p w:rsidR="004542D1" w:rsidRPr="00803417" w:rsidRDefault="004542D1">
      <w:pPr>
        <w:spacing w:line="360" w:lineRule="auto"/>
        <w:ind w:right="-876"/>
        <w:jc w:val="both"/>
        <w:rPr>
          <w:rFonts w:ascii="Palatino Linotype" w:eastAsia="Palatino Linotype" w:hAnsi="Palatino Linotype" w:cs="Palatino Linotype"/>
          <w:i/>
          <w:color w:val="000000"/>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rPr>
        <w:t xml:space="preserve">Se registraron los recursos de revisión bajo el número de expediente al rubro indicado, asimismo con fundamento en lo dispuesto por el artículo 185 fracción I de la </w:t>
      </w:r>
      <w:r w:rsidRPr="00803417">
        <w:rPr>
          <w:rFonts w:ascii="Palatino Linotype" w:eastAsia="Palatino Linotype" w:hAnsi="Palatino Linotype" w:cs="Palatino Linotype"/>
          <w:b/>
        </w:rPr>
        <w:t xml:space="preserve">Ley de Transparencia y Acceso a la Información Pública del Estado de México y Municipios </w:t>
      </w:r>
      <w:r w:rsidRPr="00803417">
        <w:rPr>
          <w:rFonts w:ascii="Palatino Linotype" w:eastAsia="Palatino Linotype" w:hAnsi="Palatino Linotype" w:cs="Palatino Linotype"/>
        </w:rPr>
        <w:t xml:space="preserve">se turna a la </w:t>
      </w:r>
      <w:r w:rsidRPr="00803417">
        <w:rPr>
          <w:rFonts w:ascii="Palatino Linotype" w:eastAsia="Palatino Linotype" w:hAnsi="Palatino Linotype" w:cs="Palatino Linotype"/>
          <w:b/>
        </w:rPr>
        <w:t xml:space="preserve">Comisionada María del Rosario Mejía Ayala, </w:t>
      </w:r>
      <w:r w:rsidRPr="00803417">
        <w:rPr>
          <w:rFonts w:ascii="Palatino Linotype" w:eastAsia="Palatino Linotype" w:hAnsi="Palatino Linotype" w:cs="Palatino Linotype"/>
        </w:rPr>
        <w:t xml:space="preserve">para su análisis. </w:t>
      </w:r>
    </w:p>
    <w:p w:rsidR="004542D1" w:rsidRPr="00803417" w:rsidRDefault="004542D1">
      <w:pPr>
        <w:spacing w:line="360" w:lineRule="auto"/>
        <w:ind w:right="-876"/>
        <w:jc w:val="both"/>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b/>
        </w:rPr>
      </w:pPr>
      <w:r w:rsidRPr="00803417">
        <w:rPr>
          <w:rFonts w:ascii="Palatino Linotype" w:eastAsia="Palatino Linotype" w:hAnsi="Palatino Linotype" w:cs="Palatino Linotype"/>
        </w:rPr>
        <w:t xml:space="preserve">La Comisionada Ponente con fundamento en lo dispuesto por el artículo 185 fracción II de la ley de la materia, a través de los acuerdo de admisión de fechas veintidós y veintiséis  de Agosto de dos mil veinticuatro , puso a disposición de las partes los expedientes electrónicos </w:t>
      </w:r>
      <w:r w:rsidRPr="00803417">
        <w:rPr>
          <w:rFonts w:ascii="Palatino Linotype" w:eastAsia="Palatino Linotype" w:hAnsi="Palatino Linotype" w:cs="Palatino Linotype"/>
        </w:rPr>
        <w:lastRenderedPageBreak/>
        <w:t>vía SAIMEX a efecto de que en un plazo máximo de siete días manifestara lo que a derecho conviniera, ofreciera pruebas y alegatos según corresponda al caso concreto, de esta forma para que el SUJETO OBLIGADO presentará el informe justificado procedente.</w:t>
      </w:r>
    </w:p>
    <w:p w:rsidR="004542D1" w:rsidRPr="00803417" w:rsidRDefault="004542D1">
      <w:pPr>
        <w:spacing w:line="360" w:lineRule="auto"/>
        <w:ind w:right="-876"/>
        <w:jc w:val="both"/>
        <w:rPr>
          <w:rFonts w:ascii="Palatino Linotype" w:eastAsia="Palatino Linotype" w:hAnsi="Palatino Linotype" w:cs="Palatino Linotype"/>
          <w:b/>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rPr>
        <w:t>En fechas treinta de agosto y cuatro de septiembre de dos mil veinticuatro, el Sujeto Obligado realizó manifestaciones, adjuntando los siguientes archivos electrónicos.</w:t>
      </w:r>
    </w:p>
    <w:p w:rsidR="004542D1" w:rsidRPr="00803417" w:rsidRDefault="004542D1">
      <w:pPr>
        <w:pBdr>
          <w:top w:val="nil"/>
          <w:left w:val="nil"/>
          <w:bottom w:val="nil"/>
          <w:right w:val="nil"/>
          <w:between w:val="nil"/>
        </w:pBdr>
        <w:ind w:left="720"/>
        <w:rPr>
          <w:rFonts w:ascii="Palatino Linotype" w:eastAsia="Palatino Linotype" w:hAnsi="Palatino Linotype" w:cs="Palatino Linotype"/>
          <w:color w:val="000000"/>
        </w:rPr>
      </w:pPr>
    </w:p>
    <w:p w:rsidR="004542D1" w:rsidRPr="00803417" w:rsidRDefault="00E33CAA">
      <w:pPr>
        <w:spacing w:line="360" w:lineRule="auto"/>
        <w:ind w:right="-876"/>
        <w:jc w:val="both"/>
        <w:rPr>
          <w:rFonts w:ascii="Palatino Linotype" w:eastAsia="Palatino Linotype" w:hAnsi="Palatino Linotype" w:cs="Palatino Linotype"/>
          <w:b/>
        </w:rPr>
      </w:pPr>
      <w:r w:rsidRPr="00803417">
        <w:rPr>
          <w:rFonts w:ascii="Palatino Linotype" w:eastAsia="Palatino Linotype" w:hAnsi="Palatino Linotype" w:cs="Palatino Linotype"/>
          <w:b/>
        </w:rPr>
        <w:t xml:space="preserve">04898/INFOEM/IP/RR/2024 </w:t>
      </w:r>
    </w:p>
    <w:p w:rsidR="004542D1" w:rsidRPr="00803417" w:rsidRDefault="004542D1">
      <w:pPr>
        <w:spacing w:line="360" w:lineRule="auto"/>
        <w:ind w:right="-876"/>
        <w:jc w:val="both"/>
        <w:rPr>
          <w:rFonts w:ascii="Palatino Linotype" w:eastAsia="Palatino Linotype" w:hAnsi="Palatino Linotype" w:cs="Palatino Linotype"/>
          <w:b/>
        </w:rPr>
      </w:pPr>
    </w:p>
    <w:p w:rsidR="004542D1" w:rsidRPr="00803417" w:rsidRDefault="00E33CAA">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rPr>
      </w:pPr>
      <w:r w:rsidRPr="00803417">
        <w:rPr>
          <w:rFonts w:ascii="Palatino Linotype" w:eastAsia="Palatino Linotype" w:hAnsi="Palatino Linotype" w:cs="Palatino Linotype"/>
          <w:b/>
          <w:color w:val="000000"/>
        </w:rPr>
        <w:t xml:space="preserve">informe justificado 4898.pdf: </w:t>
      </w:r>
      <w:r w:rsidRPr="00803417">
        <w:rPr>
          <w:rFonts w:ascii="Palatino Linotype" w:eastAsia="Palatino Linotype" w:hAnsi="Palatino Linotype" w:cs="Palatino Linotype"/>
          <w:color w:val="000000"/>
        </w:rPr>
        <w:t xml:space="preserve">Contiene Informe Justificado, mediante el cual refiere que “.Después de una exhaustiva búsqueda en los archivos físicos y electrónicos que obran en este Instituto del Transporte del Estado de México, NO se localizó la información solicitada. </w:t>
      </w:r>
    </w:p>
    <w:p w:rsidR="004542D1" w:rsidRPr="00803417" w:rsidRDefault="00E33CAA">
      <w:pPr>
        <w:pBdr>
          <w:top w:val="nil"/>
          <w:left w:val="nil"/>
          <w:bottom w:val="nil"/>
          <w:right w:val="nil"/>
          <w:between w:val="nil"/>
        </w:pBdr>
        <w:spacing w:line="360" w:lineRule="auto"/>
        <w:ind w:left="720" w:right="-876"/>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Sin embargo se proporciona la única información localizada, para dar cumplimiento a la solicitud.”</w:t>
      </w:r>
    </w:p>
    <w:p w:rsidR="004542D1" w:rsidRPr="00803417" w:rsidRDefault="00E33CAA">
      <w:pPr>
        <w:pBdr>
          <w:top w:val="nil"/>
          <w:left w:val="nil"/>
          <w:bottom w:val="nil"/>
          <w:right w:val="nil"/>
          <w:between w:val="nil"/>
        </w:pBdr>
        <w:spacing w:line="360" w:lineRule="auto"/>
        <w:ind w:left="720" w:right="-876"/>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Inserta una tabla denominada: Capacitaciones realizadas por CONALEP bajo el estándar de competencia ECO 246 “Operación del vehículo de transporte público individual” RESUMEN POR MUICIPIO (Contiene AÑO, SEXO, MUNICIPIO Y SUMA TOTAL)</w:t>
      </w:r>
    </w:p>
    <w:p w:rsidR="004542D1" w:rsidRPr="00803417" w:rsidRDefault="004542D1">
      <w:pPr>
        <w:spacing w:line="360" w:lineRule="auto"/>
        <w:ind w:right="-876"/>
        <w:jc w:val="both"/>
        <w:rPr>
          <w:rFonts w:ascii="Palatino Linotype" w:eastAsia="Palatino Linotype" w:hAnsi="Palatino Linotype" w:cs="Palatino Linotype"/>
          <w:b/>
        </w:rPr>
      </w:pPr>
    </w:p>
    <w:p w:rsidR="004542D1" w:rsidRPr="00803417" w:rsidRDefault="004542D1">
      <w:pPr>
        <w:spacing w:line="360" w:lineRule="auto"/>
        <w:ind w:right="-876"/>
        <w:jc w:val="both"/>
        <w:rPr>
          <w:rFonts w:ascii="Palatino Linotype" w:eastAsia="Palatino Linotype" w:hAnsi="Palatino Linotype" w:cs="Palatino Linotype"/>
          <w:b/>
        </w:rPr>
      </w:pPr>
    </w:p>
    <w:p w:rsidR="004542D1" w:rsidRPr="00803417" w:rsidRDefault="00E33CAA">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rPr>
      </w:pPr>
      <w:r w:rsidRPr="00803417">
        <w:rPr>
          <w:rFonts w:ascii="Palatino Linotype" w:eastAsia="Palatino Linotype" w:hAnsi="Palatino Linotype" w:cs="Palatino Linotype"/>
          <w:b/>
          <w:color w:val="000000"/>
        </w:rPr>
        <w:t xml:space="preserve">OFC 0059 - CCT_UT_00967 - 4898_INFOEM - 00499_SMOV.docx.pdf: </w:t>
      </w:r>
      <w:r w:rsidRPr="00803417">
        <w:rPr>
          <w:rFonts w:ascii="Palatino Linotype" w:eastAsia="Palatino Linotype" w:hAnsi="Palatino Linotype" w:cs="Palatino Linotype"/>
          <w:color w:val="000000"/>
        </w:rPr>
        <w:t xml:space="preserve">Oficio suscrito por la SUBDIRECTORA DE NORMATIVIDAD Y CAPACITACIÓN, dirigido al TITULAR DE LA UNIDAD DE TRANSPARENCIA DE LA SECRETARIA DE </w:t>
      </w:r>
      <w:r w:rsidRPr="00803417">
        <w:rPr>
          <w:rFonts w:ascii="Palatino Linotype" w:eastAsia="Palatino Linotype" w:hAnsi="Palatino Linotype" w:cs="Palatino Linotype"/>
          <w:color w:val="000000"/>
        </w:rPr>
        <w:lastRenderedPageBreak/>
        <w:t xml:space="preserve">MOVILIDAD, mediante el cual le refiere que </w:t>
      </w:r>
      <w:r w:rsidRPr="00803417">
        <w:rPr>
          <w:rFonts w:ascii="Palatino Linotype" w:eastAsia="Palatino Linotype" w:hAnsi="Palatino Linotype" w:cs="Palatino Linotype"/>
          <w:b/>
          <w:color w:val="000000"/>
        </w:rPr>
        <w:t xml:space="preserve">" </w:t>
      </w:r>
      <w:r w:rsidRPr="00803417">
        <w:rPr>
          <w:rFonts w:ascii="Palatino Linotype" w:eastAsia="Palatino Linotype" w:hAnsi="Palatino Linotype" w:cs="Palatino Linotype"/>
          <w:color w:val="000000"/>
        </w:rPr>
        <w:t xml:space="preserve">“.Después de una exhaustiva búsqueda en los archivos físicos y electrónicos que obran en este Instituto del Transporte del Estado de México, NO se localizó la información solicitada. </w:t>
      </w:r>
    </w:p>
    <w:p w:rsidR="004542D1" w:rsidRPr="00803417" w:rsidRDefault="00E33CAA">
      <w:pPr>
        <w:pBdr>
          <w:top w:val="nil"/>
          <w:left w:val="nil"/>
          <w:bottom w:val="nil"/>
          <w:right w:val="nil"/>
          <w:between w:val="nil"/>
        </w:pBdr>
        <w:spacing w:line="360" w:lineRule="auto"/>
        <w:ind w:left="720" w:right="-876"/>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Sin embargo se proporciona la única información localizada, para dar cumplimiento a la solicitud.”</w:t>
      </w:r>
    </w:p>
    <w:p w:rsidR="004542D1" w:rsidRPr="00803417" w:rsidRDefault="00E33CAA">
      <w:pPr>
        <w:pBdr>
          <w:top w:val="nil"/>
          <w:left w:val="nil"/>
          <w:bottom w:val="nil"/>
          <w:right w:val="nil"/>
          <w:between w:val="nil"/>
        </w:pBdr>
        <w:spacing w:line="360" w:lineRule="auto"/>
        <w:ind w:left="720" w:right="-876"/>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Inserta una tabla denominada: Capacitaciones realizadas por CONALEP bajo el estándar de competencia ECO 246 “Operación del vehículo de transporte público individual” RESUMEN POR MUICIPIO (Contiene AÑO, SEXO, MUNICIPIO Y SUMA TOTAL)</w:t>
      </w:r>
    </w:p>
    <w:p w:rsidR="004542D1" w:rsidRPr="00803417" w:rsidRDefault="004542D1">
      <w:pPr>
        <w:spacing w:line="360" w:lineRule="auto"/>
        <w:ind w:right="-876"/>
        <w:jc w:val="both"/>
        <w:rPr>
          <w:rFonts w:ascii="Palatino Linotype" w:eastAsia="Palatino Linotype" w:hAnsi="Palatino Linotype" w:cs="Palatino Linotype"/>
          <w:b/>
        </w:rPr>
      </w:pPr>
    </w:p>
    <w:p w:rsidR="004542D1" w:rsidRPr="00803417" w:rsidRDefault="00E33CAA">
      <w:pPr>
        <w:spacing w:line="360" w:lineRule="auto"/>
        <w:ind w:right="-876"/>
        <w:jc w:val="both"/>
        <w:rPr>
          <w:rFonts w:ascii="Palatino Linotype" w:eastAsia="Palatino Linotype" w:hAnsi="Palatino Linotype" w:cs="Palatino Linotype"/>
          <w:b/>
        </w:rPr>
      </w:pPr>
      <w:r w:rsidRPr="00803417">
        <w:rPr>
          <w:rFonts w:ascii="Palatino Linotype" w:eastAsia="Palatino Linotype" w:hAnsi="Palatino Linotype" w:cs="Palatino Linotype"/>
          <w:b/>
        </w:rPr>
        <w:t>04899/INFOEM/IP/RR/2024</w:t>
      </w:r>
    </w:p>
    <w:p w:rsidR="004542D1" w:rsidRPr="00803417" w:rsidRDefault="004542D1">
      <w:pPr>
        <w:spacing w:line="360" w:lineRule="auto"/>
        <w:ind w:right="-876"/>
        <w:jc w:val="both"/>
        <w:rPr>
          <w:rFonts w:ascii="Palatino Linotype" w:eastAsia="Palatino Linotype" w:hAnsi="Palatino Linotype" w:cs="Palatino Linotype"/>
          <w:b/>
        </w:rPr>
      </w:pPr>
    </w:p>
    <w:p w:rsidR="004542D1" w:rsidRPr="00803417" w:rsidRDefault="00E33CAA">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rPr>
      </w:pPr>
      <w:r w:rsidRPr="00803417">
        <w:rPr>
          <w:rFonts w:ascii="Palatino Linotype" w:eastAsia="Palatino Linotype" w:hAnsi="Palatino Linotype" w:cs="Palatino Linotype"/>
          <w:b/>
          <w:color w:val="000000"/>
        </w:rPr>
        <w:t>OFC 0057 - CCT_UT_00968 - 04899_INFOEM - 00498_SMOV.docx (1).</w:t>
      </w:r>
      <w:proofErr w:type="spellStart"/>
      <w:r w:rsidRPr="00803417">
        <w:rPr>
          <w:rFonts w:ascii="Palatino Linotype" w:eastAsia="Palatino Linotype" w:hAnsi="Palatino Linotype" w:cs="Palatino Linotype"/>
          <w:b/>
          <w:color w:val="000000"/>
        </w:rPr>
        <w:t>pdf</w:t>
      </w:r>
      <w:proofErr w:type="spellEnd"/>
      <w:r w:rsidRPr="00803417">
        <w:rPr>
          <w:rFonts w:ascii="Palatino Linotype" w:eastAsia="Palatino Linotype" w:hAnsi="Palatino Linotype" w:cs="Palatino Linotype"/>
          <w:b/>
          <w:color w:val="000000"/>
        </w:rPr>
        <w:t xml:space="preserve">: </w:t>
      </w:r>
      <w:r w:rsidRPr="00803417">
        <w:rPr>
          <w:rFonts w:ascii="Palatino Linotype" w:eastAsia="Palatino Linotype" w:hAnsi="Palatino Linotype" w:cs="Palatino Linotype"/>
          <w:color w:val="000000"/>
        </w:rPr>
        <w:t xml:space="preserve">Oficio suscrito por la SUBDIRECTORA DE NORMATIVIDAD Y CAPACITACIÓN, dirigido al TITULAR DE LA UNIDAD DE TRANSPARENCIA DE LA SECRETARIA DE MOVILIDAD, mediante el cual le refiere que </w:t>
      </w:r>
      <w:r w:rsidRPr="00803417">
        <w:rPr>
          <w:rFonts w:ascii="Palatino Linotype" w:eastAsia="Palatino Linotype" w:hAnsi="Palatino Linotype" w:cs="Palatino Linotype"/>
          <w:b/>
          <w:color w:val="000000"/>
        </w:rPr>
        <w:t xml:space="preserve">" </w:t>
      </w:r>
      <w:r w:rsidRPr="00803417">
        <w:rPr>
          <w:rFonts w:ascii="Palatino Linotype" w:eastAsia="Palatino Linotype" w:hAnsi="Palatino Linotype" w:cs="Palatino Linotype"/>
          <w:color w:val="000000"/>
        </w:rPr>
        <w:t xml:space="preserve">“.Después de una exhaustiva búsqueda en los archivos físicos y electrónicos que obran en este Instituto del Transporte del Estado de México, NO se localizó la información solicitada. </w:t>
      </w:r>
    </w:p>
    <w:p w:rsidR="004542D1" w:rsidRPr="00803417" w:rsidRDefault="00E33CAA">
      <w:pPr>
        <w:pBdr>
          <w:top w:val="nil"/>
          <w:left w:val="nil"/>
          <w:bottom w:val="nil"/>
          <w:right w:val="nil"/>
          <w:between w:val="nil"/>
        </w:pBdr>
        <w:spacing w:line="360" w:lineRule="auto"/>
        <w:ind w:left="720" w:right="-876"/>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Sin embargo se proporciona la única información localizada, para dar cumplimiento a la solicitud.”</w:t>
      </w:r>
    </w:p>
    <w:p w:rsidR="004542D1" w:rsidRPr="00803417" w:rsidRDefault="00E33CAA">
      <w:pPr>
        <w:pBdr>
          <w:top w:val="nil"/>
          <w:left w:val="nil"/>
          <w:bottom w:val="nil"/>
          <w:right w:val="nil"/>
          <w:between w:val="nil"/>
        </w:pBdr>
        <w:spacing w:line="360" w:lineRule="auto"/>
        <w:ind w:left="720" w:right="-876"/>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 xml:space="preserve">Inserta una tabla denominada: Capacitaciones realizadas por CONALEP bajo el estándar de competencia ECO 246 “Operación del vehículo de transporte público </w:t>
      </w:r>
      <w:r w:rsidRPr="00803417">
        <w:rPr>
          <w:rFonts w:ascii="Palatino Linotype" w:eastAsia="Palatino Linotype" w:hAnsi="Palatino Linotype" w:cs="Palatino Linotype"/>
          <w:color w:val="000000"/>
        </w:rPr>
        <w:lastRenderedPageBreak/>
        <w:t>individual” RESUMEN POR MUICIPIO (Contiene AÑO, SEXO, MUNICIPIO Y SUMA TOTAL)</w:t>
      </w:r>
    </w:p>
    <w:p w:rsidR="004542D1" w:rsidRPr="00803417" w:rsidRDefault="004542D1">
      <w:pPr>
        <w:spacing w:line="360" w:lineRule="auto"/>
        <w:ind w:right="-876"/>
        <w:jc w:val="both"/>
        <w:rPr>
          <w:rFonts w:ascii="Palatino Linotype" w:eastAsia="Palatino Linotype" w:hAnsi="Palatino Linotype" w:cs="Palatino Linotype"/>
          <w:b/>
        </w:rPr>
      </w:pPr>
    </w:p>
    <w:p w:rsidR="004542D1" w:rsidRPr="00803417" w:rsidRDefault="00E33CAA">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rPr>
      </w:pPr>
      <w:r w:rsidRPr="00803417">
        <w:rPr>
          <w:rFonts w:ascii="Palatino Linotype" w:eastAsia="Palatino Linotype" w:hAnsi="Palatino Linotype" w:cs="Palatino Linotype"/>
          <w:b/>
          <w:color w:val="000000"/>
        </w:rPr>
        <w:t xml:space="preserve">INFORME JUSTIFICADO4899.pdf: </w:t>
      </w:r>
      <w:r w:rsidRPr="00803417">
        <w:rPr>
          <w:rFonts w:ascii="Palatino Linotype" w:eastAsia="Palatino Linotype" w:hAnsi="Palatino Linotype" w:cs="Palatino Linotype"/>
          <w:color w:val="000000"/>
        </w:rPr>
        <w:t xml:space="preserve">Contiene Informe Justificado, mediante el cual refiere que “.Después de una exhaustiva búsqueda en los archivos físicos y electrónicos que obran en este Instituto del Transporte del Estado de México, NO se localizó la información solicitada. </w:t>
      </w:r>
    </w:p>
    <w:p w:rsidR="004542D1" w:rsidRPr="00803417" w:rsidRDefault="00E33CAA">
      <w:pPr>
        <w:pBdr>
          <w:top w:val="nil"/>
          <w:left w:val="nil"/>
          <w:bottom w:val="nil"/>
          <w:right w:val="nil"/>
          <w:between w:val="nil"/>
        </w:pBdr>
        <w:spacing w:line="360" w:lineRule="auto"/>
        <w:ind w:left="720" w:right="-876"/>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Sin embargo se proporciona la única información localizada, para dar cumplimiento a la solicitud.”</w:t>
      </w:r>
    </w:p>
    <w:p w:rsidR="004542D1" w:rsidRPr="00803417" w:rsidRDefault="00E33CAA">
      <w:pPr>
        <w:pBdr>
          <w:top w:val="nil"/>
          <w:left w:val="nil"/>
          <w:bottom w:val="nil"/>
          <w:right w:val="nil"/>
          <w:between w:val="nil"/>
        </w:pBdr>
        <w:spacing w:line="360" w:lineRule="auto"/>
        <w:ind w:left="720" w:right="-876"/>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Inserta una tabla denominada: Capacitaciones realizadas por CONALEP bajo el estándar de competencia ECO 246 “Operación del vehículo de transporte público individual” RESUMEN POR MUICIPIO (Contiene AÑO, SEXO, MUNICIPIO Y SUMA TOTAL)</w:t>
      </w:r>
    </w:p>
    <w:p w:rsidR="004542D1" w:rsidRPr="00803417" w:rsidRDefault="004542D1">
      <w:pPr>
        <w:spacing w:line="360" w:lineRule="auto"/>
        <w:ind w:right="-876"/>
        <w:jc w:val="both"/>
        <w:rPr>
          <w:rFonts w:ascii="Palatino Linotype" w:eastAsia="Palatino Linotype" w:hAnsi="Palatino Linotype" w:cs="Palatino Linotype"/>
          <w:color w:val="000000"/>
        </w:rPr>
      </w:pPr>
    </w:p>
    <w:p w:rsidR="004542D1" w:rsidRPr="00803417" w:rsidRDefault="004542D1">
      <w:pPr>
        <w:pBdr>
          <w:top w:val="nil"/>
          <w:left w:val="nil"/>
          <w:bottom w:val="nil"/>
          <w:right w:val="nil"/>
          <w:between w:val="nil"/>
        </w:pBdr>
        <w:ind w:left="720"/>
        <w:rPr>
          <w:rFonts w:ascii="Palatino Linotype" w:eastAsia="Palatino Linotype" w:hAnsi="Palatino Linotype" w:cs="Palatino Linotype"/>
          <w:color w:val="000000"/>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rPr>
        <w:t xml:space="preserve">De las constancias que obran en los expedientes electrónicos SAIMEX, en los recursos </w:t>
      </w:r>
      <w:r w:rsidRPr="00803417">
        <w:rPr>
          <w:rFonts w:ascii="Palatino Linotype" w:eastAsia="Palatino Linotype" w:hAnsi="Palatino Linotype" w:cs="Palatino Linotype"/>
          <w:b/>
        </w:rPr>
        <w:t xml:space="preserve">04898/INFOEM/IP/RR/2024 y 04899/INFOEM/IP/RR/2024, </w:t>
      </w:r>
      <w:r w:rsidRPr="00803417">
        <w:rPr>
          <w:rFonts w:ascii="Palatino Linotype" w:eastAsia="Palatino Linotype" w:hAnsi="Palatino Linotype" w:cs="Palatino Linotype"/>
        </w:rPr>
        <w:t>se advierte que el RECURRENTE, dejó de realizar manifestaciones que a su derecho convinieran y asistieran.</w:t>
      </w:r>
    </w:p>
    <w:p w:rsidR="004542D1" w:rsidRPr="00803417" w:rsidRDefault="004542D1">
      <w:pPr>
        <w:spacing w:line="360" w:lineRule="auto"/>
        <w:ind w:right="-876"/>
        <w:jc w:val="both"/>
        <w:rPr>
          <w:rFonts w:ascii="Palatino Linotype" w:eastAsia="Palatino Linotype" w:hAnsi="Palatino Linotype" w:cs="Palatino Linotype"/>
          <w:b/>
          <w:color w:val="000000"/>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rPr>
        <w:t xml:space="preserve">Asimismo, con fundamento en lo dispuesto por el artículo 185 fracción I de la </w:t>
      </w:r>
      <w:r w:rsidRPr="00803417">
        <w:rPr>
          <w:rFonts w:ascii="Palatino Linotype" w:eastAsia="Palatino Linotype" w:hAnsi="Palatino Linotype" w:cs="Palatino Linotype"/>
          <w:b/>
        </w:rPr>
        <w:t>Ley de Transparencia y Acceso a la Información Pública del Estado de México y Municipios,</w:t>
      </w:r>
      <w:r w:rsidRPr="00803417">
        <w:rPr>
          <w:rFonts w:ascii="Palatino Linotype" w:eastAsia="Palatino Linotype" w:hAnsi="Palatino Linotype" w:cs="Palatino Linotype"/>
        </w:rPr>
        <w:t xml:space="preserve"> el recurso de revisión con número </w:t>
      </w:r>
      <w:r w:rsidRPr="00803417">
        <w:rPr>
          <w:rFonts w:ascii="Palatino Linotype" w:eastAsia="Palatino Linotype" w:hAnsi="Palatino Linotype" w:cs="Palatino Linotype"/>
          <w:b/>
        </w:rPr>
        <w:t xml:space="preserve">04898/INFOEM/IP/RR/2024, </w:t>
      </w:r>
      <w:r w:rsidRPr="00803417">
        <w:rPr>
          <w:rFonts w:ascii="Palatino Linotype" w:eastAsia="Palatino Linotype" w:hAnsi="Palatino Linotype" w:cs="Palatino Linotype"/>
        </w:rPr>
        <w:t>fue turnado</w:t>
      </w:r>
      <w:r w:rsidRPr="00803417">
        <w:rPr>
          <w:rFonts w:ascii="Palatino Linotype" w:eastAsia="Palatino Linotype" w:hAnsi="Palatino Linotype" w:cs="Palatino Linotype"/>
          <w:b/>
        </w:rPr>
        <w:t xml:space="preserve"> </w:t>
      </w:r>
      <w:r w:rsidRPr="00803417">
        <w:rPr>
          <w:rFonts w:ascii="Palatino Linotype" w:eastAsia="Palatino Linotype" w:hAnsi="Palatino Linotype" w:cs="Palatino Linotype"/>
        </w:rPr>
        <w:t xml:space="preserve">a la </w:t>
      </w:r>
      <w:r w:rsidRPr="00803417">
        <w:rPr>
          <w:rFonts w:ascii="Palatino Linotype" w:eastAsia="Palatino Linotype" w:hAnsi="Palatino Linotype" w:cs="Palatino Linotype"/>
          <w:b/>
        </w:rPr>
        <w:t>Comisionada</w:t>
      </w:r>
      <w:r w:rsidRPr="00803417">
        <w:rPr>
          <w:rFonts w:ascii="Palatino Linotype" w:eastAsia="Palatino Linotype" w:hAnsi="Palatino Linotype" w:cs="Palatino Linotype"/>
        </w:rPr>
        <w:t xml:space="preserve"> </w:t>
      </w:r>
      <w:r w:rsidRPr="00803417">
        <w:rPr>
          <w:rFonts w:ascii="Palatino Linotype" w:eastAsia="Palatino Linotype" w:hAnsi="Palatino Linotype" w:cs="Palatino Linotype"/>
          <w:b/>
        </w:rPr>
        <w:t xml:space="preserve">María del Rosario Mejía Ayala </w:t>
      </w:r>
      <w:r w:rsidRPr="00803417">
        <w:rPr>
          <w:rFonts w:ascii="Palatino Linotype" w:eastAsia="Palatino Linotype" w:hAnsi="Palatino Linotype" w:cs="Palatino Linotype"/>
        </w:rPr>
        <w:t xml:space="preserve">con el objeto de su análisis, posteriormente el Pleno de este Órgano Autónomo, en la Trigésima  Sesión Ordinaria del veintiocho de agosto de dos mil </w:t>
      </w:r>
      <w:r w:rsidRPr="00803417">
        <w:rPr>
          <w:rFonts w:ascii="Palatino Linotype" w:eastAsia="Palatino Linotype" w:hAnsi="Palatino Linotype" w:cs="Palatino Linotype"/>
        </w:rPr>
        <w:lastRenderedPageBreak/>
        <w:t xml:space="preserve">veinticuatro se determinó la acumulación de los recursos de revisión, </w:t>
      </w:r>
      <w:r w:rsidRPr="00803417">
        <w:rPr>
          <w:rFonts w:ascii="Palatino Linotype" w:eastAsia="Palatino Linotype" w:hAnsi="Palatino Linotype" w:cs="Palatino Linotype"/>
          <w:b/>
        </w:rPr>
        <w:t xml:space="preserve"> 04899/INFOEM/IP/RR/2024.</w:t>
      </w:r>
    </w:p>
    <w:p w:rsidR="004542D1" w:rsidRPr="00803417" w:rsidRDefault="004542D1">
      <w:pPr>
        <w:spacing w:line="360" w:lineRule="auto"/>
        <w:ind w:right="-876"/>
        <w:jc w:val="both"/>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rPr>
        <w:t>Así el dos de diciembre de dos mil veinticuatro, se notificó el acuerdo mediante el cual se decretó la acumulación de los recursos de revisión.</w:t>
      </w:r>
    </w:p>
    <w:p w:rsidR="004542D1" w:rsidRPr="00803417" w:rsidRDefault="004542D1">
      <w:pPr>
        <w:spacing w:line="360" w:lineRule="auto"/>
        <w:ind w:right="-876"/>
        <w:jc w:val="both"/>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rPr>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4542D1" w:rsidRPr="00803417" w:rsidRDefault="004542D1">
      <w:pPr>
        <w:spacing w:line="360" w:lineRule="auto"/>
        <w:ind w:right="-876"/>
        <w:jc w:val="both"/>
        <w:rPr>
          <w:rFonts w:ascii="Palatino Linotype" w:eastAsia="Palatino Linotype" w:hAnsi="Palatino Linotype" w:cs="Palatino Linotype"/>
        </w:rPr>
      </w:pPr>
    </w:p>
    <w:p w:rsidR="004542D1" w:rsidRPr="00803417" w:rsidRDefault="00E33CAA">
      <w:pPr>
        <w:spacing w:line="360" w:lineRule="auto"/>
        <w:ind w:left="851" w:right="1135"/>
        <w:jc w:val="center"/>
        <w:rPr>
          <w:rFonts w:ascii="Palatino Linotype" w:eastAsia="Palatino Linotype" w:hAnsi="Palatino Linotype" w:cs="Palatino Linotype"/>
          <w:b/>
          <w:i/>
          <w:sz w:val="22"/>
          <w:szCs w:val="22"/>
        </w:rPr>
      </w:pPr>
      <w:r w:rsidRPr="00803417">
        <w:rPr>
          <w:rFonts w:ascii="Palatino Linotype" w:eastAsia="Palatino Linotype" w:hAnsi="Palatino Linotype" w:cs="Palatino Linotype"/>
          <w:b/>
          <w:i/>
          <w:sz w:val="22"/>
          <w:szCs w:val="22"/>
        </w:rPr>
        <w:t>Código de Procedimientos Administrativos del Estado de México.</w:t>
      </w:r>
    </w:p>
    <w:p w:rsidR="004542D1" w:rsidRPr="00803417" w:rsidRDefault="004542D1">
      <w:pPr>
        <w:spacing w:line="360" w:lineRule="auto"/>
        <w:ind w:left="851" w:right="1135"/>
        <w:jc w:val="center"/>
        <w:rPr>
          <w:rFonts w:ascii="Palatino Linotype" w:eastAsia="Palatino Linotype" w:hAnsi="Palatino Linotype" w:cs="Palatino Linotype"/>
          <w:b/>
          <w:i/>
          <w:sz w:val="22"/>
          <w:szCs w:val="22"/>
        </w:rPr>
      </w:pPr>
    </w:p>
    <w:p w:rsidR="004542D1" w:rsidRPr="00803417" w:rsidRDefault="00E33CAA">
      <w:pPr>
        <w:spacing w:line="360" w:lineRule="auto"/>
        <w:ind w:left="851" w:right="1135"/>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b/>
          <w:i/>
          <w:sz w:val="22"/>
          <w:szCs w:val="22"/>
        </w:rPr>
        <w:t>“Artículo 18.-</w:t>
      </w:r>
      <w:r w:rsidRPr="00803417">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4542D1" w:rsidRPr="00803417" w:rsidRDefault="004542D1">
      <w:pPr>
        <w:spacing w:line="360" w:lineRule="auto"/>
        <w:ind w:left="851" w:right="1135"/>
        <w:jc w:val="both"/>
        <w:rPr>
          <w:rFonts w:ascii="Palatino Linotype" w:eastAsia="Palatino Linotype" w:hAnsi="Palatino Linotype" w:cs="Palatino Linotype"/>
          <w:i/>
          <w:sz w:val="22"/>
          <w:szCs w:val="22"/>
        </w:rPr>
      </w:pPr>
    </w:p>
    <w:p w:rsidR="004542D1" w:rsidRPr="00803417" w:rsidRDefault="00E33CAA">
      <w:pPr>
        <w:spacing w:line="360" w:lineRule="auto"/>
        <w:ind w:left="851" w:right="1135"/>
        <w:jc w:val="center"/>
        <w:rPr>
          <w:rFonts w:ascii="Palatino Linotype" w:eastAsia="Palatino Linotype" w:hAnsi="Palatino Linotype" w:cs="Palatino Linotype"/>
          <w:b/>
          <w:i/>
          <w:sz w:val="22"/>
          <w:szCs w:val="22"/>
        </w:rPr>
      </w:pPr>
      <w:r w:rsidRPr="00803417">
        <w:rPr>
          <w:rFonts w:ascii="Palatino Linotype" w:eastAsia="Palatino Linotype" w:hAnsi="Palatino Linotype" w:cs="Palatino Linotype"/>
          <w:b/>
          <w:i/>
          <w:sz w:val="22"/>
          <w:szCs w:val="22"/>
        </w:rPr>
        <w:lastRenderedPageBreak/>
        <w:t>Ley de Transparencia y Acceso a la Información Pública del Estado de México y Municipios</w:t>
      </w:r>
    </w:p>
    <w:p w:rsidR="004542D1" w:rsidRPr="00803417" w:rsidRDefault="004542D1">
      <w:pPr>
        <w:spacing w:line="360" w:lineRule="auto"/>
        <w:ind w:left="851" w:right="1135"/>
        <w:jc w:val="center"/>
        <w:rPr>
          <w:rFonts w:ascii="Palatino Linotype" w:eastAsia="Palatino Linotype" w:hAnsi="Palatino Linotype" w:cs="Palatino Linotype"/>
          <w:b/>
          <w:i/>
          <w:sz w:val="22"/>
          <w:szCs w:val="22"/>
        </w:rPr>
      </w:pPr>
    </w:p>
    <w:p w:rsidR="004542D1" w:rsidRPr="00803417" w:rsidRDefault="00E33CAA">
      <w:pPr>
        <w:spacing w:line="360" w:lineRule="auto"/>
        <w:ind w:left="851" w:right="1135"/>
        <w:jc w:val="both"/>
        <w:rPr>
          <w:rFonts w:ascii="Palatino Linotype" w:eastAsia="Palatino Linotype" w:hAnsi="Palatino Linotype" w:cs="Palatino Linotype"/>
          <w:i/>
        </w:rPr>
      </w:pPr>
      <w:r w:rsidRPr="00803417">
        <w:rPr>
          <w:rFonts w:ascii="Palatino Linotype" w:eastAsia="Palatino Linotype" w:hAnsi="Palatino Linotype" w:cs="Palatino Linotype"/>
          <w:b/>
          <w:i/>
          <w:sz w:val="22"/>
          <w:szCs w:val="22"/>
        </w:rPr>
        <w:t>“Artículo 195.</w:t>
      </w:r>
      <w:r w:rsidRPr="00803417">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w:t>
      </w:r>
      <w:r w:rsidRPr="00803417">
        <w:rPr>
          <w:rFonts w:ascii="Palatino Linotype" w:eastAsia="Palatino Linotype" w:hAnsi="Palatino Linotype" w:cs="Palatino Linotype"/>
          <w:i/>
        </w:rPr>
        <w:t>inistrativos del Estado de México.”</w:t>
      </w:r>
    </w:p>
    <w:p w:rsidR="004542D1" w:rsidRPr="00803417" w:rsidRDefault="004542D1">
      <w:pPr>
        <w:spacing w:line="360" w:lineRule="auto"/>
        <w:ind w:right="1135"/>
        <w:jc w:val="both"/>
        <w:rPr>
          <w:rFonts w:ascii="Palatino Linotype" w:eastAsia="Palatino Linotype" w:hAnsi="Palatino Linotype" w:cs="Palatino Linotype"/>
          <w:i/>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El cinco de diciembre de dos mil veinticuatro, se notificaron los acuerdos por los cuales se aprobó la ampliación de plazo para emitir resolución.</w:t>
      </w:r>
    </w:p>
    <w:p w:rsidR="004542D1" w:rsidRPr="00803417" w:rsidRDefault="004542D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b/>
        </w:rPr>
      </w:pPr>
      <w:r w:rsidRPr="00803417">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rsidR="004542D1" w:rsidRPr="00803417" w:rsidRDefault="004542D1">
      <w:pPr>
        <w:spacing w:line="360" w:lineRule="auto"/>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b/>
        </w:rPr>
      </w:pPr>
      <w:r w:rsidRPr="00803417">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4542D1" w:rsidRPr="00803417" w:rsidRDefault="004542D1">
      <w:pPr>
        <w:spacing w:line="360" w:lineRule="auto"/>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b/>
        </w:rPr>
      </w:pPr>
      <w:r w:rsidRPr="00803417">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en el menor tiempo </w:t>
      </w:r>
      <w:r w:rsidRPr="00803417">
        <w:rPr>
          <w:rFonts w:ascii="Palatino Linotype" w:eastAsia="Palatino Linotype" w:hAnsi="Palatino Linotype" w:cs="Palatino Linotype"/>
        </w:rPr>
        <w:lastRenderedPageBreak/>
        <w:t>posible, tomando en consideración la dilación total del procedimiento; esto es, en un plazo razonable.</w:t>
      </w:r>
    </w:p>
    <w:p w:rsidR="004542D1" w:rsidRPr="00803417" w:rsidRDefault="004542D1">
      <w:pPr>
        <w:spacing w:line="360" w:lineRule="auto"/>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b/>
        </w:rPr>
      </w:pPr>
      <w:r w:rsidRPr="00803417">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4542D1" w:rsidRPr="00803417" w:rsidRDefault="004542D1">
      <w:pPr>
        <w:spacing w:line="360" w:lineRule="auto"/>
        <w:jc w:val="both"/>
        <w:rPr>
          <w:rFonts w:ascii="Palatino Linotype" w:eastAsia="Palatino Linotype" w:hAnsi="Palatino Linotype" w:cs="Palatino Linotype"/>
          <w:b/>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b/>
        </w:rPr>
      </w:pPr>
      <w:r w:rsidRPr="00803417">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rsidR="004542D1" w:rsidRPr="00803417" w:rsidRDefault="004542D1">
      <w:pPr>
        <w:spacing w:line="360" w:lineRule="auto"/>
        <w:jc w:val="both"/>
        <w:rPr>
          <w:rFonts w:ascii="Palatino Linotype" w:eastAsia="Palatino Linotype" w:hAnsi="Palatino Linotype" w:cs="Palatino Linotype"/>
          <w:b/>
        </w:rPr>
      </w:pPr>
    </w:p>
    <w:p w:rsidR="004542D1" w:rsidRPr="00803417" w:rsidRDefault="00E33CAA">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 xml:space="preserve">Complejidad del </w:t>
      </w:r>
      <w:r w:rsidRPr="00803417">
        <w:rPr>
          <w:rFonts w:ascii="Palatino Linotype" w:eastAsia="Palatino Linotype" w:hAnsi="Palatino Linotype" w:cs="Palatino Linotype"/>
        </w:rPr>
        <w:t>asunto</w:t>
      </w:r>
      <w:r w:rsidRPr="00803417">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4542D1" w:rsidRPr="00803417" w:rsidRDefault="00E33CAA">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Actividad Procesal del interesado. Acciones u omisiones del interesado.</w:t>
      </w:r>
    </w:p>
    <w:p w:rsidR="004542D1" w:rsidRPr="00803417" w:rsidRDefault="00E33CAA">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4542D1" w:rsidRPr="00803417" w:rsidRDefault="00E33CAA">
      <w:pPr>
        <w:spacing w:line="360" w:lineRule="auto"/>
        <w:ind w:left="851" w:right="822"/>
        <w:jc w:val="both"/>
        <w:rPr>
          <w:rFonts w:ascii="Palatino Linotype" w:eastAsia="Palatino Linotype" w:hAnsi="Palatino Linotype" w:cs="Palatino Linotype"/>
        </w:rPr>
      </w:pPr>
      <w:r w:rsidRPr="00803417">
        <w:rPr>
          <w:rFonts w:ascii="Palatino Linotype" w:eastAsia="Palatino Linotype" w:hAnsi="Palatino Linotype" w:cs="Palatino Linotype"/>
        </w:rPr>
        <w:t>d) La afectación generada en la situación jurídica de la persona involucrada en el proceso: Violación a sus derechos humanos.</w:t>
      </w:r>
    </w:p>
    <w:p w:rsidR="004542D1" w:rsidRPr="00803417" w:rsidRDefault="004542D1">
      <w:pPr>
        <w:spacing w:line="360" w:lineRule="auto"/>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b/>
        </w:rPr>
      </w:pPr>
      <w:r w:rsidRPr="00803417">
        <w:rPr>
          <w:rFonts w:ascii="Palatino Linotype" w:eastAsia="Palatino Linotype" w:hAnsi="Palatino Linotype" w:cs="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4542D1" w:rsidRPr="00803417" w:rsidRDefault="004542D1">
      <w:pPr>
        <w:spacing w:line="360" w:lineRule="auto"/>
        <w:jc w:val="both"/>
        <w:rPr>
          <w:rFonts w:ascii="Palatino Linotype" w:eastAsia="Palatino Linotype" w:hAnsi="Palatino Linotype" w:cs="Palatino Linotype"/>
          <w:b/>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b/>
        </w:rPr>
      </w:pPr>
      <w:r w:rsidRPr="00803417">
        <w:rPr>
          <w:rFonts w:ascii="Palatino Linotype" w:eastAsia="Palatino Linotype" w:hAnsi="Palatino Linotype" w:cs="Palatino Linotype"/>
        </w:rPr>
        <w:t>Argumento que encuentra sustento en la jurisprudencia P</w:t>
      </w:r>
      <w:proofErr w:type="gramStart"/>
      <w:r w:rsidRPr="00803417">
        <w:rPr>
          <w:rFonts w:ascii="Palatino Linotype" w:eastAsia="Palatino Linotype" w:hAnsi="Palatino Linotype" w:cs="Palatino Linotype"/>
        </w:rPr>
        <w:t>./</w:t>
      </w:r>
      <w:proofErr w:type="gramEnd"/>
      <w:r w:rsidRPr="00803417">
        <w:rPr>
          <w:rFonts w:ascii="Palatino Linotype" w:eastAsia="Palatino Linotype" w:hAnsi="Palatino Linotype" w:cs="Palatino Linotype"/>
        </w:rPr>
        <w:t xml:space="preserve">J. 32/92 emitida por el Pleno de la Suprema Corte de Justicia de la Nación de rubro </w:t>
      </w:r>
      <w:r w:rsidRPr="00803417">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803417">
        <w:rPr>
          <w:rFonts w:ascii="Palatino Linotype" w:eastAsia="Palatino Linotype" w:hAnsi="Palatino Linotype" w:cs="Palatino Linotype"/>
        </w:rPr>
        <w:t>, visible en la Gaceta del Seminario Judicial de la Federación con el registro digital 205635.</w:t>
      </w:r>
    </w:p>
    <w:p w:rsidR="004542D1" w:rsidRPr="00803417" w:rsidRDefault="004542D1">
      <w:pPr>
        <w:spacing w:line="360" w:lineRule="auto"/>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b/>
        </w:rPr>
      </w:pPr>
      <w:r w:rsidRPr="00803417">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4542D1" w:rsidRPr="00803417" w:rsidRDefault="004542D1">
      <w:pPr>
        <w:spacing w:line="360" w:lineRule="auto"/>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b/>
        </w:rPr>
      </w:pPr>
      <w:r w:rsidRPr="00803417">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rsidR="004542D1" w:rsidRPr="00803417" w:rsidRDefault="004542D1">
      <w:pPr>
        <w:spacing w:line="360" w:lineRule="auto"/>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b/>
        </w:rPr>
      </w:pPr>
      <w:r w:rsidRPr="00803417">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4542D1" w:rsidRPr="00803417" w:rsidRDefault="004542D1">
      <w:pPr>
        <w:spacing w:line="360" w:lineRule="auto"/>
        <w:jc w:val="both"/>
        <w:rPr>
          <w:rFonts w:ascii="Palatino Linotype" w:eastAsia="Palatino Linotype" w:hAnsi="Palatino Linotype" w:cs="Palatino Linotype"/>
          <w:b/>
        </w:rPr>
      </w:pPr>
    </w:p>
    <w:p w:rsidR="004542D1" w:rsidRPr="00803417" w:rsidRDefault="00E33CAA">
      <w:pPr>
        <w:spacing w:line="360" w:lineRule="auto"/>
        <w:ind w:left="851" w:right="822"/>
        <w:jc w:val="both"/>
        <w:rPr>
          <w:rFonts w:ascii="Palatino Linotype" w:eastAsia="Palatino Linotype" w:hAnsi="Palatino Linotype" w:cs="Palatino Linotype"/>
          <w:sz w:val="22"/>
          <w:szCs w:val="22"/>
        </w:rPr>
      </w:pPr>
      <w:r w:rsidRPr="00803417">
        <w:rPr>
          <w:rFonts w:ascii="Palatino Linotype" w:eastAsia="Palatino Linotype" w:hAnsi="Palatino Linotype" w:cs="Palatino Linotype"/>
          <w:sz w:val="22"/>
          <w:szCs w:val="22"/>
        </w:rPr>
        <w:t xml:space="preserve"> </w:t>
      </w:r>
      <w:r w:rsidRPr="00803417">
        <w:rPr>
          <w:rFonts w:ascii="Palatino Linotype" w:eastAsia="Palatino Linotype" w:hAnsi="Palatino Linotype" w:cs="Palatino Linotype"/>
          <w:i/>
          <w:sz w:val="22"/>
          <w:szCs w:val="22"/>
        </w:rPr>
        <w:t>“PLAZO RAZONABLE PARA RESOLVER. DIMENSIÓN Y EFECTOS DE ESTE CONCEPTO CUANDO SE ADUCE EXCESIVA CARGA DE TRABAJO.”</w:t>
      </w:r>
      <w:r w:rsidRPr="00803417">
        <w:rPr>
          <w:rFonts w:ascii="Palatino Linotype" w:eastAsia="Palatino Linotype" w:hAnsi="Palatino Linotype" w:cs="Palatino Linotype"/>
          <w:sz w:val="22"/>
          <w:szCs w:val="22"/>
        </w:rPr>
        <w:t xml:space="preserve"> consultable en el Seminario Judicial de la Federación y su gaceta, con el registro digital 2002351.</w:t>
      </w:r>
    </w:p>
    <w:p w:rsidR="004542D1" w:rsidRPr="00803417" w:rsidRDefault="004542D1">
      <w:pPr>
        <w:spacing w:line="360" w:lineRule="auto"/>
        <w:ind w:left="851" w:right="822"/>
        <w:jc w:val="both"/>
        <w:rPr>
          <w:rFonts w:ascii="Palatino Linotype" w:eastAsia="Palatino Linotype" w:hAnsi="Palatino Linotype" w:cs="Palatino Linotype"/>
          <w:b/>
          <w:sz w:val="22"/>
          <w:szCs w:val="22"/>
        </w:rPr>
      </w:pPr>
    </w:p>
    <w:p w:rsidR="004542D1" w:rsidRPr="00803417" w:rsidRDefault="00E33CAA">
      <w:pPr>
        <w:spacing w:line="360" w:lineRule="auto"/>
        <w:ind w:left="851" w:right="822"/>
        <w:jc w:val="both"/>
        <w:rPr>
          <w:rFonts w:ascii="Palatino Linotype" w:eastAsia="Palatino Linotype" w:hAnsi="Palatino Linotype" w:cs="Palatino Linotype"/>
          <w:sz w:val="22"/>
          <w:szCs w:val="22"/>
        </w:rPr>
      </w:pPr>
      <w:r w:rsidRPr="00803417">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803417">
        <w:rPr>
          <w:rFonts w:ascii="Palatino Linotype" w:eastAsia="Palatino Linotype" w:hAnsi="Palatino Linotype" w:cs="Palatino Linotype"/>
          <w:sz w:val="22"/>
          <w:szCs w:val="22"/>
        </w:rPr>
        <w:t>, visible en el Seminario Judicial de la Federación y su gaceta, con el registro digital 2002350.</w:t>
      </w:r>
    </w:p>
    <w:p w:rsidR="004542D1" w:rsidRPr="00803417" w:rsidRDefault="004542D1">
      <w:pPr>
        <w:spacing w:line="360" w:lineRule="auto"/>
        <w:ind w:right="822"/>
        <w:jc w:val="both"/>
        <w:rPr>
          <w:rFonts w:ascii="Palatino Linotype" w:eastAsia="Palatino Linotype" w:hAnsi="Palatino Linotype" w:cs="Palatino Linotype"/>
          <w:i/>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rsidR="004542D1" w:rsidRPr="00803417" w:rsidRDefault="004542D1">
      <w:pPr>
        <w:spacing w:line="360" w:lineRule="auto"/>
        <w:ind w:right="-876"/>
        <w:jc w:val="both"/>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bookmarkStart w:id="2" w:name="_heading=h.2s8eyo1" w:colFirst="0" w:colLast="0"/>
      <w:bookmarkEnd w:id="2"/>
      <w:r w:rsidRPr="00803417">
        <w:rPr>
          <w:rFonts w:ascii="Palatino Linotype" w:eastAsia="Palatino Linotype" w:hAnsi="Palatino Linotype" w:cs="Palatino Linotype"/>
        </w:rPr>
        <w:t xml:space="preserve">El cinco de diciembre de dos mil veinticuatro, se notificaron los acuerdos a través de los cuales se decretó el cierre de instrucción. </w:t>
      </w:r>
    </w:p>
    <w:p w:rsidR="004542D1" w:rsidRPr="00803417" w:rsidRDefault="004542D1">
      <w:pPr>
        <w:spacing w:line="360" w:lineRule="auto"/>
        <w:ind w:right="-876"/>
        <w:jc w:val="both"/>
        <w:rPr>
          <w:rFonts w:ascii="Palatino Linotype" w:eastAsia="Palatino Linotype" w:hAnsi="Palatino Linotype" w:cs="Palatino Linotype"/>
        </w:rPr>
      </w:pPr>
    </w:p>
    <w:p w:rsidR="004542D1" w:rsidRPr="00803417" w:rsidRDefault="00E33CAA">
      <w:pPr>
        <w:keepNext/>
        <w:keepLines/>
        <w:spacing w:line="360" w:lineRule="auto"/>
        <w:ind w:right="-876"/>
        <w:jc w:val="center"/>
        <w:rPr>
          <w:rFonts w:ascii="Palatino Linotype" w:eastAsia="Palatino Linotype" w:hAnsi="Palatino Linotype" w:cs="Palatino Linotype"/>
        </w:rPr>
      </w:pPr>
      <w:bookmarkStart w:id="3" w:name="_heading=h.1fob9te" w:colFirst="0" w:colLast="0"/>
      <w:bookmarkEnd w:id="3"/>
      <w:r w:rsidRPr="00803417">
        <w:rPr>
          <w:rFonts w:ascii="Palatino Linotype" w:eastAsia="Palatino Linotype" w:hAnsi="Palatino Linotype" w:cs="Palatino Linotype"/>
          <w:b/>
        </w:rPr>
        <w:t xml:space="preserve">C O N S I D E R A N D O </w:t>
      </w:r>
    </w:p>
    <w:p w:rsidR="004542D1" w:rsidRPr="00803417" w:rsidRDefault="004542D1">
      <w:pPr>
        <w:spacing w:line="360" w:lineRule="auto"/>
        <w:ind w:right="-876"/>
        <w:rPr>
          <w:rFonts w:ascii="Palatino Linotype" w:eastAsia="Palatino Linotype" w:hAnsi="Palatino Linotype" w:cs="Palatino Linotype"/>
        </w:rPr>
      </w:pPr>
    </w:p>
    <w:p w:rsidR="004542D1" w:rsidRPr="00803417" w:rsidRDefault="00E33CAA">
      <w:pPr>
        <w:keepNext/>
        <w:keepLines/>
        <w:spacing w:line="360" w:lineRule="auto"/>
        <w:ind w:right="-876"/>
        <w:rPr>
          <w:rFonts w:ascii="Palatino Linotype" w:eastAsia="Palatino Linotype" w:hAnsi="Palatino Linotype" w:cs="Palatino Linotype"/>
          <w:b/>
        </w:rPr>
      </w:pPr>
      <w:bookmarkStart w:id="4" w:name="_heading=h.3znysh7" w:colFirst="0" w:colLast="0"/>
      <w:bookmarkEnd w:id="4"/>
      <w:r w:rsidRPr="00803417">
        <w:rPr>
          <w:rFonts w:ascii="Palatino Linotype" w:eastAsia="Palatino Linotype" w:hAnsi="Palatino Linotype" w:cs="Palatino Linotype"/>
          <w:b/>
        </w:rPr>
        <w:t>PRIMERO. De la competencia</w:t>
      </w:r>
    </w:p>
    <w:p w:rsidR="004542D1" w:rsidRPr="00803417" w:rsidRDefault="004542D1">
      <w:pPr>
        <w:keepNext/>
        <w:keepLines/>
        <w:spacing w:line="360" w:lineRule="auto"/>
        <w:ind w:right="-876"/>
        <w:rPr>
          <w:rFonts w:ascii="Palatino Linotype" w:eastAsia="Palatino Linotype" w:hAnsi="Palatino Linotype" w:cs="Palatino Linotype"/>
          <w:b/>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4542D1" w:rsidRPr="00803417" w:rsidRDefault="004542D1">
      <w:pPr>
        <w:spacing w:line="360" w:lineRule="auto"/>
        <w:ind w:right="-876"/>
        <w:jc w:val="both"/>
        <w:rPr>
          <w:rFonts w:ascii="Palatino Linotype" w:eastAsia="Palatino Linotype" w:hAnsi="Palatino Linotype" w:cs="Palatino Linotype"/>
        </w:rPr>
      </w:pPr>
    </w:p>
    <w:p w:rsidR="004542D1" w:rsidRPr="00803417" w:rsidRDefault="00E33CAA">
      <w:pPr>
        <w:keepNext/>
        <w:keepLines/>
        <w:spacing w:line="360" w:lineRule="auto"/>
        <w:ind w:right="-876"/>
        <w:rPr>
          <w:rFonts w:ascii="Palatino Linotype" w:eastAsia="Palatino Linotype" w:hAnsi="Palatino Linotype" w:cs="Palatino Linotype"/>
          <w:b/>
        </w:rPr>
      </w:pPr>
      <w:bookmarkStart w:id="5" w:name="_heading=h.2et92p0" w:colFirst="0" w:colLast="0"/>
      <w:bookmarkEnd w:id="5"/>
      <w:r w:rsidRPr="00803417">
        <w:rPr>
          <w:rFonts w:ascii="Palatino Linotype" w:eastAsia="Palatino Linotype" w:hAnsi="Palatino Linotype" w:cs="Palatino Linotype"/>
          <w:b/>
        </w:rPr>
        <w:t>SEGUNDO. De la oportunidad y procedencia.</w:t>
      </w: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rPr>
        <w:t xml:space="preserve">El medio de impugnación fue presentado a través del </w:t>
      </w:r>
      <w:r w:rsidRPr="00803417">
        <w:rPr>
          <w:rFonts w:ascii="Palatino Linotype" w:eastAsia="Palatino Linotype" w:hAnsi="Palatino Linotype" w:cs="Palatino Linotype"/>
          <w:b/>
        </w:rPr>
        <w:t>SAIMEX,</w:t>
      </w:r>
      <w:r w:rsidRPr="00803417">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803417">
        <w:rPr>
          <w:rFonts w:ascii="Palatino Linotype" w:eastAsia="Palatino Linotype" w:hAnsi="Palatino Linotype" w:cs="Palatino Linotype"/>
          <w:b/>
        </w:rPr>
        <w:t>SUJETO OBLIGADO</w:t>
      </w:r>
      <w:r w:rsidRPr="00803417">
        <w:rPr>
          <w:rFonts w:ascii="Palatino Linotype" w:eastAsia="Palatino Linotype" w:hAnsi="Palatino Linotype" w:cs="Palatino Linotype"/>
        </w:rPr>
        <w:t xml:space="preserve"> entregó respuestas a las solicitudes el día dieciséis de agosto de dos mil veinticuatro, de tal forma que el plazo para interponer los recursos de revisión transcurrieron  el diecinueve de agosto  al seis de septiembre de dos mil veinticuatro, de acuerdo al calendario oficial del INFOEM; en consecuencia, presentó sus inconformidades el día diecinueve de agosto de dos mil veinticuatro, por lo que se encuentra dentro de los </w:t>
      </w:r>
      <w:r w:rsidRPr="00803417">
        <w:rPr>
          <w:rFonts w:ascii="Palatino Linotype" w:eastAsia="Palatino Linotype" w:hAnsi="Palatino Linotype" w:cs="Palatino Linotype"/>
        </w:rPr>
        <w:lastRenderedPageBreak/>
        <w:t xml:space="preserve">márgenes temporales previstos en el artículo 178 de la </w:t>
      </w:r>
      <w:r w:rsidRPr="00803417">
        <w:rPr>
          <w:rFonts w:ascii="Palatino Linotype" w:eastAsia="Palatino Linotype" w:hAnsi="Palatino Linotype" w:cs="Palatino Linotype"/>
          <w:b/>
        </w:rPr>
        <w:t xml:space="preserve">Ley de Transparencia y Acceso a la Información Pública del Estado de México y Municipios </w:t>
      </w:r>
      <w:r w:rsidRPr="00803417">
        <w:rPr>
          <w:rFonts w:ascii="Palatino Linotype" w:eastAsia="Palatino Linotype" w:hAnsi="Palatino Linotype" w:cs="Palatino Linotype"/>
        </w:rPr>
        <w:t>vigente.</w:t>
      </w:r>
    </w:p>
    <w:p w:rsidR="004542D1" w:rsidRPr="00803417" w:rsidRDefault="004542D1">
      <w:pPr>
        <w:spacing w:line="360" w:lineRule="auto"/>
        <w:ind w:right="-876"/>
        <w:jc w:val="both"/>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4542D1" w:rsidRPr="00803417" w:rsidRDefault="004542D1">
      <w:pPr>
        <w:spacing w:line="360" w:lineRule="auto"/>
        <w:jc w:val="both"/>
        <w:rPr>
          <w:rFonts w:ascii="Palatino Linotype" w:eastAsia="Palatino Linotype" w:hAnsi="Palatino Linotype" w:cs="Palatino Linotype"/>
        </w:rPr>
      </w:pPr>
    </w:p>
    <w:p w:rsidR="004542D1" w:rsidRPr="00803417" w:rsidRDefault="00E33CAA">
      <w:pPr>
        <w:spacing w:line="360" w:lineRule="auto"/>
        <w:ind w:left="1134" w:right="900"/>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w:t>
      </w:r>
      <w:r w:rsidRPr="00803417">
        <w:rPr>
          <w:rFonts w:ascii="Palatino Linotype" w:eastAsia="Palatino Linotype" w:hAnsi="Palatino Linotype" w:cs="Palatino Linotype"/>
          <w:b/>
          <w:i/>
          <w:sz w:val="22"/>
          <w:szCs w:val="22"/>
        </w:rPr>
        <w:t>Las solicitudes anónimas</w:t>
      </w:r>
      <w:r w:rsidRPr="00803417">
        <w:rPr>
          <w:rFonts w:ascii="Palatino Linotype" w:eastAsia="Palatino Linotype" w:hAnsi="Palatino Linotype" w:cs="Palatino Linotype"/>
          <w:i/>
          <w:sz w:val="22"/>
          <w:szCs w:val="22"/>
        </w:rPr>
        <w:t xml:space="preserve">, con nombre incompleto o seudónimo </w:t>
      </w:r>
      <w:r w:rsidRPr="00803417">
        <w:rPr>
          <w:rFonts w:ascii="Palatino Linotype" w:eastAsia="Palatino Linotype" w:hAnsi="Palatino Linotype" w:cs="Palatino Linotype"/>
          <w:b/>
          <w:i/>
          <w:sz w:val="22"/>
          <w:szCs w:val="22"/>
        </w:rPr>
        <w:t>serán procedentes para su trámite por parte del sujeto obligado ante quien se presente</w:t>
      </w:r>
      <w:r w:rsidRPr="00803417">
        <w:rPr>
          <w:rFonts w:ascii="Palatino Linotype" w:eastAsia="Palatino Linotype" w:hAnsi="Palatino Linotype" w:cs="Palatino Linotype"/>
          <w:i/>
          <w:sz w:val="22"/>
          <w:szCs w:val="22"/>
        </w:rPr>
        <w:t>. No podrá requerirse información adicional con motivo del nombre proporcionado por el solicitante."</w:t>
      </w:r>
    </w:p>
    <w:p w:rsidR="004542D1" w:rsidRPr="00803417" w:rsidRDefault="004542D1">
      <w:pPr>
        <w:spacing w:line="360" w:lineRule="auto"/>
        <w:jc w:val="both"/>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rsidR="004542D1" w:rsidRPr="00803417" w:rsidRDefault="004542D1">
      <w:pPr>
        <w:spacing w:line="360" w:lineRule="auto"/>
        <w:ind w:right="474"/>
        <w:jc w:val="both"/>
        <w:rPr>
          <w:rFonts w:ascii="Palatino Linotype" w:eastAsia="Palatino Linotype" w:hAnsi="Palatino Linotype" w:cs="Palatino Linotype"/>
          <w:i/>
        </w:rPr>
      </w:pPr>
    </w:p>
    <w:p w:rsidR="004542D1" w:rsidRPr="00803417" w:rsidRDefault="00E33CAA">
      <w:pPr>
        <w:ind w:left="1134" w:right="900"/>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rPr>
        <w:t>"</w:t>
      </w:r>
      <w:r w:rsidRPr="00803417">
        <w:rPr>
          <w:rFonts w:ascii="Palatino Linotype" w:eastAsia="Palatino Linotype" w:hAnsi="Palatino Linotype" w:cs="Palatino Linotype"/>
          <w:b/>
          <w:i/>
          <w:sz w:val="22"/>
          <w:szCs w:val="22"/>
        </w:rPr>
        <w:t>Artículo 6.-</w:t>
      </w:r>
      <w:r w:rsidRPr="00803417">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4542D1" w:rsidRPr="00803417" w:rsidRDefault="00E33CAA">
      <w:pPr>
        <w:ind w:left="1134" w:right="900"/>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Para efectos de lo dispuesto en el presente artículo se observará lo siguiente:</w:t>
      </w:r>
    </w:p>
    <w:p w:rsidR="004542D1" w:rsidRPr="00803417" w:rsidRDefault="004542D1">
      <w:pPr>
        <w:ind w:left="1134" w:right="900"/>
        <w:jc w:val="both"/>
        <w:rPr>
          <w:rFonts w:ascii="Palatino Linotype" w:eastAsia="Palatino Linotype" w:hAnsi="Palatino Linotype" w:cs="Palatino Linotype"/>
          <w:i/>
          <w:sz w:val="22"/>
          <w:szCs w:val="22"/>
        </w:rPr>
      </w:pPr>
    </w:p>
    <w:p w:rsidR="004542D1" w:rsidRPr="00803417" w:rsidRDefault="00E33CAA">
      <w:pPr>
        <w:ind w:left="1134" w:right="900"/>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lastRenderedPageBreak/>
        <w:t>A. Para el ejercicio del derecho de acceso a la información, la Federación, los Estados y el Distrito Federal, en el ámbito de sus respectivas competencias, se regirán por los siguientes principios y bases:</w:t>
      </w:r>
    </w:p>
    <w:p w:rsidR="004542D1" w:rsidRPr="00803417" w:rsidRDefault="004542D1">
      <w:pPr>
        <w:ind w:left="1134" w:right="900"/>
        <w:jc w:val="both"/>
        <w:rPr>
          <w:rFonts w:ascii="Palatino Linotype" w:eastAsia="Palatino Linotype" w:hAnsi="Palatino Linotype" w:cs="Palatino Linotype"/>
          <w:i/>
          <w:sz w:val="22"/>
          <w:szCs w:val="22"/>
        </w:rPr>
      </w:pPr>
    </w:p>
    <w:p w:rsidR="004542D1" w:rsidRPr="00803417" w:rsidRDefault="00E33CAA">
      <w:pPr>
        <w:ind w:left="1134" w:right="900"/>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sidRPr="00803417">
        <w:rPr>
          <w:rFonts w:ascii="Palatino Linotype" w:eastAsia="Palatino Linotype" w:hAnsi="Palatino Linotype" w:cs="Palatino Linotype"/>
          <w:sz w:val="22"/>
          <w:szCs w:val="22"/>
        </w:rPr>
        <w:t>(Sic)</w:t>
      </w:r>
    </w:p>
    <w:p w:rsidR="004542D1" w:rsidRPr="00803417" w:rsidRDefault="004542D1">
      <w:pPr>
        <w:spacing w:line="360" w:lineRule="auto"/>
        <w:ind w:left="567" w:right="474"/>
        <w:jc w:val="both"/>
        <w:rPr>
          <w:rFonts w:ascii="Palatino Linotype" w:eastAsia="Palatino Linotype" w:hAnsi="Palatino Linotype" w:cs="Palatino Linotype"/>
          <w:i/>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rsidR="004542D1" w:rsidRPr="00803417" w:rsidRDefault="004542D1">
      <w:pPr>
        <w:spacing w:line="360" w:lineRule="auto"/>
        <w:ind w:right="474"/>
        <w:jc w:val="both"/>
        <w:rPr>
          <w:rFonts w:ascii="Palatino Linotype" w:eastAsia="Palatino Linotype" w:hAnsi="Palatino Linotype" w:cs="Palatino Linotype"/>
          <w:i/>
        </w:rPr>
      </w:pPr>
    </w:p>
    <w:p w:rsidR="004542D1" w:rsidRPr="00803417" w:rsidRDefault="00E33CAA">
      <w:pPr>
        <w:ind w:left="1134" w:right="900"/>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w:t>
      </w:r>
      <w:r w:rsidRPr="00803417">
        <w:rPr>
          <w:rFonts w:ascii="Palatino Linotype" w:eastAsia="Palatino Linotype" w:hAnsi="Palatino Linotype" w:cs="Palatino Linotype"/>
          <w:b/>
          <w:i/>
          <w:sz w:val="22"/>
          <w:szCs w:val="22"/>
        </w:rPr>
        <w:t>Artículo 5.-</w:t>
      </w:r>
      <w:r w:rsidRPr="00803417">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4542D1" w:rsidRPr="00803417" w:rsidRDefault="00E33CAA">
      <w:pPr>
        <w:ind w:left="1134" w:right="900"/>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w:t>
      </w:r>
    </w:p>
    <w:p w:rsidR="004542D1" w:rsidRPr="00803417" w:rsidRDefault="00E33CAA">
      <w:pPr>
        <w:ind w:left="1134" w:right="900"/>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rsidR="004542D1" w:rsidRPr="00803417" w:rsidRDefault="00E33CAA">
      <w:pPr>
        <w:ind w:left="1134" w:right="900"/>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w:t>
      </w:r>
    </w:p>
    <w:p w:rsidR="004542D1" w:rsidRPr="00803417" w:rsidRDefault="00E33CAA">
      <w:pPr>
        <w:ind w:left="1134" w:right="900"/>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rsidR="004542D1" w:rsidRPr="00803417" w:rsidRDefault="00E33CAA">
      <w:pPr>
        <w:ind w:left="1134" w:right="900"/>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4542D1" w:rsidRPr="00803417" w:rsidRDefault="00E33CAA">
      <w:pPr>
        <w:ind w:left="1134" w:right="900"/>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4542D1" w:rsidRPr="00803417" w:rsidRDefault="00E33CAA">
      <w:pPr>
        <w:ind w:left="1134" w:right="900"/>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lastRenderedPageBreak/>
        <w:t>...</w:t>
      </w:r>
    </w:p>
    <w:p w:rsidR="004542D1" w:rsidRPr="00803417" w:rsidRDefault="00E33CAA">
      <w:pPr>
        <w:ind w:left="1134" w:right="900"/>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803417">
        <w:rPr>
          <w:rFonts w:ascii="Palatino Linotype" w:eastAsia="Palatino Linotype" w:hAnsi="Palatino Linotype" w:cs="Palatino Linotype"/>
          <w:sz w:val="22"/>
          <w:szCs w:val="22"/>
        </w:rPr>
        <w:t>(Sic)</w:t>
      </w:r>
    </w:p>
    <w:p w:rsidR="004542D1" w:rsidRPr="00803417" w:rsidRDefault="004542D1">
      <w:pPr>
        <w:ind w:left="1134" w:right="900"/>
        <w:jc w:val="both"/>
        <w:rPr>
          <w:rFonts w:ascii="Palatino Linotype" w:eastAsia="Palatino Linotype" w:hAnsi="Palatino Linotype" w:cs="Palatino Linotype"/>
          <w:i/>
          <w:sz w:val="22"/>
          <w:szCs w:val="22"/>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rPr>
        <w:t>Por otra parte, del contenido del artículo 1 de la Constitución Política de los Estados Unidos mexicanos, se destaca lo siguiente:</w:t>
      </w:r>
    </w:p>
    <w:p w:rsidR="004542D1" w:rsidRPr="00803417" w:rsidRDefault="00E33CAA">
      <w:pPr>
        <w:ind w:left="1134" w:right="900"/>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w:t>
      </w:r>
      <w:r w:rsidRPr="00803417">
        <w:rPr>
          <w:rFonts w:ascii="Palatino Linotype" w:eastAsia="Palatino Linotype" w:hAnsi="Palatino Linotype" w:cs="Palatino Linotype"/>
          <w:b/>
          <w:i/>
          <w:sz w:val="22"/>
          <w:szCs w:val="22"/>
        </w:rPr>
        <w:t>Artículo 1</w:t>
      </w:r>
      <w:r w:rsidRPr="00803417">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4542D1" w:rsidRPr="00803417" w:rsidRDefault="00E33CAA">
      <w:pPr>
        <w:ind w:left="1134" w:right="900"/>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rsidR="004542D1" w:rsidRPr="00803417" w:rsidRDefault="00E33CAA">
      <w:pPr>
        <w:ind w:left="1134" w:right="900"/>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4542D1" w:rsidRPr="00803417" w:rsidRDefault="004542D1">
      <w:pPr>
        <w:spacing w:line="360" w:lineRule="auto"/>
        <w:ind w:left="426" w:right="474"/>
        <w:jc w:val="both"/>
        <w:rPr>
          <w:rFonts w:ascii="Palatino Linotype" w:eastAsia="Palatino Linotype" w:hAnsi="Palatino Linotype" w:cs="Palatino Linotype"/>
          <w:i/>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803417">
        <w:rPr>
          <w:rFonts w:ascii="Palatino Linotype" w:eastAsia="Palatino Linotype" w:hAnsi="Palatino Linotype" w:cs="Palatino Linotype"/>
          <w:i/>
        </w:rPr>
        <w:t>derecho fundamental exime a quien lo ejerce</w:t>
      </w:r>
      <w:r w:rsidRPr="00803417">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4542D1" w:rsidRPr="00803417" w:rsidRDefault="004542D1">
      <w:pPr>
        <w:spacing w:line="360" w:lineRule="auto"/>
        <w:jc w:val="both"/>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rPr>
        <w:t xml:space="preserve">En consecuencia, dado lo expuesto y fundado con anterioridad, se estima que el requisito relativo al nombre del </w:t>
      </w:r>
      <w:r w:rsidRPr="00803417">
        <w:rPr>
          <w:rFonts w:ascii="Palatino Linotype" w:eastAsia="Palatino Linotype" w:hAnsi="Palatino Linotype" w:cs="Palatino Linotype"/>
          <w:b/>
        </w:rPr>
        <w:t>RECURRENTE</w:t>
      </w:r>
      <w:r w:rsidRPr="00803417">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4542D1" w:rsidRPr="00803417" w:rsidRDefault="004542D1">
      <w:pPr>
        <w:spacing w:line="360" w:lineRule="auto"/>
        <w:ind w:right="-876"/>
        <w:jc w:val="both"/>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bookmarkStart w:id="6" w:name="_heading=h.tyjcwt" w:colFirst="0" w:colLast="0"/>
      <w:bookmarkEnd w:id="6"/>
      <w:r w:rsidRPr="00803417">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4542D1" w:rsidRPr="00803417" w:rsidRDefault="004542D1">
      <w:pPr>
        <w:spacing w:line="360" w:lineRule="auto"/>
        <w:ind w:right="-876"/>
        <w:jc w:val="both"/>
        <w:rPr>
          <w:rFonts w:ascii="Palatino Linotype" w:eastAsia="Palatino Linotype" w:hAnsi="Palatino Linotype" w:cs="Palatino Linotype"/>
        </w:rPr>
      </w:pPr>
    </w:p>
    <w:p w:rsidR="004542D1" w:rsidRPr="00803417" w:rsidRDefault="00E33CAA">
      <w:pPr>
        <w:keepNext/>
        <w:keepLines/>
        <w:spacing w:line="360" w:lineRule="auto"/>
        <w:ind w:right="-876"/>
        <w:rPr>
          <w:rFonts w:ascii="Palatino Linotype" w:eastAsia="Palatino Linotype" w:hAnsi="Palatino Linotype" w:cs="Palatino Linotype"/>
          <w:b/>
          <w:color w:val="000000"/>
        </w:rPr>
      </w:pPr>
      <w:bookmarkStart w:id="7" w:name="_heading=h.3dy6vkm" w:colFirst="0" w:colLast="0"/>
      <w:bookmarkEnd w:id="7"/>
      <w:r w:rsidRPr="00803417">
        <w:rPr>
          <w:rFonts w:ascii="Palatino Linotype" w:eastAsia="Palatino Linotype" w:hAnsi="Palatino Linotype" w:cs="Palatino Linotype"/>
          <w:b/>
        </w:rPr>
        <w:t xml:space="preserve">TERCERO. </w:t>
      </w:r>
      <w:r w:rsidRPr="00803417">
        <w:rPr>
          <w:rFonts w:ascii="Palatino Linotype" w:eastAsia="Palatino Linotype" w:hAnsi="Palatino Linotype" w:cs="Palatino Linotype"/>
          <w:b/>
          <w:color w:val="000000"/>
        </w:rPr>
        <w:t xml:space="preserve">Del planteamiento de la </w:t>
      </w:r>
      <w:r w:rsidRPr="00803417">
        <w:rPr>
          <w:rFonts w:ascii="Palatino Linotype" w:eastAsia="Palatino Linotype" w:hAnsi="Palatino Linotype" w:cs="Palatino Linotype"/>
          <w:b/>
          <w:i/>
          <w:color w:val="000000"/>
        </w:rPr>
        <w:t>Litis</w:t>
      </w:r>
      <w:r w:rsidRPr="00803417">
        <w:rPr>
          <w:rFonts w:ascii="Palatino Linotype" w:eastAsia="Palatino Linotype" w:hAnsi="Palatino Linotype" w:cs="Palatino Linotype"/>
          <w:b/>
          <w:color w:val="000000"/>
        </w:rPr>
        <w:t>.</w:t>
      </w:r>
    </w:p>
    <w:p w:rsidR="004542D1" w:rsidRPr="00803417" w:rsidRDefault="004542D1">
      <w:pPr>
        <w:keepNext/>
        <w:keepLines/>
        <w:spacing w:line="360" w:lineRule="auto"/>
        <w:ind w:right="-876"/>
        <w:rPr>
          <w:rFonts w:ascii="Palatino Linotype" w:eastAsia="Palatino Linotype" w:hAnsi="Palatino Linotype" w:cs="Palatino Linotype"/>
          <w:b/>
        </w:rPr>
      </w:pPr>
      <w:bookmarkStart w:id="8" w:name="_heading=h.a8y84zpusc69" w:colFirst="0" w:colLast="0"/>
      <w:bookmarkEnd w:id="8"/>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rPr>
        <w:t>Se solicitó tener acceso, a la siguiente  información:</w:t>
      </w:r>
    </w:p>
    <w:p w:rsidR="004542D1" w:rsidRPr="00803417" w:rsidRDefault="004542D1">
      <w:pPr>
        <w:spacing w:line="360" w:lineRule="auto"/>
        <w:ind w:left="851" w:right="-876"/>
        <w:jc w:val="both"/>
        <w:rPr>
          <w:rFonts w:ascii="Palatino Linotype" w:eastAsia="Palatino Linotype" w:hAnsi="Palatino Linotype" w:cs="Palatino Linotype"/>
          <w:b/>
          <w:sz w:val="22"/>
          <w:szCs w:val="22"/>
        </w:rPr>
      </w:pPr>
    </w:p>
    <w:p w:rsidR="004542D1" w:rsidRPr="00803417" w:rsidRDefault="00E33CAA">
      <w:pPr>
        <w:spacing w:line="360" w:lineRule="auto"/>
        <w:ind w:left="851" w:right="568"/>
        <w:jc w:val="both"/>
        <w:rPr>
          <w:rFonts w:ascii="Palatino Linotype" w:eastAsia="Palatino Linotype" w:hAnsi="Palatino Linotype" w:cs="Palatino Linotype"/>
          <w:b/>
        </w:rPr>
      </w:pPr>
      <w:r w:rsidRPr="00803417">
        <w:rPr>
          <w:rFonts w:ascii="Palatino Linotype" w:eastAsia="Palatino Linotype" w:hAnsi="Palatino Linotype" w:cs="Palatino Linotype"/>
          <w:b/>
        </w:rPr>
        <w:t>00499/SMOV/IP/2024</w:t>
      </w:r>
    </w:p>
    <w:p w:rsidR="004542D1" w:rsidRPr="00803417" w:rsidRDefault="00E33CAA">
      <w:pPr>
        <w:spacing w:line="360" w:lineRule="auto"/>
        <w:ind w:left="851" w:right="568"/>
        <w:jc w:val="both"/>
        <w:rPr>
          <w:rFonts w:ascii="Palatino Linotype" w:eastAsia="Palatino Linotype" w:hAnsi="Palatino Linotype" w:cs="Palatino Linotype"/>
          <w:b/>
        </w:rPr>
      </w:pPr>
      <w:r w:rsidRPr="00803417">
        <w:rPr>
          <w:rFonts w:ascii="Palatino Linotype" w:eastAsia="Palatino Linotype" w:hAnsi="Palatino Linotype" w:cs="Palatino Linotype"/>
          <w:b/>
        </w:rPr>
        <w:t>00498/SMOV/IP/2024</w:t>
      </w:r>
    </w:p>
    <w:p w:rsidR="004542D1" w:rsidRPr="00803417" w:rsidRDefault="004542D1">
      <w:pPr>
        <w:spacing w:line="360" w:lineRule="auto"/>
        <w:ind w:left="851" w:right="568"/>
        <w:jc w:val="both"/>
        <w:rPr>
          <w:rFonts w:ascii="Palatino Linotype" w:eastAsia="Palatino Linotype" w:hAnsi="Palatino Linotype" w:cs="Palatino Linotype"/>
          <w:b/>
        </w:rPr>
      </w:pPr>
    </w:p>
    <w:p w:rsidR="004542D1" w:rsidRPr="00803417" w:rsidRDefault="00E33CAA">
      <w:pPr>
        <w:spacing w:line="360" w:lineRule="auto"/>
        <w:ind w:left="851" w:right="568"/>
        <w:jc w:val="both"/>
        <w:rPr>
          <w:rFonts w:ascii="Palatino Linotype" w:eastAsia="Palatino Linotype" w:hAnsi="Palatino Linotype" w:cs="Palatino Linotype"/>
        </w:rPr>
      </w:pPr>
      <w:r w:rsidRPr="00803417">
        <w:rPr>
          <w:rFonts w:ascii="Palatino Linotype" w:eastAsia="Palatino Linotype" w:hAnsi="Palatino Linotype" w:cs="Palatino Linotype"/>
          <w:b/>
        </w:rPr>
        <w:t>De los ejercicios 2016 y 2017</w:t>
      </w:r>
    </w:p>
    <w:p w:rsidR="004542D1" w:rsidRPr="00803417" w:rsidRDefault="004542D1">
      <w:pPr>
        <w:spacing w:line="360" w:lineRule="auto"/>
        <w:ind w:left="851" w:right="568"/>
        <w:jc w:val="both"/>
        <w:rPr>
          <w:rFonts w:ascii="Palatino Linotype" w:eastAsia="Palatino Linotype" w:hAnsi="Palatino Linotype" w:cs="Palatino Linotype"/>
          <w:b/>
        </w:rPr>
      </w:pPr>
    </w:p>
    <w:p w:rsidR="004542D1" w:rsidRPr="00803417" w:rsidRDefault="00E33CAA">
      <w:pPr>
        <w:numPr>
          <w:ilvl w:val="0"/>
          <w:numId w:val="4"/>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Cuántos operadores de transporte público por género fueron capacitados.</w:t>
      </w:r>
    </w:p>
    <w:p w:rsidR="004542D1" w:rsidRPr="00803417" w:rsidRDefault="00E33CAA">
      <w:pPr>
        <w:numPr>
          <w:ilvl w:val="0"/>
          <w:numId w:val="4"/>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Que institución los capacito, o certificado.</w:t>
      </w:r>
    </w:p>
    <w:p w:rsidR="004542D1" w:rsidRPr="00803417" w:rsidRDefault="00E33CAA">
      <w:pPr>
        <w:numPr>
          <w:ilvl w:val="0"/>
          <w:numId w:val="4"/>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Costo de la capacitación.</w:t>
      </w:r>
    </w:p>
    <w:p w:rsidR="004542D1" w:rsidRPr="00803417" w:rsidRDefault="00E33CAA">
      <w:pPr>
        <w:numPr>
          <w:ilvl w:val="0"/>
          <w:numId w:val="4"/>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 xml:space="preserve">Ruta a la que pertenecían los operadores. </w:t>
      </w:r>
    </w:p>
    <w:p w:rsidR="004542D1" w:rsidRPr="00803417" w:rsidRDefault="00E33CAA">
      <w:pPr>
        <w:numPr>
          <w:ilvl w:val="0"/>
          <w:numId w:val="4"/>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Padrón de operadores capacitados con nombre, ruta, número de unidad y placas.</w:t>
      </w:r>
    </w:p>
    <w:p w:rsidR="004542D1" w:rsidRPr="00803417" w:rsidRDefault="004542D1">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b/>
        </w:rPr>
      </w:pPr>
      <w:r w:rsidRPr="00803417">
        <w:rPr>
          <w:rFonts w:ascii="Palatino Linotype" w:eastAsia="Palatino Linotype" w:hAnsi="Palatino Linotype" w:cs="Palatino Linotype"/>
        </w:rPr>
        <w:t xml:space="preserve">En respuesta a las solicitudes, el </w:t>
      </w:r>
      <w:r w:rsidRPr="00803417">
        <w:rPr>
          <w:rFonts w:ascii="Palatino Linotype" w:eastAsia="Palatino Linotype" w:hAnsi="Palatino Linotype" w:cs="Palatino Linotype"/>
          <w:b/>
        </w:rPr>
        <w:t xml:space="preserve">SUJETO OBLIGADO </w:t>
      </w:r>
      <w:r w:rsidRPr="00803417">
        <w:rPr>
          <w:rFonts w:ascii="Palatino Linotype" w:eastAsia="Palatino Linotype" w:hAnsi="Palatino Linotype" w:cs="Palatino Linotype"/>
        </w:rPr>
        <w:t>informó en el mismo sentido, que después de una exhaustiva búsqueda en los archivos físicos y electrónicos que obran en este Instituto del Transporte del Estado de México, no se localizó la información solicitada.</w:t>
      </w:r>
    </w:p>
    <w:p w:rsidR="004542D1" w:rsidRPr="00803417" w:rsidRDefault="004542D1">
      <w:pPr>
        <w:spacing w:line="360" w:lineRule="auto"/>
        <w:ind w:right="-876"/>
        <w:jc w:val="both"/>
        <w:rPr>
          <w:rFonts w:ascii="Palatino Linotype" w:eastAsia="Palatino Linotype" w:hAnsi="Palatino Linotype" w:cs="Palatino Linotype"/>
          <w:b/>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b/>
        </w:rPr>
        <w:t xml:space="preserve">El RECURRENTE, </w:t>
      </w:r>
      <w:r w:rsidRPr="00803417">
        <w:rPr>
          <w:rFonts w:ascii="Palatino Linotype" w:eastAsia="Palatino Linotype" w:hAnsi="Palatino Linotype" w:cs="Palatino Linotype"/>
        </w:rPr>
        <w:t>se inconforma en todos los recursos en el mismo sentido, porque n</w:t>
      </w:r>
      <w:r w:rsidRPr="00803417">
        <w:rPr>
          <w:rFonts w:ascii="Palatino Linotype" w:eastAsia="Palatino Linotype" w:hAnsi="Palatino Linotype" w:cs="Palatino Linotype"/>
          <w:color w:val="000000"/>
        </w:rPr>
        <w:t>o entrega la información.</w:t>
      </w:r>
    </w:p>
    <w:p w:rsidR="004542D1" w:rsidRPr="00803417" w:rsidRDefault="004542D1">
      <w:pPr>
        <w:spacing w:line="360" w:lineRule="auto"/>
        <w:ind w:right="-876"/>
        <w:jc w:val="both"/>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rPr>
        <w:t xml:space="preserve">En dichas condiciones, la Litis a resolver en este recurso se circunscribe a determinar si se actualiza la causal de procedencia prevista en el artículo 179, fracción I de la Ley de Transparencia y Acceso a la Información Pública del Estado de México y Municipios; fracción que determina las hipótesis jurídicas relativa a la negativa a la información solicitada, contexto del cual se dolió EL RECURRENTE al momento de interponer su inconformidad. De modo tal </w:t>
      </w:r>
      <w:r w:rsidRPr="00803417">
        <w:rPr>
          <w:rFonts w:ascii="Palatino Linotype" w:eastAsia="Palatino Linotype" w:hAnsi="Palatino Linotype" w:cs="Palatino Linotype"/>
        </w:rPr>
        <w:lastRenderedPageBreak/>
        <w:t>que el presente recurso de revisión se abocará en determinar si el SUJETO OBLIGADO con sus respuestas ciertamente actualiza la causal de procedencia antes señalada.</w:t>
      </w:r>
    </w:p>
    <w:p w:rsidR="004542D1" w:rsidRPr="00803417" w:rsidRDefault="004542D1">
      <w:pPr>
        <w:ind w:right="-876"/>
        <w:rPr>
          <w:rFonts w:ascii="Palatino Linotype" w:eastAsia="Palatino Linotype" w:hAnsi="Palatino Linotype" w:cs="Palatino Linotype"/>
          <w:b/>
        </w:rPr>
      </w:pPr>
    </w:p>
    <w:p w:rsidR="004542D1" w:rsidRPr="00803417" w:rsidRDefault="00E33CAA">
      <w:pPr>
        <w:keepNext/>
        <w:keepLines/>
        <w:spacing w:line="360" w:lineRule="auto"/>
        <w:ind w:right="-876"/>
        <w:rPr>
          <w:rFonts w:ascii="Palatino Linotype" w:eastAsia="Palatino Linotype" w:hAnsi="Palatino Linotype" w:cs="Palatino Linotype"/>
          <w:b/>
          <w:color w:val="000000"/>
        </w:rPr>
      </w:pPr>
      <w:bookmarkStart w:id="9" w:name="_heading=h.1t3h5sf" w:colFirst="0" w:colLast="0"/>
      <w:bookmarkEnd w:id="9"/>
      <w:r w:rsidRPr="00803417">
        <w:rPr>
          <w:rFonts w:ascii="Palatino Linotype" w:eastAsia="Palatino Linotype" w:hAnsi="Palatino Linotype" w:cs="Palatino Linotype"/>
          <w:b/>
          <w:color w:val="000000"/>
        </w:rPr>
        <w:t>CUARTO. Del estudio y resolución del asunto.</w:t>
      </w:r>
    </w:p>
    <w:p w:rsidR="004542D1" w:rsidRPr="00803417" w:rsidRDefault="004542D1">
      <w:pPr>
        <w:keepNext/>
        <w:keepLines/>
        <w:spacing w:line="360" w:lineRule="auto"/>
        <w:ind w:right="-876"/>
        <w:rPr>
          <w:rFonts w:ascii="Palatino Linotype" w:eastAsia="Palatino Linotype" w:hAnsi="Palatino Linotype" w:cs="Palatino Linotype"/>
          <w:b/>
        </w:rPr>
      </w:pPr>
      <w:bookmarkStart w:id="10" w:name="_heading=h.bub4yvq0if74" w:colFirst="0" w:colLast="0"/>
      <w:bookmarkEnd w:id="10"/>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b/>
        </w:rPr>
      </w:pPr>
      <w:r w:rsidRPr="00803417">
        <w:rPr>
          <w:rFonts w:ascii="Palatino Linotype" w:eastAsia="Palatino Linotype" w:hAnsi="Palatino Linotype" w:cs="Palatino Linotype"/>
        </w:rPr>
        <w:t xml:space="preserve">Acotada la Litis, en cuanto a las solicitudes de información es de indicar que el Recurrente a través de su solicitudes de información </w:t>
      </w:r>
      <w:r w:rsidRPr="00803417">
        <w:rPr>
          <w:rFonts w:ascii="Palatino Linotype" w:eastAsia="Palatino Linotype" w:hAnsi="Palatino Linotype" w:cs="Palatino Linotype"/>
          <w:b/>
        </w:rPr>
        <w:t xml:space="preserve"> requirió</w:t>
      </w:r>
      <w:r w:rsidRPr="00803417">
        <w:rPr>
          <w:rFonts w:ascii="Palatino Linotype" w:eastAsia="Palatino Linotype" w:hAnsi="Palatino Linotype" w:cs="Palatino Linotype"/>
        </w:rPr>
        <w:t xml:space="preserve"> </w:t>
      </w:r>
    </w:p>
    <w:p w:rsidR="004542D1" w:rsidRPr="00803417" w:rsidRDefault="004542D1">
      <w:pPr>
        <w:spacing w:line="360" w:lineRule="auto"/>
        <w:ind w:right="568"/>
        <w:jc w:val="both"/>
        <w:rPr>
          <w:rFonts w:ascii="Palatino Linotype" w:eastAsia="Palatino Linotype" w:hAnsi="Palatino Linotype" w:cs="Palatino Linotype"/>
          <w:b/>
        </w:rPr>
      </w:pPr>
    </w:p>
    <w:p w:rsidR="004542D1" w:rsidRPr="00803417" w:rsidRDefault="00E33CAA">
      <w:pPr>
        <w:spacing w:line="360" w:lineRule="auto"/>
        <w:ind w:left="851" w:right="568"/>
        <w:jc w:val="both"/>
        <w:rPr>
          <w:rFonts w:ascii="Palatino Linotype" w:eastAsia="Palatino Linotype" w:hAnsi="Palatino Linotype" w:cs="Palatino Linotype"/>
          <w:b/>
        </w:rPr>
      </w:pPr>
      <w:r w:rsidRPr="00803417">
        <w:rPr>
          <w:rFonts w:ascii="Palatino Linotype" w:eastAsia="Palatino Linotype" w:hAnsi="Palatino Linotype" w:cs="Palatino Linotype"/>
          <w:b/>
        </w:rPr>
        <w:t>00499/SMOV/IP/2024</w:t>
      </w:r>
    </w:p>
    <w:p w:rsidR="004542D1" w:rsidRPr="00803417" w:rsidRDefault="00E33CAA">
      <w:pPr>
        <w:spacing w:line="360" w:lineRule="auto"/>
        <w:ind w:left="851" w:right="568"/>
        <w:jc w:val="both"/>
        <w:rPr>
          <w:rFonts w:ascii="Palatino Linotype" w:eastAsia="Palatino Linotype" w:hAnsi="Palatino Linotype" w:cs="Palatino Linotype"/>
          <w:b/>
        </w:rPr>
      </w:pPr>
      <w:r w:rsidRPr="00803417">
        <w:rPr>
          <w:rFonts w:ascii="Palatino Linotype" w:eastAsia="Palatino Linotype" w:hAnsi="Palatino Linotype" w:cs="Palatino Linotype"/>
          <w:b/>
        </w:rPr>
        <w:t>00498/SMOV/IP/2024</w:t>
      </w:r>
    </w:p>
    <w:p w:rsidR="004542D1" w:rsidRPr="00803417" w:rsidRDefault="004542D1">
      <w:pPr>
        <w:spacing w:line="360" w:lineRule="auto"/>
        <w:ind w:left="851" w:right="568"/>
        <w:jc w:val="both"/>
        <w:rPr>
          <w:rFonts w:ascii="Palatino Linotype" w:eastAsia="Palatino Linotype" w:hAnsi="Palatino Linotype" w:cs="Palatino Linotype"/>
          <w:b/>
        </w:rPr>
      </w:pPr>
    </w:p>
    <w:p w:rsidR="004542D1" w:rsidRPr="00803417" w:rsidRDefault="00E33CAA">
      <w:pPr>
        <w:spacing w:line="360" w:lineRule="auto"/>
        <w:ind w:left="851" w:right="568"/>
        <w:jc w:val="both"/>
        <w:rPr>
          <w:rFonts w:ascii="Palatino Linotype" w:eastAsia="Palatino Linotype" w:hAnsi="Palatino Linotype" w:cs="Palatino Linotype"/>
        </w:rPr>
      </w:pPr>
      <w:r w:rsidRPr="00803417">
        <w:rPr>
          <w:rFonts w:ascii="Palatino Linotype" w:eastAsia="Palatino Linotype" w:hAnsi="Palatino Linotype" w:cs="Palatino Linotype"/>
          <w:b/>
        </w:rPr>
        <w:t>De los ejercicios 2016 y 2017</w:t>
      </w:r>
    </w:p>
    <w:p w:rsidR="004542D1" w:rsidRPr="00803417" w:rsidRDefault="004542D1">
      <w:pPr>
        <w:spacing w:line="360" w:lineRule="auto"/>
        <w:ind w:left="851" w:right="568"/>
        <w:jc w:val="both"/>
        <w:rPr>
          <w:rFonts w:ascii="Palatino Linotype" w:eastAsia="Palatino Linotype" w:hAnsi="Palatino Linotype" w:cs="Palatino Linotype"/>
          <w:b/>
        </w:rPr>
      </w:pPr>
    </w:p>
    <w:p w:rsidR="004542D1" w:rsidRPr="00803417" w:rsidRDefault="00E33CAA">
      <w:pPr>
        <w:numPr>
          <w:ilvl w:val="0"/>
          <w:numId w:val="5"/>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Cuántos operadores de transporte público por género fueron capacitados.</w:t>
      </w:r>
    </w:p>
    <w:p w:rsidR="004542D1" w:rsidRPr="00803417" w:rsidRDefault="00E33CAA">
      <w:pPr>
        <w:numPr>
          <w:ilvl w:val="0"/>
          <w:numId w:val="5"/>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Que institución los capacito, o certificado.</w:t>
      </w:r>
    </w:p>
    <w:p w:rsidR="004542D1" w:rsidRPr="00803417" w:rsidRDefault="00E33CAA">
      <w:pPr>
        <w:numPr>
          <w:ilvl w:val="0"/>
          <w:numId w:val="5"/>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Costo de la capacitación.</w:t>
      </w:r>
    </w:p>
    <w:p w:rsidR="004542D1" w:rsidRPr="00803417" w:rsidRDefault="00E33CAA">
      <w:pPr>
        <w:numPr>
          <w:ilvl w:val="0"/>
          <w:numId w:val="5"/>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 xml:space="preserve">Ruta a la que pertenecían los operadores. </w:t>
      </w:r>
    </w:p>
    <w:p w:rsidR="004542D1" w:rsidRPr="00803417" w:rsidRDefault="00E33CAA">
      <w:pPr>
        <w:numPr>
          <w:ilvl w:val="0"/>
          <w:numId w:val="5"/>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Padrón de operadores capacitados con nombre, ruta, número de unidad y placas.</w:t>
      </w:r>
    </w:p>
    <w:p w:rsidR="004542D1" w:rsidRPr="00803417" w:rsidRDefault="004542D1">
      <w:pPr>
        <w:spacing w:line="360" w:lineRule="auto"/>
        <w:ind w:right="-876"/>
        <w:jc w:val="both"/>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b/>
        </w:rPr>
      </w:pPr>
      <w:r w:rsidRPr="00803417">
        <w:rPr>
          <w:rFonts w:ascii="Palatino Linotype" w:eastAsia="Palatino Linotype" w:hAnsi="Palatino Linotype" w:cs="Palatino Linotype"/>
        </w:rPr>
        <w:t>El Sujeto Obligado informó en el mismo sentido que, después de una exhaustiva búsqueda en los archivos físicos y electrónicos que obran en este Instituto del Transporte del Estado de México, no se localizó la información solicitada.</w:t>
      </w:r>
    </w:p>
    <w:p w:rsidR="004542D1" w:rsidRPr="00803417" w:rsidRDefault="004542D1">
      <w:pPr>
        <w:pBdr>
          <w:top w:val="nil"/>
          <w:left w:val="nil"/>
          <w:bottom w:val="nil"/>
          <w:right w:val="nil"/>
          <w:between w:val="nil"/>
        </w:pBdr>
        <w:ind w:right="-876"/>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b/>
        </w:rPr>
      </w:pPr>
      <w:r w:rsidRPr="00803417">
        <w:rPr>
          <w:rFonts w:ascii="Palatino Linotype" w:eastAsia="Palatino Linotype" w:hAnsi="Palatino Linotype" w:cs="Palatino Linotype"/>
        </w:rPr>
        <w:t xml:space="preserve">El Recurrente se inconforma porque, </w:t>
      </w:r>
      <w:r w:rsidRPr="00803417">
        <w:rPr>
          <w:rFonts w:ascii="Palatino Linotype" w:eastAsia="Palatino Linotype" w:hAnsi="Palatino Linotype" w:cs="Palatino Linotype"/>
          <w:color w:val="000000"/>
        </w:rPr>
        <w:t>no entrega la información.</w:t>
      </w:r>
    </w:p>
    <w:p w:rsidR="004542D1" w:rsidRPr="00803417" w:rsidRDefault="004542D1">
      <w:pPr>
        <w:spacing w:line="360" w:lineRule="auto"/>
        <w:ind w:right="-876"/>
        <w:jc w:val="both"/>
        <w:rPr>
          <w:rFonts w:ascii="Palatino Linotype" w:eastAsia="Palatino Linotype" w:hAnsi="Palatino Linotype" w:cs="Palatino Linotype"/>
          <w:b/>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rPr>
        <w:t>Acotado</w:t>
      </w:r>
      <w:r w:rsidRPr="00803417">
        <w:rPr>
          <w:rFonts w:ascii="Palatino Linotype" w:eastAsia="Palatino Linotype" w:hAnsi="Palatino Linotype" w:cs="Palatino Linotype"/>
          <w:color w:val="000000"/>
        </w:rPr>
        <w:t xml:space="preserve"> lo anterior, es necesario traer a contexto el </w:t>
      </w:r>
      <w:r w:rsidRPr="00803417">
        <w:rPr>
          <w:rFonts w:ascii="Palatino Linotype" w:eastAsia="Palatino Linotype" w:hAnsi="Palatino Linotype" w:cs="Palatino Linotype"/>
        </w:rPr>
        <w:t>Reglamento Interior de la Secretaria de Movilidad, el cual establece lo siguiente:</w:t>
      </w:r>
    </w:p>
    <w:p w:rsidR="004542D1" w:rsidRPr="00803417" w:rsidRDefault="004542D1">
      <w:pPr>
        <w:pBdr>
          <w:top w:val="nil"/>
          <w:left w:val="nil"/>
          <w:bottom w:val="nil"/>
          <w:right w:val="nil"/>
          <w:between w:val="nil"/>
        </w:pBdr>
        <w:rPr>
          <w:rFonts w:ascii="Palatino Linotype" w:eastAsia="Palatino Linotype" w:hAnsi="Palatino Linotype" w:cs="Palatino Linotype"/>
        </w:rPr>
      </w:pPr>
    </w:p>
    <w:p w:rsidR="004542D1" w:rsidRPr="00803417" w:rsidRDefault="00E33CAA">
      <w:pPr>
        <w:pBdr>
          <w:top w:val="nil"/>
          <w:left w:val="nil"/>
          <w:bottom w:val="nil"/>
          <w:right w:val="nil"/>
          <w:between w:val="nil"/>
        </w:pBdr>
        <w:ind w:left="851" w:right="1135"/>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b/>
          <w:i/>
          <w:sz w:val="22"/>
          <w:szCs w:val="22"/>
        </w:rPr>
        <w:t>Artículo 4.</w:t>
      </w:r>
      <w:r w:rsidRPr="00803417">
        <w:rPr>
          <w:rFonts w:ascii="Palatino Linotype" w:eastAsia="Palatino Linotype" w:hAnsi="Palatino Linotype" w:cs="Palatino Linotype"/>
          <w:i/>
          <w:sz w:val="22"/>
          <w:szCs w:val="22"/>
        </w:rPr>
        <w:t xml:space="preserve"> Al frente de la Secretaría estará una persona titular quien, para el desahogo de </w:t>
      </w:r>
      <w:proofErr w:type="gramStart"/>
      <w:r w:rsidRPr="00803417">
        <w:rPr>
          <w:rFonts w:ascii="Palatino Linotype" w:eastAsia="Palatino Linotype" w:hAnsi="Palatino Linotype" w:cs="Palatino Linotype"/>
          <w:i/>
          <w:sz w:val="22"/>
          <w:szCs w:val="22"/>
        </w:rPr>
        <w:t>los</w:t>
      </w:r>
      <w:proofErr w:type="gramEnd"/>
      <w:r w:rsidRPr="00803417">
        <w:rPr>
          <w:rFonts w:ascii="Palatino Linotype" w:eastAsia="Palatino Linotype" w:hAnsi="Palatino Linotype" w:cs="Palatino Linotype"/>
          <w:i/>
          <w:sz w:val="22"/>
          <w:szCs w:val="22"/>
        </w:rPr>
        <w:t xml:space="preserve"> asunto de su competencia, para el desahogo de los asuntos de su competencia, se auxiliará de las unidades administrativas siguientes:</w:t>
      </w:r>
    </w:p>
    <w:p w:rsidR="004542D1" w:rsidRPr="00803417" w:rsidRDefault="004542D1">
      <w:pPr>
        <w:pBdr>
          <w:top w:val="nil"/>
          <w:left w:val="nil"/>
          <w:bottom w:val="nil"/>
          <w:right w:val="nil"/>
          <w:between w:val="nil"/>
        </w:pBdr>
        <w:ind w:left="851" w:right="1135"/>
        <w:jc w:val="both"/>
        <w:rPr>
          <w:rFonts w:ascii="Palatino Linotype" w:eastAsia="Palatino Linotype" w:hAnsi="Palatino Linotype" w:cs="Palatino Linotype"/>
          <w:i/>
          <w:sz w:val="22"/>
          <w:szCs w:val="22"/>
        </w:rPr>
      </w:pPr>
    </w:p>
    <w:p w:rsidR="004542D1" w:rsidRPr="00803417" w:rsidRDefault="00E33CAA">
      <w:pPr>
        <w:pBdr>
          <w:top w:val="nil"/>
          <w:left w:val="nil"/>
          <w:bottom w:val="nil"/>
          <w:right w:val="nil"/>
          <w:between w:val="nil"/>
        </w:pBdr>
        <w:ind w:left="851" w:right="1135"/>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I. Subsecretaría de Movilidad:</w:t>
      </w:r>
    </w:p>
    <w:p w:rsidR="004542D1" w:rsidRPr="00803417" w:rsidRDefault="00E33CAA">
      <w:pPr>
        <w:pBdr>
          <w:top w:val="nil"/>
          <w:left w:val="nil"/>
          <w:bottom w:val="nil"/>
          <w:right w:val="nil"/>
          <w:between w:val="nil"/>
        </w:pBdr>
        <w:ind w:left="851" w:right="1135"/>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a. Dirección General de Movilidad Zona I;</w:t>
      </w:r>
    </w:p>
    <w:p w:rsidR="004542D1" w:rsidRPr="00803417" w:rsidRDefault="00E33CAA">
      <w:pPr>
        <w:pBdr>
          <w:top w:val="nil"/>
          <w:left w:val="nil"/>
          <w:bottom w:val="nil"/>
          <w:right w:val="nil"/>
          <w:between w:val="nil"/>
        </w:pBdr>
        <w:ind w:left="851" w:right="1135"/>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b. Dirección General de Movilidad Zona II;</w:t>
      </w:r>
    </w:p>
    <w:p w:rsidR="004542D1" w:rsidRPr="00803417" w:rsidRDefault="00E33CAA">
      <w:pPr>
        <w:pBdr>
          <w:top w:val="nil"/>
          <w:left w:val="nil"/>
          <w:bottom w:val="nil"/>
          <w:right w:val="nil"/>
          <w:between w:val="nil"/>
        </w:pBdr>
        <w:ind w:left="851" w:right="1135"/>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c. Dirección General de Movilidad Zona III;</w:t>
      </w:r>
    </w:p>
    <w:p w:rsidR="004542D1" w:rsidRPr="00803417" w:rsidRDefault="00E33CAA">
      <w:pPr>
        <w:pBdr>
          <w:top w:val="nil"/>
          <w:left w:val="nil"/>
          <w:bottom w:val="nil"/>
          <w:right w:val="nil"/>
          <w:between w:val="nil"/>
        </w:pBdr>
        <w:ind w:left="851" w:right="1135"/>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d. Dirección General de Movilidad Zona IV;</w:t>
      </w:r>
    </w:p>
    <w:p w:rsidR="004542D1" w:rsidRPr="00803417" w:rsidRDefault="00E33CAA">
      <w:pPr>
        <w:pBdr>
          <w:top w:val="nil"/>
          <w:left w:val="nil"/>
          <w:bottom w:val="nil"/>
          <w:right w:val="nil"/>
          <w:between w:val="nil"/>
        </w:pBdr>
        <w:ind w:left="851" w:right="1135"/>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w:t>
      </w:r>
    </w:p>
    <w:p w:rsidR="004542D1" w:rsidRPr="00803417" w:rsidRDefault="004542D1">
      <w:pPr>
        <w:pBdr>
          <w:top w:val="nil"/>
          <w:left w:val="nil"/>
          <w:bottom w:val="nil"/>
          <w:right w:val="nil"/>
          <w:between w:val="nil"/>
        </w:pBdr>
        <w:rPr>
          <w:rFonts w:ascii="Palatino Linotype" w:eastAsia="Palatino Linotype" w:hAnsi="Palatino Linotype" w:cs="Palatino Linotype"/>
        </w:rPr>
      </w:pPr>
    </w:p>
    <w:p w:rsidR="004542D1" w:rsidRPr="00803417" w:rsidRDefault="00E33CAA">
      <w:pPr>
        <w:pBdr>
          <w:top w:val="nil"/>
          <w:left w:val="nil"/>
          <w:bottom w:val="nil"/>
          <w:right w:val="nil"/>
          <w:between w:val="nil"/>
        </w:pBdr>
        <w:ind w:left="851" w:right="1135"/>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b/>
          <w:i/>
          <w:sz w:val="22"/>
          <w:szCs w:val="22"/>
        </w:rPr>
        <w:t>Artículo 7</w:t>
      </w:r>
      <w:r w:rsidRPr="00803417">
        <w:rPr>
          <w:rFonts w:ascii="Palatino Linotype" w:eastAsia="Palatino Linotype" w:hAnsi="Palatino Linotype" w:cs="Palatino Linotype"/>
          <w:i/>
          <w:sz w:val="22"/>
          <w:szCs w:val="22"/>
        </w:rPr>
        <w:t>. Corresponden a la persona titular de la Secretaría las atribuciones siguientes:</w:t>
      </w:r>
    </w:p>
    <w:p w:rsidR="004542D1" w:rsidRPr="00803417" w:rsidRDefault="004542D1">
      <w:pPr>
        <w:pBdr>
          <w:top w:val="nil"/>
          <w:left w:val="nil"/>
          <w:bottom w:val="nil"/>
          <w:right w:val="nil"/>
          <w:between w:val="nil"/>
        </w:pBdr>
        <w:ind w:left="851" w:right="1135"/>
        <w:jc w:val="both"/>
        <w:rPr>
          <w:rFonts w:ascii="Palatino Linotype" w:eastAsia="Palatino Linotype" w:hAnsi="Palatino Linotype" w:cs="Palatino Linotype"/>
          <w:i/>
          <w:sz w:val="22"/>
          <w:szCs w:val="22"/>
        </w:rPr>
      </w:pPr>
    </w:p>
    <w:p w:rsidR="004542D1" w:rsidRPr="00803417" w:rsidRDefault="00E33CAA">
      <w:pPr>
        <w:pBdr>
          <w:top w:val="nil"/>
          <w:left w:val="nil"/>
          <w:bottom w:val="nil"/>
          <w:right w:val="nil"/>
          <w:between w:val="nil"/>
        </w:pBdr>
        <w:ind w:left="851" w:right="1135"/>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w:t>
      </w:r>
    </w:p>
    <w:p w:rsidR="004542D1" w:rsidRPr="00803417" w:rsidRDefault="004542D1">
      <w:pPr>
        <w:pBdr>
          <w:top w:val="nil"/>
          <w:left w:val="nil"/>
          <w:bottom w:val="nil"/>
          <w:right w:val="nil"/>
          <w:between w:val="nil"/>
        </w:pBdr>
        <w:ind w:left="851" w:right="1135"/>
        <w:jc w:val="both"/>
        <w:rPr>
          <w:rFonts w:ascii="Palatino Linotype" w:eastAsia="Palatino Linotype" w:hAnsi="Palatino Linotype" w:cs="Palatino Linotype"/>
          <w:i/>
          <w:sz w:val="22"/>
          <w:szCs w:val="22"/>
        </w:rPr>
      </w:pPr>
    </w:p>
    <w:p w:rsidR="004542D1" w:rsidRPr="00803417" w:rsidRDefault="00E33CAA">
      <w:pPr>
        <w:pBdr>
          <w:top w:val="nil"/>
          <w:left w:val="nil"/>
          <w:bottom w:val="nil"/>
          <w:right w:val="nil"/>
          <w:between w:val="nil"/>
        </w:pBdr>
        <w:ind w:left="851" w:right="1135"/>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b/>
          <w:i/>
          <w:sz w:val="22"/>
          <w:szCs w:val="22"/>
        </w:rPr>
        <w:t>LVI</w:t>
      </w:r>
      <w:r w:rsidRPr="00803417">
        <w:rPr>
          <w:rFonts w:ascii="Palatino Linotype" w:eastAsia="Palatino Linotype" w:hAnsi="Palatino Linotype" w:cs="Palatino Linotype"/>
          <w:i/>
          <w:sz w:val="22"/>
          <w:szCs w:val="22"/>
        </w:rPr>
        <w:t>. Promover, con la participación de las autoridades y sectores involucrados, la investigación, educación, capacitación, desarrollo tecnológico, innovación e información en materia de movilidad, transporte y seguridad vial, considerando sus implicaciones sociales, económicas, urbanas y ambientales, así como realizar los estudios necesarios sobre transporte y circulación multimodal, y determinar las medidas técnicas y operaciones de todos los medios de transporte urbano;</w:t>
      </w:r>
    </w:p>
    <w:p w:rsidR="004542D1" w:rsidRPr="00803417" w:rsidRDefault="004542D1">
      <w:pPr>
        <w:pBdr>
          <w:top w:val="nil"/>
          <w:left w:val="nil"/>
          <w:bottom w:val="nil"/>
          <w:right w:val="nil"/>
          <w:between w:val="nil"/>
        </w:pBdr>
        <w:ind w:left="851" w:right="1135"/>
        <w:jc w:val="both"/>
        <w:rPr>
          <w:rFonts w:ascii="Palatino Linotype" w:eastAsia="Palatino Linotype" w:hAnsi="Palatino Linotype" w:cs="Palatino Linotype"/>
          <w:i/>
          <w:sz w:val="22"/>
          <w:szCs w:val="22"/>
        </w:rPr>
      </w:pPr>
    </w:p>
    <w:p w:rsidR="004542D1" w:rsidRPr="00803417" w:rsidRDefault="00E33CAA">
      <w:pPr>
        <w:pBdr>
          <w:top w:val="nil"/>
          <w:left w:val="nil"/>
          <w:bottom w:val="nil"/>
          <w:right w:val="nil"/>
          <w:between w:val="nil"/>
        </w:pBdr>
        <w:ind w:left="851" w:right="1135"/>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w:t>
      </w:r>
    </w:p>
    <w:p w:rsidR="004542D1" w:rsidRPr="00803417" w:rsidRDefault="004542D1">
      <w:pPr>
        <w:pBdr>
          <w:top w:val="nil"/>
          <w:left w:val="nil"/>
          <w:bottom w:val="nil"/>
          <w:right w:val="nil"/>
          <w:between w:val="nil"/>
        </w:pBdr>
        <w:ind w:right="1135"/>
        <w:jc w:val="both"/>
        <w:rPr>
          <w:rFonts w:ascii="Palatino Linotype" w:eastAsia="Palatino Linotype" w:hAnsi="Palatino Linotype" w:cs="Palatino Linotype"/>
          <w:i/>
          <w:sz w:val="22"/>
          <w:szCs w:val="22"/>
        </w:rPr>
      </w:pPr>
    </w:p>
    <w:p w:rsidR="004542D1" w:rsidRPr="00803417" w:rsidRDefault="00E33CAA">
      <w:pPr>
        <w:pBdr>
          <w:top w:val="nil"/>
          <w:left w:val="nil"/>
          <w:bottom w:val="nil"/>
          <w:right w:val="nil"/>
          <w:between w:val="nil"/>
        </w:pBdr>
        <w:ind w:left="851" w:right="1135"/>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b/>
          <w:i/>
          <w:sz w:val="22"/>
          <w:szCs w:val="22"/>
        </w:rPr>
        <w:t>Artículo 10</w:t>
      </w:r>
      <w:r w:rsidRPr="00803417">
        <w:rPr>
          <w:rFonts w:ascii="Palatino Linotype" w:eastAsia="Palatino Linotype" w:hAnsi="Palatino Linotype" w:cs="Palatino Linotype"/>
          <w:i/>
          <w:sz w:val="22"/>
          <w:szCs w:val="22"/>
        </w:rPr>
        <w:t>. Corresponden a la Subsecretaría las siguientes atribuciones:</w:t>
      </w:r>
    </w:p>
    <w:p w:rsidR="004542D1" w:rsidRPr="00803417" w:rsidRDefault="004542D1">
      <w:pPr>
        <w:pBdr>
          <w:top w:val="nil"/>
          <w:left w:val="nil"/>
          <w:bottom w:val="nil"/>
          <w:right w:val="nil"/>
          <w:between w:val="nil"/>
        </w:pBdr>
        <w:ind w:left="851" w:right="1135"/>
        <w:jc w:val="both"/>
        <w:rPr>
          <w:rFonts w:ascii="Palatino Linotype" w:eastAsia="Palatino Linotype" w:hAnsi="Palatino Linotype" w:cs="Palatino Linotype"/>
          <w:i/>
          <w:sz w:val="22"/>
          <w:szCs w:val="22"/>
        </w:rPr>
      </w:pPr>
    </w:p>
    <w:p w:rsidR="004542D1" w:rsidRPr="00803417" w:rsidRDefault="00E33CAA">
      <w:pPr>
        <w:pBdr>
          <w:top w:val="nil"/>
          <w:left w:val="nil"/>
          <w:bottom w:val="nil"/>
          <w:right w:val="nil"/>
          <w:between w:val="nil"/>
        </w:pBdr>
        <w:ind w:left="851" w:right="1135"/>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w:t>
      </w:r>
    </w:p>
    <w:p w:rsidR="004542D1" w:rsidRPr="00803417" w:rsidRDefault="004542D1">
      <w:pPr>
        <w:pBdr>
          <w:top w:val="nil"/>
          <w:left w:val="nil"/>
          <w:bottom w:val="nil"/>
          <w:right w:val="nil"/>
          <w:between w:val="nil"/>
        </w:pBdr>
        <w:ind w:left="851" w:right="1135"/>
        <w:jc w:val="both"/>
        <w:rPr>
          <w:rFonts w:ascii="Palatino Linotype" w:eastAsia="Palatino Linotype" w:hAnsi="Palatino Linotype" w:cs="Palatino Linotype"/>
          <w:i/>
          <w:sz w:val="22"/>
          <w:szCs w:val="22"/>
        </w:rPr>
      </w:pPr>
    </w:p>
    <w:p w:rsidR="004542D1" w:rsidRPr="00803417" w:rsidRDefault="00E33CAA">
      <w:pPr>
        <w:pBdr>
          <w:top w:val="nil"/>
          <w:left w:val="nil"/>
          <w:bottom w:val="nil"/>
          <w:right w:val="nil"/>
          <w:between w:val="nil"/>
        </w:pBdr>
        <w:ind w:left="851" w:right="1135"/>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b/>
          <w:i/>
          <w:sz w:val="22"/>
          <w:szCs w:val="22"/>
        </w:rPr>
        <w:lastRenderedPageBreak/>
        <w:t>XIV</w:t>
      </w:r>
      <w:r w:rsidRPr="00803417">
        <w:rPr>
          <w:rFonts w:ascii="Palatino Linotype" w:eastAsia="Palatino Linotype" w:hAnsi="Palatino Linotype" w:cs="Palatino Linotype"/>
          <w:i/>
          <w:sz w:val="22"/>
          <w:szCs w:val="22"/>
        </w:rPr>
        <w:t>. Promover y coordinar la organización y evaluación, con la participación de las autoridades y sectores involucrados, de la investigación, educación, capacitación, desarrollo tecnológico, innovación e información en materia de movilidad, transporte y seguridad vial considerando sus implicaciones sociales, económicas, urbanas y ambientales, así como instruir la realización de los estudios necesarios sobre transporte y circulación multimodal, para determinar las medidas técnicas y operaciones de todos los medios de transporte urbano;</w:t>
      </w:r>
    </w:p>
    <w:p w:rsidR="004542D1" w:rsidRPr="00803417" w:rsidRDefault="004542D1">
      <w:pPr>
        <w:pBdr>
          <w:top w:val="nil"/>
          <w:left w:val="nil"/>
          <w:bottom w:val="nil"/>
          <w:right w:val="nil"/>
          <w:between w:val="nil"/>
        </w:pBdr>
        <w:ind w:left="851" w:right="1135"/>
        <w:jc w:val="both"/>
        <w:rPr>
          <w:rFonts w:ascii="Palatino Linotype" w:eastAsia="Palatino Linotype" w:hAnsi="Palatino Linotype" w:cs="Palatino Linotype"/>
          <w:i/>
          <w:sz w:val="22"/>
          <w:szCs w:val="22"/>
        </w:rPr>
      </w:pPr>
    </w:p>
    <w:p w:rsidR="004542D1" w:rsidRPr="00803417" w:rsidRDefault="00E33CAA">
      <w:pPr>
        <w:pBdr>
          <w:top w:val="nil"/>
          <w:left w:val="nil"/>
          <w:bottom w:val="nil"/>
          <w:right w:val="nil"/>
          <w:between w:val="nil"/>
        </w:pBdr>
        <w:ind w:left="851" w:right="1135"/>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w:t>
      </w:r>
    </w:p>
    <w:p w:rsidR="004542D1" w:rsidRPr="00803417" w:rsidRDefault="004542D1">
      <w:pPr>
        <w:pBdr>
          <w:top w:val="nil"/>
          <w:left w:val="nil"/>
          <w:bottom w:val="nil"/>
          <w:right w:val="nil"/>
          <w:between w:val="nil"/>
        </w:pBdr>
        <w:ind w:left="851" w:right="1135"/>
        <w:jc w:val="both"/>
        <w:rPr>
          <w:rFonts w:ascii="Palatino Linotype" w:eastAsia="Palatino Linotype" w:hAnsi="Palatino Linotype" w:cs="Palatino Linotype"/>
          <w:i/>
          <w:sz w:val="22"/>
          <w:szCs w:val="22"/>
        </w:rPr>
      </w:pPr>
    </w:p>
    <w:p w:rsidR="004542D1" w:rsidRPr="00803417" w:rsidRDefault="00E33CAA">
      <w:pPr>
        <w:pBdr>
          <w:top w:val="nil"/>
          <w:left w:val="nil"/>
          <w:bottom w:val="nil"/>
          <w:right w:val="nil"/>
          <w:between w:val="nil"/>
        </w:pBdr>
        <w:ind w:left="851" w:right="1135"/>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b/>
          <w:i/>
          <w:sz w:val="22"/>
          <w:szCs w:val="22"/>
        </w:rPr>
        <w:t>Artículo 1</w:t>
      </w:r>
      <w:r w:rsidRPr="00803417">
        <w:rPr>
          <w:rFonts w:ascii="Palatino Linotype" w:eastAsia="Palatino Linotype" w:hAnsi="Palatino Linotype" w:cs="Palatino Linotype"/>
          <w:i/>
          <w:sz w:val="22"/>
          <w:szCs w:val="22"/>
        </w:rPr>
        <w:t>2. Corresponden a las Direcciones Generales de Movilidad Zona I, II, III y IV, en su respectiva circunscripción territorial, las atribuciones siguientes:</w:t>
      </w:r>
    </w:p>
    <w:p w:rsidR="004542D1" w:rsidRPr="00803417" w:rsidRDefault="004542D1">
      <w:pPr>
        <w:pBdr>
          <w:top w:val="nil"/>
          <w:left w:val="nil"/>
          <w:bottom w:val="nil"/>
          <w:right w:val="nil"/>
          <w:between w:val="nil"/>
        </w:pBdr>
        <w:ind w:left="851" w:right="1135"/>
        <w:jc w:val="both"/>
        <w:rPr>
          <w:rFonts w:ascii="Palatino Linotype" w:eastAsia="Palatino Linotype" w:hAnsi="Palatino Linotype" w:cs="Palatino Linotype"/>
          <w:i/>
          <w:sz w:val="22"/>
          <w:szCs w:val="22"/>
        </w:rPr>
      </w:pPr>
    </w:p>
    <w:p w:rsidR="004542D1" w:rsidRPr="00803417" w:rsidRDefault="00E33CAA">
      <w:pPr>
        <w:pBdr>
          <w:top w:val="nil"/>
          <w:left w:val="nil"/>
          <w:bottom w:val="nil"/>
          <w:right w:val="nil"/>
          <w:between w:val="nil"/>
        </w:pBdr>
        <w:ind w:left="851" w:right="1135"/>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w:t>
      </w:r>
    </w:p>
    <w:p w:rsidR="004542D1" w:rsidRPr="00803417" w:rsidRDefault="00E33CAA">
      <w:pPr>
        <w:pBdr>
          <w:top w:val="nil"/>
          <w:left w:val="nil"/>
          <w:bottom w:val="nil"/>
          <w:right w:val="nil"/>
          <w:between w:val="nil"/>
        </w:pBdr>
        <w:ind w:left="851" w:right="1135"/>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IV. Promover y organizar la capacitación, investigación y desarrollo tecnológico en materia de movilidad;</w:t>
      </w:r>
    </w:p>
    <w:p w:rsidR="004542D1" w:rsidRPr="00803417" w:rsidRDefault="004542D1">
      <w:pPr>
        <w:pBdr>
          <w:top w:val="nil"/>
          <w:left w:val="nil"/>
          <w:bottom w:val="nil"/>
          <w:right w:val="nil"/>
          <w:between w:val="nil"/>
        </w:pBdr>
        <w:ind w:left="851" w:right="1135"/>
        <w:jc w:val="both"/>
        <w:rPr>
          <w:rFonts w:ascii="Palatino Linotype" w:eastAsia="Palatino Linotype" w:hAnsi="Palatino Linotype" w:cs="Palatino Linotype"/>
          <w:i/>
          <w:sz w:val="22"/>
          <w:szCs w:val="22"/>
        </w:rPr>
      </w:pPr>
    </w:p>
    <w:p w:rsidR="004542D1" w:rsidRPr="00803417" w:rsidRDefault="00E33CAA">
      <w:pPr>
        <w:pBdr>
          <w:top w:val="nil"/>
          <w:left w:val="nil"/>
          <w:bottom w:val="nil"/>
          <w:right w:val="nil"/>
          <w:between w:val="nil"/>
        </w:pBdr>
        <w:ind w:left="851" w:right="1135"/>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w:t>
      </w:r>
    </w:p>
    <w:p w:rsidR="004542D1" w:rsidRPr="00803417" w:rsidRDefault="004542D1">
      <w:pPr>
        <w:pBdr>
          <w:top w:val="nil"/>
          <w:left w:val="nil"/>
          <w:bottom w:val="nil"/>
          <w:right w:val="nil"/>
          <w:between w:val="nil"/>
        </w:pBdr>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rPr>
        <w:t>De los preceptos legales citados con anterioridad, es de señalar que la Secretaria para el despacho de los asuntos de su competencia, cuenta con una Subsecretaría de Movilidad, y esta a su vez se auxilia de Direcciones Generales de Movilidad por zona ,  todas las áreas mencionadas, tienen la atribución de promover y organizar la capacitación en materia de movilidad.</w:t>
      </w:r>
    </w:p>
    <w:p w:rsidR="004542D1" w:rsidRPr="00803417" w:rsidRDefault="004542D1">
      <w:pPr>
        <w:pBdr>
          <w:top w:val="nil"/>
          <w:left w:val="nil"/>
          <w:bottom w:val="nil"/>
          <w:right w:val="nil"/>
          <w:between w:val="nil"/>
        </w:pBdr>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rPr>
        <w:t>Ahora bien, el Manual General de Organización de la Secretaria de Movilidad, señala lo siguiente:</w:t>
      </w:r>
    </w:p>
    <w:p w:rsidR="004542D1" w:rsidRPr="00803417" w:rsidRDefault="004542D1">
      <w:pPr>
        <w:pBdr>
          <w:top w:val="nil"/>
          <w:left w:val="nil"/>
          <w:bottom w:val="nil"/>
          <w:right w:val="nil"/>
          <w:between w:val="nil"/>
        </w:pBdr>
        <w:rPr>
          <w:rFonts w:ascii="Palatino Linotype" w:eastAsia="Palatino Linotype" w:hAnsi="Palatino Linotype" w:cs="Palatino Linotype"/>
        </w:rPr>
      </w:pPr>
    </w:p>
    <w:p w:rsidR="004542D1" w:rsidRPr="00803417" w:rsidRDefault="004542D1">
      <w:pPr>
        <w:pBdr>
          <w:top w:val="nil"/>
          <w:left w:val="nil"/>
          <w:bottom w:val="nil"/>
          <w:right w:val="nil"/>
          <w:between w:val="nil"/>
        </w:pBdr>
        <w:rPr>
          <w:rFonts w:ascii="Palatino Linotype" w:eastAsia="Palatino Linotype" w:hAnsi="Palatino Linotype" w:cs="Palatino Linotype"/>
        </w:rPr>
      </w:pPr>
    </w:p>
    <w:p w:rsidR="004542D1" w:rsidRPr="00803417" w:rsidRDefault="00E33CAA">
      <w:pPr>
        <w:pBdr>
          <w:top w:val="nil"/>
          <w:left w:val="nil"/>
          <w:bottom w:val="nil"/>
          <w:right w:val="nil"/>
          <w:between w:val="nil"/>
        </w:pBdr>
        <w:ind w:left="851" w:right="1135"/>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 xml:space="preserve">Artículo 32.- La Secretaría de Movilidad es la dependencia encargada de planear, formular, dirigir, coordinar, gestionar, evaluar, ejecutar y supervisar las políticas, programas, proyectos y estudios para el desarrollo del sistema integral de movilidad, incluyendo el servicio público de transporte de jurisdicción estatal, </w:t>
      </w:r>
      <w:r w:rsidRPr="00803417">
        <w:rPr>
          <w:rFonts w:ascii="Palatino Linotype" w:eastAsia="Palatino Linotype" w:hAnsi="Palatino Linotype" w:cs="Palatino Linotype"/>
          <w:i/>
          <w:sz w:val="22"/>
          <w:szCs w:val="22"/>
        </w:rPr>
        <w:lastRenderedPageBreak/>
        <w:t>sus servicios conexos y los sistemas de transporte masivo o de alta capacidad, así como el desarrollo y administración de la infraestructura vial primaria y de la regulación de las comunicaciones de jurisdicción local.</w:t>
      </w:r>
    </w:p>
    <w:p w:rsidR="004542D1" w:rsidRPr="00803417" w:rsidRDefault="004542D1">
      <w:pPr>
        <w:pBdr>
          <w:top w:val="nil"/>
          <w:left w:val="nil"/>
          <w:bottom w:val="nil"/>
          <w:right w:val="nil"/>
          <w:between w:val="nil"/>
        </w:pBdr>
        <w:ind w:left="851" w:right="1135"/>
        <w:jc w:val="both"/>
        <w:rPr>
          <w:rFonts w:ascii="Palatino Linotype" w:eastAsia="Palatino Linotype" w:hAnsi="Palatino Linotype" w:cs="Palatino Linotype"/>
          <w:i/>
          <w:sz w:val="22"/>
          <w:szCs w:val="22"/>
        </w:rPr>
      </w:pPr>
    </w:p>
    <w:p w:rsidR="004542D1" w:rsidRPr="00803417" w:rsidRDefault="004542D1">
      <w:pPr>
        <w:pBdr>
          <w:top w:val="nil"/>
          <w:left w:val="nil"/>
          <w:bottom w:val="nil"/>
          <w:right w:val="nil"/>
          <w:between w:val="nil"/>
        </w:pBdr>
        <w:ind w:left="851" w:right="1135"/>
        <w:jc w:val="both"/>
        <w:rPr>
          <w:rFonts w:ascii="Palatino Linotype" w:eastAsia="Palatino Linotype" w:hAnsi="Palatino Linotype" w:cs="Palatino Linotype"/>
          <w:i/>
          <w:sz w:val="22"/>
          <w:szCs w:val="22"/>
        </w:rPr>
      </w:pPr>
    </w:p>
    <w:p w:rsidR="004542D1" w:rsidRPr="00803417" w:rsidRDefault="00E33CAA">
      <w:pPr>
        <w:pBdr>
          <w:top w:val="nil"/>
          <w:left w:val="nil"/>
          <w:bottom w:val="nil"/>
          <w:right w:val="nil"/>
          <w:between w:val="nil"/>
        </w:pBdr>
        <w:ind w:left="851" w:right="1135"/>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A esta Secretaría le corresponde el despacho de los siguientes asuntos:</w:t>
      </w:r>
    </w:p>
    <w:p w:rsidR="004542D1" w:rsidRPr="00803417" w:rsidRDefault="004542D1">
      <w:pPr>
        <w:pBdr>
          <w:top w:val="nil"/>
          <w:left w:val="nil"/>
          <w:bottom w:val="nil"/>
          <w:right w:val="nil"/>
          <w:between w:val="nil"/>
        </w:pBdr>
        <w:ind w:left="851" w:right="1135"/>
        <w:jc w:val="both"/>
        <w:rPr>
          <w:rFonts w:ascii="Palatino Linotype" w:eastAsia="Palatino Linotype" w:hAnsi="Palatino Linotype" w:cs="Palatino Linotype"/>
          <w:i/>
          <w:sz w:val="22"/>
          <w:szCs w:val="22"/>
        </w:rPr>
      </w:pPr>
    </w:p>
    <w:p w:rsidR="004542D1" w:rsidRPr="00803417" w:rsidRDefault="004542D1">
      <w:pPr>
        <w:pBdr>
          <w:top w:val="nil"/>
          <w:left w:val="nil"/>
          <w:bottom w:val="nil"/>
          <w:right w:val="nil"/>
          <w:between w:val="nil"/>
        </w:pBdr>
        <w:ind w:left="851" w:right="1135"/>
        <w:jc w:val="both"/>
        <w:rPr>
          <w:rFonts w:ascii="Palatino Linotype" w:eastAsia="Palatino Linotype" w:hAnsi="Palatino Linotype" w:cs="Palatino Linotype"/>
          <w:i/>
          <w:sz w:val="22"/>
          <w:szCs w:val="22"/>
        </w:rPr>
      </w:pPr>
    </w:p>
    <w:p w:rsidR="004542D1" w:rsidRPr="00803417" w:rsidRDefault="00E33CAA">
      <w:pPr>
        <w:pBdr>
          <w:top w:val="nil"/>
          <w:left w:val="nil"/>
          <w:bottom w:val="nil"/>
          <w:right w:val="nil"/>
          <w:between w:val="nil"/>
        </w:pBdr>
        <w:ind w:left="851" w:right="1135"/>
        <w:jc w:val="both"/>
        <w:rPr>
          <w:rFonts w:ascii="Palatino Linotype" w:eastAsia="Palatino Linotype" w:hAnsi="Palatino Linotype" w:cs="Palatino Linotype"/>
          <w:i/>
          <w:sz w:val="22"/>
          <w:szCs w:val="22"/>
        </w:rPr>
      </w:pPr>
      <w:r w:rsidRPr="00803417">
        <w:rPr>
          <w:rFonts w:ascii="Palatino Linotype" w:eastAsia="Palatino Linotype" w:hAnsi="Palatino Linotype" w:cs="Palatino Linotype"/>
          <w:i/>
          <w:sz w:val="22"/>
          <w:szCs w:val="22"/>
        </w:rPr>
        <w:t>XVII. Promover y organizar la capacitación, investigación y el desarrollo tecnológico en materia de transporte, infraestructura vial y de comunicaciones de jurisdicción local, así como fomentar programas y campañas para promover la educación vial y la cultura de movilidad con el objeto de reducir índices de accidentes, fomentar el trato respetuoso y erradicar la violencia con atención especial a niñas, niños, adultos mayores, personas con discapacidad, mujeres y demás grupos vulnerables;</w:t>
      </w:r>
    </w:p>
    <w:p w:rsidR="004542D1" w:rsidRPr="00803417" w:rsidRDefault="004542D1">
      <w:pPr>
        <w:pBdr>
          <w:top w:val="nil"/>
          <w:left w:val="nil"/>
          <w:bottom w:val="nil"/>
          <w:right w:val="nil"/>
          <w:between w:val="nil"/>
        </w:pBdr>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rPr>
        <w:t>Es de señalar que el Manual General de Organización de la Secretaria de Movilidad, señala que la Secretaria de Movilidad, es la dependencia encargada de planear, formular, dirigir, coordinar, gestionar, evaluar, ejecutar y supervisar las políticas, programas, proyectos y estudios para el desarrollo integral de movilidad, incluyendo el servicio público de transporte de jurisdicción estatal, asimismo la Secretaria, le corresponde promover y organizar, la capacitación, en materia de transporte , infraestructura vial y de comunicaciones de jurisdicción local.</w:t>
      </w:r>
    </w:p>
    <w:p w:rsidR="004542D1" w:rsidRPr="00803417" w:rsidRDefault="004542D1">
      <w:pPr>
        <w:pBdr>
          <w:top w:val="nil"/>
          <w:left w:val="nil"/>
          <w:bottom w:val="nil"/>
          <w:right w:val="nil"/>
          <w:between w:val="nil"/>
        </w:pBdr>
        <w:ind w:right="-425"/>
        <w:jc w:val="both"/>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rPr>
        <w:t>Seguidame</w:t>
      </w:r>
      <w:r w:rsidR="0058759F" w:rsidRPr="00803417">
        <w:rPr>
          <w:rFonts w:ascii="Palatino Linotype" w:eastAsia="Palatino Linotype" w:hAnsi="Palatino Linotype" w:cs="Palatino Linotype"/>
        </w:rPr>
        <w:t>nte, respecto a la información emitida</w:t>
      </w:r>
      <w:r w:rsidRPr="00803417">
        <w:rPr>
          <w:rFonts w:ascii="Palatino Linotype" w:eastAsia="Palatino Linotype" w:hAnsi="Palatino Linotype" w:cs="Palatino Linotype"/>
        </w:rPr>
        <w:t xml:space="preserve"> por el Sujeto Obligado, en resp</w:t>
      </w:r>
      <w:r w:rsidR="0058759F" w:rsidRPr="00803417">
        <w:rPr>
          <w:rFonts w:ascii="Palatino Linotype" w:eastAsia="Palatino Linotype" w:hAnsi="Palatino Linotype" w:cs="Palatino Linotype"/>
        </w:rPr>
        <w:t>uesta y en Informe Justificado,</w:t>
      </w:r>
      <w:r w:rsidRPr="00803417">
        <w:rPr>
          <w:rFonts w:ascii="Palatino Linotype" w:eastAsia="Palatino Linotype" w:hAnsi="Palatino Linotype" w:cs="Palatino Linotype"/>
        </w:rPr>
        <w:t xml:space="preserve"> a las solicitudes de información pública, planteadas por el Recurrente, en donde hubo un pronunciamiento por parte del Instituto del Transporte del Estado de México, refiriendo que después de una exhaustiva búsqueda en los archivos físicos y electrónicos que obran en este, no se localizó la información solicitada.</w:t>
      </w:r>
    </w:p>
    <w:p w:rsidR="004542D1" w:rsidRPr="00803417" w:rsidRDefault="004542D1">
      <w:pPr>
        <w:pBdr>
          <w:top w:val="nil"/>
          <w:left w:val="nil"/>
          <w:bottom w:val="nil"/>
          <w:right w:val="nil"/>
          <w:between w:val="nil"/>
        </w:pBdr>
        <w:ind w:right="-425"/>
        <w:jc w:val="both"/>
        <w:rPr>
          <w:rFonts w:ascii="Palatino Linotype" w:eastAsia="Palatino Linotype" w:hAnsi="Palatino Linotype" w:cs="Palatino Linotype"/>
        </w:rPr>
      </w:pPr>
    </w:p>
    <w:p w:rsidR="004542D1" w:rsidRPr="00803417" w:rsidRDefault="004542D1">
      <w:pPr>
        <w:pBdr>
          <w:top w:val="nil"/>
          <w:left w:val="nil"/>
          <w:bottom w:val="nil"/>
          <w:right w:val="nil"/>
          <w:between w:val="nil"/>
        </w:pBdr>
        <w:ind w:right="-425"/>
        <w:jc w:val="both"/>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Calibri" w:eastAsia="Calibri" w:hAnsi="Calibri" w:cs="Calibri"/>
          <w:color w:val="000000"/>
        </w:rPr>
      </w:pPr>
      <w:r w:rsidRPr="00803417">
        <w:rPr>
          <w:rFonts w:ascii="Palatino Linotype" w:eastAsia="Palatino Linotype" w:hAnsi="Palatino Linotype" w:cs="Palatino Linotype"/>
        </w:rPr>
        <w:t>Por</w:t>
      </w:r>
      <w:r w:rsidRPr="00803417">
        <w:rPr>
          <w:rFonts w:ascii="Palatino Linotype" w:eastAsia="Palatino Linotype" w:hAnsi="Palatino Linotype" w:cs="Palatino Linotype"/>
          <w:color w:val="000000"/>
        </w:rPr>
        <w:t xml:space="preserve"> lo anterior, resulta dable traer a contexto el artículo 162 de la de la Ley de Transparencia y Acceso a la Información Pública del Estado de México y Municipios, regula que las Unidades de Transparencia deben de garantizar que las solicitudes </w:t>
      </w:r>
      <w:r w:rsidRPr="00803417">
        <w:rPr>
          <w:rFonts w:ascii="Palatino Linotype" w:eastAsia="Palatino Linotype" w:hAnsi="Palatino Linotype" w:cs="Palatino Linotype"/>
          <w:b/>
          <w:color w:val="000000"/>
        </w:rPr>
        <w:t>se turnen a todas las Áreas competentes que cuenten con la información o deban tenerla de acuerdo a sus facultades,</w:t>
      </w:r>
      <w:r w:rsidRPr="00803417">
        <w:rPr>
          <w:rFonts w:ascii="Palatino Linotype" w:eastAsia="Palatino Linotype" w:hAnsi="Palatino Linotype" w:cs="Palatino Linotype"/>
          <w:color w:val="000000"/>
        </w:rPr>
        <w:t xml:space="preserve"> competencias y funciones, </w:t>
      </w:r>
      <w:r w:rsidRPr="00803417">
        <w:rPr>
          <w:rFonts w:ascii="Palatino Linotype" w:eastAsia="Palatino Linotype" w:hAnsi="Palatino Linotype" w:cs="Palatino Linotype"/>
          <w:b/>
          <w:color w:val="000000"/>
          <w:u w:val="single"/>
        </w:rPr>
        <w:t>con el objeto de que realicen una búsqueda exhaustiva y razonable de la información solicitada</w:t>
      </w:r>
      <w:r w:rsidRPr="00803417">
        <w:rPr>
          <w:rFonts w:ascii="Palatino Linotype" w:eastAsia="Palatino Linotype" w:hAnsi="Palatino Linotype" w:cs="Palatino Linotype"/>
          <w:color w:val="000000"/>
        </w:rPr>
        <w:t xml:space="preserve">, situación que no fue realizada por el Titular de la Unidad de Transparencia del </w:t>
      </w:r>
      <w:r w:rsidRPr="00803417">
        <w:rPr>
          <w:rFonts w:ascii="Palatino Linotype" w:eastAsia="Palatino Linotype" w:hAnsi="Palatino Linotype" w:cs="Palatino Linotype"/>
          <w:b/>
          <w:color w:val="000000"/>
        </w:rPr>
        <w:t>Sujeto Obligado</w:t>
      </w:r>
      <w:r w:rsidRPr="00803417">
        <w:rPr>
          <w:rFonts w:ascii="Palatino Linotype" w:eastAsia="Palatino Linotype" w:hAnsi="Palatino Linotype" w:cs="Palatino Linotype"/>
          <w:color w:val="000000"/>
        </w:rPr>
        <w:t>.</w:t>
      </w:r>
    </w:p>
    <w:p w:rsidR="004542D1" w:rsidRPr="00803417" w:rsidRDefault="004542D1">
      <w:pPr>
        <w:spacing w:line="360" w:lineRule="auto"/>
        <w:ind w:right="-504"/>
        <w:jc w:val="both"/>
        <w:rPr>
          <w:rFonts w:ascii="Palatino Linotype" w:eastAsia="Palatino Linotype" w:hAnsi="Palatino Linotype" w:cs="Palatino Linotype"/>
          <w:color w:val="000000"/>
        </w:rPr>
      </w:pPr>
    </w:p>
    <w:p w:rsidR="004542D1" w:rsidRPr="00803417" w:rsidRDefault="00E33CAA">
      <w:pPr>
        <w:numPr>
          <w:ilvl w:val="0"/>
          <w:numId w:val="11"/>
        </w:numPr>
        <w:spacing w:line="360" w:lineRule="auto"/>
        <w:ind w:left="0" w:right="-876" w:firstLine="0"/>
        <w:jc w:val="both"/>
        <w:rPr>
          <w:rFonts w:ascii="Calibri" w:eastAsia="Calibri" w:hAnsi="Calibri" w:cs="Calibri"/>
          <w:color w:val="000000"/>
        </w:rPr>
      </w:pPr>
      <w:r w:rsidRPr="00803417">
        <w:rPr>
          <w:rFonts w:ascii="Palatino Linotype" w:eastAsia="Palatino Linotype" w:hAnsi="Palatino Linotype" w:cs="Palatino Linotype"/>
          <w:color w:val="000000"/>
        </w:rPr>
        <w:t>A efecto de determinar la legalidad de dicha respuesta, es necesario tomar en cuenta las siguientes disposiciones de la Ley de la materia.</w:t>
      </w: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t>“</w:t>
      </w:r>
      <w:r w:rsidRPr="00803417">
        <w:rPr>
          <w:rFonts w:ascii="Palatino Linotype" w:eastAsia="Palatino Linotype" w:hAnsi="Palatino Linotype" w:cs="Palatino Linotype"/>
          <w:b/>
          <w:i/>
          <w:color w:val="000000"/>
          <w:sz w:val="22"/>
          <w:szCs w:val="22"/>
        </w:rPr>
        <w:t>Artículo 50.</w:t>
      </w:r>
      <w:r w:rsidRPr="00803417">
        <w:rPr>
          <w:rFonts w:ascii="Palatino Linotype" w:eastAsia="Palatino Linotype" w:hAnsi="Palatino Linotype" w:cs="Palatino Linotype"/>
          <w:i/>
          <w:color w:val="000000"/>
          <w:sz w:val="22"/>
          <w:szCs w:val="22"/>
        </w:rPr>
        <w:t xml:space="preserve"> Los sujetos obligados contarán con un área responsable para la atención de las solicitudes de información, a la que se le denominará Unidad de Transparencia.</w:t>
      </w:r>
    </w:p>
    <w:p w:rsidR="004542D1" w:rsidRPr="00803417" w:rsidRDefault="004542D1">
      <w:pPr>
        <w:ind w:left="1134" w:right="900"/>
        <w:jc w:val="both"/>
        <w:rPr>
          <w:rFonts w:ascii="Palatino Linotype" w:eastAsia="Palatino Linotype" w:hAnsi="Palatino Linotype" w:cs="Palatino Linotype"/>
          <w:i/>
          <w:color w:val="000000"/>
          <w:sz w:val="22"/>
          <w:szCs w:val="22"/>
        </w:rPr>
      </w:pP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b/>
          <w:i/>
          <w:color w:val="000000"/>
          <w:sz w:val="22"/>
          <w:szCs w:val="22"/>
        </w:rPr>
        <w:t>Artículo 51</w:t>
      </w:r>
      <w:r w:rsidRPr="00803417">
        <w:rPr>
          <w:rFonts w:ascii="Palatino Linotype" w:eastAsia="Palatino Linotype" w:hAnsi="Palatino Linotype" w:cs="Palatino Linotype"/>
          <w:i/>
          <w:color w:val="000000"/>
          <w:sz w:val="22"/>
          <w:szCs w:val="22"/>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rsidR="004542D1" w:rsidRPr="00803417" w:rsidRDefault="004542D1">
      <w:pPr>
        <w:ind w:left="1134" w:right="900"/>
        <w:jc w:val="both"/>
        <w:rPr>
          <w:rFonts w:ascii="Palatino Linotype" w:eastAsia="Palatino Linotype" w:hAnsi="Palatino Linotype" w:cs="Palatino Linotype"/>
          <w:i/>
          <w:color w:val="000000"/>
          <w:sz w:val="22"/>
          <w:szCs w:val="22"/>
        </w:rPr>
      </w:pP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b/>
          <w:i/>
          <w:color w:val="000000"/>
          <w:sz w:val="22"/>
          <w:szCs w:val="22"/>
        </w:rPr>
        <w:t>Artículo 53</w:t>
      </w:r>
      <w:r w:rsidRPr="00803417">
        <w:rPr>
          <w:rFonts w:ascii="Palatino Linotype" w:eastAsia="Palatino Linotype" w:hAnsi="Palatino Linotype" w:cs="Palatino Linotype"/>
          <w:i/>
          <w:color w:val="000000"/>
          <w:sz w:val="22"/>
          <w:szCs w:val="22"/>
        </w:rPr>
        <w:t>. Las Unidades de Transparencia tendrán las siguientes funciones:</w:t>
      </w: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rsidR="004542D1" w:rsidRPr="00803417" w:rsidRDefault="00E33CAA">
      <w:pPr>
        <w:ind w:left="1134" w:right="900"/>
        <w:jc w:val="both"/>
        <w:rPr>
          <w:rFonts w:ascii="Palatino Linotype" w:eastAsia="Palatino Linotype" w:hAnsi="Palatino Linotype" w:cs="Palatino Linotype"/>
          <w:b/>
          <w:i/>
          <w:color w:val="000000"/>
          <w:sz w:val="22"/>
          <w:szCs w:val="22"/>
        </w:rPr>
      </w:pPr>
      <w:r w:rsidRPr="00803417">
        <w:rPr>
          <w:rFonts w:ascii="Palatino Linotype" w:eastAsia="Palatino Linotype" w:hAnsi="Palatino Linotype" w:cs="Palatino Linotype"/>
          <w:b/>
          <w:i/>
          <w:color w:val="000000"/>
          <w:sz w:val="22"/>
          <w:szCs w:val="22"/>
        </w:rPr>
        <w:t xml:space="preserve">II. Recibir, </w:t>
      </w:r>
      <w:r w:rsidRPr="00803417">
        <w:rPr>
          <w:rFonts w:ascii="Palatino Linotype" w:eastAsia="Palatino Linotype" w:hAnsi="Palatino Linotype" w:cs="Palatino Linotype"/>
          <w:b/>
          <w:i/>
          <w:color w:val="000000"/>
          <w:sz w:val="22"/>
          <w:szCs w:val="22"/>
          <w:u w:val="single"/>
        </w:rPr>
        <w:t>tramitar</w:t>
      </w:r>
      <w:r w:rsidRPr="00803417">
        <w:rPr>
          <w:rFonts w:ascii="Palatino Linotype" w:eastAsia="Palatino Linotype" w:hAnsi="Palatino Linotype" w:cs="Palatino Linotype"/>
          <w:b/>
          <w:i/>
          <w:color w:val="000000"/>
          <w:sz w:val="22"/>
          <w:szCs w:val="22"/>
        </w:rPr>
        <w:t xml:space="preserve"> y dar respuesta a las solicitudes de acceso a la información;</w:t>
      </w: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lastRenderedPageBreak/>
        <w:t>III. Auxiliar a los particulares en la elaboración de solicitudes de acceso a la información y, en su caso, orientarlos sobre los sujetos obligados competentes conforme a la normatividad aplicable;</w:t>
      </w:r>
    </w:p>
    <w:p w:rsidR="004542D1" w:rsidRPr="00803417" w:rsidRDefault="00E33CAA">
      <w:pPr>
        <w:ind w:left="1134" w:right="900"/>
        <w:jc w:val="both"/>
        <w:rPr>
          <w:rFonts w:ascii="Palatino Linotype" w:eastAsia="Palatino Linotype" w:hAnsi="Palatino Linotype" w:cs="Palatino Linotype"/>
          <w:b/>
          <w:i/>
          <w:color w:val="000000"/>
          <w:sz w:val="22"/>
          <w:szCs w:val="22"/>
        </w:rPr>
      </w:pPr>
      <w:r w:rsidRPr="00803417">
        <w:rPr>
          <w:rFonts w:ascii="Palatino Linotype" w:eastAsia="Palatino Linotype" w:hAnsi="Palatino Linotype" w:cs="Palatino Linotype"/>
          <w:b/>
          <w:i/>
          <w:color w:val="000000"/>
          <w:sz w:val="22"/>
          <w:szCs w:val="22"/>
        </w:rPr>
        <w:t>IV. Realizar, con efectividad, los trámites internos necesarios para la atención de las solicitudes de acceso a la información;</w:t>
      </w:r>
    </w:p>
    <w:p w:rsidR="004542D1" w:rsidRPr="00803417" w:rsidRDefault="00E33CAA">
      <w:pPr>
        <w:ind w:left="1134" w:right="900"/>
        <w:jc w:val="both"/>
        <w:rPr>
          <w:rFonts w:ascii="Palatino Linotype" w:eastAsia="Palatino Linotype" w:hAnsi="Palatino Linotype" w:cs="Palatino Linotype"/>
          <w:b/>
          <w:i/>
          <w:color w:val="000000"/>
          <w:sz w:val="22"/>
          <w:szCs w:val="22"/>
        </w:rPr>
      </w:pPr>
      <w:r w:rsidRPr="00803417">
        <w:rPr>
          <w:rFonts w:ascii="Palatino Linotype" w:eastAsia="Palatino Linotype" w:hAnsi="Palatino Linotype" w:cs="Palatino Linotype"/>
          <w:b/>
          <w:i/>
          <w:color w:val="000000"/>
          <w:sz w:val="22"/>
          <w:szCs w:val="22"/>
        </w:rPr>
        <w:t>V. Entregar, en su caso, a los particulares la información solicitada;</w:t>
      </w: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t>VI. Efectuar las notificaciones a los solicitantes;</w:t>
      </w: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t>VII. Proponer al Comité de Transparencia, los procedimientos internos que aseguren la mayor eficiencia en la gestión de las solicitudes de acceso a la información, conforme a la normatividad aplicable;</w:t>
      </w: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t>VIII. Proponer a quien preside el Comité de Transparencia, personal habilitado que sea necesario para recibir y dar trámite a las solicitudes de acceso a la información;</w:t>
      </w: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t>IX. Llevar un registro de las solicitudes de acceso a la información, sus respuestas, resultados, costos de reproducción y envío, resolución a los recursos de revisión que se hayan emitido en contra de sus respuestas y del cumplimiento de las mismas;</w:t>
      </w: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t>X. Presentar ante el Comité, el proyecto de clasificación de información;</w:t>
      </w: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t>XI. Promover e implementar políticas de transparencia proactiva procurando su accesibilidad;</w:t>
      </w: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t>XII. Fomentar la transparencia y accesibilidad al interior del sujeto obligado;</w:t>
      </w: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t>XIII. Hacer del conocimiento de la instancia competente la probable responsabilidad por el incumplimiento de las obligaciones previstas en la presente Ley; y</w:t>
      </w: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t>XIV. Las demás que resulten necesarias para facilitar el acceso a la información y aquellas que se desprenden de la presente Ley y demás disposiciones jurídicas aplicables.</w:t>
      </w: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w:t>
      </w:r>
      <w:r w:rsidRPr="00803417">
        <w:rPr>
          <w:rFonts w:ascii="Palatino Linotype" w:eastAsia="Palatino Linotype" w:hAnsi="Palatino Linotype" w:cs="Palatino Linotype"/>
          <w:i/>
          <w:color w:val="000000"/>
          <w:sz w:val="22"/>
          <w:szCs w:val="22"/>
        </w:rPr>
        <w:lastRenderedPageBreak/>
        <w:t>presentar solicitudes de acceso a la información y facilitar su gestión e interponer los recursos que las leyes establezcan.</w:t>
      </w:r>
    </w:p>
    <w:p w:rsidR="004542D1" w:rsidRPr="00803417" w:rsidRDefault="004542D1">
      <w:pPr>
        <w:ind w:left="1134" w:right="900"/>
        <w:jc w:val="both"/>
        <w:rPr>
          <w:rFonts w:ascii="Palatino Linotype" w:eastAsia="Palatino Linotype" w:hAnsi="Palatino Linotype" w:cs="Palatino Linotype"/>
          <w:i/>
          <w:color w:val="000000"/>
          <w:sz w:val="22"/>
          <w:szCs w:val="22"/>
        </w:rPr>
      </w:pP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b/>
          <w:i/>
          <w:color w:val="000000"/>
          <w:sz w:val="22"/>
          <w:szCs w:val="22"/>
        </w:rPr>
        <w:t>Artículo 59</w:t>
      </w:r>
      <w:r w:rsidRPr="00803417">
        <w:rPr>
          <w:rFonts w:ascii="Palatino Linotype" w:eastAsia="Palatino Linotype" w:hAnsi="Palatino Linotype" w:cs="Palatino Linotype"/>
          <w:i/>
          <w:color w:val="000000"/>
          <w:sz w:val="22"/>
          <w:szCs w:val="22"/>
        </w:rPr>
        <w:t xml:space="preserve">. </w:t>
      </w:r>
      <w:r w:rsidRPr="00803417">
        <w:rPr>
          <w:rFonts w:ascii="Palatino Linotype" w:eastAsia="Palatino Linotype" w:hAnsi="Palatino Linotype" w:cs="Palatino Linotype"/>
          <w:b/>
          <w:i/>
          <w:color w:val="000000"/>
          <w:sz w:val="22"/>
          <w:szCs w:val="22"/>
        </w:rPr>
        <w:t>Los servidores públicos habilitados</w:t>
      </w:r>
      <w:r w:rsidRPr="00803417">
        <w:rPr>
          <w:rFonts w:ascii="Palatino Linotype" w:eastAsia="Palatino Linotype" w:hAnsi="Palatino Linotype" w:cs="Palatino Linotype"/>
          <w:i/>
          <w:color w:val="000000"/>
          <w:sz w:val="22"/>
          <w:szCs w:val="22"/>
        </w:rPr>
        <w:t xml:space="preserve"> tendrán las funciones siguientes:</w:t>
      </w: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t>I. Localizar la información que le solicite la Unidad de Transparencia;</w:t>
      </w: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t>II. Proporcionar la información que obre en los archivos y que le sea solicitada por la Unidad de Transparencia;</w:t>
      </w: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t>III. Apoyar a la Unidad de Transparencia en lo que esta le solicite para el cumplimiento de sus funciones;</w:t>
      </w: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t>IV. Proporcionar a la Unidad de Transparencia, las modificaciones a la información pública de oficio que obre en su poder;</w:t>
      </w: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t>V. Integrar y presentar al responsable de la Unidad de Transparencia la propuesta de clasificación de información, la cual tendrá los fundamentos y argumentos en que se basa dicha propuesta;</w:t>
      </w: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t>VI. Verificar, una vez analizado el contenido de la información, que no se encuentre en los supuestos de información clasificada; y</w:t>
      </w: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t>VII. Dar cuenta a la Unidad de Transparencia del vencimiento de los plazos de reserva.</w:t>
      </w:r>
    </w:p>
    <w:p w:rsidR="004542D1" w:rsidRPr="00803417" w:rsidRDefault="004542D1">
      <w:pPr>
        <w:ind w:left="1134" w:right="900"/>
        <w:jc w:val="both"/>
        <w:rPr>
          <w:rFonts w:ascii="Palatino Linotype" w:eastAsia="Palatino Linotype" w:hAnsi="Palatino Linotype" w:cs="Palatino Linotype"/>
          <w:i/>
          <w:color w:val="000000"/>
          <w:sz w:val="22"/>
          <w:szCs w:val="22"/>
        </w:rPr>
      </w:pPr>
    </w:p>
    <w:p w:rsidR="004542D1" w:rsidRPr="00803417" w:rsidRDefault="00E33CAA">
      <w:p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b/>
          <w:i/>
          <w:color w:val="000000"/>
          <w:sz w:val="22"/>
          <w:szCs w:val="22"/>
        </w:rPr>
        <w:t>Artículo 162</w:t>
      </w:r>
      <w:r w:rsidRPr="00803417">
        <w:rPr>
          <w:rFonts w:ascii="Palatino Linotype" w:eastAsia="Palatino Linotype" w:hAnsi="Palatino Linotype" w:cs="Palatino Linotype"/>
          <w:i/>
          <w:color w:val="000000"/>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4542D1" w:rsidRPr="00803417" w:rsidRDefault="004542D1">
      <w:pPr>
        <w:ind w:right="900"/>
        <w:jc w:val="both"/>
        <w:rPr>
          <w:rFonts w:ascii="Palatino Linotype" w:eastAsia="Palatino Linotype" w:hAnsi="Palatino Linotype" w:cs="Palatino Linotype"/>
          <w:i/>
          <w:color w:val="000000"/>
        </w:rPr>
      </w:pPr>
    </w:p>
    <w:p w:rsidR="004542D1" w:rsidRPr="00803417" w:rsidRDefault="00E33CAA">
      <w:pPr>
        <w:numPr>
          <w:ilvl w:val="0"/>
          <w:numId w:val="11"/>
        </w:numPr>
        <w:spacing w:line="360" w:lineRule="auto"/>
        <w:ind w:left="0" w:right="-876" w:firstLine="0"/>
        <w:jc w:val="both"/>
        <w:rPr>
          <w:rFonts w:ascii="Calibri" w:eastAsia="Calibri" w:hAnsi="Calibri" w:cs="Calibri"/>
          <w:color w:val="000000"/>
        </w:rPr>
      </w:pPr>
      <w:r w:rsidRPr="00803417">
        <w:rPr>
          <w:rFonts w:ascii="Palatino Linotype" w:eastAsia="Palatino Linotype" w:hAnsi="Palatino Linotype" w:cs="Palatino Linotype"/>
          <w:color w:val="000000"/>
        </w:rPr>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w:t>
      </w:r>
      <w:r w:rsidRPr="00803417">
        <w:rPr>
          <w:rFonts w:ascii="Palatino Linotype" w:eastAsia="Palatino Linotype" w:hAnsi="Palatino Linotype" w:cs="Palatino Linotype"/>
          <w:b/>
          <w:color w:val="000000"/>
        </w:rPr>
        <w:t xml:space="preserve"> SUJETO OBLIGADO</w:t>
      </w:r>
      <w:r w:rsidRPr="00803417">
        <w:rPr>
          <w:rFonts w:ascii="Palatino Linotype" w:eastAsia="Palatino Linotype" w:hAnsi="Palatino Linotype" w:cs="Palatino Linotype"/>
          <w:color w:val="000000"/>
        </w:rPr>
        <w:t xml:space="preserve"> y los solicitantes, y tiene bajo su responsabilidad el tramitar internamente la solicitud de información.</w:t>
      </w:r>
    </w:p>
    <w:p w:rsidR="004542D1" w:rsidRPr="00803417" w:rsidRDefault="004542D1">
      <w:pPr>
        <w:spacing w:line="360" w:lineRule="auto"/>
        <w:ind w:right="-504"/>
        <w:jc w:val="both"/>
        <w:rPr>
          <w:rFonts w:ascii="Palatino Linotype" w:eastAsia="Palatino Linotype" w:hAnsi="Palatino Linotype" w:cs="Palatino Linotype"/>
          <w:color w:val="000000"/>
        </w:rPr>
      </w:pPr>
    </w:p>
    <w:p w:rsidR="004542D1" w:rsidRPr="00803417" w:rsidRDefault="00E33CAA">
      <w:pPr>
        <w:numPr>
          <w:ilvl w:val="0"/>
          <w:numId w:val="11"/>
        </w:numPr>
        <w:spacing w:line="360" w:lineRule="auto"/>
        <w:ind w:left="0" w:right="-876" w:firstLine="0"/>
        <w:jc w:val="both"/>
        <w:rPr>
          <w:rFonts w:ascii="Calibri" w:eastAsia="Calibri" w:hAnsi="Calibri" w:cs="Calibri"/>
          <w:color w:val="000000"/>
        </w:rPr>
      </w:pPr>
      <w:r w:rsidRPr="00803417">
        <w:rPr>
          <w:rFonts w:ascii="Palatino Linotype" w:eastAsia="Palatino Linotype" w:hAnsi="Palatino Linotype" w:cs="Palatino Linotype"/>
          <w:color w:val="000000"/>
        </w:rPr>
        <w:lastRenderedPageBreak/>
        <w:t xml:space="preserve">De tal manera que, si bien, el Titular de la Unidad de Transparencia dio respuesta a la solicitud de información en cuestión, tenía que haber realizado el procedimiento, de turnar dentro de las áreas que conforman la estructura del </w:t>
      </w:r>
      <w:r w:rsidRPr="00803417">
        <w:rPr>
          <w:rFonts w:ascii="Palatino Linotype" w:eastAsia="Palatino Linotype" w:hAnsi="Palatino Linotype" w:cs="Palatino Linotype"/>
          <w:b/>
          <w:color w:val="000000"/>
        </w:rPr>
        <w:t>Sujeto Obligado</w:t>
      </w:r>
      <w:r w:rsidRPr="00803417">
        <w:rPr>
          <w:rFonts w:ascii="Palatino Linotype" w:eastAsia="Palatino Linotype" w:hAnsi="Palatino Linotype" w:cs="Palatino Linotype"/>
          <w:color w:val="000000"/>
        </w:rPr>
        <w:t>, a fin de que el responsable del área diera respuesta a la misma, tal y como lo marca la normatividad invocada, es por ello que debe turnar la solicitud a todas las áreas que y que pudieran generar, administrar o poseer la información requerida por el particular; pues los mismos, tienen como función, buscar, localizar y poseer la información, así como entregarla.</w:t>
      </w:r>
    </w:p>
    <w:p w:rsidR="004542D1" w:rsidRPr="00803417" w:rsidRDefault="004542D1">
      <w:pPr>
        <w:spacing w:line="360" w:lineRule="auto"/>
        <w:ind w:right="-504"/>
        <w:jc w:val="both"/>
        <w:rPr>
          <w:rFonts w:ascii="Palatino Linotype" w:eastAsia="Palatino Linotype" w:hAnsi="Palatino Linotype" w:cs="Palatino Linotype"/>
          <w:color w:val="000000"/>
        </w:rPr>
      </w:pPr>
    </w:p>
    <w:p w:rsidR="004542D1" w:rsidRPr="00803417" w:rsidRDefault="00E33CAA">
      <w:pPr>
        <w:numPr>
          <w:ilvl w:val="0"/>
          <w:numId w:val="11"/>
        </w:numPr>
        <w:spacing w:line="360" w:lineRule="auto"/>
        <w:ind w:left="0" w:right="-876" w:firstLine="0"/>
        <w:jc w:val="both"/>
        <w:rPr>
          <w:rFonts w:ascii="Calibri" w:eastAsia="Calibri" w:hAnsi="Calibri" w:cs="Calibri"/>
          <w:color w:val="000000"/>
        </w:rPr>
      </w:pPr>
      <w:r w:rsidRPr="00803417">
        <w:rPr>
          <w:rFonts w:ascii="Palatino Linotype" w:eastAsia="Palatino Linotype" w:hAnsi="Palatino Linotype" w:cs="Palatino Linotype"/>
          <w:color w:val="000000"/>
        </w:rPr>
        <w:t>Es por ello, que corresponde al Titular de la Unidad de Transparencia el garantizar que las solicitudes se turnen a todas las áreas competentes que puedan contar con la información, con el objeto de que se realice una búsqueda exhaustiva y razonable de la misma.</w:t>
      </w:r>
    </w:p>
    <w:p w:rsidR="004542D1" w:rsidRPr="00803417" w:rsidRDefault="004542D1">
      <w:pPr>
        <w:spacing w:line="360" w:lineRule="auto"/>
        <w:jc w:val="both"/>
        <w:rPr>
          <w:rFonts w:ascii="Calibri" w:eastAsia="Calibri" w:hAnsi="Calibri" w:cs="Calibri"/>
          <w:color w:val="000000"/>
        </w:rPr>
      </w:pPr>
    </w:p>
    <w:p w:rsidR="004542D1" w:rsidRPr="00803417" w:rsidRDefault="00E33CAA">
      <w:pPr>
        <w:numPr>
          <w:ilvl w:val="0"/>
          <w:numId w:val="11"/>
        </w:numPr>
        <w:spacing w:line="360" w:lineRule="auto"/>
        <w:ind w:left="0" w:right="-876" w:firstLine="0"/>
        <w:jc w:val="both"/>
        <w:rPr>
          <w:rFonts w:ascii="Calibri" w:eastAsia="Calibri" w:hAnsi="Calibri" w:cs="Calibri"/>
          <w:color w:val="000000"/>
        </w:rPr>
      </w:pPr>
      <w:r w:rsidRPr="00803417">
        <w:rPr>
          <w:rFonts w:ascii="Palatino Linotype" w:eastAsia="Palatino Linotype" w:hAnsi="Palatino Linotype" w:cs="Palatino Linotype"/>
          <w:color w:val="000000"/>
        </w:rPr>
        <w:t xml:space="preserve">De lo anterior, es de precisar que la información que resulta de interés para el particular obra en los archivos del </w:t>
      </w:r>
      <w:r w:rsidRPr="00803417">
        <w:rPr>
          <w:rFonts w:ascii="Palatino Linotype" w:eastAsia="Palatino Linotype" w:hAnsi="Palatino Linotype" w:cs="Palatino Linotype"/>
          <w:b/>
          <w:color w:val="000000"/>
        </w:rPr>
        <w:t xml:space="preserve">SUJETO OBLIGADO </w:t>
      </w:r>
      <w:r w:rsidRPr="00803417">
        <w:rPr>
          <w:rFonts w:ascii="Palatino Linotype" w:eastAsia="Palatino Linotype" w:hAnsi="Palatino Linotype" w:cs="Palatino Linotype"/>
          <w:color w:val="000000"/>
        </w:rPr>
        <w:t>y por lo tanto debe proceder a realizar una búsqueda exhaustiva a efecto de proporcionar los documentos donde obre la misma de tal forma que cumpla con los requisitos de la Ley en la materia.</w:t>
      </w:r>
    </w:p>
    <w:p w:rsidR="004542D1" w:rsidRPr="00803417" w:rsidRDefault="004542D1">
      <w:pPr>
        <w:spacing w:line="360" w:lineRule="auto"/>
        <w:ind w:right="-504"/>
        <w:jc w:val="both"/>
        <w:rPr>
          <w:rFonts w:ascii="Palatino Linotype" w:eastAsia="Palatino Linotype" w:hAnsi="Palatino Linotype" w:cs="Palatino Linotype"/>
          <w:color w:val="000000"/>
        </w:rPr>
      </w:pPr>
    </w:p>
    <w:p w:rsidR="004542D1" w:rsidRPr="00803417" w:rsidRDefault="00E33CAA">
      <w:pPr>
        <w:numPr>
          <w:ilvl w:val="0"/>
          <w:numId w:val="11"/>
        </w:numPr>
        <w:spacing w:line="360" w:lineRule="auto"/>
        <w:ind w:left="0" w:right="-876" w:firstLine="0"/>
        <w:jc w:val="both"/>
        <w:rPr>
          <w:rFonts w:ascii="Calibri" w:eastAsia="Calibri" w:hAnsi="Calibri" w:cs="Calibri"/>
          <w:color w:val="000000"/>
        </w:rPr>
      </w:pPr>
      <w:r w:rsidRPr="00803417">
        <w:rPr>
          <w:rFonts w:ascii="Palatino Linotype" w:eastAsia="Palatino Linotype" w:hAnsi="Palatino Linotype" w:cs="Palatino Linotype"/>
          <w:color w:val="000000"/>
        </w:rPr>
        <w:t xml:space="preserve">Conforme a lo anterior, se puede advertir que el </w:t>
      </w:r>
      <w:r w:rsidRPr="00803417">
        <w:rPr>
          <w:rFonts w:ascii="Palatino Linotype" w:eastAsia="Palatino Linotype" w:hAnsi="Palatino Linotype" w:cs="Palatino Linotype"/>
          <w:b/>
          <w:color w:val="000000"/>
        </w:rPr>
        <w:t>SUJETO OBLIGADO</w:t>
      </w:r>
      <w:r w:rsidRPr="00803417">
        <w:rPr>
          <w:rFonts w:ascii="Palatino Linotype" w:eastAsia="Palatino Linotype" w:hAnsi="Palatino Linotype" w:cs="Palatino Linotype"/>
          <w:color w:val="000000"/>
        </w:rPr>
        <w:t xml:space="preserve"> no turnó la solicitud de información a todas  las unidad administrativa habilitadas de conocer de la solicitud de información, por lo que se concluye, que el </w:t>
      </w:r>
      <w:r w:rsidRPr="00803417">
        <w:rPr>
          <w:rFonts w:ascii="Palatino Linotype" w:eastAsia="Palatino Linotype" w:hAnsi="Palatino Linotype" w:cs="Palatino Linotype"/>
          <w:b/>
          <w:color w:val="000000"/>
        </w:rPr>
        <w:t>SUJETO OBLIGADO</w:t>
      </w:r>
      <w:r w:rsidRPr="00803417">
        <w:rPr>
          <w:rFonts w:ascii="Palatino Linotype" w:eastAsia="Palatino Linotype" w:hAnsi="Palatino Linotype" w:cs="Palatino Linotype"/>
          <w:color w:val="000000"/>
        </w:rPr>
        <w:t xml:space="preserve"> incumplió con el procedimiento de búsqueda establecido en el artículo 162 de la Ley de Transparencia y Acceso a la Información Pública del Estado de México y Municipios, por lo que no se acreditó que la búsqueda fuera exhaustiva y razonable; para lograr dicha situación, en principio, resulta necesario determinar, que es una investigación con esas características.</w:t>
      </w:r>
    </w:p>
    <w:p w:rsidR="004542D1" w:rsidRPr="00803417" w:rsidRDefault="004542D1">
      <w:pPr>
        <w:spacing w:line="360" w:lineRule="auto"/>
        <w:ind w:right="-504"/>
        <w:jc w:val="both"/>
        <w:rPr>
          <w:rFonts w:ascii="Palatino Linotype" w:eastAsia="Palatino Linotype" w:hAnsi="Palatino Linotype" w:cs="Palatino Linotype"/>
          <w:color w:val="000000"/>
        </w:rPr>
      </w:pPr>
    </w:p>
    <w:p w:rsidR="004542D1" w:rsidRPr="00803417" w:rsidRDefault="00E33CAA">
      <w:pPr>
        <w:numPr>
          <w:ilvl w:val="0"/>
          <w:numId w:val="11"/>
        </w:numPr>
        <w:spacing w:line="360" w:lineRule="auto"/>
        <w:ind w:left="0" w:right="-876" w:firstLine="0"/>
        <w:jc w:val="both"/>
        <w:rPr>
          <w:rFonts w:ascii="Calibri" w:eastAsia="Calibri" w:hAnsi="Calibri" w:cs="Calibri"/>
          <w:color w:val="000000"/>
        </w:rPr>
      </w:pPr>
      <w:r w:rsidRPr="00803417">
        <w:rPr>
          <w:rFonts w:ascii="Palatino Linotype" w:eastAsia="Palatino Linotype" w:hAnsi="Palatino Linotype" w:cs="Palatino Linotype"/>
          <w:color w:val="000000"/>
        </w:rPr>
        <w:t>Aunado a lo expuesto,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rsidR="004542D1" w:rsidRPr="00803417" w:rsidRDefault="004542D1">
      <w:pPr>
        <w:spacing w:line="360" w:lineRule="auto"/>
        <w:ind w:right="-504"/>
        <w:jc w:val="both"/>
        <w:rPr>
          <w:rFonts w:ascii="Palatino Linotype" w:eastAsia="Palatino Linotype" w:hAnsi="Palatino Linotype" w:cs="Palatino Linotype"/>
          <w:color w:val="000000"/>
        </w:rPr>
      </w:pPr>
    </w:p>
    <w:p w:rsidR="004542D1" w:rsidRPr="00803417" w:rsidRDefault="00E33CAA">
      <w:pPr>
        <w:numPr>
          <w:ilvl w:val="0"/>
          <w:numId w:val="11"/>
        </w:numPr>
        <w:spacing w:line="360" w:lineRule="auto"/>
        <w:ind w:left="0" w:right="-876" w:firstLine="0"/>
        <w:jc w:val="both"/>
        <w:rPr>
          <w:rFonts w:ascii="Calibri" w:eastAsia="Calibri" w:hAnsi="Calibri" w:cs="Calibri"/>
          <w:color w:val="000000"/>
        </w:rPr>
      </w:pPr>
      <w:r w:rsidRPr="00803417">
        <w:rPr>
          <w:rFonts w:ascii="Palatino Linotype" w:eastAsia="Palatino Linotype" w:hAnsi="Palatino Linotype" w:cs="Palatino Linotype"/>
          <w:color w:val="000000"/>
        </w:rPr>
        <w:t xml:space="preserve">En ese contexto, de conformidad con los </w:t>
      </w:r>
      <w:r w:rsidRPr="00803417">
        <w:rPr>
          <w:rFonts w:ascii="Palatino Linotype" w:eastAsia="Palatino Linotype" w:hAnsi="Palatino Linotype" w:cs="Palatino Linotype"/>
          <w:b/>
          <w:color w:val="000000"/>
        </w:rPr>
        <w:t>criterios 12/10 y 04/19,</w:t>
      </w:r>
      <w:r w:rsidRPr="00803417">
        <w:rPr>
          <w:rFonts w:ascii="Palatino Linotype" w:eastAsia="Palatino Linotype" w:hAnsi="Palatino Linotype" w:cs="Palatino Linotype"/>
          <w:color w:val="000000"/>
        </w:rPr>
        <w:t xml:space="preserve"> emitidos por el Instituto Nacional de Transparencia, Acceso a la Información y Protección de Datos Personales, traídos por analogía, se colige que los sujetos obligados para acreditar que se realizó una búsqueda exhaustiva y razonable, deben de proporcionar los </w:t>
      </w:r>
      <w:r w:rsidRPr="00803417">
        <w:rPr>
          <w:rFonts w:ascii="Palatino Linotype" w:eastAsia="Palatino Linotype" w:hAnsi="Palatino Linotype" w:cs="Palatino Linotype"/>
          <w:b/>
          <w:color w:val="000000"/>
        </w:rPr>
        <w:t>elementos suficientes</w:t>
      </w:r>
      <w:r w:rsidRPr="00803417">
        <w:rPr>
          <w:rFonts w:ascii="Palatino Linotype" w:eastAsia="Palatino Linotype" w:hAnsi="Palatino Linotype" w:cs="Palatino Linotype"/>
          <w:color w:val="000000"/>
        </w:rPr>
        <w:t xml:space="preserve"> del carácter exhaustivo de la indagación realizada, a saber, los siguientes:</w:t>
      </w:r>
    </w:p>
    <w:p w:rsidR="004542D1" w:rsidRPr="00803417" w:rsidRDefault="004542D1">
      <w:pPr>
        <w:spacing w:line="360" w:lineRule="auto"/>
        <w:ind w:right="-504"/>
        <w:jc w:val="both"/>
        <w:rPr>
          <w:rFonts w:ascii="Palatino Linotype" w:eastAsia="Palatino Linotype" w:hAnsi="Palatino Linotype" w:cs="Palatino Linotype"/>
          <w:color w:val="000000"/>
        </w:rPr>
      </w:pPr>
    </w:p>
    <w:p w:rsidR="004542D1" w:rsidRPr="00803417" w:rsidRDefault="00E33CAA">
      <w:pPr>
        <w:numPr>
          <w:ilvl w:val="0"/>
          <w:numId w:val="6"/>
        </w:num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t>Motivación por las que se buscó la información, en determinadas unidades administrativas;</w:t>
      </w:r>
    </w:p>
    <w:p w:rsidR="004542D1" w:rsidRPr="00803417" w:rsidRDefault="00E33CAA">
      <w:pPr>
        <w:numPr>
          <w:ilvl w:val="0"/>
          <w:numId w:val="6"/>
        </w:num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t>Los criterios de búsqueda utilizados, y</w:t>
      </w:r>
    </w:p>
    <w:p w:rsidR="004542D1" w:rsidRPr="00803417" w:rsidRDefault="00E33CAA">
      <w:pPr>
        <w:numPr>
          <w:ilvl w:val="0"/>
          <w:numId w:val="6"/>
        </w:numPr>
        <w:ind w:left="1134" w:right="900"/>
        <w:jc w:val="both"/>
        <w:rPr>
          <w:rFonts w:ascii="Palatino Linotype" w:eastAsia="Palatino Linotype" w:hAnsi="Palatino Linotype" w:cs="Palatino Linotype"/>
          <w:i/>
          <w:color w:val="000000"/>
          <w:sz w:val="22"/>
          <w:szCs w:val="22"/>
        </w:rPr>
      </w:pPr>
      <w:r w:rsidRPr="00803417">
        <w:rPr>
          <w:rFonts w:ascii="Palatino Linotype" w:eastAsia="Palatino Linotype" w:hAnsi="Palatino Linotype" w:cs="Palatino Linotype"/>
          <w:i/>
          <w:color w:val="000000"/>
          <w:sz w:val="22"/>
          <w:szCs w:val="22"/>
        </w:rPr>
        <w:t>Las circunstancias que fueron tomadas en cuenta.</w:t>
      </w:r>
    </w:p>
    <w:p w:rsidR="004542D1" w:rsidRPr="00803417" w:rsidRDefault="004542D1">
      <w:pPr>
        <w:spacing w:line="360" w:lineRule="auto"/>
        <w:ind w:right="-504"/>
        <w:jc w:val="both"/>
        <w:rPr>
          <w:rFonts w:ascii="Palatino Linotype" w:eastAsia="Palatino Linotype" w:hAnsi="Palatino Linotype" w:cs="Palatino Linotype"/>
          <w:color w:val="000000"/>
        </w:rPr>
      </w:pPr>
    </w:p>
    <w:p w:rsidR="004542D1" w:rsidRPr="00803417" w:rsidRDefault="00E33CAA">
      <w:pPr>
        <w:numPr>
          <w:ilvl w:val="0"/>
          <w:numId w:val="11"/>
        </w:numPr>
        <w:spacing w:line="360" w:lineRule="auto"/>
        <w:ind w:left="0" w:right="-876" w:firstLine="0"/>
        <w:jc w:val="both"/>
        <w:rPr>
          <w:rFonts w:ascii="Calibri" w:eastAsia="Calibri" w:hAnsi="Calibri" w:cs="Calibri"/>
          <w:color w:val="000000"/>
        </w:rPr>
      </w:pPr>
      <w:r w:rsidRPr="00803417">
        <w:rPr>
          <w:rFonts w:ascii="Palatino Linotype" w:eastAsia="Palatino Linotype" w:hAnsi="Palatino Linotype" w:cs="Palatino Linotype"/>
          <w:color w:val="000000"/>
        </w:rPr>
        <w:t>De tales circunstancias, se considera que para que los Sujetos Obligado justifiquen que realizaron una búsqueda exhaustiva y razonable, deben indicar de manera clara, lo siguiente:</w:t>
      </w:r>
    </w:p>
    <w:p w:rsidR="004542D1" w:rsidRPr="00803417" w:rsidRDefault="00E33CAA">
      <w:pPr>
        <w:numPr>
          <w:ilvl w:val="0"/>
          <w:numId w:val="7"/>
        </w:numPr>
        <w:ind w:left="1134" w:right="900"/>
        <w:jc w:val="both"/>
        <w:rPr>
          <w:rFonts w:ascii="Palatino Linotype" w:eastAsia="Palatino Linotype" w:hAnsi="Palatino Linotype" w:cs="Palatino Linotype"/>
          <w:b/>
          <w:i/>
          <w:color w:val="000000"/>
          <w:sz w:val="22"/>
          <w:szCs w:val="22"/>
        </w:rPr>
      </w:pPr>
      <w:r w:rsidRPr="00803417">
        <w:rPr>
          <w:rFonts w:ascii="Palatino Linotype" w:eastAsia="Palatino Linotype" w:hAnsi="Palatino Linotype" w:cs="Palatino Linotype"/>
          <w:b/>
          <w:i/>
          <w:color w:val="000000"/>
          <w:sz w:val="22"/>
          <w:szCs w:val="22"/>
        </w:rPr>
        <w:t>Las áreas donde se buscó la información;</w:t>
      </w:r>
    </w:p>
    <w:p w:rsidR="004542D1" w:rsidRPr="00803417" w:rsidRDefault="00E33CAA">
      <w:pPr>
        <w:numPr>
          <w:ilvl w:val="0"/>
          <w:numId w:val="7"/>
        </w:numPr>
        <w:ind w:left="1134" w:right="900"/>
        <w:jc w:val="both"/>
        <w:rPr>
          <w:rFonts w:ascii="Palatino Linotype" w:eastAsia="Palatino Linotype" w:hAnsi="Palatino Linotype" w:cs="Palatino Linotype"/>
          <w:b/>
          <w:i/>
          <w:color w:val="000000"/>
          <w:sz w:val="22"/>
          <w:szCs w:val="22"/>
        </w:rPr>
      </w:pPr>
      <w:r w:rsidRPr="00803417">
        <w:rPr>
          <w:rFonts w:ascii="Palatino Linotype" w:eastAsia="Palatino Linotype" w:hAnsi="Palatino Linotype" w:cs="Palatino Linotype"/>
          <w:b/>
          <w:i/>
          <w:color w:val="000000"/>
          <w:sz w:val="22"/>
          <w:szCs w:val="22"/>
        </w:rPr>
        <w:t>Tipo de archivos buscados (físicos o electrónicos);</w:t>
      </w:r>
    </w:p>
    <w:p w:rsidR="004542D1" w:rsidRPr="00803417" w:rsidRDefault="00E33CAA">
      <w:pPr>
        <w:numPr>
          <w:ilvl w:val="0"/>
          <w:numId w:val="7"/>
        </w:numPr>
        <w:ind w:left="1134" w:right="900"/>
        <w:jc w:val="both"/>
        <w:rPr>
          <w:rFonts w:ascii="Palatino Linotype" w:eastAsia="Palatino Linotype" w:hAnsi="Palatino Linotype" w:cs="Palatino Linotype"/>
          <w:b/>
          <w:i/>
          <w:color w:val="000000"/>
          <w:sz w:val="22"/>
          <w:szCs w:val="22"/>
        </w:rPr>
      </w:pPr>
      <w:r w:rsidRPr="00803417">
        <w:rPr>
          <w:rFonts w:ascii="Palatino Linotype" w:eastAsia="Palatino Linotype" w:hAnsi="Palatino Linotype" w:cs="Palatino Linotype"/>
          <w:b/>
          <w:i/>
          <w:color w:val="000000"/>
          <w:sz w:val="22"/>
          <w:szCs w:val="22"/>
        </w:rPr>
        <w:t xml:space="preserve">Los criterios de búsqueda utilizados, y </w:t>
      </w:r>
    </w:p>
    <w:p w:rsidR="004542D1" w:rsidRPr="00803417" w:rsidRDefault="00E33CAA">
      <w:pPr>
        <w:numPr>
          <w:ilvl w:val="0"/>
          <w:numId w:val="7"/>
        </w:numPr>
        <w:ind w:left="1134" w:right="900"/>
        <w:jc w:val="both"/>
        <w:rPr>
          <w:rFonts w:ascii="Palatino Linotype" w:eastAsia="Palatino Linotype" w:hAnsi="Palatino Linotype" w:cs="Palatino Linotype"/>
          <w:b/>
          <w:i/>
          <w:color w:val="000000"/>
          <w:sz w:val="22"/>
          <w:szCs w:val="22"/>
        </w:rPr>
      </w:pPr>
      <w:r w:rsidRPr="00803417">
        <w:rPr>
          <w:rFonts w:ascii="Palatino Linotype" w:eastAsia="Palatino Linotype" w:hAnsi="Palatino Linotype" w:cs="Palatino Linotype"/>
          <w:b/>
          <w:i/>
          <w:color w:val="000000"/>
          <w:sz w:val="22"/>
          <w:szCs w:val="22"/>
        </w:rPr>
        <w:t>Las circunstancias que fueron tomadas en cuenta.</w:t>
      </w:r>
      <w:r w:rsidRPr="00803417">
        <w:rPr>
          <w:rFonts w:ascii="Palatino Linotype" w:eastAsia="Palatino Linotype" w:hAnsi="Palatino Linotype" w:cs="Palatino Linotype"/>
          <w:b/>
          <w:i/>
          <w:color w:val="000000"/>
          <w:sz w:val="22"/>
          <w:szCs w:val="22"/>
        </w:rPr>
        <w:tab/>
      </w:r>
    </w:p>
    <w:p w:rsidR="004542D1" w:rsidRPr="00803417" w:rsidRDefault="004542D1">
      <w:pPr>
        <w:ind w:right="900"/>
        <w:jc w:val="both"/>
        <w:rPr>
          <w:rFonts w:ascii="Palatino Linotype" w:eastAsia="Palatino Linotype" w:hAnsi="Palatino Linotype" w:cs="Palatino Linotype"/>
          <w:b/>
          <w:i/>
          <w:color w:val="000000"/>
          <w:sz w:val="22"/>
          <w:szCs w:val="22"/>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b/>
          <w:color w:val="000000"/>
        </w:rPr>
      </w:pPr>
      <w:r w:rsidRPr="00803417">
        <w:rPr>
          <w:rFonts w:ascii="Palatino Linotype" w:eastAsia="Palatino Linotype" w:hAnsi="Palatino Linotype" w:cs="Palatino Linotype"/>
          <w:color w:val="000000"/>
        </w:rPr>
        <w:t xml:space="preserve">Conforme a lo anterior, este Instituto considera que la </w:t>
      </w:r>
      <w:r w:rsidRPr="00803417">
        <w:rPr>
          <w:rFonts w:ascii="Palatino Linotype" w:eastAsia="Palatino Linotype" w:hAnsi="Palatino Linotype" w:cs="Palatino Linotype"/>
          <w:b/>
          <w:color w:val="000000"/>
        </w:rPr>
        <w:t>Secretaría de Movilidad</w:t>
      </w:r>
      <w:r w:rsidRPr="00803417">
        <w:rPr>
          <w:rFonts w:ascii="Palatino Linotype" w:eastAsia="Palatino Linotype" w:hAnsi="Palatino Linotype" w:cs="Palatino Linotype"/>
          <w:color w:val="000000"/>
        </w:rPr>
        <w:t xml:space="preserve">, no cumplió con ninguno de los requisitos previamente señalados por lo consiguiente no turnó la solicitud de información a las diversas áreas, toda vez que de la respuesta entregada no se </w:t>
      </w:r>
      <w:r w:rsidRPr="00803417">
        <w:rPr>
          <w:rFonts w:ascii="Palatino Linotype" w:eastAsia="Palatino Linotype" w:hAnsi="Palatino Linotype" w:cs="Palatino Linotype"/>
          <w:color w:val="000000"/>
        </w:rPr>
        <w:lastRenderedPageBreak/>
        <w:t xml:space="preserve">pronuncian todos los servidores públicos habilitados, por lo que, no se logró advertir que esta haya realizado una indagación de lo requerido, </w:t>
      </w:r>
      <w:r w:rsidRPr="00803417">
        <w:rPr>
          <w:rFonts w:ascii="Palatino Linotype" w:eastAsia="Palatino Linotype" w:hAnsi="Palatino Linotype" w:cs="Palatino Linotype"/>
          <w:b/>
          <w:color w:val="000000"/>
        </w:rPr>
        <w:t xml:space="preserve">no se indago en documentos físicos o también electrónicos y no se logró desprender los criterios de búsqueda utilizados, </w:t>
      </w:r>
      <w:r w:rsidRPr="00803417">
        <w:rPr>
          <w:rFonts w:ascii="Palatino Linotype" w:eastAsia="Palatino Linotype" w:hAnsi="Palatino Linotype" w:cs="Palatino Linotype"/>
        </w:rPr>
        <w:t>pues</w:t>
      </w:r>
      <w:r w:rsidRPr="00803417">
        <w:rPr>
          <w:rFonts w:ascii="Palatino Linotype" w:eastAsia="Palatino Linotype" w:hAnsi="Palatino Linotype" w:cs="Palatino Linotype"/>
          <w:b/>
          <w:color w:val="000000"/>
        </w:rPr>
        <w:t xml:space="preserve"> no precisó cómo realizó la misma.</w:t>
      </w:r>
    </w:p>
    <w:p w:rsidR="004542D1" w:rsidRPr="00803417" w:rsidRDefault="004542D1">
      <w:pPr>
        <w:spacing w:line="360" w:lineRule="auto"/>
        <w:ind w:right="-504"/>
        <w:jc w:val="both"/>
        <w:rPr>
          <w:rFonts w:ascii="Palatino Linotype" w:eastAsia="Palatino Linotype" w:hAnsi="Palatino Linotype" w:cs="Palatino Linotype"/>
          <w:i/>
        </w:rPr>
      </w:pPr>
    </w:p>
    <w:p w:rsidR="004542D1" w:rsidRPr="00803417" w:rsidRDefault="00E33CAA">
      <w:pPr>
        <w:numPr>
          <w:ilvl w:val="0"/>
          <w:numId w:val="11"/>
        </w:numPr>
        <w:spacing w:line="360" w:lineRule="auto"/>
        <w:ind w:left="0" w:right="-876" w:firstLine="0"/>
        <w:jc w:val="both"/>
        <w:rPr>
          <w:rFonts w:ascii="Calibri" w:eastAsia="Calibri" w:hAnsi="Calibri" w:cs="Calibri"/>
          <w:color w:val="000000"/>
        </w:rPr>
      </w:pPr>
      <w:r w:rsidRPr="00803417">
        <w:rPr>
          <w:rFonts w:ascii="Palatino Linotype" w:eastAsia="Palatino Linotype" w:hAnsi="Palatino Linotype" w:cs="Palatino Linotype"/>
          <w:color w:val="000000"/>
        </w:rPr>
        <w:t>De lo anterior, se concluye que la búsqueda exhaustiva y razonable de la información debe estar sustentada con los respectivos criterios de búsqueda exhaustiva que el sujeto obligado utilizó.</w:t>
      </w:r>
    </w:p>
    <w:p w:rsidR="004542D1" w:rsidRPr="00803417" w:rsidRDefault="004542D1">
      <w:pPr>
        <w:pBdr>
          <w:top w:val="nil"/>
          <w:left w:val="nil"/>
          <w:bottom w:val="nil"/>
          <w:right w:val="nil"/>
          <w:between w:val="nil"/>
        </w:pBdr>
        <w:ind w:left="720"/>
        <w:rPr>
          <w:rFonts w:ascii="Calibri" w:eastAsia="Calibri" w:hAnsi="Calibri" w:cs="Calibri"/>
          <w:color w:val="000000"/>
        </w:rPr>
      </w:pPr>
    </w:p>
    <w:p w:rsidR="004542D1" w:rsidRPr="00803417" w:rsidRDefault="004542D1">
      <w:pPr>
        <w:pBdr>
          <w:top w:val="nil"/>
          <w:left w:val="nil"/>
          <w:bottom w:val="nil"/>
          <w:right w:val="nil"/>
          <w:between w:val="nil"/>
        </w:pBdr>
        <w:spacing w:line="360" w:lineRule="auto"/>
        <w:jc w:val="both"/>
        <w:rPr>
          <w:rFonts w:ascii="Calibri" w:eastAsia="Calibri" w:hAnsi="Calibri" w:cs="Calibri"/>
          <w:color w:val="000000"/>
        </w:rPr>
      </w:pPr>
    </w:p>
    <w:p w:rsidR="00B15BCA" w:rsidRPr="00803417" w:rsidRDefault="00E33CAA" w:rsidP="002E2E1E">
      <w:pPr>
        <w:numPr>
          <w:ilvl w:val="0"/>
          <w:numId w:val="11"/>
        </w:numPr>
        <w:spacing w:line="360" w:lineRule="auto"/>
        <w:ind w:left="0" w:right="-876" w:firstLine="0"/>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rPr>
        <w:t>Por</w:t>
      </w:r>
      <w:r w:rsidRPr="00803417">
        <w:rPr>
          <w:rFonts w:ascii="Palatino Linotype" w:eastAsia="Palatino Linotype" w:hAnsi="Palatino Linotype" w:cs="Palatino Linotype"/>
          <w:color w:val="000000"/>
        </w:rPr>
        <w:t xml:space="preserve"> lo anterior, resulta dable ORDENAR al SUJETO OBLIGADO realice una nueva búsqueda exhaustiva, de la información requerida, y haga entrega </w:t>
      </w:r>
      <w:r w:rsidR="00B15BCA" w:rsidRPr="00803417">
        <w:rPr>
          <w:rFonts w:ascii="Palatino Linotype" w:eastAsia="Palatino Linotype" w:hAnsi="Palatino Linotype" w:cs="Palatino Linotype"/>
          <w:color w:val="000000"/>
        </w:rPr>
        <w:t xml:space="preserve">en versión pública </w:t>
      </w:r>
      <w:r w:rsidRPr="00803417">
        <w:rPr>
          <w:rFonts w:ascii="Palatino Linotype" w:eastAsia="Palatino Linotype" w:hAnsi="Palatino Linotype" w:cs="Palatino Linotype"/>
          <w:color w:val="000000"/>
        </w:rPr>
        <w:t xml:space="preserve">el documento o documentos, donde </w:t>
      </w:r>
      <w:r w:rsidR="002E2E1E" w:rsidRPr="00803417">
        <w:rPr>
          <w:rFonts w:ascii="Palatino Linotype" w:eastAsia="Palatino Linotype" w:hAnsi="Palatino Linotype" w:cs="Palatino Linotype"/>
          <w:color w:val="000000"/>
        </w:rPr>
        <w:t xml:space="preserve">conste el </w:t>
      </w:r>
      <w:r w:rsidR="002E2E1E" w:rsidRPr="00803417">
        <w:rPr>
          <w:rFonts w:ascii="Palatino Linotype" w:eastAsia="Palatino Linotype" w:hAnsi="Palatino Linotype" w:cs="Palatino Linotype"/>
        </w:rPr>
        <w:t>Número de</w:t>
      </w:r>
      <w:r w:rsidR="002E2E1E" w:rsidRPr="00803417">
        <w:rPr>
          <w:rFonts w:ascii="Palatino Linotype" w:eastAsia="Palatino Linotype" w:hAnsi="Palatino Linotype" w:cs="Palatino Linotype"/>
          <w:color w:val="000000"/>
        </w:rPr>
        <w:t xml:space="preserve"> operadores de transporte público que   fueron capacitados, </w:t>
      </w:r>
      <w:r w:rsidR="002E2E1E" w:rsidRPr="00803417">
        <w:rPr>
          <w:rFonts w:ascii="Palatino Linotype" w:eastAsia="Palatino Linotype" w:hAnsi="Palatino Linotype" w:cs="Palatino Linotype"/>
        </w:rPr>
        <w:t>I</w:t>
      </w:r>
      <w:r w:rsidR="002E2E1E" w:rsidRPr="00803417">
        <w:rPr>
          <w:rFonts w:ascii="Palatino Linotype" w:eastAsia="Palatino Linotype" w:hAnsi="Palatino Linotype" w:cs="Palatino Linotype"/>
          <w:color w:val="000000"/>
        </w:rPr>
        <w:t xml:space="preserve">nstitución </w:t>
      </w:r>
      <w:r w:rsidR="002E2E1E" w:rsidRPr="00803417">
        <w:rPr>
          <w:rFonts w:ascii="Palatino Linotype" w:eastAsia="Palatino Linotype" w:hAnsi="Palatino Linotype" w:cs="Palatino Linotype"/>
        </w:rPr>
        <w:t>encargada de la</w:t>
      </w:r>
      <w:r w:rsidR="002E2E1E" w:rsidRPr="00803417">
        <w:rPr>
          <w:rFonts w:ascii="Palatino Linotype" w:eastAsia="Palatino Linotype" w:hAnsi="Palatino Linotype" w:cs="Palatino Linotype"/>
          <w:color w:val="000000"/>
        </w:rPr>
        <w:t xml:space="preserve"> </w:t>
      </w:r>
      <w:r w:rsidR="002E2E1E" w:rsidRPr="00803417">
        <w:rPr>
          <w:rFonts w:ascii="Palatino Linotype" w:eastAsia="Palatino Linotype" w:hAnsi="Palatino Linotype" w:cs="Palatino Linotype"/>
        </w:rPr>
        <w:t>capacitación</w:t>
      </w:r>
      <w:r w:rsidR="002E2E1E" w:rsidRPr="00803417">
        <w:rPr>
          <w:rFonts w:ascii="Palatino Linotype" w:eastAsia="Palatino Linotype" w:hAnsi="Palatino Linotype" w:cs="Palatino Linotype"/>
          <w:color w:val="000000"/>
        </w:rPr>
        <w:t>, o certificado, Costo de la capacitación, Ruta a la que pertenecían los operadores y Padrón de operadores capacitados con nombre, ruta, número de unidad y placas.</w:t>
      </w:r>
    </w:p>
    <w:p w:rsidR="006C2459" w:rsidRPr="00803417" w:rsidRDefault="006C2459" w:rsidP="006C2459">
      <w:pPr>
        <w:spacing w:line="360" w:lineRule="auto"/>
        <w:ind w:right="-876"/>
        <w:jc w:val="both"/>
        <w:rPr>
          <w:rFonts w:ascii="Palatino Linotype" w:eastAsia="Palatino Linotype" w:hAnsi="Palatino Linotype" w:cs="Palatino Linotype"/>
          <w:color w:val="000000"/>
        </w:rPr>
      </w:pPr>
    </w:p>
    <w:p w:rsidR="006C2459" w:rsidRPr="00803417" w:rsidRDefault="006C2459" w:rsidP="006C2459">
      <w:pPr>
        <w:numPr>
          <w:ilvl w:val="0"/>
          <w:numId w:val="11"/>
        </w:numPr>
        <w:spacing w:line="360" w:lineRule="auto"/>
        <w:ind w:left="0" w:right="-876" w:firstLine="0"/>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rPr>
        <w:t>De</w:t>
      </w:r>
      <w:r w:rsidRPr="00803417">
        <w:rPr>
          <w:rFonts w:ascii="Palatino Linotype" w:eastAsia="Cambria" w:hAnsi="Palatino Linotype"/>
          <w:color w:val="000000"/>
        </w:rPr>
        <w:t xml:space="preserve"> ser el caso que no se cuente con la información requerida por alguna o algunas unidades administrativas derivado de que no posean, las rutas</w:t>
      </w:r>
      <w:r w:rsidRPr="00803417">
        <w:rPr>
          <w:rFonts w:ascii="Palatino Linotype" w:eastAsia="Palatino Linotype" w:hAnsi="Palatino Linotype" w:cs="Palatino Linotype"/>
          <w:color w:val="000000"/>
        </w:rPr>
        <w:t xml:space="preserve"> a la que pertenecían los operadores y el padrón de operadores capacitados con nombre, ruta, número de unidad y placas</w:t>
      </w:r>
      <w:r w:rsidRPr="00803417">
        <w:rPr>
          <w:rFonts w:ascii="Palatino Linotype" w:hAnsi="Palatino Linotype"/>
          <w:color w:val="000000"/>
        </w:rPr>
        <w:t xml:space="preserve">, </w:t>
      </w:r>
      <w:r w:rsidRPr="00803417">
        <w:rPr>
          <w:rFonts w:ascii="Palatino Linotype" w:eastAsia="Cambria" w:hAnsi="Palatino Linotype"/>
          <w:color w:val="000000"/>
        </w:rPr>
        <w:t>el Sujeto Obligado deberá manifestar tal circunstancia en términos del Artículo 19 Segundo Párrafo de la Ley de Transparencia Acceso a la Información Pública del Estado de México y Municipios.</w:t>
      </w:r>
    </w:p>
    <w:p w:rsidR="004542D1" w:rsidRPr="00803417" w:rsidRDefault="004542D1">
      <w:pPr>
        <w:pBdr>
          <w:top w:val="nil"/>
          <w:left w:val="nil"/>
          <w:bottom w:val="nil"/>
          <w:right w:val="nil"/>
          <w:between w:val="nil"/>
        </w:pBdr>
        <w:rPr>
          <w:rFonts w:ascii="Palatino Linotype" w:eastAsia="Palatino Linotype" w:hAnsi="Palatino Linotype" w:cs="Palatino Linotype"/>
          <w:color w:val="000000"/>
        </w:rPr>
      </w:pPr>
    </w:p>
    <w:p w:rsidR="004542D1" w:rsidRPr="00803417" w:rsidRDefault="00E33CAA">
      <w:pPr>
        <w:keepNext/>
        <w:keepLines/>
        <w:spacing w:before="240"/>
        <w:rPr>
          <w:rFonts w:ascii="Palatino Linotype" w:eastAsia="Palatino Linotype" w:hAnsi="Palatino Linotype" w:cs="Palatino Linotype"/>
          <w:b/>
        </w:rPr>
      </w:pPr>
      <w:bookmarkStart w:id="11" w:name="_heading=h.17dp8vu" w:colFirst="0" w:colLast="0"/>
      <w:bookmarkEnd w:id="11"/>
      <w:r w:rsidRPr="00803417">
        <w:rPr>
          <w:rFonts w:ascii="Palatino Linotype" w:eastAsia="Palatino Linotype" w:hAnsi="Palatino Linotype" w:cs="Palatino Linotype"/>
          <w:b/>
        </w:rPr>
        <w:lastRenderedPageBreak/>
        <w:t>QUINTO. De la versión pública.</w:t>
      </w:r>
    </w:p>
    <w:p w:rsidR="004542D1" w:rsidRPr="00803417" w:rsidRDefault="004542D1">
      <w:pPr>
        <w:rPr>
          <w:rFonts w:ascii="Palatino Linotype" w:eastAsia="Palatino Linotype" w:hAnsi="Palatino Linotype" w:cs="Palatino Linotype"/>
          <w:sz w:val="16"/>
          <w:szCs w:val="16"/>
        </w:rPr>
      </w:pPr>
    </w:p>
    <w:p w:rsidR="004542D1" w:rsidRPr="00803417" w:rsidRDefault="00E33CAA">
      <w:pPr>
        <w:keepNext/>
        <w:keepLines/>
        <w:numPr>
          <w:ilvl w:val="0"/>
          <w:numId w:val="9"/>
        </w:numPr>
        <w:tabs>
          <w:tab w:val="left" w:pos="284"/>
        </w:tabs>
        <w:spacing w:line="360" w:lineRule="auto"/>
        <w:ind w:left="0" w:firstLine="0"/>
        <w:rPr>
          <w:rFonts w:ascii="Palatino Linotype" w:eastAsia="Palatino Linotype" w:hAnsi="Palatino Linotype" w:cs="Palatino Linotype"/>
          <w:b/>
        </w:rPr>
      </w:pPr>
      <w:bookmarkStart w:id="12" w:name="_heading=h.3rdcrjn" w:colFirst="0" w:colLast="0"/>
      <w:bookmarkEnd w:id="12"/>
      <w:r w:rsidRPr="00803417">
        <w:rPr>
          <w:rFonts w:ascii="Palatino Linotype" w:eastAsia="Palatino Linotype" w:hAnsi="Palatino Linotype" w:cs="Palatino Linotype"/>
          <w:b/>
        </w:rPr>
        <w:t xml:space="preserve">Nociones generales. </w:t>
      </w:r>
    </w:p>
    <w:p w:rsidR="004542D1" w:rsidRPr="00803417" w:rsidRDefault="004542D1">
      <w:pPr>
        <w:rPr>
          <w:rFonts w:ascii="Palatino Linotype" w:eastAsia="Palatino Linotype" w:hAnsi="Palatino Linotype" w:cs="Palatino Linotype"/>
          <w:sz w:val="20"/>
          <w:szCs w:val="20"/>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Debe destacarse que, debido a la naturaleza de la información solicitada</w:t>
      </w:r>
      <w:r w:rsidRPr="00803417">
        <w:rPr>
          <w:rFonts w:ascii="Palatino Linotype" w:eastAsia="Palatino Linotype" w:hAnsi="Palatino Linotype" w:cs="Palatino Linotype"/>
          <w:b/>
          <w:color w:val="000000"/>
        </w:rPr>
        <w:t xml:space="preserve">, </w:t>
      </w:r>
      <w:r w:rsidRPr="00803417">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803417">
        <w:rPr>
          <w:rFonts w:ascii="Palatino Linotype" w:eastAsia="Palatino Linotype" w:hAnsi="Palatino Linotype" w:cs="Palatino Linotype"/>
          <w:b/>
          <w:color w:val="000000"/>
        </w:rPr>
        <w:t xml:space="preserve">Sujeto Obligado </w:t>
      </w:r>
      <w:r w:rsidRPr="00803417">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4542D1" w:rsidRPr="00803417" w:rsidRDefault="004542D1">
      <w:pPr>
        <w:tabs>
          <w:tab w:val="left" w:pos="0"/>
          <w:tab w:val="left" w:pos="284"/>
        </w:tabs>
        <w:spacing w:line="360" w:lineRule="auto"/>
        <w:ind w:right="49"/>
        <w:jc w:val="both"/>
        <w:rPr>
          <w:rFonts w:ascii="Palatino Linotype" w:eastAsia="Palatino Linotype" w:hAnsi="Palatino Linotype" w:cs="Palatino Linotype"/>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 xml:space="preserve">No pasa desapercibido para este Órgano Garante que los </w:t>
      </w:r>
      <w:r w:rsidRPr="00803417">
        <w:rPr>
          <w:rFonts w:ascii="Palatino Linotype" w:eastAsia="Palatino Linotype" w:hAnsi="Palatino Linotype" w:cs="Palatino Linotype"/>
          <w:b/>
          <w:color w:val="000000"/>
        </w:rPr>
        <w:t xml:space="preserve">Sujetos Obligados </w:t>
      </w:r>
      <w:r w:rsidRPr="00803417">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4542D1" w:rsidRPr="00803417" w:rsidRDefault="004542D1">
      <w:pPr>
        <w:tabs>
          <w:tab w:val="left" w:pos="284"/>
        </w:tabs>
        <w:spacing w:line="360" w:lineRule="auto"/>
        <w:ind w:right="49"/>
        <w:jc w:val="both"/>
        <w:rPr>
          <w:rFonts w:ascii="Palatino Linotype" w:eastAsia="Palatino Linotype" w:hAnsi="Palatino Linotype" w:cs="Palatino Linotype"/>
          <w:color w:val="000000"/>
          <w:sz w:val="20"/>
          <w:szCs w:val="20"/>
        </w:rPr>
      </w:pPr>
    </w:p>
    <w:tbl>
      <w:tblPr>
        <w:tblStyle w:val="af3"/>
        <w:tblW w:w="8505"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667"/>
      </w:tblGrid>
      <w:tr w:rsidR="004542D1" w:rsidRPr="00803417" w:rsidTr="00454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542D1" w:rsidRPr="00803417" w:rsidRDefault="00E33CAA">
            <w:pPr>
              <w:tabs>
                <w:tab w:val="left" w:pos="284"/>
              </w:tabs>
              <w:spacing w:line="360" w:lineRule="auto"/>
              <w:rPr>
                <w:rFonts w:ascii="Palatino Linotype" w:eastAsia="Palatino Linotype" w:hAnsi="Palatino Linotype" w:cs="Palatino Linotype"/>
                <w:sz w:val="20"/>
                <w:szCs w:val="20"/>
              </w:rPr>
            </w:pPr>
            <w:r w:rsidRPr="00803417">
              <w:rPr>
                <w:rFonts w:ascii="Palatino Linotype" w:eastAsia="Palatino Linotype" w:hAnsi="Palatino Linotype" w:cs="Palatino Linotype"/>
                <w:sz w:val="20"/>
                <w:szCs w:val="20"/>
              </w:rPr>
              <w:t>a) Requisitos previos.</w:t>
            </w:r>
          </w:p>
        </w:tc>
        <w:tc>
          <w:tcPr>
            <w:tcW w:w="6667" w:type="dxa"/>
          </w:tcPr>
          <w:p w:rsidR="004542D1" w:rsidRPr="00803417" w:rsidRDefault="00E33CAA">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803417">
              <w:rPr>
                <w:rFonts w:ascii="Palatino Linotype" w:eastAsia="Palatino Linotype" w:hAnsi="Palatino Linotype" w:cs="Palatino Linotype"/>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4542D1" w:rsidRPr="00803417" w:rsidRDefault="00E33CAA">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803417">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rsidR="004542D1" w:rsidRPr="00803417" w:rsidRDefault="00E33CAA">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803417">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rsidR="004542D1" w:rsidRPr="00803417" w:rsidRDefault="00E33CAA">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803417">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sidRPr="00803417">
              <w:rPr>
                <w:rFonts w:ascii="Palatino Linotype" w:eastAsia="Palatino Linotype" w:hAnsi="Palatino Linotype" w:cs="Palatino Linotype"/>
                <w:sz w:val="20"/>
                <w:szCs w:val="20"/>
                <w:u w:val="single"/>
              </w:rPr>
              <w:t xml:space="preserve">no se puede hacer un acuerdo para clasificar de manera general todos los </w:t>
            </w:r>
            <w:r w:rsidRPr="00803417">
              <w:rPr>
                <w:rFonts w:ascii="Palatino Linotype" w:eastAsia="Palatino Linotype" w:hAnsi="Palatino Linotype" w:cs="Palatino Linotype"/>
                <w:sz w:val="20"/>
                <w:szCs w:val="20"/>
                <w:u w:val="single"/>
              </w:rPr>
              <w:lastRenderedPageBreak/>
              <w:t>documentos de un expediente o área, sin</w:t>
            </w:r>
            <w:r w:rsidRPr="00803417">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4542D1" w:rsidRPr="00803417" w:rsidTr="00454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542D1" w:rsidRPr="00803417" w:rsidRDefault="00E33CAA">
            <w:pPr>
              <w:tabs>
                <w:tab w:val="left" w:pos="284"/>
              </w:tabs>
              <w:spacing w:line="360" w:lineRule="auto"/>
              <w:rPr>
                <w:rFonts w:ascii="Palatino Linotype" w:eastAsia="Palatino Linotype" w:hAnsi="Palatino Linotype" w:cs="Palatino Linotype"/>
                <w:sz w:val="20"/>
                <w:szCs w:val="20"/>
              </w:rPr>
            </w:pPr>
            <w:r w:rsidRPr="00803417">
              <w:rPr>
                <w:rFonts w:ascii="Palatino Linotype" w:eastAsia="Palatino Linotype" w:hAnsi="Palatino Linotype" w:cs="Palatino Linotype"/>
                <w:sz w:val="20"/>
                <w:szCs w:val="20"/>
              </w:rPr>
              <w:lastRenderedPageBreak/>
              <w:t>b) Supuestos de clasificación.</w:t>
            </w:r>
          </w:p>
        </w:tc>
        <w:tc>
          <w:tcPr>
            <w:tcW w:w="6667" w:type="dxa"/>
          </w:tcPr>
          <w:p w:rsidR="004542D1" w:rsidRPr="00803417" w:rsidRDefault="00E33CA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803417">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rsidR="004542D1" w:rsidRPr="00803417" w:rsidRDefault="00E33CA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803417">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4542D1" w:rsidRPr="00803417" w:rsidRDefault="00E33CAA">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803417">
              <w:rPr>
                <w:rFonts w:ascii="Palatino Linotype" w:eastAsia="Palatino Linotype" w:hAnsi="Palatino Linotype" w:cs="Palatino Linotype"/>
                <w:sz w:val="20"/>
                <w:szCs w:val="20"/>
              </w:rPr>
              <w:t xml:space="preserve">El </w:t>
            </w:r>
            <w:r w:rsidRPr="00803417">
              <w:rPr>
                <w:rFonts w:ascii="Palatino Linotype" w:eastAsia="Palatino Linotype" w:hAnsi="Palatino Linotype" w:cs="Palatino Linotype"/>
                <w:b/>
                <w:sz w:val="20"/>
                <w:szCs w:val="20"/>
              </w:rPr>
              <w:t>Sujeto Obligado</w:t>
            </w:r>
            <w:r w:rsidRPr="00803417">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542D1" w:rsidRPr="00803417" w:rsidTr="004542D1">
        <w:tc>
          <w:tcPr>
            <w:cnfStyle w:val="001000000000" w:firstRow="0" w:lastRow="0" w:firstColumn="1" w:lastColumn="0" w:oddVBand="0" w:evenVBand="0" w:oddHBand="0" w:evenHBand="0" w:firstRowFirstColumn="0" w:firstRowLastColumn="0" w:lastRowFirstColumn="0" w:lastRowLastColumn="0"/>
            <w:tcW w:w="1838" w:type="dxa"/>
          </w:tcPr>
          <w:p w:rsidR="004542D1" w:rsidRPr="00803417" w:rsidRDefault="00E33CAA">
            <w:pPr>
              <w:tabs>
                <w:tab w:val="left" w:pos="284"/>
              </w:tabs>
              <w:spacing w:line="360" w:lineRule="auto"/>
              <w:rPr>
                <w:rFonts w:ascii="Palatino Linotype" w:eastAsia="Palatino Linotype" w:hAnsi="Palatino Linotype" w:cs="Palatino Linotype"/>
                <w:sz w:val="20"/>
                <w:szCs w:val="20"/>
              </w:rPr>
            </w:pPr>
            <w:r w:rsidRPr="00803417">
              <w:rPr>
                <w:rFonts w:ascii="Palatino Linotype" w:eastAsia="Palatino Linotype" w:hAnsi="Palatino Linotype" w:cs="Palatino Linotype"/>
                <w:sz w:val="20"/>
                <w:szCs w:val="20"/>
              </w:rPr>
              <w:t>c) Formalidades para emitir el acuerdo de clasificación.</w:t>
            </w:r>
          </w:p>
        </w:tc>
        <w:tc>
          <w:tcPr>
            <w:tcW w:w="6667" w:type="dxa"/>
          </w:tcPr>
          <w:p w:rsidR="004542D1" w:rsidRPr="00803417" w:rsidRDefault="00E33CAA">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803417">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rsidR="004542D1" w:rsidRPr="00803417" w:rsidRDefault="00E33CAA">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803417">
              <w:rPr>
                <w:rFonts w:ascii="Palatino Linotype" w:eastAsia="Palatino Linotype" w:hAnsi="Palatino Linotype" w:cs="Palatino Linotype"/>
                <w:sz w:val="20"/>
                <w:szCs w:val="20"/>
              </w:rPr>
              <w:t xml:space="preserve">Es necesario que </w:t>
            </w:r>
            <w:r w:rsidRPr="00803417">
              <w:rPr>
                <w:rFonts w:ascii="Palatino Linotype" w:eastAsia="Palatino Linotype" w:hAnsi="Palatino Linotype" w:cs="Palatino Linotype"/>
                <w:b/>
                <w:sz w:val="20"/>
                <w:szCs w:val="20"/>
                <w:u w:val="single"/>
              </w:rPr>
              <w:t>el acto reúna con los requisitos elementales</w:t>
            </w:r>
            <w:r w:rsidRPr="00803417">
              <w:rPr>
                <w:rFonts w:ascii="Palatino Linotype" w:eastAsia="Palatino Linotype" w:hAnsi="Palatino Linotype" w:cs="Palatino Linotype"/>
                <w:sz w:val="20"/>
                <w:szCs w:val="20"/>
              </w:rPr>
              <w:t>, entre ellos, que la autoridad que va a emitir el acto de autoridad sea la legalmente facultada para ello.</w:t>
            </w:r>
          </w:p>
          <w:p w:rsidR="004542D1" w:rsidRPr="00803417" w:rsidRDefault="00E33CA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803417">
              <w:rPr>
                <w:rFonts w:ascii="Palatino Linotype" w:eastAsia="Palatino Linotype" w:hAnsi="Palatino Linotype" w:cs="Palatino Linotype"/>
                <w:sz w:val="20"/>
                <w:szCs w:val="20"/>
              </w:rPr>
              <w:t xml:space="preserve">La decisión de aprobar, modificar o revocar la clasificación deberá de asentarse en un documento que registre la determinación a la que se </w:t>
            </w:r>
            <w:r w:rsidRPr="00803417">
              <w:rPr>
                <w:rFonts w:ascii="Palatino Linotype" w:eastAsia="Palatino Linotype" w:hAnsi="Palatino Linotype" w:cs="Palatino Linotype"/>
                <w:sz w:val="20"/>
                <w:szCs w:val="20"/>
              </w:rPr>
              <w:lastRenderedPageBreak/>
              <w:t>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542D1" w:rsidRPr="00803417" w:rsidTr="00454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542D1" w:rsidRPr="00803417" w:rsidRDefault="004542D1">
            <w:pPr>
              <w:tabs>
                <w:tab w:val="left" w:pos="284"/>
              </w:tabs>
              <w:spacing w:line="360" w:lineRule="auto"/>
              <w:rPr>
                <w:rFonts w:ascii="Palatino Linotype" w:eastAsia="Palatino Linotype" w:hAnsi="Palatino Linotype" w:cs="Palatino Linotype"/>
                <w:sz w:val="20"/>
                <w:szCs w:val="20"/>
              </w:rPr>
            </w:pPr>
          </w:p>
          <w:p w:rsidR="004542D1" w:rsidRPr="00803417" w:rsidRDefault="00E33CAA">
            <w:pPr>
              <w:tabs>
                <w:tab w:val="left" w:pos="284"/>
              </w:tabs>
              <w:spacing w:line="360" w:lineRule="auto"/>
              <w:jc w:val="both"/>
              <w:rPr>
                <w:rFonts w:ascii="Palatino Linotype" w:eastAsia="Palatino Linotype" w:hAnsi="Palatino Linotype" w:cs="Palatino Linotype"/>
                <w:sz w:val="20"/>
                <w:szCs w:val="20"/>
              </w:rPr>
            </w:pPr>
            <w:r w:rsidRPr="00803417">
              <w:rPr>
                <w:rFonts w:ascii="Palatino Linotype" w:eastAsia="Palatino Linotype" w:hAnsi="Palatino Linotype" w:cs="Palatino Linotype"/>
                <w:sz w:val="20"/>
                <w:szCs w:val="20"/>
              </w:rPr>
              <w:t xml:space="preserve">d) Requisitos de fondo del acuerdo de clasificación. </w:t>
            </w:r>
          </w:p>
        </w:tc>
        <w:tc>
          <w:tcPr>
            <w:tcW w:w="6667" w:type="dxa"/>
          </w:tcPr>
          <w:p w:rsidR="004542D1" w:rsidRPr="00803417" w:rsidRDefault="00E33CA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803417">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03417">
              <w:rPr>
                <w:rFonts w:ascii="Palatino Linotype" w:eastAsia="Palatino Linotype" w:hAnsi="Palatino Linotype" w:cs="Palatino Linotype"/>
                <w:b/>
                <w:sz w:val="20"/>
                <w:szCs w:val="20"/>
              </w:rPr>
              <w:t>Sujetos Obligados</w:t>
            </w:r>
            <w:r w:rsidRPr="00803417">
              <w:rPr>
                <w:rFonts w:ascii="Palatino Linotype" w:eastAsia="Palatino Linotype" w:hAnsi="Palatino Linotype" w:cs="Palatino Linotype"/>
                <w:sz w:val="20"/>
                <w:szCs w:val="20"/>
              </w:rPr>
              <w:t xml:space="preserve">, por lo que deberán fundar y motivar debidamente la clasificación. </w:t>
            </w:r>
          </w:p>
          <w:p w:rsidR="004542D1" w:rsidRPr="00803417" w:rsidRDefault="00E33CA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803417">
              <w:rPr>
                <w:rFonts w:ascii="Palatino Linotype" w:eastAsia="Palatino Linotype" w:hAnsi="Palatino Linotype" w:cs="Palatino Linotype"/>
                <w:sz w:val="20"/>
                <w:szCs w:val="20"/>
              </w:rPr>
              <w:t xml:space="preserve">De lo anterior, se desprende que para una correcta </w:t>
            </w:r>
            <w:r w:rsidRPr="00803417">
              <w:rPr>
                <w:rFonts w:ascii="Palatino Linotype" w:eastAsia="Palatino Linotype" w:hAnsi="Palatino Linotype" w:cs="Palatino Linotype"/>
                <w:b/>
                <w:sz w:val="20"/>
                <w:szCs w:val="20"/>
              </w:rPr>
              <w:t>clasificación total o parcial</w:t>
            </w:r>
            <w:r w:rsidRPr="00803417">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4542D1" w:rsidRPr="00803417" w:rsidRDefault="00E33CA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803417">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4542D1" w:rsidRPr="00803417" w:rsidRDefault="00E33CA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803417">
              <w:rPr>
                <w:rFonts w:ascii="Palatino Linotype" w:eastAsia="Palatino Linotype" w:hAnsi="Palatino Linotype" w:cs="Palatino Linotype"/>
                <w:sz w:val="20"/>
                <w:szCs w:val="20"/>
              </w:rPr>
              <w:lastRenderedPageBreak/>
              <w:t>En ese mismo sentido, el numeral trigésimo tercero fracción V de los Lineamientos Generales, precisa que para motivar la clasificación se deben acreditar las circunstancias de tiempo, modo y lugar.</w:t>
            </w:r>
          </w:p>
          <w:p w:rsidR="004542D1" w:rsidRPr="00803417" w:rsidRDefault="00E33CA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803417">
              <w:rPr>
                <w:rFonts w:ascii="Palatino Linotype" w:eastAsia="Palatino Linotype" w:hAnsi="Palatino Linotype" w:cs="Palatino Linotype"/>
                <w:sz w:val="20"/>
                <w:szCs w:val="20"/>
              </w:rPr>
              <w:t xml:space="preserve">Ahora bien, </w:t>
            </w:r>
            <w:r w:rsidRPr="00803417">
              <w:rPr>
                <w:rFonts w:ascii="Palatino Linotype" w:eastAsia="Palatino Linotype" w:hAnsi="Palatino Linotype" w:cs="Palatino Linotype"/>
                <w:b/>
                <w:sz w:val="20"/>
                <w:szCs w:val="20"/>
                <w:u w:val="single"/>
              </w:rPr>
              <w:t>para cada caso además de fundar y motivar</w:t>
            </w:r>
            <w:r w:rsidRPr="00803417">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542D1" w:rsidRPr="00803417" w:rsidTr="004542D1">
        <w:tc>
          <w:tcPr>
            <w:cnfStyle w:val="001000000000" w:firstRow="0" w:lastRow="0" w:firstColumn="1" w:lastColumn="0" w:oddVBand="0" w:evenVBand="0" w:oddHBand="0" w:evenHBand="0" w:firstRowFirstColumn="0" w:firstRowLastColumn="0" w:lastRowFirstColumn="0" w:lastRowLastColumn="0"/>
            <w:tcW w:w="1838" w:type="dxa"/>
          </w:tcPr>
          <w:p w:rsidR="004542D1" w:rsidRPr="00803417" w:rsidRDefault="00E33CAA">
            <w:pPr>
              <w:tabs>
                <w:tab w:val="left" w:pos="284"/>
              </w:tabs>
              <w:spacing w:line="360" w:lineRule="auto"/>
              <w:ind w:right="49"/>
              <w:jc w:val="both"/>
              <w:rPr>
                <w:rFonts w:ascii="Palatino Linotype" w:eastAsia="Palatino Linotype" w:hAnsi="Palatino Linotype" w:cs="Palatino Linotype"/>
                <w:sz w:val="20"/>
                <w:szCs w:val="20"/>
              </w:rPr>
            </w:pPr>
            <w:r w:rsidRPr="00803417">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667" w:type="dxa"/>
          </w:tcPr>
          <w:p w:rsidR="004542D1" w:rsidRPr="00803417" w:rsidRDefault="00E33CAA">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803417">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podrán proporcionar, incluso sin solicitar el consentimiento de su titular. </w:t>
            </w:r>
          </w:p>
          <w:p w:rsidR="004542D1" w:rsidRPr="00803417" w:rsidRDefault="00E33CAA">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803417">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4542D1" w:rsidRPr="00803417" w:rsidRDefault="00E33CAA">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803417">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4542D1" w:rsidRPr="00803417" w:rsidRDefault="004542D1">
      <w:pPr>
        <w:tabs>
          <w:tab w:val="left" w:pos="284"/>
        </w:tabs>
        <w:spacing w:line="360" w:lineRule="auto"/>
        <w:jc w:val="both"/>
        <w:rPr>
          <w:rFonts w:ascii="Palatino Linotype" w:eastAsia="Palatino Linotype" w:hAnsi="Palatino Linotype" w:cs="Palatino Linotype"/>
          <w:color w:val="000000"/>
          <w:sz w:val="22"/>
          <w:szCs w:val="22"/>
        </w:rPr>
      </w:pPr>
    </w:p>
    <w:p w:rsidR="006C2459" w:rsidRPr="00803417" w:rsidRDefault="006C2459" w:rsidP="006C2459">
      <w:pPr>
        <w:numPr>
          <w:ilvl w:val="0"/>
          <w:numId w:val="11"/>
        </w:numPr>
        <w:spacing w:line="360" w:lineRule="auto"/>
        <w:ind w:left="0" w:right="-876" w:firstLine="0"/>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sz w:val="22"/>
          <w:szCs w:val="22"/>
        </w:rPr>
        <w:t xml:space="preserve"> </w:t>
      </w:r>
      <w:r w:rsidRPr="00803417">
        <w:rPr>
          <w:rFonts w:ascii="Palatino Linotype" w:eastAsia="Palatino Linotype" w:hAnsi="Palatino Linotype" w:cs="Palatino Linotype"/>
        </w:rPr>
        <w:t>Nombres</w:t>
      </w:r>
      <w:r w:rsidRPr="00803417">
        <w:rPr>
          <w:rFonts w:ascii="Palatino Linotype" w:eastAsia="Palatino Linotype" w:hAnsi="Palatino Linotype" w:cs="Palatino Linotype"/>
          <w:color w:val="000000"/>
        </w:rPr>
        <w:t xml:space="preserve"> de particulares, dato que es considerado como confidencial, ya que el nombre se integra con el sustantivo propio y el primer apellido de los padres, en el orden que, de común acuerdo determinen; asimismo es la manifestación principal del derecho subjetivo a la </w:t>
      </w:r>
      <w:r w:rsidRPr="00803417">
        <w:rPr>
          <w:rFonts w:ascii="Palatino Linotype" w:eastAsia="Palatino Linotype" w:hAnsi="Palatino Linotype" w:cs="Palatino Linotype"/>
          <w:color w:val="000000"/>
        </w:rPr>
        <w:lastRenderedPageBreak/>
        <w:t>personalidad y atributo de esta en términos del artículo 2.3 del Código Civil del Estado de México, de tal suerte, el nombre per se es un elemento que hace a una persona física identificada o identificable, por lo que, se considera un dato personal.</w:t>
      </w:r>
    </w:p>
    <w:p w:rsidR="006C2459" w:rsidRPr="00803417" w:rsidRDefault="006C2459" w:rsidP="006C2459">
      <w:pPr>
        <w:spacing w:line="360" w:lineRule="auto"/>
        <w:ind w:right="-876"/>
        <w:jc w:val="both"/>
        <w:rPr>
          <w:rFonts w:ascii="Palatino Linotype" w:eastAsia="Palatino Linotype" w:hAnsi="Palatino Linotype" w:cs="Palatino Linotype"/>
          <w:color w:val="000000"/>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4542D1" w:rsidRPr="00803417" w:rsidRDefault="004542D1">
      <w:pPr>
        <w:spacing w:line="360" w:lineRule="auto"/>
        <w:ind w:right="-876"/>
        <w:jc w:val="both"/>
        <w:rPr>
          <w:rFonts w:ascii="Palatino Linotype" w:eastAsia="Palatino Linotype" w:hAnsi="Palatino Linotype" w:cs="Palatino Linotype"/>
          <w:b/>
          <w:color w:val="000000"/>
        </w:rPr>
      </w:pPr>
    </w:p>
    <w:p w:rsidR="004542D1" w:rsidRPr="00803417" w:rsidRDefault="00E33CAA">
      <w:pPr>
        <w:numPr>
          <w:ilvl w:val="0"/>
          <w:numId w:val="11"/>
        </w:numPr>
        <w:spacing w:line="360" w:lineRule="auto"/>
        <w:ind w:left="0" w:right="-876" w:firstLine="0"/>
        <w:jc w:val="both"/>
        <w:rPr>
          <w:rFonts w:ascii="Palatino Linotype" w:eastAsia="Palatino Linotype" w:hAnsi="Palatino Linotype" w:cs="Palatino Linotype"/>
        </w:rPr>
      </w:pPr>
      <w:r w:rsidRPr="00803417">
        <w:rPr>
          <w:rFonts w:ascii="Palatino Linotype" w:eastAsia="Palatino Linotype" w:hAnsi="Palatino Linotype" w:cs="Palatino Linotype"/>
          <w:b/>
        </w:rPr>
        <w:t xml:space="preserve"> </w:t>
      </w:r>
      <w:r w:rsidRPr="00803417">
        <w:rPr>
          <w:rFonts w:ascii="Palatino Linotype" w:eastAsia="Palatino Linotype" w:hAnsi="Palatino Linotype" w:cs="Palatino Linotype"/>
        </w:rPr>
        <w:t xml:space="preserve">Por lo anteriormente expuesto y fundado, este </w:t>
      </w:r>
      <w:r w:rsidRPr="00803417">
        <w:rPr>
          <w:rFonts w:ascii="Palatino Linotype" w:eastAsia="Palatino Linotype" w:hAnsi="Palatino Linotype" w:cs="Palatino Linotype"/>
          <w:b/>
        </w:rPr>
        <w:t>ÓRGANO GARANTE</w:t>
      </w:r>
      <w:r w:rsidRPr="00803417">
        <w:rPr>
          <w:rFonts w:ascii="Palatino Linotype" w:eastAsia="Palatino Linotype" w:hAnsi="Palatino Linotype" w:cs="Palatino Linotype"/>
        </w:rPr>
        <w:t xml:space="preserve"> emite los siguientes:------------------------------------------------------------------------------------------------------------</w:t>
      </w:r>
    </w:p>
    <w:p w:rsidR="004542D1" w:rsidRPr="00803417" w:rsidRDefault="004542D1">
      <w:pPr>
        <w:pBdr>
          <w:top w:val="nil"/>
          <w:left w:val="nil"/>
          <w:bottom w:val="nil"/>
          <w:right w:val="nil"/>
          <w:between w:val="nil"/>
        </w:pBdr>
        <w:tabs>
          <w:tab w:val="left" w:pos="284"/>
        </w:tabs>
        <w:spacing w:line="360" w:lineRule="auto"/>
        <w:ind w:right="-876"/>
        <w:jc w:val="both"/>
        <w:rPr>
          <w:rFonts w:ascii="Palatino Linotype" w:eastAsia="Palatino Linotype" w:hAnsi="Palatino Linotype" w:cs="Palatino Linotype"/>
          <w:color w:val="000000"/>
        </w:rPr>
      </w:pPr>
    </w:p>
    <w:p w:rsidR="004542D1" w:rsidRPr="00803417" w:rsidRDefault="00E33CAA">
      <w:pPr>
        <w:spacing w:line="360" w:lineRule="auto"/>
        <w:ind w:right="-876"/>
        <w:jc w:val="center"/>
        <w:rPr>
          <w:rFonts w:ascii="Palatino Linotype" w:eastAsia="Palatino Linotype" w:hAnsi="Palatino Linotype" w:cs="Palatino Linotype"/>
          <w:b/>
        </w:rPr>
      </w:pPr>
      <w:r w:rsidRPr="00803417">
        <w:rPr>
          <w:rFonts w:ascii="Palatino Linotype" w:eastAsia="Palatino Linotype" w:hAnsi="Palatino Linotype" w:cs="Palatino Linotype"/>
          <w:b/>
        </w:rPr>
        <w:t>R E S O L U T I V O S</w:t>
      </w:r>
    </w:p>
    <w:p w:rsidR="004542D1" w:rsidRPr="00803417" w:rsidRDefault="004542D1">
      <w:pPr>
        <w:spacing w:line="360" w:lineRule="auto"/>
        <w:ind w:right="-876"/>
        <w:jc w:val="center"/>
        <w:rPr>
          <w:rFonts w:ascii="Palatino Linotype" w:eastAsia="Palatino Linotype" w:hAnsi="Palatino Linotype" w:cs="Palatino Linotype"/>
          <w:b/>
        </w:rPr>
      </w:pPr>
    </w:p>
    <w:p w:rsidR="004542D1" w:rsidRPr="00803417" w:rsidRDefault="004542D1">
      <w:pPr>
        <w:spacing w:line="360" w:lineRule="auto"/>
        <w:ind w:right="-876"/>
        <w:rPr>
          <w:rFonts w:ascii="Palatino Linotype" w:eastAsia="Palatino Linotype" w:hAnsi="Palatino Linotype" w:cs="Palatino Linotype"/>
          <w:b/>
        </w:rPr>
      </w:pPr>
    </w:p>
    <w:p w:rsidR="004542D1" w:rsidRPr="00803417" w:rsidRDefault="00E33CAA">
      <w:pPr>
        <w:tabs>
          <w:tab w:val="left" w:pos="284"/>
        </w:tabs>
        <w:spacing w:line="360" w:lineRule="auto"/>
        <w:jc w:val="both"/>
        <w:rPr>
          <w:rFonts w:ascii="Palatino Linotype" w:eastAsia="Palatino Linotype" w:hAnsi="Palatino Linotype" w:cs="Palatino Linotype"/>
        </w:rPr>
      </w:pPr>
      <w:r w:rsidRPr="00803417">
        <w:rPr>
          <w:rFonts w:ascii="Palatino Linotype" w:eastAsia="Palatino Linotype" w:hAnsi="Palatino Linotype" w:cs="Palatino Linotype"/>
          <w:b/>
        </w:rPr>
        <w:t xml:space="preserve">PRIMERO. </w:t>
      </w:r>
      <w:r w:rsidRPr="00803417">
        <w:rPr>
          <w:rFonts w:ascii="Palatino Linotype" w:eastAsia="Palatino Linotype" w:hAnsi="Palatino Linotype" w:cs="Palatino Linotype"/>
        </w:rPr>
        <w:t>Resultan fundadas las</w:t>
      </w:r>
      <w:r w:rsidRPr="00803417">
        <w:rPr>
          <w:rFonts w:ascii="Palatino Linotype" w:eastAsia="Palatino Linotype" w:hAnsi="Palatino Linotype" w:cs="Palatino Linotype"/>
          <w:b/>
        </w:rPr>
        <w:t xml:space="preserve"> </w:t>
      </w:r>
      <w:r w:rsidRPr="00803417">
        <w:rPr>
          <w:rFonts w:ascii="Palatino Linotype" w:eastAsia="Palatino Linotype" w:hAnsi="Palatino Linotype" w:cs="Palatino Linotype"/>
        </w:rPr>
        <w:t xml:space="preserve">razones o motivos de inconformidad hechos valer en los recursos de revisión </w:t>
      </w:r>
      <w:r w:rsidR="00B15BCA" w:rsidRPr="00803417">
        <w:rPr>
          <w:rFonts w:ascii="Palatino Linotype" w:eastAsia="Palatino Linotype" w:hAnsi="Palatino Linotype" w:cs="Palatino Linotype"/>
          <w:b/>
        </w:rPr>
        <w:t>04898/INFOEM/IP/RR/2024 y 4899/INFOEM/IP/RR/2024,</w:t>
      </w:r>
      <w:r w:rsidRPr="00803417">
        <w:rPr>
          <w:rFonts w:ascii="Palatino Linotype" w:eastAsia="Palatino Linotype" w:hAnsi="Palatino Linotype" w:cs="Palatino Linotype"/>
          <w:b/>
        </w:rPr>
        <w:t xml:space="preserve"> </w:t>
      </w:r>
      <w:r w:rsidRPr="00803417">
        <w:rPr>
          <w:rFonts w:ascii="Palatino Linotype" w:eastAsia="Palatino Linotype" w:hAnsi="Palatino Linotype" w:cs="Palatino Linotype"/>
        </w:rPr>
        <w:t xml:space="preserve">en términos de los </w:t>
      </w:r>
      <w:r w:rsidRPr="00803417">
        <w:rPr>
          <w:rFonts w:ascii="Palatino Linotype" w:eastAsia="Palatino Linotype" w:hAnsi="Palatino Linotype" w:cs="Palatino Linotype"/>
          <w:b/>
        </w:rPr>
        <w:t xml:space="preserve">Considerando CUARTO y QUINTO </w:t>
      </w:r>
      <w:r w:rsidRPr="00803417">
        <w:rPr>
          <w:rFonts w:ascii="Palatino Linotype" w:eastAsia="Palatino Linotype" w:hAnsi="Palatino Linotype" w:cs="Palatino Linotype"/>
        </w:rPr>
        <w:t>de la presente resolución.</w:t>
      </w:r>
    </w:p>
    <w:p w:rsidR="004542D1" w:rsidRPr="00803417" w:rsidRDefault="004542D1">
      <w:pPr>
        <w:tabs>
          <w:tab w:val="left" w:pos="284"/>
        </w:tabs>
        <w:spacing w:line="360" w:lineRule="auto"/>
        <w:jc w:val="both"/>
        <w:rPr>
          <w:rFonts w:ascii="Palatino Linotype" w:eastAsia="Palatino Linotype" w:hAnsi="Palatino Linotype" w:cs="Palatino Linotype"/>
        </w:rPr>
      </w:pPr>
    </w:p>
    <w:p w:rsidR="004542D1" w:rsidRPr="00803417" w:rsidRDefault="00E33CAA">
      <w:pPr>
        <w:tabs>
          <w:tab w:val="left" w:pos="284"/>
        </w:tabs>
        <w:spacing w:line="360" w:lineRule="auto"/>
        <w:jc w:val="both"/>
        <w:rPr>
          <w:rFonts w:ascii="Palatino Linotype" w:eastAsia="Palatino Linotype" w:hAnsi="Palatino Linotype" w:cs="Palatino Linotype"/>
        </w:rPr>
      </w:pPr>
      <w:r w:rsidRPr="00803417">
        <w:rPr>
          <w:rFonts w:ascii="Palatino Linotype" w:eastAsia="Palatino Linotype" w:hAnsi="Palatino Linotype" w:cs="Palatino Linotype"/>
          <w:b/>
        </w:rPr>
        <w:t xml:space="preserve">SEGUNDO. </w:t>
      </w:r>
      <w:r w:rsidRPr="00803417">
        <w:rPr>
          <w:rFonts w:ascii="Palatino Linotype" w:eastAsia="Palatino Linotype" w:hAnsi="Palatino Linotype" w:cs="Palatino Linotype"/>
        </w:rPr>
        <w:t xml:space="preserve">Se </w:t>
      </w:r>
      <w:r w:rsidRPr="00803417">
        <w:rPr>
          <w:rFonts w:ascii="Palatino Linotype" w:eastAsia="Palatino Linotype" w:hAnsi="Palatino Linotype" w:cs="Palatino Linotype"/>
          <w:b/>
        </w:rPr>
        <w:t>MODIFICAN</w:t>
      </w:r>
      <w:r w:rsidRPr="00803417">
        <w:rPr>
          <w:rFonts w:ascii="Palatino Linotype" w:eastAsia="Palatino Linotype" w:hAnsi="Palatino Linotype" w:cs="Palatino Linotype"/>
        </w:rPr>
        <w:t xml:space="preserve"> las respuestas emitidas por la Secretaría de Movilidad   y se </w:t>
      </w:r>
      <w:r w:rsidRPr="00803417">
        <w:rPr>
          <w:rFonts w:ascii="Palatino Linotype" w:eastAsia="Palatino Linotype" w:hAnsi="Palatino Linotype" w:cs="Palatino Linotype"/>
          <w:b/>
        </w:rPr>
        <w:t>ORDENA</w:t>
      </w:r>
      <w:r w:rsidRPr="00803417">
        <w:rPr>
          <w:rFonts w:ascii="Palatino Linotype" w:eastAsia="Palatino Linotype" w:hAnsi="Palatino Linotype" w:cs="Palatino Linotype"/>
        </w:rPr>
        <w:t xml:space="preserve"> entregar a través del Sistema de Acceso a la Información Mexiquense </w:t>
      </w:r>
      <w:r w:rsidRPr="00803417">
        <w:rPr>
          <w:rFonts w:ascii="Palatino Linotype" w:eastAsia="Palatino Linotype" w:hAnsi="Palatino Linotype" w:cs="Palatino Linotype"/>
          <w:b/>
        </w:rPr>
        <w:t>(SAIMEX)</w:t>
      </w:r>
      <w:r w:rsidRPr="00803417">
        <w:rPr>
          <w:rFonts w:ascii="Palatino Linotype" w:eastAsia="Palatino Linotype" w:hAnsi="Palatino Linotype" w:cs="Palatino Linotype"/>
        </w:rPr>
        <w:t>, en versión pública la siguiente información:</w:t>
      </w:r>
    </w:p>
    <w:p w:rsidR="004542D1" w:rsidRPr="00803417" w:rsidRDefault="004542D1">
      <w:pPr>
        <w:tabs>
          <w:tab w:val="left" w:pos="284"/>
        </w:tabs>
        <w:spacing w:line="360" w:lineRule="auto"/>
        <w:jc w:val="both"/>
        <w:rPr>
          <w:rFonts w:ascii="Palatino Linotype" w:eastAsia="Palatino Linotype" w:hAnsi="Palatino Linotype" w:cs="Palatino Linotype"/>
        </w:rPr>
      </w:pPr>
    </w:p>
    <w:p w:rsidR="004542D1" w:rsidRPr="00803417" w:rsidRDefault="00E33CAA">
      <w:pPr>
        <w:spacing w:line="360" w:lineRule="auto"/>
        <w:ind w:left="851" w:right="568"/>
        <w:jc w:val="both"/>
        <w:rPr>
          <w:rFonts w:ascii="Palatino Linotype" w:eastAsia="Palatino Linotype" w:hAnsi="Palatino Linotype" w:cs="Palatino Linotype"/>
        </w:rPr>
      </w:pPr>
      <w:r w:rsidRPr="00803417">
        <w:rPr>
          <w:rFonts w:ascii="Palatino Linotype" w:eastAsia="Palatino Linotype" w:hAnsi="Palatino Linotype" w:cs="Palatino Linotype"/>
          <w:b/>
        </w:rPr>
        <w:lastRenderedPageBreak/>
        <w:t>De los ejercicios 2016 y 2017</w:t>
      </w:r>
    </w:p>
    <w:p w:rsidR="004542D1" w:rsidRPr="00803417" w:rsidRDefault="004542D1">
      <w:pPr>
        <w:spacing w:line="360" w:lineRule="auto"/>
        <w:ind w:left="851" w:right="568"/>
        <w:jc w:val="both"/>
        <w:rPr>
          <w:rFonts w:ascii="Palatino Linotype" w:eastAsia="Palatino Linotype" w:hAnsi="Palatino Linotype" w:cs="Palatino Linotype"/>
          <w:b/>
        </w:rPr>
      </w:pPr>
    </w:p>
    <w:p w:rsidR="004542D1" w:rsidRPr="00803417" w:rsidRDefault="00E33CAA">
      <w:pPr>
        <w:numPr>
          <w:ilvl w:val="0"/>
          <w:numId w:val="8"/>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rPr>
        <w:t>Número de</w:t>
      </w:r>
      <w:r w:rsidRPr="00803417">
        <w:rPr>
          <w:rFonts w:ascii="Palatino Linotype" w:eastAsia="Palatino Linotype" w:hAnsi="Palatino Linotype" w:cs="Palatino Linotype"/>
          <w:color w:val="000000"/>
        </w:rPr>
        <w:t xml:space="preserve"> operadores de transporte público por género fueron capacitados.</w:t>
      </w:r>
    </w:p>
    <w:p w:rsidR="004542D1" w:rsidRPr="00803417" w:rsidRDefault="00E33CAA">
      <w:pPr>
        <w:numPr>
          <w:ilvl w:val="0"/>
          <w:numId w:val="8"/>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 xml:space="preserve"> </w:t>
      </w:r>
      <w:r w:rsidRPr="00803417">
        <w:rPr>
          <w:rFonts w:ascii="Palatino Linotype" w:eastAsia="Palatino Linotype" w:hAnsi="Palatino Linotype" w:cs="Palatino Linotype"/>
        </w:rPr>
        <w:t>I</w:t>
      </w:r>
      <w:r w:rsidRPr="00803417">
        <w:rPr>
          <w:rFonts w:ascii="Palatino Linotype" w:eastAsia="Palatino Linotype" w:hAnsi="Palatino Linotype" w:cs="Palatino Linotype"/>
          <w:color w:val="000000"/>
        </w:rPr>
        <w:t xml:space="preserve">nstitución </w:t>
      </w:r>
      <w:r w:rsidRPr="00803417">
        <w:rPr>
          <w:rFonts w:ascii="Palatino Linotype" w:eastAsia="Palatino Linotype" w:hAnsi="Palatino Linotype" w:cs="Palatino Linotype"/>
        </w:rPr>
        <w:t>encargada de la</w:t>
      </w:r>
      <w:r w:rsidRPr="00803417">
        <w:rPr>
          <w:rFonts w:ascii="Palatino Linotype" w:eastAsia="Palatino Linotype" w:hAnsi="Palatino Linotype" w:cs="Palatino Linotype"/>
          <w:color w:val="000000"/>
        </w:rPr>
        <w:t xml:space="preserve"> </w:t>
      </w:r>
      <w:r w:rsidRPr="00803417">
        <w:rPr>
          <w:rFonts w:ascii="Palatino Linotype" w:eastAsia="Palatino Linotype" w:hAnsi="Palatino Linotype" w:cs="Palatino Linotype"/>
        </w:rPr>
        <w:t>capacitación</w:t>
      </w:r>
      <w:r w:rsidRPr="00803417">
        <w:rPr>
          <w:rFonts w:ascii="Palatino Linotype" w:eastAsia="Palatino Linotype" w:hAnsi="Palatino Linotype" w:cs="Palatino Linotype"/>
          <w:color w:val="000000"/>
        </w:rPr>
        <w:t>, o certificado.</w:t>
      </w:r>
    </w:p>
    <w:p w:rsidR="004542D1" w:rsidRPr="00803417" w:rsidRDefault="00E33CAA">
      <w:pPr>
        <w:numPr>
          <w:ilvl w:val="0"/>
          <w:numId w:val="8"/>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Costo de la capacitación.</w:t>
      </w:r>
    </w:p>
    <w:p w:rsidR="004542D1" w:rsidRPr="00803417" w:rsidRDefault="00E33CAA">
      <w:pPr>
        <w:numPr>
          <w:ilvl w:val="0"/>
          <w:numId w:val="8"/>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 xml:space="preserve">Ruta a la que pertenecían los operadores. </w:t>
      </w:r>
    </w:p>
    <w:p w:rsidR="004542D1" w:rsidRPr="00803417" w:rsidRDefault="00E33CAA">
      <w:pPr>
        <w:numPr>
          <w:ilvl w:val="0"/>
          <w:numId w:val="8"/>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803417">
        <w:rPr>
          <w:rFonts w:ascii="Palatino Linotype" w:eastAsia="Palatino Linotype" w:hAnsi="Palatino Linotype" w:cs="Palatino Linotype"/>
          <w:color w:val="000000"/>
        </w:rPr>
        <w:t>Padrón de operadores capacitados con nombre, ruta, número de unidad y placas.</w:t>
      </w:r>
    </w:p>
    <w:p w:rsidR="004542D1" w:rsidRPr="00803417" w:rsidRDefault="004542D1">
      <w:pPr>
        <w:spacing w:line="360" w:lineRule="auto"/>
        <w:ind w:right="-876"/>
        <w:jc w:val="both"/>
        <w:rPr>
          <w:rFonts w:ascii="Palatino Linotype" w:eastAsia="Palatino Linotype" w:hAnsi="Palatino Linotype" w:cs="Palatino Linotype"/>
        </w:rPr>
      </w:pPr>
    </w:p>
    <w:p w:rsidR="004542D1" w:rsidRPr="00803417" w:rsidRDefault="00E33CAA">
      <w:pPr>
        <w:spacing w:line="360" w:lineRule="auto"/>
        <w:jc w:val="both"/>
        <w:rPr>
          <w:rFonts w:ascii="Palatino Linotype" w:eastAsia="Palatino Linotype" w:hAnsi="Palatino Linotype" w:cs="Palatino Linotype"/>
        </w:rPr>
      </w:pPr>
      <w:r w:rsidRPr="00803417">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803417">
        <w:rPr>
          <w:rFonts w:ascii="Palatino Linotype" w:eastAsia="Palatino Linotype" w:hAnsi="Palatino Linotype" w:cs="Palatino Linotype"/>
          <w:b/>
        </w:rPr>
        <w:t xml:space="preserve"> RECURRENTE</w:t>
      </w:r>
      <w:r w:rsidRPr="00803417">
        <w:rPr>
          <w:rFonts w:ascii="Palatino Linotype" w:eastAsia="Palatino Linotype" w:hAnsi="Palatino Linotype" w:cs="Palatino Linotype"/>
        </w:rPr>
        <w:t>.</w:t>
      </w:r>
    </w:p>
    <w:p w:rsidR="004542D1" w:rsidRPr="00803417" w:rsidRDefault="004542D1">
      <w:pPr>
        <w:spacing w:line="360" w:lineRule="auto"/>
        <w:jc w:val="both"/>
        <w:rPr>
          <w:rFonts w:ascii="Palatino Linotype" w:eastAsia="Palatino Linotype" w:hAnsi="Palatino Linotype" w:cs="Palatino Linotype"/>
        </w:rPr>
      </w:pPr>
    </w:p>
    <w:p w:rsidR="00B15BCA" w:rsidRPr="00803417" w:rsidRDefault="00B15BCA" w:rsidP="00B15BCA">
      <w:pPr>
        <w:spacing w:line="360" w:lineRule="auto"/>
        <w:jc w:val="both"/>
        <w:rPr>
          <w:rFonts w:ascii="Palatino Linotype" w:eastAsia="Calibri" w:hAnsi="Palatino Linotype" w:cs="Arial"/>
        </w:rPr>
      </w:pPr>
      <w:r w:rsidRPr="00803417">
        <w:rPr>
          <w:rFonts w:ascii="Palatino Linotype" w:eastAsia="Calibri" w:hAnsi="Palatino Linotype" w:cs="Arial"/>
        </w:rPr>
        <w:t>De ser el caso de que no se localice la información que se ordena en los numerales 4 y 5 por no haberse generado, el Sujeto Obligado deberá de manifestar tal circunstancia en términos del artículo 19, segundo párrafo de la Ley de Transparencia y Acceso a la Información Pública del Estado de México y Municipios</w:t>
      </w:r>
    </w:p>
    <w:p w:rsidR="004542D1" w:rsidRPr="00803417" w:rsidRDefault="004542D1">
      <w:pPr>
        <w:spacing w:line="360" w:lineRule="auto"/>
        <w:jc w:val="both"/>
        <w:rPr>
          <w:rFonts w:ascii="Palatino Linotype" w:eastAsia="Palatino Linotype" w:hAnsi="Palatino Linotype" w:cs="Palatino Linotype"/>
        </w:rPr>
      </w:pPr>
    </w:p>
    <w:p w:rsidR="004542D1" w:rsidRPr="00803417" w:rsidRDefault="00E33CAA">
      <w:pPr>
        <w:tabs>
          <w:tab w:val="left" w:pos="284"/>
          <w:tab w:val="left" w:pos="8080"/>
        </w:tabs>
        <w:spacing w:line="360" w:lineRule="auto"/>
        <w:ind w:right="49"/>
        <w:jc w:val="both"/>
        <w:rPr>
          <w:rFonts w:ascii="Palatino Linotype" w:eastAsia="Palatino Linotype" w:hAnsi="Palatino Linotype" w:cs="Palatino Linotype"/>
          <w:b/>
        </w:rPr>
      </w:pPr>
      <w:r w:rsidRPr="00803417">
        <w:rPr>
          <w:rFonts w:ascii="Palatino Linotype" w:eastAsia="Palatino Linotype" w:hAnsi="Palatino Linotype" w:cs="Palatino Linotype"/>
          <w:b/>
        </w:rPr>
        <w:lastRenderedPageBreak/>
        <w:t xml:space="preserve">TERCERO. </w:t>
      </w:r>
      <w:r w:rsidRPr="00803417">
        <w:rPr>
          <w:rFonts w:ascii="Palatino Linotype" w:eastAsia="Palatino Linotype" w:hAnsi="Palatino Linotype" w:cs="Palatino Linotype"/>
          <w:b/>
          <w:color w:val="222222"/>
        </w:rPr>
        <w:t>NOTIFÍQUESE</w:t>
      </w:r>
      <w:r w:rsidRPr="00803417">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4542D1" w:rsidRPr="00803417" w:rsidRDefault="004542D1">
      <w:pPr>
        <w:shd w:val="clear" w:color="auto" w:fill="FFFFFF"/>
        <w:tabs>
          <w:tab w:val="left" w:pos="284"/>
        </w:tabs>
        <w:spacing w:line="360" w:lineRule="auto"/>
        <w:jc w:val="both"/>
        <w:rPr>
          <w:rFonts w:ascii="Palatino Linotype" w:eastAsia="Palatino Linotype" w:hAnsi="Palatino Linotype" w:cs="Palatino Linotype"/>
          <w:b/>
        </w:rPr>
      </w:pPr>
    </w:p>
    <w:p w:rsidR="004542D1" w:rsidRPr="00803417" w:rsidRDefault="00E33CAA">
      <w:pPr>
        <w:spacing w:line="360" w:lineRule="auto"/>
        <w:jc w:val="both"/>
        <w:rPr>
          <w:rFonts w:ascii="Palatino Linotype" w:eastAsia="Palatino Linotype" w:hAnsi="Palatino Linotype" w:cs="Palatino Linotype"/>
        </w:rPr>
      </w:pPr>
      <w:r w:rsidRPr="00803417">
        <w:rPr>
          <w:rFonts w:ascii="Palatino Linotype" w:eastAsia="Palatino Linotype" w:hAnsi="Palatino Linotype" w:cs="Palatino Linotype"/>
          <w:b/>
        </w:rPr>
        <w:t xml:space="preserve">CUARTO. </w:t>
      </w:r>
      <w:r w:rsidRPr="00803417">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803417">
        <w:rPr>
          <w:rFonts w:ascii="Palatino Linotype" w:eastAsia="Palatino Linotype" w:hAnsi="Palatino Linotype" w:cs="Palatino Linotype"/>
          <w:b/>
        </w:rPr>
        <w:t>SUJETO OBLIGADO</w:t>
      </w:r>
      <w:r w:rsidRPr="00803417">
        <w:rPr>
          <w:rFonts w:ascii="Palatino Linotype" w:eastAsia="Palatino Linotype" w:hAnsi="Palatino Linotype" w:cs="Palatino Linotype"/>
        </w:rPr>
        <w:t xml:space="preserve"> de manera fundada y motivada, podrá solicitar una ampliación de plazo para el cumplimiento de la presente resolución.</w:t>
      </w:r>
    </w:p>
    <w:p w:rsidR="004542D1" w:rsidRPr="00803417" w:rsidRDefault="004542D1">
      <w:pPr>
        <w:spacing w:line="360" w:lineRule="auto"/>
        <w:jc w:val="both"/>
        <w:rPr>
          <w:rFonts w:ascii="Palatino Linotype" w:eastAsia="Palatino Linotype" w:hAnsi="Palatino Linotype" w:cs="Palatino Linotype"/>
        </w:rPr>
      </w:pPr>
    </w:p>
    <w:p w:rsidR="004542D1" w:rsidRPr="00803417" w:rsidRDefault="00E33CAA">
      <w:pPr>
        <w:tabs>
          <w:tab w:val="left" w:pos="8080"/>
        </w:tabs>
        <w:spacing w:line="360" w:lineRule="auto"/>
        <w:ind w:right="49"/>
        <w:jc w:val="both"/>
        <w:rPr>
          <w:rFonts w:ascii="Palatino Linotype" w:eastAsia="Palatino Linotype" w:hAnsi="Palatino Linotype" w:cs="Palatino Linotype"/>
        </w:rPr>
      </w:pPr>
      <w:bookmarkStart w:id="13" w:name="_heading=h.lnxbz9" w:colFirst="0" w:colLast="0"/>
      <w:bookmarkEnd w:id="13"/>
      <w:r w:rsidRPr="00803417">
        <w:rPr>
          <w:rFonts w:ascii="Palatino Linotype" w:eastAsia="Palatino Linotype" w:hAnsi="Palatino Linotype" w:cs="Palatino Linotype"/>
          <w:b/>
        </w:rPr>
        <w:t xml:space="preserve">QUINTO. </w:t>
      </w:r>
      <w:r w:rsidRPr="00803417">
        <w:rPr>
          <w:rFonts w:ascii="Palatino Linotype" w:eastAsia="Palatino Linotype" w:hAnsi="Palatino Linotype" w:cs="Palatino Linotype"/>
        </w:rPr>
        <w:t>Notifíquese al</w:t>
      </w:r>
      <w:r w:rsidRPr="00803417">
        <w:rPr>
          <w:rFonts w:ascii="Palatino Linotype" w:eastAsia="Palatino Linotype" w:hAnsi="Palatino Linotype" w:cs="Palatino Linotype"/>
          <w:b/>
        </w:rPr>
        <w:t xml:space="preserve"> RECURRENTE</w:t>
      </w:r>
      <w:r w:rsidRPr="00803417">
        <w:rPr>
          <w:rFonts w:ascii="Palatino Linotype" w:eastAsia="Palatino Linotype" w:hAnsi="Palatino Linotype" w:cs="Palatino Linotype"/>
        </w:rPr>
        <w:t xml:space="preserve"> la presente resolución, vía Sistema de Acceso a la Información Mexiquense (SAIMEX).</w:t>
      </w:r>
    </w:p>
    <w:p w:rsidR="004542D1" w:rsidRPr="00803417" w:rsidRDefault="004542D1">
      <w:pPr>
        <w:tabs>
          <w:tab w:val="left" w:pos="8080"/>
        </w:tabs>
        <w:spacing w:line="360" w:lineRule="auto"/>
        <w:ind w:right="49"/>
        <w:jc w:val="both"/>
        <w:rPr>
          <w:rFonts w:ascii="Palatino Linotype" w:eastAsia="Palatino Linotype" w:hAnsi="Palatino Linotype" w:cs="Palatino Linotype"/>
        </w:rPr>
      </w:pPr>
    </w:p>
    <w:p w:rsidR="004542D1" w:rsidRPr="00803417" w:rsidRDefault="00E33CAA">
      <w:pPr>
        <w:shd w:val="clear" w:color="auto" w:fill="FFFFFF"/>
        <w:spacing w:line="360" w:lineRule="auto"/>
        <w:jc w:val="both"/>
        <w:rPr>
          <w:rFonts w:ascii="Palatino Linotype" w:eastAsia="Palatino Linotype" w:hAnsi="Palatino Linotype" w:cs="Palatino Linotype"/>
        </w:rPr>
      </w:pPr>
      <w:r w:rsidRPr="00803417">
        <w:rPr>
          <w:rFonts w:ascii="Palatino Linotype" w:eastAsia="Palatino Linotype" w:hAnsi="Palatino Linotype" w:cs="Palatino Linotype"/>
          <w:b/>
        </w:rPr>
        <w:t xml:space="preserve">SEXTO. </w:t>
      </w:r>
      <w:r w:rsidRPr="00803417">
        <w:rPr>
          <w:rFonts w:ascii="Palatino Linotype" w:eastAsia="Palatino Linotype" w:hAnsi="Palatino Linotype" w:cs="Palatino Linotype"/>
        </w:rPr>
        <w:t xml:space="preserve">Se hace del conocimiento del </w:t>
      </w:r>
      <w:r w:rsidRPr="00803417">
        <w:rPr>
          <w:rFonts w:ascii="Palatino Linotype" w:eastAsia="Palatino Linotype" w:hAnsi="Palatino Linotype" w:cs="Palatino Linotype"/>
          <w:b/>
        </w:rPr>
        <w:t xml:space="preserve">RECURRENTE </w:t>
      </w:r>
      <w:r w:rsidRPr="00803417">
        <w:rPr>
          <w:rFonts w:ascii="Palatino Linotype" w:eastAsia="Palatino Linotype" w:hAnsi="Palatino Linotype" w:cs="Palatino Linotype"/>
        </w:rPr>
        <w:t xml:space="preserve">que, de conformidad con lo establecido en el artículo 196 de la Ley de Transparencia y Acceso a la Información Pública del Estado de México y Municipios, en caso de que considere que la resolución </w:t>
      </w:r>
      <w:r w:rsidRPr="00803417">
        <w:rPr>
          <w:rFonts w:ascii="Palatino Linotype" w:eastAsia="Palatino Linotype" w:hAnsi="Palatino Linotype" w:cs="Palatino Linotype"/>
        </w:rPr>
        <w:lastRenderedPageBreak/>
        <w:t>le cause algún perjuicio podrá impugnarla vía juicio de amparo en los términos de las leyes aplicables.</w:t>
      </w:r>
    </w:p>
    <w:p w:rsidR="008F4925" w:rsidRPr="00803417" w:rsidRDefault="008F4925">
      <w:pPr>
        <w:shd w:val="clear" w:color="auto" w:fill="FFFFFF"/>
        <w:spacing w:line="360" w:lineRule="auto"/>
        <w:jc w:val="both"/>
        <w:rPr>
          <w:rFonts w:ascii="Palatino Linotype" w:eastAsia="Palatino Linotype" w:hAnsi="Palatino Linotype" w:cs="Palatino Linotype"/>
        </w:rPr>
      </w:pPr>
    </w:p>
    <w:p w:rsidR="008F4925" w:rsidRPr="003C7186" w:rsidRDefault="008F4925" w:rsidP="008F4925">
      <w:pPr>
        <w:spacing w:line="360" w:lineRule="auto"/>
        <w:ind w:left="-142" w:right="-234" w:firstLine="1"/>
        <w:jc w:val="both"/>
        <w:rPr>
          <w:rFonts w:ascii="Palatino Linotype" w:hAnsi="Palatino Linotype"/>
        </w:rPr>
      </w:pPr>
      <w:r w:rsidRPr="00803417">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(11) DE DICIEMBRE DE DOS MIL VEINTICUATRO, ANTE EL SECRETARIO TÉCNICO DEL PLENO ALEXIS TAPIA RAMÍREZ.</w:t>
      </w:r>
      <w:bookmarkStart w:id="14" w:name="_GoBack"/>
      <w:bookmarkEnd w:id="14"/>
      <w:r w:rsidRPr="003C7186">
        <w:rPr>
          <w:rFonts w:ascii="Palatino Linotype" w:hAnsi="Palatino Linotype"/>
        </w:rPr>
        <w:t xml:space="preserve"> </w:t>
      </w:r>
    </w:p>
    <w:p w:rsidR="008F4925" w:rsidRPr="00902BA4" w:rsidRDefault="008F4925" w:rsidP="008F4925">
      <w:pPr>
        <w:widowControl w:val="0"/>
        <w:autoSpaceDE w:val="0"/>
        <w:autoSpaceDN w:val="0"/>
        <w:adjustRightInd w:val="0"/>
        <w:spacing w:after="200" w:line="276" w:lineRule="auto"/>
        <w:ind w:left="-142" w:right="-234"/>
        <w:rPr>
          <w:rFonts w:ascii="Calibri" w:hAnsi="Calibri" w:cs="Calibri"/>
        </w:rPr>
      </w:pPr>
    </w:p>
    <w:p w:rsidR="004542D1" w:rsidRDefault="004542D1">
      <w:pPr>
        <w:spacing w:line="360" w:lineRule="auto"/>
        <w:ind w:right="-876"/>
        <w:jc w:val="both"/>
        <w:rPr>
          <w:rFonts w:ascii="Palatino Linotype" w:eastAsia="Palatino Linotype" w:hAnsi="Palatino Linotype" w:cs="Palatino Linotype"/>
        </w:rPr>
      </w:pPr>
    </w:p>
    <w:p w:rsidR="004542D1" w:rsidRDefault="004542D1">
      <w:pPr>
        <w:spacing w:line="360" w:lineRule="auto"/>
        <w:ind w:right="-876"/>
        <w:jc w:val="both"/>
        <w:rPr>
          <w:rFonts w:ascii="Palatino Linotype" w:eastAsia="Palatino Linotype" w:hAnsi="Palatino Linotype" w:cs="Palatino Linotype"/>
        </w:rPr>
      </w:pPr>
    </w:p>
    <w:p w:rsidR="004542D1" w:rsidRDefault="004542D1">
      <w:pPr>
        <w:spacing w:line="360" w:lineRule="auto"/>
        <w:ind w:right="-876"/>
        <w:jc w:val="both"/>
        <w:rPr>
          <w:rFonts w:ascii="Palatino Linotype" w:eastAsia="Palatino Linotype" w:hAnsi="Palatino Linotype" w:cs="Palatino Linotype"/>
        </w:rPr>
      </w:pPr>
    </w:p>
    <w:p w:rsidR="004542D1" w:rsidRDefault="004542D1">
      <w:pPr>
        <w:spacing w:line="360" w:lineRule="auto"/>
        <w:ind w:right="-876"/>
        <w:jc w:val="both"/>
        <w:rPr>
          <w:rFonts w:ascii="Palatino Linotype" w:eastAsia="Palatino Linotype" w:hAnsi="Palatino Linotype" w:cs="Palatino Linotype"/>
        </w:rPr>
      </w:pPr>
    </w:p>
    <w:p w:rsidR="004542D1" w:rsidRDefault="004542D1">
      <w:pPr>
        <w:spacing w:line="360" w:lineRule="auto"/>
        <w:ind w:right="-876"/>
        <w:jc w:val="both"/>
        <w:rPr>
          <w:rFonts w:ascii="Palatino Linotype" w:eastAsia="Palatino Linotype" w:hAnsi="Palatino Linotype" w:cs="Palatino Linotype"/>
        </w:rPr>
      </w:pPr>
    </w:p>
    <w:p w:rsidR="004542D1" w:rsidRDefault="004542D1">
      <w:pPr>
        <w:spacing w:line="360" w:lineRule="auto"/>
        <w:ind w:right="-876"/>
        <w:jc w:val="both"/>
        <w:rPr>
          <w:rFonts w:ascii="Palatino Linotype" w:eastAsia="Palatino Linotype" w:hAnsi="Palatino Linotype" w:cs="Palatino Linotype"/>
        </w:rPr>
      </w:pPr>
    </w:p>
    <w:p w:rsidR="004542D1" w:rsidRDefault="004542D1">
      <w:pPr>
        <w:spacing w:line="360" w:lineRule="auto"/>
        <w:ind w:right="-876"/>
        <w:jc w:val="both"/>
        <w:rPr>
          <w:rFonts w:ascii="Palatino Linotype" w:eastAsia="Palatino Linotype" w:hAnsi="Palatino Linotype" w:cs="Palatino Linotype"/>
        </w:rPr>
      </w:pPr>
    </w:p>
    <w:p w:rsidR="004542D1" w:rsidRDefault="004542D1">
      <w:pPr>
        <w:spacing w:line="360" w:lineRule="auto"/>
        <w:ind w:right="-876"/>
        <w:jc w:val="both"/>
        <w:rPr>
          <w:rFonts w:ascii="Palatino Linotype" w:eastAsia="Palatino Linotype" w:hAnsi="Palatino Linotype" w:cs="Palatino Linotype"/>
        </w:rPr>
      </w:pPr>
    </w:p>
    <w:p w:rsidR="004542D1" w:rsidRDefault="004542D1">
      <w:pPr>
        <w:spacing w:line="360" w:lineRule="auto"/>
        <w:ind w:right="-876"/>
        <w:jc w:val="both"/>
        <w:rPr>
          <w:rFonts w:ascii="Palatino Linotype" w:eastAsia="Palatino Linotype" w:hAnsi="Palatino Linotype" w:cs="Palatino Linotype"/>
        </w:rPr>
      </w:pPr>
    </w:p>
    <w:p w:rsidR="004542D1" w:rsidRDefault="004542D1">
      <w:pPr>
        <w:spacing w:line="360" w:lineRule="auto"/>
        <w:ind w:right="-876"/>
        <w:jc w:val="both"/>
        <w:rPr>
          <w:rFonts w:ascii="Palatino Linotype" w:eastAsia="Palatino Linotype" w:hAnsi="Palatino Linotype" w:cs="Palatino Linotype"/>
        </w:rPr>
      </w:pPr>
    </w:p>
    <w:p w:rsidR="004542D1" w:rsidRDefault="004542D1">
      <w:pPr>
        <w:spacing w:line="360" w:lineRule="auto"/>
        <w:ind w:right="-876"/>
        <w:jc w:val="both"/>
        <w:rPr>
          <w:rFonts w:ascii="Palatino Linotype" w:eastAsia="Palatino Linotype" w:hAnsi="Palatino Linotype" w:cs="Palatino Linotype"/>
        </w:rPr>
      </w:pPr>
    </w:p>
    <w:p w:rsidR="004542D1" w:rsidRDefault="004542D1">
      <w:pPr>
        <w:spacing w:line="360" w:lineRule="auto"/>
        <w:ind w:right="-876"/>
        <w:jc w:val="both"/>
        <w:rPr>
          <w:rFonts w:ascii="Palatino Linotype" w:eastAsia="Palatino Linotype" w:hAnsi="Palatino Linotype" w:cs="Palatino Linotype"/>
        </w:rPr>
      </w:pPr>
    </w:p>
    <w:p w:rsidR="004542D1" w:rsidRDefault="004542D1">
      <w:pPr>
        <w:spacing w:line="360" w:lineRule="auto"/>
        <w:ind w:right="-876"/>
        <w:jc w:val="both"/>
        <w:rPr>
          <w:rFonts w:ascii="Palatino Linotype" w:eastAsia="Palatino Linotype" w:hAnsi="Palatino Linotype" w:cs="Palatino Linotype"/>
        </w:rPr>
      </w:pPr>
    </w:p>
    <w:p w:rsidR="004542D1" w:rsidRDefault="004542D1">
      <w:pPr>
        <w:spacing w:line="360" w:lineRule="auto"/>
        <w:ind w:right="-876"/>
        <w:jc w:val="both"/>
        <w:rPr>
          <w:rFonts w:ascii="Palatino Linotype" w:eastAsia="Palatino Linotype" w:hAnsi="Palatino Linotype" w:cs="Palatino Linotype"/>
        </w:rPr>
      </w:pPr>
    </w:p>
    <w:p w:rsidR="004542D1" w:rsidRDefault="004542D1">
      <w:pPr>
        <w:spacing w:line="360" w:lineRule="auto"/>
        <w:ind w:right="-876"/>
        <w:jc w:val="both"/>
        <w:rPr>
          <w:rFonts w:ascii="Palatino Linotype" w:eastAsia="Palatino Linotype" w:hAnsi="Palatino Linotype" w:cs="Palatino Linotype"/>
        </w:rPr>
      </w:pPr>
    </w:p>
    <w:p w:rsidR="004542D1" w:rsidRDefault="004542D1">
      <w:pPr>
        <w:spacing w:line="360" w:lineRule="auto"/>
        <w:ind w:right="-876"/>
        <w:jc w:val="both"/>
        <w:rPr>
          <w:rFonts w:ascii="Palatino Linotype" w:eastAsia="Palatino Linotype" w:hAnsi="Palatino Linotype" w:cs="Palatino Linotype"/>
        </w:rPr>
      </w:pPr>
    </w:p>
    <w:p w:rsidR="004542D1" w:rsidRDefault="004542D1">
      <w:pPr>
        <w:spacing w:line="360" w:lineRule="auto"/>
        <w:ind w:right="-876"/>
        <w:jc w:val="both"/>
        <w:rPr>
          <w:rFonts w:ascii="Palatino Linotype" w:eastAsia="Palatino Linotype" w:hAnsi="Palatino Linotype" w:cs="Palatino Linotype"/>
        </w:rPr>
      </w:pPr>
    </w:p>
    <w:p w:rsidR="004542D1" w:rsidRDefault="004542D1">
      <w:pPr>
        <w:spacing w:line="360" w:lineRule="auto"/>
        <w:ind w:right="-876"/>
        <w:jc w:val="both"/>
        <w:rPr>
          <w:rFonts w:ascii="Palatino Linotype" w:eastAsia="Palatino Linotype" w:hAnsi="Palatino Linotype" w:cs="Palatino Linotype"/>
        </w:rPr>
      </w:pPr>
    </w:p>
    <w:sectPr w:rsidR="004542D1">
      <w:headerReference w:type="even" r:id="rId8"/>
      <w:headerReference w:type="default" r:id="rId9"/>
      <w:footerReference w:type="default" r:id="rId10"/>
      <w:headerReference w:type="first" r:id="rId11"/>
      <w:footerReference w:type="first" r:id="rId12"/>
      <w:pgSz w:w="12240" w:h="15840"/>
      <w:pgMar w:top="80" w:right="1579"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44A" w:rsidRDefault="0047344A">
      <w:r>
        <w:separator/>
      </w:r>
    </w:p>
  </w:endnote>
  <w:endnote w:type="continuationSeparator" w:id="0">
    <w:p w:rsidR="0047344A" w:rsidRDefault="0047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D1" w:rsidRDefault="00E33CA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803417">
      <w:rPr>
        <w:b/>
        <w:noProof/>
        <w:color w:val="000000"/>
      </w:rPr>
      <w:t>35</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803417">
      <w:rPr>
        <w:b/>
        <w:noProof/>
        <w:color w:val="000000"/>
      </w:rPr>
      <w:t>37</w:t>
    </w:r>
    <w:r>
      <w:rPr>
        <w:b/>
        <w:color w:val="000000"/>
      </w:rPr>
      <w:fldChar w:fldCharType="end"/>
    </w:r>
  </w:p>
  <w:p w:rsidR="004542D1" w:rsidRDefault="004542D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D1" w:rsidRDefault="00E33CA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803417">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803417">
      <w:rPr>
        <w:b/>
        <w:noProof/>
        <w:color w:val="000000"/>
      </w:rPr>
      <w:t>37</w:t>
    </w:r>
    <w:r>
      <w:rPr>
        <w:b/>
        <w:color w:val="000000"/>
      </w:rPr>
      <w:fldChar w:fldCharType="end"/>
    </w:r>
  </w:p>
  <w:p w:rsidR="004542D1" w:rsidRDefault="004542D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44A" w:rsidRDefault="0047344A">
      <w:r>
        <w:separator/>
      </w:r>
    </w:p>
  </w:footnote>
  <w:footnote w:type="continuationSeparator" w:id="0">
    <w:p w:rsidR="0047344A" w:rsidRDefault="00473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D1" w:rsidRDefault="0047344A">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D1" w:rsidRDefault="004542D1">
    <w:pPr>
      <w:widowControl w:val="0"/>
      <w:pBdr>
        <w:top w:val="nil"/>
        <w:left w:val="nil"/>
        <w:bottom w:val="nil"/>
        <w:right w:val="nil"/>
        <w:between w:val="nil"/>
      </w:pBdr>
      <w:tabs>
        <w:tab w:val="left" w:pos="4536"/>
      </w:tabs>
      <w:spacing w:line="276" w:lineRule="auto"/>
      <w:rPr>
        <w:color w:val="000000"/>
      </w:rPr>
    </w:pPr>
  </w:p>
  <w:tbl>
    <w:tblPr>
      <w:tblStyle w:val="af4"/>
      <w:tblW w:w="10365" w:type="dxa"/>
      <w:tblInd w:w="0" w:type="dxa"/>
      <w:tblLayout w:type="fixed"/>
      <w:tblLook w:val="0400" w:firstRow="0" w:lastRow="0" w:firstColumn="0" w:lastColumn="0" w:noHBand="0" w:noVBand="1"/>
    </w:tblPr>
    <w:tblGrid>
      <w:gridCol w:w="2265"/>
      <w:gridCol w:w="8100"/>
    </w:tblGrid>
    <w:tr w:rsidR="004542D1">
      <w:trPr>
        <w:trHeight w:val="1727"/>
      </w:trPr>
      <w:tc>
        <w:tcPr>
          <w:tcW w:w="2265" w:type="dxa"/>
        </w:tcPr>
        <w:p w:rsidR="004542D1" w:rsidRDefault="004542D1">
          <w:pPr>
            <w:tabs>
              <w:tab w:val="right" w:pos="4273"/>
            </w:tabs>
            <w:rPr>
              <w:rFonts w:ascii="Garamond" w:eastAsia="Garamond" w:hAnsi="Garamond" w:cs="Garamond"/>
              <w:sz w:val="16"/>
              <w:szCs w:val="16"/>
            </w:rPr>
          </w:pPr>
        </w:p>
      </w:tc>
      <w:tc>
        <w:tcPr>
          <w:tcW w:w="8100" w:type="dxa"/>
        </w:tcPr>
        <w:p w:rsidR="004542D1" w:rsidRDefault="004542D1">
          <w:pPr>
            <w:ind w:right="-676"/>
          </w:pPr>
        </w:p>
        <w:tbl>
          <w:tblPr>
            <w:tblStyle w:val="af5"/>
            <w:tblW w:w="7800" w:type="dxa"/>
            <w:tblInd w:w="40" w:type="dxa"/>
            <w:tblLayout w:type="fixed"/>
            <w:tblLook w:val="0400" w:firstRow="0" w:lastRow="0" w:firstColumn="0" w:lastColumn="0" w:noHBand="0" w:noVBand="1"/>
          </w:tblPr>
          <w:tblGrid>
            <w:gridCol w:w="3225"/>
            <w:gridCol w:w="4575"/>
          </w:tblGrid>
          <w:tr w:rsidR="004542D1">
            <w:trPr>
              <w:trHeight w:val="150"/>
            </w:trPr>
            <w:tc>
              <w:tcPr>
                <w:tcW w:w="3225" w:type="dxa"/>
                <w:tcBorders>
                  <w:top w:val="nil"/>
                  <w:left w:val="nil"/>
                  <w:bottom w:val="nil"/>
                  <w:right w:val="nil"/>
                </w:tcBorders>
              </w:tcPr>
              <w:p w:rsidR="004542D1" w:rsidRDefault="00E33CAA">
                <w:pPr>
                  <w:ind w:left="283" w:right="-676"/>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575" w:type="dxa"/>
                <w:tcBorders>
                  <w:top w:val="nil"/>
                  <w:left w:val="nil"/>
                  <w:bottom w:val="nil"/>
                  <w:right w:val="nil"/>
                </w:tcBorders>
              </w:tcPr>
              <w:p w:rsidR="004542D1" w:rsidRDefault="00E33CAA">
                <w:pPr>
                  <w:ind w:right="-1482"/>
                  <w:rPr>
                    <w:rFonts w:ascii="Palatino Linotype" w:eastAsia="Palatino Linotype" w:hAnsi="Palatino Linotype" w:cs="Palatino Linotype"/>
                  </w:rPr>
                </w:pPr>
                <w:r>
                  <w:rPr>
                    <w:rFonts w:ascii="Palatino Linotype" w:eastAsia="Palatino Linotype" w:hAnsi="Palatino Linotype" w:cs="Palatino Linotype"/>
                  </w:rPr>
                  <w:t>04898/INFOEM/IP/RR/2024 y Acumulado</w:t>
                </w:r>
              </w:p>
            </w:tc>
          </w:tr>
          <w:tr w:rsidR="004542D1">
            <w:trPr>
              <w:trHeight w:val="295"/>
            </w:trPr>
            <w:tc>
              <w:tcPr>
                <w:tcW w:w="3225" w:type="dxa"/>
                <w:tcBorders>
                  <w:top w:val="nil"/>
                  <w:left w:val="nil"/>
                  <w:bottom w:val="nil"/>
                  <w:right w:val="nil"/>
                </w:tcBorders>
              </w:tcPr>
              <w:p w:rsidR="004542D1" w:rsidRDefault="00E33CAA">
                <w:pPr>
                  <w:ind w:left="283" w:right="-676"/>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75" w:type="dxa"/>
                <w:tcBorders>
                  <w:top w:val="nil"/>
                  <w:left w:val="nil"/>
                  <w:bottom w:val="nil"/>
                  <w:right w:val="nil"/>
                </w:tcBorders>
              </w:tcPr>
              <w:p w:rsidR="004542D1" w:rsidRDefault="00E33CAA">
                <w:pPr>
                  <w:ind w:right="-1482"/>
                  <w:rPr>
                    <w:rFonts w:ascii="Palatino Linotype" w:eastAsia="Palatino Linotype" w:hAnsi="Palatino Linotype" w:cs="Palatino Linotype"/>
                  </w:rPr>
                </w:pPr>
                <w:r>
                  <w:rPr>
                    <w:rFonts w:ascii="Palatino Linotype" w:eastAsia="Palatino Linotype" w:hAnsi="Palatino Linotype" w:cs="Palatino Linotype"/>
                  </w:rPr>
                  <w:t>Secretaría de Movilidad</w:t>
                </w:r>
              </w:p>
            </w:tc>
          </w:tr>
          <w:tr w:rsidR="004542D1">
            <w:trPr>
              <w:trHeight w:val="295"/>
            </w:trPr>
            <w:tc>
              <w:tcPr>
                <w:tcW w:w="3225" w:type="dxa"/>
                <w:tcBorders>
                  <w:top w:val="nil"/>
                  <w:left w:val="nil"/>
                  <w:bottom w:val="nil"/>
                  <w:right w:val="nil"/>
                </w:tcBorders>
              </w:tcPr>
              <w:p w:rsidR="004542D1" w:rsidRDefault="00E33CAA">
                <w:pPr>
                  <w:ind w:left="283" w:right="-676"/>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75" w:type="dxa"/>
                <w:tcBorders>
                  <w:top w:val="nil"/>
                  <w:left w:val="nil"/>
                  <w:bottom w:val="nil"/>
                  <w:right w:val="nil"/>
                </w:tcBorders>
              </w:tcPr>
              <w:p w:rsidR="004542D1" w:rsidRDefault="00E33CAA">
                <w:pPr>
                  <w:ind w:right="-1482"/>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rsidR="004542D1" w:rsidRDefault="004542D1">
                <w:pPr>
                  <w:ind w:right="-1482"/>
                  <w:rPr>
                    <w:rFonts w:ascii="Palatino Linotype" w:eastAsia="Palatino Linotype" w:hAnsi="Palatino Linotype" w:cs="Palatino Linotype"/>
                    <w:b/>
                  </w:rPr>
                </w:pPr>
              </w:p>
            </w:tc>
          </w:tr>
        </w:tbl>
        <w:p w:rsidR="004542D1" w:rsidRDefault="004542D1">
          <w:pPr>
            <w:tabs>
              <w:tab w:val="right" w:pos="8838"/>
            </w:tabs>
            <w:ind w:left="-28" w:right="-676"/>
            <w:jc w:val="both"/>
            <w:rPr>
              <w:rFonts w:ascii="Arial" w:eastAsia="Arial" w:hAnsi="Arial" w:cs="Arial"/>
              <w:b/>
            </w:rPr>
          </w:pPr>
        </w:p>
      </w:tc>
    </w:tr>
  </w:tbl>
  <w:p w:rsidR="004542D1" w:rsidRDefault="0047344A">
    <w:pPr>
      <w:pBdr>
        <w:top w:val="nil"/>
        <w:left w:val="nil"/>
        <w:bottom w:val="nil"/>
        <w:right w:val="nil"/>
        <w:between w:val="nil"/>
      </w:pBdr>
      <w:tabs>
        <w:tab w:val="center" w:pos="4111"/>
        <w:tab w:val="right" w:pos="8838"/>
      </w:tabs>
      <w:rPr>
        <w:color w:val="000000"/>
        <w:sz w:val="14"/>
        <w:szCs w:val="14"/>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D1" w:rsidRDefault="004542D1">
    <w:pPr>
      <w:widowControl w:val="0"/>
      <w:pBdr>
        <w:top w:val="nil"/>
        <w:left w:val="nil"/>
        <w:bottom w:val="nil"/>
        <w:right w:val="nil"/>
        <w:between w:val="nil"/>
      </w:pBdr>
      <w:spacing w:line="276" w:lineRule="auto"/>
      <w:rPr>
        <w:color w:val="000000"/>
        <w:sz w:val="14"/>
        <w:szCs w:val="14"/>
      </w:rPr>
    </w:pPr>
  </w:p>
  <w:tbl>
    <w:tblPr>
      <w:tblStyle w:val="af6"/>
      <w:tblW w:w="10050" w:type="dxa"/>
      <w:tblInd w:w="0" w:type="dxa"/>
      <w:tblLayout w:type="fixed"/>
      <w:tblLook w:val="0400" w:firstRow="0" w:lastRow="0" w:firstColumn="0" w:lastColumn="0" w:noHBand="0" w:noVBand="1"/>
    </w:tblPr>
    <w:tblGrid>
      <w:gridCol w:w="2265"/>
      <w:gridCol w:w="7785"/>
    </w:tblGrid>
    <w:tr w:rsidR="004542D1">
      <w:trPr>
        <w:trHeight w:val="1435"/>
      </w:trPr>
      <w:tc>
        <w:tcPr>
          <w:tcW w:w="2265" w:type="dxa"/>
        </w:tcPr>
        <w:p w:rsidR="004542D1" w:rsidRDefault="004542D1">
          <w:pPr>
            <w:tabs>
              <w:tab w:val="right" w:pos="4273"/>
            </w:tabs>
            <w:rPr>
              <w:rFonts w:ascii="Garamond" w:eastAsia="Garamond" w:hAnsi="Garamond" w:cs="Garamond"/>
            </w:rPr>
          </w:pPr>
        </w:p>
      </w:tc>
      <w:tc>
        <w:tcPr>
          <w:tcW w:w="7785" w:type="dxa"/>
        </w:tcPr>
        <w:p w:rsidR="004542D1" w:rsidRDefault="004542D1">
          <w:pPr>
            <w:widowControl w:val="0"/>
            <w:pBdr>
              <w:top w:val="nil"/>
              <w:left w:val="nil"/>
              <w:bottom w:val="nil"/>
              <w:right w:val="nil"/>
              <w:between w:val="nil"/>
            </w:pBdr>
            <w:spacing w:line="276" w:lineRule="auto"/>
            <w:rPr>
              <w:rFonts w:ascii="Garamond" w:eastAsia="Garamond" w:hAnsi="Garamond" w:cs="Garamond"/>
            </w:rPr>
          </w:pPr>
        </w:p>
        <w:tbl>
          <w:tblPr>
            <w:tblStyle w:val="af7"/>
            <w:tblW w:w="7485" w:type="dxa"/>
            <w:tblInd w:w="40" w:type="dxa"/>
            <w:tblLayout w:type="fixed"/>
            <w:tblLook w:val="0400" w:firstRow="0" w:lastRow="0" w:firstColumn="0" w:lastColumn="0" w:noHBand="0" w:noVBand="1"/>
          </w:tblPr>
          <w:tblGrid>
            <w:gridCol w:w="3197"/>
            <w:gridCol w:w="4288"/>
          </w:tblGrid>
          <w:tr w:rsidR="004542D1">
            <w:trPr>
              <w:trHeight w:val="291"/>
            </w:trPr>
            <w:tc>
              <w:tcPr>
                <w:tcW w:w="3197" w:type="dxa"/>
                <w:tcBorders>
                  <w:top w:val="nil"/>
                  <w:left w:val="nil"/>
                  <w:bottom w:val="nil"/>
                  <w:right w:val="nil"/>
                </w:tcBorders>
              </w:tcPr>
              <w:p w:rsidR="004542D1" w:rsidRDefault="00E33CAA">
                <w:pPr>
                  <w:ind w:left="708"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288" w:type="dxa"/>
                <w:tcBorders>
                  <w:top w:val="nil"/>
                  <w:left w:val="nil"/>
                  <w:bottom w:val="nil"/>
                  <w:right w:val="nil"/>
                </w:tcBorders>
              </w:tcPr>
              <w:p w:rsidR="004542D1" w:rsidRDefault="00E33CAA">
                <w:pPr>
                  <w:ind w:right="-1625"/>
                  <w:rPr>
                    <w:rFonts w:ascii="Palatino Linotype" w:eastAsia="Palatino Linotype" w:hAnsi="Palatino Linotype" w:cs="Palatino Linotype"/>
                  </w:rPr>
                </w:pPr>
                <w:r>
                  <w:rPr>
                    <w:rFonts w:ascii="Palatino Linotype" w:eastAsia="Palatino Linotype" w:hAnsi="Palatino Linotype" w:cs="Palatino Linotype"/>
                  </w:rPr>
                  <w:t>04898/INFOEM/IP/RR/2024 y Acumulado</w:t>
                </w:r>
              </w:p>
            </w:tc>
          </w:tr>
          <w:tr w:rsidR="004542D1">
            <w:trPr>
              <w:trHeight w:val="291"/>
            </w:trPr>
            <w:tc>
              <w:tcPr>
                <w:tcW w:w="3197" w:type="dxa"/>
                <w:tcBorders>
                  <w:top w:val="nil"/>
                  <w:left w:val="nil"/>
                  <w:bottom w:val="nil"/>
                  <w:right w:val="nil"/>
                </w:tcBorders>
              </w:tcPr>
              <w:p w:rsidR="004542D1" w:rsidRDefault="00E33CAA">
                <w:pPr>
                  <w:ind w:left="708" w:right="-105"/>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288" w:type="dxa"/>
                <w:tcBorders>
                  <w:top w:val="nil"/>
                  <w:left w:val="nil"/>
                  <w:bottom w:val="nil"/>
                  <w:right w:val="nil"/>
                </w:tcBorders>
              </w:tcPr>
              <w:p w:rsidR="004542D1" w:rsidRDefault="004542D1">
                <w:pPr>
                  <w:ind w:right="-1625"/>
                  <w:rPr>
                    <w:rFonts w:ascii="Palatino Linotype" w:eastAsia="Palatino Linotype" w:hAnsi="Palatino Linotype" w:cs="Palatino Linotype"/>
                  </w:rPr>
                </w:pPr>
              </w:p>
            </w:tc>
          </w:tr>
          <w:tr w:rsidR="004542D1">
            <w:trPr>
              <w:trHeight w:val="291"/>
            </w:trPr>
            <w:tc>
              <w:tcPr>
                <w:tcW w:w="3197" w:type="dxa"/>
                <w:tcBorders>
                  <w:top w:val="nil"/>
                  <w:left w:val="nil"/>
                  <w:bottom w:val="nil"/>
                  <w:right w:val="nil"/>
                </w:tcBorders>
              </w:tcPr>
              <w:p w:rsidR="004542D1" w:rsidRDefault="00E33CAA">
                <w:pPr>
                  <w:ind w:left="708"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288" w:type="dxa"/>
                <w:tcBorders>
                  <w:top w:val="nil"/>
                  <w:left w:val="nil"/>
                  <w:bottom w:val="nil"/>
                  <w:right w:val="nil"/>
                </w:tcBorders>
              </w:tcPr>
              <w:p w:rsidR="004542D1" w:rsidRDefault="008F4925">
                <w:pPr>
                  <w:ind w:right="-1625"/>
                  <w:rPr>
                    <w:rFonts w:ascii="Palatino Linotype" w:eastAsia="Palatino Linotype" w:hAnsi="Palatino Linotype" w:cs="Palatino Linotype"/>
                  </w:rPr>
                </w:pPr>
                <w:r>
                  <w:rPr>
                    <w:rFonts w:ascii="Palatino Linotype" w:eastAsia="Palatino Linotype" w:hAnsi="Palatino Linotype" w:cs="Palatino Linotype"/>
                  </w:rPr>
                  <w:t>Secretarí</w:t>
                </w:r>
                <w:r w:rsidR="00E33CAA">
                  <w:rPr>
                    <w:rFonts w:ascii="Palatino Linotype" w:eastAsia="Palatino Linotype" w:hAnsi="Palatino Linotype" w:cs="Palatino Linotype"/>
                  </w:rPr>
                  <w:t>a de Movilidad</w:t>
                </w:r>
              </w:p>
            </w:tc>
          </w:tr>
          <w:tr w:rsidR="004542D1">
            <w:trPr>
              <w:trHeight w:val="583"/>
            </w:trPr>
            <w:tc>
              <w:tcPr>
                <w:tcW w:w="3197" w:type="dxa"/>
                <w:tcBorders>
                  <w:top w:val="nil"/>
                  <w:left w:val="nil"/>
                  <w:bottom w:val="nil"/>
                  <w:right w:val="nil"/>
                </w:tcBorders>
              </w:tcPr>
              <w:p w:rsidR="004542D1" w:rsidRDefault="00E33CAA">
                <w:pPr>
                  <w:ind w:left="708"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288" w:type="dxa"/>
                <w:tcBorders>
                  <w:top w:val="nil"/>
                  <w:left w:val="nil"/>
                  <w:bottom w:val="nil"/>
                  <w:right w:val="nil"/>
                </w:tcBorders>
              </w:tcPr>
              <w:p w:rsidR="004542D1" w:rsidRDefault="00E33CAA">
                <w:pPr>
                  <w:ind w:right="-162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rsidR="004542D1" w:rsidRDefault="004542D1">
                <w:pPr>
                  <w:ind w:right="-1625"/>
                  <w:rPr>
                    <w:rFonts w:ascii="Palatino Linotype" w:eastAsia="Palatino Linotype" w:hAnsi="Palatino Linotype" w:cs="Palatino Linotype"/>
                    <w:b/>
                  </w:rPr>
                </w:pPr>
              </w:p>
            </w:tc>
          </w:tr>
        </w:tbl>
        <w:p w:rsidR="004542D1" w:rsidRDefault="004542D1">
          <w:pPr>
            <w:tabs>
              <w:tab w:val="right" w:pos="8838"/>
            </w:tabs>
            <w:ind w:left="-28"/>
            <w:jc w:val="both"/>
            <w:rPr>
              <w:rFonts w:ascii="Arial" w:eastAsia="Arial" w:hAnsi="Arial" w:cs="Arial"/>
              <w:b/>
            </w:rPr>
          </w:pPr>
        </w:p>
      </w:tc>
    </w:tr>
  </w:tbl>
  <w:p w:rsidR="004542D1" w:rsidRDefault="0047344A">
    <w:pPr>
      <w:pBdr>
        <w:top w:val="nil"/>
        <w:left w:val="nil"/>
        <w:bottom w:val="nil"/>
        <w:right w:val="nil"/>
        <w:between w:val="nil"/>
      </w:pBdr>
      <w:tabs>
        <w:tab w:val="center" w:pos="4419"/>
        <w:tab w:val="right" w:pos="8838"/>
      </w:tabs>
      <w:rPr>
        <w:color w:val="000000"/>
        <w:sz w:val="2"/>
        <w:szCs w:val="2"/>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0AF2"/>
    <w:multiLevelType w:val="multilevel"/>
    <w:tmpl w:val="42725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2B301A"/>
    <w:multiLevelType w:val="multilevel"/>
    <w:tmpl w:val="081C6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220BB4"/>
    <w:multiLevelType w:val="multilevel"/>
    <w:tmpl w:val="4A3AE34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15:restartNumberingAfterBreak="0">
    <w:nsid w:val="389C04EE"/>
    <w:multiLevelType w:val="multilevel"/>
    <w:tmpl w:val="9A6236C8"/>
    <w:lvl w:ilvl="0">
      <w:start w:val="1"/>
      <w:numFmt w:val="decimal"/>
      <w:lvlText w:val="%1."/>
      <w:lvlJc w:val="left"/>
      <w:pPr>
        <w:ind w:left="359"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3196"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DF48E3"/>
    <w:multiLevelType w:val="multilevel"/>
    <w:tmpl w:val="F13E751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405547DF"/>
    <w:multiLevelType w:val="multilevel"/>
    <w:tmpl w:val="D0C0E5DE"/>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6" w15:restartNumberingAfterBreak="0">
    <w:nsid w:val="4CC1522E"/>
    <w:multiLevelType w:val="multilevel"/>
    <w:tmpl w:val="0292D3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3F384E"/>
    <w:multiLevelType w:val="multilevel"/>
    <w:tmpl w:val="900ED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AF95804"/>
    <w:multiLevelType w:val="multilevel"/>
    <w:tmpl w:val="A15E3E6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5FCA0856"/>
    <w:multiLevelType w:val="multilevel"/>
    <w:tmpl w:val="FF2CF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7D6788"/>
    <w:multiLevelType w:val="multilevel"/>
    <w:tmpl w:val="17D4780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9"/>
  </w:num>
  <w:num w:numId="2">
    <w:abstractNumId w:val="4"/>
  </w:num>
  <w:num w:numId="3">
    <w:abstractNumId w:val="7"/>
  </w:num>
  <w:num w:numId="4">
    <w:abstractNumId w:val="10"/>
  </w:num>
  <w:num w:numId="5">
    <w:abstractNumId w:val="2"/>
  </w:num>
  <w:num w:numId="6">
    <w:abstractNumId w:val="5"/>
  </w:num>
  <w:num w:numId="7">
    <w:abstractNumId w:val="0"/>
  </w:num>
  <w:num w:numId="8">
    <w:abstractNumId w:val="8"/>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D1"/>
    <w:rsid w:val="000C477E"/>
    <w:rsid w:val="000F14A8"/>
    <w:rsid w:val="002E2E1E"/>
    <w:rsid w:val="002F5E6A"/>
    <w:rsid w:val="004542D1"/>
    <w:rsid w:val="0047344A"/>
    <w:rsid w:val="0058759F"/>
    <w:rsid w:val="006C2459"/>
    <w:rsid w:val="00803417"/>
    <w:rsid w:val="008E3E36"/>
    <w:rsid w:val="008F4925"/>
    <w:rsid w:val="00B15BCA"/>
    <w:rsid w:val="00E33C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84D17F2-B9B2-4ED1-A441-468D5B13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4DC"/>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1E6B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5101F"/>
    <w:pPr>
      <w:tabs>
        <w:tab w:val="center" w:pos="4419"/>
        <w:tab w:val="right" w:pos="8838"/>
      </w:tabs>
    </w:pPr>
  </w:style>
  <w:style w:type="character" w:customStyle="1" w:styleId="EncabezadoCar">
    <w:name w:val="Encabezado Car"/>
    <w:basedOn w:val="Fuentedeprrafopredeter"/>
    <w:link w:val="Encabezado"/>
    <w:uiPriority w:val="99"/>
    <w:rsid w:val="00E5101F"/>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E5101F"/>
    <w:pPr>
      <w:tabs>
        <w:tab w:val="center" w:pos="4419"/>
        <w:tab w:val="right" w:pos="8838"/>
      </w:tabs>
    </w:pPr>
  </w:style>
  <w:style w:type="character" w:customStyle="1" w:styleId="PiedepginaCar">
    <w:name w:val="Pie de página Car"/>
    <w:basedOn w:val="Fuentedeprrafopredeter"/>
    <w:link w:val="Piedepgina"/>
    <w:uiPriority w:val="99"/>
    <w:rsid w:val="00E5101F"/>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5101F"/>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5101F"/>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E5101F"/>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5101F"/>
    <w:rPr>
      <w:rFonts w:cs="Times New Roman"/>
      <w:vertAlign w:val="superscript"/>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qFormat/>
    <w:locked/>
    <w:rsid w:val="00E5101F"/>
    <w:rPr>
      <w:rFonts w:cs="Times New Roman"/>
      <w:sz w:val="20"/>
      <w:szCs w:val="20"/>
    </w:r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E5101F"/>
    <w:rPr>
      <w:rFonts w:asciiTheme="minorHAnsi" w:eastAsiaTheme="minorHAnsi" w:hAnsiTheme="minorHAnsi"/>
      <w:sz w:val="20"/>
      <w:szCs w:val="20"/>
      <w:lang w:eastAsia="en-US"/>
    </w:rPr>
  </w:style>
  <w:style w:type="character" w:customStyle="1" w:styleId="TextonotapieCar1">
    <w:name w:val="Texto nota pie Car1"/>
    <w:basedOn w:val="Fuentedeprrafopredeter"/>
    <w:uiPriority w:val="99"/>
    <w:semiHidden/>
    <w:rsid w:val="00E5101F"/>
    <w:rPr>
      <w:rFonts w:ascii="Times New Roman" w:eastAsia="Times New Roman" w:hAnsi="Times New Roman" w:cs="Times New Roman"/>
      <w:sz w:val="20"/>
      <w:szCs w:val="20"/>
      <w:lang w:eastAsia="es-MX"/>
    </w:rPr>
  </w:style>
  <w:style w:type="paragraph" w:customStyle="1" w:styleId="Default">
    <w:name w:val="Default"/>
    <w:rsid w:val="00E5101F"/>
    <w:pPr>
      <w:autoSpaceDE w:val="0"/>
      <w:autoSpaceDN w:val="0"/>
      <w:adjustRightInd w:val="0"/>
    </w:pPr>
    <w:rPr>
      <w:rFonts w:ascii="Arial" w:hAnsi="Arial" w:cs="Arial"/>
      <w:color w:val="000000"/>
    </w:rPr>
  </w:style>
  <w:style w:type="character" w:customStyle="1" w:styleId="Ttulo2Car">
    <w:name w:val="Título 2 Car"/>
    <w:basedOn w:val="Fuentedeprrafopredeter"/>
    <w:link w:val="Ttulo2"/>
    <w:uiPriority w:val="9"/>
    <w:rsid w:val="001E6BCD"/>
    <w:rPr>
      <w:rFonts w:asciiTheme="majorHAnsi" w:eastAsiaTheme="majorEastAsia" w:hAnsiTheme="majorHAnsi" w:cstheme="majorBidi"/>
      <w:color w:val="2E74B5" w:themeColor="accent1" w:themeShade="BF"/>
      <w:sz w:val="26"/>
      <w:szCs w:val="26"/>
      <w:lang w:eastAsia="es-MX"/>
    </w:rPr>
  </w:style>
  <w:style w:type="paragraph" w:styleId="Sinespaciado">
    <w:name w:val="No Spacing"/>
    <w:aliases w:val="Francesa,INAI"/>
    <w:link w:val="SinespaciadoCar"/>
    <w:uiPriority w:val="1"/>
    <w:qFormat/>
    <w:rsid w:val="001E6BCD"/>
    <w:rPr>
      <w:lang w:eastAsia="es-ES"/>
    </w:rPr>
  </w:style>
  <w:style w:type="character" w:customStyle="1" w:styleId="SinespaciadoCar">
    <w:name w:val="Sin espaciado Car"/>
    <w:aliases w:val="Francesa Car,INAI Car"/>
    <w:link w:val="Sinespaciado"/>
    <w:uiPriority w:val="1"/>
    <w:locked/>
    <w:rsid w:val="001E6BCD"/>
    <w:rPr>
      <w:rFonts w:ascii="Times New Roman" w:eastAsia="Times New Roman" w:hAnsi="Times New Roman" w:cs="Times New Roman"/>
      <w:sz w:val="24"/>
      <w:szCs w:val="24"/>
      <w:lang w:eastAsia="es-ES"/>
    </w:rPr>
  </w:style>
  <w:style w:type="table" w:styleId="Tablaconcuadrcula">
    <w:name w:val="Table Grid"/>
    <w:basedOn w:val="Tablanormal"/>
    <w:uiPriority w:val="39"/>
    <w:rsid w:val="005D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39"/>
    <w:rsid w:val="00FD40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1032C9"/>
    <w:pPr>
      <w:spacing w:before="240" w:after="160" w:line="360" w:lineRule="auto"/>
      <w:ind w:left="851" w:right="851"/>
      <w:jc w:val="both"/>
    </w:pPr>
    <w:rPr>
      <w:rFonts w:ascii="Palatino Linotype" w:hAnsi="Palatino Linotype" w:cs="Arial"/>
      <w:i/>
      <w:sz w:val="22"/>
      <w:szCs w:val="22"/>
      <w:lang w:eastAsia="en-US"/>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Tablanormal11">
    <w:name w:val="Tabla normal 11"/>
    <w:basedOn w:val="Tablanormal"/>
    <w:next w:val="Tablanormal1"/>
    <w:uiPriority w:val="41"/>
    <w:rsid w:val="00D0261A"/>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D0261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e">
    <w:basedOn w:val="TableNormal1"/>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paragraph" w:customStyle="1" w:styleId="INFOEM">
    <w:name w:val="INFOEM"/>
    <w:basedOn w:val="Normal"/>
    <w:qFormat/>
    <w:rsid w:val="006A72E6"/>
    <w:pPr>
      <w:spacing w:before="240" w:after="160" w:line="360" w:lineRule="auto"/>
      <w:ind w:left="851" w:right="851"/>
      <w:jc w:val="both"/>
    </w:pPr>
    <w:rPr>
      <w:rFonts w:ascii="Palatino Linotype" w:eastAsiaTheme="minorHAnsi" w:hAnsi="Palatino Linotype" w:cstheme="minorBidi"/>
      <w:i/>
      <w:sz w:val="22"/>
      <w:szCs w:val="14"/>
      <w:lang w:eastAsia="en-US"/>
    </w:rPr>
  </w:style>
  <w:style w:type="table" w:customStyle="1" w:styleId="af3">
    <w:basedOn w:val="TableNormal0"/>
    <w:rPr>
      <w:rFonts w:ascii="Calibri" w:eastAsia="Calibri" w:hAnsi="Calibri" w:cs="Calibri"/>
      <w:sz w:val="22"/>
      <w:szCs w:val="22"/>
    </w:r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4">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7">
    <w:basedOn w:val="TableNormal0"/>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pPKhj3YuQM5U+IlVc2+Fcmq6cw==">CgMxLjAyCGguZ2pkZ3hzMgloLjMwajB6bGwyCWguMnM4ZXlvMTIJaC4xZm9iOXRlMgloLjN6bnlzaDcyCWguMmV0OTJwMDIIaC50eWpjd3QyCWguM2R5NnZrbTIOaC5hOHk4NHpwdXNjNjkyCWguMXQzaDVzZjIOaC5idWI0eXZxMGlmNzQyCWguMTdkcDh2dTIJaC4zcmRjcmpuMghoLmxueGJ6OTgAciExRnFCZ1ZuczlmcnVaNzIzVXB0X1J6cllMaFRyV3Uwb18=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37</Pages>
  <Words>8157</Words>
  <Characters>44864</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5</cp:revision>
  <dcterms:created xsi:type="dcterms:W3CDTF">2024-12-09T17:53:00Z</dcterms:created>
  <dcterms:modified xsi:type="dcterms:W3CDTF">2025-01-22T00:30:00Z</dcterms:modified>
</cp:coreProperties>
</file>