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830CB" w14:textId="77777777" w:rsidR="006B45F1" w:rsidRPr="003463FE" w:rsidRDefault="007634EE">
      <w:pPr>
        <w:spacing w:before="240" w:after="0" w:line="360" w:lineRule="auto"/>
        <w:ind w:right="49"/>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Resolución del Pleno del Instituto de Transparencia, Acceso a la Información Pública y Protección de Datos Personales del Estado de México y Municipios, con domicilio en Metepec, Estado de México, a once de diciembre de dos mil veinticuatro.</w:t>
      </w:r>
    </w:p>
    <w:p w14:paraId="2904D4FB" w14:textId="77777777" w:rsidR="006B45F1" w:rsidRPr="003463FE" w:rsidRDefault="006B45F1">
      <w:pPr>
        <w:spacing w:after="0" w:line="360" w:lineRule="auto"/>
        <w:ind w:right="49"/>
        <w:jc w:val="both"/>
        <w:rPr>
          <w:rFonts w:ascii="Palatino Linotype" w:eastAsia="Palatino Linotype" w:hAnsi="Palatino Linotype" w:cs="Palatino Linotype"/>
          <w:sz w:val="24"/>
          <w:szCs w:val="24"/>
        </w:rPr>
      </w:pPr>
    </w:p>
    <w:p w14:paraId="396B76FA" w14:textId="5A938A6E" w:rsidR="006B45F1" w:rsidRPr="003463FE" w:rsidRDefault="007634EE">
      <w:pPr>
        <w:spacing w:after="0" w:line="360" w:lineRule="auto"/>
        <w:ind w:right="51"/>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 xml:space="preserve">Visto </w:t>
      </w:r>
      <w:r w:rsidRPr="003463FE">
        <w:rPr>
          <w:rFonts w:ascii="Palatino Linotype" w:eastAsia="Palatino Linotype" w:hAnsi="Palatino Linotype" w:cs="Palatino Linotype"/>
          <w:sz w:val="24"/>
          <w:szCs w:val="24"/>
        </w:rPr>
        <w:t xml:space="preserve">el expediente relativo al recurso de revisión </w:t>
      </w:r>
      <w:r w:rsidRPr="003463FE">
        <w:rPr>
          <w:rFonts w:ascii="Palatino Linotype" w:eastAsia="Palatino Linotype" w:hAnsi="Palatino Linotype" w:cs="Palatino Linotype"/>
          <w:b/>
          <w:sz w:val="24"/>
          <w:szCs w:val="24"/>
        </w:rPr>
        <w:t>07249/INFOEM/IP/RR/2024</w:t>
      </w:r>
      <w:r w:rsidRPr="003463FE">
        <w:rPr>
          <w:rFonts w:ascii="Palatino Linotype" w:eastAsia="Palatino Linotype" w:hAnsi="Palatino Linotype" w:cs="Palatino Linotype"/>
          <w:sz w:val="24"/>
          <w:szCs w:val="24"/>
        </w:rPr>
        <w:t>, interpuesto por</w:t>
      </w:r>
      <w:r w:rsidRPr="003463FE">
        <w:rPr>
          <w:rFonts w:ascii="Palatino Linotype" w:eastAsia="Palatino Linotype" w:hAnsi="Palatino Linotype" w:cs="Palatino Linotype"/>
          <w:b/>
          <w:sz w:val="24"/>
          <w:szCs w:val="24"/>
        </w:rPr>
        <w:t xml:space="preserve"> </w:t>
      </w:r>
      <w:r w:rsidR="0086672F" w:rsidRPr="0086672F">
        <w:rPr>
          <w:rFonts w:ascii="Palatino Linotype" w:eastAsia="Palatino Linotype" w:hAnsi="Palatino Linotype" w:cs="Palatino Linotype"/>
          <w:b/>
          <w:sz w:val="24"/>
          <w:szCs w:val="24"/>
        </w:rPr>
        <w:t>XXXXXXX XXXXX</w:t>
      </w:r>
      <w:r w:rsidRPr="003463FE">
        <w:rPr>
          <w:rFonts w:ascii="Palatino Linotype" w:eastAsia="Palatino Linotype" w:hAnsi="Palatino Linotype" w:cs="Palatino Linotype"/>
          <w:sz w:val="24"/>
          <w:szCs w:val="24"/>
        </w:rPr>
        <w:t xml:space="preserve">, en lo sucesivo se le denominara </w:t>
      </w:r>
      <w:r w:rsidRPr="003463FE">
        <w:rPr>
          <w:rFonts w:ascii="Palatino Linotype" w:eastAsia="Palatino Linotype" w:hAnsi="Palatino Linotype" w:cs="Palatino Linotype"/>
          <w:b/>
          <w:sz w:val="24"/>
          <w:szCs w:val="24"/>
        </w:rPr>
        <w:t>LA PARTE RECURRENTE</w:t>
      </w:r>
      <w:r w:rsidRPr="003463FE">
        <w:rPr>
          <w:rFonts w:ascii="Palatino Linotype" w:eastAsia="Palatino Linotype" w:hAnsi="Palatino Linotype" w:cs="Palatino Linotype"/>
          <w:sz w:val="24"/>
          <w:szCs w:val="24"/>
        </w:rPr>
        <w:t xml:space="preserve">, en contra de la respuesta a la solicitud de información con número de folio </w:t>
      </w:r>
      <w:r w:rsidRPr="003463FE">
        <w:rPr>
          <w:rFonts w:ascii="Palatino Linotype" w:eastAsia="Palatino Linotype" w:hAnsi="Palatino Linotype" w:cs="Palatino Linotype"/>
          <w:b/>
          <w:sz w:val="24"/>
          <w:szCs w:val="24"/>
        </w:rPr>
        <w:t>00056/TIMILPAN/IP/2024</w:t>
      </w:r>
      <w:r w:rsidRPr="003463FE">
        <w:rPr>
          <w:rFonts w:ascii="Palatino Linotype" w:eastAsia="Palatino Linotype" w:hAnsi="Palatino Linotype" w:cs="Palatino Linotype"/>
          <w:sz w:val="24"/>
          <w:szCs w:val="24"/>
        </w:rPr>
        <w:t>, por parte del</w:t>
      </w:r>
      <w:r w:rsidRPr="003463FE">
        <w:rPr>
          <w:rFonts w:ascii="Palatino Linotype" w:eastAsia="Palatino Linotype" w:hAnsi="Palatino Linotype" w:cs="Palatino Linotype"/>
          <w:b/>
          <w:sz w:val="24"/>
          <w:szCs w:val="24"/>
        </w:rPr>
        <w:t xml:space="preserve"> Ayuntamiento de Timilpan</w:t>
      </w:r>
      <w:r w:rsidRPr="003463FE">
        <w:rPr>
          <w:rFonts w:ascii="Palatino Linotype" w:eastAsia="Palatino Linotype" w:hAnsi="Palatino Linotype" w:cs="Palatino Linotype"/>
          <w:sz w:val="24"/>
          <w:szCs w:val="24"/>
        </w:rPr>
        <w:t>, en lo sucesivo</w:t>
      </w:r>
      <w:r w:rsidRPr="003463FE">
        <w:rPr>
          <w:rFonts w:ascii="Palatino Linotype" w:eastAsia="Palatino Linotype" w:hAnsi="Palatino Linotype" w:cs="Palatino Linotype"/>
          <w:b/>
          <w:sz w:val="24"/>
          <w:szCs w:val="24"/>
        </w:rPr>
        <w:t xml:space="preserve"> EL SUJETO OBLIGADO; </w:t>
      </w:r>
      <w:r w:rsidRPr="003463FE">
        <w:rPr>
          <w:rFonts w:ascii="Palatino Linotype" w:eastAsia="Palatino Linotype" w:hAnsi="Palatino Linotype" w:cs="Palatino Linotype"/>
          <w:sz w:val="24"/>
          <w:szCs w:val="24"/>
        </w:rPr>
        <w:t>se procede a dictar la presente resolución, con base en lo siguiente.</w:t>
      </w:r>
    </w:p>
    <w:p w14:paraId="6AC02DD5"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69AB3C7D" w14:textId="77777777" w:rsidR="006B45F1" w:rsidRPr="003463FE" w:rsidRDefault="007634EE">
      <w:pPr>
        <w:spacing w:after="0" w:line="360" w:lineRule="auto"/>
        <w:ind w:right="51"/>
        <w:jc w:val="center"/>
        <w:rPr>
          <w:rFonts w:ascii="Palatino Linotype" w:eastAsia="Palatino Linotype" w:hAnsi="Palatino Linotype" w:cs="Palatino Linotype"/>
          <w:b/>
          <w:sz w:val="24"/>
          <w:szCs w:val="24"/>
        </w:rPr>
      </w:pPr>
      <w:r w:rsidRPr="003463FE">
        <w:rPr>
          <w:rFonts w:ascii="Palatino Linotype" w:eastAsia="Palatino Linotype" w:hAnsi="Palatino Linotype" w:cs="Palatino Linotype"/>
          <w:b/>
          <w:sz w:val="24"/>
          <w:szCs w:val="24"/>
        </w:rPr>
        <w:t>A N T E C E D E N T E S</w:t>
      </w:r>
    </w:p>
    <w:p w14:paraId="693C67C4" w14:textId="77777777" w:rsidR="006B45F1" w:rsidRPr="003463FE" w:rsidRDefault="006B45F1">
      <w:pPr>
        <w:spacing w:after="0" w:line="360" w:lineRule="auto"/>
        <w:ind w:right="51"/>
        <w:jc w:val="center"/>
        <w:rPr>
          <w:rFonts w:ascii="Palatino Linotype" w:eastAsia="Palatino Linotype" w:hAnsi="Palatino Linotype" w:cs="Palatino Linotype"/>
          <w:sz w:val="24"/>
          <w:szCs w:val="24"/>
        </w:rPr>
      </w:pPr>
    </w:p>
    <w:p w14:paraId="4D65BAAC" w14:textId="77777777" w:rsidR="006B45F1" w:rsidRPr="003463FE" w:rsidRDefault="007634EE">
      <w:pPr>
        <w:spacing w:after="0" w:line="360" w:lineRule="auto"/>
        <w:ind w:right="51"/>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1.</w:t>
      </w:r>
      <w:r w:rsidRPr="003463FE">
        <w:rPr>
          <w:rFonts w:ascii="Palatino Linotype" w:eastAsia="Palatino Linotype" w:hAnsi="Palatino Linotype" w:cs="Palatino Linotype"/>
          <w:sz w:val="24"/>
          <w:szCs w:val="24"/>
        </w:rPr>
        <w:t xml:space="preserve"> </w:t>
      </w:r>
      <w:r w:rsidRPr="003463FE">
        <w:rPr>
          <w:rFonts w:ascii="Palatino Linotype" w:eastAsia="Palatino Linotype" w:hAnsi="Palatino Linotype" w:cs="Palatino Linotype"/>
          <w:b/>
          <w:sz w:val="24"/>
          <w:szCs w:val="24"/>
        </w:rPr>
        <w:t xml:space="preserve">SOLICITUD DE INFORMACIÓN. </w:t>
      </w:r>
      <w:r w:rsidRPr="003463FE">
        <w:rPr>
          <w:rFonts w:ascii="Palatino Linotype" w:eastAsia="Palatino Linotype" w:hAnsi="Palatino Linotype" w:cs="Palatino Linotype"/>
          <w:sz w:val="24"/>
          <w:szCs w:val="24"/>
        </w:rPr>
        <w:t xml:space="preserve">Con fecha trece de noviembre de dos mil veinticuatro, </w:t>
      </w:r>
      <w:r w:rsidRPr="003463FE">
        <w:rPr>
          <w:rFonts w:ascii="Palatino Linotype" w:eastAsia="Palatino Linotype" w:hAnsi="Palatino Linotype" w:cs="Palatino Linotype"/>
          <w:b/>
          <w:sz w:val="24"/>
          <w:szCs w:val="24"/>
        </w:rPr>
        <w:t>LA PARTE RECURRENTE</w:t>
      </w:r>
      <w:r w:rsidRPr="003463FE">
        <w:rPr>
          <w:rFonts w:ascii="Palatino Linotype" w:eastAsia="Palatino Linotype" w:hAnsi="Palatino Linotype" w:cs="Palatino Linotype"/>
          <w:sz w:val="24"/>
          <w:szCs w:val="24"/>
        </w:rPr>
        <w:t>, presentó a través del Sistema de Acceso a la Información Mexiquense (</w:t>
      </w:r>
      <w:r w:rsidRPr="003463FE">
        <w:rPr>
          <w:rFonts w:ascii="Palatino Linotype" w:eastAsia="Palatino Linotype" w:hAnsi="Palatino Linotype" w:cs="Palatino Linotype"/>
          <w:b/>
          <w:sz w:val="24"/>
          <w:szCs w:val="24"/>
        </w:rPr>
        <w:t>SAIMEX)</w:t>
      </w:r>
      <w:r w:rsidRPr="003463FE">
        <w:rPr>
          <w:rFonts w:ascii="Palatino Linotype" w:eastAsia="Palatino Linotype" w:hAnsi="Palatino Linotype" w:cs="Palatino Linotype"/>
          <w:sz w:val="24"/>
          <w:szCs w:val="24"/>
        </w:rPr>
        <w:t xml:space="preserve"> ante </w:t>
      </w:r>
      <w:r w:rsidRPr="003463FE">
        <w:rPr>
          <w:rFonts w:ascii="Palatino Linotype" w:eastAsia="Palatino Linotype" w:hAnsi="Palatino Linotype" w:cs="Palatino Linotype"/>
          <w:b/>
          <w:sz w:val="24"/>
          <w:szCs w:val="24"/>
        </w:rPr>
        <w:t>EL SUJETO OBLIGADO</w:t>
      </w:r>
      <w:r w:rsidRPr="003463FE">
        <w:rPr>
          <w:rFonts w:ascii="Palatino Linotype" w:eastAsia="Palatino Linotype" w:hAnsi="Palatino Linotype" w:cs="Palatino Linotype"/>
          <w:sz w:val="24"/>
          <w:szCs w:val="24"/>
        </w:rPr>
        <w:t>, solicitud de acceso a la información pública, registrada bajo el número de expediente</w:t>
      </w:r>
      <w:r w:rsidRPr="003463FE">
        <w:rPr>
          <w:rFonts w:ascii="Verdana" w:eastAsia="Verdana" w:hAnsi="Verdana" w:cs="Verdana"/>
          <w:b/>
        </w:rPr>
        <w:t> </w:t>
      </w:r>
      <w:r w:rsidRPr="003463FE">
        <w:rPr>
          <w:rFonts w:ascii="Palatino Linotype" w:eastAsia="Palatino Linotype" w:hAnsi="Palatino Linotype" w:cs="Palatino Linotype"/>
          <w:b/>
          <w:sz w:val="24"/>
          <w:szCs w:val="24"/>
        </w:rPr>
        <w:t>00056/TIMILPAN/IP/2024</w:t>
      </w:r>
      <w:r w:rsidRPr="003463FE">
        <w:rPr>
          <w:rFonts w:ascii="Palatino Linotype" w:eastAsia="Palatino Linotype" w:hAnsi="Palatino Linotype" w:cs="Palatino Linotype"/>
          <w:sz w:val="24"/>
          <w:szCs w:val="24"/>
        </w:rPr>
        <w:t>,</w:t>
      </w:r>
      <w:r w:rsidRPr="003463FE">
        <w:rPr>
          <w:rFonts w:ascii="Palatino Linotype" w:eastAsia="Palatino Linotype" w:hAnsi="Palatino Linotype" w:cs="Palatino Linotype"/>
          <w:b/>
          <w:sz w:val="24"/>
          <w:szCs w:val="24"/>
        </w:rPr>
        <w:t xml:space="preserve"> </w:t>
      </w:r>
      <w:r w:rsidRPr="003463FE">
        <w:rPr>
          <w:rFonts w:ascii="Palatino Linotype" w:eastAsia="Palatino Linotype" w:hAnsi="Palatino Linotype" w:cs="Palatino Linotype"/>
          <w:sz w:val="24"/>
          <w:szCs w:val="24"/>
        </w:rPr>
        <w:t>mediante la cual solicitó la siguiente información:</w:t>
      </w:r>
    </w:p>
    <w:p w14:paraId="52B7249C"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5704637D" w14:textId="77777777" w:rsidR="006B45F1" w:rsidRPr="003463FE" w:rsidRDefault="007634EE">
      <w:pPr>
        <w:spacing w:after="0" w:line="276" w:lineRule="auto"/>
        <w:ind w:left="709" w:right="760"/>
        <w:jc w:val="both"/>
        <w:rPr>
          <w:rFonts w:ascii="Palatino Linotype" w:eastAsia="Palatino Linotype" w:hAnsi="Palatino Linotype" w:cs="Palatino Linotype"/>
          <w:i/>
        </w:rPr>
      </w:pPr>
      <w:r w:rsidRPr="003463FE">
        <w:rPr>
          <w:rFonts w:ascii="Palatino Linotype" w:eastAsia="Palatino Linotype" w:hAnsi="Palatino Linotype" w:cs="Palatino Linotype"/>
          <w:i/>
        </w:rPr>
        <w:lastRenderedPageBreak/>
        <w:t>“Solicito atentamente, conocer el número de defunciones registradas del año 2021, 2022, 2023 al 10 de noviembre de 2024, desglosadas por mes, género y rango de edad.” (Sic).</w:t>
      </w:r>
    </w:p>
    <w:p w14:paraId="5E69A50D" w14:textId="77777777" w:rsidR="006B45F1" w:rsidRPr="003463FE" w:rsidRDefault="007634EE">
      <w:pPr>
        <w:spacing w:after="0" w:line="360" w:lineRule="auto"/>
        <w:ind w:right="49"/>
        <w:jc w:val="both"/>
        <w:rPr>
          <w:rFonts w:ascii="Palatino Linotype" w:eastAsia="Palatino Linotype" w:hAnsi="Palatino Linotype" w:cs="Palatino Linotype"/>
          <w:sz w:val="24"/>
          <w:szCs w:val="24"/>
        </w:rPr>
      </w:pPr>
      <w:bookmarkStart w:id="0" w:name="_heading=h.25aiclkkvop6" w:colFirst="0" w:colLast="0"/>
      <w:bookmarkEnd w:id="0"/>
      <w:r w:rsidRPr="003463FE">
        <w:rPr>
          <w:rFonts w:ascii="Palatino Linotype" w:eastAsia="Palatino Linotype" w:hAnsi="Palatino Linotype" w:cs="Palatino Linotype"/>
          <w:sz w:val="24"/>
          <w:szCs w:val="24"/>
        </w:rPr>
        <w:t xml:space="preserve">Modalidad de entrega: A través del </w:t>
      </w:r>
      <w:r w:rsidRPr="003463FE">
        <w:rPr>
          <w:rFonts w:ascii="Palatino Linotype" w:eastAsia="Palatino Linotype" w:hAnsi="Palatino Linotype" w:cs="Palatino Linotype"/>
          <w:b/>
          <w:sz w:val="24"/>
          <w:szCs w:val="24"/>
        </w:rPr>
        <w:t>SAIMEX</w:t>
      </w:r>
      <w:r w:rsidRPr="003463FE">
        <w:rPr>
          <w:rFonts w:ascii="Palatino Linotype" w:eastAsia="Palatino Linotype" w:hAnsi="Palatino Linotype" w:cs="Palatino Linotype"/>
          <w:sz w:val="24"/>
          <w:szCs w:val="24"/>
        </w:rPr>
        <w:t>.</w:t>
      </w:r>
    </w:p>
    <w:p w14:paraId="15EDBA1E"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5C09D4EF"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 xml:space="preserve">2. RESPUESTA.  </w:t>
      </w:r>
      <w:r w:rsidRPr="003463FE">
        <w:rPr>
          <w:rFonts w:ascii="Palatino Linotype" w:eastAsia="Palatino Linotype" w:hAnsi="Palatino Linotype" w:cs="Palatino Linotype"/>
          <w:sz w:val="24"/>
          <w:szCs w:val="24"/>
        </w:rPr>
        <w:t xml:space="preserve">Con fecha diecinueve de noviembre del dos mil veinticuatro, </w:t>
      </w:r>
      <w:r w:rsidRPr="003463FE">
        <w:rPr>
          <w:rFonts w:ascii="Palatino Linotype" w:eastAsia="Palatino Linotype" w:hAnsi="Palatino Linotype" w:cs="Palatino Linotype"/>
          <w:b/>
          <w:sz w:val="24"/>
          <w:szCs w:val="24"/>
        </w:rPr>
        <w:t>EL SUJETO OBLIGADO</w:t>
      </w:r>
      <w:r w:rsidRPr="003463FE">
        <w:rPr>
          <w:rFonts w:ascii="Palatino Linotype" w:eastAsia="Palatino Linotype" w:hAnsi="Palatino Linotype" w:cs="Palatino Linotype"/>
          <w:sz w:val="24"/>
          <w:szCs w:val="24"/>
        </w:rPr>
        <w:t xml:space="preserve"> otorgó, a través del SAIMEX, respuesta a la solicitud de acceso a la información en los siguientes términos: </w:t>
      </w:r>
    </w:p>
    <w:p w14:paraId="003AABF8"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65E40615" w14:textId="77777777" w:rsidR="006B45F1" w:rsidRPr="003463FE" w:rsidRDefault="007634EE">
      <w:pPr>
        <w:spacing w:after="0" w:line="276" w:lineRule="auto"/>
        <w:ind w:left="851" w:right="902"/>
        <w:jc w:val="both"/>
        <w:rPr>
          <w:rFonts w:ascii="Palatino Linotype" w:eastAsia="Palatino Linotype" w:hAnsi="Palatino Linotype" w:cs="Palatino Linotype"/>
          <w:i/>
        </w:rPr>
      </w:pPr>
      <w:r w:rsidRPr="003463FE">
        <w:rPr>
          <w:rFonts w:ascii="Palatino Linotype" w:eastAsia="Palatino Linotype" w:hAnsi="Palatino Linotype" w:cs="Palatino Linotype"/>
          <w:i/>
        </w:rPr>
        <w:t>“Solicitud de Información</w:t>
      </w:r>
    </w:p>
    <w:p w14:paraId="77CA4E49" w14:textId="77777777" w:rsidR="006B45F1" w:rsidRPr="003463FE" w:rsidRDefault="007634EE">
      <w:pPr>
        <w:spacing w:after="0" w:line="276" w:lineRule="auto"/>
        <w:ind w:left="851" w:right="902"/>
        <w:jc w:val="both"/>
        <w:rPr>
          <w:rFonts w:ascii="Palatino Linotype" w:eastAsia="Palatino Linotype" w:hAnsi="Palatino Linotype" w:cs="Palatino Linotype"/>
          <w:i/>
        </w:rPr>
      </w:pPr>
      <w:r w:rsidRPr="003463FE">
        <w:rPr>
          <w:rFonts w:ascii="Palatino Linotype" w:eastAsia="Palatino Linotype" w:hAnsi="Palatino Linotype" w:cs="Palatino Linotype"/>
          <w:i/>
        </w:rPr>
        <w:t>ATENTAMENTE</w:t>
      </w:r>
    </w:p>
    <w:p w14:paraId="272A3C02" w14:textId="77777777" w:rsidR="006B45F1" w:rsidRPr="003463FE" w:rsidRDefault="007634EE">
      <w:pPr>
        <w:spacing w:after="0" w:line="276" w:lineRule="auto"/>
        <w:ind w:left="851" w:right="902"/>
        <w:jc w:val="both"/>
        <w:rPr>
          <w:rFonts w:ascii="Palatino Linotype" w:eastAsia="Palatino Linotype" w:hAnsi="Palatino Linotype" w:cs="Palatino Linotype"/>
          <w:i/>
        </w:rPr>
      </w:pPr>
      <w:r w:rsidRPr="003463FE">
        <w:rPr>
          <w:rFonts w:ascii="Palatino Linotype" w:eastAsia="Palatino Linotype" w:hAnsi="Palatino Linotype" w:cs="Palatino Linotype"/>
          <w:i/>
        </w:rPr>
        <w:t>LC. ROGELIO DE JESUS RODRIGUEZ” (Sic).</w:t>
      </w:r>
    </w:p>
    <w:p w14:paraId="1A4CEB60" w14:textId="77777777" w:rsidR="006B45F1" w:rsidRPr="003463FE" w:rsidRDefault="006B45F1">
      <w:pPr>
        <w:spacing w:after="0" w:line="360" w:lineRule="auto"/>
        <w:ind w:right="-234"/>
        <w:jc w:val="both"/>
        <w:rPr>
          <w:rFonts w:ascii="Palatino Linotype" w:eastAsia="Palatino Linotype" w:hAnsi="Palatino Linotype" w:cs="Palatino Linotype"/>
          <w:sz w:val="24"/>
          <w:szCs w:val="24"/>
        </w:rPr>
      </w:pPr>
    </w:p>
    <w:p w14:paraId="13EE82C4" w14:textId="77777777" w:rsidR="006B45F1" w:rsidRPr="003463FE" w:rsidRDefault="007634EE">
      <w:pPr>
        <w:spacing w:after="0" w:line="360" w:lineRule="auto"/>
        <w:ind w:right="-234"/>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 xml:space="preserve">3. DEL RECURSO DE REVISIÓN. </w:t>
      </w:r>
      <w:r w:rsidRPr="003463FE">
        <w:rPr>
          <w:rFonts w:ascii="Palatino Linotype" w:eastAsia="Palatino Linotype" w:hAnsi="Palatino Linotype" w:cs="Palatino Linotype"/>
          <w:sz w:val="24"/>
          <w:szCs w:val="24"/>
        </w:rPr>
        <w:t>Inconforme con la respuesta del</w:t>
      </w:r>
      <w:r w:rsidRPr="003463FE">
        <w:rPr>
          <w:rFonts w:ascii="Palatino Linotype" w:eastAsia="Palatino Linotype" w:hAnsi="Palatino Linotype" w:cs="Palatino Linotype"/>
          <w:b/>
          <w:sz w:val="24"/>
          <w:szCs w:val="24"/>
        </w:rPr>
        <w:t xml:space="preserve"> SUJETO OBLIGADO</w:t>
      </w:r>
      <w:r w:rsidRPr="003463FE">
        <w:rPr>
          <w:rFonts w:ascii="Palatino Linotype" w:eastAsia="Palatino Linotype" w:hAnsi="Palatino Linotype" w:cs="Palatino Linotype"/>
          <w:sz w:val="24"/>
          <w:szCs w:val="24"/>
        </w:rPr>
        <w:t>,</w:t>
      </w:r>
      <w:r w:rsidRPr="003463FE">
        <w:rPr>
          <w:rFonts w:ascii="Palatino Linotype" w:eastAsia="Palatino Linotype" w:hAnsi="Palatino Linotype" w:cs="Palatino Linotype"/>
          <w:b/>
          <w:sz w:val="24"/>
          <w:szCs w:val="24"/>
        </w:rPr>
        <w:t xml:space="preserve"> </w:t>
      </w:r>
      <w:r w:rsidRPr="003463FE">
        <w:rPr>
          <w:rFonts w:ascii="Palatino Linotype" w:eastAsia="Palatino Linotype" w:hAnsi="Palatino Linotype" w:cs="Palatino Linotype"/>
          <w:sz w:val="24"/>
          <w:szCs w:val="24"/>
        </w:rPr>
        <w:t>en fecha diecinueve de noviembre de dos mil veinticuatro,</w:t>
      </w:r>
      <w:r w:rsidRPr="003463FE">
        <w:rPr>
          <w:rFonts w:ascii="Palatino Linotype" w:eastAsia="Palatino Linotype" w:hAnsi="Palatino Linotype" w:cs="Palatino Linotype"/>
          <w:b/>
          <w:sz w:val="24"/>
          <w:szCs w:val="24"/>
        </w:rPr>
        <w:t xml:space="preserve"> LA PARTE RECURRENTE </w:t>
      </w:r>
      <w:r w:rsidRPr="003463FE">
        <w:rPr>
          <w:rFonts w:ascii="Palatino Linotype" w:eastAsia="Palatino Linotype" w:hAnsi="Palatino Linotype" w:cs="Palatino Linotype"/>
          <w:sz w:val="24"/>
          <w:szCs w:val="24"/>
        </w:rPr>
        <w:t>interpuso el recurso de revisión, el cual fue registrado</w:t>
      </w:r>
      <w:r w:rsidRPr="003463FE">
        <w:rPr>
          <w:rFonts w:ascii="Palatino Linotype" w:eastAsia="Palatino Linotype" w:hAnsi="Palatino Linotype" w:cs="Palatino Linotype"/>
          <w:b/>
          <w:sz w:val="24"/>
          <w:szCs w:val="24"/>
        </w:rPr>
        <w:t xml:space="preserve"> </w:t>
      </w:r>
      <w:r w:rsidRPr="003463FE">
        <w:rPr>
          <w:rFonts w:ascii="Palatino Linotype" w:eastAsia="Palatino Linotype" w:hAnsi="Palatino Linotype" w:cs="Palatino Linotype"/>
          <w:sz w:val="24"/>
          <w:szCs w:val="24"/>
        </w:rPr>
        <w:t xml:space="preserve">en el sistema electrónico con el expediente número </w:t>
      </w:r>
      <w:r w:rsidRPr="003463FE">
        <w:rPr>
          <w:rFonts w:ascii="Palatino Linotype" w:eastAsia="Palatino Linotype" w:hAnsi="Palatino Linotype" w:cs="Palatino Linotype"/>
          <w:b/>
          <w:sz w:val="24"/>
          <w:szCs w:val="24"/>
        </w:rPr>
        <w:t>07249/INFOEM/IP/RR/2024</w:t>
      </w:r>
      <w:r w:rsidRPr="003463FE">
        <w:rPr>
          <w:rFonts w:ascii="Palatino Linotype" w:eastAsia="Palatino Linotype" w:hAnsi="Palatino Linotype" w:cs="Palatino Linotype"/>
          <w:sz w:val="24"/>
          <w:szCs w:val="24"/>
        </w:rPr>
        <w:t>, en el cual manifiesta, lo siguiente:</w:t>
      </w:r>
    </w:p>
    <w:p w14:paraId="401B5838" w14:textId="77777777" w:rsidR="006B45F1" w:rsidRPr="003463FE" w:rsidRDefault="006B45F1">
      <w:pPr>
        <w:spacing w:after="0" w:line="360" w:lineRule="auto"/>
        <w:ind w:right="-234"/>
        <w:jc w:val="both"/>
        <w:rPr>
          <w:rFonts w:ascii="Palatino Linotype" w:eastAsia="Palatino Linotype" w:hAnsi="Palatino Linotype" w:cs="Palatino Linotype"/>
          <w:sz w:val="24"/>
          <w:szCs w:val="24"/>
        </w:rPr>
      </w:pPr>
    </w:p>
    <w:p w14:paraId="74142CF7" w14:textId="77777777" w:rsidR="006B45F1" w:rsidRPr="003463FE" w:rsidRDefault="007634EE">
      <w:pPr>
        <w:numPr>
          <w:ilvl w:val="0"/>
          <w:numId w:val="1"/>
        </w:numPr>
        <w:pBdr>
          <w:top w:val="nil"/>
          <w:left w:val="nil"/>
          <w:bottom w:val="nil"/>
          <w:right w:val="nil"/>
          <w:between w:val="nil"/>
        </w:pBdr>
        <w:spacing w:after="240" w:line="360" w:lineRule="auto"/>
        <w:jc w:val="both"/>
        <w:rPr>
          <w:rFonts w:ascii="Palatino Linotype" w:eastAsia="Palatino Linotype" w:hAnsi="Palatino Linotype" w:cs="Palatino Linotype"/>
          <w:b/>
          <w:i/>
          <w:sz w:val="24"/>
          <w:szCs w:val="24"/>
        </w:rPr>
      </w:pPr>
      <w:r w:rsidRPr="003463FE">
        <w:rPr>
          <w:rFonts w:ascii="Palatino Linotype" w:eastAsia="Palatino Linotype" w:hAnsi="Palatino Linotype" w:cs="Palatino Linotype"/>
          <w:b/>
          <w:i/>
          <w:sz w:val="24"/>
          <w:szCs w:val="24"/>
        </w:rPr>
        <w:t>Acto Impugnado:</w:t>
      </w:r>
    </w:p>
    <w:p w14:paraId="450DEAA7" w14:textId="77777777" w:rsidR="006B45F1" w:rsidRPr="003463FE" w:rsidRDefault="007634EE">
      <w:pPr>
        <w:tabs>
          <w:tab w:val="left" w:pos="8222"/>
        </w:tabs>
        <w:spacing w:before="240" w:after="240" w:line="276" w:lineRule="auto"/>
        <w:ind w:left="851" w:right="616"/>
        <w:jc w:val="both"/>
        <w:rPr>
          <w:rFonts w:ascii="Palatino Linotype" w:eastAsia="Palatino Linotype" w:hAnsi="Palatino Linotype" w:cs="Palatino Linotype"/>
          <w:i/>
        </w:rPr>
      </w:pPr>
      <w:r w:rsidRPr="003463FE">
        <w:rPr>
          <w:rFonts w:ascii="Palatino Linotype" w:eastAsia="Palatino Linotype" w:hAnsi="Palatino Linotype" w:cs="Palatino Linotype"/>
          <w:i/>
        </w:rPr>
        <w:t>“No anexa respuesta en formato alguno.” [sic]</w:t>
      </w:r>
    </w:p>
    <w:p w14:paraId="41EFEA4D" w14:textId="77777777" w:rsidR="006B45F1" w:rsidRPr="003463FE" w:rsidRDefault="007634EE">
      <w:pPr>
        <w:numPr>
          <w:ilvl w:val="0"/>
          <w:numId w:val="1"/>
        </w:numPr>
        <w:pBdr>
          <w:top w:val="nil"/>
          <w:left w:val="nil"/>
          <w:bottom w:val="nil"/>
          <w:right w:val="nil"/>
          <w:between w:val="nil"/>
        </w:pBdr>
        <w:spacing w:before="240" w:after="240" w:line="360" w:lineRule="auto"/>
        <w:rPr>
          <w:rFonts w:ascii="Palatino Linotype" w:eastAsia="Palatino Linotype" w:hAnsi="Palatino Linotype" w:cs="Palatino Linotype"/>
          <w:i/>
          <w:sz w:val="24"/>
          <w:szCs w:val="24"/>
        </w:rPr>
      </w:pPr>
      <w:r w:rsidRPr="003463FE">
        <w:rPr>
          <w:rFonts w:ascii="Palatino Linotype" w:eastAsia="Palatino Linotype" w:hAnsi="Palatino Linotype" w:cs="Palatino Linotype"/>
          <w:b/>
          <w:i/>
          <w:sz w:val="24"/>
          <w:szCs w:val="24"/>
        </w:rPr>
        <w:t>Razones o Motivos de Inconformidad</w:t>
      </w:r>
      <w:r w:rsidRPr="003463FE">
        <w:rPr>
          <w:rFonts w:ascii="Palatino Linotype" w:eastAsia="Palatino Linotype" w:hAnsi="Palatino Linotype" w:cs="Palatino Linotype"/>
          <w:i/>
          <w:sz w:val="24"/>
          <w:szCs w:val="24"/>
        </w:rPr>
        <w:t>:</w:t>
      </w:r>
    </w:p>
    <w:p w14:paraId="2BFC5973" w14:textId="77777777" w:rsidR="006B45F1" w:rsidRPr="003463FE" w:rsidRDefault="007634EE">
      <w:pPr>
        <w:spacing w:before="240" w:after="240" w:line="276" w:lineRule="auto"/>
        <w:ind w:left="851" w:right="616"/>
        <w:jc w:val="both"/>
        <w:rPr>
          <w:rFonts w:ascii="Palatino Linotype" w:eastAsia="Palatino Linotype" w:hAnsi="Palatino Linotype" w:cs="Palatino Linotype"/>
          <w:i/>
        </w:rPr>
      </w:pPr>
      <w:r w:rsidRPr="003463FE">
        <w:rPr>
          <w:rFonts w:ascii="Palatino Linotype" w:eastAsia="Palatino Linotype" w:hAnsi="Palatino Linotype" w:cs="Palatino Linotype"/>
          <w:i/>
          <w:sz w:val="24"/>
          <w:szCs w:val="24"/>
        </w:rPr>
        <w:lastRenderedPageBreak/>
        <w:t>“No se anexa archivo en el que se pueda consultar la respuesta, o bien, fundamentar y motivar si existe o no la viabilidad a la misma como sujeto obligado.</w:t>
      </w:r>
      <w:r w:rsidRPr="003463FE">
        <w:rPr>
          <w:rFonts w:ascii="Palatino Linotype" w:eastAsia="Palatino Linotype" w:hAnsi="Palatino Linotype" w:cs="Palatino Linotype"/>
          <w:i/>
        </w:rPr>
        <w:t>” [sic]</w:t>
      </w:r>
    </w:p>
    <w:p w14:paraId="0B006394" w14:textId="77777777" w:rsidR="006B45F1" w:rsidRPr="003463FE" w:rsidRDefault="006B45F1">
      <w:pPr>
        <w:spacing w:before="240" w:after="0" w:line="360" w:lineRule="auto"/>
        <w:ind w:right="51"/>
        <w:jc w:val="both"/>
        <w:rPr>
          <w:rFonts w:ascii="Palatino Linotype" w:eastAsia="Palatino Linotype" w:hAnsi="Palatino Linotype" w:cs="Palatino Linotype"/>
          <w:sz w:val="24"/>
          <w:szCs w:val="24"/>
        </w:rPr>
      </w:pPr>
    </w:p>
    <w:p w14:paraId="28F8CD3B"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 xml:space="preserve">4. TURNO. </w:t>
      </w:r>
      <w:r w:rsidRPr="003463FE">
        <w:rPr>
          <w:rFonts w:ascii="Palatino Linotype" w:eastAsia="Palatino Linotype" w:hAnsi="Palatino Linotype" w:cs="Palatino Linotype"/>
          <w:sz w:val="24"/>
          <w:szCs w:val="24"/>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3463FE">
        <w:rPr>
          <w:rFonts w:ascii="Palatino Linotype" w:eastAsia="Palatino Linotype" w:hAnsi="Palatino Linotype" w:cs="Palatino Linotype"/>
          <w:b/>
          <w:sz w:val="24"/>
          <w:szCs w:val="24"/>
        </w:rPr>
        <w:t xml:space="preserve">Guadalupe Ramírez Peña, </w:t>
      </w:r>
      <w:r w:rsidRPr="003463FE">
        <w:rPr>
          <w:rFonts w:ascii="Palatino Linotype" w:eastAsia="Palatino Linotype" w:hAnsi="Palatino Linotype" w:cs="Palatino Linotype"/>
          <w:sz w:val="24"/>
          <w:szCs w:val="24"/>
        </w:rPr>
        <w:t xml:space="preserve">a efecto de que analizara sobre su admisión o su </w:t>
      </w:r>
      <w:proofErr w:type="spellStart"/>
      <w:r w:rsidRPr="003463FE">
        <w:rPr>
          <w:rFonts w:ascii="Palatino Linotype" w:eastAsia="Palatino Linotype" w:hAnsi="Palatino Linotype" w:cs="Palatino Linotype"/>
          <w:sz w:val="24"/>
          <w:szCs w:val="24"/>
        </w:rPr>
        <w:t>desechamiento</w:t>
      </w:r>
      <w:proofErr w:type="spellEnd"/>
      <w:r w:rsidRPr="003463FE">
        <w:rPr>
          <w:rFonts w:ascii="Palatino Linotype" w:eastAsia="Palatino Linotype" w:hAnsi="Palatino Linotype" w:cs="Palatino Linotype"/>
          <w:sz w:val="24"/>
          <w:szCs w:val="24"/>
        </w:rPr>
        <w:t>.</w:t>
      </w:r>
    </w:p>
    <w:p w14:paraId="6BE60734"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72AF4DA0"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5. ADMISIÓN DEL RECURSO DE REVISIÓN.</w:t>
      </w:r>
      <w:r w:rsidRPr="003463FE">
        <w:rPr>
          <w:rFonts w:ascii="Palatino Linotype" w:eastAsia="Palatino Linotype" w:hAnsi="Palatino Linotype" w:cs="Palatino Linotype"/>
          <w:sz w:val="24"/>
          <w:szCs w:val="24"/>
        </w:rPr>
        <w:t xml:space="preserve"> Con fecha</w:t>
      </w:r>
      <w:r w:rsidRPr="003463FE">
        <w:rPr>
          <w:rFonts w:ascii="Palatino Linotype" w:eastAsia="Palatino Linotype" w:hAnsi="Palatino Linotype" w:cs="Palatino Linotype"/>
          <w:b/>
          <w:sz w:val="24"/>
          <w:szCs w:val="24"/>
        </w:rPr>
        <w:t xml:space="preserve"> veintidós de noviembre de dos mil veinticuatro</w:t>
      </w:r>
      <w:r w:rsidRPr="003463FE">
        <w:rPr>
          <w:rFonts w:ascii="Palatino Linotype" w:eastAsia="Palatino Linotype" w:hAnsi="Palatino Linotype" w:cs="Palatino Linotype"/>
          <w:sz w:val="24"/>
          <w:szCs w:val="24"/>
        </w:rPr>
        <w:t>,</w:t>
      </w:r>
      <w:r w:rsidRPr="003463FE">
        <w:rPr>
          <w:rFonts w:ascii="Palatino Linotype" w:eastAsia="Palatino Linotype" w:hAnsi="Palatino Linotype" w:cs="Palatino Linotype"/>
          <w:b/>
          <w:sz w:val="24"/>
          <w:szCs w:val="24"/>
        </w:rPr>
        <w:t xml:space="preserve"> </w:t>
      </w:r>
      <w:r w:rsidRPr="003463FE">
        <w:rPr>
          <w:rFonts w:ascii="Palatino Linotype" w:eastAsia="Palatino Linotype" w:hAnsi="Palatino Linotype" w:cs="Palatino Linotype"/>
          <w:sz w:val="24"/>
          <w:szCs w:val="24"/>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w:t>
      </w:r>
      <w:r w:rsidRPr="003463FE">
        <w:rPr>
          <w:rFonts w:ascii="Palatino Linotype" w:eastAsia="Palatino Linotype" w:hAnsi="Palatino Linotype" w:cs="Palatino Linotype"/>
          <w:b/>
          <w:sz w:val="24"/>
          <w:szCs w:val="24"/>
        </w:rPr>
        <w:t>EL</w:t>
      </w:r>
      <w:r w:rsidRPr="003463FE">
        <w:rPr>
          <w:rFonts w:ascii="Palatino Linotype" w:eastAsia="Palatino Linotype" w:hAnsi="Palatino Linotype" w:cs="Palatino Linotype"/>
          <w:sz w:val="24"/>
          <w:szCs w:val="24"/>
        </w:rPr>
        <w:t xml:space="preserve"> </w:t>
      </w:r>
      <w:r w:rsidRPr="003463FE">
        <w:rPr>
          <w:rFonts w:ascii="Palatino Linotype" w:eastAsia="Palatino Linotype" w:hAnsi="Palatino Linotype" w:cs="Palatino Linotype"/>
          <w:b/>
          <w:sz w:val="24"/>
          <w:szCs w:val="24"/>
        </w:rPr>
        <w:t xml:space="preserve">SUJETO OBLIGADO </w:t>
      </w:r>
      <w:r w:rsidRPr="003463FE">
        <w:rPr>
          <w:rFonts w:ascii="Palatino Linotype" w:eastAsia="Palatino Linotype" w:hAnsi="Palatino Linotype" w:cs="Palatino Linotype"/>
          <w:sz w:val="24"/>
          <w:szCs w:val="24"/>
        </w:rPr>
        <w:t>presentará su informe justificado.</w:t>
      </w:r>
    </w:p>
    <w:p w14:paraId="4A41D727"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5AE7DFE3" w14:textId="77777777" w:rsidR="006B45F1" w:rsidRPr="003463FE" w:rsidRDefault="007634EE">
      <w:pPr>
        <w:spacing w:after="0" w:line="360" w:lineRule="auto"/>
        <w:ind w:right="49"/>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6. MANIFESTACIONES.</w:t>
      </w:r>
      <w:r w:rsidRPr="003463FE">
        <w:rPr>
          <w:rFonts w:ascii="Palatino Linotype" w:eastAsia="Palatino Linotype" w:hAnsi="Palatino Linotype" w:cs="Palatino Linotype"/>
          <w:sz w:val="24"/>
          <w:szCs w:val="24"/>
        </w:rPr>
        <w:t xml:space="preserve"> Con fecha </w:t>
      </w:r>
      <w:r w:rsidR="00B40E36" w:rsidRPr="003463FE">
        <w:rPr>
          <w:rFonts w:ascii="Palatino Linotype" w:eastAsia="Palatino Linotype" w:hAnsi="Palatino Linotype" w:cs="Palatino Linotype"/>
          <w:sz w:val="24"/>
          <w:szCs w:val="24"/>
        </w:rPr>
        <w:t>veintidós</w:t>
      </w:r>
      <w:r w:rsidRPr="003463FE">
        <w:rPr>
          <w:rFonts w:ascii="Palatino Linotype" w:eastAsia="Palatino Linotype" w:hAnsi="Palatino Linotype" w:cs="Palatino Linotype"/>
          <w:sz w:val="24"/>
          <w:szCs w:val="24"/>
        </w:rPr>
        <w:t xml:space="preserve"> de noviembre de dos mil veinticuatro se recibió, a través del Sistema de Acceso a la Información Mexiquense (SAIMEX), el informe justificado del </w:t>
      </w:r>
      <w:r w:rsidRPr="003463FE">
        <w:rPr>
          <w:rFonts w:ascii="Palatino Linotype" w:eastAsia="Palatino Linotype" w:hAnsi="Palatino Linotype" w:cs="Palatino Linotype"/>
          <w:b/>
          <w:sz w:val="24"/>
          <w:szCs w:val="24"/>
        </w:rPr>
        <w:t>SUJETO OBLIGADO</w:t>
      </w:r>
      <w:r w:rsidRPr="003463FE">
        <w:rPr>
          <w:rFonts w:ascii="Palatino Linotype" w:eastAsia="Palatino Linotype" w:hAnsi="Palatino Linotype" w:cs="Palatino Linotype"/>
          <w:sz w:val="24"/>
          <w:szCs w:val="24"/>
        </w:rPr>
        <w:t>,</w:t>
      </w:r>
      <w:r w:rsidRPr="003463FE">
        <w:rPr>
          <w:rFonts w:ascii="Palatino Linotype" w:eastAsia="Palatino Linotype" w:hAnsi="Palatino Linotype" w:cs="Palatino Linotype"/>
          <w:b/>
          <w:sz w:val="24"/>
          <w:szCs w:val="24"/>
        </w:rPr>
        <w:t xml:space="preserve"> </w:t>
      </w:r>
      <w:r w:rsidRPr="003463FE">
        <w:rPr>
          <w:rFonts w:ascii="Palatino Linotype" w:eastAsia="Palatino Linotype" w:hAnsi="Palatino Linotype" w:cs="Palatino Linotype"/>
          <w:sz w:val="24"/>
          <w:szCs w:val="24"/>
        </w:rPr>
        <w:t xml:space="preserve">a través del siguiente archivo electrónico: </w:t>
      </w:r>
    </w:p>
    <w:p w14:paraId="0C84F6D0"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63FD39E4" w14:textId="77777777" w:rsidR="006B45F1" w:rsidRPr="003463FE" w:rsidRDefault="007634EE">
      <w:pPr>
        <w:spacing w:after="0" w:line="360" w:lineRule="auto"/>
        <w:ind w:right="51"/>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w:t>
      </w:r>
      <w:r w:rsidRPr="003463FE">
        <w:rPr>
          <w:rFonts w:ascii="Palatino Linotype" w:eastAsia="Palatino Linotype" w:hAnsi="Palatino Linotype" w:cs="Palatino Linotype"/>
          <w:b/>
          <w:i/>
          <w:sz w:val="24"/>
          <w:szCs w:val="24"/>
          <w:u w:val="single"/>
        </w:rPr>
        <w:t>DEFUNCIONES MUNICIPIO.docx</w:t>
      </w:r>
      <w:r w:rsidRPr="003463FE">
        <w:rPr>
          <w:rFonts w:ascii="Palatino Linotype" w:eastAsia="Palatino Linotype" w:hAnsi="Palatino Linotype" w:cs="Palatino Linotype"/>
          <w:sz w:val="24"/>
          <w:szCs w:val="24"/>
        </w:rPr>
        <w:t xml:space="preserve">”: Oficio de fecha diecinueve de noviembre de dos mil veinticuatro, dirigido por el Oficial del Registro Civil, mediante el cual proporciona una relación de las defunciones del año dos mil veintiuno al diez de noviembre de dos mil veinticuatro, en donde se advierte la cantidad que son hombre, mujeres y el rango de edad. </w:t>
      </w:r>
    </w:p>
    <w:p w14:paraId="04A2BFBE"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72A27C51" w14:textId="77777777" w:rsidR="006B45F1" w:rsidRPr="003463FE" w:rsidRDefault="007634EE">
      <w:pPr>
        <w:spacing w:after="0" w:line="360" w:lineRule="auto"/>
        <w:ind w:right="51"/>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Documento que se puso a la vista de </w:t>
      </w:r>
      <w:r w:rsidRPr="003463FE">
        <w:rPr>
          <w:rFonts w:ascii="Palatino Linotype" w:eastAsia="Palatino Linotype" w:hAnsi="Palatino Linotype" w:cs="Palatino Linotype"/>
          <w:b/>
          <w:sz w:val="24"/>
          <w:szCs w:val="24"/>
        </w:rPr>
        <w:t xml:space="preserve">LA PARTE RECURRENTE </w:t>
      </w:r>
      <w:r w:rsidRPr="003463FE">
        <w:rPr>
          <w:rFonts w:ascii="Palatino Linotype" w:eastAsia="Palatino Linotype" w:hAnsi="Palatino Linotype" w:cs="Palatino Linotype"/>
          <w:sz w:val="24"/>
          <w:szCs w:val="24"/>
        </w:rPr>
        <w:t>en fecha veintisiete de noviembre de dos mil veinticuatro, mismo que resultó omiso de emitir sus manifestaciones conforme a derecho le corresponde.</w:t>
      </w:r>
    </w:p>
    <w:p w14:paraId="5E881447"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257ED484"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 xml:space="preserve">7. CIERRE DE INSTRUCCIÓN. </w:t>
      </w:r>
      <w:r w:rsidRPr="003463FE">
        <w:rPr>
          <w:rFonts w:ascii="Palatino Linotype" w:eastAsia="Palatino Linotype" w:hAnsi="Palatino Linotype" w:cs="Palatino Linotype"/>
          <w:sz w:val="24"/>
          <w:szCs w:val="24"/>
        </w:rPr>
        <w:t>El tres de diciembre de dos mil veinticuatro, al no existir diligencias pendientes por desahogar, se emitió el acuerdo por medio del cual se declaró cerrada la instrucción y se determinó pasar el expediente a resolución, en términos del artículo 185 fracción VI y VIII de la Ley de Transparencia y Acceso a la Información Pública del Estado de México y Municipios, iniciando el término legal para dictar resolución definitiva del asunto.</w:t>
      </w:r>
    </w:p>
    <w:p w14:paraId="0DAB94F0"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0A7D6B85"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En razón de que fue debidamente sustanciado el expediente electrónico y no existe diligencia pendiente de desahogo, se emite la Resolución que conforme a Derecho proceda, de acuerdo con los siguientes:</w:t>
      </w:r>
    </w:p>
    <w:p w14:paraId="089286DD"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784C92F0" w14:textId="77777777" w:rsidR="00B40E36" w:rsidRPr="003463FE" w:rsidRDefault="00B40E36">
      <w:pPr>
        <w:spacing w:after="0" w:line="360" w:lineRule="auto"/>
        <w:jc w:val="both"/>
        <w:rPr>
          <w:rFonts w:ascii="Palatino Linotype" w:eastAsia="Palatino Linotype" w:hAnsi="Palatino Linotype" w:cs="Palatino Linotype"/>
          <w:sz w:val="24"/>
          <w:szCs w:val="24"/>
        </w:rPr>
      </w:pPr>
    </w:p>
    <w:p w14:paraId="2CAE0C68" w14:textId="77777777" w:rsidR="006B45F1" w:rsidRPr="003463FE" w:rsidRDefault="007634EE">
      <w:pPr>
        <w:widowControl w:val="0"/>
        <w:spacing w:after="0" w:line="360" w:lineRule="auto"/>
        <w:jc w:val="center"/>
        <w:rPr>
          <w:rFonts w:ascii="Palatino Linotype" w:eastAsia="Palatino Linotype" w:hAnsi="Palatino Linotype" w:cs="Palatino Linotype"/>
          <w:b/>
          <w:sz w:val="24"/>
          <w:szCs w:val="24"/>
        </w:rPr>
      </w:pPr>
      <w:r w:rsidRPr="003463FE">
        <w:rPr>
          <w:rFonts w:ascii="Palatino Linotype" w:eastAsia="Palatino Linotype" w:hAnsi="Palatino Linotype" w:cs="Palatino Linotype"/>
          <w:b/>
          <w:sz w:val="24"/>
          <w:szCs w:val="24"/>
        </w:rPr>
        <w:lastRenderedPageBreak/>
        <w:t>C O N S I D E R A N D O S</w:t>
      </w:r>
    </w:p>
    <w:p w14:paraId="2C1EB824" w14:textId="77777777" w:rsidR="006B45F1" w:rsidRPr="003463FE" w:rsidRDefault="006B45F1">
      <w:pPr>
        <w:widowControl w:val="0"/>
        <w:spacing w:after="0" w:line="360" w:lineRule="auto"/>
        <w:jc w:val="center"/>
        <w:rPr>
          <w:rFonts w:ascii="Palatino Linotype" w:eastAsia="Palatino Linotype" w:hAnsi="Palatino Linotype" w:cs="Palatino Linotype"/>
          <w:b/>
          <w:sz w:val="24"/>
          <w:szCs w:val="24"/>
        </w:rPr>
      </w:pPr>
    </w:p>
    <w:p w14:paraId="318B060F"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PRIMERO. COMPETENCIA.</w:t>
      </w:r>
      <w:r w:rsidRPr="003463FE">
        <w:rPr>
          <w:rFonts w:ascii="Palatino Linotype" w:eastAsia="Palatino Linotype" w:hAnsi="Palatino Linotype" w:cs="Palatino Linotype"/>
          <w:sz w:val="24"/>
          <w:szCs w:val="24"/>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3D744424"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3066F8FD" w14:textId="77777777" w:rsidR="006B45F1" w:rsidRPr="003463FE" w:rsidRDefault="007634EE">
      <w:pPr>
        <w:spacing w:after="0" w:line="360" w:lineRule="auto"/>
        <w:ind w:right="51"/>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 xml:space="preserve">SEGUNDO. OPORTUNIDAD Y PROCEDIBILIDAD DEL RECURSO DE REVISIÓN.  </w:t>
      </w:r>
      <w:r w:rsidRPr="003463FE">
        <w:rPr>
          <w:rFonts w:ascii="Palatino Linotype" w:eastAsia="Palatino Linotype" w:hAnsi="Palatino Linotype" w:cs="Palatino Linotype"/>
          <w:sz w:val="24"/>
          <w:szCs w:val="24"/>
        </w:rPr>
        <w:t>Previo al estudio del fondo del asunto, se procede a analizar los requisitos de oportunidad y procedibilidad que debe reunir el recurso de revisión interpuesto, previsto en el artículo 178 y 180 de la Ley de Transparencia y Acceso a la Información Pública del Estado de México y Municipios.</w:t>
      </w:r>
    </w:p>
    <w:p w14:paraId="796AC890"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109D4788"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El recurso de revisión fue interpuesto dentro del plazo de quince días hábiles previsto en el artículo 178 de la Ley de Transparencia y Acceso a la Información </w:t>
      </w:r>
      <w:r w:rsidRPr="003463FE">
        <w:rPr>
          <w:rFonts w:ascii="Palatino Linotype" w:eastAsia="Palatino Linotype" w:hAnsi="Palatino Linotype" w:cs="Palatino Linotype"/>
          <w:sz w:val="24"/>
          <w:szCs w:val="24"/>
        </w:rPr>
        <w:lastRenderedPageBreak/>
        <w:t>Pública del Estado de México y Municipios, contados a partir de la fecha en que</w:t>
      </w:r>
      <w:r w:rsidRPr="003463FE">
        <w:rPr>
          <w:rFonts w:ascii="Palatino Linotype" w:eastAsia="Palatino Linotype" w:hAnsi="Palatino Linotype" w:cs="Palatino Linotype"/>
          <w:b/>
          <w:sz w:val="24"/>
          <w:szCs w:val="24"/>
        </w:rPr>
        <w:t xml:space="preserve"> EL SUJETO OBLIGADO </w:t>
      </w:r>
      <w:r w:rsidRPr="003463FE">
        <w:rPr>
          <w:rFonts w:ascii="Palatino Linotype" w:eastAsia="Palatino Linotype" w:hAnsi="Palatino Linotype" w:cs="Palatino Linotype"/>
          <w:sz w:val="24"/>
          <w:szCs w:val="24"/>
        </w:rPr>
        <w:t xml:space="preserve">emitió la respuesta, toda vez que esta fue pronunciada el día diecinueve de noviembre del año dos mil veinticuatro, mientras que </w:t>
      </w:r>
      <w:r w:rsidRPr="003463FE">
        <w:rPr>
          <w:rFonts w:ascii="Palatino Linotype" w:eastAsia="Palatino Linotype" w:hAnsi="Palatino Linotype" w:cs="Palatino Linotype"/>
          <w:b/>
          <w:sz w:val="24"/>
          <w:szCs w:val="24"/>
        </w:rPr>
        <w:t>LA PARTE</w:t>
      </w:r>
      <w:r w:rsidRPr="003463FE">
        <w:rPr>
          <w:rFonts w:ascii="Palatino Linotype" w:eastAsia="Palatino Linotype" w:hAnsi="Palatino Linotype" w:cs="Palatino Linotype"/>
          <w:sz w:val="24"/>
          <w:szCs w:val="24"/>
        </w:rPr>
        <w:t xml:space="preserve"> </w:t>
      </w:r>
      <w:r w:rsidRPr="003463FE">
        <w:rPr>
          <w:rFonts w:ascii="Palatino Linotype" w:eastAsia="Palatino Linotype" w:hAnsi="Palatino Linotype" w:cs="Palatino Linotype"/>
          <w:b/>
          <w:sz w:val="24"/>
          <w:szCs w:val="24"/>
        </w:rPr>
        <w:t>RECURRENTE</w:t>
      </w:r>
      <w:r w:rsidRPr="003463FE">
        <w:rPr>
          <w:rFonts w:ascii="Palatino Linotype" w:eastAsia="Palatino Linotype" w:hAnsi="Palatino Linotype" w:cs="Palatino Linotype"/>
          <w:sz w:val="24"/>
          <w:szCs w:val="24"/>
        </w:rPr>
        <w:t xml:space="preserve"> interpuso el recurso de revisión en fecha diecinueve de noviembre de dos mil veinticuatro, mientras que </w:t>
      </w:r>
      <w:r w:rsidRPr="003463FE">
        <w:rPr>
          <w:rFonts w:ascii="Palatino Linotype" w:eastAsia="Palatino Linotype" w:hAnsi="Palatino Linotype" w:cs="Palatino Linotype"/>
          <w:b/>
          <w:sz w:val="24"/>
          <w:szCs w:val="24"/>
        </w:rPr>
        <w:t>LA PARTE</w:t>
      </w:r>
      <w:r w:rsidRPr="003463FE">
        <w:rPr>
          <w:rFonts w:ascii="Palatino Linotype" w:eastAsia="Palatino Linotype" w:hAnsi="Palatino Linotype" w:cs="Palatino Linotype"/>
          <w:sz w:val="24"/>
          <w:szCs w:val="24"/>
        </w:rPr>
        <w:t xml:space="preserve"> </w:t>
      </w:r>
      <w:r w:rsidRPr="003463FE">
        <w:rPr>
          <w:rFonts w:ascii="Palatino Linotype" w:eastAsia="Palatino Linotype" w:hAnsi="Palatino Linotype" w:cs="Palatino Linotype"/>
          <w:b/>
          <w:sz w:val="24"/>
          <w:szCs w:val="24"/>
        </w:rPr>
        <w:t>RECURRENTE</w:t>
      </w:r>
      <w:r w:rsidRPr="003463FE">
        <w:rPr>
          <w:rFonts w:ascii="Palatino Linotype" w:eastAsia="Palatino Linotype" w:hAnsi="Palatino Linotype" w:cs="Palatino Linotype"/>
          <w:sz w:val="24"/>
          <w:szCs w:val="24"/>
        </w:rPr>
        <w:t xml:space="preserve"> interpuso el recurso de revisión en la misma fecha que se pronunció la respuesta, circunstancia que no es determinante para declararlo extemporáneo, toda vez que el tiempo concedido es para delimitar el término en que puede impugnarse la respuesta, lo cual no impide que se presente antes de iniciado el plazo previsto, una vez conocida la respuesta.</w:t>
      </w:r>
    </w:p>
    <w:p w14:paraId="7CCDF2C3"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03E71230" w14:textId="77777777" w:rsidR="006B45F1" w:rsidRPr="003463FE" w:rsidRDefault="007634EE">
      <w:pPr>
        <w:spacing w:after="0" w:line="360" w:lineRule="auto"/>
        <w:ind w:right="-234"/>
        <w:jc w:val="both"/>
        <w:rPr>
          <w:i/>
          <w:sz w:val="24"/>
          <w:szCs w:val="24"/>
        </w:rPr>
      </w:pPr>
      <w:r w:rsidRPr="003463FE">
        <w:rPr>
          <w:rFonts w:ascii="Palatino Linotype" w:eastAsia="Palatino Linotype" w:hAnsi="Palatino Linotype" w:cs="Palatino Linotype"/>
          <w:sz w:val="24"/>
          <w:szCs w:val="24"/>
        </w:rPr>
        <w:t>Resulta aplicable el siguiente criterio de este Organismo Garante que se robustece con la jurisprudencia número la./J.41/2015 (l0a.), Décima época, sustentada por la Primera Sala de la Suprema Corte de Justicia de la Nación, visible en la página 569, libro 19, tomo I, de la Gaceta del Semanario Judicial de la Federación, del mes de junio de 2015, cuyo rubro y texto esgrimen:</w:t>
      </w:r>
      <w:r w:rsidRPr="003463FE">
        <w:rPr>
          <w:i/>
          <w:sz w:val="24"/>
          <w:szCs w:val="24"/>
        </w:rPr>
        <w:t> </w:t>
      </w:r>
    </w:p>
    <w:p w14:paraId="52B16BEA" w14:textId="77777777" w:rsidR="006B45F1" w:rsidRPr="003463FE" w:rsidRDefault="006B45F1">
      <w:pPr>
        <w:spacing w:after="0" w:line="360" w:lineRule="auto"/>
        <w:ind w:right="-234"/>
        <w:jc w:val="both"/>
        <w:rPr>
          <w:rFonts w:ascii="Palatino Linotype" w:eastAsia="Palatino Linotype" w:hAnsi="Palatino Linotype" w:cs="Palatino Linotype"/>
          <w:i/>
          <w:sz w:val="24"/>
          <w:szCs w:val="24"/>
        </w:rPr>
      </w:pPr>
    </w:p>
    <w:p w14:paraId="7B85DDD9" w14:textId="77777777" w:rsidR="006B45F1" w:rsidRPr="003463FE" w:rsidRDefault="007634EE">
      <w:pPr>
        <w:shd w:val="clear" w:color="auto" w:fill="FFFFFF"/>
        <w:spacing w:after="0" w:line="276" w:lineRule="auto"/>
        <w:ind w:left="567" w:right="760"/>
        <w:jc w:val="both"/>
      </w:pPr>
      <w:r w:rsidRPr="003463FE">
        <w:rPr>
          <w:rFonts w:ascii="Palatino Linotype" w:eastAsia="Palatino Linotype" w:hAnsi="Palatino Linotype" w:cs="Palatino Linotype"/>
        </w:rPr>
        <w:t>"</w:t>
      </w:r>
      <w:r w:rsidRPr="003463FE">
        <w:rPr>
          <w:rFonts w:ascii="Palatino Linotype" w:eastAsia="Palatino Linotype" w:hAnsi="Palatino Linotype" w:cs="Palatino Linotype"/>
          <w:i/>
        </w:rPr>
        <w:t>RECURSO DE RECLAMACIÓN. SU INTERPOSICIÓN NO ES EXTEMPORÁNEA SI SE REALIZA ANTES DE QUE INICIE EL PLAZO PARA HACERLO.</w:t>
      </w:r>
    </w:p>
    <w:p w14:paraId="599CD8F9" w14:textId="77777777" w:rsidR="006B45F1" w:rsidRPr="003463FE" w:rsidRDefault="007634EE">
      <w:pPr>
        <w:shd w:val="clear" w:color="auto" w:fill="FFFFFF"/>
        <w:spacing w:after="0" w:line="276" w:lineRule="auto"/>
        <w:ind w:left="567" w:right="760"/>
        <w:jc w:val="both"/>
      </w:pPr>
      <w:r w:rsidRPr="003463FE">
        <w:rPr>
          <w:rFonts w:ascii="Palatino Linotype" w:eastAsia="Palatino Linotype" w:hAnsi="Palatino Linotype" w:cs="Palatino Linotype"/>
          <w:i/>
        </w:rPr>
        <w:t>Conforme al artículo 104, párrafo segundo, de la Ley de Amparo, el recurso de reclamación podrá interponerse por cualquiera de las partes, por escrito, dentro del término de tres días siguientes al en que surta efectos la notificación de la resolución impugnada. Ahora bien, dicho numeral sólo refiere que el aludido medio de defensa no puede hacerse valer después de tres días, por tanto, no impide que el escrito correspondiente se presente antes de iniciado ese término.</w:t>
      </w:r>
    </w:p>
    <w:p w14:paraId="713CAE22" w14:textId="77777777" w:rsidR="006B45F1" w:rsidRPr="003463FE" w:rsidRDefault="007634EE">
      <w:pPr>
        <w:shd w:val="clear" w:color="auto" w:fill="FFFFFF"/>
        <w:spacing w:after="0" w:line="276" w:lineRule="auto"/>
        <w:ind w:left="567" w:right="760"/>
        <w:jc w:val="both"/>
      </w:pPr>
      <w:r w:rsidRPr="003463FE">
        <w:rPr>
          <w:rFonts w:ascii="Palatino Linotype" w:eastAsia="Palatino Linotype" w:hAnsi="Palatino Linotype" w:cs="Palatino Linotype"/>
          <w:i/>
        </w:rPr>
        <w:lastRenderedPageBreak/>
        <w:t>De ahí que si dicho recurso se interpone antes de que inicie el plazo para hacerlo, su presentación no es extemporánea…</w:t>
      </w:r>
      <w:r w:rsidRPr="003463FE">
        <w:rPr>
          <w:rFonts w:ascii="Palatino Linotype" w:eastAsia="Palatino Linotype" w:hAnsi="Palatino Linotype" w:cs="Palatino Linotype"/>
        </w:rPr>
        <w:t>"(Sic)</w:t>
      </w:r>
    </w:p>
    <w:p w14:paraId="3FF13AD9"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246B7146"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En ese sentido, al considerar la fecha en que se formuló la solicitud y la fecha en la que respondió a esta el </w:t>
      </w:r>
      <w:r w:rsidRPr="003463FE">
        <w:rPr>
          <w:rFonts w:ascii="Palatino Linotype" w:eastAsia="Palatino Linotype" w:hAnsi="Palatino Linotype" w:cs="Palatino Linotype"/>
          <w:b/>
          <w:sz w:val="24"/>
          <w:szCs w:val="24"/>
        </w:rPr>
        <w:t>SUJETO OBLIGADO</w:t>
      </w:r>
      <w:r w:rsidRPr="003463FE">
        <w:rPr>
          <w:rFonts w:ascii="Palatino Linotype" w:eastAsia="Palatino Linotype" w:hAnsi="Palatino Linotype" w:cs="Palatino Linotype"/>
          <w:sz w:val="24"/>
          <w:szCs w:val="24"/>
        </w:rPr>
        <w:t>; así como, en la que se interpuso el recurso de revisión, este se encuentra dentro de los márgenes temporales previstos en el citado precepto legal.</w:t>
      </w:r>
    </w:p>
    <w:p w14:paraId="48E5471F"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1EE64F0C"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demás, por cuanto hace a la procedibilidad del recurso de revisión, es de suma importancia señalar que </w:t>
      </w:r>
      <w:r w:rsidRPr="003463FE">
        <w:rPr>
          <w:rFonts w:ascii="Palatino Linotype" w:eastAsia="Palatino Linotype" w:hAnsi="Palatino Linotype" w:cs="Palatino Linotype"/>
          <w:b/>
          <w:sz w:val="24"/>
          <w:szCs w:val="24"/>
        </w:rPr>
        <w:t>LA PARTE</w:t>
      </w:r>
      <w:r w:rsidRPr="003463FE">
        <w:rPr>
          <w:rFonts w:ascii="Palatino Linotype" w:eastAsia="Palatino Linotype" w:hAnsi="Palatino Linotype" w:cs="Palatino Linotype"/>
          <w:sz w:val="24"/>
          <w:szCs w:val="24"/>
        </w:rPr>
        <w:t xml:space="preserve"> </w:t>
      </w:r>
      <w:r w:rsidRPr="003463FE">
        <w:rPr>
          <w:rFonts w:ascii="Palatino Linotype" w:eastAsia="Palatino Linotype" w:hAnsi="Palatino Linotype" w:cs="Palatino Linotype"/>
          <w:b/>
          <w:sz w:val="24"/>
          <w:szCs w:val="24"/>
        </w:rPr>
        <w:t>RECURRENTE</w:t>
      </w:r>
      <w:r w:rsidRPr="003463FE">
        <w:rPr>
          <w:rFonts w:ascii="Palatino Linotype" w:eastAsia="Palatino Linotype" w:hAnsi="Palatino Linotype" w:cs="Palatino Linotype"/>
          <w:sz w:val="24"/>
          <w:szCs w:val="24"/>
        </w:rPr>
        <w:t>, no proporcionó un nombre completo como se advierte en el detalle de seguimiento del SAIMEX, no obstante lo anterior,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04735096"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56E73A12" w14:textId="77777777" w:rsidR="006B45F1" w:rsidRPr="003463FE" w:rsidRDefault="007634EE">
      <w:pPr>
        <w:spacing w:after="0" w:line="276" w:lineRule="auto"/>
        <w:ind w:left="851" w:right="902"/>
        <w:jc w:val="both"/>
        <w:rPr>
          <w:rFonts w:ascii="Palatino Linotype" w:eastAsia="Palatino Linotype" w:hAnsi="Palatino Linotype" w:cs="Palatino Linotype"/>
          <w:b/>
          <w:i/>
        </w:rPr>
      </w:pPr>
      <w:r w:rsidRPr="003463FE">
        <w:rPr>
          <w:rFonts w:ascii="Palatino Linotype" w:eastAsia="Palatino Linotype" w:hAnsi="Palatino Linotype" w:cs="Palatino Linotype"/>
          <w:b/>
          <w:i/>
        </w:rPr>
        <w:t>"Las solicitudes anónimas, con nombre incompleto o seudónimo serán procedentes para su trámite por parte del sujeto obligado ante quien se presente. No podrá requerirse información adicional con motivo del nombre proporcionado por el solicitante."</w:t>
      </w:r>
    </w:p>
    <w:p w14:paraId="7FABAB7D" w14:textId="77777777" w:rsidR="006B45F1" w:rsidRPr="003463FE" w:rsidRDefault="006B45F1">
      <w:pPr>
        <w:spacing w:after="0" w:line="360" w:lineRule="auto"/>
        <w:ind w:left="851" w:right="902"/>
        <w:jc w:val="both"/>
        <w:rPr>
          <w:rFonts w:ascii="Palatino Linotype" w:eastAsia="Palatino Linotype" w:hAnsi="Palatino Linotype" w:cs="Palatino Linotype"/>
          <w:sz w:val="24"/>
          <w:szCs w:val="24"/>
        </w:rPr>
      </w:pPr>
    </w:p>
    <w:p w14:paraId="77DECA46" w14:textId="77777777" w:rsidR="006B45F1" w:rsidRPr="003463FE" w:rsidRDefault="007634EE">
      <w:pPr>
        <w:spacing w:after="0" w:line="360" w:lineRule="auto"/>
        <w:jc w:val="both"/>
        <w:rPr>
          <w:rFonts w:ascii="Palatino Linotype" w:eastAsia="Palatino Linotype" w:hAnsi="Palatino Linotype" w:cs="Palatino Linotype"/>
          <w:b/>
          <w:sz w:val="24"/>
          <w:szCs w:val="24"/>
        </w:rPr>
      </w:pPr>
      <w:r w:rsidRPr="003463FE">
        <w:rPr>
          <w:rFonts w:ascii="Palatino Linotype" w:eastAsia="Palatino Linotype" w:hAnsi="Palatino Linotype" w:cs="Palatino Linotype"/>
          <w:sz w:val="24"/>
          <w:szCs w:val="24"/>
        </w:rPr>
        <w:t xml:space="preserve">Ahora bien, del análisis efectuado se advierte que resulta procedente la interposición del recurso y se concluye la acreditación plena de todos y cada uno de los elementos formales exigidos por el artículo 180 de la Ley de Transparencia y Acceso a la </w:t>
      </w:r>
      <w:r w:rsidRPr="003463FE">
        <w:rPr>
          <w:rFonts w:ascii="Palatino Linotype" w:eastAsia="Palatino Linotype" w:hAnsi="Palatino Linotype" w:cs="Palatino Linotype"/>
          <w:sz w:val="24"/>
          <w:szCs w:val="24"/>
        </w:rPr>
        <w:lastRenderedPageBreak/>
        <w:t xml:space="preserve">Información Pública del Estado de México y Municipios en vigor, en atención a que fue presentado mediante el formato visible </w:t>
      </w:r>
      <w:r w:rsidRPr="003463FE">
        <w:rPr>
          <w:rFonts w:ascii="Palatino Linotype" w:eastAsia="Palatino Linotype" w:hAnsi="Palatino Linotype" w:cs="Palatino Linotype"/>
          <w:b/>
          <w:sz w:val="24"/>
          <w:szCs w:val="24"/>
        </w:rPr>
        <w:t xml:space="preserve">EL SAIMEX.  </w:t>
      </w:r>
    </w:p>
    <w:p w14:paraId="3902E6FA"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3F63CEED" w14:textId="77777777" w:rsidR="006B45F1" w:rsidRPr="003463FE" w:rsidRDefault="007634EE">
      <w:pPr>
        <w:pBdr>
          <w:top w:val="nil"/>
          <w:left w:val="nil"/>
          <w:bottom w:val="nil"/>
          <w:right w:val="nil"/>
          <w:between w:val="nil"/>
        </w:pBdr>
        <w:spacing w:after="0" w:line="360" w:lineRule="auto"/>
        <w:ind w:right="-147"/>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Finalmente, resulta procedente la interposición del recurso, según lo aducido por </w:t>
      </w:r>
      <w:r w:rsidRPr="003463FE">
        <w:rPr>
          <w:rFonts w:ascii="Palatino Linotype" w:eastAsia="Palatino Linotype" w:hAnsi="Palatino Linotype" w:cs="Palatino Linotype"/>
          <w:b/>
          <w:sz w:val="24"/>
          <w:szCs w:val="24"/>
        </w:rPr>
        <w:t>LA PARTE RECURRENTE</w:t>
      </w:r>
      <w:r w:rsidRPr="003463FE">
        <w:rPr>
          <w:rFonts w:ascii="Palatino Linotype" w:eastAsia="Palatino Linotype" w:hAnsi="Palatino Linotype" w:cs="Palatino Linotype"/>
          <w:sz w:val="24"/>
          <w:szCs w:val="24"/>
        </w:rPr>
        <w:t xml:space="preserve"> en sus razones o motivos de inconformidad, de acuerdo al artículo 179, fracción I de la Ley de Transparencia y Acceso a la Información Pública del Estado de México y Municipios; que a la letra dice:</w:t>
      </w:r>
    </w:p>
    <w:p w14:paraId="73062639" w14:textId="77777777" w:rsidR="006B45F1" w:rsidRPr="003463FE" w:rsidRDefault="006B45F1">
      <w:pPr>
        <w:pBdr>
          <w:top w:val="nil"/>
          <w:left w:val="nil"/>
          <w:bottom w:val="nil"/>
          <w:right w:val="nil"/>
          <w:between w:val="nil"/>
        </w:pBdr>
        <w:spacing w:after="0" w:line="360" w:lineRule="auto"/>
        <w:ind w:right="-147"/>
        <w:jc w:val="both"/>
        <w:rPr>
          <w:rFonts w:ascii="Palatino Linotype" w:eastAsia="Palatino Linotype" w:hAnsi="Palatino Linotype" w:cs="Palatino Linotype"/>
          <w:sz w:val="24"/>
          <w:szCs w:val="24"/>
        </w:rPr>
      </w:pPr>
    </w:p>
    <w:p w14:paraId="4DF54787" w14:textId="77777777" w:rsidR="006B45F1" w:rsidRPr="003463FE" w:rsidRDefault="007634EE">
      <w:pPr>
        <w:pBdr>
          <w:top w:val="nil"/>
          <w:left w:val="nil"/>
          <w:bottom w:val="nil"/>
          <w:right w:val="nil"/>
          <w:between w:val="nil"/>
        </w:pBdr>
        <w:spacing w:after="0" w:line="276" w:lineRule="auto"/>
        <w:ind w:left="992" w:right="1043"/>
        <w:jc w:val="both"/>
        <w:rPr>
          <w:rFonts w:ascii="Palatino Linotype" w:eastAsia="Palatino Linotype" w:hAnsi="Palatino Linotype" w:cs="Palatino Linotype"/>
          <w:i/>
        </w:rPr>
      </w:pPr>
      <w:r w:rsidRPr="003463FE">
        <w:rPr>
          <w:rFonts w:ascii="Palatino Linotype" w:eastAsia="Palatino Linotype" w:hAnsi="Palatino Linotype" w:cs="Palatino Linotype"/>
          <w:b/>
          <w:i/>
        </w:rPr>
        <w:t>“Artículo 179</w:t>
      </w:r>
      <w:r w:rsidRPr="003463FE">
        <w:rPr>
          <w:rFonts w:ascii="Palatino Linotype" w:eastAsia="Palatino Linotype" w:hAnsi="Palatino Linotype" w:cs="Palatino Linotype"/>
          <w:i/>
        </w:rPr>
        <w:t xml:space="preserve">. </w:t>
      </w:r>
      <w:r w:rsidRPr="003463FE">
        <w:rPr>
          <w:rFonts w:ascii="Palatino Linotype" w:eastAsia="Palatino Linotype" w:hAnsi="Palatino Linotype" w:cs="Palatino Linotype"/>
          <w:b/>
          <w:i/>
        </w:rPr>
        <w:t>El recurso de revisión</w:t>
      </w:r>
      <w:r w:rsidRPr="003463FE">
        <w:rPr>
          <w:rFonts w:ascii="Palatino Linotype" w:eastAsia="Palatino Linotype" w:hAnsi="Palatino Linotype" w:cs="Palatino Linotype"/>
          <w:i/>
        </w:rPr>
        <w:t xml:space="preserve"> es un medio de protección que la Ley otorga a los particulares, para hacer valer su derecho de acceso a la información pública</w:t>
      </w:r>
      <w:r w:rsidRPr="003463FE">
        <w:rPr>
          <w:rFonts w:ascii="Palatino Linotype" w:eastAsia="Palatino Linotype" w:hAnsi="Palatino Linotype" w:cs="Palatino Linotype"/>
          <w:b/>
          <w:i/>
        </w:rPr>
        <w:t>, y procederá en contra de las siguientes causas</w:t>
      </w:r>
      <w:r w:rsidRPr="003463FE">
        <w:rPr>
          <w:rFonts w:ascii="Palatino Linotype" w:eastAsia="Palatino Linotype" w:hAnsi="Palatino Linotype" w:cs="Palatino Linotype"/>
          <w:i/>
        </w:rPr>
        <w:t>:</w:t>
      </w:r>
    </w:p>
    <w:p w14:paraId="55C5D265" w14:textId="77777777" w:rsidR="006B45F1" w:rsidRPr="003463FE" w:rsidRDefault="007634EE">
      <w:pPr>
        <w:pBdr>
          <w:top w:val="nil"/>
          <w:left w:val="nil"/>
          <w:bottom w:val="nil"/>
          <w:right w:val="nil"/>
          <w:between w:val="nil"/>
        </w:pBdr>
        <w:spacing w:after="0" w:line="276" w:lineRule="auto"/>
        <w:ind w:left="992" w:right="1043"/>
        <w:jc w:val="both"/>
        <w:rPr>
          <w:rFonts w:ascii="Palatino Linotype" w:eastAsia="Palatino Linotype" w:hAnsi="Palatino Linotype" w:cs="Palatino Linotype"/>
          <w:i/>
        </w:rPr>
      </w:pPr>
      <w:r w:rsidRPr="003463FE">
        <w:rPr>
          <w:rFonts w:ascii="Palatino Linotype" w:eastAsia="Palatino Linotype" w:hAnsi="Palatino Linotype" w:cs="Palatino Linotype"/>
          <w:b/>
          <w:i/>
        </w:rPr>
        <w:t>I. La negativa a la información solicitada;</w:t>
      </w:r>
      <w:r w:rsidRPr="003463FE">
        <w:rPr>
          <w:rFonts w:ascii="Palatino Linotype" w:eastAsia="Palatino Linotype" w:hAnsi="Palatino Linotype" w:cs="Palatino Linotype"/>
          <w:i/>
        </w:rPr>
        <w:t>”</w:t>
      </w:r>
    </w:p>
    <w:p w14:paraId="21254A0E"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2E96BB00"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TERCERO. ANÁLISIS DE LAS CAUSALES DE SOBRESEIMIENTO</w:t>
      </w:r>
      <w:r w:rsidRPr="003463FE">
        <w:rPr>
          <w:rFonts w:ascii="Palatino Linotype" w:eastAsia="Palatino Linotype" w:hAnsi="Palatino Linotype" w:cs="Palatino Linotype"/>
          <w:sz w:val="24"/>
          <w:szCs w:val="24"/>
        </w:rPr>
        <w:t xml:space="preserve"> Es menester resaltar que en el procedimiento de acceso a la información pública y de los medios de impugnación de la materia, se advierten diversos supuestos de procedibilidad que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p>
    <w:p w14:paraId="6790C684"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381C95CA"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Siendo una facultad legal entrar al estudio de las causas de improcedencia que hagan valer las partes o que se adviertan de oficio por este Instituto; presupuestos procesales de inicio o trámite de un proceso que dotan de seguridad jurídica las </w:t>
      </w:r>
      <w:r w:rsidRPr="003463FE">
        <w:rPr>
          <w:rFonts w:ascii="Palatino Linotype" w:eastAsia="Palatino Linotype" w:hAnsi="Palatino Linotype" w:cs="Palatino Linotype"/>
          <w:sz w:val="24"/>
          <w:szCs w:val="24"/>
        </w:rPr>
        <w:lastRenderedPageBreak/>
        <w:t>resoluciones emitidas por este organismo colegiado, máxime que se trata de una figura procesal adoptada en la ley de la materia, la cual permite dilucidar alguna causal que impida el estudio y resolución de un asunto en su fondo, cuando una vez admitido el recurso de revisión se advierta una causa de improcedencia que permita sobreseerlo. Estudio de causales de improcedencia que no son incompatibles con el derecho de acceso a la justicia, ya que éste no se coarta por regular causas de improcedencia y sobreseimiento con tales fines.</w:t>
      </w:r>
    </w:p>
    <w:p w14:paraId="3BAB2613"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2FE06984" w14:textId="77777777" w:rsidR="006B45F1" w:rsidRPr="003463FE" w:rsidRDefault="007634EE">
      <w:pPr>
        <w:spacing w:after="0" w:line="360" w:lineRule="auto"/>
        <w:ind w:right="51"/>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De manera preliminar en el caso concreto conviene analizar si se actualiza alguna de las causales de sobreseimiento de los recursos de revisión.</w:t>
      </w:r>
    </w:p>
    <w:p w14:paraId="4F3CB2C9" w14:textId="77777777" w:rsidR="006B45F1" w:rsidRPr="003463FE" w:rsidRDefault="006B45F1">
      <w:pPr>
        <w:spacing w:after="0" w:line="360" w:lineRule="auto"/>
        <w:ind w:right="49"/>
        <w:jc w:val="both"/>
        <w:rPr>
          <w:rFonts w:ascii="Palatino Linotype" w:eastAsia="Palatino Linotype" w:hAnsi="Palatino Linotype" w:cs="Palatino Linotype"/>
          <w:sz w:val="24"/>
          <w:szCs w:val="24"/>
        </w:rPr>
      </w:pPr>
    </w:p>
    <w:p w14:paraId="66A3ADF2"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Dicho lo anterior, se procede al estudio de los Recursos de Revisión que ahora nos ocupan, al tenor de lo siguiente: </w:t>
      </w:r>
    </w:p>
    <w:p w14:paraId="30551074" w14:textId="77777777" w:rsidR="006B45F1" w:rsidRPr="003463FE" w:rsidRDefault="006B45F1">
      <w:pPr>
        <w:spacing w:after="0" w:line="360" w:lineRule="auto"/>
        <w:jc w:val="both"/>
        <w:rPr>
          <w:rFonts w:ascii="Palatino Linotype" w:eastAsia="Palatino Linotype" w:hAnsi="Palatino Linotype" w:cs="Palatino Linotype"/>
          <w:sz w:val="24"/>
          <w:szCs w:val="24"/>
        </w:rPr>
      </w:pPr>
    </w:p>
    <w:tbl>
      <w:tblPr>
        <w:tblStyle w:val="a"/>
        <w:tblW w:w="906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3543"/>
        <w:gridCol w:w="3402"/>
      </w:tblGrid>
      <w:tr w:rsidR="003463FE" w:rsidRPr="003463FE" w14:paraId="7719F8D4" w14:textId="77777777">
        <w:tc>
          <w:tcPr>
            <w:tcW w:w="2122" w:type="dxa"/>
            <w:shd w:val="clear" w:color="auto" w:fill="AEAAAA"/>
          </w:tcPr>
          <w:p w14:paraId="4A650F6D" w14:textId="77777777" w:rsidR="006B45F1" w:rsidRPr="003463FE" w:rsidRDefault="007634EE">
            <w:pPr>
              <w:spacing w:before="240" w:after="240" w:line="360" w:lineRule="auto"/>
              <w:jc w:val="center"/>
              <w:rPr>
                <w:rFonts w:ascii="Palatino Linotype" w:eastAsia="Palatino Linotype" w:hAnsi="Palatino Linotype" w:cs="Palatino Linotype"/>
                <w:b/>
                <w:sz w:val="20"/>
                <w:szCs w:val="20"/>
              </w:rPr>
            </w:pPr>
            <w:r w:rsidRPr="003463FE">
              <w:rPr>
                <w:rFonts w:ascii="Palatino Linotype" w:eastAsia="Palatino Linotype" w:hAnsi="Palatino Linotype" w:cs="Palatino Linotype"/>
                <w:b/>
                <w:sz w:val="20"/>
                <w:szCs w:val="20"/>
              </w:rPr>
              <w:t>Solicitud</w:t>
            </w:r>
          </w:p>
        </w:tc>
        <w:tc>
          <w:tcPr>
            <w:tcW w:w="3543" w:type="dxa"/>
            <w:shd w:val="clear" w:color="auto" w:fill="AEAAAA"/>
          </w:tcPr>
          <w:p w14:paraId="220DA7E9" w14:textId="77777777" w:rsidR="006B45F1" w:rsidRPr="003463FE" w:rsidRDefault="007634EE">
            <w:pPr>
              <w:spacing w:before="240" w:after="240" w:line="360" w:lineRule="auto"/>
              <w:jc w:val="center"/>
              <w:rPr>
                <w:rFonts w:ascii="Palatino Linotype" w:eastAsia="Palatino Linotype" w:hAnsi="Palatino Linotype" w:cs="Palatino Linotype"/>
                <w:b/>
                <w:sz w:val="20"/>
                <w:szCs w:val="20"/>
              </w:rPr>
            </w:pPr>
            <w:r w:rsidRPr="003463FE">
              <w:rPr>
                <w:rFonts w:ascii="Palatino Linotype" w:eastAsia="Palatino Linotype" w:hAnsi="Palatino Linotype" w:cs="Palatino Linotype"/>
                <w:b/>
                <w:sz w:val="20"/>
                <w:szCs w:val="20"/>
              </w:rPr>
              <w:t>Respuesta</w:t>
            </w:r>
          </w:p>
        </w:tc>
        <w:tc>
          <w:tcPr>
            <w:tcW w:w="3402" w:type="dxa"/>
            <w:shd w:val="clear" w:color="auto" w:fill="AEAAAA"/>
          </w:tcPr>
          <w:p w14:paraId="00EF4AEC" w14:textId="77777777" w:rsidR="006B45F1" w:rsidRPr="003463FE" w:rsidRDefault="007634EE">
            <w:pPr>
              <w:spacing w:before="240" w:after="240" w:line="360" w:lineRule="auto"/>
              <w:jc w:val="center"/>
              <w:rPr>
                <w:rFonts w:ascii="Palatino Linotype" w:eastAsia="Palatino Linotype" w:hAnsi="Palatino Linotype" w:cs="Palatino Linotype"/>
                <w:b/>
                <w:sz w:val="20"/>
                <w:szCs w:val="20"/>
              </w:rPr>
            </w:pPr>
            <w:r w:rsidRPr="003463FE">
              <w:rPr>
                <w:rFonts w:ascii="Palatino Linotype" w:eastAsia="Palatino Linotype" w:hAnsi="Palatino Linotype" w:cs="Palatino Linotype"/>
                <w:b/>
                <w:sz w:val="20"/>
                <w:szCs w:val="20"/>
              </w:rPr>
              <w:t>Informe Justificado</w:t>
            </w:r>
          </w:p>
        </w:tc>
      </w:tr>
      <w:tr w:rsidR="006B45F1" w:rsidRPr="003463FE" w14:paraId="14DFCD84" w14:textId="77777777">
        <w:tc>
          <w:tcPr>
            <w:tcW w:w="2122" w:type="dxa"/>
            <w:shd w:val="clear" w:color="auto" w:fill="auto"/>
          </w:tcPr>
          <w:p w14:paraId="3A6BC697" w14:textId="77777777" w:rsidR="006B45F1" w:rsidRPr="003463FE" w:rsidRDefault="007634EE">
            <w:pPr>
              <w:spacing w:before="240" w:after="240" w:line="276" w:lineRule="auto"/>
              <w:jc w:val="both"/>
              <w:rPr>
                <w:rFonts w:ascii="Palatino Linotype" w:eastAsia="Palatino Linotype" w:hAnsi="Palatino Linotype" w:cs="Palatino Linotype"/>
                <w:sz w:val="20"/>
                <w:szCs w:val="20"/>
              </w:rPr>
            </w:pPr>
            <w:r w:rsidRPr="003463FE">
              <w:rPr>
                <w:rFonts w:ascii="Palatino Linotype" w:eastAsia="Palatino Linotype" w:hAnsi="Palatino Linotype" w:cs="Palatino Linotype"/>
                <w:sz w:val="20"/>
                <w:szCs w:val="20"/>
              </w:rPr>
              <w:t xml:space="preserve">Número de defunciones registradas del año 2021, 2022, 2023 al 10 de noviembre de 2024, desglosadas por mes, género y rango de edad. </w:t>
            </w:r>
          </w:p>
        </w:tc>
        <w:tc>
          <w:tcPr>
            <w:tcW w:w="3543" w:type="dxa"/>
            <w:shd w:val="clear" w:color="auto" w:fill="auto"/>
          </w:tcPr>
          <w:p w14:paraId="53AE71AF" w14:textId="77777777" w:rsidR="006B45F1" w:rsidRPr="003463FE" w:rsidRDefault="007634EE">
            <w:pPr>
              <w:spacing w:before="240" w:after="240" w:line="360" w:lineRule="auto"/>
              <w:jc w:val="both"/>
              <w:rPr>
                <w:rFonts w:ascii="Palatino Linotype" w:eastAsia="Palatino Linotype" w:hAnsi="Palatino Linotype" w:cs="Palatino Linotype"/>
                <w:sz w:val="20"/>
                <w:szCs w:val="20"/>
              </w:rPr>
            </w:pPr>
            <w:r w:rsidRPr="003463FE">
              <w:rPr>
                <w:rFonts w:ascii="Palatino Linotype" w:eastAsia="Palatino Linotype" w:hAnsi="Palatino Linotype" w:cs="Palatino Linotype"/>
                <w:sz w:val="20"/>
                <w:szCs w:val="20"/>
              </w:rPr>
              <w:t xml:space="preserve">Si bien </w:t>
            </w:r>
            <w:r w:rsidRPr="003463FE">
              <w:rPr>
                <w:rFonts w:ascii="Palatino Linotype" w:eastAsia="Palatino Linotype" w:hAnsi="Palatino Linotype" w:cs="Palatino Linotype"/>
                <w:b/>
                <w:sz w:val="20"/>
                <w:szCs w:val="20"/>
              </w:rPr>
              <w:t xml:space="preserve">EL SUJETO OBLIGADO </w:t>
            </w:r>
            <w:r w:rsidRPr="003463FE">
              <w:rPr>
                <w:rFonts w:ascii="Palatino Linotype" w:eastAsia="Palatino Linotype" w:hAnsi="Palatino Linotype" w:cs="Palatino Linotype"/>
                <w:sz w:val="20"/>
                <w:szCs w:val="20"/>
              </w:rPr>
              <w:t xml:space="preserve">proporciono respuesta, no adjunto el archivo con el cual podría colmar la solicitud de información. </w:t>
            </w:r>
          </w:p>
        </w:tc>
        <w:tc>
          <w:tcPr>
            <w:tcW w:w="3402" w:type="dxa"/>
            <w:shd w:val="clear" w:color="auto" w:fill="auto"/>
          </w:tcPr>
          <w:p w14:paraId="664C36D1" w14:textId="77777777" w:rsidR="006B45F1" w:rsidRPr="003463FE" w:rsidRDefault="007634EE">
            <w:pPr>
              <w:spacing w:before="240" w:after="240" w:line="276" w:lineRule="auto"/>
              <w:ind w:right="51"/>
              <w:jc w:val="both"/>
              <w:rPr>
                <w:rFonts w:ascii="Palatino Linotype" w:eastAsia="Palatino Linotype" w:hAnsi="Palatino Linotype" w:cs="Palatino Linotype"/>
                <w:sz w:val="20"/>
                <w:szCs w:val="20"/>
              </w:rPr>
            </w:pPr>
            <w:r w:rsidRPr="003463FE">
              <w:rPr>
                <w:rFonts w:ascii="Palatino Linotype" w:eastAsia="Palatino Linotype" w:hAnsi="Palatino Linotype" w:cs="Palatino Linotype"/>
                <w:sz w:val="20"/>
                <w:szCs w:val="20"/>
              </w:rPr>
              <w:t>El Oficial del Registro Civil, mediante el cual proporciona una relación de las defunciones del año dos mil veintiuno al diez de noviembre de dos mil veinticuatro, en donde se advierte la cantidad que son hombre, mujeres y el rango de edad.</w:t>
            </w:r>
          </w:p>
        </w:tc>
      </w:tr>
    </w:tbl>
    <w:p w14:paraId="68DBEF68"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587C5A4C"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lastRenderedPageBreak/>
        <w:t>En primera instancia, es de señalar que la relación proporcionada en informe justificado es la siguiente:</w:t>
      </w:r>
    </w:p>
    <w:p w14:paraId="35A0F691"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noProof/>
          <w:sz w:val="24"/>
          <w:szCs w:val="24"/>
        </w:rPr>
        <w:drawing>
          <wp:inline distT="0" distB="0" distL="0" distR="0" wp14:anchorId="602CBFEE" wp14:editId="2FCBE4C1">
            <wp:extent cx="5759881" cy="3879675"/>
            <wp:effectExtent l="0" t="0" r="0" b="0"/>
            <wp:docPr id="1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5759881" cy="3879675"/>
                    </a:xfrm>
                    <a:prstGeom prst="rect">
                      <a:avLst/>
                    </a:prstGeom>
                    <a:ln/>
                  </pic:spPr>
                </pic:pic>
              </a:graphicData>
            </a:graphic>
          </wp:inline>
        </w:drawing>
      </w:r>
    </w:p>
    <w:p w14:paraId="7B1FF429"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13E6C0C8" w14:textId="77777777" w:rsidR="006B45F1" w:rsidRPr="003463FE" w:rsidRDefault="007634EE">
      <w:pPr>
        <w:spacing w:after="0" w:line="360" w:lineRule="auto"/>
        <w:ind w:right="51"/>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Aclaro lo anterior, es de recordar que la información proporcionada en informe justificado fue proporcionada por la Oficialía del Registro Civil, quien cuenta con las siguientes funciones y atribuciones: </w:t>
      </w:r>
    </w:p>
    <w:p w14:paraId="167E841D"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0E9EFCA4" w14:textId="77777777" w:rsidR="006B45F1" w:rsidRPr="003463FE" w:rsidRDefault="007634EE">
      <w:pPr>
        <w:spacing w:after="0" w:line="276" w:lineRule="auto"/>
        <w:ind w:left="851" w:right="902"/>
        <w:jc w:val="both"/>
        <w:rPr>
          <w:rFonts w:ascii="Palatino Linotype" w:eastAsia="Palatino Linotype" w:hAnsi="Palatino Linotype" w:cs="Palatino Linotype"/>
          <w:b/>
          <w:i/>
        </w:rPr>
      </w:pPr>
      <w:r w:rsidRPr="003463FE">
        <w:rPr>
          <w:rFonts w:ascii="Palatino Linotype" w:eastAsia="Palatino Linotype" w:hAnsi="Palatino Linotype" w:cs="Palatino Linotype"/>
          <w:b/>
          <w:i/>
        </w:rPr>
        <w:t>MANUAL DE ORGANIZACIÓN DE LA OFICIALÍA DEL REGISTRO CIVIL.</w:t>
      </w:r>
    </w:p>
    <w:p w14:paraId="044EEA96" w14:textId="77777777" w:rsidR="006B45F1" w:rsidRPr="003463FE" w:rsidRDefault="006B45F1">
      <w:pPr>
        <w:spacing w:after="0" w:line="276" w:lineRule="auto"/>
        <w:ind w:left="851" w:right="902"/>
        <w:jc w:val="both"/>
        <w:rPr>
          <w:rFonts w:ascii="Palatino Linotype" w:eastAsia="Palatino Linotype" w:hAnsi="Palatino Linotype" w:cs="Palatino Linotype"/>
          <w:b/>
          <w:i/>
        </w:rPr>
      </w:pPr>
    </w:p>
    <w:p w14:paraId="628A2926" w14:textId="77777777" w:rsidR="006B45F1" w:rsidRPr="003463FE" w:rsidRDefault="007634EE">
      <w:pPr>
        <w:spacing w:after="0" w:line="276" w:lineRule="auto"/>
        <w:ind w:left="851" w:right="902"/>
        <w:jc w:val="both"/>
        <w:rPr>
          <w:rFonts w:ascii="Palatino Linotype" w:eastAsia="Palatino Linotype" w:hAnsi="Palatino Linotype" w:cs="Palatino Linotype"/>
          <w:i/>
        </w:rPr>
      </w:pPr>
      <w:r w:rsidRPr="003463FE">
        <w:rPr>
          <w:rFonts w:ascii="Palatino Linotype" w:eastAsia="Palatino Linotype" w:hAnsi="Palatino Linotype" w:cs="Palatino Linotype"/>
          <w:i/>
        </w:rPr>
        <w:t xml:space="preserve">La Oficialía del Registro Civil es la unidad administrativa que utiliza el Oficial del Registro Civil para inscribir, registrar, autorizar, certificar, dar publicidad y </w:t>
      </w:r>
      <w:r w:rsidRPr="003463FE">
        <w:rPr>
          <w:rFonts w:ascii="Palatino Linotype" w:eastAsia="Palatino Linotype" w:hAnsi="Palatino Linotype" w:cs="Palatino Linotype"/>
          <w:i/>
        </w:rPr>
        <w:lastRenderedPageBreak/>
        <w:t xml:space="preserve">solemnidad a los actos relativos al estado civil, con el propósito de brindar certeza jurídica a las personas, para hacer posible la identidad de los individuos en el ejercicio de sus derechos, el acceso a la nacionalidad y la certeza de sus relaciones con los demás, por ser un elemento de cohesión social e integración familiar, al determinar la filiación del individuo, el vínculo matrimonial y el parentesco, entre otros caracteres jurídicos. </w:t>
      </w:r>
    </w:p>
    <w:p w14:paraId="69597A88" w14:textId="77777777" w:rsidR="006B45F1" w:rsidRPr="003463FE" w:rsidRDefault="007634EE">
      <w:pPr>
        <w:spacing w:after="0" w:line="276" w:lineRule="auto"/>
        <w:ind w:left="851" w:right="902"/>
        <w:jc w:val="both"/>
        <w:rPr>
          <w:rFonts w:ascii="Palatino Linotype" w:eastAsia="Palatino Linotype" w:hAnsi="Palatino Linotype" w:cs="Palatino Linotype"/>
          <w:i/>
        </w:rPr>
      </w:pPr>
      <w:r w:rsidRPr="003463FE">
        <w:rPr>
          <w:rFonts w:ascii="Palatino Linotype" w:eastAsia="Palatino Linotype" w:hAnsi="Palatino Linotype" w:cs="Palatino Linotype"/>
          <w:i/>
        </w:rPr>
        <w:t xml:space="preserve">El Registro Civil es la institución de carácter público y de interés social, mediante el cual el Estado, a través del titular y sus oficiales investidos de fe pública, inscribe, registra, autoriza, certifica, da publicidad y solemnidad a los actos y hechos relativos al estado civil de las personas y ex pide las actas relativas al nacimiento, reconocimiento de hijos, adopción plena, matrimonio, divorcio y fallecimiento; así mismo, inscribe las resoluciones que la ley autoriza en la forma y términos que establece el reglamento. </w:t>
      </w:r>
    </w:p>
    <w:p w14:paraId="28BEAA8B" w14:textId="77777777" w:rsidR="006B45F1" w:rsidRPr="003463FE" w:rsidRDefault="006B45F1">
      <w:pPr>
        <w:spacing w:after="0" w:line="276" w:lineRule="auto"/>
        <w:ind w:left="851" w:right="902"/>
        <w:jc w:val="both"/>
        <w:rPr>
          <w:rFonts w:ascii="Palatino Linotype" w:eastAsia="Palatino Linotype" w:hAnsi="Palatino Linotype" w:cs="Palatino Linotype"/>
          <w:i/>
        </w:rPr>
      </w:pPr>
    </w:p>
    <w:p w14:paraId="35A168FE" w14:textId="77777777" w:rsidR="006B45F1" w:rsidRPr="003463FE" w:rsidRDefault="007634EE">
      <w:pPr>
        <w:spacing w:after="0" w:line="276" w:lineRule="auto"/>
        <w:ind w:left="851" w:right="902"/>
        <w:jc w:val="both"/>
        <w:rPr>
          <w:rFonts w:ascii="Palatino Linotype" w:eastAsia="Palatino Linotype" w:hAnsi="Palatino Linotype" w:cs="Palatino Linotype"/>
          <w:i/>
        </w:rPr>
      </w:pPr>
      <w:r w:rsidRPr="003463FE">
        <w:rPr>
          <w:rFonts w:ascii="Palatino Linotype" w:eastAsia="Palatino Linotype" w:hAnsi="Palatino Linotype" w:cs="Palatino Linotype"/>
          <w:i/>
        </w:rPr>
        <w:t xml:space="preserve">Los Asentamientos que se realizan son: </w:t>
      </w:r>
    </w:p>
    <w:p w14:paraId="0C45B197" w14:textId="77777777" w:rsidR="006B45F1" w:rsidRPr="003463FE" w:rsidRDefault="007634EE">
      <w:pPr>
        <w:spacing w:after="0" w:line="276" w:lineRule="auto"/>
        <w:ind w:left="851" w:right="902"/>
        <w:jc w:val="both"/>
        <w:rPr>
          <w:rFonts w:ascii="Palatino Linotype" w:eastAsia="Palatino Linotype" w:hAnsi="Palatino Linotype" w:cs="Palatino Linotype"/>
          <w:i/>
        </w:rPr>
      </w:pPr>
      <w:r w:rsidRPr="003463FE">
        <w:rPr>
          <w:rFonts w:ascii="Palatino Linotype" w:eastAsia="Palatino Linotype" w:hAnsi="Palatino Linotype" w:cs="Palatino Linotype"/>
          <w:i/>
        </w:rPr>
        <w:t>(...)</w:t>
      </w:r>
    </w:p>
    <w:p w14:paraId="68BAB51C" w14:textId="77777777" w:rsidR="006B45F1" w:rsidRPr="003463FE" w:rsidRDefault="007634EE">
      <w:pPr>
        <w:spacing w:after="0" w:line="276" w:lineRule="auto"/>
        <w:ind w:left="851" w:right="902"/>
        <w:jc w:val="both"/>
        <w:rPr>
          <w:rFonts w:ascii="Palatino Linotype" w:eastAsia="Palatino Linotype" w:hAnsi="Palatino Linotype" w:cs="Palatino Linotype"/>
          <w:i/>
        </w:rPr>
      </w:pPr>
      <w:r w:rsidRPr="003463FE">
        <w:rPr>
          <w:rFonts w:ascii="Palatino Linotype" w:eastAsia="Palatino Linotype" w:hAnsi="Palatino Linotype" w:cs="Palatino Linotype"/>
          <w:i/>
        </w:rPr>
        <w:t xml:space="preserve">V. Defunciones. </w:t>
      </w:r>
    </w:p>
    <w:p w14:paraId="5DC2E968"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19812CC0" w14:textId="77777777" w:rsidR="006B45F1" w:rsidRPr="003463FE" w:rsidRDefault="007634EE">
      <w:pPr>
        <w:spacing w:after="0" w:line="360" w:lineRule="auto"/>
        <w:ind w:right="51"/>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De acuerdo a lo anterior, la Oficialía del Registro Civil, inscribe, registra, autoriza, certifica, da publicidad y solemnidad, siendo la institución de carácter público y de interés social, mediante el cual el Estado, a través del titular y sus oficiales investidos de fe pública, inscribe, registra, autoriza, certifica, da publicidad y solemnidad a los actos y hechos relativos al estado civil de las personas como es el fallecimiento; así mismo, inscribe las resoluciones que la ley autoriza en la forma y términos que establece el reglamento, siendo una de estas, los asentamientos de defunciones. </w:t>
      </w:r>
    </w:p>
    <w:p w14:paraId="0B9E7FCB"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5A995182" w14:textId="77777777" w:rsidR="006B45F1" w:rsidRPr="003463FE" w:rsidRDefault="007634EE">
      <w:pPr>
        <w:spacing w:after="0" w:line="360" w:lineRule="auto"/>
        <w:ind w:right="49"/>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Por ende, se determina que la respuesta fue proporcionada por la Unidad Administrativa Competente, siguiendo el procedimiento establecido por el artículo </w:t>
      </w:r>
      <w:r w:rsidRPr="003463FE">
        <w:rPr>
          <w:rFonts w:ascii="Palatino Linotype" w:eastAsia="Palatino Linotype" w:hAnsi="Palatino Linotype" w:cs="Palatino Linotype"/>
          <w:sz w:val="24"/>
          <w:szCs w:val="24"/>
        </w:rPr>
        <w:lastRenderedPageBreak/>
        <w:t>162 de la Ley de Transparencia y Acceso a la Información Pública del Estado de México y Municipios, ya que turnó la solicitud al área en la que podría obrar la información de conformidad con la fracción XXXIX del artículo tercero de la legislación local vigente en materia de transparencia: </w:t>
      </w:r>
    </w:p>
    <w:p w14:paraId="46D8BBFF" w14:textId="77777777" w:rsidR="006B45F1" w:rsidRPr="003463FE" w:rsidRDefault="007634EE">
      <w:pPr>
        <w:pBdr>
          <w:top w:val="nil"/>
          <w:left w:val="nil"/>
          <w:bottom w:val="nil"/>
          <w:right w:val="nil"/>
          <w:between w:val="nil"/>
        </w:pBdr>
        <w:spacing w:after="0" w:line="360" w:lineRule="auto"/>
        <w:ind w:left="864" w:right="864"/>
        <w:jc w:val="both"/>
      </w:pPr>
      <w:r w:rsidRPr="003463FE">
        <w:rPr>
          <w:rFonts w:ascii="Palatino Linotype" w:eastAsia="Palatino Linotype" w:hAnsi="Palatino Linotype" w:cs="Palatino Linotype"/>
          <w:i/>
        </w:rPr>
        <w:t>XXXIX. Servidor público habilitado: Persona encargada dentro de las diversas unidades administrativas o áreas del sujeto obligado, de apoyar, gestionar y entregar la información o datos personales que se ubiquen en la misma, a sus respectivas unidades de transparencia; respecto de las solicitudes presentadas y aportar en primera instancia el fundamento y motivación de la clasificación de la información. </w:t>
      </w:r>
    </w:p>
    <w:p w14:paraId="03B10254" w14:textId="77777777" w:rsidR="006B45F1" w:rsidRPr="003463FE" w:rsidRDefault="006B45F1">
      <w:pPr>
        <w:spacing w:after="0" w:line="360" w:lineRule="auto"/>
        <w:rPr>
          <w:rFonts w:ascii="Palatino Linotype" w:eastAsia="Palatino Linotype" w:hAnsi="Palatino Linotype" w:cs="Palatino Linotype"/>
          <w:sz w:val="24"/>
          <w:szCs w:val="24"/>
        </w:rPr>
      </w:pPr>
    </w:p>
    <w:p w14:paraId="38B2F814" w14:textId="77777777" w:rsidR="006B45F1" w:rsidRPr="003463FE" w:rsidRDefault="007634EE">
      <w:pPr>
        <w:pBdr>
          <w:top w:val="nil"/>
          <w:left w:val="nil"/>
          <w:bottom w:val="nil"/>
          <w:right w:val="nil"/>
          <w:between w:val="nil"/>
        </w:pBdr>
        <w:shd w:val="clear" w:color="auto" w:fill="FFFFFF"/>
        <w:spacing w:after="0" w:line="360" w:lineRule="auto"/>
        <w:jc w:val="both"/>
        <w:rPr>
          <w:sz w:val="24"/>
          <w:szCs w:val="24"/>
        </w:rPr>
      </w:pPr>
      <w:r w:rsidRPr="003463FE">
        <w:rPr>
          <w:rFonts w:ascii="Palatino Linotype" w:eastAsia="Palatino Linotype" w:hAnsi="Palatino Linotype" w:cs="Palatino Linotype"/>
          <w:sz w:val="24"/>
          <w:szCs w:val="24"/>
        </w:rPr>
        <w:t>En este orden de ideas, se advierte que efectivamente la Unidad de Transparencia cumplió con lo expresado en el artículo 162 de la Ley de Transparencia y Acceso a la Información Pública del Estado de México y Municipios, el cual menciona lo siguiente:</w:t>
      </w:r>
    </w:p>
    <w:p w14:paraId="44E3ED82" w14:textId="77777777" w:rsidR="006B45F1" w:rsidRPr="003463FE" w:rsidRDefault="006B45F1">
      <w:pPr>
        <w:spacing w:after="0" w:line="360" w:lineRule="auto"/>
        <w:rPr>
          <w:sz w:val="24"/>
          <w:szCs w:val="24"/>
        </w:rPr>
      </w:pPr>
    </w:p>
    <w:p w14:paraId="771B70AF" w14:textId="77777777" w:rsidR="006B45F1" w:rsidRPr="003463FE" w:rsidRDefault="007634EE">
      <w:pPr>
        <w:pBdr>
          <w:top w:val="nil"/>
          <w:left w:val="nil"/>
          <w:bottom w:val="nil"/>
          <w:right w:val="nil"/>
          <w:between w:val="nil"/>
        </w:pBdr>
        <w:spacing w:after="0" w:line="276" w:lineRule="auto"/>
        <w:ind w:left="862" w:right="862"/>
        <w:jc w:val="both"/>
        <w:rPr>
          <w:rFonts w:ascii="Palatino Linotype" w:eastAsia="Palatino Linotype" w:hAnsi="Palatino Linotype" w:cs="Palatino Linotype"/>
          <w:i/>
          <w:sz w:val="24"/>
          <w:szCs w:val="24"/>
        </w:rPr>
      </w:pPr>
      <w:r w:rsidRPr="003463FE">
        <w:rPr>
          <w:rFonts w:ascii="Palatino Linotype" w:eastAsia="Palatino Linotype" w:hAnsi="Palatino Linotype" w:cs="Palatino Linotype"/>
          <w:i/>
          <w:sz w:val="24"/>
          <w:szCs w:val="24"/>
        </w:rPr>
        <w:t>“</w:t>
      </w:r>
      <w:r w:rsidRPr="003463FE">
        <w:rPr>
          <w:rFonts w:ascii="Palatino Linotype" w:eastAsia="Palatino Linotype" w:hAnsi="Palatino Linotype" w:cs="Palatino Linotype"/>
          <w:i/>
        </w:rPr>
        <w:t xml:space="preserve">Artículo 162. Las unidades de transparencia deberán garantizar que las solicitudes </w:t>
      </w:r>
      <w:r w:rsidRPr="003463FE">
        <w:rPr>
          <w:rFonts w:ascii="Palatino Linotype" w:eastAsia="Palatino Linotype" w:hAnsi="Palatino Linotype" w:cs="Palatino Linotype"/>
          <w:b/>
          <w:i/>
        </w:rPr>
        <w:t xml:space="preserve">se turnen a todas las Áreas competentes </w:t>
      </w:r>
      <w:r w:rsidRPr="003463FE">
        <w:rPr>
          <w:rFonts w:ascii="Palatino Linotype" w:eastAsia="Palatino Linotype" w:hAnsi="Palatino Linotype" w:cs="Palatino Linotype"/>
          <w:i/>
        </w:rPr>
        <w:t>que cuenten con la información o deban tenerla de acuerdo a sus facultades, competencias y funciones, con el objeto de que realicen una búsqueda exhaustiva y razonable de la información solicitada</w:t>
      </w:r>
      <w:r w:rsidRPr="003463FE">
        <w:rPr>
          <w:rFonts w:ascii="Palatino Linotype" w:eastAsia="Palatino Linotype" w:hAnsi="Palatino Linotype" w:cs="Palatino Linotype"/>
          <w:i/>
          <w:sz w:val="24"/>
          <w:szCs w:val="24"/>
        </w:rPr>
        <w:t>.”</w:t>
      </w:r>
    </w:p>
    <w:p w14:paraId="72BEEF52" w14:textId="77777777" w:rsidR="006B45F1" w:rsidRPr="003463FE" w:rsidRDefault="006B45F1">
      <w:pPr>
        <w:pBdr>
          <w:top w:val="nil"/>
          <w:left w:val="nil"/>
          <w:bottom w:val="nil"/>
          <w:right w:val="nil"/>
          <w:between w:val="nil"/>
        </w:pBdr>
        <w:spacing w:after="0" w:line="360" w:lineRule="auto"/>
        <w:ind w:left="864" w:right="864"/>
        <w:jc w:val="both"/>
        <w:rPr>
          <w:sz w:val="24"/>
          <w:szCs w:val="24"/>
        </w:rPr>
      </w:pPr>
    </w:p>
    <w:p w14:paraId="21EFFF79"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Por consiguiente, se tiene que el procedimiento de búsqueda de la información se ejecutó conforme a derecho.</w:t>
      </w:r>
    </w:p>
    <w:p w14:paraId="0F2880FA"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1FE8BD41" w14:textId="77777777" w:rsidR="006B45F1" w:rsidRPr="003463FE" w:rsidRDefault="007634EE">
      <w:pPr>
        <w:spacing w:after="0" w:line="360" w:lineRule="auto"/>
        <w:ind w:right="49"/>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lastRenderedPageBreak/>
        <w:t xml:space="preserve">Por lo cual, al proporcionar la información que obra en sus archivos se establece que el artículo 12 de la Ley de Transparencia y Acceso a la Información Pública del Estado de México y Municipios, anteriormente invocado </w:t>
      </w:r>
      <w:r w:rsidRPr="003463FE">
        <w:rPr>
          <w:rFonts w:ascii="Palatino Linotype" w:eastAsia="Palatino Linotype" w:hAnsi="Palatino Linotype" w:cs="Palatino Linotype"/>
          <w:b/>
          <w:sz w:val="24"/>
          <w:szCs w:val="24"/>
        </w:rPr>
        <w:t>EL SUJETO OBLIGADO</w:t>
      </w:r>
      <w:r w:rsidRPr="003463FE">
        <w:rPr>
          <w:rFonts w:ascii="Palatino Linotype" w:eastAsia="Palatino Linotype" w:hAnsi="Palatino Linotype" w:cs="Palatino Linotype"/>
          <w:sz w:val="24"/>
          <w:szCs w:val="24"/>
        </w:rPr>
        <w:t xml:space="preserve"> sólo proporcionará la información que obra en sus archivos, lo que a</w:t>
      </w:r>
      <w:r w:rsidRPr="003463FE">
        <w:rPr>
          <w:rFonts w:ascii="Palatino Linotype" w:eastAsia="Palatino Linotype" w:hAnsi="Palatino Linotype" w:cs="Palatino Linotype"/>
          <w:i/>
          <w:sz w:val="24"/>
          <w:szCs w:val="24"/>
        </w:rPr>
        <w:t xml:space="preserve"> contrario sensu</w:t>
      </w:r>
      <w:r w:rsidRPr="003463FE">
        <w:rPr>
          <w:rFonts w:ascii="Palatino Linotype" w:eastAsia="Palatino Linotype" w:hAnsi="Palatino Linotype" w:cs="Palatino Linotype"/>
          <w:sz w:val="24"/>
          <w:szCs w:val="24"/>
        </w:rPr>
        <w:t xml:space="preserve"> significa que no se está obligado a proporcionar lo que no obre en sus archivos; motivo por el cual se colma el derecho de acceso a la información pública del particular.</w:t>
      </w:r>
    </w:p>
    <w:p w14:paraId="3EB13690"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2F8704E3" w14:textId="77777777" w:rsidR="006B45F1" w:rsidRPr="003463FE" w:rsidRDefault="007634EE">
      <w:pPr>
        <w:spacing w:after="0" w:line="360" w:lineRule="auto"/>
        <w:ind w:right="-93"/>
        <w:jc w:val="both"/>
        <w:rPr>
          <w:rFonts w:ascii="Times New Roman" w:eastAsia="Times New Roman" w:hAnsi="Times New Roman" w:cs="Times New Roman"/>
          <w:sz w:val="24"/>
          <w:szCs w:val="24"/>
        </w:rPr>
      </w:pPr>
      <w:r w:rsidRPr="003463FE">
        <w:rPr>
          <w:rFonts w:ascii="Palatino Linotype" w:eastAsia="Palatino Linotype" w:hAnsi="Palatino Linotype" w:cs="Palatino Linotype"/>
          <w:sz w:val="24"/>
          <w:szCs w:val="24"/>
        </w:rPr>
        <w:t xml:space="preserve">Lo anterior, ya que si bien el derecho de acceso a la información pública se satisface en aquellos casos en que se entregue el soporte documental en que conste la información pública, sin la necesidad de elaborar documentos </w:t>
      </w:r>
      <w:r w:rsidRPr="003463FE">
        <w:rPr>
          <w:rFonts w:ascii="Palatino Linotype" w:eastAsia="Palatino Linotype" w:hAnsi="Palatino Linotype" w:cs="Palatino Linotype"/>
          <w:i/>
          <w:sz w:val="24"/>
          <w:szCs w:val="24"/>
        </w:rPr>
        <w:t>ad hoc</w:t>
      </w:r>
      <w:r w:rsidRPr="003463FE">
        <w:rPr>
          <w:rFonts w:ascii="Palatino Linotype" w:eastAsia="Palatino Linotype" w:hAnsi="Palatino Linotype" w:cs="Palatino Linotype"/>
          <w:sz w:val="24"/>
          <w:szCs w:val="24"/>
        </w:rPr>
        <w:t xml:space="preserve">; lo cual, toma sustento en el artículo 160 de la Ley de Transparencia y Acceso a la Información Pública del Estado de México y Municipios, el cual refiere que los sujetos obligados deberán entregar la información que obre en sus archivos; sin embargo, se aprecia que </w:t>
      </w:r>
      <w:r w:rsidRPr="003463FE">
        <w:rPr>
          <w:rFonts w:ascii="Palatino Linotype" w:eastAsia="Palatino Linotype" w:hAnsi="Palatino Linotype" w:cs="Palatino Linotype"/>
          <w:b/>
          <w:sz w:val="24"/>
          <w:szCs w:val="24"/>
        </w:rPr>
        <w:t>EL SUJETO OBLIGADO</w:t>
      </w:r>
      <w:r w:rsidRPr="003463FE">
        <w:rPr>
          <w:rFonts w:ascii="Palatino Linotype" w:eastAsia="Palatino Linotype" w:hAnsi="Palatino Linotype" w:cs="Palatino Linotype"/>
          <w:sz w:val="24"/>
          <w:szCs w:val="24"/>
        </w:rPr>
        <w:t xml:space="preserve">, elaboró un documento ad hoc para dar cabal cumplimiento al derecho de acceso a la información del particular aún y </w:t>
      </w:r>
      <w:r w:rsidRPr="003463FE">
        <w:rPr>
          <w:rFonts w:ascii="Palatino Linotype" w:eastAsia="Palatino Linotype" w:hAnsi="Palatino Linotype" w:cs="Palatino Linotype"/>
          <w:b/>
          <w:sz w:val="24"/>
          <w:szCs w:val="24"/>
        </w:rPr>
        <w:t>cuando no es una obligación de las autoridades</w:t>
      </w:r>
      <w:r w:rsidRPr="003463FE">
        <w:rPr>
          <w:rFonts w:ascii="Palatino Linotype" w:eastAsia="Palatino Linotype" w:hAnsi="Palatino Linotype" w:cs="Palatino Linotype"/>
          <w:sz w:val="24"/>
          <w:szCs w:val="24"/>
        </w:rPr>
        <w:t xml:space="preserve"> tal y como lo señala el Criterio 09-10, emitido por el Pleno del entonces Instituto Federal de Acceso a la Información y Protección de Datos, ahora Instituto Nacional de Transparencia, Acceso a la Información y Protección de Datos Personales, que dice:</w:t>
      </w:r>
      <w:r w:rsidRPr="003463FE">
        <w:rPr>
          <w:rFonts w:ascii="Palatino Linotype" w:eastAsia="Palatino Linotype" w:hAnsi="Palatino Linotype" w:cs="Palatino Linotype"/>
          <w:b/>
          <w:sz w:val="24"/>
          <w:szCs w:val="24"/>
        </w:rPr>
        <w:t> </w:t>
      </w:r>
    </w:p>
    <w:p w14:paraId="69D33262" w14:textId="77777777" w:rsidR="006B45F1" w:rsidRPr="003463FE" w:rsidRDefault="006B45F1">
      <w:pPr>
        <w:spacing w:after="0" w:line="360" w:lineRule="auto"/>
        <w:rPr>
          <w:rFonts w:ascii="Palatino Linotype" w:eastAsia="Palatino Linotype" w:hAnsi="Palatino Linotype" w:cs="Palatino Linotype"/>
          <w:sz w:val="24"/>
          <w:szCs w:val="24"/>
        </w:rPr>
      </w:pPr>
    </w:p>
    <w:p w14:paraId="6640C319" w14:textId="77777777" w:rsidR="006B45F1" w:rsidRPr="003463FE" w:rsidRDefault="007634EE">
      <w:pPr>
        <w:spacing w:after="0" w:line="276" w:lineRule="auto"/>
        <w:ind w:left="851" w:right="851"/>
        <w:jc w:val="both"/>
        <w:rPr>
          <w:rFonts w:ascii="Times New Roman" w:eastAsia="Times New Roman" w:hAnsi="Times New Roman" w:cs="Times New Roman"/>
        </w:rPr>
      </w:pPr>
      <w:r w:rsidRPr="003463FE">
        <w:rPr>
          <w:rFonts w:ascii="Palatino Linotype" w:eastAsia="Palatino Linotype" w:hAnsi="Palatino Linotype" w:cs="Palatino Linotype"/>
          <w:i/>
        </w:rPr>
        <w:t xml:space="preserve">Las dependencias y entidades no están obligadas a generar documentos ad hoc para responder una solicitud de acceso a la información. Tomando en consideración lo establecido por el artículo 42 de la Ley Federal de Transparencia </w:t>
      </w:r>
      <w:r w:rsidRPr="003463FE">
        <w:rPr>
          <w:rFonts w:ascii="Palatino Linotype" w:eastAsia="Palatino Linotype" w:hAnsi="Palatino Linotype" w:cs="Palatino Linotype"/>
          <w:i/>
        </w:rPr>
        <w:lastRenderedPageBreak/>
        <w:t>y Acceso a la Información Pública Gubernamental, que establece que las dependencias y entidades sólo estarán obligadas a entregar documentos que se encuentren en sus archivos, las dependencias y entidades no están obligadas a elaborar documentos ad hoc para atender las solicitudes de información, sino que deben garantizar el acceso a la información con la que cuentan en el formato que la misma así lo permita o se encuentre, en aras de dar satisfacción a la solicitud presentada.</w:t>
      </w:r>
    </w:p>
    <w:p w14:paraId="5D898CB1" w14:textId="77777777" w:rsidR="006B45F1" w:rsidRPr="003463FE" w:rsidRDefault="007634EE">
      <w:pPr>
        <w:spacing w:after="0" w:line="276" w:lineRule="auto"/>
        <w:ind w:left="851" w:right="851"/>
        <w:jc w:val="both"/>
        <w:rPr>
          <w:rFonts w:ascii="Times New Roman" w:eastAsia="Times New Roman" w:hAnsi="Times New Roman" w:cs="Times New Roman"/>
        </w:rPr>
      </w:pPr>
      <w:r w:rsidRPr="003463FE">
        <w:rPr>
          <w:rFonts w:ascii="Palatino Linotype" w:eastAsia="Palatino Linotype" w:hAnsi="Palatino Linotype" w:cs="Palatino Linotype"/>
          <w:i/>
        </w:rPr>
        <w:t>Expedientes:</w:t>
      </w:r>
    </w:p>
    <w:p w14:paraId="00E750C0" w14:textId="77777777" w:rsidR="006B45F1" w:rsidRPr="003463FE" w:rsidRDefault="007634EE">
      <w:pPr>
        <w:spacing w:after="0" w:line="276" w:lineRule="auto"/>
        <w:ind w:left="851" w:right="851"/>
        <w:jc w:val="both"/>
        <w:rPr>
          <w:rFonts w:ascii="Times New Roman" w:eastAsia="Times New Roman" w:hAnsi="Times New Roman" w:cs="Times New Roman"/>
        </w:rPr>
      </w:pPr>
      <w:r w:rsidRPr="003463FE">
        <w:rPr>
          <w:rFonts w:ascii="Palatino Linotype" w:eastAsia="Palatino Linotype" w:hAnsi="Palatino Linotype" w:cs="Palatino Linotype"/>
          <w:i/>
        </w:rPr>
        <w:t>0438/08 Pemex Exploración y Producción – Alonso Lujambio Irazábal</w:t>
      </w:r>
    </w:p>
    <w:p w14:paraId="45117F2F" w14:textId="77777777" w:rsidR="006B45F1" w:rsidRPr="003463FE" w:rsidRDefault="007634EE">
      <w:pPr>
        <w:spacing w:after="0" w:line="276" w:lineRule="auto"/>
        <w:ind w:left="851" w:right="851"/>
        <w:jc w:val="both"/>
        <w:rPr>
          <w:rFonts w:ascii="Times New Roman" w:eastAsia="Times New Roman" w:hAnsi="Times New Roman" w:cs="Times New Roman"/>
        </w:rPr>
      </w:pPr>
      <w:r w:rsidRPr="003463FE">
        <w:rPr>
          <w:rFonts w:ascii="Palatino Linotype" w:eastAsia="Palatino Linotype" w:hAnsi="Palatino Linotype" w:cs="Palatino Linotype"/>
          <w:i/>
        </w:rPr>
        <w:t>1751/09 Laboratorios de Biológicos y Reactivos de México S.A. de C.V. –</w:t>
      </w:r>
    </w:p>
    <w:p w14:paraId="4B491913" w14:textId="77777777" w:rsidR="006B45F1" w:rsidRPr="003463FE" w:rsidRDefault="007634EE">
      <w:pPr>
        <w:spacing w:after="0" w:line="276" w:lineRule="auto"/>
        <w:ind w:left="851" w:right="851"/>
        <w:jc w:val="both"/>
        <w:rPr>
          <w:rFonts w:ascii="Times New Roman" w:eastAsia="Times New Roman" w:hAnsi="Times New Roman" w:cs="Times New Roman"/>
        </w:rPr>
      </w:pPr>
      <w:r w:rsidRPr="003463FE">
        <w:rPr>
          <w:rFonts w:ascii="Palatino Linotype" w:eastAsia="Palatino Linotype" w:hAnsi="Palatino Linotype" w:cs="Palatino Linotype"/>
          <w:i/>
        </w:rPr>
        <w:t xml:space="preserve">María </w:t>
      </w:r>
      <w:proofErr w:type="spellStart"/>
      <w:r w:rsidRPr="003463FE">
        <w:rPr>
          <w:rFonts w:ascii="Palatino Linotype" w:eastAsia="Palatino Linotype" w:hAnsi="Palatino Linotype" w:cs="Palatino Linotype"/>
          <w:i/>
        </w:rPr>
        <w:t>Marván</w:t>
      </w:r>
      <w:proofErr w:type="spellEnd"/>
      <w:r w:rsidRPr="003463FE">
        <w:rPr>
          <w:rFonts w:ascii="Palatino Linotype" w:eastAsia="Palatino Linotype" w:hAnsi="Palatino Linotype" w:cs="Palatino Linotype"/>
          <w:i/>
        </w:rPr>
        <w:t xml:space="preserve"> Laborde</w:t>
      </w:r>
    </w:p>
    <w:p w14:paraId="4E53BB87" w14:textId="77777777" w:rsidR="006B45F1" w:rsidRPr="003463FE" w:rsidRDefault="007634EE">
      <w:pPr>
        <w:spacing w:after="0" w:line="276" w:lineRule="auto"/>
        <w:ind w:left="851" w:right="851"/>
        <w:jc w:val="both"/>
        <w:rPr>
          <w:rFonts w:ascii="Times New Roman" w:eastAsia="Times New Roman" w:hAnsi="Times New Roman" w:cs="Times New Roman"/>
        </w:rPr>
      </w:pPr>
      <w:r w:rsidRPr="003463FE">
        <w:rPr>
          <w:rFonts w:ascii="Palatino Linotype" w:eastAsia="Palatino Linotype" w:hAnsi="Palatino Linotype" w:cs="Palatino Linotype"/>
          <w:i/>
        </w:rPr>
        <w:t xml:space="preserve">2868/09 Consejo Nacional de Ciencia y Tecnología – Jacqueline </w:t>
      </w:r>
      <w:proofErr w:type="spellStart"/>
      <w:r w:rsidRPr="003463FE">
        <w:rPr>
          <w:rFonts w:ascii="Palatino Linotype" w:eastAsia="Palatino Linotype" w:hAnsi="Palatino Linotype" w:cs="Palatino Linotype"/>
          <w:i/>
        </w:rPr>
        <w:t>Peschard</w:t>
      </w:r>
      <w:proofErr w:type="spellEnd"/>
    </w:p>
    <w:p w14:paraId="7D4E0AC6" w14:textId="77777777" w:rsidR="006B45F1" w:rsidRPr="003463FE" w:rsidRDefault="007634EE">
      <w:pPr>
        <w:spacing w:after="0" w:line="276" w:lineRule="auto"/>
        <w:ind w:left="851" w:right="851"/>
        <w:jc w:val="both"/>
        <w:rPr>
          <w:rFonts w:ascii="Times New Roman" w:eastAsia="Times New Roman" w:hAnsi="Times New Roman" w:cs="Times New Roman"/>
        </w:rPr>
      </w:pPr>
      <w:r w:rsidRPr="003463FE">
        <w:rPr>
          <w:rFonts w:ascii="Palatino Linotype" w:eastAsia="Palatino Linotype" w:hAnsi="Palatino Linotype" w:cs="Palatino Linotype"/>
          <w:i/>
        </w:rPr>
        <w:t>Mariscal</w:t>
      </w:r>
    </w:p>
    <w:p w14:paraId="36003AE0" w14:textId="77777777" w:rsidR="006B45F1" w:rsidRPr="003463FE" w:rsidRDefault="007634EE">
      <w:pPr>
        <w:spacing w:after="0" w:line="276" w:lineRule="auto"/>
        <w:ind w:left="851" w:right="851"/>
        <w:jc w:val="both"/>
        <w:rPr>
          <w:rFonts w:ascii="Times New Roman" w:eastAsia="Times New Roman" w:hAnsi="Times New Roman" w:cs="Times New Roman"/>
        </w:rPr>
      </w:pPr>
      <w:r w:rsidRPr="003463FE">
        <w:rPr>
          <w:rFonts w:ascii="Palatino Linotype" w:eastAsia="Palatino Linotype" w:hAnsi="Palatino Linotype" w:cs="Palatino Linotype"/>
          <w:i/>
        </w:rPr>
        <w:t>5160/09 Secretaría de Hacienda y Crédito Público – Ángel Trinidad Zaldívar</w:t>
      </w:r>
    </w:p>
    <w:p w14:paraId="41DF8169" w14:textId="77777777" w:rsidR="006B45F1" w:rsidRPr="003463FE" w:rsidRDefault="007634EE">
      <w:pPr>
        <w:spacing w:after="0" w:line="276" w:lineRule="auto"/>
        <w:ind w:left="851" w:right="851"/>
        <w:jc w:val="both"/>
        <w:rPr>
          <w:rFonts w:ascii="Times New Roman" w:eastAsia="Times New Roman" w:hAnsi="Times New Roman" w:cs="Times New Roman"/>
        </w:rPr>
      </w:pPr>
      <w:r w:rsidRPr="003463FE">
        <w:rPr>
          <w:rFonts w:ascii="Palatino Linotype" w:eastAsia="Palatino Linotype" w:hAnsi="Palatino Linotype" w:cs="Palatino Linotype"/>
          <w:i/>
        </w:rPr>
        <w:t xml:space="preserve">0304/10 Instituto Nacional de Cancerología – Jacqueline </w:t>
      </w:r>
      <w:proofErr w:type="spellStart"/>
      <w:r w:rsidRPr="003463FE">
        <w:rPr>
          <w:rFonts w:ascii="Palatino Linotype" w:eastAsia="Palatino Linotype" w:hAnsi="Palatino Linotype" w:cs="Palatino Linotype"/>
          <w:i/>
        </w:rPr>
        <w:t>Peschard</w:t>
      </w:r>
      <w:proofErr w:type="spellEnd"/>
      <w:r w:rsidRPr="003463FE">
        <w:rPr>
          <w:rFonts w:ascii="Palatino Linotype" w:eastAsia="Palatino Linotype" w:hAnsi="Palatino Linotype" w:cs="Palatino Linotype"/>
          <w:i/>
        </w:rPr>
        <w:t xml:space="preserve"> Mariscal</w:t>
      </w:r>
    </w:p>
    <w:p w14:paraId="36747169" w14:textId="77777777" w:rsidR="006B45F1" w:rsidRPr="003463FE" w:rsidRDefault="006B45F1">
      <w:pPr>
        <w:spacing w:after="0" w:line="360" w:lineRule="auto"/>
        <w:rPr>
          <w:rFonts w:ascii="Times New Roman" w:eastAsia="Times New Roman" w:hAnsi="Times New Roman" w:cs="Times New Roman"/>
          <w:sz w:val="24"/>
          <w:szCs w:val="24"/>
        </w:rPr>
      </w:pPr>
    </w:p>
    <w:p w14:paraId="2C2FA1F0" w14:textId="77777777" w:rsidR="006B45F1" w:rsidRPr="003463FE" w:rsidRDefault="007634EE">
      <w:pPr>
        <w:spacing w:after="0" w:line="360" w:lineRule="auto"/>
        <w:ind w:right="-93"/>
        <w:jc w:val="both"/>
        <w:rPr>
          <w:rFonts w:ascii="Times New Roman" w:eastAsia="Times New Roman" w:hAnsi="Times New Roman" w:cs="Times New Roman"/>
          <w:sz w:val="24"/>
          <w:szCs w:val="24"/>
        </w:rPr>
      </w:pPr>
      <w:r w:rsidRPr="003463FE">
        <w:rPr>
          <w:rFonts w:ascii="Palatino Linotype" w:eastAsia="Palatino Linotype" w:hAnsi="Palatino Linotype" w:cs="Palatino Linotype"/>
          <w:sz w:val="24"/>
          <w:szCs w:val="24"/>
        </w:rPr>
        <w:t xml:space="preserve">Entonces, dado a que el criterio en mención establece que las autoridades </w:t>
      </w:r>
      <w:r w:rsidRPr="003463FE">
        <w:rPr>
          <w:rFonts w:ascii="Palatino Linotype" w:eastAsia="Palatino Linotype" w:hAnsi="Palatino Linotype" w:cs="Palatino Linotype"/>
          <w:b/>
          <w:sz w:val="24"/>
          <w:szCs w:val="24"/>
        </w:rPr>
        <w:t xml:space="preserve">no están obligadas a generar documentos “ad hoc” </w:t>
      </w:r>
      <w:r w:rsidRPr="003463FE">
        <w:rPr>
          <w:rFonts w:ascii="Palatino Linotype" w:eastAsia="Palatino Linotype" w:hAnsi="Palatino Linotype" w:cs="Palatino Linotype"/>
          <w:sz w:val="24"/>
          <w:szCs w:val="24"/>
        </w:rPr>
        <w:t>en contrario sensu, dicho criterio se puede interpretar resultando que las autoridades no están impedidas a generar documentos “ad hoc”, esto, siempre que con dicho documento elaborado se dé cabal cumplimiento a los requerimientos planteados.</w:t>
      </w:r>
    </w:p>
    <w:p w14:paraId="3A643108"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30B9C644"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Aunado a lo anterior, es de mencionar que este Organismo Garante no está facultado para pronunciarse sobre la veracidad de la información que los Sujetos Obligados ponen a disposición de los solicitantes; situación que se aleja de las atribuciones de este Instituto máxime que al momento que ponen a disposición ésta, la misma tiene el carácter oficial y se presume veraz, tan es así que la misma queda registrada en el Sistema de Acceso a la Información Mexiquense (SAIMEX).</w:t>
      </w:r>
    </w:p>
    <w:p w14:paraId="61F7E7AE" w14:textId="77777777" w:rsidR="006B45F1" w:rsidRPr="003463FE" w:rsidRDefault="006B45F1">
      <w:pPr>
        <w:tabs>
          <w:tab w:val="left" w:pos="709"/>
        </w:tabs>
        <w:spacing w:after="0" w:line="360" w:lineRule="auto"/>
        <w:ind w:right="40"/>
        <w:jc w:val="both"/>
        <w:rPr>
          <w:rFonts w:ascii="Palatino Linotype" w:eastAsia="Palatino Linotype" w:hAnsi="Palatino Linotype" w:cs="Palatino Linotype"/>
          <w:sz w:val="24"/>
          <w:szCs w:val="24"/>
        </w:rPr>
      </w:pPr>
    </w:p>
    <w:p w14:paraId="7E7FFB43" w14:textId="77777777" w:rsidR="006B45F1" w:rsidRPr="003463FE" w:rsidRDefault="007634EE">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Sirviendo de apoyo a lo anterior por analogía, el criterio 31-10 emitido por el ahora Instituto Nacional de Transparencia, Acceso a la Información y Protección de Datos Personales, que a la letra dice:</w:t>
      </w:r>
    </w:p>
    <w:p w14:paraId="0ED73F9D" w14:textId="77777777" w:rsidR="006B45F1" w:rsidRPr="003463FE" w:rsidRDefault="006B45F1">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p>
    <w:p w14:paraId="72B030B1" w14:textId="77777777" w:rsidR="006B45F1" w:rsidRPr="003463FE" w:rsidRDefault="007634EE">
      <w:pPr>
        <w:spacing w:after="0" w:line="276" w:lineRule="auto"/>
        <w:ind w:left="567" w:right="618"/>
        <w:jc w:val="both"/>
        <w:rPr>
          <w:rFonts w:ascii="Palatino Linotype" w:eastAsia="Palatino Linotype" w:hAnsi="Palatino Linotype" w:cs="Palatino Linotype"/>
          <w:i/>
        </w:rPr>
      </w:pPr>
      <w:r w:rsidRPr="003463FE">
        <w:rPr>
          <w:rFonts w:ascii="Palatino Linotype" w:eastAsia="Palatino Linotype" w:hAnsi="Palatino Linotype" w:cs="Palatino Linotype"/>
          <w:i/>
        </w:rPr>
        <w:t>El Instituto Federal de Acceso a la Información y Protección de Datos no cuenta con facultades para pronunciarse respecto de la veracidad de los documentos proporcionados por los sujetos obligados. El Instituto Federal de Acceso a la Información y Protección de Datos es un órgano de la Administración Pública Federal con autonomía operativa, presupuestaria y de decisión, encargado de promover y difundir el ejercicio del derecho de acceso a la información; resolver sobre la negativa de las solicitudes de acceso a la información; y proteger los datos personales en poder de las dependencias y entidades. Sin embargo, no está facultado para pronunciarse sobre la veracidad de la información proporcionada por las autoridades en respuesta a las solicitudes de información que les presentan los particulares, en virtud de que en los artículos 49 y 50 de la Ley Federal de Transparencia y Acceso a la Información Pública Gubernamental no se prevé una causal que permita al Instituto Federal de Acceso a la Información y Protección de Datos conocer, vía recurso revisión, al respecto.</w:t>
      </w:r>
    </w:p>
    <w:p w14:paraId="6C48DB27" w14:textId="77777777" w:rsidR="006B45F1" w:rsidRPr="003463FE" w:rsidRDefault="006B45F1">
      <w:pPr>
        <w:spacing w:after="0" w:line="276" w:lineRule="auto"/>
        <w:ind w:left="567" w:right="618"/>
        <w:jc w:val="both"/>
        <w:rPr>
          <w:rFonts w:ascii="Palatino Linotype" w:eastAsia="Palatino Linotype" w:hAnsi="Palatino Linotype" w:cs="Palatino Linotype"/>
          <w:sz w:val="24"/>
          <w:szCs w:val="24"/>
        </w:rPr>
      </w:pPr>
    </w:p>
    <w:p w14:paraId="420C53E4" w14:textId="77777777" w:rsidR="006B45F1" w:rsidRPr="003463FE" w:rsidRDefault="007634EE">
      <w:pPr>
        <w:tabs>
          <w:tab w:val="left" w:pos="4962"/>
        </w:tabs>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Por lo anterior, lo procedente es </w:t>
      </w:r>
      <w:r w:rsidRPr="003463FE">
        <w:rPr>
          <w:rFonts w:ascii="Palatino Linotype" w:eastAsia="Palatino Linotype" w:hAnsi="Palatino Linotype" w:cs="Palatino Linotype"/>
          <w:b/>
          <w:sz w:val="24"/>
          <w:szCs w:val="24"/>
        </w:rPr>
        <w:t xml:space="preserve">dar por colmado el informe justificado </w:t>
      </w:r>
      <w:r w:rsidRPr="003463FE">
        <w:rPr>
          <w:rFonts w:ascii="Palatino Linotype" w:eastAsia="Palatino Linotype" w:hAnsi="Palatino Linotype" w:cs="Palatino Linotype"/>
          <w:sz w:val="24"/>
          <w:szCs w:val="24"/>
        </w:rPr>
        <w:t xml:space="preserve">brindado al requerimiento de información de la solicitud de información. </w:t>
      </w:r>
    </w:p>
    <w:p w14:paraId="6DFB1AE1"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55432DC3" w14:textId="77777777" w:rsidR="006B45F1" w:rsidRPr="003463FE" w:rsidRDefault="007634EE">
      <w:pPr>
        <w:spacing w:after="0" w:line="360" w:lineRule="auto"/>
        <w:ind w:right="49"/>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Es por lo que, </w:t>
      </w:r>
      <w:r w:rsidRPr="003463FE">
        <w:rPr>
          <w:rFonts w:ascii="Palatino Linotype" w:eastAsia="Palatino Linotype" w:hAnsi="Palatino Linotype" w:cs="Palatino Linotype"/>
          <w:b/>
          <w:sz w:val="24"/>
          <w:szCs w:val="24"/>
        </w:rPr>
        <w:t>EL SUJETO OBLIGADO</w:t>
      </w:r>
      <w:r w:rsidRPr="003463FE">
        <w:rPr>
          <w:rFonts w:ascii="Palatino Linotype" w:eastAsia="Palatino Linotype" w:hAnsi="Palatino Linotype" w:cs="Palatino Linotype"/>
          <w:sz w:val="24"/>
          <w:szCs w:val="24"/>
        </w:rPr>
        <w:t>, al haber enviado su información en calidad de informe justificado, a través de la unidad administrativa competente; se actualiza la causal prevista en la fracción III del artículo 192 de la Ley de Transparencia y Acceso a la Información Pública del Estado de México y Municipios, que establece que el sobreseimiento del recurso de revisión procede en los siguientes casos:</w:t>
      </w:r>
    </w:p>
    <w:p w14:paraId="0D3F6DC8" w14:textId="77777777" w:rsidR="006B45F1" w:rsidRPr="003463FE" w:rsidRDefault="006B45F1">
      <w:pPr>
        <w:spacing w:after="0" w:line="360" w:lineRule="auto"/>
        <w:ind w:right="49"/>
        <w:jc w:val="both"/>
        <w:rPr>
          <w:rFonts w:ascii="Palatino Linotype" w:eastAsia="Palatino Linotype" w:hAnsi="Palatino Linotype" w:cs="Palatino Linotype"/>
          <w:sz w:val="24"/>
          <w:szCs w:val="24"/>
        </w:rPr>
      </w:pPr>
    </w:p>
    <w:p w14:paraId="55634043" w14:textId="77777777" w:rsidR="006B45F1" w:rsidRPr="003463FE" w:rsidRDefault="007634EE">
      <w:pPr>
        <w:spacing w:after="0" w:line="360" w:lineRule="auto"/>
        <w:ind w:right="900" w:firstLine="567"/>
        <w:jc w:val="both"/>
        <w:rPr>
          <w:sz w:val="24"/>
          <w:szCs w:val="24"/>
        </w:rPr>
      </w:pPr>
      <w:r w:rsidRPr="003463FE">
        <w:rPr>
          <w:rFonts w:ascii="Palatino Linotype" w:eastAsia="Palatino Linotype" w:hAnsi="Palatino Linotype" w:cs="Palatino Linotype"/>
          <w:sz w:val="24"/>
          <w:szCs w:val="24"/>
        </w:rPr>
        <w:t>a) Cuando el sujeto obligado modifique el acto impugnado y;</w:t>
      </w:r>
    </w:p>
    <w:p w14:paraId="5BA5236E" w14:textId="77777777" w:rsidR="006B45F1" w:rsidRPr="003463FE" w:rsidRDefault="007634EE">
      <w:pPr>
        <w:spacing w:after="0" w:line="360" w:lineRule="auto"/>
        <w:ind w:right="900" w:firstLine="567"/>
        <w:jc w:val="both"/>
        <w:rPr>
          <w:sz w:val="24"/>
          <w:szCs w:val="24"/>
        </w:rPr>
      </w:pPr>
      <w:r w:rsidRPr="003463FE">
        <w:rPr>
          <w:rFonts w:ascii="Palatino Linotype" w:eastAsia="Palatino Linotype" w:hAnsi="Palatino Linotype" w:cs="Palatino Linotype"/>
          <w:sz w:val="24"/>
          <w:szCs w:val="24"/>
        </w:rPr>
        <w:t>b) Cuando el sujeto obligado revoque el acto impugnado.</w:t>
      </w:r>
    </w:p>
    <w:p w14:paraId="694D0BAD"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4BC5C816"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Quedando en ambos casos el acto combatido sin materia o sin efectos.</w:t>
      </w:r>
    </w:p>
    <w:p w14:paraId="7D99BE78"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0E2CF091"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Como se observa de lo anterior, un acto impugnado es </w:t>
      </w:r>
      <w:r w:rsidRPr="003463FE">
        <w:rPr>
          <w:rFonts w:ascii="Palatino Linotype" w:eastAsia="Palatino Linotype" w:hAnsi="Palatino Linotype" w:cs="Palatino Linotype"/>
          <w:b/>
          <w:sz w:val="24"/>
          <w:szCs w:val="24"/>
        </w:rPr>
        <w:t>modificado</w:t>
      </w:r>
      <w:r w:rsidRPr="003463FE">
        <w:rPr>
          <w:rFonts w:ascii="Palatino Linotype" w:eastAsia="Palatino Linotype" w:hAnsi="Palatino Linotype" w:cs="Palatino Linotype"/>
          <w:sz w:val="24"/>
          <w:szCs w:val="24"/>
        </w:rPr>
        <w:t xml:space="preserve"> en aquellos casos en los que el sujeto obligado subsana las deficiencias que hubiera tenido en primer momento</w:t>
      </w:r>
      <w:r w:rsidRPr="003463FE">
        <w:rPr>
          <w:rFonts w:ascii="Palatino Linotype" w:eastAsia="Palatino Linotype" w:hAnsi="Palatino Linotype" w:cs="Palatino Linotype"/>
          <w:b/>
          <w:sz w:val="24"/>
          <w:szCs w:val="24"/>
        </w:rPr>
        <w:t>,</w:t>
      </w:r>
      <w:r w:rsidRPr="003463FE">
        <w:rPr>
          <w:rFonts w:ascii="Palatino Linotype" w:eastAsia="Palatino Linotype" w:hAnsi="Palatino Linotype" w:cs="Palatino Linotype"/>
          <w:sz w:val="24"/>
          <w:szCs w:val="24"/>
        </w:rPr>
        <w:t xml:space="preserve"> quedando satisfecho el derecho subjetivo accionado por la parte recurrente. </w:t>
      </w:r>
    </w:p>
    <w:p w14:paraId="6D159E99"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71724F10"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Por lo que hace a la</w:t>
      </w:r>
      <w:r w:rsidRPr="003463FE">
        <w:rPr>
          <w:rFonts w:ascii="Palatino Linotype" w:eastAsia="Palatino Linotype" w:hAnsi="Palatino Linotype" w:cs="Palatino Linotype"/>
          <w:b/>
          <w:sz w:val="24"/>
          <w:szCs w:val="24"/>
        </w:rPr>
        <w:t xml:space="preserve"> revocación</w:t>
      </w:r>
      <w:r w:rsidRPr="003463FE">
        <w:rPr>
          <w:rFonts w:ascii="Palatino Linotype" w:eastAsia="Palatino Linotype" w:hAnsi="Palatino Linotype" w:cs="Palatino Linotype"/>
          <w:sz w:val="24"/>
          <w:szCs w:val="24"/>
        </w:rPr>
        <w:t>, esta se actualiza cuando el sujeto obligado</w:t>
      </w:r>
      <w:r w:rsidRPr="003463FE">
        <w:rPr>
          <w:rFonts w:ascii="Palatino Linotype" w:eastAsia="Palatino Linotype" w:hAnsi="Palatino Linotype" w:cs="Palatino Linotype"/>
          <w:b/>
          <w:sz w:val="24"/>
          <w:szCs w:val="24"/>
        </w:rPr>
        <w:t xml:space="preserve"> </w:t>
      </w:r>
      <w:r w:rsidRPr="003463FE">
        <w:rPr>
          <w:rFonts w:ascii="Palatino Linotype" w:eastAsia="Palatino Linotype" w:hAnsi="Palatino Linotype" w:cs="Palatino Linotype"/>
          <w:sz w:val="24"/>
          <w:szCs w:val="24"/>
        </w:rPr>
        <w:t>deja sin efectos su actuar y en su lugar emite otra con las características y cualidades suficientes para dejar satisfecho el ejercicio del derecho al acceso a la información pública.</w:t>
      </w:r>
    </w:p>
    <w:p w14:paraId="494FFFD7"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1D16ABA8"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En ese tenor, un acto impugnado queda sin efectos, cuando aun existiendo jurídicamente ya no genera ninguna consecuencia legal.</w:t>
      </w:r>
    </w:p>
    <w:p w14:paraId="09C409A0"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40B1FE71" w14:textId="77777777" w:rsidR="006B45F1" w:rsidRPr="003463FE" w:rsidRDefault="007634EE">
      <w:pPr>
        <w:spacing w:after="0" w:line="360" w:lineRule="auto"/>
        <w:ind w:right="49"/>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 xml:space="preserve">En tanto, en el presente caso, toda vez que, </w:t>
      </w:r>
      <w:r w:rsidRPr="003463FE">
        <w:rPr>
          <w:rFonts w:ascii="Palatino Linotype" w:eastAsia="Palatino Linotype" w:hAnsi="Palatino Linotype" w:cs="Palatino Linotype"/>
          <w:b/>
          <w:sz w:val="24"/>
          <w:szCs w:val="24"/>
        </w:rPr>
        <w:t>EL SUJETO OBLIGADO</w:t>
      </w:r>
      <w:r w:rsidRPr="003463FE">
        <w:rPr>
          <w:rFonts w:ascii="Palatino Linotype" w:eastAsia="Palatino Linotype" w:hAnsi="Palatino Linotype" w:cs="Palatino Linotype"/>
          <w:sz w:val="24"/>
          <w:szCs w:val="24"/>
        </w:rPr>
        <w:t xml:space="preserve"> mediante informe justificado, proporcionó la información requerida por la parte Solicitante conforme obran en sus archivos; dejó sin materia el presente recurso de revisión, </w:t>
      </w:r>
      <w:r w:rsidRPr="003463FE">
        <w:rPr>
          <w:rFonts w:ascii="Palatino Linotype" w:eastAsia="Palatino Linotype" w:hAnsi="Palatino Linotype" w:cs="Palatino Linotype"/>
          <w:sz w:val="24"/>
          <w:szCs w:val="24"/>
        </w:rPr>
        <w:lastRenderedPageBreak/>
        <w:t xml:space="preserve">actualizándose entonces la causal prevista en la fracción III del artículo 192 de la Ley de la Materia vigente en la Entidad. </w:t>
      </w:r>
    </w:p>
    <w:p w14:paraId="077AFB30" w14:textId="77777777" w:rsidR="006B45F1" w:rsidRPr="003463FE" w:rsidRDefault="006B45F1">
      <w:pPr>
        <w:spacing w:after="0" w:line="360" w:lineRule="auto"/>
        <w:jc w:val="both"/>
        <w:rPr>
          <w:rFonts w:ascii="Palatino Linotype" w:eastAsia="Palatino Linotype" w:hAnsi="Palatino Linotype" w:cs="Palatino Linotype"/>
          <w:b/>
          <w:sz w:val="24"/>
          <w:szCs w:val="24"/>
          <w:u w:val="single"/>
        </w:rPr>
      </w:pPr>
    </w:p>
    <w:p w14:paraId="14031484" w14:textId="77777777" w:rsidR="006B45F1" w:rsidRPr="003463FE" w:rsidRDefault="007634EE">
      <w:pPr>
        <w:spacing w:after="0" w:line="360" w:lineRule="auto"/>
        <w:jc w:val="both"/>
        <w:rPr>
          <w:rFonts w:ascii="Palatino Linotype" w:eastAsia="Palatino Linotype" w:hAnsi="Palatino Linotype" w:cs="Palatino Linotype"/>
          <w:sz w:val="24"/>
          <w:szCs w:val="24"/>
        </w:rPr>
      </w:pPr>
      <w:bookmarkStart w:id="1" w:name="_heading=h.gjdgxs" w:colFirst="0" w:colLast="0"/>
      <w:bookmarkEnd w:id="1"/>
      <w:r w:rsidRPr="003463FE">
        <w:rPr>
          <w:rFonts w:ascii="Palatino Linotype" w:eastAsia="Palatino Linotype" w:hAnsi="Palatino Linotype" w:cs="Palatino Linotype"/>
          <w:sz w:val="24"/>
          <w:szCs w:val="24"/>
        </w:rPr>
        <w:t>Así, con fundamento en lo prescrito en los artículos 5 párrafos trigésimo segundo, trigésimo tercero y trigésimo cuarto fracciones IV y V de la Constitución Política del Estado Libre y Soberano de México; 2, fracción II; 29, 36 fracciones I y II; 176, 178, 181, 185 de la Ley de Transparencia y Acceso a la Información Pública del Estado de México y Municipios, este Pleno:</w:t>
      </w:r>
    </w:p>
    <w:p w14:paraId="5536C8A5" w14:textId="77777777" w:rsidR="006B45F1" w:rsidRPr="003463FE" w:rsidRDefault="007634EE">
      <w:pPr>
        <w:spacing w:after="0" w:line="360" w:lineRule="auto"/>
        <w:ind w:right="49"/>
        <w:jc w:val="center"/>
        <w:rPr>
          <w:rFonts w:ascii="Palatino Linotype" w:eastAsia="Palatino Linotype" w:hAnsi="Palatino Linotype" w:cs="Palatino Linotype"/>
          <w:b/>
          <w:sz w:val="24"/>
          <w:szCs w:val="24"/>
        </w:rPr>
      </w:pPr>
      <w:r w:rsidRPr="003463FE">
        <w:rPr>
          <w:rFonts w:ascii="Palatino Linotype" w:eastAsia="Palatino Linotype" w:hAnsi="Palatino Linotype" w:cs="Palatino Linotype"/>
          <w:b/>
          <w:sz w:val="24"/>
          <w:szCs w:val="24"/>
        </w:rPr>
        <w:t>R E S U E L V E:</w:t>
      </w:r>
    </w:p>
    <w:p w14:paraId="31BC40BA" w14:textId="77777777" w:rsidR="006B45F1" w:rsidRPr="003463FE" w:rsidRDefault="006B45F1">
      <w:pPr>
        <w:spacing w:after="0" w:line="360" w:lineRule="auto"/>
        <w:ind w:right="49"/>
        <w:jc w:val="both"/>
        <w:rPr>
          <w:rFonts w:ascii="Palatino Linotype" w:eastAsia="Palatino Linotype" w:hAnsi="Palatino Linotype" w:cs="Palatino Linotype"/>
          <w:sz w:val="24"/>
          <w:szCs w:val="24"/>
        </w:rPr>
      </w:pPr>
    </w:p>
    <w:p w14:paraId="1E0BF0CC" w14:textId="77777777" w:rsidR="006B45F1" w:rsidRPr="003463FE" w:rsidRDefault="007634EE">
      <w:pPr>
        <w:spacing w:after="0" w:line="360" w:lineRule="auto"/>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 xml:space="preserve">PRIMERO. </w:t>
      </w:r>
      <w:r w:rsidRPr="003463FE">
        <w:rPr>
          <w:rFonts w:ascii="Palatino Linotype" w:eastAsia="Palatino Linotype" w:hAnsi="Palatino Linotype" w:cs="Palatino Linotype"/>
          <w:sz w:val="24"/>
          <w:szCs w:val="24"/>
        </w:rPr>
        <w:t xml:space="preserve">Se </w:t>
      </w:r>
      <w:r w:rsidRPr="003463FE">
        <w:rPr>
          <w:rFonts w:ascii="Palatino Linotype" w:eastAsia="Palatino Linotype" w:hAnsi="Palatino Linotype" w:cs="Palatino Linotype"/>
          <w:b/>
          <w:sz w:val="24"/>
          <w:szCs w:val="24"/>
        </w:rPr>
        <w:t xml:space="preserve">SOBRESEE </w:t>
      </w:r>
      <w:r w:rsidRPr="003463FE">
        <w:rPr>
          <w:rFonts w:ascii="Palatino Linotype" w:eastAsia="Palatino Linotype" w:hAnsi="Palatino Linotype" w:cs="Palatino Linotype"/>
          <w:sz w:val="24"/>
          <w:szCs w:val="24"/>
        </w:rPr>
        <w:t>el recurso de revisión número</w:t>
      </w:r>
      <w:r w:rsidRPr="003463FE">
        <w:rPr>
          <w:rFonts w:ascii="Palatino Linotype" w:eastAsia="Palatino Linotype" w:hAnsi="Palatino Linotype" w:cs="Palatino Linotype"/>
          <w:b/>
          <w:sz w:val="24"/>
          <w:szCs w:val="24"/>
        </w:rPr>
        <w:t xml:space="preserve"> 07249/INFOEM/IP/RR/2024</w:t>
      </w:r>
      <w:r w:rsidRPr="003463FE">
        <w:rPr>
          <w:rFonts w:ascii="Palatino Linotype" w:eastAsia="Palatino Linotype" w:hAnsi="Palatino Linotype" w:cs="Palatino Linotype"/>
          <w:sz w:val="24"/>
          <w:szCs w:val="24"/>
        </w:rPr>
        <w:t>, porque al modificar la respuesta se actualizó la causal prevista en el artículo 192, fracción III, de la Ley de Transparencia y Acceso a la Información Pública del Estado de México y Municipios, quedando sin materia en términos del considerando Tercero de la presente Resolución.</w:t>
      </w:r>
    </w:p>
    <w:p w14:paraId="4B2171B0" w14:textId="77777777" w:rsidR="006B45F1" w:rsidRPr="003463FE" w:rsidRDefault="006B45F1">
      <w:pPr>
        <w:spacing w:after="0" w:line="360" w:lineRule="auto"/>
        <w:jc w:val="both"/>
        <w:rPr>
          <w:rFonts w:ascii="Palatino Linotype" w:eastAsia="Palatino Linotype" w:hAnsi="Palatino Linotype" w:cs="Palatino Linotype"/>
          <w:sz w:val="24"/>
          <w:szCs w:val="24"/>
        </w:rPr>
      </w:pPr>
    </w:p>
    <w:p w14:paraId="5D1353E3" w14:textId="77777777" w:rsidR="006B45F1" w:rsidRPr="003463FE" w:rsidRDefault="007634EE">
      <w:pPr>
        <w:spacing w:after="0" w:line="360" w:lineRule="auto"/>
        <w:jc w:val="both"/>
        <w:rPr>
          <w:rFonts w:ascii="Palatino Linotype" w:eastAsia="Palatino Linotype" w:hAnsi="Palatino Linotype" w:cs="Palatino Linotype"/>
          <w:b/>
          <w:sz w:val="24"/>
          <w:szCs w:val="24"/>
        </w:rPr>
      </w:pPr>
      <w:r w:rsidRPr="003463FE">
        <w:rPr>
          <w:rFonts w:ascii="Palatino Linotype" w:eastAsia="Palatino Linotype" w:hAnsi="Palatino Linotype" w:cs="Palatino Linotype"/>
          <w:b/>
          <w:sz w:val="24"/>
          <w:szCs w:val="24"/>
        </w:rPr>
        <w:t xml:space="preserve">SEGUNDO. Notifíquese </w:t>
      </w:r>
      <w:r w:rsidRPr="003463FE">
        <w:rPr>
          <w:rFonts w:ascii="Palatino Linotype" w:eastAsia="Palatino Linotype" w:hAnsi="Palatino Linotype" w:cs="Palatino Linotype"/>
          <w:sz w:val="24"/>
          <w:szCs w:val="24"/>
        </w:rPr>
        <w:t xml:space="preserve">a través del Sistema de Acceso a la Información Mexiquense </w:t>
      </w:r>
      <w:r w:rsidRPr="003463FE">
        <w:rPr>
          <w:rFonts w:ascii="Palatino Linotype" w:eastAsia="Palatino Linotype" w:hAnsi="Palatino Linotype" w:cs="Palatino Linotype"/>
          <w:b/>
          <w:sz w:val="24"/>
          <w:szCs w:val="24"/>
        </w:rPr>
        <w:t xml:space="preserve">(SAIMEX) </w:t>
      </w:r>
      <w:r w:rsidRPr="003463FE">
        <w:rPr>
          <w:rFonts w:ascii="Palatino Linotype" w:eastAsia="Palatino Linotype" w:hAnsi="Palatino Linotype" w:cs="Palatino Linotype"/>
          <w:sz w:val="24"/>
          <w:szCs w:val="24"/>
        </w:rPr>
        <w:t>la presente resolución a la Titular de la Unidad de Transparencia del</w:t>
      </w:r>
      <w:r w:rsidRPr="003463FE">
        <w:rPr>
          <w:rFonts w:ascii="Palatino Linotype" w:eastAsia="Palatino Linotype" w:hAnsi="Palatino Linotype" w:cs="Palatino Linotype"/>
          <w:b/>
          <w:sz w:val="24"/>
          <w:szCs w:val="24"/>
        </w:rPr>
        <w:t xml:space="preserve"> SUJETO OBLIGADO. </w:t>
      </w:r>
    </w:p>
    <w:p w14:paraId="49861B55" w14:textId="77777777" w:rsidR="006B45F1" w:rsidRPr="003463FE" w:rsidRDefault="006B45F1">
      <w:pPr>
        <w:spacing w:after="0" w:line="360" w:lineRule="auto"/>
        <w:jc w:val="both"/>
        <w:rPr>
          <w:rFonts w:ascii="Palatino Linotype" w:eastAsia="Palatino Linotype" w:hAnsi="Palatino Linotype" w:cs="Palatino Linotype"/>
          <w:b/>
          <w:sz w:val="24"/>
          <w:szCs w:val="24"/>
        </w:rPr>
      </w:pPr>
    </w:p>
    <w:p w14:paraId="38D36CFD" w14:textId="77777777" w:rsidR="006B45F1" w:rsidRPr="003463FE" w:rsidRDefault="007634EE">
      <w:pPr>
        <w:spacing w:after="0" w:line="360" w:lineRule="auto"/>
        <w:ind w:right="51"/>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b/>
          <w:sz w:val="24"/>
          <w:szCs w:val="24"/>
        </w:rPr>
        <w:t>TERCERO. NOTIFÍQUESE </w:t>
      </w:r>
      <w:r w:rsidRPr="003463FE">
        <w:rPr>
          <w:rFonts w:ascii="Palatino Linotype" w:eastAsia="Palatino Linotype" w:hAnsi="Palatino Linotype" w:cs="Palatino Linotype"/>
          <w:sz w:val="24"/>
          <w:szCs w:val="24"/>
        </w:rPr>
        <w:t xml:space="preserve">vía SAIMEX </w:t>
      </w:r>
      <w:r w:rsidRPr="003463FE">
        <w:rPr>
          <w:rFonts w:ascii="Palatino Linotype" w:eastAsia="Palatino Linotype" w:hAnsi="Palatino Linotype" w:cs="Palatino Linotype"/>
          <w:b/>
          <w:sz w:val="24"/>
          <w:szCs w:val="24"/>
        </w:rPr>
        <w:t>LA PARTE RECURRENTE</w:t>
      </w:r>
      <w:r w:rsidRPr="003463FE">
        <w:rPr>
          <w:rFonts w:ascii="Palatino Linotype" w:eastAsia="Palatino Linotype" w:hAnsi="Palatino Linotype" w:cs="Palatino Linotype"/>
          <w:sz w:val="24"/>
          <w:szCs w:val="24"/>
        </w:rPr>
        <w:t xml:space="preserve">, la presente resolución, además que de conformidad con lo establecido en el artículo 196 de la Ley de Transparencia y Acceso a la Información Pública del Estado de México y </w:t>
      </w:r>
      <w:r w:rsidRPr="003463FE">
        <w:rPr>
          <w:rFonts w:ascii="Palatino Linotype" w:eastAsia="Palatino Linotype" w:hAnsi="Palatino Linotype" w:cs="Palatino Linotype"/>
          <w:sz w:val="24"/>
          <w:szCs w:val="24"/>
        </w:rPr>
        <w:lastRenderedPageBreak/>
        <w:t>Municipios, podrá impugnarla vía Juicio de Amparo en los términos de las leyes aplicables.</w:t>
      </w:r>
    </w:p>
    <w:p w14:paraId="2208E8F9" w14:textId="77777777" w:rsidR="006B45F1" w:rsidRPr="003463FE" w:rsidRDefault="006B45F1">
      <w:pPr>
        <w:spacing w:after="0" w:line="360" w:lineRule="auto"/>
        <w:ind w:right="49"/>
        <w:jc w:val="both"/>
        <w:rPr>
          <w:rFonts w:ascii="Palatino Linotype" w:eastAsia="Palatino Linotype" w:hAnsi="Palatino Linotype" w:cs="Palatino Linotype"/>
          <w:sz w:val="24"/>
          <w:szCs w:val="24"/>
        </w:rPr>
      </w:pPr>
    </w:p>
    <w:p w14:paraId="4ADE61BD" w14:textId="77777777" w:rsidR="006B45F1" w:rsidRPr="003463FE" w:rsidRDefault="007634EE">
      <w:pPr>
        <w:spacing w:after="0" w:line="360" w:lineRule="auto"/>
        <w:ind w:right="49"/>
        <w:jc w:val="both"/>
        <w:rPr>
          <w:rFonts w:ascii="Palatino Linotype" w:eastAsia="Palatino Linotype" w:hAnsi="Palatino Linotype" w:cs="Palatino Linotype"/>
          <w:sz w:val="24"/>
          <w:szCs w:val="24"/>
        </w:rPr>
      </w:pPr>
      <w:r w:rsidRPr="003463FE">
        <w:rPr>
          <w:rFonts w:ascii="Palatino Linotype" w:eastAsia="Palatino Linotype" w:hAnsi="Palatino Linotype" w:cs="Palatino Linotype"/>
          <w:sz w:val="24"/>
          <w:szCs w:val="24"/>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CUADRAGÉSIMA TERCERA SESIÓN ORDINARIA CELEBRADA EL ONCE DE DICIEMBRE DE DOS MIL VEINTICUATRO, ANTE EL SECRETARIO TÉCNICO DEL PLENO ALEXIS TAPIA RAMÍREZ.</w:t>
      </w:r>
    </w:p>
    <w:p w14:paraId="50585BDD" w14:textId="77777777" w:rsidR="006B45F1" w:rsidRPr="003463FE" w:rsidRDefault="006B45F1">
      <w:pPr>
        <w:spacing w:after="0" w:line="360" w:lineRule="auto"/>
        <w:ind w:right="49"/>
        <w:jc w:val="both"/>
        <w:rPr>
          <w:rFonts w:ascii="Palatino Linotype" w:eastAsia="Palatino Linotype" w:hAnsi="Palatino Linotype" w:cs="Palatino Linotype"/>
          <w:sz w:val="24"/>
          <w:szCs w:val="24"/>
        </w:rPr>
      </w:pPr>
    </w:p>
    <w:p w14:paraId="68C8FCB5" w14:textId="77777777" w:rsidR="006B45F1" w:rsidRPr="003463FE" w:rsidRDefault="006B45F1">
      <w:pPr>
        <w:spacing w:after="0" w:line="360" w:lineRule="auto"/>
        <w:ind w:right="51"/>
        <w:jc w:val="both"/>
        <w:rPr>
          <w:rFonts w:ascii="Palatino Linotype" w:eastAsia="Palatino Linotype" w:hAnsi="Palatino Linotype" w:cs="Palatino Linotype"/>
          <w:sz w:val="24"/>
          <w:szCs w:val="24"/>
        </w:rPr>
      </w:pPr>
    </w:p>
    <w:p w14:paraId="01939A47" w14:textId="77777777" w:rsidR="006B45F1" w:rsidRPr="003463FE" w:rsidRDefault="006B45F1">
      <w:pPr>
        <w:spacing w:after="0" w:line="360" w:lineRule="auto"/>
        <w:ind w:right="51"/>
        <w:jc w:val="both"/>
        <w:rPr>
          <w:rFonts w:ascii="Palatino Linotype" w:eastAsia="Palatino Linotype" w:hAnsi="Palatino Linotype" w:cs="Palatino Linotype"/>
          <w:i/>
        </w:rPr>
      </w:pPr>
    </w:p>
    <w:p w14:paraId="16924633" w14:textId="77777777" w:rsidR="006B45F1" w:rsidRPr="003463FE" w:rsidRDefault="006B45F1">
      <w:pPr>
        <w:spacing w:after="0" w:line="360" w:lineRule="auto"/>
        <w:ind w:right="51"/>
        <w:jc w:val="both"/>
        <w:rPr>
          <w:rFonts w:ascii="Palatino Linotype" w:eastAsia="Palatino Linotype" w:hAnsi="Palatino Linotype" w:cs="Palatino Linotype"/>
          <w:i/>
        </w:rPr>
      </w:pPr>
    </w:p>
    <w:p w14:paraId="049BD30C" w14:textId="77777777" w:rsidR="00B40E36" w:rsidRPr="003463FE" w:rsidRDefault="00B40E36">
      <w:pPr>
        <w:spacing w:after="0" w:line="360" w:lineRule="auto"/>
        <w:ind w:right="51"/>
        <w:jc w:val="both"/>
        <w:rPr>
          <w:rFonts w:ascii="Palatino Linotype" w:eastAsia="Palatino Linotype" w:hAnsi="Palatino Linotype" w:cs="Palatino Linotype"/>
          <w:i/>
        </w:rPr>
      </w:pPr>
    </w:p>
    <w:p w14:paraId="68FC1B08" w14:textId="77777777" w:rsidR="00B40E36" w:rsidRPr="003463FE" w:rsidRDefault="00B40E36">
      <w:pPr>
        <w:spacing w:after="0" w:line="360" w:lineRule="auto"/>
        <w:ind w:right="51"/>
        <w:jc w:val="both"/>
        <w:rPr>
          <w:rFonts w:ascii="Palatino Linotype" w:eastAsia="Palatino Linotype" w:hAnsi="Palatino Linotype" w:cs="Palatino Linotype"/>
          <w:i/>
        </w:rPr>
      </w:pPr>
    </w:p>
    <w:p w14:paraId="2AA5F5C9" w14:textId="77777777" w:rsidR="00B40E36" w:rsidRPr="003463FE" w:rsidRDefault="00B40E36">
      <w:pPr>
        <w:spacing w:after="0" w:line="360" w:lineRule="auto"/>
        <w:ind w:right="51"/>
        <w:jc w:val="both"/>
        <w:rPr>
          <w:rFonts w:ascii="Palatino Linotype" w:eastAsia="Palatino Linotype" w:hAnsi="Palatino Linotype" w:cs="Palatino Linotype"/>
          <w:i/>
        </w:rPr>
      </w:pPr>
    </w:p>
    <w:p w14:paraId="3BD2E328" w14:textId="77777777" w:rsidR="00B40E36" w:rsidRPr="003463FE" w:rsidRDefault="00B40E36">
      <w:pPr>
        <w:spacing w:after="0" w:line="360" w:lineRule="auto"/>
        <w:ind w:right="51"/>
        <w:jc w:val="both"/>
        <w:rPr>
          <w:rFonts w:ascii="Palatino Linotype" w:eastAsia="Palatino Linotype" w:hAnsi="Palatino Linotype" w:cs="Palatino Linotype"/>
          <w:i/>
        </w:rPr>
      </w:pPr>
    </w:p>
    <w:p w14:paraId="246145C8" w14:textId="77777777" w:rsidR="00B40E36" w:rsidRPr="003463FE" w:rsidRDefault="00B40E36">
      <w:pPr>
        <w:spacing w:after="0" w:line="360" w:lineRule="auto"/>
        <w:ind w:right="51"/>
        <w:jc w:val="both"/>
        <w:rPr>
          <w:rFonts w:ascii="Palatino Linotype" w:eastAsia="Palatino Linotype" w:hAnsi="Palatino Linotype" w:cs="Palatino Linotype"/>
          <w:i/>
        </w:rPr>
      </w:pPr>
    </w:p>
    <w:p w14:paraId="42BED1BD" w14:textId="77777777" w:rsidR="00B40E36" w:rsidRPr="003463FE" w:rsidRDefault="00B40E36">
      <w:pPr>
        <w:spacing w:after="0" w:line="360" w:lineRule="auto"/>
        <w:ind w:right="51"/>
        <w:jc w:val="both"/>
        <w:rPr>
          <w:rFonts w:ascii="Palatino Linotype" w:eastAsia="Palatino Linotype" w:hAnsi="Palatino Linotype" w:cs="Palatino Linotype"/>
          <w:i/>
        </w:rPr>
      </w:pPr>
    </w:p>
    <w:p w14:paraId="2D810F76" w14:textId="77777777" w:rsidR="00B40E36" w:rsidRPr="003463FE" w:rsidRDefault="00B40E36">
      <w:pPr>
        <w:spacing w:after="0" w:line="360" w:lineRule="auto"/>
        <w:ind w:right="51"/>
        <w:jc w:val="both"/>
        <w:rPr>
          <w:rFonts w:ascii="Palatino Linotype" w:eastAsia="Palatino Linotype" w:hAnsi="Palatino Linotype" w:cs="Palatino Linotype"/>
          <w:i/>
        </w:rPr>
      </w:pPr>
    </w:p>
    <w:p w14:paraId="4B3AE680" w14:textId="77777777" w:rsidR="00B40E36" w:rsidRPr="003463FE" w:rsidRDefault="00B40E36">
      <w:pPr>
        <w:spacing w:after="0" w:line="360" w:lineRule="auto"/>
        <w:ind w:right="51"/>
        <w:jc w:val="both"/>
        <w:rPr>
          <w:rFonts w:ascii="Palatino Linotype" w:eastAsia="Palatino Linotype" w:hAnsi="Palatino Linotype" w:cs="Palatino Linotype"/>
          <w:i/>
        </w:rPr>
      </w:pPr>
    </w:p>
    <w:p w14:paraId="2DA9A507" w14:textId="77777777" w:rsidR="00B40E36" w:rsidRPr="003463FE" w:rsidRDefault="00B40E36">
      <w:pPr>
        <w:spacing w:after="0" w:line="360" w:lineRule="auto"/>
        <w:ind w:right="51"/>
        <w:jc w:val="both"/>
        <w:rPr>
          <w:rFonts w:ascii="Palatino Linotype" w:eastAsia="Palatino Linotype" w:hAnsi="Palatino Linotype" w:cs="Palatino Linotype"/>
          <w:i/>
        </w:rPr>
      </w:pPr>
    </w:p>
    <w:sectPr w:rsidR="00B40E36" w:rsidRPr="003463FE">
      <w:headerReference w:type="default" r:id="rId9"/>
      <w:footerReference w:type="default" r:id="rId10"/>
      <w:headerReference w:type="first" r:id="rId11"/>
      <w:footerReference w:type="first" r:id="rId12"/>
      <w:pgSz w:w="12240" w:h="15840"/>
      <w:pgMar w:top="1417" w:right="1701" w:bottom="1417" w:left="1701"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5DD89" w14:textId="77777777" w:rsidR="00CE1186" w:rsidRDefault="00CE1186">
      <w:pPr>
        <w:spacing w:after="0" w:line="240" w:lineRule="auto"/>
      </w:pPr>
      <w:r>
        <w:separator/>
      </w:r>
    </w:p>
  </w:endnote>
  <w:endnote w:type="continuationSeparator" w:id="0">
    <w:p w14:paraId="57E71ABC" w14:textId="77777777" w:rsidR="00CE1186" w:rsidRDefault="00CE11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366F4" w14:textId="77777777" w:rsidR="006B45F1" w:rsidRDefault="007634EE">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Página </w:t>
    </w:r>
    <w:r>
      <w:rPr>
        <w:rFonts w:ascii="Palatino Linotype" w:eastAsia="Palatino Linotype" w:hAnsi="Palatino Linotype" w:cs="Palatino Linotype"/>
        <w:color w:val="000000"/>
      </w:rPr>
      <w:fldChar w:fldCharType="begin"/>
    </w:r>
    <w:r>
      <w:rPr>
        <w:rFonts w:ascii="Palatino Linotype" w:eastAsia="Palatino Linotype" w:hAnsi="Palatino Linotype" w:cs="Palatino Linotype"/>
        <w:color w:val="000000"/>
      </w:rPr>
      <w:instrText>PAGE</w:instrText>
    </w:r>
    <w:r>
      <w:rPr>
        <w:rFonts w:ascii="Palatino Linotype" w:eastAsia="Palatino Linotype" w:hAnsi="Palatino Linotype" w:cs="Palatino Linotype"/>
        <w:color w:val="000000"/>
      </w:rPr>
      <w:fldChar w:fldCharType="separate"/>
    </w:r>
    <w:r w:rsidR="00EB3025">
      <w:rPr>
        <w:rFonts w:ascii="Palatino Linotype" w:eastAsia="Palatino Linotype" w:hAnsi="Palatino Linotype" w:cs="Palatino Linotype"/>
        <w:noProof/>
        <w:color w:val="000000"/>
      </w:rPr>
      <w:t>19</w:t>
    </w:r>
    <w:r>
      <w:rPr>
        <w:rFonts w:ascii="Palatino Linotype" w:eastAsia="Palatino Linotype" w:hAnsi="Palatino Linotype" w:cs="Palatino Linotype"/>
        <w:color w:val="000000"/>
      </w:rPr>
      <w:fldChar w:fldCharType="end"/>
    </w:r>
    <w:r>
      <w:rPr>
        <w:rFonts w:ascii="Palatino Linotype" w:eastAsia="Palatino Linotype" w:hAnsi="Palatino Linotype" w:cs="Palatino Linotype"/>
        <w:color w:val="000000"/>
      </w:rPr>
      <w:t xml:space="preserve"> de </w:t>
    </w:r>
    <w:r>
      <w:rPr>
        <w:rFonts w:ascii="Palatino Linotype" w:eastAsia="Palatino Linotype" w:hAnsi="Palatino Linotype" w:cs="Palatino Linotype"/>
        <w:color w:val="000000"/>
      </w:rPr>
      <w:fldChar w:fldCharType="begin"/>
    </w:r>
    <w:r>
      <w:rPr>
        <w:rFonts w:ascii="Palatino Linotype" w:eastAsia="Palatino Linotype" w:hAnsi="Palatino Linotype" w:cs="Palatino Linotype"/>
        <w:color w:val="000000"/>
      </w:rPr>
      <w:instrText>NUMPAGES</w:instrText>
    </w:r>
    <w:r>
      <w:rPr>
        <w:rFonts w:ascii="Palatino Linotype" w:eastAsia="Palatino Linotype" w:hAnsi="Palatino Linotype" w:cs="Palatino Linotype"/>
        <w:color w:val="000000"/>
      </w:rPr>
      <w:fldChar w:fldCharType="separate"/>
    </w:r>
    <w:r w:rsidR="00EB3025">
      <w:rPr>
        <w:rFonts w:ascii="Palatino Linotype" w:eastAsia="Palatino Linotype" w:hAnsi="Palatino Linotype" w:cs="Palatino Linotype"/>
        <w:noProof/>
        <w:color w:val="000000"/>
      </w:rPr>
      <w:t>19</w:t>
    </w:r>
    <w:r>
      <w:rPr>
        <w:rFonts w:ascii="Palatino Linotype" w:eastAsia="Palatino Linotype" w:hAnsi="Palatino Linotype" w:cs="Palatino Linotype"/>
        <w:color w:val="000000"/>
      </w:rPr>
      <w:fldChar w:fldCharType="end"/>
    </w:r>
  </w:p>
  <w:p w14:paraId="72E16B11" w14:textId="77777777" w:rsidR="006B45F1" w:rsidRDefault="006B45F1">
    <w:pPr>
      <w:pBdr>
        <w:top w:val="nil"/>
        <w:left w:val="nil"/>
        <w:bottom w:val="nil"/>
        <w:right w:val="nil"/>
        <w:between w:val="nil"/>
      </w:pBdr>
      <w:tabs>
        <w:tab w:val="center" w:pos="4419"/>
        <w:tab w:val="right" w:pos="8838"/>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1BA79" w14:textId="77777777" w:rsidR="006B45F1" w:rsidRDefault="007634EE">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Página </w:t>
    </w:r>
    <w:r>
      <w:rPr>
        <w:rFonts w:ascii="Palatino Linotype" w:eastAsia="Palatino Linotype" w:hAnsi="Palatino Linotype" w:cs="Palatino Linotype"/>
        <w:color w:val="000000"/>
      </w:rPr>
      <w:fldChar w:fldCharType="begin"/>
    </w:r>
    <w:r>
      <w:rPr>
        <w:rFonts w:ascii="Palatino Linotype" w:eastAsia="Palatino Linotype" w:hAnsi="Palatino Linotype" w:cs="Palatino Linotype"/>
        <w:color w:val="000000"/>
      </w:rPr>
      <w:instrText>PAGE</w:instrText>
    </w:r>
    <w:r>
      <w:rPr>
        <w:rFonts w:ascii="Palatino Linotype" w:eastAsia="Palatino Linotype" w:hAnsi="Palatino Linotype" w:cs="Palatino Linotype"/>
        <w:color w:val="000000"/>
      </w:rPr>
      <w:fldChar w:fldCharType="separate"/>
    </w:r>
    <w:r w:rsidR="00EB3025">
      <w:rPr>
        <w:rFonts w:ascii="Palatino Linotype" w:eastAsia="Palatino Linotype" w:hAnsi="Palatino Linotype" w:cs="Palatino Linotype"/>
        <w:noProof/>
        <w:color w:val="000000"/>
      </w:rPr>
      <w:t>1</w:t>
    </w:r>
    <w:r>
      <w:rPr>
        <w:rFonts w:ascii="Palatino Linotype" w:eastAsia="Palatino Linotype" w:hAnsi="Palatino Linotype" w:cs="Palatino Linotype"/>
        <w:color w:val="000000"/>
      </w:rPr>
      <w:fldChar w:fldCharType="end"/>
    </w:r>
    <w:r>
      <w:rPr>
        <w:rFonts w:ascii="Palatino Linotype" w:eastAsia="Palatino Linotype" w:hAnsi="Palatino Linotype" w:cs="Palatino Linotype"/>
        <w:color w:val="000000"/>
      </w:rPr>
      <w:t xml:space="preserve"> de </w:t>
    </w:r>
    <w:r>
      <w:rPr>
        <w:rFonts w:ascii="Palatino Linotype" w:eastAsia="Palatino Linotype" w:hAnsi="Palatino Linotype" w:cs="Palatino Linotype"/>
        <w:color w:val="000000"/>
      </w:rPr>
      <w:fldChar w:fldCharType="begin"/>
    </w:r>
    <w:r>
      <w:rPr>
        <w:rFonts w:ascii="Palatino Linotype" w:eastAsia="Palatino Linotype" w:hAnsi="Palatino Linotype" w:cs="Palatino Linotype"/>
        <w:color w:val="000000"/>
      </w:rPr>
      <w:instrText>NUMPAGES</w:instrText>
    </w:r>
    <w:r>
      <w:rPr>
        <w:rFonts w:ascii="Palatino Linotype" w:eastAsia="Palatino Linotype" w:hAnsi="Palatino Linotype" w:cs="Palatino Linotype"/>
        <w:color w:val="000000"/>
      </w:rPr>
      <w:fldChar w:fldCharType="separate"/>
    </w:r>
    <w:r w:rsidR="00EB3025">
      <w:rPr>
        <w:rFonts w:ascii="Palatino Linotype" w:eastAsia="Palatino Linotype" w:hAnsi="Palatino Linotype" w:cs="Palatino Linotype"/>
        <w:noProof/>
        <w:color w:val="000000"/>
      </w:rPr>
      <w:t>19</w:t>
    </w:r>
    <w:r>
      <w:rPr>
        <w:rFonts w:ascii="Palatino Linotype" w:eastAsia="Palatino Linotype" w:hAnsi="Palatino Linotype" w:cs="Palatino Linotype"/>
        <w:color w:val="000000"/>
      </w:rPr>
      <w:fldChar w:fldCharType="end"/>
    </w:r>
  </w:p>
  <w:p w14:paraId="151B6A48" w14:textId="77777777" w:rsidR="006B45F1" w:rsidRDefault="006B45F1">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20831" w14:textId="77777777" w:rsidR="00CE1186" w:rsidRDefault="00CE1186">
      <w:pPr>
        <w:spacing w:after="0" w:line="240" w:lineRule="auto"/>
      </w:pPr>
      <w:r>
        <w:separator/>
      </w:r>
    </w:p>
  </w:footnote>
  <w:footnote w:type="continuationSeparator" w:id="0">
    <w:p w14:paraId="645AFBEA" w14:textId="77777777" w:rsidR="00CE1186" w:rsidRDefault="00CE11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B114B" w14:textId="77777777" w:rsidR="006B45F1" w:rsidRDefault="006B45F1">
    <w:pPr>
      <w:widowControl w:val="0"/>
      <w:pBdr>
        <w:top w:val="nil"/>
        <w:left w:val="nil"/>
        <w:bottom w:val="nil"/>
        <w:right w:val="nil"/>
        <w:between w:val="nil"/>
      </w:pBdr>
      <w:spacing w:after="0" w:line="276" w:lineRule="auto"/>
      <w:rPr>
        <w:rFonts w:ascii="Palatino Linotype" w:eastAsia="Palatino Linotype" w:hAnsi="Palatino Linotype" w:cs="Palatino Linotype"/>
        <w:i/>
      </w:rPr>
    </w:pPr>
  </w:p>
  <w:tbl>
    <w:tblPr>
      <w:tblStyle w:val="a0"/>
      <w:tblW w:w="10538" w:type="dxa"/>
      <w:tblInd w:w="-1281" w:type="dxa"/>
      <w:tblLayout w:type="fixed"/>
      <w:tblLook w:val="0400" w:firstRow="0" w:lastRow="0" w:firstColumn="0" w:lastColumn="0" w:noHBand="0" w:noVBand="1"/>
    </w:tblPr>
    <w:tblGrid>
      <w:gridCol w:w="5660"/>
      <w:gridCol w:w="4878"/>
    </w:tblGrid>
    <w:tr w:rsidR="006B45F1" w14:paraId="37A144B9" w14:textId="77777777">
      <w:trPr>
        <w:trHeight w:val="260"/>
      </w:trPr>
      <w:tc>
        <w:tcPr>
          <w:tcW w:w="5660" w:type="dxa"/>
        </w:tcPr>
        <w:p w14:paraId="4EF35C5C" w14:textId="77777777" w:rsidR="006B45F1" w:rsidRDefault="007634EE">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Recurso de Revisión:</w:t>
          </w:r>
        </w:p>
      </w:tc>
      <w:tc>
        <w:tcPr>
          <w:tcW w:w="4878" w:type="dxa"/>
        </w:tcPr>
        <w:p w14:paraId="692B27C3" w14:textId="77777777" w:rsidR="006B45F1" w:rsidRDefault="007634EE">
          <w:pPr>
            <w:spacing w:after="120"/>
            <w:ind w:left="-486" w:right="214" w:firstLine="1408"/>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07249/INFOEM/IP/RR/2024.</w:t>
          </w:r>
        </w:p>
      </w:tc>
    </w:tr>
    <w:tr w:rsidR="006B45F1" w14:paraId="18F2D310" w14:textId="77777777">
      <w:trPr>
        <w:trHeight w:val="224"/>
      </w:trPr>
      <w:tc>
        <w:tcPr>
          <w:tcW w:w="5660" w:type="dxa"/>
        </w:tcPr>
        <w:p w14:paraId="40D641BA" w14:textId="77777777" w:rsidR="006B45F1" w:rsidRDefault="007634EE">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Recurrente:</w:t>
          </w:r>
        </w:p>
      </w:tc>
      <w:tc>
        <w:tcPr>
          <w:tcW w:w="4878" w:type="dxa"/>
        </w:tcPr>
        <w:p w14:paraId="76A45236" w14:textId="77777777" w:rsidR="006B45F1" w:rsidRDefault="006B45F1">
          <w:pPr>
            <w:pBdr>
              <w:top w:val="nil"/>
              <w:left w:val="nil"/>
              <w:bottom w:val="nil"/>
              <w:right w:val="nil"/>
              <w:between w:val="nil"/>
            </w:pBdr>
            <w:spacing w:after="120"/>
            <w:ind w:left="801" w:right="214"/>
            <w:jc w:val="right"/>
            <w:rPr>
              <w:rFonts w:ascii="Palatino Linotype" w:eastAsia="Palatino Linotype" w:hAnsi="Palatino Linotype" w:cs="Palatino Linotype"/>
              <w:color w:val="000000"/>
              <w:sz w:val="24"/>
              <w:szCs w:val="24"/>
            </w:rPr>
          </w:pPr>
        </w:p>
      </w:tc>
    </w:tr>
    <w:tr w:rsidR="006B45F1" w14:paraId="5E40D089" w14:textId="77777777">
      <w:trPr>
        <w:trHeight w:val="278"/>
      </w:trPr>
      <w:tc>
        <w:tcPr>
          <w:tcW w:w="5660" w:type="dxa"/>
        </w:tcPr>
        <w:p w14:paraId="3697C097" w14:textId="77777777" w:rsidR="006B45F1" w:rsidRDefault="007634EE">
          <w:pPr>
            <w:spacing w:after="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Sujeto Obligado:</w:t>
          </w:r>
        </w:p>
      </w:tc>
      <w:tc>
        <w:tcPr>
          <w:tcW w:w="4878" w:type="dxa"/>
        </w:tcPr>
        <w:p w14:paraId="76C42809" w14:textId="77777777" w:rsidR="006B45F1" w:rsidRDefault="007634EE">
          <w:pPr>
            <w:spacing w:after="0"/>
            <w:ind w:left="-495"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Ayuntamiento de Timilpan.</w:t>
          </w:r>
        </w:p>
      </w:tc>
    </w:tr>
    <w:tr w:rsidR="006B45F1" w14:paraId="653AC707" w14:textId="77777777">
      <w:trPr>
        <w:trHeight w:val="393"/>
      </w:trPr>
      <w:tc>
        <w:tcPr>
          <w:tcW w:w="5660" w:type="dxa"/>
        </w:tcPr>
        <w:p w14:paraId="778D0DEE" w14:textId="77777777" w:rsidR="006B45F1" w:rsidRDefault="007634EE">
          <w:pPr>
            <w:tabs>
              <w:tab w:val="left" w:pos="4892"/>
            </w:tabs>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Comisionada Ponente:</w:t>
          </w:r>
        </w:p>
      </w:tc>
      <w:tc>
        <w:tcPr>
          <w:tcW w:w="4878" w:type="dxa"/>
        </w:tcPr>
        <w:p w14:paraId="795C4E75" w14:textId="77777777" w:rsidR="006B45F1" w:rsidRDefault="007634EE">
          <w:pPr>
            <w:spacing w:after="120"/>
            <w:ind w:left="-486"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Guadalupe Ramírez Peña.</w:t>
          </w:r>
        </w:p>
      </w:tc>
    </w:tr>
  </w:tbl>
  <w:p w14:paraId="1AF2405F" w14:textId="77777777" w:rsidR="006B45F1" w:rsidRDefault="007634EE">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8240" behindDoc="1" locked="0" layoutInCell="1" hidden="0" allowOverlap="1" wp14:anchorId="1A55E07A" wp14:editId="6B916157">
          <wp:simplePos x="0" y="0"/>
          <wp:positionH relativeFrom="column">
            <wp:posOffset>-579754</wp:posOffset>
          </wp:positionH>
          <wp:positionV relativeFrom="paragraph">
            <wp:posOffset>-1472195</wp:posOffset>
          </wp:positionV>
          <wp:extent cx="7086600" cy="9561830"/>
          <wp:effectExtent l="0" t="0" r="0" b="0"/>
          <wp:wrapNone/>
          <wp:docPr id="1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086600" cy="9561830"/>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7EA18" w14:textId="77777777" w:rsidR="006B45F1" w:rsidRDefault="006B45F1">
    <w:pPr>
      <w:widowControl w:val="0"/>
      <w:pBdr>
        <w:top w:val="nil"/>
        <w:left w:val="nil"/>
        <w:bottom w:val="nil"/>
        <w:right w:val="nil"/>
        <w:between w:val="nil"/>
      </w:pBdr>
      <w:spacing w:after="0" w:line="276" w:lineRule="auto"/>
      <w:rPr>
        <w:color w:val="000000"/>
      </w:rPr>
    </w:pPr>
  </w:p>
  <w:tbl>
    <w:tblPr>
      <w:tblStyle w:val="a1"/>
      <w:tblW w:w="10538" w:type="dxa"/>
      <w:tblInd w:w="-1281" w:type="dxa"/>
      <w:tblLayout w:type="fixed"/>
      <w:tblLook w:val="0400" w:firstRow="0" w:lastRow="0" w:firstColumn="0" w:lastColumn="0" w:noHBand="0" w:noVBand="1"/>
    </w:tblPr>
    <w:tblGrid>
      <w:gridCol w:w="5660"/>
      <w:gridCol w:w="4878"/>
    </w:tblGrid>
    <w:tr w:rsidR="006B45F1" w14:paraId="4EF85AE6" w14:textId="77777777">
      <w:trPr>
        <w:trHeight w:val="260"/>
      </w:trPr>
      <w:tc>
        <w:tcPr>
          <w:tcW w:w="5660" w:type="dxa"/>
        </w:tcPr>
        <w:p w14:paraId="7DBC7993" w14:textId="77777777" w:rsidR="006B45F1" w:rsidRDefault="007634EE">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Recurso de Revisión:</w:t>
          </w:r>
        </w:p>
      </w:tc>
      <w:tc>
        <w:tcPr>
          <w:tcW w:w="4878" w:type="dxa"/>
        </w:tcPr>
        <w:p w14:paraId="4290FAF5" w14:textId="77777777" w:rsidR="006B45F1" w:rsidRDefault="007634EE">
          <w:pPr>
            <w:spacing w:after="120"/>
            <w:ind w:left="-486" w:right="214" w:firstLine="1408"/>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07249/INFOEM/IP/RR/2024.</w:t>
          </w:r>
        </w:p>
      </w:tc>
    </w:tr>
    <w:tr w:rsidR="006B45F1" w14:paraId="28AEB454" w14:textId="77777777">
      <w:trPr>
        <w:trHeight w:val="224"/>
      </w:trPr>
      <w:tc>
        <w:tcPr>
          <w:tcW w:w="5660" w:type="dxa"/>
        </w:tcPr>
        <w:p w14:paraId="28C417DA" w14:textId="77777777" w:rsidR="006B45F1" w:rsidRDefault="007634EE">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Recurrente:</w:t>
          </w:r>
        </w:p>
      </w:tc>
      <w:tc>
        <w:tcPr>
          <w:tcW w:w="4878" w:type="dxa"/>
        </w:tcPr>
        <w:p w14:paraId="05D3C810" w14:textId="4137DB96" w:rsidR="006B45F1" w:rsidRDefault="0086672F">
          <w:pPr>
            <w:pBdr>
              <w:top w:val="nil"/>
              <w:left w:val="nil"/>
              <w:bottom w:val="nil"/>
              <w:right w:val="nil"/>
              <w:between w:val="nil"/>
            </w:pBdr>
            <w:spacing w:after="120"/>
            <w:ind w:left="801" w:right="214"/>
            <w:jc w:val="right"/>
            <w:rPr>
              <w:rFonts w:ascii="Palatino Linotype" w:eastAsia="Palatino Linotype" w:hAnsi="Palatino Linotype" w:cs="Palatino Linotype"/>
              <w:color w:val="000000"/>
              <w:sz w:val="24"/>
              <w:szCs w:val="24"/>
            </w:rPr>
          </w:pPr>
          <w:bookmarkStart w:id="2" w:name="_Hlk187843477"/>
          <w:r>
            <w:rPr>
              <w:rFonts w:ascii="Palatino Linotype" w:eastAsia="Palatino Linotype" w:hAnsi="Palatino Linotype" w:cs="Palatino Linotype"/>
              <w:color w:val="000000"/>
              <w:sz w:val="24"/>
              <w:szCs w:val="24"/>
            </w:rPr>
            <w:t>XXXXXXX XXXXX</w:t>
          </w:r>
          <w:bookmarkEnd w:id="2"/>
          <w:r w:rsidR="007634EE">
            <w:rPr>
              <w:rFonts w:ascii="Palatino Linotype" w:eastAsia="Palatino Linotype" w:hAnsi="Palatino Linotype" w:cs="Palatino Linotype"/>
              <w:color w:val="000000"/>
              <w:sz w:val="24"/>
              <w:szCs w:val="24"/>
            </w:rPr>
            <w:t>.</w:t>
          </w:r>
        </w:p>
      </w:tc>
    </w:tr>
    <w:tr w:rsidR="006B45F1" w14:paraId="36049EF8" w14:textId="77777777">
      <w:trPr>
        <w:trHeight w:val="278"/>
      </w:trPr>
      <w:tc>
        <w:tcPr>
          <w:tcW w:w="5660" w:type="dxa"/>
        </w:tcPr>
        <w:p w14:paraId="5148BBED" w14:textId="77777777" w:rsidR="006B45F1" w:rsidRDefault="007634EE">
          <w:pPr>
            <w:spacing w:after="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Sujeto Obligado:</w:t>
          </w:r>
        </w:p>
      </w:tc>
      <w:tc>
        <w:tcPr>
          <w:tcW w:w="4878" w:type="dxa"/>
        </w:tcPr>
        <w:p w14:paraId="6E5E62E3" w14:textId="77777777" w:rsidR="006B45F1" w:rsidRDefault="007634EE">
          <w:pPr>
            <w:spacing w:after="0"/>
            <w:ind w:left="-495"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Ayuntamiento de Timilpan.</w:t>
          </w:r>
        </w:p>
      </w:tc>
    </w:tr>
    <w:tr w:rsidR="006B45F1" w14:paraId="46A297A4" w14:textId="77777777">
      <w:trPr>
        <w:trHeight w:val="393"/>
      </w:trPr>
      <w:tc>
        <w:tcPr>
          <w:tcW w:w="5660" w:type="dxa"/>
        </w:tcPr>
        <w:p w14:paraId="6A535759" w14:textId="77777777" w:rsidR="006B45F1" w:rsidRDefault="007634EE">
          <w:pPr>
            <w:tabs>
              <w:tab w:val="left" w:pos="4892"/>
            </w:tabs>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Comisionada Ponente:</w:t>
          </w:r>
        </w:p>
      </w:tc>
      <w:tc>
        <w:tcPr>
          <w:tcW w:w="4878" w:type="dxa"/>
        </w:tcPr>
        <w:p w14:paraId="1A4AE792" w14:textId="77777777" w:rsidR="006B45F1" w:rsidRDefault="007634EE">
          <w:pPr>
            <w:spacing w:after="120"/>
            <w:ind w:left="-486"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Guadalupe Ramírez Peña.</w:t>
          </w:r>
        </w:p>
      </w:tc>
    </w:tr>
  </w:tbl>
  <w:p w14:paraId="66A052FB" w14:textId="77777777" w:rsidR="006B45F1" w:rsidRDefault="007634EE">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9264" behindDoc="1" locked="0" layoutInCell="1" hidden="0" allowOverlap="1" wp14:anchorId="43502936" wp14:editId="7549D7F4">
          <wp:simplePos x="0" y="0"/>
          <wp:positionH relativeFrom="column">
            <wp:posOffset>-622343</wp:posOffset>
          </wp:positionH>
          <wp:positionV relativeFrom="paragraph">
            <wp:posOffset>-1483182</wp:posOffset>
          </wp:positionV>
          <wp:extent cx="7086600" cy="9561830"/>
          <wp:effectExtent l="0" t="0" r="0" b="0"/>
          <wp:wrapNone/>
          <wp:docPr id="1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086600" cy="956183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1346B7"/>
    <w:multiLevelType w:val="multilevel"/>
    <w:tmpl w:val="1C06669E"/>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45F1"/>
    <w:rsid w:val="002F434F"/>
    <w:rsid w:val="003463FE"/>
    <w:rsid w:val="006B45F1"/>
    <w:rsid w:val="007634EE"/>
    <w:rsid w:val="0086672F"/>
    <w:rsid w:val="00B40E36"/>
    <w:rsid w:val="00C00A8C"/>
    <w:rsid w:val="00CE1186"/>
    <w:rsid w:val="00EB302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D95B3"/>
  <w15:docId w15:val="{BC2B0A0E-97DB-4A6A-9048-63FE1490B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3B55"/>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Encabezado">
    <w:name w:val="header"/>
    <w:basedOn w:val="Normal"/>
    <w:link w:val="EncabezadoCar"/>
    <w:uiPriority w:val="99"/>
    <w:unhideWhenUsed/>
    <w:rsid w:val="006F3B5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F3B55"/>
  </w:style>
  <w:style w:type="paragraph" w:styleId="Piedepgina">
    <w:name w:val="footer"/>
    <w:basedOn w:val="Normal"/>
    <w:link w:val="PiedepginaCar"/>
    <w:uiPriority w:val="99"/>
    <w:unhideWhenUsed/>
    <w:rsid w:val="006F3B5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F3B55"/>
  </w:style>
  <w:style w:type="paragraph" w:styleId="Prrafodelista">
    <w:name w:val="List Paragraph"/>
    <w:basedOn w:val="Normal"/>
    <w:uiPriority w:val="34"/>
    <w:qFormat/>
    <w:rsid w:val="00A0743C"/>
    <w:pPr>
      <w:ind w:left="720"/>
      <w:contextualSpacing/>
    </w:pPr>
  </w:style>
  <w:style w:type="paragraph" w:styleId="NormalWeb">
    <w:name w:val="Normal (Web)"/>
    <w:basedOn w:val="Normal"/>
    <w:uiPriority w:val="99"/>
    <w:semiHidden/>
    <w:unhideWhenUsed/>
    <w:rsid w:val="00485CAC"/>
    <w:pPr>
      <w:spacing w:before="100" w:beforeAutospacing="1" w:after="100" w:afterAutospacing="1" w:line="240" w:lineRule="auto"/>
    </w:pPr>
    <w:rPr>
      <w:rFonts w:ascii="Times New Roman" w:eastAsia="Times New Roman" w:hAnsi="Times New Roman" w:cs="Times New Roman"/>
      <w:sz w:val="24"/>
      <w:szCs w:val="24"/>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AtfwaNO1IRF9tibCVijbDzZmQA==">CgMxLjAyCGguZ2pkZ3hzMg5oLjI1YWljbGtrdm9wNjIIaC5namRneHM4AHIhMVJocWl3b2lnNHU5R2s3ZlNIQ2JvQnRFWGRZdWRlRU92</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19</Pages>
  <Words>3678</Words>
  <Characters>20234</Characters>
  <Application>Microsoft Office Word</Application>
  <DocSecurity>0</DocSecurity>
  <Lines>168</Lines>
  <Paragraphs>47</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23865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INFOEM505</dc:creator>
  <cp:lastModifiedBy>Maricela Villagómez Martínez</cp:lastModifiedBy>
  <cp:revision>2</cp:revision>
  <cp:lastPrinted>2024-12-13T16:31:00Z</cp:lastPrinted>
  <dcterms:created xsi:type="dcterms:W3CDTF">2025-01-15T20:25:00Z</dcterms:created>
  <dcterms:modified xsi:type="dcterms:W3CDTF">2025-01-15T20:25:00Z</dcterms:modified>
</cp:coreProperties>
</file>