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FD33" w14:textId="77777777" w:rsidR="00B43F6F" w:rsidRPr="008E7D1F" w:rsidRDefault="00061995" w:rsidP="008E7D1F">
      <w:pPr>
        <w:spacing w:line="360" w:lineRule="auto"/>
        <w:jc w:val="both"/>
        <w:rPr>
          <w:rFonts w:ascii="Palatino Linotype" w:eastAsia="Palatino Linotype" w:hAnsi="Palatino Linotype" w:cs="Palatino Linotype"/>
        </w:rPr>
      </w:pPr>
      <w:bookmarkStart w:id="0" w:name="_heading=h.gjdgxs" w:colFirst="0" w:colLast="0"/>
      <w:bookmarkEnd w:id="0"/>
      <w:r w:rsidRPr="008E7D1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3A107A">
        <w:rPr>
          <w:rFonts w:ascii="Palatino Linotype" w:eastAsia="Palatino Linotype" w:hAnsi="Palatino Linotype" w:cs="Palatino Linotype"/>
          <w:b/>
        </w:rPr>
        <w:t>veintiuno de febrero de dos mil veinticuatro</w:t>
      </w:r>
      <w:r w:rsidRPr="008E7D1F">
        <w:rPr>
          <w:rFonts w:ascii="Palatino Linotype" w:eastAsia="Palatino Linotype" w:hAnsi="Palatino Linotype" w:cs="Palatino Linotype"/>
        </w:rPr>
        <w:t>.</w:t>
      </w:r>
    </w:p>
    <w:p w14:paraId="07198DCF"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 </w:t>
      </w:r>
    </w:p>
    <w:p w14:paraId="7A61F079" w14:textId="4E1BB3E5"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VISTO</w:t>
      </w:r>
      <w:r w:rsidRPr="008E7D1F">
        <w:rPr>
          <w:rFonts w:ascii="Palatino Linotype" w:eastAsia="Palatino Linotype" w:hAnsi="Palatino Linotype" w:cs="Palatino Linotype"/>
        </w:rPr>
        <w:t xml:space="preserve"> el expediente formado con motivo del Recurso Revisión </w:t>
      </w:r>
      <w:r w:rsidRPr="008E7D1F">
        <w:rPr>
          <w:rFonts w:ascii="Palatino Linotype" w:eastAsia="Palatino Linotype" w:hAnsi="Palatino Linotype" w:cs="Palatino Linotype"/>
          <w:b/>
        </w:rPr>
        <w:t>03012/INFOEM/IP/RR/2023</w:t>
      </w:r>
      <w:r w:rsidRPr="008E7D1F">
        <w:rPr>
          <w:rFonts w:ascii="Palatino Linotype" w:eastAsia="Palatino Linotype" w:hAnsi="Palatino Linotype" w:cs="Palatino Linotype"/>
        </w:rPr>
        <w:t xml:space="preserve">, promovido por </w:t>
      </w:r>
      <w:bookmarkStart w:id="1" w:name="_GoBack"/>
      <w:r w:rsidR="008A7672">
        <w:rPr>
          <w:rFonts w:ascii="Palatino Linotype" w:eastAsia="Palatino Linotype" w:hAnsi="Palatino Linotype" w:cs="Palatino Linotype"/>
          <w:b/>
        </w:rPr>
        <w:t>XXXXXX XX XXXXXXXX</w:t>
      </w:r>
      <w:bookmarkEnd w:id="1"/>
      <w:r w:rsidRPr="008E7D1F">
        <w:rPr>
          <w:rFonts w:ascii="Palatino Linotype" w:eastAsia="Palatino Linotype" w:hAnsi="Palatino Linotype" w:cs="Palatino Linotype"/>
          <w:b/>
        </w:rPr>
        <w:t>,</w:t>
      </w:r>
      <w:r w:rsidRPr="008E7D1F">
        <w:rPr>
          <w:rFonts w:ascii="Palatino Linotype" w:eastAsia="Palatino Linotype" w:hAnsi="Palatino Linotype" w:cs="Palatino Linotype"/>
        </w:rPr>
        <w:t xml:space="preserve"> a quien</w:t>
      </w:r>
      <w:r w:rsidRPr="008E7D1F">
        <w:rPr>
          <w:rFonts w:ascii="Palatino Linotype" w:eastAsia="Palatino Linotype" w:hAnsi="Palatino Linotype" w:cs="Palatino Linotype"/>
          <w:b/>
        </w:rPr>
        <w:t xml:space="preserve"> </w:t>
      </w:r>
      <w:r w:rsidRPr="008E7D1F">
        <w:rPr>
          <w:rFonts w:ascii="Palatino Linotype" w:eastAsia="Palatino Linotype" w:hAnsi="Palatino Linotype" w:cs="Palatino Linotype"/>
        </w:rPr>
        <w:t xml:space="preserve">en lo sucesivo se denominará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en contra de la de respuesta emitida por el </w:t>
      </w:r>
      <w:r w:rsidRPr="008E7D1F">
        <w:rPr>
          <w:rFonts w:ascii="Palatino Linotype" w:eastAsia="Palatino Linotype" w:hAnsi="Palatino Linotype" w:cs="Palatino Linotype"/>
          <w:b/>
        </w:rPr>
        <w:t xml:space="preserve">Ayuntamiento de Cuautitlán </w:t>
      </w:r>
      <w:r w:rsidRPr="008E7D1F">
        <w:rPr>
          <w:rFonts w:ascii="Palatino Linotype" w:eastAsia="Palatino Linotype" w:hAnsi="Palatino Linotype" w:cs="Palatino Linotype"/>
        </w:rPr>
        <w:t>que</w:t>
      </w:r>
      <w:r w:rsidRPr="008E7D1F">
        <w:rPr>
          <w:rFonts w:ascii="Palatino Linotype" w:eastAsia="Palatino Linotype" w:hAnsi="Palatino Linotype" w:cs="Palatino Linotype"/>
          <w:b/>
        </w:rPr>
        <w:t xml:space="preserve"> </w:t>
      </w:r>
      <w:r w:rsidRPr="008E7D1F">
        <w:rPr>
          <w:rFonts w:ascii="Palatino Linotype" w:eastAsia="Palatino Linotype" w:hAnsi="Palatino Linotype" w:cs="Palatino Linotype"/>
        </w:rPr>
        <w:t xml:space="preserve">en lo sucesivo se denominará </w:t>
      </w:r>
      <w:r w:rsidRPr="008E7D1F">
        <w:rPr>
          <w:rFonts w:ascii="Palatino Linotype" w:eastAsia="Palatino Linotype" w:hAnsi="Palatino Linotype" w:cs="Palatino Linotype"/>
          <w:b/>
        </w:rPr>
        <w:t>EL SUJETO OBLIGADO</w:t>
      </w:r>
      <w:r w:rsidRPr="008E7D1F">
        <w:rPr>
          <w:rFonts w:ascii="Palatino Linotype" w:eastAsia="Palatino Linotype" w:hAnsi="Palatino Linotype" w:cs="Palatino Linotype"/>
        </w:rPr>
        <w:t xml:space="preserve">, se procede a dictar la presente resolución con base en lo siguiente: </w:t>
      </w:r>
    </w:p>
    <w:p w14:paraId="1A534D97" w14:textId="77777777" w:rsidR="00B43F6F" w:rsidRPr="008E7D1F" w:rsidRDefault="00B43F6F" w:rsidP="008E7D1F">
      <w:pPr>
        <w:jc w:val="center"/>
        <w:rPr>
          <w:rFonts w:ascii="Palatino Linotype" w:eastAsia="Palatino Linotype" w:hAnsi="Palatino Linotype" w:cs="Palatino Linotype"/>
        </w:rPr>
      </w:pPr>
    </w:p>
    <w:p w14:paraId="08D4689C" w14:textId="77777777" w:rsidR="00B43F6F" w:rsidRPr="008E7D1F" w:rsidRDefault="00061995" w:rsidP="008E7D1F">
      <w:pPr>
        <w:jc w:val="center"/>
        <w:rPr>
          <w:rFonts w:ascii="Palatino Linotype" w:eastAsia="Palatino Linotype" w:hAnsi="Palatino Linotype" w:cs="Palatino Linotype"/>
          <w:b/>
          <w:sz w:val="28"/>
          <w:szCs w:val="28"/>
        </w:rPr>
      </w:pPr>
      <w:r w:rsidRPr="008E7D1F">
        <w:rPr>
          <w:rFonts w:ascii="Palatino Linotype" w:eastAsia="Palatino Linotype" w:hAnsi="Palatino Linotype" w:cs="Palatino Linotype"/>
          <w:b/>
          <w:sz w:val="28"/>
          <w:szCs w:val="28"/>
        </w:rPr>
        <w:t>RESULTANDO</w:t>
      </w:r>
    </w:p>
    <w:p w14:paraId="57BDD87A" w14:textId="77777777" w:rsidR="00B43F6F" w:rsidRPr="008E7D1F" w:rsidRDefault="00B43F6F" w:rsidP="008E7D1F">
      <w:pPr>
        <w:jc w:val="center"/>
        <w:rPr>
          <w:rFonts w:ascii="Palatino Linotype" w:eastAsia="Palatino Linotype" w:hAnsi="Palatino Linotype" w:cs="Palatino Linotype"/>
          <w:b/>
        </w:rPr>
      </w:pPr>
    </w:p>
    <w:p w14:paraId="292695D1" w14:textId="77777777" w:rsidR="00B43F6F" w:rsidRPr="008E7D1F" w:rsidRDefault="00061995" w:rsidP="008E7D1F">
      <w:pPr>
        <w:spacing w:line="360" w:lineRule="auto"/>
        <w:jc w:val="both"/>
        <w:rPr>
          <w:rFonts w:ascii="Palatino Linotype" w:eastAsia="Palatino Linotype" w:hAnsi="Palatino Linotype" w:cs="Palatino Linotype"/>
          <w:b/>
          <w:sz w:val="28"/>
          <w:szCs w:val="28"/>
        </w:rPr>
      </w:pPr>
      <w:r w:rsidRPr="008E7D1F">
        <w:rPr>
          <w:rFonts w:ascii="Palatino Linotype" w:eastAsia="Palatino Linotype" w:hAnsi="Palatino Linotype" w:cs="Palatino Linotype"/>
          <w:b/>
          <w:sz w:val="28"/>
          <w:szCs w:val="28"/>
        </w:rPr>
        <w:t>I. De la Solicitud de Información</w:t>
      </w:r>
    </w:p>
    <w:p w14:paraId="484E3011"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El </w:t>
      </w:r>
      <w:r w:rsidRPr="008E7D1F">
        <w:rPr>
          <w:rFonts w:ascii="Palatino Linotype" w:eastAsia="Palatino Linotype" w:hAnsi="Palatino Linotype" w:cs="Palatino Linotype"/>
          <w:b/>
        </w:rPr>
        <w:t>veintitrés de mayo de dos mil veintitrés</w:t>
      </w:r>
      <w:r w:rsidRPr="008E7D1F">
        <w:rPr>
          <w:rFonts w:ascii="Palatino Linotype" w:eastAsia="Palatino Linotype" w:hAnsi="Palatino Linotype" w:cs="Palatino Linotype"/>
        </w:rPr>
        <w:t xml:space="preserve">, </w:t>
      </w:r>
      <w:r w:rsidRPr="008E7D1F">
        <w:rPr>
          <w:rFonts w:ascii="Palatino Linotype" w:eastAsia="Palatino Linotype" w:hAnsi="Palatino Linotype" w:cs="Palatino Linotype"/>
          <w:b/>
        </w:rPr>
        <w:t xml:space="preserve">EL RECURRENTE </w:t>
      </w:r>
      <w:r w:rsidRPr="008E7D1F">
        <w:rPr>
          <w:rFonts w:ascii="Palatino Linotype" w:eastAsia="Palatino Linotype" w:hAnsi="Palatino Linotype" w:cs="Palatino Linotype"/>
        </w:rPr>
        <w:t xml:space="preserve">presentó a través del Sistema de Acceso a la Información Mexiquense, que en lo subsecuente se denominara </w:t>
      </w:r>
      <w:r w:rsidRPr="008E7D1F">
        <w:rPr>
          <w:rFonts w:ascii="Palatino Linotype" w:eastAsia="Palatino Linotype" w:hAnsi="Palatino Linotype" w:cs="Palatino Linotype"/>
          <w:b/>
        </w:rPr>
        <w:t>EL SAIMEX</w:t>
      </w:r>
      <w:r w:rsidRPr="008E7D1F">
        <w:rPr>
          <w:rFonts w:ascii="Palatino Linotype" w:eastAsia="Palatino Linotype" w:hAnsi="Palatino Linotype" w:cs="Palatino Linotype"/>
        </w:rPr>
        <w:t xml:space="preserve"> ante </w:t>
      </w:r>
      <w:r w:rsidRPr="008E7D1F">
        <w:rPr>
          <w:rFonts w:ascii="Palatino Linotype" w:eastAsia="Palatino Linotype" w:hAnsi="Palatino Linotype" w:cs="Palatino Linotype"/>
          <w:b/>
        </w:rPr>
        <w:t>EL SUJETO OBLIGADO</w:t>
      </w:r>
      <w:r w:rsidRPr="008E7D1F">
        <w:rPr>
          <w:rFonts w:ascii="Palatino Linotype" w:eastAsia="Palatino Linotype" w:hAnsi="Palatino Linotype" w:cs="Palatino Linotype"/>
        </w:rPr>
        <w:t>, misma a la que se le asignó el número de expediente</w:t>
      </w:r>
      <w:r w:rsidRPr="008E7D1F">
        <w:rPr>
          <w:rFonts w:ascii="Palatino Linotype" w:eastAsia="Palatino Linotype" w:hAnsi="Palatino Linotype" w:cs="Palatino Linotype"/>
          <w:b/>
        </w:rPr>
        <w:t xml:space="preserve"> 00207/CUAUTIT/IP/2023</w:t>
      </w:r>
      <w:r w:rsidRPr="008E7D1F">
        <w:rPr>
          <w:rFonts w:ascii="Palatino Linotype" w:eastAsia="Palatino Linotype" w:hAnsi="Palatino Linotype" w:cs="Palatino Linotype"/>
        </w:rPr>
        <w:t>, mediante la cual requirió:</w:t>
      </w:r>
    </w:p>
    <w:p w14:paraId="7A96DE67" w14:textId="77777777" w:rsidR="00B43F6F" w:rsidRPr="008E7D1F" w:rsidRDefault="00B43F6F" w:rsidP="008E7D1F">
      <w:pPr>
        <w:tabs>
          <w:tab w:val="left" w:pos="851"/>
        </w:tabs>
        <w:ind w:left="851" w:right="901"/>
        <w:jc w:val="both"/>
        <w:rPr>
          <w:rFonts w:ascii="Palatino Linotype" w:eastAsia="Palatino Linotype" w:hAnsi="Palatino Linotype" w:cs="Palatino Linotype"/>
          <w:i/>
          <w:sz w:val="22"/>
          <w:szCs w:val="22"/>
        </w:rPr>
      </w:pPr>
    </w:p>
    <w:p w14:paraId="08DF1AA5" w14:textId="77777777" w:rsidR="00B43F6F" w:rsidRPr="008E7D1F" w:rsidRDefault="00061995" w:rsidP="008E7D1F">
      <w:pPr>
        <w:ind w:left="851" w:right="899"/>
        <w:jc w:val="both"/>
        <w:rPr>
          <w:rFonts w:ascii="Palatino Linotype" w:eastAsia="Palatino Linotype" w:hAnsi="Palatino Linotype" w:cs="Palatino Linotype"/>
          <w:b/>
        </w:rPr>
      </w:pPr>
      <w:r w:rsidRPr="008E7D1F">
        <w:rPr>
          <w:rFonts w:ascii="Palatino Linotype" w:eastAsia="Palatino Linotype" w:hAnsi="Palatino Linotype" w:cs="Palatino Linotype"/>
          <w:i/>
          <w:sz w:val="22"/>
          <w:szCs w:val="22"/>
        </w:rPr>
        <w:t xml:space="preserve">“Solicito al Ayuntamiento de Cuautitlán, Estado de México, me informe si el Ayuntamiento de Cuautitlán, tiene celebrado y vigente algún Contrato o Convenio de sueldos y prestaciones, o prestaciones socioeconómicas o similar, con el Sindicato Único de Trabajadores de los Poderes, Municipios e Instituciones Descentralizadas del Estado de México (S.U.T.E.Y.M.). Para el caso de ser afirmativa la respuesta, solicito se me expida Copia Simple del Convenio vigente celebrado con el Sindicato Único de Trabajadores de los Poderes, Municipios e Instituciones Descentralizadas del Estado de México (S.U.T.E.Y.M.), mismo que, en caso de contener información reservada, deberá ser testada la misma y se me deberá dar el Convenio antes solicitado con la información testada, pues dicho documento no es de carácter confidencial o </w:t>
      </w:r>
      <w:r w:rsidRPr="008E7D1F">
        <w:rPr>
          <w:rFonts w:ascii="Palatino Linotype" w:eastAsia="Palatino Linotype" w:hAnsi="Palatino Linotype" w:cs="Palatino Linotype"/>
          <w:i/>
          <w:sz w:val="22"/>
          <w:szCs w:val="22"/>
        </w:rPr>
        <w:lastRenderedPageBreak/>
        <w:t>reservado, conforme a lo dispuesto por la Ley de Transparencia y Acceso a la Información Pública del Estado de México y Municipios..”</w:t>
      </w:r>
    </w:p>
    <w:p w14:paraId="720DDDEA" w14:textId="77777777" w:rsidR="00B43F6F" w:rsidRPr="008E7D1F" w:rsidRDefault="00B43F6F" w:rsidP="008E7D1F">
      <w:pPr>
        <w:jc w:val="both"/>
        <w:rPr>
          <w:rFonts w:ascii="Palatino Linotype" w:eastAsia="Palatino Linotype" w:hAnsi="Palatino Linotype" w:cs="Palatino Linotype"/>
          <w:b/>
        </w:rPr>
      </w:pPr>
    </w:p>
    <w:p w14:paraId="19076022"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MODALIDAD DE ENTREGA:</w:t>
      </w:r>
      <w:r w:rsidRPr="008E7D1F">
        <w:rPr>
          <w:rFonts w:ascii="Palatino Linotype" w:eastAsia="Palatino Linotype" w:hAnsi="Palatino Linotype" w:cs="Palatino Linotype"/>
        </w:rPr>
        <w:t xml:space="preserve"> Vía </w:t>
      </w:r>
      <w:r w:rsidRPr="008E7D1F">
        <w:rPr>
          <w:rFonts w:ascii="Palatino Linotype" w:eastAsia="Palatino Linotype" w:hAnsi="Palatino Linotype" w:cs="Palatino Linotype"/>
          <w:b/>
        </w:rPr>
        <w:t>SAIMEX.</w:t>
      </w:r>
    </w:p>
    <w:p w14:paraId="4AFFB139" w14:textId="77777777" w:rsidR="00B43F6F" w:rsidRPr="008E7D1F" w:rsidRDefault="00B43F6F" w:rsidP="008E7D1F">
      <w:pPr>
        <w:spacing w:line="360" w:lineRule="auto"/>
        <w:jc w:val="both"/>
        <w:rPr>
          <w:rFonts w:ascii="Palatino Linotype" w:eastAsia="Palatino Linotype" w:hAnsi="Palatino Linotype" w:cs="Palatino Linotype"/>
          <w:b/>
        </w:rPr>
      </w:pPr>
    </w:p>
    <w:p w14:paraId="4E3EAC60"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b/>
          <w:sz w:val="28"/>
          <w:szCs w:val="28"/>
        </w:rPr>
        <w:t>II. Información que Puede estar en Poder de Otro Sujeto Obligado</w:t>
      </w:r>
    </w:p>
    <w:p w14:paraId="5567C274"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Del expediente electrónico conformado en el </w:t>
      </w:r>
      <w:r w:rsidRPr="008E7D1F">
        <w:rPr>
          <w:rFonts w:ascii="Palatino Linotype" w:eastAsia="Palatino Linotype" w:hAnsi="Palatino Linotype" w:cs="Palatino Linotype"/>
          <w:b/>
        </w:rPr>
        <w:t>SAIMEX</w:t>
      </w:r>
      <w:r w:rsidRPr="008E7D1F">
        <w:rPr>
          <w:rFonts w:ascii="Palatino Linotype" w:eastAsia="Palatino Linotype" w:hAnsi="Palatino Linotype" w:cs="Palatino Linotype"/>
        </w:rPr>
        <w:t xml:space="preserve">, del Recurso de Revisión materia del presente estudio, se advierte el </w:t>
      </w:r>
      <w:r w:rsidRPr="008E7D1F">
        <w:rPr>
          <w:rFonts w:ascii="Palatino Linotype" w:eastAsia="Palatino Linotype" w:hAnsi="Palatino Linotype" w:cs="Palatino Linotype"/>
          <w:b/>
        </w:rPr>
        <w:t>veintiséis de mayo de dos mil veintitrés</w:t>
      </w:r>
      <w:r w:rsidRPr="008E7D1F">
        <w:rPr>
          <w:rFonts w:ascii="Palatino Linotype" w:eastAsia="Palatino Linotype" w:hAnsi="Palatino Linotype" w:cs="Palatino Linotype"/>
        </w:rPr>
        <w:t xml:space="preserve">, </w:t>
      </w:r>
      <w:r w:rsidRPr="008E7D1F">
        <w:rPr>
          <w:rFonts w:ascii="Palatino Linotype" w:eastAsia="Palatino Linotype" w:hAnsi="Palatino Linotype" w:cs="Palatino Linotype"/>
          <w:b/>
        </w:rPr>
        <w:t xml:space="preserve">EL SUJETO OBLIGADO </w:t>
      </w:r>
      <w:r w:rsidRPr="008E7D1F">
        <w:rPr>
          <w:rFonts w:ascii="Palatino Linotype" w:eastAsia="Palatino Linotype" w:hAnsi="Palatino Linotype" w:cs="Palatino Linotype"/>
        </w:rPr>
        <w:t>se pronunció en los siguientes términos:</w:t>
      </w:r>
    </w:p>
    <w:p w14:paraId="089BC558" w14:textId="77777777" w:rsidR="00B43F6F" w:rsidRPr="008E7D1F" w:rsidRDefault="00B43F6F" w:rsidP="008E7D1F">
      <w:pPr>
        <w:jc w:val="both"/>
        <w:rPr>
          <w:rFonts w:ascii="Palatino Linotype" w:eastAsia="Palatino Linotype" w:hAnsi="Palatino Linotype" w:cs="Palatino Linotype"/>
          <w:sz w:val="16"/>
          <w:szCs w:val="16"/>
        </w:rPr>
      </w:pPr>
    </w:p>
    <w:p w14:paraId="5AEE7558" w14:textId="77777777" w:rsidR="00B43F6F" w:rsidRPr="008E7D1F" w:rsidRDefault="00061995" w:rsidP="008E7D1F">
      <w:pPr>
        <w:ind w:left="851" w:right="899"/>
        <w:jc w:val="right"/>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w:t>
      </w:r>
      <w:r w:rsidRPr="008E7D1F">
        <w:t xml:space="preserve"> </w:t>
      </w:r>
      <w:r w:rsidRPr="008E7D1F">
        <w:rPr>
          <w:rFonts w:ascii="Palatino Linotype" w:eastAsia="Palatino Linotype" w:hAnsi="Palatino Linotype" w:cs="Palatino Linotype"/>
          <w:i/>
          <w:sz w:val="22"/>
          <w:szCs w:val="22"/>
        </w:rPr>
        <w:t>Cuautitlán, México a 26 de Mayo de 2023</w:t>
      </w:r>
    </w:p>
    <w:p w14:paraId="0918898A" w14:textId="77777777" w:rsidR="00B43F6F" w:rsidRPr="008E7D1F" w:rsidRDefault="00061995" w:rsidP="008E7D1F">
      <w:pPr>
        <w:ind w:left="851" w:right="899"/>
        <w:jc w:val="right"/>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Nombre del solicitante: C. Solicitante</w:t>
      </w:r>
    </w:p>
    <w:p w14:paraId="0D611B13" w14:textId="77777777" w:rsidR="00B43F6F" w:rsidRPr="008E7D1F" w:rsidRDefault="00061995" w:rsidP="008E7D1F">
      <w:pPr>
        <w:ind w:left="851" w:right="899"/>
        <w:jc w:val="right"/>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Folio de la solicitud: 00207/CUAUTIT/IP/2023</w:t>
      </w:r>
    </w:p>
    <w:p w14:paraId="61585442" w14:textId="77777777" w:rsidR="00B43F6F" w:rsidRPr="008E7D1F" w:rsidRDefault="00B43F6F" w:rsidP="008E7D1F">
      <w:pPr>
        <w:ind w:left="851" w:right="899"/>
        <w:jc w:val="both"/>
        <w:rPr>
          <w:rFonts w:ascii="Palatino Linotype" w:eastAsia="Palatino Linotype" w:hAnsi="Palatino Linotype" w:cs="Palatino Linotype"/>
          <w:i/>
          <w:sz w:val="22"/>
          <w:szCs w:val="22"/>
        </w:rPr>
      </w:pPr>
    </w:p>
    <w:p w14:paraId="14A55633" w14:textId="77777777" w:rsidR="00B43F6F" w:rsidRPr="008E7D1F" w:rsidRDefault="00061995" w:rsidP="008E7D1F">
      <w:pPr>
        <w:ind w:left="851" w:right="899"/>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 xml:space="preserve">En base a lo que señala el </w:t>
      </w:r>
      <w:proofErr w:type="spellStart"/>
      <w:r w:rsidRPr="008E7D1F">
        <w:rPr>
          <w:rFonts w:ascii="Palatino Linotype" w:eastAsia="Palatino Linotype" w:hAnsi="Palatino Linotype" w:cs="Palatino Linotype"/>
          <w:i/>
          <w:sz w:val="22"/>
          <w:szCs w:val="22"/>
        </w:rPr>
        <w:t>Articulo</w:t>
      </w:r>
      <w:proofErr w:type="spellEnd"/>
      <w:r w:rsidRPr="008E7D1F">
        <w:rPr>
          <w:rFonts w:ascii="Palatino Linotype" w:eastAsia="Palatino Linotype" w:hAnsi="Palatino Linotype" w:cs="Palatino Linotype"/>
          <w:i/>
          <w:sz w:val="22"/>
          <w:szCs w:val="22"/>
        </w:rPr>
        <w:t xml:space="preserve"> 167 de la Ley de Transparencia y Acceso a la Información Pública del Estado de México y Municipios este sujeto obligado se da por incompetente para atender esta solicitud de información, por lo que se orienta al solicitante, requerir dicha información a través de la página web http://www.suteym.org.mx/transparencia del SUTEYM Estatal en el apartado de Transparencia, por ser su competencia.”</w:t>
      </w:r>
    </w:p>
    <w:p w14:paraId="25E89D6C" w14:textId="77777777" w:rsidR="00B43F6F" w:rsidRPr="008E7D1F" w:rsidRDefault="00B43F6F"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67EC093B" w14:textId="77777777" w:rsidR="00B43F6F" w:rsidRPr="008E7D1F" w:rsidRDefault="00061995"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rPr>
        <w:t>El SUJETO OBLIGADO remitió en respuesta el siguiente archivo electrónico</w:t>
      </w:r>
      <w:r w:rsidRPr="008E7D1F">
        <w:rPr>
          <w:rFonts w:ascii="Palatino Linotype" w:eastAsia="Palatino Linotype" w:hAnsi="Palatino Linotype" w:cs="Palatino Linotype"/>
          <w:b/>
        </w:rPr>
        <w:t>:</w:t>
      </w:r>
    </w:p>
    <w:p w14:paraId="652B03D5" w14:textId="77777777" w:rsidR="00B43F6F" w:rsidRPr="008E7D1F" w:rsidRDefault="00B43F6F"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p>
    <w:p w14:paraId="3E3EF5B2" w14:textId="77777777" w:rsidR="00B43F6F" w:rsidRPr="008E7D1F" w:rsidRDefault="00061995"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b/>
        </w:rPr>
        <w:t>-</w:t>
      </w:r>
      <w:r w:rsidRPr="008E7D1F">
        <w:t xml:space="preserve"> </w:t>
      </w:r>
      <w:r w:rsidRPr="008E7D1F">
        <w:rPr>
          <w:rFonts w:ascii="Palatino Linotype" w:eastAsia="Palatino Linotype" w:hAnsi="Palatino Linotype" w:cs="Palatino Linotype"/>
          <w:b/>
        </w:rPr>
        <w:t>Sol. 00207</w:t>
      </w:r>
      <w:proofErr w:type="gramStart"/>
      <w:r w:rsidRPr="008E7D1F">
        <w:rPr>
          <w:rFonts w:ascii="Palatino Linotype" w:eastAsia="Palatino Linotype" w:hAnsi="Palatino Linotype" w:cs="Palatino Linotype"/>
          <w:b/>
        </w:rPr>
        <w:t>.pdf</w:t>
      </w:r>
      <w:proofErr w:type="gramEnd"/>
      <w:r w:rsidRPr="008E7D1F">
        <w:rPr>
          <w:rFonts w:ascii="Palatino Linotype" w:eastAsia="Palatino Linotype" w:hAnsi="Palatino Linotype" w:cs="Palatino Linotype"/>
          <w:b/>
        </w:rPr>
        <w:t xml:space="preserve"> - </w:t>
      </w:r>
      <w:r w:rsidRPr="008E7D1F">
        <w:rPr>
          <w:rFonts w:ascii="Palatino Linotype" w:eastAsia="Palatino Linotype" w:hAnsi="Palatino Linotype" w:cs="Palatino Linotype"/>
        </w:rPr>
        <w:t>Archivo que contiene la imagen de SAIMEX particularmente de la solicitud de información del presente Recurso de Revisión.</w:t>
      </w:r>
    </w:p>
    <w:p w14:paraId="1064760C" w14:textId="77777777" w:rsidR="00B43F6F" w:rsidRPr="008E7D1F" w:rsidRDefault="00B43F6F"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79116FAA" w14:textId="77777777" w:rsidR="00B43F6F" w:rsidRPr="008E7D1F" w:rsidRDefault="00061995"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sz w:val="28"/>
          <w:szCs w:val="28"/>
        </w:rPr>
        <w:t>III. Del Recurso Revisión</w:t>
      </w:r>
    </w:p>
    <w:p w14:paraId="2CF5CDA3"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Inconforme con la respuesta, el treinta de mayo de dos mil veintitrés, </w:t>
      </w:r>
      <w:r w:rsidRPr="008E7D1F">
        <w:rPr>
          <w:rFonts w:ascii="Palatino Linotype" w:eastAsia="Palatino Linotype" w:hAnsi="Palatino Linotype" w:cs="Palatino Linotype"/>
          <w:b/>
        </w:rPr>
        <w:t xml:space="preserve">EL RECURRENTE </w:t>
      </w:r>
      <w:r w:rsidRPr="008E7D1F">
        <w:rPr>
          <w:rFonts w:ascii="Palatino Linotype" w:eastAsia="Palatino Linotype" w:hAnsi="Palatino Linotype" w:cs="Palatino Linotype"/>
        </w:rPr>
        <w:t xml:space="preserve">interpuso el Recurso Revisión sujeto del presente estudio, el cual fue </w:t>
      </w:r>
      <w:r w:rsidRPr="008E7D1F">
        <w:rPr>
          <w:rFonts w:ascii="Palatino Linotype" w:eastAsia="Palatino Linotype" w:hAnsi="Palatino Linotype" w:cs="Palatino Linotype"/>
        </w:rPr>
        <w:lastRenderedPageBreak/>
        <w:t xml:space="preserve">registrado en </w:t>
      </w:r>
      <w:r w:rsidRPr="008E7D1F">
        <w:rPr>
          <w:rFonts w:ascii="Palatino Linotype" w:eastAsia="Palatino Linotype" w:hAnsi="Palatino Linotype" w:cs="Palatino Linotype"/>
          <w:b/>
        </w:rPr>
        <w:t xml:space="preserve">EL SAIMEX, </w:t>
      </w:r>
      <w:r w:rsidRPr="008E7D1F">
        <w:rPr>
          <w:rFonts w:ascii="Palatino Linotype" w:eastAsia="Palatino Linotype" w:hAnsi="Palatino Linotype" w:cs="Palatino Linotype"/>
        </w:rPr>
        <w:t xml:space="preserve">y se le asignó el número de expediente </w:t>
      </w:r>
      <w:r w:rsidRPr="008E7D1F">
        <w:rPr>
          <w:rFonts w:ascii="Palatino Linotype" w:eastAsia="Palatino Linotype" w:hAnsi="Palatino Linotype" w:cs="Palatino Linotype"/>
          <w:b/>
        </w:rPr>
        <w:t xml:space="preserve">03012/INFOEM/IP/RR/2023, </w:t>
      </w:r>
      <w:r w:rsidRPr="008E7D1F">
        <w:rPr>
          <w:rFonts w:ascii="Palatino Linotype" w:eastAsia="Palatino Linotype" w:hAnsi="Palatino Linotype" w:cs="Palatino Linotype"/>
        </w:rPr>
        <w:t>en el que señaló como:</w:t>
      </w:r>
    </w:p>
    <w:p w14:paraId="6CDEA9DF" w14:textId="77777777" w:rsidR="00B43F6F" w:rsidRPr="008E7D1F" w:rsidRDefault="00B43F6F" w:rsidP="008E7D1F">
      <w:pPr>
        <w:spacing w:line="360" w:lineRule="auto"/>
        <w:jc w:val="both"/>
        <w:rPr>
          <w:rFonts w:ascii="Palatino Linotype" w:eastAsia="Palatino Linotype" w:hAnsi="Palatino Linotype" w:cs="Palatino Linotype"/>
        </w:rPr>
      </w:pPr>
    </w:p>
    <w:p w14:paraId="3527D10A" w14:textId="77777777" w:rsidR="00B43F6F" w:rsidRPr="008E7D1F" w:rsidRDefault="00061995" w:rsidP="008E7D1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 xml:space="preserve">Acto Impugnado: </w:t>
      </w:r>
    </w:p>
    <w:p w14:paraId="538B3E61" w14:textId="77777777" w:rsidR="00B43F6F" w:rsidRPr="008E7D1F" w:rsidRDefault="00B43F6F" w:rsidP="008E7D1F">
      <w:pPr>
        <w:pBdr>
          <w:top w:val="nil"/>
          <w:left w:val="nil"/>
          <w:bottom w:val="nil"/>
          <w:right w:val="nil"/>
          <w:between w:val="nil"/>
        </w:pBdr>
        <w:tabs>
          <w:tab w:val="left" w:pos="709"/>
        </w:tabs>
        <w:jc w:val="both"/>
        <w:rPr>
          <w:rFonts w:ascii="Palatino Linotype" w:eastAsia="Palatino Linotype" w:hAnsi="Palatino Linotype" w:cs="Palatino Linotype"/>
          <w:b/>
        </w:rPr>
      </w:pPr>
    </w:p>
    <w:p w14:paraId="1FE4EF99" w14:textId="77777777" w:rsidR="00B43F6F" w:rsidRPr="008E7D1F" w:rsidRDefault="00061995" w:rsidP="008E7D1F">
      <w:pPr>
        <w:tabs>
          <w:tab w:val="left" w:pos="8219"/>
        </w:tabs>
        <w:ind w:left="851" w:right="902"/>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“La respuesta otorgada por el Instituto de Transparencia de Cuautitlán</w:t>
      </w:r>
      <w:proofErr w:type="gramStart"/>
      <w:r w:rsidRPr="008E7D1F">
        <w:rPr>
          <w:rFonts w:ascii="Palatino Linotype" w:eastAsia="Palatino Linotype" w:hAnsi="Palatino Linotype" w:cs="Palatino Linotype"/>
          <w:i/>
          <w:sz w:val="22"/>
          <w:szCs w:val="22"/>
        </w:rPr>
        <w:t>..</w:t>
      </w:r>
      <w:proofErr w:type="gramEnd"/>
      <w:r w:rsidRPr="008E7D1F">
        <w:rPr>
          <w:rFonts w:ascii="Palatino Linotype" w:eastAsia="Palatino Linotype" w:hAnsi="Palatino Linotype" w:cs="Palatino Linotype"/>
          <w:i/>
          <w:sz w:val="22"/>
          <w:szCs w:val="22"/>
        </w:rPr>
        <w:t xml:space="preserve"> " (Sic)</w:t>
      </w:r>
    </w:p>
    <w:p w14:paraId="2CC88AB0" w14:textId="77777777" w:rsidR="00B43F6F" w:rsidRPr="008E7D1F" w:rsidRDefault="00B43F6F" w:rsidP="008E7D1F">
      <w:pPr>
        <w:tabs>
          <w:tab w:val="left" w:pos="7936"/>
        </w:tabs>
        <w:ind w:left="851" w:right="902"/>
        <w:jc w:val="both"/>
        <w:rPr>
          <w:rFonts w:ascii="Palatino Linotype" w:eastAsia="Palatino Linotype" w:hAnsi="Palatino Linotype" w:cs="Palatino Linotype"/>
          <w:i/>
          <w:sz w:val="22"/>
          <w:szCs w:val="22"/>
        </w:rPr>
      </w:pPr>
    </w:p>
    <w:p w14:paraId="247D4E11" w14:textId="77777777" w:rsidR="00B43F6F" w:rsidRPr="008E7D1F" w:rsidRDefault="00061995" w:rsidP="008E7D1F">
      <w:pPr>
        <w:pBdr>
          <w:top w:val="nil"/>
          <w:left w:val="nil"/>
          <w:bottom w:val="nil"/>
          <w:right w:val="nil"/>
          <w:between w:val="nil"/>
        </w:pBd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Así como Razones o Motivos de Inconformidad:</w:t>
      </w:r>
    </w:p>
    <w:p w14:paraId="7628AAA1" w14:textId="77777777" w:rsidR="00B43F6F" w:rsidRPr="008E7D1F" w:rsidRDefault="00B43F6F" w:rsidP="008E7D1F">
      <w:pPr>
        <w:pBdr>
          <w:top w:val="nil"/>
          <w:left w:val="nil"/>
          <w:bottom w:val="nil"/>
          <w:right w:val="nil"/>
          <w:between w:val="nil"/>
        </w:pBdr>
        <w:jc w:val="both"/>
        <w:rPr>
          <w:rFonts w:ascii="Palatino Linotype" w:eastAsia="Palatino Linotype" w:hAnsi="Palatino Linotype" w:cs="Palatino Linotype"/>
        </w:rPr>
      </w:pPr>
    </w:p>
    <w:p w14:paraId="1126D522" w14:textId="77777777" w:rsidR="00B43F6F" w:rsidRPr="008E7D1F" w:rsidRDefault="00061995" w:rsidP="008E7D1F">
      <w:pPr>
        <w:ind w:left="851" w:right="899"/>
        <w:jc w:val="both"/>
        <w:rPr>
          <w:rFonts w:ascii="Palatino Linotype" w:eastAsia="Palatino Linotype" w:hAnsi="Palatino Linotype" w:cs="Palatino Linotype"/>
        </w:rPr>
      </w:pPr>
      <w:r w:rsidRPr="008E7D1F">
        <w:rPr>
          <w:rFonts w:ascii="Palatino Linotype" w:eastAsia="Palatino Linotype" w:hAnsi="Palatino Linotype" w:cs="Palatino Linotype"/>
          <w:i/>
          <w:sz w:val="22"/>
          <w:szCs w:val="22"/>
        </w:rPr>
        <w:t>“Se me niega la información, tratando de evadir su obligación de darme la información solicitada, planteando que es otra autoridad quien la tiene, sin embargo, dicho Municipio debe informar si ha firmado o no el Convenio solicitado, situación que no fue pronunciada en su respuesta, y en caso de ser afirmativa, exhibirme dicho Convenio, situación que fue negada supuestamente por no ser la autoridad correcta para otorgarme la misma. No es óbice señalar, que el Ayuntamiento al ser parte dentro de un Convenio que se haya celebrado, debe de contar con el mismo, por lo que SI cuenta con la información solicitada y se está negando a entregar la misma</w:t>
      </w:r>
      <w:proofErr w:type="gramStart"/>
      <w:r w:rsidRPr="008E7D1F">
        <w:rPr>
          <w:rFonts w:ascii="Palatino Linotype" w:eastAsia="Palatino Linotype" w:hAnsi="Palatino Linotype" w:cs="Palatino Linotype"/>
          <w:i/>
          <w:sz w:val="22"/>
          <w:szCs w:val="22"/>
        </w:rPr>
        <w:t>..”</w:t>
      </w:r>
      <w:proofErr w:type="gramEnd"/>
      <w:r w:rsidRPr="008E7D1F">
        <w:rPr>
          <w:rFonts w:ascii="Palatino Linotype" w:eastAsia="Palatino Linotype" w:hAnsi="Palatino Linotype" w:cs="Palatino Linotype"/>
          <w:i/>
          <w:sz w:val="22"/>
          <w:szCs w:val="22"/>
        </w:rPr>
        <w:t xml:space="preserve"> (Sic)</w:t>
      </w:r>
    </w:p>
    <w:p w14:paraId="19CB2988" w14:textId="77777777" w:rsidR="00B43F6F" w:rsidRPr="008E7D1F" w:rsidRDefault="00B43F6F" w:rsidP="008E7D1F">
      <w:pPr>
        <w:jc w:val="both"/>
        <w:rPr>
          <w:rFonts w:ascii="Palatino Linotype" w:eastAsia="Palatino Linotype" w:hAnsi="Palatino Linotype" w:cs="Palatino Linotype"/>
          <w:i/>
          <w:sz w:val="22"/>
          <w:szCs w:val="22"/>
        </w:rPr>
      </w:pPr>
    </w:p>
    <w:p w14:paraId="22051861" w14:textId="77777777" w:rsidR="00B43F6F" w:rsidRPr="008E7D1F" w:rsidRDefault="00061995" w:rsidP="008E7D1F">
      <w:pPr>
        <w:spacing w:line="360" w:lineRule="auto"/>
        <w:jc w:val="both"/>
        <w:rPr>
          <w:rFonts w:ascii="Palatino Linotype" w:eastAsia="Palatino Linotype" w:hAnsi="Palatino Linotype" w:cs="Palatino Linotype"/>
          <w:b/>
          <w:sz w:val="28"/>
          <w:szCs w:val="28"/>
        </w:rPr>
      </w:pPr>
      <w:r w:rsidRPr="008E7D1F">
        <w:rPr>
          <w:rFonts w:ascii="Palatino Linotype" w:eastAsia="Palatino Linotype" w:hAnsi="Palatino Linotype" w:cs="Palatino Linotype"/>
          <w:b/>
          <w:sz w:val="28"/>
          <w:szCs w:val="28"/>
        </w:rPr>
        <w:t>IV. Del turno del Recurso Revisión</w:t>
      </w:r>
    </w:p>
    <w:p w14:paraId="38851023"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El </w:t>
      </w:r>
      <w:r w:rsidRPr="008E7D1F">
        <w:rPr>
          <w:rFonts w:ascii="Palatino Linotype" w:eastAsia="Palatino Linotype" w:hAnsi="Palatino Linotype" w:cs="Palatino Linotype"/>
          <w:b/>
        </w:rPr>
        <w:t>treinta de mayo de dos mil veintitrés</w:t>
      </w:r>
      <w:r w:rsidRPr="008E7D1F">
        <w:rPr>
          <w:rFonts w:ascii="Palatino Linotype" w:eastAsia="Palatino Linotype" w:hAnsi="Palatino Linotype" w:cs="Palatino Linotype"/>
        </w:rPr>
        <w:t xml:space="preserve">,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8E7D1F">
        <w:rPr>
          <w:rFonts w:ascii="Palatino Linotype" w:eastAsia="Palatino Linotype" w:hAnsi="Palatino Linotype" w:cs="Palatino Linotype"/>
          <w:b/>
        </w:rPr>
        <w:t>EL SAIMEX</w:t>
      </w:r>
      <w:r w:rsidRPr="008E7D1F">
        <w:rPr>
          <w:rFonts w:ascii="Palatino Linotype" w:eastAsia="Palatino Linotype" w:hAnsi="Palatino Linotype" w:cs="Palatino Linotype"/>
        </w:rPr>
        <w:t xml:space="preserve">, a la </w:t>
      </w:r>
      <w:r w:rsidRPr="008E7D1F">
        <w:rPr>
          <w:rFonts w:ascii="Palatino Linotype" w:eastAsia="Palatino Linotype" w:hAnsi="Palatino Linotype" w:cs="Palatino Linotype"/>
          <w:b/>
        </w:rPr>
        <w:t xml:space="preserve">Comisionada Sharon Cristina Morales Martínez </w:t>
      </w:r>
      <w:r w:rsidRPr="008E7D1F">
        <w:rPr>
          <w:rFonts w:ascii="Palatino Linotype" w:eastAsia="Palatino Linotype" w:hAnsi="Palatino Linotype" w:cs="Palatino Linotype"/>
        </w:rPr>
        <w:t xml:space="preserve">a efecto de decretar su admisión o </w:t>
      </w:r>
      <w:proofErr w:type="spellStart"/>
      <w:r w:rsidRPr="008E7D1F">
        <w:rPr>
          <w:rFonts w:ascii="Palatino Linotype" w:eastAsia="Palatino Linotype" w:hAnsi="Palatino Linotype" w:cs="Palatino Linotype"/>
        </w:rPr>
        <w:t>desechamiento</w:t>
      </w:r>
      <w:proofErr w:type="spellEnd"/>
      <w:r w:rsidRPr="008E7D1F">
        <w:rPr>
          <w:rFonts w:ascii="Palatino Linotype" w:eastAsia="Palatino Linotype" w:hAnsi="Palatino Linotype" w:cs="Palatino Linotype"/>
        </w:rPr>
        <w:t>.</w:t>
      </w:r>
    </w:p>
    <w:p w14:paraId="63C8F2D1" w14:textId="77777777" w:rsidR="00B43F6F" w:rsidRPr="008E7D1F" w:rsidRDefault="00B43F6F" w:rsidP="008E7D1F">
      <w:pPr>
        <w:spacing w:line="360" w:lineRule="auto"/>
        <w:jc w:val="both"/>
        <w:rPr>
          <w:rFonts w:ascii="Palatino Linotype" w:eastAsia="Palatino Linotype" w:hAnsi="Palatino Linotype" w:cs="Palatino Linotype"/>
        </w:rPr>
      </w:pPr>
    </w:p>
    <w:p w14:paraId="2F182F8B" w14:textId="77777777" w:rsidR="00B43F6F" w:rsidRPr="008E7D1F" w:rsidRDefault="00B43F6F" w:rsidP="008E7D1F">
      <w:pPr>
        <w:spacing w:line="360" w:lineRule="auto"/>
        <w:jc w:val="both"/>
        <w:rPr>
          <w:rFonts w:ascii="Palatino Linotype" w:eastAsia="Palatino Linotype" w:hAnsi="Palatino Linotype" w:cs="Palatino Linotype"/>
        </w:rPr>
      </w:pPr>
    </w:p>
    <w:p w14:paraId="4DE4A563" w14:textId="77777777" w:rsidR="00B43F6F" w:rsidRPr="008E7D1F" w:rsidRDefault="00061995" w:rsidP="008E7D1F">
      <w:pPr>
        <w:tabs>
          <w:tab w:val="center" w:pos="4252"/>
          <w:tab w:val="right" w:pos="8504"/>
        </w:tabs>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lastRenderedPageBreak/>
        <w:t>a) Admisión del Recurso Revisión</w:t>
      </w:r>
    </w:p>
    <w:p w14:paraId="57A9A227" w14:textId="77777777" w:rsidR="00B43F6F" w:rsidRPr="008E7D1F" w:rsidRDefault="00061995" w:rsidP="008E7D1F">
      <w:pPr>
        <w:tabs>
          <w:tab w:val="center" w:pos="4252"/>
          <w:tab w:val="right" w:pos="8504"/>
        </w:tabs>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De las constancias del expediente electrónico del</w:t>
      </w:r>
      <w:r w:rsidRPr="008E7D1F">
        <w:rPr>
          <w:rFonts w:ascii="Palatino Linotype" w:eastAsia="Palatino Linotype" w:hAnsi="Palatino Linotype" w:cs="Palatino Linotype"/>
          <w:b/>
        </w:rPr>
        <w:t xml:space="preserve"> SAIMEX</w:t>
      </w:r>
      <w:r w:rsidRPr="008E7D1F">
        <w:rPr>
          <w:rFonts w:ascii="Palatino Linotype" w:eastAsia="Palatino Linotype" w:hAnsi="Palatino Linotype" w:cs="Palatino Linotype"/>
        </w:rPr>
        <w:t xml:space="preserve">, se advierte que el </w:t>
      </w:r>
      <w:r w:rsidRPr="008E7D1F">
        <w:rPr>
          <w:rFonts w:ascii="Palatino Linotype" w:eastAsia="Palatino Linotype" w:hAnsi="Palatino Linotype" w:cs="Palatino Linotype"/>
          <w:b/>
        </w:rPr>
        <w:t>treinta y uno de mayo de dos mil veintitrés</w:t>
      </w:r>
      <w:r w:rsidRPr="008E7D1F">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8E7D1F">
        <w:rPr>
          <w:rFonts w:ascii="Palatino Linotype" w:eastAsia="Palatino Linotype" w:hAnsi="Palatino Linotype" w:cs="Palatino Linotype"/>
          <w:b/>
        </w:rPr>
        <w:t xml:space="preserve">EL RECURRENTE </w:t>
      </w:r>
      <w:r w:rsidRPr="008E7D1F">
        <w:rPr>
          <w:rFonts w:ascii="Palatino Linotype" w:eastAsia="Palatino Linotype" w:hAnsi="Palatino Linotype" w:cs="Palatino Linotype"/>
        </w:rPr>
        <w:t xml:space="preserve">manifestara lo que a su derecho conviniera, a efecto de presentar pruebas o alegatos y, en su caso, </w:t>
      </w:r>
      <w:r w:rsidRPr="008E7D1F">
        <w:rPr>
          <w:rFonts w:ascii="Palatino Linotype" w:eastAsia="Palatino Linotype" w:hAnsi="Palatino Linotype" w:cs="Palatino Linotype"/>
          <w:b/>
        </w:rPr>
        <w:t xml:space="preserve">EL SUJETO OBLIGADO </w:t>
      </w:r>
      <w:r w:rsidRPr="008E7D1F">
        <w:rPr>
          <w:rFonts w:ascii="Palatino Linotype" w:eastAsia="Palatino Linotype" w:hAnsi="Palatino Linotype" w:cs="Palatino Linotype"/>
        </w:rPr>
        <w:t>rindiera su correspondiente Informe Justificado.</w:t>
      </w:r>
    </w:p>
    <w:p w14:paraId="21BE8E2F" w14:textId="77777777" w:rsidR="00B43F6F" w:rsidRPr="008E7D1F" w:rsidRDefault="00B43F6F" w:rsidP="008E7D1F">
      <w:pPr>
        <w:spacing w:line="360" w:lineRule="auto"/>
        <w:jc w:val="both"/>
        <w:rPr>
          <w:rFonts w:ascii="Palatino Linotype" w:eastAsia="Palatino Linotype" w:hAnsi="Palatino Linotype" w:cs="Palatino Linotype"/>
          <w:b/>
        </w:rPr>
      </w:pPr>
    </w:p>
    <w:p w14:paraId="266156A6"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 xml:space="preserve">b) Manifestaciones </w:t>
      </w:r>
    </w:p>
    <w:p w14:paraId="7F45F345"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De acuerdo a las constancias digitales que obran en </w:t>
      </w:r>
      <w:r w:rsidRPr="008E7D1F">
        <w:rPr>
          <w:rFonts w:ascii="Palatino Linotype" w:eastAsia="Palatino Linotype" w:hAnsi="Palatino Linotype" w:cs="Palatino Linotype"/>
          <w:b/>
        </w:rPr>
        <w:t>EL</w:t>
      </w:r>
      <w:r w:rsidRPr="008E7D1F">
        <w:rPr>
          <w:rFonts w:ascii="Palatino Linotype" w:eastAsia="Palatino Linotype" w:hAnsi="Palatino Linotype" w:cs="Palatino Linotype"/>
        </w:rPr>
        <w:t xml:space="preserve"> </w:t>
      </w:r>
      <w:r w:rsidRPr="008E7D1F">
        <w:rPr>
          <w:rFonts w:ascii="Palatino Linotype" w:eastAsia="Palatino Linotype" w:hAnsi="Palatino Linotype" w:cs="Palatino Linotype"/>
          <w:b/>
        </w:rPr>
        <w:t>SAIMEX</w:t>
      </w:r>
      <w:r w:rsidRPr="008E7D1F">
        <w:rPr>
          <w:rFonts w:ascii="Palatino Linotype" w:eastAsia="Palatino Linotype" w:hAnsi="Palatino Linotype" w:cs="Palatino Linotype"/>
        </w:rPr>
        <w:t xml:space="preserve"> se desprende que, dentro del término legalmente concedido a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entregó el siguiente archivo digital </w:t>
      </w:r>
      <w:r w:rsidRPr="008E7D1F">
        <w:rPr>
          <w:rFonts w:ascii="Palatino Linotype" w:eastAsia="Palatino Linotype" w:hAnsi="Palatino Linotype" w:cs="Palatino Linotype"/>
          <w:b/>
        </w:rPr>
        <w:t>ALEGATOS SAIMEX CUAUTITLAN.docx</w:t>
      </w:r>
      <w:r w:rsidRPr="008E7D1F">
        <w:rPr>
          <w:rFonts w:ascii="Palatino Linotype" w:eastAsia="Palatino Linotype" w:hAnsi="Palatino Linotype" w:cs="Palatino Linotype"/>
        </w:rPr>
        <w:t xml:space="preserve">, el cual será tomado en consideración en el estudio; por su parte el </w:t>
      </w:r>
      <w:r w:rsidRPr="008E7D1F">
        <w:rPr>
          <w:rFonts w:ascii="Palatino Linotype" w:eastAsia="Palatino Linotype" w:hAnsi="Palatino Linotype" w:cs="Palatino Linotype"/>
          <w:b/>
        </w:rPr>
        <w:t>SUJETO OBLIGADO</w:t>
      </w:r>
      <w:r w:rsidRPr="008E7D1F">
        <w:rPr>
          <w:rFonts w:ascii="Palatino Linotype" w:eastAsia="Palatino Linotype" w:hAnsi="Palatino Linotype" w:cs="Palatino Linotype"/>
        </w:rPr>
        <w:t xml:space="preserve"> no remitió informe justificado.</w:t>
      </w:r>
    </w:p>
    <w:p w14:paraId="39929D85" w14:textId="77777777" w:rsidR="00B43F6F" w:rsidRPr="008E7D1F" w:rsidRDefault="00B43F6F" w:rsidP="008E7D1F">
      <w:pPr>
        <w:spacing w:line="360" w:lineRule="auto"/>
        <w:jc w:val="both"/>
        <w:rPr>
          <w:rFonts w:ascii="Palatino Linotype" w:eastAsia="Palatino Linotype" w:hAnsi="Palatino Linotype" w:cs="Palatino Linotype"/>
        </w:rPr>
      </w:pPr>
    </w:p>
    <w:p w14:paraId="48B1D01B" w14:textId="77777777" w:rsidR="00B43F6F" w:rsidRPr="008E7D1F" w:rsidRDefault="00061995" w:rsidP="008E7D1F">
      <w:pPr>
        <w:widowControl w:val="0"/>
        <w:tabs>
          <w:tab w:val="left" w:pos="0"/>
        </w:tabs>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 xml:space="preserve">c) De la ampliación </w:t>
      </w:r>
    </w:p>
    <w:p w14:paraId="68897F03" w14:textId="77777777" w:rsidR="00B43F6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El </w:t>
      </w:r>
      <w:r w:rsidRPr="008E7D1F">
        <w:rPr>
          <w:rFonts w:ascii="Palatino Linotype" w:eastAsia="Palatino Linotype" w:hAnsi="Palatino Linotype" w:cs="Palatino Linotype"/>
          <w:b/>
        </w:rPr>
        <w:t>dos de agosto de dos mil veintitrés</w:t>
      </w:r>
      <w:r w:rsidRPr="008E7D1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6C9CC6CF" w14:textId="77777777" w:rsidR="008E7D1F" w:rsidRDefault="008E7D1F" w:rsidP="008E7D1F">
      <w:pPr>
        <w:spacing w:line="360" w:lineRule="auto"/>
        <w:jc w:val="both"/>
        <w:rPr>
          <w:rFonts w:ascii="Palatino Linotype" w:eastAsia="Palatino Linotype" w:hAnsi="Palatino Linotype" w:cs="Palatino Linotype"/>
        </w:rPr>
      </w:pPr>
    </w:p>
    <w:p w14:paraId="5583D787" w14:textId="77777777" w:rsidR="008E7D1F" w:rsidRPr="008E7D1F" w:rsidRDefault="008E7D1F" w:rsidP="008E7D1F">
      <w:pPr>
        <w:spacing w:line="360" w:lineRule="auto"/>
        <w:jc w:val="both"/>
        <w:rPr>
          <w:rFonts w:ascii="Palatino Linotype" w:eastAsia="Palatino Linotype" w:hAnsi="Palatino Linotype" w:cs="Palatino Linotype"/>
        </w:rPr>
      </w:pPr>
    </w:p>
    <w:p w14:paraId="20DB6157" w14:textId="77777777" w:rsidR="00B43F6F" w:rsidRPr="008E7D1F" w:rsidRDefault="00061995" w:rsidP="008E7D1F">
      <w:pPr>
        <w:pBdr>
          <w:top w:val="nil"/>
          <w:left w:val="nil"/>
          <w:bottom w:val="nil"/>
          <w:right w:val="nil"/>
          <w:between w:val="nil"/>
        </w:pBd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lastRenderedPageBreak/>
        <w:t>d) Cierre de Instrucción</w:t>
      </w:r>
    </w:p>
    <w:p w14:paraId="1B320E17"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Una vez analizado el estado procesal que guarda el expediente, el </w:t>
      </w:r>
      <w:r w:rsidRPr="008E7D1F">
        <w:rPr>
          <w:rFonts w:ascii="Palatino Linotype" w:eastAsia="Palatino Linotype" w:hAnsi="Palatino Linotype" w:cs="Palatino Linotype"/>
          <w:b/>
        </w:rPr>
        <w:t>quince de febrero de dos mil veinticuatro</w:t>
      </w:r>
      <w:r w:rsidRPr="008E7D1F">
        <w:rPr>
          <w:rFonts w:ascii="Palatino Linotype" w:eastAsia="Palatino Linotype" w:hAnsi="Palatino Linotype" w:cs="Palatino Linotype"/>
        </w:rPr>
        <w:t xml:space="preserve">, la </w:t>
      </w:r>
      <w:r w:rsidRPr="008E7D1F">
        <w:rPr>
          <w:rFonts w:ascii="Palatino Linotype" w:eastAsia="Palatino Linotype" w:hAnsi="Palatino Linotype" w:cs="Palatino Linotype"/>
          <w:b/>
        </w:rPr>
        <w:t>Comisionada Sharon Cristina Morales Martínez</w:t>
      </w:r>
      <w:r w:rsidRPr="008E7D1F">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A5346C5" w14:textId="77777777" w:rsidR="00B43F6F" w:rsidRPr="008E7D1F" w:rsidRDefault="00B43F6F" w:rsidP="008E7D1F">
      <w:pPr>
        <w:jc w:val="both"/>
        <w:rPr>
          <w:rFonts w:ascii="Palatino Linotype" w:eastAsia="Palatino Linotype" w:hAnsi="Palatino Linotype" w:cs="Palatino Linotype"/>
        </w:rPr>
      </w:pPr>
    </w:p>
    <w:p w14:paraId="17CED92C" w14:textId="77777777" w:rsidR="00B43F6F" w:rsidRPr="008E7D1F" w:rsidRDefault="00061995" w:rsidP="008E7D1F">
      <w:pPr>
        <w:jc w:val="center"/>
        <w:rPr>
          <w:rFonts w:ascii="Palatino Linotype" w:eastAsia="Palatino Linotype" w:hAnsi="Palatino Linotype" w:cs="Palatino Linotype"/>
          <w:b/>
          <w:sz w:val="28"/>
          <w:szCs w:val="28"/>
        </w:rPr>
      </w:pPr>
      <w:r w:rsidRPr="008E7D1F">
        <w:rPr>
          <w:rFonts w:ascii="Palatino Linotype" w:eastAsia="Palatino Linotype" w:hAnsi="Palatino Linotype" w:cs="Palatino Linotype"/>
          <w:b/>
          <w:sz w:val="28"/>
          <w:szCs w:val="28"/>
        </w:rPr>
        <w:t>CONSIDERANDO</w:t>
      </w:r>
    </w:p>
    <w:p w14:paraId="756E2C25" w14:textId="77777777" w:rsidR="00B43F6F" w:rsidRPr="008E7D1F" w:rsidRDefault="00B43F6F" w:rsidP="008E7D1F">
      <w:pPr>
        <w:jc w:val="center"/>
        <w:rPr>
          <w:rFonts w:ascii="Palatino Linotype" w:eastAsia="Palatino Linotype" w:hAnsi="Palatino Linotype" w:cs="Palatino Linotype"/>
          <w:b/>
          <w:sz w:val="28"/>
          <w:szCs w:val="28"/>
        </w:rPr>
      </w:pPr>
    </w:p>
    <w:p w14:paraId="1EA08C5E" w14:textId="77777777" w:rsidR="00B43F6F" w:rsidRPr="008E7D1F" w:rsidRDefault="00061995" w:rsidP="008E7D1F">
      <w:pPr>
        <w:spacing w:line="360" w:lineRule="auto"/>
        <w:ind w:right="50"/>
        <w:jc w:val="both"/>
        <w:rPr>
          <w:rFonts w:ascii="Palatino Linotype" w:eastAsia="Palatino Linotype" w:hAnsi="Palatino Linotype" w:cs="Palatino Linotype"/>
          <w:b/>
        </w:rPr>
      </w:pPr>
      <w:r w:rsidRPr="008E7D1F">
        <w:rPr>
          <w:rFonts w:ascii="Palatino Linotype" w:eastAsia="Palatino Linotype" w:hAnsi="Palatino Linotype" w:cs="Palatino Linotype"/>
          <w:b/>
          <w:sz w:val="28"/>
          <w:szCs w:val="28"/>
        </w:rPr>
        <w:t>PRIMERO</w:t>
      </w:r>
      <w:r w:rsidRPr="008E7D1F">
        <w:rPr>
          <w:rFonts w:ascii="Palatino Linotype" w:eastAsia="Palatino Linotype" w:hAnsi="Palatino Linotype" w:cs="Palatino Linotype"/>
          <w:b/>
        </w:rPr>
        <w:t>.</w:t>
      </w:r>
      <w:r w:rsidRPr="008E7D1F">
        <w:rPr>
          <w:rFonts w:ascii="Palatino Linotype" w:eastAsia="Palatino Linotype" w:hAnsi="Palatino Linotype" w:cs="Palatino Linotype"/>
        </w:rPr>
        <w:t xml:space="preserve"> </w:t>
      </w:r>
      <w:r w:rsidRPr="008E7D1F">
        <w:rPr>
          <w:rFonts w:ascii="Palatino Linotype" w:eastAsia="Palatino Linotype" w:hAnsi="Palatino Linotype" w:cs="Palatino Linotype"/>
          <w:b/>
        </w:rPr>
        <w:t>Competencia</w:t>
      </w:r>
      <w:r w:rsidRPr="008E7D1F">
        <w:rPr>
          <w:rFonts w:ascii="Palatino Linotype" w:eastAsia="Palatino Linotype" w:hAnsi="Palatino Linotype" w:cs="Palatino Linotype"/>
        </w:rPr>
        <w:t>.</w:t>
      </w:r>
      <w:r w:rsidRPr="008E7D1F">
        <w:rPr>
          <w:rFonts w:ascii="Palatino Linotype" w:eastAsia="Palatino Linotype" w:hAnsi="Palatino Linotype" w:cs="Palatino Linotype"/>
          <w:b/>
        </w:rPr>
        <w:t xml:space="preserve"> </w:t>
      </w:r>
    </w:p>
    <w:p w14:paraId="1035AE9E" w14:textId="77777777" w:rsidR="00B43F6F" w:rsidRPr="008E7D1F" w:rsidRDefault="00061995" w:rsidP="008E7D1F">
      <w:pPr>
        <w:spacing w:line="360" w:lineRule="auto"/>
        <w:ind w:right="50"/>
        <w:jc w:val="both"/>
        <w:rPr>
          <w:rFonts w:ascii="Palatino Linotype" w:eastAsia="Palatino Linotype" w:hAnsi="Palatino Linotype" w:cs="Palatino Linotype"/>
        </w:rPr>
      </w:pPr>
      <w:r w:rsidRPr="008E7D1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678AD46" w14:textId="77777777" w:rsidR="00B43F6F" w:rsidRPr="008E7D1F" w:rsidRDefault="00B43F6F" w:rsidP="008E7D1F">
      <w:pPr>
        <w:spacing w:line="360" w:lineRule="auto"/>
        <w:ind w:right="50"/>
        <w:jc w:val="both"/>
        <w:rPr>
          <w:rFonts w:ascii="Palatino Linotype" w:eastAsia="Palatino Linotype" w:hAnsi="Palatino Linotype" w:cs="Palatino Linotype"/>
        </w:rPr>
      </w:pPr>
    </w:p>
    <w:p w14:paraId="0E9C5A62" w14:textId="77777777" w:rsidR="00B43F6F" w:rsidRPr="008E7D1F" w:rsidRDefault="00B43F6F" w:rsidP="008E7D1F">
      <w:pPr>
        <w:spacing w:line="360" w:lineRule="auto"/>
        <w:ind w:right="50"/>
        <w:jc w:val="both"/>
        <w:rPr>
          <w:rFonts w:ascii="Palatino Linotype" w:eastAsia="Palatino Linotype" w:hAnsi="Palatino Linotype" w:cs="Palatino Linotype"/>
        </w:rPr>
      </w:pPr>
    </w:p>
    <w:p w14:paraId="1F441022" w14:textId="77777777" w:rsidR="00B43F6F" w:rsidRPr="008E7D1F" w:rsidRDefault="00B43F6F" w:rsidP="008E7D1F">
      <w:pPr>
        <w:spacing w:line="360" w:lineRule="auto"/>
        <w:ind w:right="50"/>
        <w:jc w:val="both"/>
        <w:rPr>
          <w:rFonts w:ascii="Palatino Linotype" w:eastAsia="Palatino Linotype" w:hAnsi="Palatino Linotype" w:cs="Palatino Linotype"/>
        </w:rPr>
      </w:pPr>
    </w:p>
    <w:p w14:paraId="112BBA7A"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sz w:val="28"/>
          <w:szCs w:val="28"/>
        </w:rPr>
        <w:lastRenderedPageBreak/>
        <w:t>SEGUNDO</w:t>
      </w:r>
      <w:r w:rsidRPr="008E7D1F">
        <w:rPr>
          <w:rFonts w:ascii="Palatino Linotype" w:eastAsia="Palatino Linotype" w:hAnsi="Palatino Linotype" w:cs="Palatino Linotype"/>
          <w:b/>
        </w:rPr>
        <w:t xml:space="preserve">. Interés. </w:t>
      </w:r>
    </w:p>
    <w:p w14:paraId="559D90CB"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El Recurso Revisión fue interpuesto por parte legítima, en atención a que se presentó por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quien es la misma persona que formuló la solicitud de acceso a la Información Pública al </w:t>
      </w:r>
      <w:r w:rsidRPr="008E7D1F">
        <w:rPr>
          <w:rFonts w:ascii="Palatino Linotype" w:eastAsia="Palatino Linotype" w:hAnsi="Palatino Linotype" w:cs="Palatino Linotype"/>
          <w:b/>
        </w:rPr>
        <w:t xml:space="preserve">SUJETO OBLIGADO, </w:t>
      </w:r>
      <w:r w:rsidRPr="008E7D1F">
        <w:rPr>
          <w:rFonts w:ascii="Palatino Linotype" w:eastAsia="Palatino Linotype" w:hAnsi="Palatino Linotype" w:cs="Palatino Linotype"/>
        </w:rPr>
        <w:t xml:space="preserve">pues para ello, es necesario que la particular ingrese al </w:t>
      </w:r>
      <w:r w:rsidRPr="008E7D1F">
        <w:rPr>
          <w:rFonts w:ascii="Palatino Linotype" w:eastAsia="Palatino Linotype" w:hAnsi="Palatino Linotype" w:cs="Palatino Linotype"/>
          <w:b/>
        </w:rPr>
        <w:t xml:space="preserve">SAIMEX </w:t>
      </w:r>
      <w:r w:rsidRPr="008E7D1F">
        <w:rPr>
          <w:rFonts w:ascii="Palatino Linotype" w:eastAsia="Palatino Linotype" w:hAnsi="Palatino Linotype" w:cs="Palatino Linotype"/>
        </w:rPr>
        <w:t>mediante la utilización de su clave de usuario y contraseña.</w:t>
      </w:r>
    </w:p>
    <w:p w14:paraId="18C8979C" w14:textId="77777777" w:rsidR="00B43F6F" w:rsidRPr="008E7D1F" w:rsidRDefault="00B43F6F" w:rsidP="008E7D1F">
      <w:pPr>
        <w:spacing w:line="360" w:lineRule="auto"/>
        <w:jc w:val="both"/>
        <w:rPr>
          <w:rFonts w:ascii="Palatino Linotype" w:eastAsia="Palatino Linotype" w:hAnsi="Palatino Linotype" w:cs="Palatino Linotype"/>
          <w:b/>
        </w:rPr>
      </w:pPr>
    </w:p>
    <w:p w14:paraId="626D09AC" w14:textId="77777777" w:rsidR="00B43F6F" w:rsidRPr="008E7D1F" w:rsidRDefault="00061995" w:rsidP="008E7D1F">
      <w:pPr>
        <w:spacing w:line="360" w:lineRule="auto"/>
        <w:ind w:right="49"/>
        <w:jc w:val="both"/>
        <w:rPr>
          <w:rFonts w:ascii="Palatino Linotype" w:eastAsia="Palatino Linotype" w:hAnsi="Palatino Linotype" w:cs="Palatino Linotype"/>
          <w:b/>
        </w:rPr>
      </w:pPr>
      <w:r w:rsidRPr="008E7D1F">
        <w:rPr>
          <w:rFonts w:ascii="Palatino Linotype" w:eastAsia="Palatino Linotype" w:hAnsi="Palatino Linotype" w:cs="Palatino Linotype"/>
          <w:b/>
          <w:sz w:val="28"/>
          <w:szCs w:val="28"/>
        </w:rPr>
        <w:t xml:space="preserve">TERCERO. </w:t>
      </w:r>
      <w:r w:rsidRPr="008E7D1F">
        <w:rPr>
          <w:rFonts w:ascii="Palatino Linotype" w:eastAsia="Palatino Linotype" w:hAnsi="Palatino Linotype" w:cs="Palatino Linotype"/>
          <w:b/>
        </w:rPr>
        <w:t xml:space="preserve">Oportunidad. </w:t>
      </w:r>
    </w:p>
    <w:p w14:paraId="0C18E8B3" w14:textId="77777777" w:rsidR="00B43F6F" w:rsidRPr="008E7D1F" w:rsidRDefault="00061995" w:rsidP="008E7D1F">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8E7D1F">
        <w:rPr>
          <w:rFonts w:ascii="Palatino Linotype" w:eastAsia="Palatino Linotype" w:hAnsi="Palatino Linotype" w:cs="Palatino Linotype"/>
          <w:b/>
        </w:rPr>
        <w:t xml:space="preserve">EL RECURRENTE </w:t>
      </w:r>
      <w:r w:rsidRPr="008E7D1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32A3CD01" w14:textId="77777777" w:rsidR="00B43F6F" w:rsidRPr="008E7D1F" w:rsidRDefault="00B43F6F" w:rsidP="008E7D1F">
      <w:pPr>
        <w:ind w:left="720" w:right="709"/>
        <w:jc w:val="both"/>
        <w:rPr>
          <w:rFonts w:ascii="Palatino Linotype" w:eastAsia="Palatino Linotype" w:hAnsi="Palatino Linotype" w:cs="Palatino Linotype"/>
          <w:i/>
          <w:sz w:val="22"/>
          <w:szCs w:val="22"/>
        </w:rPr>
      </w:pPr>
    </w:p>
    <w:p w14:paraId="50FC7F1F" w14:textId="77777777" w:rsidR="00B43F6F" w:rsidRPr="008E7D1F" w:rsidRDefault="00061995" w:rsidP="008E7D1F">
      <w:pPr>
        <w:ind w:left="851" w:right="899"/>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w:t>
      </w:r>
      <w:r w:rsidRPr="008E7D1F">
        <w:rPr>
          <w:rFonts w:ascii="Palatino Linotype" w:eastAsia="Palatino Linotype" w:hAnsi="Palatino Linotype" w:cs="Palatino Linotype"/>
          <w:b/>
          <w:i/>
          <w:sz w:val="22"/>
          <w:szCs w:val="22"/>
        </w:rPr>
        <w:t>Artículo 178.</w:t>
      </w:r>
      <w:r w:rsidRPr="008E7D1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1A5A75A" w14:textId="77777777" w:rsidR="00B43F6F" w:rsidRPr="008E7D1F" w:rsidRDefault="00B43F6F" w:rsidP="008E7D1F">
      <w:pPr>
        <w:ind w:left="851" w:right="899"/>
        <w:jc w:val="both"/>
        <w:rPr>
          <w:rFonts w:ascii="Palatino Linotype" w:eastAsia="Palatino Linotype" w:hAnsi="Palatino Linotype" w:cs="Palatino Linotype"/>
          <w:i/>
          <w:sz w:val="22"/>
          <w:szCs w:val="22"/>
        </w:rPr>
      </w:pPr>
    </w:p>
    <w:p w14:paraId="4B11C810" w14:textId="77777777" w:rsidR="00B43F6F" w:rsidRPr="008E7D1F" w:rsidRDefault="00061995" w:rsidP="008E7D1F">
      <w:pPr>
        <w:ind w:left="851" w:right="899"/>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434F9A4" w14:textId="77777777" w:rsidR="00B43F6F" w:rsidRPr="008E7D1F" w:rsidRDefault="00B43F6F" w:rsidP="008E7D1F">
      <w:pPr>
        <w:ind w:left="851" w:right="899"/>
        <w:jc w:val="both"/>
        <w:rPr>
          <w:rFonts w:ascii="Palatino Linotype" w:eastAsia="Palatino Linotype" w:hAnsi="Palatino Linotype" w:cs="Palatino Linotype"/>
          <w:i/>
          <w:sz w:val="22"/>
          <w:szCs w:val="22"/>
        </w:rPr>
      </w:pPr>
    </w:p>
    <w:p w14:paraId="7F59AFC3" w14:textId="77777777" w:rsidR="00B43F6F" w:rsidRPr="008E7D1F" w:rsidRDefault="00061995" w:rsidP="008E7D1F">
      <w:pPr>
        <w:ind w:left="851" w:right="899"/>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2EB8CBF8" w14:textId="77777777" w:rsidR="00B43F6F" w:rsidRPr="008E7D1F" w:rsidRDefault="00B43F6F" w:rsidP="008E7D1F">
      <w:pPr>
        <w:ind w:left="720" w:right="709"/>
        <w:jc w:val="both"/>
        <w:rPr>
          <w:rFonts w:ascii="Palatino Linotype" w:eastAsia="Palatino Linotype" w:hAnsi="Palatino Linotype" w:cs="Palatino Linotype"/>
          <w:i/>
          <w:sz w:val="22"/>
          <w:szCs w:val="22"/>
        </w:rPr>
      </w:pPr>
    </w:p>
    <w:p w14:paraId="0275B3F4" w14:textId="77777777" w:rsidR="00B43F6F" w:rsidRPr="008E7D1F" w:rsidRDefault="00061995" w:rsidP="008E7D1F">
      <w:pPr>
        <w:spacing w:line="360" w:lineRule="auto"/>
        <w:jc w:val="both"/>
        <w:rPr>
          <w:rFonts w:ascii="Palatino Linotype" w:eastAsia="Palatino Linotype" w:hAnsi="Palatino Linotype" w:cs="Palatino Linotype"/>
        </w:rPr>
      </w:pPr>
      <w:bookmarkStart w:id="2" w:name="_heading=h.2et92p0" w:colFirst="0" w:colLast="0"/>
      <w:bookmarkEnd w:id="2"/>
      <w:r w:rsidRPr="008E7D1F">
        <w:rPr>
          <w:rFonts w:ascii="Palatino Linotype" w:eastAsia="Palatino Linotype" w:hAnsi="Palatino Linotype" w:cs="Palatino Linotype"/>
        </w:rPr>
        <w:t xml:space="preserve">En esa tesitura, atendiendo a que </w:t>
      </w:r>
      <w:r w:rsidRPr="008E7D1F">
        <w:rPr>
          <w:rFonts w:ascii="Palatino Linotype" w:eastAsia="Palatino Linotype" w:hAnsi="Palatino Linotype" w:cs="Palatino Linotype"/>
          <w:b/>
        </w:rPr>
        <w:t>EL SUJETO OBLIGADO</w:t>
      </w:r>
      <w:r w:rsidRPr="008E7D1F">
        <w:rPr>
          <w:rFonts w:ascii="Palatino Linotype" w:eastAsia="Palatino Linotype" w:hAnsi="Palatino Linotype" w:cs="Palatino Linotype"/>
        </w:rPr>
        <w:t xml:space="preserve"> notificó la respuesta de a la solicitud de Acceso a la Información Pública el día</w:t>
      </w:r>
      <w:r w:rsidRPr="008E7D1F">
        <w:rPr>
          <w:rFonts w:ascii="Palatino Linotype" w:eastAsia="Palatino Linotype" w:hAnsi="Palatino Linotype" w:cs="Palatino Linotype"/>
          <w:b/>
        </w:rPr>
        <w:t xml:space="preserve"> veintiséis de mayo de dos mil </w:t>
      </w:r>
      <w:r w:rsidRPr="008E7D1F">
        <w:rPr>
          <w:rFonts w:ascii="Palatino Linotype" w:eastAsia="Palatino Linotype" w:hAnsi="Palatino Linotype" w:cs="Palatino Linotype"/>
          <w:b/>
        </w:rPr>
        <w:lastRenderedPageBreak/>
        <w:t>veintitrés</w:t>
      </w:r>
      <w:r w:rsidRPr="008E7D1F">
        <w:rPr>
          <w:rFonts w:ascii="Palatino Linotype" w:eastAsia="Palatino Linotype" w:hAnsi="Palatino Linotype" w:cs="Palatino Linotype"/>
        </w:rPr>
        <w:t xml:space="preserve">; así, el plazo de quince días hábiles que el artículo 178 de la Ley de la materia otorga a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para presentar el Recurso de Revisión, transcurrió del </w:t>
      </w:r>
      <w:r w:rsidRPr="008E7D1F">
        <w:rPr>
          <w:rFonts w:ascii="Palatino Linotype" w:eastAsia="Palatino Linotype" w:hAnsi="Palatino Linotype" w:cs="Palatino Linotype"/>
          <w:b/>
        </w:rPr>
        <w:t>veintinueve de mayo al dieciséis de junio de dos mil veintitrés</w:t>
      </w:r>
      <w:r w:rsidRPr="008E7D1F">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7885365C" w14:textId="77777777" w:rsidR="00B43F6F" w:rsidRPr="008E7D1F" w:rsidRDefault="00B43F6F" w:rsidP="008E7D1F">
      <w:pPr>
        <w:spacing w:line="360" w:lineRule="auto"/>
        <w:jc w:val="both"/>
        <w:rPr>
          <w:rFonts w:ascii="Palatino Linotype" w:eastAsia="Palatino Linotype" w:hAnsi="Palatino Linotype" w:cs="Palatino Linotype"/>
        </w:rPr>
      </w:pPr>
    </w:p>
    <w:p w14:paraId="29835366"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En ese tenor, si el Recurso de Revisión que nos ocupa, se presentó el </w:t>
      </w:r>
      <w:r w:rsidRPr="008E7D1F">
        <w:rPr>
          <w:rFonts w:ascii="Palatino Linotype" w:eastAsia="Palatino Linotype" w:hAnsi="Palatino Linotype" w:cs="Palatino Linotype"/>
          <w:b/>
        </w:rPr>
        <w:t xml:space="preserve">treinta de mayo de dos mil veintitrés </w:t>
      </w:r>
      <w:r w:rsidRPr="008E7D1F">
        <w:rPr>
          <w:rFonts w:ascii="Palatino Linotype" w:eastAsia="Palatino Linotype" w:hAnsi="Palatino Linotype" w:cs="Palatino Linotype"/>
        </w:rPr>
        <w:t>este se encuentra dentro de los márgenes temporales previstos en el citado precepto legal y, por tanto, se considera oportuno.</w:t>
      </w:r>
    </w:p>
    <w:p w14:paraId="2E2330B8" w14:textId="77777777" w:rsidR="00B43F6F" w:rsidRPr="008E7D1F" w:rsidRDefault="00B43F6F" w:rsidP="008E7D1F">
      <w:pPr>
        <w:spacing w:line="360" w:lineRule="auto"/>
        <w:ind w:right="49"/>
        <w:jc w:val="both"/>
        <w:rPr>
          <w:rFonts w:ascii="Palatino Linotype" w:eastAsia="Palatino Linotype" w:hAnsi="Palatino Linotype" w:cs="Palatino Linotype"/>
          <w:b/>
        </w:rPr>
      </w:pPr>
    </w:p>
    <w:p w14:paraId="1710D352" w14:textId="77777777" w:rsidR="00B43F6F" w:rsidRPr="008E7D1F" w:rsidRDefault="00061995" w:rsidP="008E7D1F">
      <w:pPr>
        <w:spacing w:line="360" w:lineRule="auto"/>
        <w:ind w:right="49"/>
        <w:jc w:val="both"/>
        <w:rPr>
          <w:rFonts w:ascii="Palatino Linotype" w:eastAsia="Palatino Linotype" w:hAnsi="Palatino Linotype" w:cs="Palatino Linotype"/>
          <w:b/>
        </w:rPr>
      </w:pPr>
      <w:r w:rsidRPr="008E7D1F">
        <w:rPr>
          <w:rFonts w:ascii="Palatino Linotype" w:eastAsia="Palatino Linotype" w:hAnsi="Palatino Linotype" w:cs="Palatino Linotype"/>
          <w:b/>
          <w:sz w:val="28"/>
          <w:szCs w:val="28"/>
        </w:rPr>
        <w:t>CUARTO.</w:t>
      </w:r>
      <w:r w:rsidRPr="008E7D1F">
        <w:rPr>
          <w:rFonts w:ascii="Palatino Linotype" w:eastAsia="Palatino Linotype" w:hAnsi="Palatino Linotype" w:cs="Palatino Linotype"/>
          <w:b/>
        </w:rPr>
        <w:t xml:space="preserve"> </w:t>
      </w:r>
      <w:proofErr w:type="spellStart"/>
      <w:r w:rsidRPr="008E7D1F">
        <w:rPr>
          <w:rFonts w:ascii="Palatino Linotype" w:eastAsia="Palatino Linotype" w:hAnsi="Palatino Linotype" w:cs="Palatino Linotype"/>
          <w:b/>
        </w:rPr>
        <w:t>Procedibilidad</w:t>
      </w:r>
      <w:proofErr w:type="spellEnd"/>
      <w:r w:rsidRPr="008E7D1F">
        <w:rPr>
          <w:rFonts w:ascii="Palatino Linotype" w:eastAsia="Palatino Linotype" w:hAnsi="Palatino Linotype" w:cs="Palatino Linotype"/>
          <w:b/>
        </w:rPr>
        <w:t xml:space="preserve">. </w:t>
      </w:r>
    </w:p>
    <w:p w14:paraId="7B87A769" w14:textId="77777777" w:rsidR="00B43F6F" w:rsidRPr="008E7D1F" w:rsidRDefault="00061995" w:rsidP="008E7D1F">
      <w:pPr>
        <w:spacing w:line="360" w:lineRule="auto"/>
        <w:ind w:right="49"/>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1E2E50F2" w14:textId="77777777" w:rsidR="00B43F6F" w:rsidRPr="008E7D1F" w:rsidRDefault="00B43F6F" w:rsidP="008E7D1F">
      <w:pPr>
        <w:ind w:right="49"/>
        <w:jc w:val="both"/>
        <w:rPr>
          <w:rFonts w:ascii="Palatino Linotype" w:eastAsia="Palatino Linotype" w:hAnsi="Palatino Linotype" w:cs="Palatino Linotype"/>
        </w:rPr>
      </w:pPr>
    </w:p>
    <w:p w14:paraId="71E419AB"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“Artículo 180. </w:t>
      </w:r>
      <w:r w:rsidRPr="008E7D1F">
        <w:rPr>
          <w:rFonts w:ascii="Palatino Linotype" w:eastAsia="Palatino Linotype" w:hAnsi="Palatino Linotype" w:cs="Palatino Linotype"/>
          <w:i/>
          <w:sz w:val="22"/>
          <w:szCs w:val="22"/>
        </w:rPr>
        <w:t>El recurso de revisión contendrá:</w:t>
      </w:r>
      <w:r w:rsidRPr="008E7D1F">
        <w:rPr>
          <w:rFonts w:ascii="Palatino Linotype" w:eastAsia="Palatino Linotype" w:hAnsi="Palatino Linotype" w:cs="Palatino Linotype"/>
          <w:b/>
          <w:i/>
          <w:sz w:val="22"/>
          <w:szCs w:val="22"/>
        </w:rPr>
        <w:t xml:space="preserve"> </w:t>
      </w:r>
    </w:p>
    <w:p w14:paraId="56B9B972"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I. </w:t>
      </w:r>
      <w:r w:rsidRPr="008E7D1F">
        <w:rPr>
          <w:rFonts w:ascii="Palatino Linotype" w:eastAsia="Palatino Linotype" w:hAnsi="Palatino Linotype" w:cs="Palatino Linotype"/>
          <w:i/>
          <w:sz w:val="22"/>
          <w:szCs w:val="22"/>
        </w:rPr>
        <w:t>El sujeto obligado ante la cual se presentó la solicitud;</w:t>
      </w:r>
      <w:r w:rsidRPr="008E7D1F">
        <w:rPr>
          <w:rFonts w:ascii="Palatino Linotype" w:eastAsia="Palatino Linotype" w:hAnsi="Palatino Linotype" w:cs="Palatino Linotype"/>
          <w:b/>
          <w:i/>
          <w:sz w:val="22"/>
          <w:szCs w:val="22"/>
        </w:rPr>
        <w:t xml:space="preserve"> </w:t>
      </w:r>
    </w:p>
    <w:p w14:paraId="2E0C1BDD"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II. </w:t>
      </w:r>
      <w:r w:rsidRPr="008E7D1F">
        <w:rPr>
          <w:rFonts w:ascii="Palatino Linotype" w:eastAsia="Palatino Linotype" w:hAnsi="Palatino Linotype" w:cs="Palatino Linotype"/>
          <w:b/>
          <w:i/>
          <w:sz w:val="22"/>
          <w:szCs w:val="22"/>
          <w:u w:val="single"/>
        </w:rPr>
        <w:t>El nombre del solicitante que recurre</w:t>
      </w:r>
      <w:r w:rsidRPr="008E7D1F">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8E7D1F">
        <w:rPr>
          <w:rFonts w:ascii="Palatino Linotype" w:eastAsia="Palatino Linotype" w:hAnsi="Palatino Linotype" w:cs="Palatino Linotype"/>
          <w:b/>
          <w:i/>
          <w:sz w:val="22"/>
          <w:szCs w:val="22"/>
        </w:rPr>
        <w:t xml:space="preserve"> </w:t>
      </w:r>
    </w:p>
    <w:p w14:paraId="2195B1C6"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III. </w:t>
      </w:r>
      <w:r w:rsidRPr="008E7D1F">
        <w:rPr>
          <w:rFonts w:ascii="Palatino Linotype" w:eastAsia="Palatino Linotype" w:hAnsi="Palatino Linotype" w:cs="Palatino Linotype"/>
          <w:i/>
          <w:sz w:val="22"/>
          <w:szCs w:val="22"/>
        </w:rPr>
        <w:t xml:space="preserve">El número de folio de respuesta de la solicitud de acceso; </w:t>
      </w:r>
    </w:p>
    <w:p w14:paraId="06D1AD29"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IV. </w:t>
      </w:r>
      <w:r w:rsidRPr="008E7D1F">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8E7D1F">
        <w:rPr>
          <w:rFonts w:ascii="Palatino Linotype" w:eastAsia="Palatino Linotype" w:hAnsi="Palatino Linotype" w:cs="Palatino Linotype"/>
          <w:b/>
          <w:i/>
          <w:sz w:val="22"/>
          <w:szCs w:val="22"/>
        </w:rPr>
        <w:t xml:space="preserve"> </w:t>
      </w:r>
    </w:p>
    <w:p w14:paraId="34ECA229"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V. </w:t>
      </w:r>
      <w:r w:rsidRPr="008E7D1F">
        <w:rPr>
          <w:rFonts w:ascii="Palatino Linotype" w:eastAsia="Palatino Linotype" w:hAnsi="Palatino Linotype" w:cs="Palatino Linotype"/>
          <w:i/>
          <w:sz w:val="22"/>
          <w:szCs w:val="22"/>
        </w:rPr>
        <w:t>El acto que se recurre;</w:t>
      </w:r>
      <w:r w:rsidRPr="008E7D1F">
        <w:rPr>
          <w:rFonts w:ascii="Palatino Linotype" w:eastAsia="Palatino Linotype" w:hAnsi="Palatino Linotype" w:cs="Palatino Linotype"/>
          <w:b/>
          <w:i/>
          <w:sz w:val="22"/>
          <w:szCs w:val="22"/>
        </w:rPr>
        <w:t xml:space="preserve"> </w:t>
      </w:r>
    </w:p>
    <w:p w14:paraId="7515D56F"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 xml:space="preserve">VI. </w:t>
      </w:r>
      <w:r w:rsidRPr="008E7D1F">
        <w:rPr>
          <w:rFonts w:ascii="Palatino Linotype" w:eastAsia="Palatino Linotype" w:hAnsi="Palatino Linotype" w:cs="Palatino Linotype"/>
          <w:i/>
          <w:sz w:val="22"/>
          <w:szCs w:val="22"/>
        </w:rPr>
        <w:t>Las razones o motivos de inconformidad;</w:t>
      </w:r>
      <w:r w:rsidRPr="008E7D1F">
        <w:rPr>
          <w:rFonts w:ascii="Palatino Linotype" w:eastAsia="Palatino Linotype" w:hAnsi="Palatino Linotype" w:cs="Palatino Linotype"/>
          <w:b/>
          <w:i/>
          <w:sz w:val="22"/>
          <w:szCs w:val="22"/>
        </w:rPr>
        <w:t xml:space="preserve"> </w:t>
      </w:r>
    </w:p>
    <w:p w14:paraId="61A9FBA8"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lastRenderedPageBreak/>
        <w:t xml:space="preserve">VII. </w:t>
      </w:r>
      <w:r w:rsidRPr="008E7D1F">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8E7D1F">
        <w:rPr>
          <w:rFonts w:ascii="Palatino Linotype" w:eastAsia="Palatino Linotype" w:hAnsi="Palatino Linotype" w:cs="Palatino Linotype"/>
          <w:b/>
          <w:i/>
          <w:sz w:val="22"/>
          <w:szCs w:val="22"/>
        </w:rPr>
        <w:t xml:space="preserve"> </w:t>
      </w:r>
    </w:p>
    <w:p w14:paraId="51285171" w14:textId="77777777" w:rsidR="00B43F6F" w:rsidRPr="008E7D1F" w:rsidRDefault="00061995" w:rsidP="008E7D1F">
      <w:pPr>
        <w:tabs>
          <w:tab w:val="left" w:pos="851"/>
        </w:tabs>
        <w:ind w:left="851" w:right="90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b/>
          <w:i/>
          <w:sz w:val="22"/>
          <w:szCs w:val="22"/>
        </w:rPr>
        <w:t xml:space="preserve">VIII. </w:t>
      </w:r>
      <w:r w:rsidRPr="008E7D1F">
        <w:rPr>
          <w:rFonts w:ascii="Palatino Linotype" w:eastAsia="Palatino Linotype" w:hAnsi="Palatino Linotype" w:cs="Palatino Linotype"/>
          <w:i/>
          <w:sz w:val="22"/>
          <w:szCs w:val="22"/>
        </w:rPr>
        <w:t>Firma de EL RECURRENTE, en su caso, cuando se presente por escrito, requisito sin el cual se dará trámite al recurso.</w:t>
      </w:r>
    </w:p>
    <w:p w14:paraId="12C94E18" w14:textId="77777777" w:rsidR="00B43F6F" w:rsidRPr="008E7D1F" w:rsidRDefault="00061995" w:rsidP="008E7D1F">
      <w:pPr>
        <w:tabs>
          <w:tab w:val="left" w:pos="851"/>
        </w:tabs>
        <w:ind w:left="851" w:right="90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4FC5B3BA" w14:textId="77777777" w:rsidR="00B43F6F" w:rsidRPr="008E7D1F" w:rsidRDefault="00061995" w:rsidP="008E7D1F">
      <w:pPr>
        <w:tabs>
          <w:tab w:val="left" w:pos="851"/>
        </w:tabs>
        <w:ind w:left="851" w:right="90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 xml:space="preserve">En ningún caso será necesario que el particular ratifique el recurso de revisión interpuesto. </w:t>
      </w:r>
    </w:p>
    <w:p w14:paraId="6E8CCB92" w14:textId="77777777" w:rsidR="00B43F6F" w:rsidRPr="008E7D1F" w:rsidRDefault="00061995" w:rsidP="008E7D1F">
      <w:pPr>
        <w:tabs>
          <w:tab w:val="left" w:pos="851"/>
        </w:tabs>
        <w:ind w:left="851" w:right="90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8E7D1F">
        <w:rPr>
          <w:rFonts w:ascii="Palatino Linotype" w:eastAsia="Palatino Linotype" w:hAnsi="Palatino Linotype" w:cs="Palatino Linotype"/>
          <w:i/>
          <w:sz w:val="22"/>
          <w:szCs w:val="22"/>
        </w:rPr>
        <w:t>, IV, VII y VIII.”</w:t>
      </w:r>
    </w:p>
    <w:p w14:paraId="2A6A9A8C" w14:textId="77777777" w:rsidR="00B43F6F" w:rsidRPr="008E7D1F" w:rsidRDefault="00061995" w:rsidP="008E7D1F">
      <w:pPr>
        <w:tabs>
          <w:tab w:val="left" w:pos="851"/>
        </w:tabs>
        <w:ind w:left="851" w:right="90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(Énfasis añadido)</w:t>
      </w:r>
    </w:p>
    <w:p w14:paraId="56B7C619" w14:textId="77777777" w:rsidR="00B43F6F" w:rsidRPr="008E7D1F" w:rsidRDefault="00B43F6F" w:rsidP="008E7D1F">
      <w:pPr>
        <w:tabs>
          <w:tab w:val="left" w:pos="851"/>
        </w:tabs>
        <w:ind w:left="851" w:right="901"/>
        <w:jc w:val="both"/>
        <w:rPr>
          <w:rFonts w:ascii="Palatino Linotype" w:eastAsia="Palatino Linotype" w:hAnsi="Palatino Linotype" w:cs="Palatino Linotype"/>
          <w:b/>
          <w:i/>
          <w:sz w:val="22"/>
          <w:szCs w:val="22"/>
        </w:rPr>
      </w:pPr>
    </w:p>
    <w:p w14:paraId="633793BB"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Por lo que, derivado que el Recurso de Revisión materia del presente asunto, se interpuso de manera electrónica, no es necesario que contenga determinados requisitos, entre ellos, el nombre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por lo que, en el presente caso, al haber sido presentado el Recurso de Revisión vía </w:t>
      </w:r>
      <w:r w:rsidRPr="008E7D1F">
        <w:rPr>
          <w:rFonts w:ascii="Palatino Linotype" w:eastAsia="Palatino Linotype" w:hAnsi="Palatino Linotype" w:cs="Palatino Linotype"/>
          <w:b/>
        </w:rPr>
        <w:t>SAIMEX</w:t>
      </w:r>
      <w:r w:rsidRPr="008E7D1F">
        <w:rPr>
          <w:rFonts w:ascii="Palatino Linotype" w:eastAsia="Palatino Linotype" w:hAnsi="Palatino Linotype" w:cs="Palatino Linotype"/>
        </w:rPr>
        <w:t>, dicho requisito resulta innecesario.</w:t>
      </w:r>
    </w:p>
    <w:p w14:paraId="662B674A" w14:textId="77777777" w:rsidR="00B43F6F" w:rsidRPr="008E7D1F" w:rsidRDefault="00B43F6F" w:rsidP="008E7D1F">
      <w:pPr>
        <w:spacing w:line="360" w:lineRule="auto"/>
        <w:jc w:val="both"/>
        <w:rPr>
          <w:rFonts w:ascii="Palatino Linotype" w:eastAsia="Palatino Linotype" w:hAnsi="Palatino Linotype" w:cs="Palatino Linotype"/>
        </w:rPr>
      </w:pPr>
    </w:p>
    <w:p w14:paraId="2A26737A"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028D0E3" w14:textId="77777777" w:rsidR="00B43F6F" w:rsidRPr="008E7D1F" w:rsidRDefault="00B43F6F" w:rsidP="008E7D1F">
      <w:pPr>
        <w:spacing w:line="360" w:lineRule="auto"/>
        <w:jc w:val="both"/>
        <w:rPr>
          <w:rFonts w:ascii="Palatino Linotype" w:eastAsia="Palatino Linotype" w:hAnsi="Palatino Linotype" w:cs="Palatino Linotype"/>
          <w:sz w:val="22"/>
          <w:szCs w:val="22"/>
        </w:rPr>
      </w:pPr>
    </w:p>
    <w:p w14:paraId="58E24577"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Asimismo, se estima que el requisito relativo al nombre de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no constituye un supuesto indispensable de </w:t>
      </w:r>
      <w:proofErr w:type="spellStart"/>
      <w:r w:rsidRPr="008E7D1F">
        <w:rPr>
          <w:rFonts w:ascii="Palatino Linotype" w:eastAsia="Palatino Linotype" w:hAnsi="Palatino Linotype" w:cs="Palatino Linotype"/>
        </w:rPr>
        <w:t>procedibilidad</w:t>
      </w:r>
      <w:proofErr w:type="spellEnd"/>
      <w:r w:rsidRPr="008E7D1F">
        <w:rPr>
          <w:rFonts w:ascii="Palatino Linotype" w:eastAsia="Palatino Linotype" w:hAnsi="Palatino Linotype" w:cs="Palatino Linotype"/>
        </w:rPr>
        <w:t xml:space="preserve"> de los Recursos de Revisión, </w:t>
      </w:r>
      <w:r w:rsidRPr="008E7D1F">
        <w:rPr>
          <w:rFonts w:ascii="Palatino Linotype" w:eastAsia="Palatino Linotype" w:hAnsi="Palatino Linotype" w:cs="Palatino Linotype"/>
        </w:rPr>
        <w:lastRenderedPageBreak/>
        <w:t xml:space="preserve">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8E7D1F">
        <w:rPr>
          <w:rFonts w:ascii="Palatino Linotype" w:eastAsia="Palatino Linotype" w:hAnsi="Palatino Linotype" w:cs="Palatino Linotype"/>
          <w:b/>
        </w:rPr>
        <w:t>EL RECURRENTE</w:t>
      </w:r>
      <w:r w:rsidRPr="008E7D1F">
        <w:rPr>
          <w:rFonts w:ascii="Palatino Linotype" w:eastAsia="Palatino Linotype" w:hAnsi="Palatino Linotype" w:cs="Palatino Linotype"/>
        </w:rPr>
        <w:t xml:space="preserve"> es la misma persona que realizó la solicitud de Acceso a la Información Pública que ahora se impugna.</w:t>
      </w:r>
    </w:p>
    <w:p w14:paraId="7B8FDE7D" w14:textId="77777777" w:rsidR="00B43F6F" w:rsidRPr="008E7D1F" w:rsidRDefault="00B43F6F" w:rsidP="008E7D1F">
      <w:pPr>
        <w:tabs>
          <w:tab w:val="left" w:pos="851"/>
        </w:tabs>
        <w:spacing w:line="360" w:lineRule="auto"/>
        <w:ind w:left="851" w:right="901"/>
        <w:jc w:val="both"/>
        <w:rPr>
          <w:rFonts w:ascii="Palatino Linotype" w:eastAsia="Palatino Linotype" w:hAnsi="Palatino Linotype" w:cs="Palatino Linotype"/>
          <w:sz w:val="22"/>
          <w:szCs w:val="22"/>
        </w:rPr>
      </w:pPr>
    </w:p>
    <w:p w14:paraId="59574FB4"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Es así que, para el estudio de la materia sobre la que se resuelve el presente Recurso de Revisión, resulta intrascendente conocer el </w:t>
      </w:r>
      <w:r w:rsidRPr="008E7D1F">
        <w:rPr>
          <w:rFonts w:ascii="Palatino Linotype" w:eastAsia="Palatino Linotype" w:hAnsi="Palatino Linotype" w:cs="Palatino Linotype"/>
          <w:b/>
        </w:rPr>
        <w:t>nombre completo</w:t>
      </w:r>
      <w:r w:rsidRPr="008E7D1F">
        <w:rPr>
          <w:rFonts w:ascii="Palatino Linotype" w:eastAsia="Palatino Linotype" w:hAnsi="Palatino Linotype" w:cs="Palatino Linotype"/>
        </w:rPr>
        <w:t xml:space="preserv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599949F" w14:textId="77777777" w:rsidR="00B43F6F" w:rsidRPr="008E7D1F" w:rsidRDefault="00B43F6F" w:rsidP="008E7D1F">
      <w:pPr>
        <w:spacing w:line="360" w:lineRule="auto"/>
        <w:jc w:val="both"/>
        <w:rPr>
          <w:rFonts w:ascii="Palatino Linotype" w:eastAsia="Palatino Linotype" w:hAnsi="Palatino Linotype" w:cs="Palatino Linotype"/>
        </w:rPr>
      </w:pPr>
    </w:p>
    <w:p w14:paraId="6FE73E46"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Conocida la respuesta por la parte</w:t>
      </w:r>
      <w:r w:rsidRPr="008E7D1F">
        <w:rPr>
          <w:rFonts w:ascii="Palatino Linotype" w:eastAsia="Palatino Linotype" w:hAnsi="Palatino Linotype" w:cs="Palatino Linotype"/>
          <w:b/>
        </w:rPr>
        <w:t xml:space="preserve"> RECURRENTE</w:t>
      </w:r>
      <w:r w:rsidRPr="008E7D1F">
        <w:rPr>
          <w:rFonts w:ascii="Palatino Linotype" w:eastAsia="Palatino Linotype" w:hAnsi="Palatino Linotype" w:cs="Palatino Linotype"/>
        </w:rPr>
        <w:t xml:space="preserve">, al no estar conforme con los términos de la misma, interpuso el recurso de revisión que nos ocupa, donde señaló como razones o motivos de inconformidad la negativa de entrega de información, la cual encuadra en la fracción I del artículo 179 de la Ley de Transparencia y Acceso a la </w:t>
      </w:r>
      <w:r w:rsidRPr="008E7D1F">
        <w:rPr>
          <w:rFonts w:ascii="Palatino Linotype" w:eastAsia="Palatino Linotype" w:hAnsi="Palatino Linotype" w:cs="Palatino Linotype"/>
        </w:rPr>
        <w:lastRenderedPageBreak/>
        <w:t>Información Pública del Estado de México y Municipios, como se advierte a continuación:</w:t>
      </w:r>
    </w:p>
    <w:p w14:paraId="154CEB35" w14:textId="77777777" w:rsidR="00B43F6F" w:rsidRPr="008E7D1F" w:rsidRDefault="00B43F6F" w:rsidP="008E7D1F">
      <w:pPr>
        <w:ind w:right="49"/>
        <w:jc w:val="both"/>
        <w:rPr>
          <w:rFonts w:ascii="Palatino Linotype" w:eastAsia="Palatino Linotype" w:hAnsi="Palatino Linotype" w:cs="Palatino Linotype"/>
        </w:rPr>
      </w:pPr>
    </w:p>
    <w:p w14:paraId="42E819C2" w14:textId="77777777" w:rsidR="00B43F6F" w:rsidRPr="008E7D1F" w:rsidRDefault="00061995" w:rsidP="008E7D1F">
      <w:pPr>
        <w:ind w:left="851" w:right="899"/>
        <w:jc w:val="both"/>
        <w:rPr>
          <w:rFonts w:ascii="Palatino Linotype" w:eastAsia="Palatino Linotype" w:hAnsi="Palatino Linotype" w:cs="Palatino Linotype"/>
          <w:i/>
        </w:rPr>
      </w:pPr>
      <w:r w:rsidRPr="008E7D1F">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8E7D1F">
        <w:rPr>
          <w:rFonts w:ascii="Palatino Linotype" w:eastAsia="Palatino Linotype" w:hAnsi="Palatino Linotype" w:cs="Palatino Linotype"/>
          <w:i/>
        </w:rPr>
        <w:br/>
        <w:t>(…)</w:t>
      </w:r>
    </w:p>
    <w:p w14:paraId="5D310895" w14:textId="77777777" w:rsidR="00B43F6F" w:rsidRPr="008E7D1F" w:rsidRDefault="00B43F6F" w:rsidP="008E7D1F">
      <w:pPr>
        <w:ind w:left="851" w:right="899"/>
        <w:jc w:val="both"/>
        <w:rPr>
          <w:rFonts w:ascii="Palatino Linotype" w:eastAsia="Palatino Linotype" w:hAnsi="Palatino Linotype" w:cs="Palatino Linotype"/>
          <w:i/>
        </w:rPr>
      </w:pPr>
    </w:p>
    <w:p w14:paraId="3D23258E" w14:textId="77777777" w:rsidR="00B43F6F" w:rsidRPr="008E7D1F" w:rsidRDefault="00061995" w:rsidP="008E7D1F">
      <w:pPr>
        <w:ind w:left="851" w:right="899"/>
        <w:jc w:val="both"/>
        <w:rPr>
          <w:rFonts w:ascii="Palatino Linotype" w:eastAsia="Palatino Linotype" w:hAnsi="Palatino Linotype" w:cs="Palatino Linotype"/>
          <w:i/>
        </w:rPr>
      </w:pPr>
      <w:r w:rsidRPr="008E7D1F">
        <w:rPr>
          <w:rFonts w:ascii="Palatino Linotype" w:eastAsia="Palatino Linotype" w:hAnsi="Palatino Linotype" w:cs="Palatino Linotype"/>
          <w:i/>
        </w:rPr>
        <w:t>I. La negativa a la información solicitada;</w:t>
      </w:r>
    </w:p>
    <w:p w14:paraId="086481DF" w14:textId="77777777" w:rsidR="00B43F6F" w:rsidRPr="008E7D1F" w:rsidRDefault="00B43F6F" w:rsidP="008E7D1F">
      <w:pPr>
        <w:jc w:val="both"/>
        <w:rPr>
          <w:rFonts w:ascii="Palatino Linotype" w:eastAsia="Palatino Linotype" w:hAnsi="Palatino Linotype" w:cs="Palatino Linotype"/>
          <w:b/>
          <w:sz w:val="22"/>
          <w:szCs w:val="22"/>
        </w:rPr>
      </w:pPr>
    </w:p>
    <w:p w14:paraId="12D6EDDB" w14:textId="77777777" w:rsidR="00B43F6F" w:rsidRPr="008E7D1F" w:rsidRDefault="00B43F6F" w:rsidP="008E7D1F">
      <w:pPr>
        <w:spacing w:line="360" w:lineRule="auto"/>
        <w:jc w:val="both"/>
        <w:rPr>
          <w:rFonts w:ascii="Palatino Linotype" w:eastAsia="Palatino Linotype" w:hAnsi="Palatino Linotype" w:cs="Palatino Linotype"/>
          <w:b/>
          <w:sz w:val="28"/>
          <w:szCs w:val="28"/>
        </w:rPr>
      </w:pPr>
    </w:p>
    <w:p w14:paraId="5A6F939E" w14:textId="77777777" w:rsidR="00B43F6F" w:rsidRPr="008E7D1F" w:rsidRDefault="00061995" w:rsidP="008E7D1F">
      <w:pP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sz w:val="28"/>
          <w:szCs w:val="28"/>
        </w:rPr>
        <w:t>QUINTO</w:t>
      </w:r>
      <w:r w:rsidRPr="008E7D1F">
        <w:rPr>
          <w:rFonts w:ascii="Palatino Linotype" w:eastAsia="Palatino Linotype" w:hAnsi="Palatino Linotype" w:cs="Palatino Linotype"/>
          <w:b/>
        </w:rPr>
        <w:t>. Estudio y resolución del asunto.</w:t>
      </w:r>
    </w:p>
    <w:p w14:paraId="057F02EC"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749FC823" w14:textId="77777777" w:rsidR="00B43F6F" w:rsidRPr="008E7D1F" w:rsidRDefault="00B43F6F" w:rsidP="008E7D1F">
      <w:pPr>
        <w:spacing w:line="360" w:lineRule="auto"/>
        <w:jc w:val="both"/>
        <w:rPr>
          <w:rFonts w:ascii="Palatino Linotype" w:eastAsia="Palatino Linotype" w:hAnsi="Palatino Linotype" w:cs="Palatino Linotype"/>
        </w:rPr>
      </w:pPr>
    </w:p>
    <w:p w14:paraId="30CDCD98" w14:textId="77777777" w:rsidR="00B43F6F" w:rsidRPr="008E7D1F" w:rsidRDefault="00061995" w:rsidP="008E7D1F">
      <w:pPr>
        <w:spacing w:line="360" w:lineRule="auto"/>
        <w:ind w:right="49"/>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Por consiguiente, procederemos al análisis del </w:t>
      </w:r>
      <w:r w:rsidRPr="008E7D1F">
        <w:rPr>
          <w:rFonts w:ascii="Palatino Linotype" w:eastAsia="Palatino Linotype" w:hAnsi="Palatino Linotype" w:cs="Palatino Linotype"/>
          <w:b/>
        </w:rPr>
        <w:t xml:space="preserve">caso en concreto, </w:t>
      </w:r>
      <w:r w:rsidRPr="008E7D1F">
        <w:rPr>
          <w:rFonts w:ascii="Palatino Linotype" w:eastAsia="Palatino Linotype" w:hAnsi="Palatino Linotype" w:cs="Palatino Linotype"/>
        </w:rPr>
        <w:t xml:space="preserve">por lo tanto, es indispensable señalar lo que requirió el ciudadano en la solicitud de acceso a la información, lo cual fue: </w:t>
      </w:r>
    </w:p>
    <w:p w14:paraId="625502D4" w14:textId="77777777" w:rsidR="00B43F6F" w:rsidRPr="008E7D1F" w:rsidRDefault="00B43F6F" w:rsidP="008E7D1F">
      <w:pPr>
        <w:spacing w:line="360" w:lineRule="auto"/>
        <w:jc w:val="both"/>
        <w:rPr>
          <w:rFonts w:ascii="Palatino Linotype" w:eastAsia="Palatino Linotype" w:hAnsi="Palatino Linotype" w:cs="Palatino Linotype"/>
        </w:rPr>
      </w:pPr>
    </w:p>
    <w:p w14:paraId="725A6B36" w14:textId="77777777" w:rsidR="00B43F6F" w:rsidRPr="008E7D1F" w:rsidRDefault="00B43F6F" w:rsidP="008E7D1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1CFDB8C" w14:textId="77777777" w:rsidR="00B43F6F" w:rsidRPr="008E7D1F" w:rsidRDefault="00061995" w:rsidP="008E7D1F">
      <w:pPr>
        <w:widowControl w:val="0"/>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Informe si el Ayuntamiento de Cuautitlán cuenta con un contrato o convenio de sueldos y prestaciones o prestaciones socioeconómicas o similar con el</w:t>
      </w:r>
      <w:r w:rsidRPr="008E7D1F">
        <w:rPr>
          <w:rFonts w:ascii="Palatino Linotype" w:eastAsia="Palatino Linotype" w:hAnsi="Palatino Linotype" w:cs="Palatino Linotype"/>
          <w:b/>
          <w:i/>
          <w:sz w:val="22"/>
          <w:szCs w:val="22"/>
        </w:rPr>
        <w:t xml:space="preserve"> </w:t>
      </w:r>
      <w:r w:rsidRPr="008E7D1F">
        <w:rPr>
          <w:rFonts w:ascii="Palatino Linotype" w:eastAsia="Palatino Linotype" w:hAnsi="Palatino Linotype" w:cs="Palatino Linotype"/>
          <w:b/>
        </w:rPr>
        <w:t>Sindicato Único de Trabajadores de los Poderes, Municipios e Instituciones Descentralizadas del Estado de México (S.U.T.E.Y.M.), y en caso de ser afirmativo, se haga entrega de una copia simple.</w:t>
      </w:r>
    </w:p>
    <w:p w14:paraId="6E26571C" w14:textId="77777777" w:rsidR="00B43F6F" w:rsidRPr="008E7D1F" w:rsidRDefault="00B43F6F" w:rsidP="008E7D1F">
      <w:pPr>
        <w:widowControl w:val="0"/>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4FE8B16D"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Ante esta solicitud, el SUJETO OBLIGADO respondió proporcionando la siguiente liga de consulta </w:t>
      </w:r>
      <w:hyperlink r:id="rId8">
        <w:r w:rsidRPr="008E7D1F">
          <w:rPr>
            <w:rFonts w:ascii="Palatino Linotype" w:eastAsia="Palatino Linotype" w:hAnsi="Palatino Linotype" w:cs="Palatino Linotype"/>
            <w:b/>
          </w:rPr>
          <w:t>http://www.suteym.org.mx/transparencia</w:t>
        </w:r>
      </w:hyperlink>
      <w:r w:rsidRPr="008E7D1F">
        <w:rPr>
          <w:rFonts w:ascii="Palatino Linotype" w:eastAsia="Palatino Linotype" w:hAnsi="Palatino Linotype" w:cs="Palatino Linotype"/>
        </w:rPr>
        <w:t>, la cual al ser consultada remita a la página del S.U.T.E.Y.M como se advierte de la siguiente imagen:</w:t>
      </w:r>
    </w:p>
    <w:p w14:paraId="2CEB7DF0" w14:textId="77777777" w:rsidR="00B43F6F" w:rsidRPr="008E7D1F" w:rsidRDefault="00B43F6F" w:rsidP="008E7D1F">
      <w:pPr>
        <w:spacing w:line="360" w:lineRule="auto"/>
        <w:jc w:val="both"/>
        <w:rPr>
          <w:rFonts w:ascii="Palatino Linotype" w:eastAsia="Palatino Linotype" w:hAnsi="Palatino Linotype" w:cs="Palatino Linotype"/>
        </w:rPr>
      </w:pPr>
    </w:p>
    <w:p w14:paraId="614B23C5" w14:textId="77777777" w:rsidR="00B43F6F" w:rsidRPr="008E7D1F" w:rsidRDefault="00061995" w:rsidP="008E7D1F">
      <w:pPr>
        <w:spacing w:line="360" w:lineRule="auto"/>
        <w:jc w:val="center"/>
        <w:rPr>
          <w:rFonts w:ascii="Palatino Linotype" w:eastAsia="Palatino Linotype" w:hAnsi="Palatino Linotype" w:cs="Palatino Linotype"/>
        </w:rPr>
      </w:pPr>
      <w:r w:rsidRPr="008E7D1F">
        <w:rPr>
          <w:noProof/>
        </w:rPr>
        <w:lastRenderedPageBreak/>
        <w:drawing>
          <wp:inline distT="0" distB="0" distL="0" distR="0" wp14:anchorId="7B0C2583" wp14:editId="1C080336">
            <wp:extent cx="5791835" cy="4487545"/>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91835" cy="4487545"/>
                    </a:xfrm>
                    <a:prstGeom prst="rect">
                      <a:avLst/>
                    </a:prstGeom>
                    <a:ln/>
                  </pic:spPr>
                </pic:pic>
              </a:graphicData>
            </a:graphic>
          </wp:inline>
        </w:drawing>
      </w:r>
    </w:p>
    <w:p w14:paraId="1AA836A1" w14:textId="77777777" w:rsidR="00B43F6F" w:rsidRPr="008E7D1F" w:rsidRDefault="00B43F6F" w:rsidP="008E7D1F">
      <w:pPr>
        <w:spacing w:line="360" w:lineRule="auto"/>
        <w:jc w:val="both"/>
        <w:rPr>
          <w:rFonts w:ascii="Palatino Linotype" w:eastAsia="Palatino Linotype" w:hAnsi="Palatino Linotype" w:cs="Palatino Linotype"/>
        </w:rPr>
      </w:pPr>
    </w:p>
    <w:p w14:paraId="42446DD8" w14:textId="77777777" w:rsidR="00B43F6F" w:rsidRPr="008E7D1F" w:rsidRDefault="00B43F6F" w:rsidP="008E7D1F">
      <w:pPr>
        <w:spacing w:line="360" w:lineRule="auto"/>
        <w:jc w:val="both"/>
        <w:rPr>
          <w:rFonts w:ascii="Palatino Linotype" w:eastAsia="Palatino Linotype" w:hAnsi="Palatino Linotype" w:cs="Palatino Linotype"/>
        </w:rPr>
      </w:pPr>
    </w:p>
    <w:p w14:paraId="5636C984" w14:textId="77777777" w:rsidR="00B43F6F" w:rsidRPr="008E7D1F" w:rsidRDefault="00061995" w:rsidP="008E7D1F">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Y refiere que deberá consultar la información peticionada en dicha página declarándose incompetente para atender la presente solicitud de información, por ello realizó la orientación mencionada; ante ello el RECURRENTE se inconformó de la negativa de información por declararse incompetente.</w:t>
      </w:r>
    </w:p>
    <w:p w14:paraId="5DB796DB" w14:textId="77777777" w:rsidR="00397257" w:rsidRPr="008E7D1F" w:rsidRDefault="00397257" w:rsidP="008E7D1F">
      <w:pPr>
        <w:tabs>
          <w:tab w:val="left" w:pos="709"/>
        </w:tabs>
        <w:spacing w:before="240" w:after="240" w:line="360" w:lineRule="auto"/>
        <w:jc w:val="both"/>
        <w:rPr>
          <w:rFonts w:ascii="Palatino Linotype" w:eastAsia="Palatino Linotype" w:hAnsi="Palatino Linotype" w:cs="Palatino Linotype"/>
        </w:rPr>
      </w:pPr>
    </w:p>
    <w:p w14:paraId="2F41A905" w14:textId="502CB20E" w:rsidR="00EF1A27" w:rsidRPr="008E7D1F" w:rsidRDefault="00EF1A27" w:rsidP="008E7D1F">
      <w:pPr>
        <w:tabs>
          <w:tab w:val="left" w:pos="709"/>
        </w:tabs>
        <w:spacing w:before="240" w:after="240"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lastRenderedPageBreak/>
        <w:t>En este mismo orden de ideas debe mencionarse que el Código Civil del Estado de México establece:</w:t>
      </w:r>
    </w:p>
    <w:p w14:paraId="04FDE5EF" w14:textId="77777777" w:rsidR="00EF1A27" w:rsidRPr="008E7D1F" w:rsidRDefault="00EF1A27" w:rsidP="008E7D1F">
      <w:pPr>
        <w:tabs>
          <w:tab w:val="left" w:pos="709"/>
        </w:tabs>
        <w:ind w:left="851" w:right="85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Concepto de convenio</w:t>
      </w:r>
    </w:p>
    <w:p w14:paraId="1B6AAF62" w14:textId="77777777" w:rsidR="00EF1A27" w:rsidRPr="008E7D1F" w:rsidRDefault="00EF1A27" w:rsidP="008E7D1F">
      <w:pPr>
        <w:tabs>
          <w:tab w:val="left" w:pos="709"/>
        </w:tabs>
        <w:ind w:left="851" w:right="85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b/>
          <w:i/>
          <w:sz w:val="22"/>
          <w:szCs w:val="22"/>
        </w:rPr>
        <w:t>Artículo 7.30.-</w:t>
      </w:r>
      <w:r w:rsidRPr="008E7D1F">
        <w:rPr>
          <w:rFonts w:ascii="Palatino Linotype" w:eastAsia="Palatino Linotype" w:hAnsi="Palatino Linotype" w:cs="Palatino Linotype"/>
          <w:i/>
          <w:sz w:val="22"/>
          <w:szCs w:val="22"/>
        </w:rPr>
        <w:t xml:space="preserve"> Convenio es el </w:t>
      </w:r>
      <w:r w:rsidRPr="008E7D1F">
        <w:rPr>
          <w:rFonts w:ascii="Palatino Linotype" w:eastAsia="Palatino Linotype" w:hAnsi="Palatino Linotype" w:cs="Palatino Linotype"/>
          <w:b/>
          <w:i/>
          <w:sz w:val="22"/>
          <w:szCs w:val="22"/>
          <w:u w:val="single"/>
        </w:rPr>
        <w:t>acuerdo de dos o más personas para crear, transferir, modificar o extinguir obligaciones</w:t>
      </w:r>
      <w:r w:rsidRPr="008E7D1F">
        <w:rPr>
          <w:rFonts w:ascii="Palatino Linotype" w:eastAsia="Palatino Linotype" w:hAnsi="Palatino Linotype" w:cs="Palatino Linotype"/>
          <w:i/>
          <w:sz w:val="22"/>
          <w:szCs w:val="22"/>
        </w:rPr>
        <w:t>.</w:t>
      </w:r>
    </w:p>
    <w:p w14:paraId="66D706DC" w14:textId="77777777" w:rsidR="00EF1A27" w:rsidRPr="008E7D1F" w:rsidRDefault="00EF1A27" w:rsidP="008E7D1F">
      <w:pPr>
        <w:tabs>
          <w:tab w:val="left" w:pos="709"/>
        </w:tabs>
        <w:ind w:left="851" w:right="851"/>
        <w:jc w:val="both"/>
        <w:rPr>
          <w:rFonts w:ascii="Palatino Linotype" w:eastAsia="Palatino Linotype" w:hAnsi="Palatino Linotype" w:cs="Palatino Linotype"/>
          <w:b/>
          <w:i/>
          <w:sz w:val="22"/>
          <w:szCs w:val="22"/>
        </w:rPr>
      </w:pPr>
    </w:p>
    <w:p w14:paraId="622F11F7" w14:textId="77777777" w:rsidR="00EF1A27" w:rsidRPr="008E7D1F" w:rsidRDefault="00EF1A27" w:rsidP="008E7D1F">
      <w:pPr>
        <w:tabs>
          <w:tab w:val="left" w:pos="709"/>
        </w:tabs>
        <w:ind w:left="851" w:right="851"/>
        <w:jc w:val="both"/>
        <w:rPr>
          <w:rFonts w:ascii="Palatino Linotype" w:eastAsia="Palatino Linotype" w:hAnsi="Palatino Linotype" w:cs="Palatino Linotype"/>
          <w:b/>
          <w:i/>
          <w:sz w:val="22"/>
          <w:szCs w:val="22"/>
        </w:rPr>
      </w:pPr>
      <w:r w:rsidRPr="008E7D1F">
        <w:rPr>
          <w:rFonts w:ascii="Palatino Linotype" w:eastAsia="Palatino Linotype" w:hAnsi="Palatino Linotype" w:cs="Palatino Linotype"/>
          <w:b/>
          <w:i/>
          <w:sz w:val="22"/>
          <w:szCs w:val="22"/>
        </w:rPr>
        <w:t>Concepto de contrato</w:t>
      </w:r>
    </w:p>
    <w:p w14:paraId="42D12E16" w14:textId="77777777" w:rsidR="00EF1A27" w:rsidRPr="008E7D1F" w:rsidRDefault="00EF1A27" w:rsidP="008E7D1F">
      <w:pPr>
        <w:tabs>
          <w:tab w:val="left" w:pos="709"/>
        </w:tabs>
        <w:ind w:left="851" w:right="85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b/>
          <w:i/>
          <w:sz w:val="22"/>
          <w:szCs w:val="22"/>
        </w:rPr>
        <w:t>Artículo 7.31.-</w:t>
      </w:r>
      <w:r w:rsidRPr="008E7D1F">
        <w:rPr>
          <w:rFonts w:ascii="Palatino Linotype" w:eastAsia="Palatino Linotype" w:hAnsi="Palatino Linotype" w:cs="Palatino Linotype"/>
          <w:i/>
          <w:sz w:val="22"/>
          <w:szCs w:val="22"/>
        </w:rPr>
        <w:t xml:space="preserve"> Los </w:t>
      </w:r>
      <w:r w:rsidRPr="008E7D1F">
        <w:rPr>
          <w:rFonts w:ascii="Palatino Linotype" w:eastAsia="Palatino Linotype" w:hAnsi="Palatino Linotype" w:cs="Palatino Linotype"/>
          <w:b/>
          <w:i/>
          <w:sz w:val="22"/>
          <w:szCs w:val="22"/>
          <w:u w:val="single"/>
        </w:rPr>
        <w:t>convenios que crean o transfieren obligaciones y derechos</w:t>
      </w:r>
      <w:r w:rsidRPr="008E7D1F">
        <w:rPr>
          <w:rFonts w:ascii="Palatino Linotype" w:eastAsia="Palatino Linotype" w:hAnsi="Palatino Linotype" w:cs="Palatino Linotype"/>
          <w:i/>
          <w:sz w:val="22"/>
          <w:szCs w:val="22"/>
        </w:rPr>
        <w:t>, reciben el nombre de contratos.</w:t>
      </w:r>
    </w:p>
    <w:p w14:paraId="6DE1D768" w14:textId="77777777" w:rsidR="00EF1A27" w:rsidRPr="008E7D1F" w:rsidRDefault="00EF1A27" w:rsidP="008E7D1F">
      <w:pPr>
        <w:tabs>
          <w:tab w:val="left" w:pos="709"/>
        </w:tabs>
        <w:ind w:left="851" w:right="851"/>
        <w:jc w:val="both"/>
        <w:rPr>
          <w:rFonts w:ascii="Palatino Linotype" w:eastAsia="Palatino Linotype" w:hAnsi="Palatino Linotype" w:cs="Palatino Linotype"/>
          <w:i/>
          <w:sz w:val="22"/>
          <w:szCs w:val="22"/>
        </w:rPr>
      </w:pPr>
    </w:p>
    <w:p w14:paraId="0C11B3AF" w14:textId="77777777" w:rsidR="00EF1A27" w:rsidRPr="008E7D1F" w:rsidRDefault="00EF1A27" w:rsidP="008E7D1F">
      <w:pPr>
        <w:tabs>
          <w:tab w:val="left" w:pos="709"/>
        </w:tabs>
        <w:ind w:left="851" w:right="851"/>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Énfasis añadido.</w:t>
      </w:r>
    </w:p>
    <w:p w14:paraId="1E2700A4" w14:textId="77777777" w:rsidR="00EF1A27" w:rsidRPr="008E7D1F" w:rsidRDefault="00EF1A27" w:rsidP="008E7D1F">
      <w:pPr>
        <w:spacing w:before="240" w:after="240"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Por otra parte, la Ley del Trabajo de los Servidores Públicos del Estado y Municipios tiene por objeto regular las relaciones de trabajo, comprendidas entre los poderes públicos del Estado y los Municipios y sus respectivos servidores públicos, debe agregase que el artículo 54 de dicho cuerpo normativo refiere que cada institución pública o, en su caso, dependencia, en razón de la naturaleza de sus funciones, contará con un Reglamento de Condiciones Generales de Trabajo aplicables a los servidores públicos sindicalizados y generales.</w:t>
      </w:r>
    </w:p>
    <w:p w14:paraId="595052AB" w14:textId="77777777" w:rsidR="00EF1A27" w:rsidRPr="008E7D1F" w:rsidRDefault="00EF1A27" w:rsidP="008E7D1F">
      <w:pPr>
        <w:spacing w:before="240" w:after="240"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Las instituciones o dependencias públicas que no cuenten con documento que avale las condiciones generales de trabajo aplicables, deberán estar a lo establecido por esta ley, en caso de que el reglamento sea para sindicalizados se hará de común acuerdo con el sindicato, dichos reglamentos tendrán una duración de tres años y podrán ratificarse o modificarse a su término; los Convenios de sueldos y prestaciones celebrados con el Sindicato se aplicarán solo a los trabajadores miembros y reconocidos por la agrupación Sindical de conformidad con la normatividad aplicable. </w:t>
      </w:r>
    </w:p>
    <w:p w14:paraId="272879E3" w14:textId="57F6DEB8" w:rsidR="00B43F6F" w:rsidRPr="008E7D1F" w:rsidRDefault="00061995" w:rsidP="008E7D1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lastRenderedPageBreak/>
        <w:t xml:space="preserve">Ahora bien, resulta pertinente citar lo atinente a la </w:t>
      </w:r>
      <w:r w:rsidRPr="008E7D1F">
        <w:rPr>
          <w:rFonts w:ascii="Palatino Linotype" w:eastAsia="Palatino Linotype" w:hAnsi="Palatino Linotype" w:cs="Palatino Linotype"/>
          <w:b/>
        </w:rPr>
        <w:t>Ley Orgánica Municipal del Estado de México y sus Municipios</w:t>
      </w:r>
      <w:r w:rsidRPr="008E7D1F">
        <w:rPr>
          <w:rFonts w:ascii="Palatino Linotype" w:eastAsia="Palatino Linotype" w:hAnsi="Palatino Linotype" w:cs="Palatino Linotype"/>
        </w:rPr>
        <w:t>, que expone la atribución con que cuentan los Municipios para la celebración de convenios y contratos como se advierte a continuación:</w:t>
      </w:r>
    </w:p>
    <w:p w14:paraId="56D8B422" w14:textId="77777777" w:rsidR="00B43F6F" w:rsidRPr="008E7D1F" w:rsidRDefault="00B43F6F" w:rsidP="008E7D1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52835ECE" w14:textId="77777777" w:rsidR="00B43F6F" w:rsidRPr="008E7D1F" w:rsidRDefault="00061995" w:rsidP="008E7D1F">
      <w:pPr>
        <w:pBdr>
          <w:top w:val="nil"/>
          <w:left w:val="nil"/>
          <w:bottom w:val="nil"/>
          <w:right w:val="nil"/>
          <w:between w:val="nil"/>
        </w:pBdr>
        <w:tabs>
          <w:tab w:val="left" w:pos="426"/>
        </w:tabs>
        <w:spacing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LEY ORGÁNICA MUNICIPAL DEL ESTADO DE MÉXICO</w:t>
      </w:r>
    </w:p>
    <w:p w14:paraId="14D8F89A" w14:textId="77777777" w:rsidR="00B43F6F" w:rsidRPr="008E7D1F" w:rsidRDefault="00061995" w:rsidP="008E7D1F">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TITULO I</w:t>
      </w:r>
    </w:p>
    <w:p w14:paraId="62C5F7C5" w14:textId="77777777" w:rsidR="00B43F6F" w:rsidRPr="008E7D1F" w:rsidRDefault="00061995" w:rsidP="008E7D1F">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Del Municipio</w:t>
      </w:r>
    </w:p>
    <w:p w14:paraId="5FBF39E0" w14:textId="77777777" w:rsidR="00B43F6F" w:rsidRPr="008E7D1F" w:rsidRDefault="00061995" w:rsidP="008E7D1F">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CAPÍTULO PRIMERO</w:t>
      </w:r>
    </w:p>
    <w:p w14:paraId="461C2323" w14:textId="77777777" w:rsidR="00B43F6F" w:rsidRPr="008E7D1F" w:rsidRDefault="00061995" w:rsidP="008E7D1F">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Disposiciones Generales</w:t>
      </w:r>
    </w:p>
    <w:p w14:paraId="407CCA9C" w14:textId="77777777" w:rsidR="00B43F6F" w:rsidRPr="008E7D1F" w:rsidRDefault="00061995" w:rsidP="008E7D1F">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8E7D1F">
        <w:rPr>
          <w:rFonts w:ascii="Palatino Linotype" w:eastAsia="Palatino Linotype" w:hAnsi="Palatino Linotype" w:cs="Palatino Linotype"/>
          <w:i/>
        </w:rPr>
        <w:t>Artículo 2.- Las autoridades municipales tienen las atribuciones que les señalen los ordenamientos federales, locales y municipales y las derivadas de los convenios que se celebren con el Gobierno del Estado o con otros municipios.</w:t>
      </w:r>
    </w:p>
    <w:p w14:paraId="0E7594CC" w14:textId="77777777" w:rsidR="00B43F6F" w:rsidRPr="008E7D1F" w:rsidRDefault="00061995" w:rsidP="008E7D1F">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CAPÍTULO TERCERO</w:t>
      </w:r>
    </w:p>
    <w:p w14:paraId="4FDA0C95" w14:textId="77777777" w:rsidR="00B43F6F" w:rsidRPr="008E7D1F" w:rsidRDefault="00061995" w:rsidP="008E7D1F">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8E7D1F">
        <w:rPr>
          <w:rFonts w:ascii="Palatino Linotype" w:eastAsia="Palatino Linotype" w:hAnsi="Palatino Linotype" w:cs="Palatino Linotype"/>
          <w:b/>
          <w:i/>
        </w:rPr>
        <w:t>ATRIBUCIONES DE LOS AYUNTAMIENTOS</w:t>
      </w:r>
    </w:p>
    <w:p w14:paraId="7B218BFD" w14:textId="77777777" w:rsidR="00B43F6F" w:rsidRPr="008E7D1F" w:rsidRDefault="00061995" w:rsidP="008E7D1F">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b/>
          <w:i/>
        </w:rPr>
      </w:pPr>
      <w:r w:rsidRPr="008E7D1F">
        <w:rPr>
          <w:rFonts w:ascii="Palatino Linotype" w:eastAsia="Palatino Linotype" w:hAnsi="Palatino Linotype" w:cs="Palatino Linotype"/>
          <w:b/>
          <w:i/>
        </w:rPr>
        <w:t>(…)</w:t>
      </w:r>
    </w:p>
    <w:p w14:paraId="51045D46" w14:textId="77777777" w:rsidR="00B43F6F" w:rsidRPr="008E7D1F" w:rsidRDefault="00061995" w:rsidP="008E7D1F">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8E7D1F">
        <w:rPr>
          <w:rFonts w:ascii="Palatino Linotype" w:eastAsia="Palatino Linotype" w:hAnsi="Palatino Linotype" w:cs="Palatino Linotype"/>
          <w:i/>
        </w:rPr>
        <w:t>II. Celebrar convenios, cuando así fuese necesario, con las autoridades estatales competentes; en relación con la prestación de los servicios públicos a que se refiere el artículo 115, fracción III de la Constitución General, así como en lo referente a la administración de contribuciones fiscales;</w:t>
      </w:r>
    </w:p>
    <w:p w14:paraId="2F7B23B7" w14:textId="77777777" w:rsidR="00B43F6F" w:rsidRPr="008E7D1F" w:rsidRDefault="00B43F6F" w:rsidP="008E7D1F">
      <w:pPr>
        <w:pBdr>
          <w:top w:val="nil"/>
          <w:left w:val="nil"/>
          <w:bottom w:val="nil"/>
          <w:right w:val="nil"/>
          <w:between w:val="nil"/>
        </w:pBdr>
        <w:tabs>
          <w:tab w:val="left" w:pos="426"/>
        </w:tabs>
        <w:spacing w:before="240" w:line="360" w:lineRule="auto"/>
        <w:jc w:val="both"/>
        <w:rPr>
          <w:rFonts w:ascii="Palatino Linotype" w:eastAsia="Palatino Linotype" w:hAnsi="Palatino Linotype" w:cs="Palatino Linotype"/>
        </w:rPr>
      </w:pPr>
    </w:p>
    <w:p w14:paraId="221602CB" w14:textId="5359E555" w:rsidR="00B43F6F" w:rsidRPr="008E7D1F" w:rsidRDefault="00061995" w:rsidP="008E7D1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También es menester mencionar que, en la </w:t>
      </w:r>
      <w:r w:rsidRPr="008E7D1F">
        <w:rPr>
          <w:rFonts w:ascii="Palatino Linotype" w:eastAsia="Palatino Linotype" w:hAnsi="Palatino Linotype" w:cs="Palatino Linotype"/>
          <w:b/>
        </w:rPr>
        <w:t>Ley de Transparencia y Acceso a la Información Pública del Estado de México y Municipios</w:t>
      </w:r>
      <w:r w:rsidRPr="008E7D1F">
        <w:rPr>
          <w:rFonts w:ascii="Palatino Linotype" w:eastAsia="Palatino Linotype" w:hAnsi="Palatino Linotype" w:cs="Palatino Linotype"/>
        </w:rPr>
        <w:t xml:space="preserve"> en el Título </w:t>
      </w:r>
      <w:r w:rsidRPr="008E7D1F">
        <w:rPr>
          <w:rFonts w:ascii="Palatino Linotype" w:eastAsia="Palatino Linotype" w:hAnsi="Palatino Linotype" w:cs="Palatino Linotype"/>
          <w:b/>
        </w:rPr>
        <w:t xml:space="preserve">Quinto </w:t>
      </w:r>
      <w:r w:rsidRPr="008E7D1F">
        <w:rPr>
          <w:rFonts w:ascii="Palatino Linotype" w:eastAsia="Palatino Linotype" w:hAnsi="Palatino Linotype" w:cs="Palatino Linotype"/>
        </w:rPr>
        <w:t xml:space="preserve">de las </w:t>
      </w:r>
      <w:r w:rsidRPr="008E7D1F">
        <w:rPr>
          <w:rFonts w:ascii="Palatino Linotype" w:eastAsia="Palatino Linotype" w:hAnsi="Palatino Linotype" w:cs="Palatino Linotype"/>
        </w:rPr>
        <w:lastRenderedPageBreak/>
        <w:t>Obligaciones de Transparencia, Capítulo II De las obligaciones de transparencia común en la fracción XX, se establece lo siguiente:</w:t>
      </w:r>
    </w:p>
    <w:p w14:paraId="4175DB05" w14:textId="77777777" w:rsidR="00B43F6F" w:rsidRPr="008E7D1F" w:rsidRDefault="00B43F6F" w:rsidP="008E7D1F">
      <w:pPr>
        <w:pBdr>
          <w:top w:val="nil"/>
          <w:left w:val="nil"/>
          <w:bottom w:val="nil"/>
          <w:right w:val="nil"/>
          <w:between w:val="nil"/>
        </w:pBdr>
        <w:tabs>
          <w:tab w:val="left" w:pos="426"/>
        </w:tabs>
        <w:spacing w:after="240" w:line="276" w:lineRule="auto"/>
        <w:jc w:val="both"/>
        <w:rPr>
          <w:rFonts w:ascii="Palatino Linotype" w:eastAsia="Palatino Linotype" w:hAnsi="Palatino Linotype" w:cs="Palatino Linotype"/>
        </w:rPr>
      </w:pPr>
    </w:p>
    <w:p w14:paraId="61602E46" w14:textId="77777777" w:rsidR="00B43F6F" w:rsidRPr="008E7D1F" w:rsidRDefault="00061995" w:rsidP="008E7D1F">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b/>
          <w:i/>
        </w:rPr>
      </w:pPr>
      <w:r w:rsidRPr="008E7D1F">
        <w:rPr>
          <w:rFonts w:ascii="Palatino Linotype" w:eastAsia="Palatino Linotype" w:hAnsi="Palatino Linotype" w:cs="Palatino Linotype"/>
          <w:b/>
          <w:i/>
        </w:rPr>
        <w:t>Capítulo II</w:t>
      </w:r>
    </w:p>
    <w:p w14:paraId="41DC1D01" w14:textId="77777777" w:rsidR="00B43F6F" w:rsidRPr="008E7D1F" w:rsidRDefault="00061995" w:rsidP="008E7D1F">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b/>
          <w:i/>
        </w:rPr>
      </w:pPr>
      <w:r w:rsidRPr="008E7D1F">
        <w:rPr>
          <w:rFonts w:ascii="Palatino Linotype" w:eastAsia="Palatino Linotype" w:hAnsi="Palatino Linotype" w:cs="Palatino Linotype"/>
          <w:b/>
          <w:i/>
        </w:rPr>
        <w:t>De las Obligaciones de Transparencia Comunes</w:t>
      </w:r>
    </w:p>
    <w:p w14:paraId="34518695" w14:textId="77777777" w:rsidR="00B43F6F" w:rsidRPr="008E7D1F" w:rsidRDefault="00B43F6F" w:rsidP="008E7D1F">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b/>
          <w:i/>
        </w:rPr>
      </w:pPr>
    </w:p>
    <w:p w14:paraId="36A4C617" w14:textId="77777777" w:rsidR="00B43F6F" w:rsidRPr="008E7D1F" w:rsidRDefault="00061995" w:rsidP="008E7D1F">
      <w:pPr>
        <w:pBdr>
          <w:top w:val="nil"/>
          <w:left w:val="nil"/>
          <w:bottom w:val="nil"/>
          <w:right w:val="nil"/>
          <w:between w:val="nil"/>
        </w:pBdr>
        <w:tabs>
          <w:tab w:val="left" w:pos="426"/>
        </w:tabs>
        <w:spacing w:before="240"/>
        <w:ind w:left="851" w:right="902"/>
        <w:jc w:val="both"/>
        <w:rPr>
          <w:rFonts w:ascii="Palatino Linotype" w:eastAsia="Palatino Linotype" w:hAnsi="Palatino Linotype" w:cs="Palatino Linotype"/>
          <w:i/>
        </w:rPr>
      </w:pPr>
      <w:r w:rsidRPr="008E7D1F">
        <w:rPr>
          <w:rFonts w:ascii="Palatino Linotype" w:eastAsia="Palatino Linotype" w:hAnsi="Palatino Linotype" w:cs="Palatino Linotype"/>
          <w:b/>
          <w:i/>
        </w:rPr>
        <w:t>Artículo 92.</w:t>
      </w:r>
      <w:r w:rsidRPr="008E7D1F">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503087" w14:textId="77777777" w:rsidR="00B43F6F" w:rsidRPr="008E7D1F" w:rsidRDefault="00061995" w:rsidP="008E7D1F">
      <w:pPr>
        <w:pBdr>
          <w:top w:val="nil"/>
          <w:left w:val="nil"/>
          <w:bottom w:val="nil"/>
          <w:right w:val="nil"/>
          <w:between w:val="nil"/>
        </w:pBdr>
        <w:tabs>
          <w:tab w:val="left" w:pos="426"/>
        </w:tabs>
        <w:ind w:left="851" w:right="902"/>
        <w:jc w:val="both"/>
        <w:rPr>
          <w:rFonts w:ascii="Palatino Linotype" w:eastAsia="Palatino Linotype" w:hAnsi="Palatino Linotype" w:cs="Palatino Linotype"/>
          <w:i/>
        </w:rPr>
      </w:pPr>
      <w:r w:rsidRPr="008E7D1F">
        <w:rPr>
          <w:rFonts w:ascii="Palatino Linotype" w:eastAsia="Palatino Linotype" w:hAnsi="Palatino Linotype" w:cs="Palatino Linotype"/>
          <w:i/>
        </w:rPr>
        <w:t>(…)</w:t>
      </w:r>
    </w:p>
    <w:p w14:paraId="21629285" w14:textId="77777777" w:rsidR="00B43F6F" w:rsidRPr="008E7D1F" w:rsidRDefault="00B43F6F" w:rsidP="008E7D1F">
      <w:pPr>
        <w:pBdr>
          <w:top w:val="nil"/>
          <w:left w:val="nil"/>
          <w:bottom w:val="nil"/>
          <w:right w:val="nil"/>
          <w:between w:val="nil"/>
        </w:pBdr>
        <w:tabs>
          <w:tab w:val="left" w:pos="426"/>
        </w:tabs>
        <w:ind w:left="851" w:right="902"/>
        <w:jc w:val="both"/>
        <w:rPr>
          <w:rFonts w:ascii="Palatino Linotype" w:eastAsia="Palatino Linotype" w:hAnsi="Palatino Linotype" w:cs="Palatino Linotype"/>
          <w:i/>
        </w:rPr>
      </w:pPr>
    </w:p>
    <w:p w14:paraId="5D9BCC3C" w14:textId="77777777" w:rsidR="00B43F6F" w:rsidRPr="008E7D1F" w:rsidRDefault="00061995" w:rsidP="008E7D1F">
      <w:pPr>
        <w:pBdr>
          <w:top w:val="nil"/>
          <w:left w:val="nil"/>
          <w:bottom w:val="nil"/>
          <w:right w:val="nil"/>
          <w:between w:val="nil"/>
        </w:pBdr>
        <w:tabs>
          <w:tab w:val="left" w:pos="426"/>
        </w:tabs>
        <w:ind w:left="851" w:right="902"/>
        <w:jc w:val="both"/>
        <w:rPr>
          <w:rFonts w:ascii="Palatino Linotype" w:eastAsia="Palatino Linotype" w:hAnsi="Palatino Linotype" w:cs="Palatino Linotype"/>
          <w:i/>
        </w:rPr>
      </w:pPr>
      <w:r w:rsidRPr="008E7D1F">
        <w:rPr>
          <w:rFonts w:ascii="Palatino Linotype" w:eastAsia="Palatino Linotype" w:hAnsi="Palatino Linotype" w:cs="Palatino Linotype"/>
          <w:b/>
          <w:i/>
        </w:rPr>
        <w:t>XX.</w:t>
      </w:r>
      <w:r w:rsidRPr="008E7D1F">
        <w:rPr>
          <w:rFonts w:ascii="Palatino Linotype" w:eastAsia="Palatino Linotype" w:hAnsi="Palatino Linotype" w:cs="Palatino Linotype"/>
          <w:i/>
        </w:rPr>
        <w:t xml:space="preserve"> Las condiciones generales de trabajo, </w:t>
      </w:r>
      <w:r w:rsidRPr="008E7D1F">
        <w:rPr>
          <w:rFonts w:ascii="Palatino Linotype" w:eastAsia="Palatino Linotype" w:hAnsi="Palatino Linotype" w:cs="Palatino Linotype"/>
          <w:b/>
          <w:i/>
        </w:rPr>
        <w:t>contratos</w:t>
      </w:r>
      <w:r w:rsidRPr="008E7D1F">
        <w:rPr>
          <w:rFonts w:ascii="Palatino Linotype" w:eastAsia="Palatino Linotype" w:hAnsi="Palatino Linotype" w:cs="Palatino Linotype"/>
          <w:i/>
        </w:rPr>
        <w:t xml:space="preserve"> </w:t>
      </w:r>
      <w:r w:rsidRPr="008E7D1F">
        <w:rPr>
          <w:rFonts w:ascii="Palatino Linotype" w:eastAsia="Palatino Linotype" w:hAnsi="Palatino Linotype" w:cs="Palatino Linotype"/>
          <w:b/>
          <w:i/>
        </w:rPr>
        <w:t>o convenios</w:t>
      </w:r>
      <w:r w:rsidRPr="008E7D1F">
        <w:rPr>
          <w:rFonts w:ascii="Palatino Linotype" w:eastAsia="Palatino Linotype" w:hAnsi="Palatino Linotype" w:cs="Palatino Linotype"/>
          <w:i/>
        </w:rPr>
        <w:t xml:space="preserve"> que regulen las relaciones laborales del personal de base o de confianza, así como los recursos públicos económicos, en especie o donativos, que sean entregados a los Sindicatos y ejerzan como recursos públicos;</w:t>
      </w:r>
    </w:p>
    <w:p w14:paraId="3CF7046C" w14:textId="77777777" w:rsidR="00B43F6F" w:rsidRPr="008E7D1F" w:rsidRDefault="00061995" w:rsidP="008E7D1F">
      <w:pPr>
        <w:pBdr>
          <w:top w:val="nil"/>
          <w:left w:val="nil"/>
          <w:bottom w:val="nil"/>
          <w:right w:val="nil"/>
          <w:between w:val="nil"/>
        </w:pBdr>
        <w:tabs>
          <w:tab w:val="left" w:pos="426"/>
        </w:tabs>
        <w:ind w:left="851" w:right="902"/>
        <w:jc w:val="both"/>
        <w:rPr>
          <w:rFonts w:ascii="Palatino Linotype" w:eastAsia="Palatino Linotype" w:hAnsi="Palatino Linotype" w:cs="Palatino Linotype"/>
          <w:i/>
        </w:rPr>
      </w:pPr>
      <w:r w:rsidRPr="008E7D1F">
        <w:rPr>
          <w:rFonts w:ascii="Palatino Linotype" w:eastAsia="Palatino Linotype" w:hAnsi="Palatino Linotype" w:cs="Palatino Linotype"/>
          <w:b/>
          <w:i/>
        </w:rPr>
        <w:t>(…</w:t>
      </w:r>
      <w:r w:rsidRPr="008E7D1F">
        <w:rPr>
          <w:rFonts w:ascii="Palatino Linotype" w:eastAsia="Palatino Linotype" w:hAnsi="Palatino Linotype" w:cs="Palatino Linotype"/>
          <w:i/>
        </w:rPr>
        <w:t>)</w:t>
      </w:r>
    </w:p>
    <w:p w14:paraId="6B7168EA" w14:textId="77777777" w:rsidR="00B43F6F" w:rsidRPr="008E7D1F" w:rsidRDefault="00B43F6F" w:rsidP="008E7D1F">
      <w:pPr>
        <w:pBdr>
          <w:top w:val="nil"/>
          <w:left w:val="nil"/>
          <w:bottom w:val="nil"/>
          <w:right w:val="nil"/>
          <w:between w:val="nil"/>
        </w:pBdr>
        <w:tabs>
          <w:tab w:val="left" w:pos="426"/>
        </w:tabs>
        <w:ind w:left="851" w:right="902"/>
        <w:jc w:val="both"/>
        <w:rPr>
          <w:rFonts w:ascii="Palatino Linotype" w:eastAsia="Palatino Linotype" w:hAnsi="Palatino Linotype" w:cs="Palatino Linotype"/>
          <w:i/>
        </w:rPr>
      </w:pPr>
    </w:p>
    <w:p w14:paraId="097F2061" w14:textId="12437643" w:rsidR="00EF1A27" w:rsidRPr="008E7D1F" w:rsidRDefault="00EF1A27" w:rsidP="008E7D1F">
      <w:pPr>
        <w:pBdr>
          <w:top w:val="nil"/>
          <w:left w:val="nil"/>
          <w:bottom w:val="nil"/>
          <w:right w:val="nil"/>
          <w:between w:val="nil"/>
        </w:pBdr>
        <w:tabs>
          <w:tab w:val="left" w:pos="426"/>
        </w:tabs>
        <w:spacing w:before="240"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Cabe destacar </w:t>
      </w:r>
      <w:r w:rsidR="003B6557" w:rsidRPr="008E7D1F">
        <w:rPr>
          <w:rFonts w:ascii="Palatino Linotype" w:eastAsia="Palatino Linotype" w:hAnsi="Palatino Linotype" w:cs="Palatino Linotype"/>
        </w:rPr>
        <w:t>que,</w:t>
      </w:r>
      <w:r w:rsidRPr="008E7D1F">
        <w:rPr>
          <w:rFonts w:ascii="Palatino Linotype" w:eastAsia="Palatino Linotype" w:hAnsi="Palatino Linotype" w:cs="Palatino Linotype"/>
        </w:rPr>
        <w:t xml:space="preserve"> al realizar una búsqueda dentro de la página oficial del SUJETO </w:t>
      </w:r>
      <w:r w:rsidR="00397257" w:rsidRPr="008E7D1F">
        <w:rPr>
          <w:rFonts w:ascii="Palatino Linotype" w:eastAsia="Palatino Linotype" w:hAnsi="Palatino Linotype" w:cs="Palatino Linotype"/>
        </w:rPr>
        <w:t>OBLIGADO, se encontró la existencia de celebración de un convenio laboral del diecisiete de octubre de dos mil veintidós, entre el gobierno de Cuautitlán y el SUTEYM, como se advierte de las siguientes imágenes:</w:t>
      </w:r>
    </w:p>
    <w:p w14:paraId="7B643CD0" w14:textId="6BF321DA" w:rsidR="00F51E6E" w:rsidRPr="008E7D1F" w:rsidRDefault="00F51E6E" w:rsidP="008E7D1F">
      <w:pPr>
        <w:pBdr>
          <w:top w:val="nil"/>
          <w:left w:val="nil"/>
          <w:bottom w:val="nil"/>
          <w:right w:val="nil"/>
          <w:between w:val="nil"/>
        </w:pBdr>
        <w:tabs>
          <w:tab w:val="left" w:pos="426"/>
        </w:tabs>
        <w:spacing w:after="240" w:line="360" w:lineRule="auto"/>
        <w:jc w:val="center"/>
        <w:rPr>
          <w:rFonts w:ascii="Palatino Linotype" w:eastAsia="Palatino Linotype" w:hAnsi="Palatino Linotype" w:cs="Palatino Linotype"/>
        </w:rPr>
      </w:pPr>
      <w:r w:rsidRPr="008E7D1F">
        <w:rPr>
          <w:noProof/>
        </w:rPr>
        <w:lastRenderedPageBreak/>
        <w:drawing>
          <wp:inline distT="0" distB="0" distL="0" distR="0" wp14:anchorId="69668AE0" wp14:editId="1DEA95C2">
            <wp:extent cx="2962275" cy="3838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2275" cy="3838575"/>
                    </a:xfrm>
                    <a:prstGeom prst="rect">
                      <a:avLst/>
                    </a:prstGeom>
                  </pic:spPr>
                </pic:pic>
              </a:graphicData>
            </a:graphic>
          </wp:inline>
        </w:drawing>
      </w:r>
    </w:p>
    <w:p w14:paraId="2DFE92E1" w14:textId="0D926ED7" w:rsidR="00F51E6E" w:rsidRPr="008E7D1F" w:rsidRDefault="00F51E6E" w:rsidP="008E7D1F">
      <w:pPr>
        <w:pBdr>
          <w:top w:val="nil"/>
          <w:left w:val="nil"/>
          <w:bottom w:val="nil"/>
          <w:right w:val="nil"/>
          <w:between w:val="nil"/>
        </w:pBdr>
        <w:tabs>
          <w:tab w:val="left" w:pos="426"/>
        </w:tabs>
        <w:spacing w:after="240" w:line="360" w:lineRule="auto"/>
        <w:jc w:val="both"/>
        <w:rPr>
          <w:rFonts w:ascii="Palatino Linotype" w:eastAsia="Palatino Linotype" w:hAnsi="Palatino Linotype" w:cs="Palatino Linotype"/>
        </w:rPr>
      </w:pPr>
      <w:r w:rsidRPr="008E7D1F">
        <w:rPr>
          <w:noProof/>
        </w:rPr>
        <w:lastRenderedPageBreak/>
        <w:drawing>
          <wp:inline distT="0" distB="0" distL="0" distR="0" wp14:anchorId="45B2F0CB" wp14:editId="59773EE4">
            <wp:extent cx="5791835" cy="43942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4394200"/>
                    </a:xfrm>
                    <a:prstGeom prst="rect">
                      <a:avLst/>
                    </a:prstGeom>
                  </pic:spPr>
                </pic:pic>
              </a:graphicData>
            </a:graphic>
          </wp:inline>
        </w:drawing>
      </w:r>
    </w:p>
    <w:p w14:paraId="614F1FDB" w14:textId="4F7DF3CB" w:rsidR="00B43F6F" w:rsidRPr="008E7D1F" w:rsidRDefault="00061995" w:rsidP="008E7D1F">
      <w:pPr>
        <w:pBdr>
          <w:top w:val="nil"/>
          <w:left w:val="nil"/>
          <w:bottom w:val="nil"/>
          <w:right w:val="nil"/>
          <w:between w:val="nil"/>
        </w:pBdr>
        <w:tabs>
          <w:tab w:val="left" w:pos="426"/>
        </w:tabs>
        <w:spacing w:after="240"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Por lo tanto, es importante referir que la información sobre los contratos y convenios, forman parte de las obligaciones de transparencia común del </w:t>
      </w:r>
      <w:r w:rsidRPr="008E7D1F">
        <w:rPr>
          <w:rFonts w:ascii="Palatino Linotype" w:eastAsia="Palatino Linotype" w:hAnsi="Palatino Linotype" w:cs="Palatino Linotype"/>
          <w:b/>
        </w:rPr>
        <w:t xml:space="preserve">SUJETO OBLIGADO </w:t>
      </w:r>
      <w:r w:rsidRPr="008E7D1F">
        <w:rPr>
          <w:rFonts w:ascii="Palatino Linotype" w:eastAsia="Palatino Linotype" w:hAnsi="Palatino Linotype" w:cs="Palatino Linotype"/>
        </w:rPr>
        <w:t xml:space="preserve">establecido en la </w:t>
      </w:r>
      <w:r w:rsidRPr="008E7D1F">
        <w:rPr>
          <w:rFonts w:ascii="Palatino Linotype" w:eastAsia="Palatino Linotype" w:hAnsi="Palatino Linotype" w:cs="Palatino Linotype"/>
          <w:b/>
        </w:rPr>
        <w:t>Ley de Transparencia y Acceso a la Información Pública del Estado de México y Municipios</w:t>
      </w:r>
      <w:r w:rsidRPr="008E7D1F">
        <w:rPr>
          <w:rFonts w:ascii="Palatino Linotype" w:eastAsia="Palatino Linotype" w:hAnsi="Palatino Linotype" w:cs="Palatino Linotype"/>
        </w:rPr>
        <w:t xml:space="preserve"> en el Título Quinto ya antes referido, así mismo al Ayuntamiento posee, la facultad de celebrar contratos y convenios.</w:t>
      </w:r>
    </w:p>
    <w:p w14:paraId="3385ED33" w14:textId="77777777" w:rsidR="00B43F6F" w:rsidRPr="008E7D1F" w:rsidRDefault="00061995" w:rsidP="008E7D1F">
      <w:pPr>
        <w:tabs>
          <w:tab w:val="left" w:pos="4962"/>
        </w:tabs>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En atención a lo señalado, el Sujeto Obligado, es competente para conocer de la información peticionada; resultando desatinado el pronunciamiento de incompetencia realizado, por ello, para atender el requerimiento de información, deberá realizar el </w:t>
      </w:r>
      <w:r w:rsidRPr="008E7D1F">
        <w:rPr>
          <w:rFonts w:ascii="Palatino Linotype" w:eastAsia="Palatino Linotype" w:hAnsi="Palatino Linotype" w:cs="Palatino Linotype"/>
        </w:rPr>
        <w:lastRenderedPageBreak/>
        <w:t>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3E992CC" w14:textId="77777777" w:rsidR="00B43F6F" w:rsidRPr="008E7D1F" w:rsidRDefault="00B43F6F" w:rsidP="008E7D1F">
      <w:pPr>
        <w:spacing w:line="360" w:lineRule="auto"/>
        <w:ind w:right="49"/>
        <w:jc w:val="both"/>
        <w:rPr>
          <w:rFonts w:ascii="Palatino Linotype" w:eastAsia="Palatino Linotype" w:hAnsi="Palatino Linotype" w:cs="Palatino Linotype"/>
        </w:rPr>
      </w:pPr>
    </w:p>
    <w:p w14:paraId="22B16AB6" w14:textId="77777777" w:rsidR="00B43F6F" w:rsidRPr="008E7D1F" w:rsidRDefault="00061995" w:rsidP="008E7D1F">
      <w:pPr>
        <w:numPr>
          <w:ilvl w:val="0"/>
          <w:numId w:val="2"/>
        </w:num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B57905A" w14:textId="77777777" w:rsidR="00B43F6F" w:rsidRPr="008E7D1F" w:rsidRDefault="00B43F6F" w:rsidP="008E7D1F">
      <w:pPr>
        <w:spacing w:line="360" w:lineRule="auto"/>
        <w:ind w:left="720"/>
        <w:jc w:val="both"/>
        <w:rPr>
          <w:rFonts w:ascii="Palatino Linotype" w:eastAsia="Palatino Linotype" w:hAnsi="Palatino Linotype" w:cs="Palatino Linotype"/>
        </w:rPr>
      </w:pPr>
    </w:p>
    <w:p w14:paraId="39498411" w14:textId="77777777" w:rsidR="00B43F6F" w:rsidRPr="008E7D1F" w:rsidRDefault="00061995" w:rsidP="008E7D1F">
      <w:pPr>
        <w:numPr>
          <w:ilvl w:val="0"/>
          <w:numId w:val="2"/>
        </w:num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545C62EE" w14:textId="77777777" w:rsidR="00B43F6F" w:rsidRPr="008E7D1F" w:rsidRDefault="00B43F6F" w:rsidP="008E7D1F">
      <w:pPr>
        <w:tabs>
          <w:tab w:val="left" w:pos="4962"/>
        </w:tabs>
        <w:spacing w:line="360" w:lineRule="auto"/>
        <w:jc w:val="both"/>
        <w:rPr>
          <w:rFonts w:ascii="Palatino Linotype" w:eastAsia="Palatino Linotype" w:hAnsi="Palatino Linotype" w:cs="Palatino Linotype"/>
        </w:rPr>
      </w:pPr>
    </w:p>
    <w:p w14:paraId="774C2DBB" w14:textId="77777777" w:rsidR="00B43F6F" w:rsidRPr="008E7D1F" w:rsidRDefault="00061995" w:rsidP="008E7D1F">
      <w:pPr>
        <w:widowControl w:val="0"/>
        <w:tabs>
          <w:tab w:val="left" w:pos="4962"/>
        </w:tabs>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De esta manera, el derecho de acceso a la información pública se satisface en aquellos casos en que se entregue el soporte documental en el que conste la información solicitada, sin necesidad de elaborar documentos </w:t>
      </w:r>
      <w:r w:rsidRPr="008E7D1F">
        <w:rPr>
          <w:rFonts w:ascii="Palatino Linotype" w:eastAsia="Palatino Linotype" w:hAnsi="Palatino Linotype" w:cs="Palatino Linotype"/>
          <w:i/>
        </w:rPr>
        <w:t>ad hoc</w:t>
      </w:r>
      <w:r w:rsidRPr="008E7D1F">
        <w:rPr>
          <w:rFonts w:ascii="Palatino Linotype" w:eastAsia="Palatino Linotype" w:hAnsi="Palatino Linotype" w:cs="Palatino Linotype"/>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40836701" w14:textId="77777777" w:rsidR="00B43F6F" w:rsidRPr="008E7D1F" w:rsidRDefault="00B43F6F" w:rsidP="008E7D1F">
      <w:pPr>
        <w:tabs>
          <w:tab w:val="left" w:pos="4962"/>
        </w:tabs>
        <w:spacing w:line="360" w:lineRule="auto"/>
        <w:jc w:val="both"/>
        <w:rPr>
          <w:rFonts w:ascii="Palatino Linotype" w:eastAsia="Palatino Linotype" w:hAnsi="Palatino Linotype" w:cs="Palatino Linotype"/>
        </w:rPr>
      </w:pPr>
    </w:p>
    <w:p w14:paraId="0C1365D0" w14:textId="77777777" w:rsidR="00B43F6F" w:rsidRPr="008E7D1F" w:rsidRDefault="00061995" w:rsidP="008E7D1F">
      <w:pPr>
        <w:widowControl w:val="0"/>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De tales circunstancias, se concluye que los sujetos obligados únicamente se encuentran </w:t>
      </w:r>
      <w:r w:rsidRPr="008E7D1F">
        <w:rPr>
          <w:rFonts w:ascii="Palatino Linotype" w:eastAsia="Palatino Linotype" w:hAnsi="Palatino Linotype" w:cs="Palatino Linotype"/>
        </w:rPr>
        <w:lastRenderedPageBreak/>
        <w:t>constreñidos a proporcionar los documentos que den cuenta de la información solicitada, como obren en sus archivos, sin tener que elaborarlos a las necesidades de la Recurrente; por lo que, el Sujeto Obligado deberá realizar una búsqueda exhaustiva de los Contratos o Convenios de sueldos y prestaciones, o prestaciones socioeconómicas o similar, celebrados con el Sindicato Único de Trabajadores de los Poderes, Municipios e Instituciones Descentralizadas del Estado de México (S.U.T.E.Y.M.), vigente al veintitrés de mayo de dos mil veintitrés.</w:t>
      </w:r>
    </w:p>
    <w:p w14:paraId="5F3584DF" w14:textId="77777777" w:rsidR="00B43F6F" w:rsidRPr="008E7D1F" w:rsidRDefault="00061995" w:rsidP="008E7D1F">
      <w:pPr>
        <w:widowControl w:val="0"/>
        <w:spacing w:line="360" w:lineRule="auto"/>
        <w:jc w:val="both"/>
        <w:rPr>
          <w:rFonts w:ascii="Palatino Linotype" w:eastAsia="Palatino Linotype" w:hAnsi="Palatino Linotype" w:cs="Palatino Linotype"/>
        </w:rPr>
      </w:pPr>
      <w:bookmarkStart w:id="3" w:name="_heading=h.30j0zll" w:colFirst="0" w:colLast="0"/>
      <w:bookmarkEnd w:id="3"/>
      <w:r w:rsidRPr="008E7D1F">
        <w:rPr>
          <w:rFonts w:ascii="Palatino Linotype" w:eastAsia="Palatino Linotype" w:hAnsi="Palatino Linotype" w:cs="Palatino Linotype"/>
        </w:rPr>
        <w:t xml:space="preserve"> </w:t>
      </w:r>
    </w:p>
    <w:p w14:paraId="23375494" w14:textId="77777777" w:rsidR="00B43F6F" w:rsidRPr="008E7D1F" w:rsidRDefault="00061995" w:rsidP="008E7D1F">
      <w:pPr>
        <w:widowControl w:val="0"/>
        <w:spacing w:line="360"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VERSIÓN PÚBLICA</w:t>
      </w:r>
    </w:p>
    <w:p w14:paraId="1CB46505"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Debe destacarse que la información que se ha tenido a bien ordenar, dada su propia y especial naturaleza, puede contener datos personales susceptibles de ser protegidos mediante una versión pública, la cual deberá estar soportada por el Acta del Comité de Transparencia que se emita para tal efecto, debiéndose poner a disposición del hoy </w:t>
      </w:r>
      <w:r w:rsidRPr="008E7D1F">
        <w:rPr>
          <w:rFonts w:ascii="Palatino Linotype" w:eastAsia="Palatino Linotype" w:hAnsi="Palatino Linotype" w:cs="Palatino Linotype"/>
          <w:b/>
        </w:rPr>
        <w:t>RECURRENTE</w:t>
      </w:r>
      <w:r w:rsidRPr="008E7D1F">
        <w:rPr>
          <w:rFonts w:ascii="Palatino Linotype" w:eastAsia="Palatino Linotype" w:hAnsi="Palatino Linotype" w:cs="Palatino Linotype"/>
        </w:rPr>
        <w:t>, por lo que pudiera actualizar la hipótesis jurídica contenida en el artículo 140 fracción I de la Ley de Transparencia y Accesos a la Información Pública del Estado de México y Municipios, por comprometer la seguridad pública.</w:t>
      </w:r>
    </w:p>
    <w:p w14:paraId="4F942D95"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02A592E3"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8E7D1F">
        <w:rPr>
          <w:rFonts w:ascii="Palatino Linotype" w:eastAsia="Palatino Linotype" w:hAnsi="Palatino Linotype" w:cs="Palatino Linotype"/>
          <w:vertAlign w:val="superscript"/>
        </w:rPr>
        <w:footnoteReference w:id="1"/>
      </w:r>
      <w:r w:rsidRPr="008E7D1F">
        <w:rPr>
          <w:rFonts w:ascii="Palatino Linotype" w:eastAsia="Palatino Linotype" w:hAnsi="Palatino Linotype" w:cs="Palatino Linotype"/>
        </w:rPr>
        <w:t xml:space="preserve"> aunque cualquier límite o restricción, </w:t>
      </w:r>
      <w:r w:rsidRPr="008E7D1F">
        <w:rPr>
          <w:rFonts w:ascii="Palatino Linotype" w:eastAsia="Palatino Linotype" w:hAnsi="Palatino Linotype" w:cs="Palatino Linotype"/>
        </w:rPr>
        <w:lastRenderedPageBreak/>
        <w:t>para ser legítimo, debe reunir con tres requisitos: primero, debe de estar establecida en un ordenamiento legal, antes de su aplicación; debe de corresponder a un fin legítimo y ser estrictamente proporcional con el principio o valor que se pretende preservar.</w:t>
      </w:r>
      <w:r w:rsidRPr="008E7D1F">
        <w:rPr>
          <w:rFonts w:ascii="Palatino Linotype" w:eastAsia="Palatino Linotype" w:hAnsi="Palatino Linotype" w:cs="Palatino Linotype"/>
          <w:vertAlign w:val="superscript"/>
        </w:rPr>
        <w:footnoteReference w:id="2"/>
      </w:r>
      <w:r w:rsidRPr="008E7D1F">
        <w:rPr>
          <w:rFonts w:ascii="Palatino Linotype" w:eastAsia="Palatino Linotype" w:hAnsi="Palatino Linotype" w:cs="Palatino Linotype"/>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2500B534" w14:textId="77777777" w:rsidR="00B43F6F" w:rsidRPr="008E7D1F" w:rsidRDefault="00B43F6F" w:rsidP="008E7D1F">
      <w:pPr>
        <w:pBdr>
          <w:top w:val="nil"/>
          <w:left w:val="nil"/>
          <w:bottom w:val="nil"/>
          <w:right w:val="nil"/>
          <w:between w:val="nil"/>
        </w:pBdr>
        <w:tabs>
          <w:tab w:val="left" w:pos="426"/>
        </w:tabs>
        <w:spacing w:line="276" w:lineRule="auto"/>
        <w:ind w:right="51"/>
        <w:jc w:val="both"/>
        <w:rPr>
          <w:rFonts w:ascii="Palatino Linotype" w:eastAsia="Palatino Linotype" w:hAnsi="Palatino Linotype" w:cs="Palatino Linotype"/>
          <w:b/>
        </w:rPr>
      </w:pPr>
    </w:p>
    <w:p w14:paraId="27346236"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El grave problema que enfrentamos en general, los acuerdos de clasificación de la información que emiten los sujetos obligados, </w:t>
      </w:r>
      <w:proofErr w:type="gramStart"/>
      <w:r w:rsidRPr="008E7D1F">
        <w:rPr>
          <w:rFonts w:ascii="Palatino Linotype" w:eastAsia="Palatino Linotype" w:hAnsi="Palatino Linotype" w:cs="Palatino Linotype"/>
        </w:rPr>
        <w:t>siguen</w:t>
      </w:r>
      <w:proofErr w:type="gramEnd"/>
      <w:r w:rsidRPr="008E7D1F">
        <w:rPr>
          <w:rFonts w:ascii="Palatino Linotype" w:eastAsia="Palatino Linotype" w:hAnsi="Palatino Linotype" w:cs="Palatino Linotype"/>
        </w:rPr>
        <w:t xml:space="preserve"> sin observar los requisitos, tanto por la complejidad del procedimiento como por la falta de atención de los operadores jurídicos.</w:t>
      </w:r>
    </w:p>
    <w:p w14:paraId="1FA885B0" w14:textId="77777777" w:rsidR="00B43F6F" w:rsidRPr="008E7D1F" w:rsidRDefault="00B43F6F"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1F1D8323"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4A3C9328"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10E63D47"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BC974CD"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2A92DC87" w14:textId="77777777" w:rsidR="00B43F6F" w:rsidRPr="008E7D1F" w:rsidRDefault="00061995" w:rsidP="008E7D1F">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El último de estos requisitos previos consiste en que no se pueden emitir acuerdos de carácter general ni particular, según lo disponen los artículos 134 y 108 de la Ley Estatal y de la Ley General, respectivamente, esto es, </w:t>
      </w:r>
      <w:r w:rsidRPr="008E7D1F">
        <w:rPr>
          <w:rFonts w:ascii="Palatino Linotype" w:eastAsia="Palatino Linotype" w:hAnsi="Palatino Linotype" w:cs="Palatino Linotype"/>
          <w:b/>
          <w:u w:val="single"/>
        </w:rPr>
        <w:t>no se puede hacer un acuerdo para clasificar de manera general todos los documentos de un expediente o área</w:t>
      </w:r>
      <w:r w:rsidRPr="008E7D1F">
        <w:rPr>
          <w:rFonts w:ascii="Palatino Linotype" w:eastAsia="Palatino Linotype" w:hAnsi="Palatino Linotype" w:cs="Palatino Linotype"/>
          <w:b/>
        </w:rPr>
        <w:t xml:space="preserve">,  </w:t>
      </w:r>
      <w:r w:rsidRPr="008E7D1F">
        <w:rPr>
          <w:rFonts w:ascii="Palatino Linotype" w:eastAsia="Palatino Linotype" w:hAnsi="Palatino Linotype" w:cs="Palatino Linotype"/>
        </w:rPr>
        <w:t xml:space="preserve">sin individualizar su análisis y tampoco se puede hacer un acuerdo por cada dato que se </w:t>
      </w:r>
      <w:r w:rsidRPr="008E7D1F">
        <w:rPr>
          <w:rFonts w:ascii="Palatino Linotype" w:eastAsia="Palatino Linotype" w:hAnsi="Palatino Linotype" w:cs="Palatino Linotype"/>
        </w:rPr>
        <w:lastRenderedPageBreak/>
        <w:t>vaya a clasificar dentro de un documento con diez datos, por ejemplo, susceptibles de ser clasificados.</w:t>
      </w:r>
    </w:p>
    <w:p w14:paraId="5F22EADA" w14:textId="77777777" w:rsidR="00B43F6F" w:rsidRPr="008E7D1F" w:rsidRDefault="00061995" w:rsidP="008E7D1F">
      <w:pPr>
        <w:tabs>
          <w:tab w:val="left" w:pos="142"/>
          <w:tab w:val="left" w:pos="426"/>
        </w:tabs>
        <w:spacing w:line="360" w:lineRule="auto"/>
        <w:jc w:val="both"/>
        <w:rPr>
          <w:rFonts w:ascii="Palatino Linotype" w:eastAsia="Palatino Linotype" w:hAnsi="Palatino Linotype" w:cs="Palatino Linotype"/>
          <w:b/>
        </w:rPr>
      </w:pPr>
      <w:bookmarkStart w:id="4" w:name="_heading=h.1fob9te" w:colFirst="0" w:colLast="0"/>
      <w:bookmarkEnd w:id="4"/>
      <w:r w:rsidRPr="008E7D1F">
        <w:rPr>
          <w:rFonts w:ascii="Palatino Linotype" w:eastAsia="Palatino Linotype" w:hAnsi="Palatino Linotype" w:cs="Palatino Linotype"/>
          <w:b/>
        </w:rPr>
        <w:t>Supuestos de clasificación.</w:t>
      </w:r>
    </w:p>
    <w:p w14:paraId="599895CB"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4DB77C77" w14:textId="77777777" w:rsidR="00B43F6F" w:rsidRPr="008E7D1F" w:rsidRDefault="00B43F6F"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p>
    <w:p w14:paraId="132EB467" w14:textId="77777777" w:rsidR="00B43F6F" w:rsidRPr="008E7D1F" w:rsidRDefault="00061995"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Los artículos 143 y 116 de la Ley Estatal y de la Ley General, respectivamente, señalan los supuestos para que la información pueda ser clasificada como confidencial:</w:t>
      </w:r>
    </w:p>
    <w:p w14:paraId="01CB9EBA" w14:textId="77777777" w:rsidR="00B43F6F" w:rsidRPr="008E7D1F" w:rsidRDefault="00061995" w:rsidP="008E7D1F">
      <w:pPr>
        <w:widowControl w:val="0"/>
        <w:tabs>
          <w:tab w:val="left" w:pos="8222"/>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 xml:space="preserve">“I. Se refiera a la información privada y los datos personales concernientes a una persona física o jurídico colectiva identificada o identificable; </w:t>
      </w:r>
    </w:p>
    <w:p w14:paraId="7B94E7BC" w14:textId="77777777" w:rsidR="00B43F6F" w:rsidRPr="008E7D1F" w:rsidRDefault="00061995" w:rsidP="008E7D1F">
      <w:pPr>
        <w:widowControl w:val="0"/>
        <w:tabs>
          <w:tab w:val="left" w:pos="8222"/>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1A8B10E9" w14:textId="77777777" w:rsidR="00B43F6F" w:rsidRPr="008E7D1F" w:rsidRDefault="00061995" w:rsidP="008E7D1F">
      <w:pPr>
        <w:widowControl w:val="0"/>
        <w:tabs>
          <w:tab w:val="left" w:pos="8222"/>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4147D8E" w14:textId="77777777" w:rsidR="00B43F6F" w:rsidRPr="008E7D1F" w:rsidRDefault="00061995" w:rsidP="008E7D1F">
      <w:pPr>
        <w:widowControl w:val="0"/>
        <w:tabs>
          <w:tab w:val="left" w:pos="8222"/>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 xml:space="preserve">La información confidencial no estará sujeta a temporalidad alguna y sólo podrán tener acceso a ella los titulares de la misma, sus representantes y los servidores públicos facultados para ello. </w:t>
      </w:r>
    </w:p>
    <w:p w14:paraId="0121924C" w14:textId="77777777" w:rsidR="00B43F6F" w:rsidRPr="008E7D1F" w:rsidRDefault="00061995" w:rsidP="008E7D1F">
      <w:pPr>
        <w:widowControl w:val="0"/>
        <w:tabs>
          <w:tab w:val="left" w:pos="8222"/>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 “</w:t>
      </w:r>
    </w:p>
    <w:p w14:paraId="7FF61BB0" w14:textId="77777777" w:rsidR="00B43F6F" w:rsidRPr="008E7D1F" w:rsidRDefault="00B43F6F" w:rsidP="008E7D1F">
      <w:pPr>
        <w:pBdr>
          <w:top w:val="nil"/>
          <w:left w:val="nil"/>
          <w:bottom w:val="nil"/>
          <w:right w:val="nil"/>
          <w:between w:val="nil"/>
        </w:pBdr>
        <w:tabs>
          <w:tab w:val="left" w:pos="426"/>
        </w:tabs>
        <w:spacing w:before="240" w:after="240" w:line="276" w:lineRule="auto"/>
        <w:ind w:right="51"/>
        <w:jc w:val="both"/>
        <w:rPr>
          <w:rFonts w:ascii="Palatino Linotype" w:eastAsia="Palatino Linotype" w:hAnsi="Palatino Linotype" w:cs="Palatino Linotype"/>
          <w:b/>
        </w:rPr>
      </w:pPr>
    </w:p>
    <w:p w14:paraId="1F9123FB"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Mientras que los artículos 130 y 105 de la Ley Estatal y de la Ley General, respectivamente, señalan que la aplicación de estos supuestos debe de realizarse de manera restrictiva y limitada, por lo que debe acreditarse que se cumple con esta </w:t>
      </w:r>
      <w:r w:rsidRPr="008E7D1F">
        <w:rPr>
          <w:rFonts w:ascii="Palatino Linotype" w:eastAsia="Palatino Linotype" w:hAnsi="Palatino Linotype" w:cs="Palatino Linotype"/>
        </w:rPr>
        <w:lastRenderedPageBreak/>
        <w:t>condición y no se pueden ampliar las excepciones o supuestos de clasificación aduciendo analogía o mayoría de razón.</w:t>
      </w:r>
    </w:p>
    <w:p w14:paraId="1E1E0890" w14:textId="77777777" w:rsidR="00B43F6F" w:rsidRPr="008E7D1F" w:rsidRDefault="00B43F6F"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p>
    <w:p w14:paraId="013B2E85"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Como consecuencia de lo anterior, el </w:t>
      </w:r>
      <w:r w:rsidRPr="008E7D1F">
        <w:rPr>
          <w:rFonts w:ascii="Palatino Linotype" w:eastAsia="Palatino Linotype" w:hAnsi="Palatino Linotype" w:cs="Palatino Linotype"/>
          <w:b/>
        </w:rPr>
        <w:t>SUJETO OBLIGADO</w:t>
      </w:r>
      <w:r w:rsidRPr="008E7D1F">
        <w:rPr>
          <w:rFonts w:ascii="Palatino Linotype" w:eastAsia="Palatino Linotype" w:hAnsi="Palatino Linotype" w:cs="Palatino Linotype"/>
        </w:rPr>
        <w:t xml:space="preserve"> debe identificar claramente el tipo de información y hacer un juicio de subsunción o encaje</w:t>
      </w:r>
      <w:r w:rsidRPr="008E7D1F">
        <w:rPr>
          <w:rFonts w:ascii="Palatino Linotype" w:eastAsia="Palatino Linotype" w:hAnsi="Palatino Linotype" w:cs="Palatino Linotype"/>
          <w:vertAlign w:val="superscript"/>
        </w:rPr>
        <w:footnoteReference w:id="3"/>
      </w:r>
      <w:r w:rsidRPr="008E7D1F">
        <w:rPr>
          <w:rFonts w:ascii="Palatino Linotype" w:eastAsia="Palatino Linotype" w:hAnsi="Palatino Linotype" w:cs="Palatino Linotype"/>
        </w:rPr>
        <w:t xml:space="preserve"> para acreditar que el supuesto de hecho corresponde estrictamente con la hipótesis jurídica. Esto también lo debe de realizar el servidor público habilitado y el titular del área que administra la información.</w:t>
      </w:r>
    </w:p>
    <w:p w14:paraId="56744C41" w14:textId="77777777" w:rsidR="00B43F6F" w:rsidRPr="008E7D1F" w:rsidRDefault="00B43F6F"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469E2C56"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Al respecto, los Lineamientos Generales en Materia de Clasificación y Desclasificación de la Información, así Como para la Elaboración de Versiones Públicas, por cuanto hace a la clasificación de la información, señalan lo siguiente:</w:t>
      </w:r>
    </w:p>
    <w:p w14:paraId="3D17B290"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w:t>
      </w:r>
      <w:r w:rsidRPr="008E7D1F">
        <w:rPr>
          <w:rFonts w:ascii="Palatino Linotype" w:eastAsia="Palatino Linotype" w:hAnsi="Palatino Linotype" w:cs="Palatino Linotype"/>
          <w:b/>
          <w:i/>
        </w:rPr>
        <w:t>Quincuagésimo.</w:t>
      </w:r>
      <w:r w:rsidRPr="008E7D1F">
        <w:rPr>
          <w:rFonts w:ascii="Palatino Linotype" w:eastAsia="Palatino Linotype" w:hAnsi="Palatino Linotype" w:cs="Palatino Linotype"/>
          <w:i/>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12A178D" w14:textId="77777777" w:rsidR="00B43F6F" w:rsidRPr="008E7D1F" w:rsidRDefault="00B43F6F"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p>
    <w:p w14:paraId="56D662E0"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b/>
          <w:i/>
        </w:rPr>
        <w:t>Quincuagésimo primero.</w:t>
      </w:r>
      <w:r w:rsidRPr="008E7D1F">
        <w:rPr>
          <w:rFonts w:ascii="Palatino Linotype" w:eastAsia="Palatino Linotype" w:hAnsi="Palatino Linotype" w:cs="Palatino Linotype"/>
          <w:i/>
        </w:rPr>
        <w:t xml:space="preserve"> La leyenda en los documentos clasificados indicará:</w:t>
      </w:r>
    </w:p>
    <w:p w14:paraId="799BFF5E"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I. La fecha de sesión del Comité de Transparencia en donde se confirmó la clasificación, en su caso;</w:t>
      </w:r>
    </w:p>
    <w:p w14:paraId="70A0AABD"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II. El nombre del área;</w:t>
      </w:r>
    </w:p>
    <w:p w14:paraId="5EC2FC96"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III. La palabra reservado o confidencial;</w:t>
      </w:r>
    </w:p>
    <w:p w14:paraId="7960DDEE"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IV. Las partes o secciones reservadas o confidenciales, en su caso;</w:t>
      </w:r>
    </w:p>
    <w:p w14:paraId="142EF2B1"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V. El fundamento legal;</w:t>
      </w:r>
    </w:p>
    <w:p w14:paraId="68213442"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VI. El periodo de reserva, y</w:t>
      </w:r>
    </w:p>
    <w:p w14:paraId="5CDEBE83"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VII. La rúbrica del titular del área.</w:t>
      </w:r>
    </w:p>
    <w:p w14:paraId="683F8F10" w14:textId="77777777" w:rsidR="00B43F6F" w:rsidRPr="008E7D1F" w:rsidRDefault="00B43F6F"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p>
    <w:p w14:paraId="69605318"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b/>
          <w:i/>
        </w:rPr>
        <w:t>Quincuagésimo segundo.</w:t>
      </w:r>
      <w:r w:rsidRPr="008E7D1F">
        <w:rPr>
          <w:rFonts w:ascii="Palatino Linotype" w:eastAsia="Palatino Linotype" w:hAnsi="Palatino Linotype" w:cs="Palatino Linotype"/>
          <w:i/>
        </w:rPr>
        <w:t xml:space="preserve"> Los sujetos obligados elaborarán los formatos a que se refiere este Capítulo en medios impresos o electrónicos, entre otros, debiendo ubicarse la leyenda de clasificación en la esquina superior derecha del documento.</w:t>
      </w:r>
    </w:p>
    <w:p w14:paraId="2F60AA58"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i/>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2A73B7A7"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8E7D1F">
        <w:rPr>
          <w:rFonts w:ascii="Palatino Linotype" w:eastAsia="Palatino Linotype" w:hAnsi="Palatino Linotype" w:cs="Palatino Linotype"/>
          <w:b/>
          <w:i/>
        </w:rPr>
        <w:t>Quincuagésimo tercero.</w:t>
      </w:r>
      <w:r w:rsidRPr="008E7D1F">
        <w:rPr>
          <w:rFonts w:ascii="Palatino Linotype" w:eastAsia="Palatino Linotype" w:hAnsi="Palatino Linotype" w:cs="Palatino Linotype"/>
          <w:i/>
        </w:rPr>
        <w:t xml:space="preserve"> El formato para señalar la clasificación parcial de un documento, es el siguiente:</w:t>
      </w:r>
    </w:p>
    <w:p w14:paraId="345958A9" w14:textId="77777777" w:rsidR="00B43F6F" w:rsidRPr="008E7D1F" w:rsidRDefault="00061995" w:rsidP="008E7D1F">
      <w:pPr>
        <w:pBdr>
          <w:top w:val="nil"/>
          <w:left w:val="nil"/>
          <w:bottom w:val="nil"/>
          <w:right w:val="nil"/>
          <w:between w:val="nil"/>
        </w:pBdr>
        <w:tabs>
          <w:tab w:val="left" w:pos="142"/>
          <w:tab w:val="left" w:pos="284"/>
          <w:tab w:val="left" w:pos="426"/>
        </w:tabs>
        <w:spacing w:line="276" w:lineRule="auto"/>
        <w:jc w:val="center"/>
        <w:rPr>
          <w:rFonts w:ascii="Palatino Linotype" w:eastAsia="Palatino Linotype" w:hAnsi="Palatino Linotype" w:cs="Palatino Linotype"/>
        </w:rPr>
      </w:pPr>
      <w:r w:rsidRPr="008E7D1F">
        <w:rPr>
          <w:rFonts w:ascii="Palatino Linotype" w:eastAsia="Palatino Linotype" w:hAnsi="Palatino Linotype" w:cs="Palatino Linotype"/>
          <w:i/>
          <w:noProof/>
        </w:rPr>
        <w:lastRenderedPageBreak/>
        <w:drawing>
          <wp:inline distT="0" distB="0" distL="0" distR="0" wp14:anchorId="7A6FE264" wp14:editId="314D03E0">
            <wp:extent cx="4813436" cy="4359239"/>
            <wp:effectExtent l="9525" t="9525" r="9525" b="9525"/>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13436" cy="4359239"/>
                    </a:xfrm>
                    <a:prstGeom prst="rect">
                      <a:avLst/>
                    </a:prstGeom>
                    <a:ln w="9525">
                      <a:solidFill>
                        <a:srgbClr val="000000"/>
                      </a:solidFill>
                      <a:prstDash val="solid"/>
                    </a:ln>
                  </pic:spPr>
                </pic:pic>
              </a:graphicData>
            </a:graphic>
          </wp:inline>
        </w:drawing>
      </w:r>
    </w:p>
    <w:p w14:paraId="62AB20D0" w14:textId="77777777" w:rsidR="00B43F6F" w:rsidRPr="008E7D1F" w:rsidRDefault="00B43F6F" w:rsidP="008E7D1F">
      <w:pPr>
        <w:pBdr>
          <w:top w:val="nil"/>
          <w:left w:val="nil"/>
          <w:bottom w:val="nil"/>
          <w:right w:val="nil"/>
          <w:between w:val="nil"/>
        </w:pBdr>
        <w:tabs>
          <w:tab w:val="left" w:pos="426"/>
        </w:tabs>
        <w:spacing w:line="276" w:lineRule="auto"/>
        <w:ind w:right="51"/>
        <w:jc w:val="both"/>
        <w:rPr>
          <w:rFonts w:ascii="Palatino Linotype" w:eastAsia="Palatino Linotype" w:hAnsi="Palatino Linotype" w:cs="Palatino Linotype"/>
          <w:b/>
        </w:rPr>
      </w:pPr>
    </w:p>
    <w:p w14:paraId="5A16A819"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Una vez hecho lo anterior, se remite la información al Titular de la Unidad de Transparencia, con el acuerdo de clasificación correspondiente, para que sea sometido al conocimiento del Comité de Transparencia.</w:t>
      </w:r>
    </w:p>
    <w:p w14:paraId="323BAD6F" w14:textId="77777777" w:rsidR="00B43F6F" w:rsidRPr="008E7D1F" w:rsidRDefault="00B43F6F" w:rsidP="008E7D1F">
      <w:pPr>
        <w:pBdr>
          <w:top w:val="nil"/>
          <w:left w:val="nil"/>
          <w:bottom w:val="nil"/>
          <w:right w:val="nil"/>
          <w:between w:val="nil"/>
        </w:pBdr>
        <w:tabs>
          <w:tab w:val="left" w:pos="426"/>
        </w:tabs>
        <w:spacing w:after="240" w:line="276" w:lineRule="auto"/>
        <w:ind w:right="51"/>
        <w:jc w:val="both"/>
        <w:rPr>
          <w:rFonts w:ascii="Palatino Linotype" w:eastAsia="Palatino Linotype" w:hAnsi="Palatino Linotype" w:cs="Palatino Linotype"/>
          <w:b/>
        </w:rPr>
      </w:pPr>
    </w:p>
    <w:p w14:paraId="367959CF" w14:textId="77777777" w:rsidR="00B43F6F" w:rsidRPr="008E7D1F" w:rsidRDefault="00061995" w:rsidP="008E7D1F">
      <w:pPr>
        <w:pBdr>
          <w:top w:val="nil"/>
          <w:left w:val="nil"/>
          <w:bottom w:val="nil"/>
          <w:right w:val="nil"/>
          <w:between w:val="nil"/>
        </w:pBdr>
        <w:tabs>
          <w:tab w:val="left" w:pos="426"/>
        </w:tabs>
        <w:spacing w:before="240" w:after="240" w:line="276"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b/>
        </w:rPr>
        <w:t>a) Formalidades para emitir el Acuerdo de Clasificación</w:t>
      </w:r>
    </w:p>
    <w:p w14:paraId="687735E9" w14:textId="77777777" w:rsidR="00B43F6F" w:rsidRPr="008E7D1F" w:rsidRDefault="00B43F6F" w:rsidP="008E7D1F">
      <w:pPr>
        <w:pBdr>
          <w:top w:val="nil"/>
          <w:left w:val="nil"/>
          <w:bottom w:val="nil"/>
          <w:right w:val="nil"/>
          <w:between w:val="nil"/>
        </w:pBdr>
        <w:tabs>
          <w:tab w:val="left" w:pos="426"/>
        </w:tabs>
        <w:spacing w:before="240" w:after="240" w:line="276" w:lineRule="auto"/>
        <w:ind w:right="51"/>
        <w:jc w:val="both"/>
        <w:rPr>
          <w:rFonts w:ascii="Palatino Linotype" w:eastAsia="Palatino Linotype" w:hAnsi="Palatino Linotype" w:cs="Palatino Linotype"/>
          <w:b/>
        </w:rPr>
      </w:pPr>
    </w:p>
    <w:p w14:paraId="405C1212"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El Comité de Transparencia, según lo dispuesto en los artículos 128 y 103 de la Ley Estatal y de la Ley General, respectivamente, y la fracción III del numeral Segundo de </w:t>
      </w:r>
      <w:r w:rsidRPr="008E7D1F">
        <w:rPr>
          <w:rFonts w:ascii="Palatino Linotype" w:eastAsia="Palatino Linotype" w:hAnsi="Palatino Linotype" w:cs="Palatino Linotype"/>
        </w:rPr>
        <w:lastRenderedPageBreak/>
        <w:t xml:space="preserve">los Lineamientos generales en materia de clasificación y desclasificación de la información, así como para la elaboración de versiones públicas, en adelante los Lineamientos Generales, cuenta con las facultades para </w:t>
      </w:r>
      <w:r w:rsidRPr="008E7D1F">
        <w:rPr>
          <w:rFonts w:ascii="Palatino Linotype" w:eastAsia="Palatino Linotype" w:hAnsi="Palatino Linotype" w:cs="Palatino Linotype"/>
          <w:b/>
          <w:u w:val="single"/>
        </w:rPr>
        <w:t>confirmar, modificar o revocar</w:t>
      </w:r>
      <w:r w:rsidRPr="008E7D1F">
        <w:rPr>
          <w:rFonts w:ascii="Palatino Linotype" w:eastAsia="Palatino Linotype" w:hAnsi="Palatino Linotype" w:cs="Palatino Linotype"/>
        </w:rPr>
        <w:t xml:space="preserve"> la clasificación de la información que ha hecho el titular del área que administra la información. Por lo tanto, el Comité </w:t>
      </w:r>
      <w:r w:rsidRPr="008E7D1F">
        <w:rPr>
          <w:rFonts w:ascii="Palatino Linotype" w:eastAsia="Palatino Linotype" w:hAnsi="Palatino Linotype" w:cs="Palatino Linotype"/>
          <w:b/>
          <w:u w:val="single"/>
        </w:rPr>
        <w:t>no aprueba</w:t>
      </w:r>
      <w:r w:rsidRPr="008E7D1F">
        <w:rPr>
          <w:rFonts w:ascii="Palatino Linotype" w:eastAsia="Palatino Linotype" w:hAnsi="Palatino Linotype" w:cs="Palatino Linotype"/>
        </w:rPr>
        <w:t xml:space="preserve"> la clasificación, sino que revisa lo que ha hecho el titular del área y confirma, modifica o revoca la decisión a través de un acuerdo.</w:t>
      </w:r>
    </w:p>
    <w:p w14:paraId="272E21FE" w14:textId="77777777" w:rsidR="00B43F6F" w:rsidRPr="008E7D1F" w:rsidRDefault="00B43F6F"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2FDAE4DE"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Evidentemente, esta decisión implica una restricción a un derecho humano, por lo tanto, puede generar un agravio al </w:t>
      </w:r>
      <w:r w:rsidRPr="008E7D1F">
        <w:rPr>
          <w:rFonts w:ascii="Palatino Linotype" w:eastAsia="Palatino Linotype" w:hAnsi="Palatino Linotype" w:cs="Palatino Linotype"/>
          <w:b/>
        </w:rPr>
        <w:t>PARTICULAR</w:t>
      </w:r>
      <w:r w:rsidRPr="008E7D1F">
        <w:rPr>
          <w:rFonts w:ascii="Palatino Linotype" w:eastAsia="Palatino Linotype" w:hAnsi="Palatino Linotype" w:cs="Palatino Linotype"/>
        </w:rPr>
        <w:t xml:space="preserve"> y, en consecuencia, es necesario que </w:t>
      </w:r>
      <w:r w:rsidRPr="008E7D1F">
        <w:rPr>
          <w:rFonts w:ascii="Palatino Linotype" w:eastAsia="Palatino Linotype" w:hAnsi="Palatino Linotype" w:cs="Palatino Linotype"/>
          <w:b/>
          <w:u w:val="single"/>
        </w:rPr>
        <w:t>el acto reúna con los requisitos elementales</w:t>
      </w:r>
      <w:r w:rsidRPr="008E7D1F">
        <w:rPr>
          <w:rFonts w:ascii="Palatino Linotype" w:eastAsia="Palatino Linotype" w:hAnsi="Palatino Linotype" w:cs="Palatino Linotype"/>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7B8AD915"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18B702ED"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La decisión de confirmar, modificar o revocar la clasificación deberá de asentarse en un documento que registre la determinación a la que se llegue después de un análisis </w:t>
      </w:r>
      <w:r w:rsidRPr="008E7D1F">
        <w:rPr>
          <w:rFonts w:ascii="Palatino Linotype" w:eastAsia="Palatino Linotype" w:hAnsi="Palatino Linotype" w:cs="Palatino Linotype"/>
        </w:rPr>
        <w:lastRenderedPageBreak/>
        <w:t>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3FF80129"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28514B2D" w14:textId="77777777" w:rsidR="00B43F6F" w:rsidRPr="008E7D1F" w:rsidRDefault="00061995" w:rsidP="008E7D1F">
      <w:pPr>
        <w:tabs>
          <w:tab w:val="left" w:pos="142"/>
          <w:tab w:val="left" w:pos="284"/>
          <w:tab w:val="left" w:pos="426"/>
        </w:tabs>
        <w:spacing w:line="276" w:lineRule="auto"/>
        <w:jc w:val="both"/>
        <w:rPr>
          <w:rFonts w:ascii="Palatino Linotype" w:eastAsia="Palatino Linotype" w:hAnsi="Palatino Linotype" w:cs="Palatino Linotype"/>
          <w:b/>
        </w:rPr>
      </w:pPr>
      <w:r w:rsidRPr="008E7D1F">
        <w:rPr>
          <w:rFonts w:ascii="Palatino Linotype" w:eastAsia="Palatino Linotype" w:hAnsi="Palatino Linotype" w:cs="Palatino Linotype"/>
          <w:b/>
        </w:rPr>
        <w:t>Acuerdo de Clasificación.</w:t>
      </w:r>
    </w:p>
    <w:p w14:paraId="51BDC98D"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78E9F5A5"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4281A976"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34EEAB7"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058F0F9A"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Han sido vastos los estudios doctrinarios relativos a estos derechos fundamentales y al principio de legalidad en ellos contenidos; como ejemplo, el procesalista José Ovalle Fabela, en su obra “Garantías Constitucionales del Proceso”, refiere que “...</w:t>
      </w:r>
      <w:r w:rsidRPr="008E7D1F">
        <w:rPr>
          <w:rFonts w:ascii="Palatino Linotype" w:eastAsia="Palatino Linotype" w:hAnsi="Palatino Linotype" w:cs="Palatino Linotype"/>
          <w:i/>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8E7D1F">
        <w:rPr>
          <w:rFonts w:ascii="Palatino Linotype" w:eastAsia="Palatino Linotype" w:hAnsi="Palatino Linotype" w:cs="Palatino Linotype"/>
        </w:rPr>
        <w:t>....”</w:t>
      </w:r>
      <w:r w:rsidRPr="008E7D1F">
        <w:rPr>
          <w:rFonts w:ascii="Palatino Linotype" w:eastAsia="Palatino Linotype" w:hAnsi="Palatino Linotype" w:cs="Palatino Linotype"/>
          <w:vertAlign w:val="superscript"/>
        </w:rPr>
        <w:footnoteReference w:id="4"/>
      </w:r>
    </w:p>
    <w:p w14:paraId="5C56455D"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74AFD704" w14:textId="77777777" w:rsidR="00B43F6F" w:rsidRPr="008E7D1F" w:rsidRDefault="00061995" w:rsidP="008E7D1F">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Por su parte, el intérprete judicial del país ha establecido una jurisprudencia respecto a qué debe entenderse por fundamentación y motivación, en los siguientes términos:</w:t>
      </w:r>
    </w:p>
    <w:p w14:paraId="18D8A7FF" w14:textId="77777777" w:rsidR="00B43F6F" w:rsidRPr="008E7D1F" w:rsidRDefault="00061995" w:rsidP="008E7D1F">
      <w:pPr>
        <w:spacing w:line="276" w:lineRule="auto"/>
        <w:ind w:left="851" w:right="618"/>
        <w:jc w:val="both"/>
        <w:rPr>
          <w:rFonts w:ascii="Palatino Linotype" w:eastAsia="Palatino Linotype" w:hAnsi="Palatino Linotype" w:cs="Palatino Linotype"/>
          <w:i/>
        </w:rPr>
      </w:pPr>
      <w:r w:rsidRPr="008E7D1F">
        <w:rPr>
          <w:rFonts w:ascii="Palatino Linotype" w:eastAsia="Palatino Linotype" w:hAnsi="Palatino Linotype" w:cs="Palatino Linotype"/>
          <w:b/>
          <w:i/>
        </w:rPr>
        <w:t>FUNDAMENTACIÓN Y MOTIVACIÓN.</w:t>
      </w:r>
      <w:r w:rsidRPr="008E7D1F">
        <w:rPr>
          <w:rFonts w:ascii="Palatino Linotype" w:eastAsia="Palatino Linotype" w:hAnsi="Palatino Linotype" w:cs="Palatino Linotype"/>
          <w:i/>
        </w:rPr>
        <w:t xml:space="preserve"> “La </w:t>
      </w:r>
      <w:r w:rsidRPr="008E7D1F">
        <w:rPr>
          <w:rFonts w:ascii="Palatino Linotype" w:eastAsia="Palatino Linotype" w:hAnsi="Palatino Linotype" w:cs="Palatino Linotype"/>
          <w:i/>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8E7D1F">
        <w:rPr>
          <w:rFonts w:ascii="Palatino Linotype" w:eastAsia="Palatino Linotype" w:hAnsi="Palatino Linotype" w:cs="Palatino Linotype"/>
          <w:i/>
        </w:rPr>
        <w:t>.”</w:t>
      </w:r>
    </w:p>
    <w:p w14:paraId="4AB198B5" w14:textId="77777777" w:rsidR="00B43F6F" w:rsidRPr="008E7D1F" w:rsidRDefault="00061995" w:rsidP="008E7D1F">
      <w:pPr>
        <w:spacing w:line="276" w:lineRule="auto"/>
        <w:ind w:left="851" w:right="618"/>
        <w:jc w:val="both"/>
        <w:rPr>
          <w:rFonts w:ascii="Palatino Linotype" w:eastAsia="Palatino Linotype" w:hAnsi="Palatino Linotype" w:cs="Palatino Linotype"/>
          <w:i/>
        </w:rPr>
      </w:pPr>
      <w:r w:rsidRPr="008E7D1F">
        <w:rPr>
          <w:rFonts w:ascii="Palatino Linotype" w:eastAsia="Palatino Linotype" w:hAnsi="Palatino Linotype" w:cs="Palatino Linotype"/>
          <w:i/>
        </w:rPr>
        <w:t>SEGUNDO TRIBUNAL COLEGIADO DEL SEXTO CIRCUITO.</w:t>
      </w:r>
    </w:p>
    <w:p w14:paraId="1A3C4501"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52FE466" w14:textId="77777777" w:rsidR="00B43F6F" w:rsidRPr="008E7D1F" w:rsidRDefault="00B43F6F"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6959D6E6" w14:textId="77777777" w:rsidR="00B43F6F" w:rsidRPr="008E7D1F" w:rsidRDefault="00061995" w:rsidP="008E7D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 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6961816" w14:textId="77777777" w:rsidR="00B43F6F" w:rsidRPr="008E7D1F" w:rsidRDefault="00B43F6F" w:rsidP="008E7D1F">
      <w:pPr>
        <w:pBdr>
          <w:top w:val="nil"/>
          <w:left w:val="nil"/>
          <w:bottom w:val="nil"/>
          <w:right w:val="nil"/>
          <w:between w:val="nil"/>
        </w:pBdr>
        <w:tabs>
          <w:tab w:val="left" w:pos="426"/>
        </w:tabs>
        <w:spacing w:after="240" w:line="276" w:lineRule="auto"/>
        <w:ind w:right="51"/>
        <w:jc w:val="both"/>
        <w:rPr>
          <w:rFonts w:ascii="Palatino Linotype" w:eastAsia="Palatino Linotype" w:hAnsi="Palatino Linotype" w:cs="Palatino Linotype"/>
          <w:b/>
        </w:rPr>
      </w:pPr>
    </w:p>
    <w:p w14:paraId="3726D85D"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68472F7D"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0DF5C819" w14:textId="77777777" w:rsidR="00B43F6F" w:rsidRPr="008E7D1F" w:rsidRDefault="00061995" w:rsidP="008E7D1F">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 xml:space="preserve">Ahora bien, </w:t>
      </w:r>
      <w:r w:rsidRPr="008E7D1F">
        <w:rPr>
          <w:rFonts w:ascii="Palatino Linotype" w:eastAsia="Palatino Linotype" w:hAnsi="Palatino Linotype" w:cs="Palatino Linotype"/>
          <w:b/>
          <w:u w:val="single"/>
        </w:rPr>
        <w:t>para cada caso además de fundar y motivar</w:t>
      </w:r>
      <w:r w:rsidRPr="008E7D1F">
        <w:rPr>
          <w:rFonts w:ascii="Palatino Linotype" w:eastAsia="Palatino Linotype" w:hAnsi="Palatino Linotype" w:cs="Palatino Linotype"/>
        </w:rPr>
        <w:t>, se debe identificar con claridad qué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8E7D1F">
        <w:rPr>
          <w:rFonts w:ascii="Palatino Linotype" w:eastAsia="Palatino Linotype" w:hAnsi="Palatino Linotype" w:cs="Palatino Linotype"/>
          <w:vertAlign w:val="superscript"/>
        </w:rPr>
        <w:footnoteReference w:id="5"/>
      </w:r>
      <w:r w:rsidRPr="008E7D1F">
        <w:rPr>
          <w:rFonts w:ascii="Palatino Linotype" w:eastAsia="Palatino Linotype" w:hAnsi="Palatino Linotype" w:cs="Palatino Linotype"/>
        </w:rPr>
        <w:t xml:space="preserve"> del servidor público que no </w:t>
      </w:r>
      <w:r w:rsidRPr="008E7D1F">
        <w:rPr>
          <w:rFonts w:ascii="Palatino Linotype" w:eastAsia="Palatino Linotype" w:hAnsi="Palatino Linotype" w:cs="Palatino Linotype"/>
        </w:rPr>
        <w:lastRenderedPageBreak/>
        <w:t>tienen ninguna injerencia en el tema de la transparencia y la rendición de cuentas, por ejemplo, Clave Única de Registro de Población (CURP), Registro Federal de Contribuyentes (R.F.C.), clave de Cadenas Originales del Sellos Digitales y los Códigos Bidimensionales, también denominados Códigos QR, son datos  susceptibles de clasificarse como confidenciales mediante una versión pública que deje a la vista los datos que ofrezcan la información requerida.</w:t>
      </w:r>
    </w:p>
    <w:p w14:paraId="290A19F6" w14:textId="77777777" w:rsidR="00B43F6F" w:rsidRPr="008E7D1F" w:rsidRDefault="00B43F6F" w:rsidP="008E7D1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0392B2A9" w14:textId="77777777" w:rsidR="00B43F6F" w:rsidRPr="008E7D1F" w:rsidRDefault="00061995" w:rsidP="008E7D1F">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rPr>
      </w:pPr>
      <w:r w:rsidRPr="008E7D1F">
        <w:rPr>
          <w:rFonts w:ascii="Palatino Linotype" w:eastAsia="Palatino Linotype" w:hAnsi="Palatino Linotype" w:cs="Palatino Linotype"/>
        </w:rPr>
        <w:t>Otro 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2DDCAB07" w14:textId="77777777" w:rsidR="00B43F6F" w:rsidRPr="008E7D1F" w:rsidRDefault="00061995" w:rsidP="008E7D1F">
      <w:pPr>
        <w:pBdr>
          <w:top w:val="nil"/>
          <w:left w:val="nil"/>
          <w:bottom w:val="nil"/>
          <w:right w:val="nil"/>
          <w:between w:val="nil"/>
        </w:pBd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 xml:space="preserve">En mérito de lo expuesto en líneas anteriores, este Instituto considera que los motivos de inconformidad planteados por el Recurrente resultan fundados en el recurso de revisión que es materia de esta resolución; por ello </w:t>
      </w:r>
      <w:r w:rsidRPr="008E7D1F">
        <w:rPr>
          <w:rFonts w:ascii="Palatino Linotype" w:eastAsia="Palatino Linotype" w:hAnsi="Palatino Linotype" w:cs="Palatino Linotype"/>
          <w:b/>
        </w:rPr>
        <w:t xml:space="preserve">con fundamento en la segunda hipótesis de la fracción III del artículo 186 </w:t>
      </w:r>
      <w:r w:rsidRPr="008E7D1F">
        <w:rPr>
          <w:rFonts w:ascii="Palatino Linotype" w:eastAsia="Palatino Linotype" w:hAnsi="Palatino Linotype" w:cs="Palatino Linotype"/>
        </w:rPr>
        <w:t xml:space="preserve">de la Ley de Transparencia y Acceso a la Información Pública del Estado de México y Municipios, se </w:t>
      </w:r>
      <w:r w:rsidRPr="008E7D1F">
        <w:rPr>
          <w:rFonts w:ascii="Palatino Linotype" w:eastAsia="Palatino Linotype" w:hAnsi="Palatino Linotype" w:cs="Palatino Linotype"/>
          <w:b/>
        </w:rPr>
        <w:t xml:space="preserve">REVOCA </w:t>
      </w:r>
      <w:r w:rsidRPr="008E7D1F">
        <w:rPr>
          <w:rFonts w:ascii="Palatino Linotype" w:eastAsia="Palatino Linotype" w:hAnsi="Palatino Linotype" w:cs="Palatino Linotype"/>
        </w:rPr>
        <w:t>la respuesta a la solicitud de información número</w:t>
      </w:r>
      <w:r w:rsidRPr="008E7D1F">
        <w:rPr>
          <w:rFonts w:ascii="Palatino Linotype" w:eastAsia="Palatino Linotype" w:hAnsi="Palatino Linotype" w:cs="Palatino Linotype"/>
          <w:b/>
        </w:rPr>
        <w:t xml:space="preserve"> 00207/CUAUTIT/IP/2023</w:t>
      </w:r>
      <w:r w:rsidRPr="008E7D1F">
        <w:rPr>
          <w:rFonts w:ascii="Palatino Linotype" w:eastAsia="Palatino Linotype" w:hAnsi="Palatino Linotype" w:cs="Palatino Linotype"/>
        </w:rPr>
        <w:t>,</w:t>
      </w:r>
      <w:r w:rsidRPr="008E7D1F">
        <w:rPr>
          <w:rFonts w:ascii="Palatino Linotype" w:eastAsia="Palatino Linotype" w:hAnsi="Palatino Linotype" w:cs="Palatino Linotype"/>
          <w:b/>
        </w:rPr>
        <w:t xml:space="preserve"> </w:t>
      </w:r>
      <w:r w:rsidRPr="008E7D1F">
        <w:rPr>
          <w:rFonts w:ascii="Palatino Linotype" w:eastAsia="Palatino Linotype" w:hAnsi="Palatino Linotype" w:cs="Palatino Linotype"/>
        </w:rPr>
        <w:t>que ha sido materia del presente estudio.</w:t>
      </w:r>
    </w:p>
    <w:p w14:paraId="0599F6C6" w14:textId="77777777" w:rsidR="00B43F6F" w:rsidRPr="008E7D1F" w:rsidRDefault="00B43F6F" w:rsidP="004176C5">
      <w:pPr>
        <w:pBdr>
          <w:top w:val="nil"/>
          <w:left w:val="nil"/>
          <w:bottom w:val="nil"/>
          <w:right w:val="nil"/>
          <w:between w:val="nil"/>
        </w:pBdr>
        <w:jc w:val="both"/>
        <w:rPr>
          <w:rFonts w:ascii="Palatino Linotype" w:eastAsia="Palatino Linotype" w:hAnsi="Palatino Linotype" w:cs="Palatino Linotype"/>
        </w:rPr>
      </w:pPr>
    </w:p>
    <w:p w14:paraId="4B08CF20" w14:textId="05AF11F3" w:rsidR="00B43F6F" w:rsidRDefault="00061995" w:rsidP="008E7D1F">
      <w:pPr>
        <w:pBdr>
          <w:top w:val="nil"/>
          <w:left w:val="nil"/>
          <w:bottom w:val="nil"/>
          <w:right w:val="nil"/>
          <w:between w:val="nil"/>
        </w:pBd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Por lo antes expuesto y fundado:</w:t>
      </w:r>
    </w:p>
    <w:p w14:paraId="285044B0" w14:textId="77777777" w:rsidR="004176C5" w:rsidRPr="004176C5" w:rsidRDefault="004176C5" w:rsidP="008E7D1F">
      <w:pPr>
        <w:pBdr>
          <w:top w:val="nil"/>
          <w:left w:val="nil"/>
          <w:bottom w:val="nil"/>
          <w:right w:val="nil"/>
          <w:between w:val="nil"/>
        </w:pBdr>
        <w:spacing w:line="360" w:lineRule="auto"/>
        <w:jc w:val="both"/>
        <w:rPr>
          <w:rFonts w:ascii="Palatino Linotype" w:eastAsia="Palatino Linotype" w:hAnsi="Palatino Linotype" w:cs="Palatino Linotype"/>
        </w:rPr>
      </w:pPr>
    </w:p>
    <w:p w14:paraId="6A2AC5C1" w14:textId="2A67D5C2" w:rsidR="00B43F6F" w:rsidRPr="004176C5" w:rsidRDefault="00061995" w:rsidP="004176C5">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8E7D1F">
        <w:rPr>
          <w:rFonts w:ascii="Palatino Linotype" w:eastAsia="Palatino Linotype" w:hAnsi="Palatino Linotype" w:cs="Palatino Linotype"/>
          <w:b/>
          <w:sz w:val="28"/>
          <w:szCs w:val="28"/>
        </w:rPr>
        <w:t>S E    R E S U E L V E</w:t>
      </w:r>
    </w:p>
    <w:p w14:paraId="05F1711B" w14:textId="77777777" w:rsidR="00B43F6F" w:rsidRPr="008E7D1F" w:rsidRDefault="00061995" w:rsidP="008E7D1F">
      <w:pPr>
        <w:pBdr>
          <w:top w:val="nil"/>
          <w:left w:val="nil"/>
          <w:bottom w:val="nil"/>
          <w:right w:val="nil"/>
          <w:between w:val="nil"/>
        </w:pBd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b/>
          <w:sz w:val="26"/>
          <w:szCs w:val="26"/>
        </w:rPr>
        <w:lastRenderedPageBreak/>
        <w:t>PRIMERO</w:t>
      </w:r>
      <w:r w:rsidRPr="008E7D1F">
        <w:rPr>
          <w:rFonts w:ascii="Palatino Linotype" w:eastAsia="Palatino Linotype" w:hAnsi="Palatino Linotype" w:cs="Palatino Linotype"/>
          <w:b/>
        </w:rPr>
        <w:t>.</w:t>
      </w:r>
      <w:r w:rsidRPr="008E7D1F">
        <w:rPr>
          <w:rFonts w:ascii="Palatino Linotype" w:eastAsia="Palatino Linotype" w:hAnsi="Palatino Linotype" w:cs="Palatino Linotype"/>
        </w:rPr>
        <w:t xml:space="preserve"> Se </w:t>
      </w:r>
      <w:r w:rsidRPr="008E7D1F">
        <w:rPr>
          <w:rFonts w:ascii="Palatino Linotype" w:eastAsia="Palatino Linotype" w:hAnsi="Palatino Linotype" w:cs="Palatino Linotype"/>
          <w:b/>
        </w:rPr>
        <w:t>REVOCA</w:t>
      </w:r>
      <w:r w:rsidRPr="008E7D1F">
        <w:rPr>
          <w:rFonts w:ascii="Palatino Linotype" w:eastAsia="Palatino Linotype" w:hAnsi="Palatino Linotype" w:cs="Palatino Linotype"/>
        </w:rPr>
        <w:t xml:space="preserve"> la respuesta entregada por el Sujeto Obligado</w:t>
      </w:r>
      <w:r w:rsidRPr="008E7D1F">
        <w:rPr>
          <w:rFonts w:ascii="Palatino Linotype" w:eastAsia="Palatino Linotype" w:hAnsi="Palatino Linotype" w:cs="Palatino Linotype"/>
          <w:b/>
        </w:rPr>
        <w:t xml:space="preserve"> </w:t>
      </w:r>
      <w:r w:rsidRPr="008E7D1F">
        <w:rPr>
          <w:rFonts w:ascii="Palatino Linotype" w:eastAsia="Palatino Linotype" w:hAnsi="Palatino Linotype" w:cs="Palatino Linotype"/>
        </w:rPr>
        <w:t xml:space="preserve">a la solicitud de información número </w:t>
      </w:r>
      <w:r w:rsidRPr="008E7D1F">
        <w:rPr>
          <w:rFonts w:ascii="Palatino Linotype" w:eastAsia="Palatino Linotype" w:hAnsi="Palatino Linotype" w:cs="Palatino Linotype"/>
          <w:b/>
        </w:rPr>
        <w:t>00207/CUAUTIT/IP/2023</w:t>
      </w:r>
      <w:r w:rsidRPr="008E7D1F">
        <w:rPr>
          <w:rFonts w:ascii="Palatino Linotype" w:eastAsia="Palatino Linotype" w:hAnsi="Palatino Linotype" w:cs="Palatino Linotype"/>
        </w:rPr>
        <w:t>, por resultar fundados los motivos de inconformidad expuestos por el Recurrente, en términos del considerando</w:t>
      </w:r>
      <w:r w:rsidRPr="008E7D1F">
        <w:rPr>
          <w:rFonts w:ascii="Palatino Linotype" w:eastAsia="Palatino Linotype" w:hAnsi="Palatino Linotype" w:cs="Palatino Linotype"/>
          <w:b/>
        </w:rPr>
        <w:t xml:space="preserve"> QUINTO </w:t>
      </w:r>
      <w:r w:rsidRPr="008E7D1F">
        <w:rPr>
          <w:rFonts w:ascii="Palatino Linotype" w:eastAsia="Palatino Linotype" w:hAnsi="Palatino Linotype" w:cs="Palatino Linotype"/>
        </w:rPr>
        <w:t xml:space="preserve">de la presente resolución. </w:t>
      </w:r>
    </w:p>
    <w:p w14:paraId="1A8CD32E" w14:textId="77777777" w:rsidR="00B43F6F" w:rsidRPr="008E7D1F" w:rsidRDefault="00B43F6F" w:rsidP="004176C5">
      <w:pPr>
        <w:pBdr>
          <w:top w:val="nil"/>
          <w:left w:val="nil"/>
          <w:bottom w:val="nil"/>
          <w:right w:val="nil"/>
          <w:between w:val="nil"/>
        </w:pBdr>
        <w:jc w:val="both"/>
        <w:rPr>
          <w:rFonts w:ascii="Palatino Linotype" w:eastAsia="Palatino Linotype" w:hAnsi="Palatino Linotype" w:cs="Palatino Linotype"/>
          <w:sz w:val="21"/>
          <w:szCs w:val="21"/>
        </w:rPr>
      </w:pPr>
    </w:p>
    <w:p w14:paraId="278E524C" w14:textId="77777777" w:rsidR="00B43F6F" w:rsidRPr="008E7D1F" w:rsidRDefault="00061995" w:rsidP="008E7D1F">
      <w:pPr>
        <w:pBdr>
          <w:top w:val="nil"/>
          <w:left w:val="nil"/>
          <w:bottom w:val="nil"/>
          <w:right w:val="nil"/>
          <w:between w:val="nil"/>
        </w:pBd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b/>
          <w:sz w:val="26"/>
          <w:szCs w:val="26"/>
        </w:rPr>
        <w:t>SEGUNDO</w:t>
      </w:r>
      <w:r w:rsidRPr="008E7D1F">
        <w:rPr>
          <w:rFonts w:ascii="Palatino Linotype" w:eastAsia="Palatino Linotype" w:hAnsi="Palatino Linotype" w:cs="Palatino Linotype"/>
          <w:b/>
        </w:rPr>
        <w:t>.</w:t>
      </w:r>
      <w:r w:rsidRPr="008E7D1F">
        <w:rPr>
          <w:rFonts w:ascii="Palatino Linotype" w:eastAsia="Palatino Linotype" w:hAnsi="Palatino Linotype" w:cs="Palatino Linotype"/>
        </w:rPr>
        <w:t xml:space="preserve"> Se </w:t>
      </w:r>
      <w:r w:rsidRPr="008E7D1F">
        <w:rPr>
          <w:rFonts w:ascii="Palatino Linotype" w:eastAsia="Palatino Linotype" w:hAnsi="Palatino Linotype" w:cs="Palatino Linotype"/>
          <w:b/>
        </w:rPr>
        <w:t>ORDENA</w:t>
      </w:r>
      <w:r w:rsidRPr="008E7D1F">
        <w:rPr>
          <w:rFonts w:ascii="Palatino Linotype" w:eastAsia="Palatino Linotype" w:hAnsi="Palatino Linotype" w:cs="Palatino Linotype"/>
        </w:rPr>
        <w:t xml:space="preserve"> al </w:t>
      </w:r>
      <w:r w:rsidRPr="008E7D1F">
        <w:rPr>
          <w:rFonts w:ascii="Palatino Linotype" w:eastAsia="Palatino Linotype" w:hAnsi="Palatino Linotype" w:cs="Palatino Linotype"/>
          <w:b/>
        </w:rPr>
        <w:t>Sujeto Obligado</w:t>
      </w:r>
      <w:r w:rsidRPr="008E7D1F">
        <w:rPr>
          <w:rFonts w:ascii="Palatino Linotype" w:eastAsia="Palatino Linotype" w:hAnsi="Palatino Linotype" w:cs="Palatino Linotype"/>
        </w:rPr>
        <w:t xml:space="preserve"> que haga entrega al </w:t>
      </w:r>
      <w:r w:rsidRPr="008E7D1F">
        <w:rPr>
          <w:rFonts w:ascii="Palatino Linotype" w:eastAsia="Palatino Linotype" w:hAnsi="Palatino Linotype" w:cs="Palatino Linotype"/>
          <w:b/>
        </w:rPr>
        <w:t>Recurrente</w:t>
      </w:r>
      <w:r w:rsidRPr="008E7D1F">
        <w:rPr>
          <w:rFonts w:ascii="Palatino Linotype" w:eastAsia="Palatino Linotype" w:hAnsi="Palatino Linotype" w:cs="Palatino Linotype"/>
        </w:rPr>
        <w:t xml:space="preserve"> mediante el Sistema de Acceso a la Información Mexiquense (SAIMEX), en versión pública, del soporte documental en que obre lo siguiente:</w:t>
      </w:r>
    </w:p>
    <w:p w14:paraId="19F7E522" w14:textId="77777777" w:rsidR="00B43F6F" w:rsidRPr="008E7D1F" w:rsidRDefault="00B43F6F" w:rsidP="004176C5">
      <w:pPr>
        <w:pBdr>
          <w:top w:val="nil"/>
          <w:left w:val="nil"/>
          <w:bottom w:val="nil"/>
          <w:right w:val="nil"/>
          <w:between w:val="nil"/>
        </w:pBdr>
        <w:ind w:left="851" w:right="899"/>
        <w:jc w:val="both"/>
        <w:rPr>
          <w:rFonts w:ascii="Palatino Linotype" w:eastAsia="Palatino Linotype" w:hAnsi="Palatino Linotype" w:cs="Palatino Linotype"/>
        </w:rPr>
      </w:pPr>
    </w:p>
    <w:p w14:paraId="561E13AE" w14:textId="77777777" w:rsidR="00B43F6F" w:rsidRPr="008E7D1F" w:rsidRDefault="00061995" w:rsidP="008E7D1F">
      <w:pPr>
        <w:widowControl w:val="0"/>
        <w:numPr>
          <w:ilvl w:val="0"/>
          <w:numId w:val="4"/>
        </w:numPr>
        <w:pBdr>
          <w:top w:val="nil"/>
          <w:left w:val="nil"/>
          <w:bottom w:val="nil"/>
          <w:right w:val="nil"/>
          <w:between w:val="nil"/>
        </w:pBdr>
        <w:ind w:left="851" w:right="899"/>
        <w:jc w:val="both"/>
        <w:rPr>
          <w:rFonts w:ascii="Palatino Linotype" w:eastAsia="Palatino Linotype" w:hAnsi="Palatino Linotype" w:cs="Palatino Linotype"/>
          <w:i/>
        </w:rPr>
      </w:pPr>
      <w:r w:rsidRPr="008E7D1F">
        <w:rPr>
          <w:rFonts w:ascii="Palatino Linotype" w:eastAsia="Palatino Linotype" w:hAnsi="Palatino Linotype" w:cs="Palatino Linotype"/>
          <w:i/>
        </w:rPr>
        <w:t>Los Contratos o Convenios de sueldos y prestaciones, o prestaciones socioeconómicas o similar, celebrados con el Sindicato Único de Trabajadores de los Poderes, Municipios e Instituciones Descentralizadas del Estado de México (S.U.T.E.Y.M.); vigente al veintitrés de mayo de dos mil veintitrés</w:t>
      </w:r>
    </w:p>
    <w:p w14:paraId="5AE5DB3E" w14:textId="77777777" w:rsidR="00B43F6F" w:rsidRPr="008E7D1F" w:rsidRDefault="00B43F6F" w:rsidP="008E7D1F">
      <w:pPr>
        <w:widowControl w:val="0"/>
        <w:pBdr>
          <w:top w:val="nil"/>
          <w:left w:val="nil"/>
          <w:bottom w:val="nil"/>
          <w:right w:val="nil"/>
          <w:between w:val="nil"/>
        </w:pBdr>
        <w:ind w:left="851" w:right="899"/>
        <w:jc w:val="both"/>
        <w:rPr>
          <w:rFonts w:ascii="Palatino Linotype" w:eastAsia="Palatino Linotype" w:hAnsi="Palatino Linotype" w:cs="Palatino Linotype"/>
          <w:i/>
        </w:rPr>
      </w:pPr>
    </w:p>
    <w:p w14:paraId="3F18BBFB" w14:textId="77777777" w:rsidR="00B43F6F" w:rsidRPr="008E7D1F" w:rsidRDefault="00061995" w:rsidP="008E7D1F">
      <w:pPr>
        <w:ind w:left="851" w:right="899"/>
        <w:jc w:val="both"/>
        <w:rPr>
          <w:rFonts w:ascii="Palatino Linotype" w:eastAsia="Palatino Linotype" w:hAnsi="Palatino Linotype" w:cs="Palatino Linotype"/>
          <w:i/>
          <w:sz w:val="22"/>
          <w:szCs w:val="22"/>
        </w:rPr>
      </w:pPr>
      <w:r w:rsidRPr="008E7D1F">
        <w:rPr>
          <w:rFonts w:ascii="Palatino Linotype" w:eastAsia="Palatino Linotype" w:hAnsi="Palatino Linotype" w:cs="Palatino Linotype"/>
          <w:i/>
          <w:sz w:val="22"/>
          <w:szCs w:val="22"/>
        </w:rPr>
        <w:t xml:space="preserve">Debiendo notificar al </w:t>
      </w:r>
      <w:r w:rsidRPr="008E7D1F">
        <w:rPr>
          <w:rFonts w:ascii="Palatino Linotype" w:eastAsia="Palatino Linotype" w:hAnsi="Palatino Linotype" w:cs="Palatino Linotype"/>
          <w:b/>
          <w:i/>
          <w:sz w:val="22"/>
          <w:szCs w:val="22"/>
        </w:rPr>
        <w:t>RECURRENTE</w:t>
      </w:r>
      <w:r w:rsidRPr="008E7D1F">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32F05996" w14:textId="77777777" w:rsidR="00B43F6F" w:rsidRPr="008E7D1F" w:rsidRDefault="00B43F6F" w:rsidP="004176C5">
      <w:pPr>
        <w:jc w:val="both"/>
        <w:rPr>
          <w:rFonts w:ascii="Palatino Linotype" w:eastAsia="Palatino Linotype" w:hAnsi="Palatino Linotype" w:cs="Palatino Linotype"/>
        </w:rPr>
      </w:pPr>
    </w:p>
    <w:p w14:paraId="77185C57" w14:textId="46637E18" w:rsidR="00B43F6F" w:rsidRPr="004176C5" w:rsidRDefault="00061995" w:rsidP="004176C5">
      <w:pPr>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b/>
          <w:sz w:val="28"/>
          <w:szCs w:val="28"/>
        </w:rPr>
        <w:t>TERCERO</w:t>
      </w:r>
      <w:r w:rsidRPr="008E7D1F">
        <w:rPr>
          <w:rFonts w:ascii="Palatino Linotype" w:eastAsia="Palatino Linotype" w:hAnsi="Palatino Linotype" w:cs="Palatino Linotype"/>
          <w:b/>
        </w:rPr>
        <w:t>.</w:t>
      </w:r>
      <w:r w:rsidRPr="008E7D1F">
        <w:rPr>
          <w:rFonts w:ascii="Palatino Linotype" w:eastAsia="Palatino Linotype" w:hAnsi="Palatino Linotype" w:cs="Palatino Linotype"/>
        </w:rPr>
        <w:t xml:space="preserve"> </w:t>
      </w:r>
      <w:r w:rsidRPr="008E7D1F">
        <w:rPr>
          <w:rFonts w:ascii="Palatino Linotype" w:eastAsia="Palatino Linotype" w:hAnsi="Palatino Linotype" w:cs="Palatino Linotype"/>
          <w:b/>
        </w:rPr>
        <w:t xml:space="preserve">Notifíquese </w:t>
      </w:r>
      <w:r w:rsidRPr="008E7D1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9B6E16" w14:textId="77777777" w:rsidR="00B43F6F" w:rsidRPr="008E7D1F" w:rsidRDefault="00061995" w:rsidP="008E7D1F">
      <w:pPr>
        <w:tabs>
          <w:tab w:val="left" w:pos="709"/>
        </w:tabs>
        <w:spacing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b/>
          <w:sz w:val="28"/>
          <w:szCs w:val="28"/>
        </w:rPr>
        <w:lastRenderedPageBreak/>
        <w:t>CUARTO.</w:t>
      </w:r>
      <w:r w:rsidRPr="008E7D1F">
        <w:rPr>
          <w:rFonts w:ascii="Palatino Linotype" w:eastAsia="Palatino Linotype" w:hAnsi="Palatino Linotype" w:cs="Palatino Linotype"/>
        </w:rPr>
        <w:t xml:space="preserve"> </w:t>
      </w:r>
      <w:r w:rsidRPr="008E7D1F">
        <w:rPr>
          <w:rFonts w:ascii="Palatino Linotype" w:eastAsia="Palatino Linotype" w:hAnsi="Palatino Linotype" w:cs="Palatino Linotype"/>
          <w:b/>
        </w:rPr>
        <w:t>Notifíquese</w:t>
      </w:r>
      <w:r w:rsidRPr="008E7D1F">
        <w:rPr>
          <w:rFonts w:ascii="Palatino Linotype" w:eastAsia="Palatino Linotype" w:hAnsi="Palatino Linotype" w:cs="Palatino Linotype"/>
        </w:rPr>
        <w:t xml:space="preserve"> al </w:t>
      </w:r>
      <w:r w:rsidRPr="008E7D1F">
        <w:rPr>
          <w:rFonts w:ascii="Palatino Linotype" w:eastAsia="Palatino Linotype" w:hAnsi="Palatino Linotype" w:cs="Palatino Linotype"/>
          <w:b/>
        </w:rPr>
        <w:t>RECURRENTE</w:t>
      </w:r>
      <w:r w:rsidRPr="008E7D1F">
        <w:rPr>
          <w:rFonts w:ascii="Palatino Linotype" w:eastAsia="Palatino Linotype" w:hAnsi="Palatino Linotype" w:cs="Palatino Linotype"/>
        </w:rPr>
        <w:t xml:space="preserve"> la presente resolución vía Sistema de Acceso a la Información Mexiquense </w:t>
      </w:r>
      <w:r w:rsidRPr="008E7D1F">
        <w:rPr>
          <w:rFonts w:ascii="Palatino Linotype" w:eastAsia="Palatino Linotype" w:hAnsi="Palatino Linotype" w:cs="Palatino Linotype"/>
          <w:b/>
        </w:rPr>
        <w:t>SAIMEX</w:t>
      </w:r>
      <w:r w:rsidRPr="008E7D1F">
        <w:rPr>
          <w:rFonts w:ascii="Palatino Linotype" w:eastAsia="Palatino Linotype" w:hAnsi="Palatino Linotype" w:cs="Palatino Linotype"/>
        </w:rPr>
        <w:t>.</w:t>
      </w:r>
    </w:p>
    <w:p w14:paraId="71DB4530" w14:textId="77777777" w:rsidR="00B43F6F" w:rsidRPr="008E7D1F" w:rsidRDefault="00B43F6F" w:rsidP="004176C5">
      <w:pPr>
        <w:tabs>
          <w:tab w:val="left" w:pos="709"/>
        </w:tabs>
        <w:ind w:right="51"/>
        <w:jc w:val="both"/>
        <w:rPr>
          <w:rFonts w:ascii="Palatino Linotype" w:eastAsia="Palatino Linotype" w:hAnsi="Palatino Linotype" w:cs="Palatino Linotype"/>
          <w:b/>
        </w:rPr>
      </w:pPr>
    </w:p>
    <w:p w14:paraId="03FA44BE" w14:textId="77777777" w:rsidR="00B43F6F" w:rsidRPr="008E7D1F" w:rsidRDefault="00061995" w:rsidP="008E7D1F">
      <w:pPr>
        <w:tabs>
          <w:tab w:val="left" w:pos="709"/>
        </w:tabs>
        <w:spacing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b/>
          <w:sz w:val="28"/>
          <w:szCs w:val="28"/>
        </w:rPr>
        <w:t>QUINTO.</w:t>
      </w:r>
      <w:r w:rsidRPr="008E7D1F">
        <w:rPr>
          <w:rFonts w:ascii="Palatino Linotype" w:eastAsia="Palatino Linotype" w:hAnsi="Palatino Linotype" w:cs="Palatino Linotype"/>
        </w:rPr>
        <w:t xml:space="preserve"> Hágase del conocimiento al </w:t>
      </w:r>
      <w:r w:rsidRPr="008E7D1F">
        <w:rPr>
          <w:rFonts w:ascii="Palatino Linotype" w:eastAsia="Palatino Linotype" w:hAnsi="Palatino Linotype" w:cs="Palatino Linotype"/>
          <w:b/>
        </w:rPr>
        <w:t>RECURRENTE</w:t>
      </w:r>
      <w:r w:rsidRPr="008E7D1F">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332BDBB4" w14:textId="77777777" w:rsidR="00B43F6F" w:rsidRPr="008E7D1F" w:rsidRDefault="00B43F6F" w:rsidP="004176C5">
      <w:pPr>
        <w:widowControl w:val="0"/>
        <w:jc w:val="both"/>
        <w:rPr>
          <w:rFonts w:ascii="Palatino Linotype" w:eastAsia="Palatino Linotype" w:hAnsi="Palatino Linotype" w:cs="Palatino Linotype"/>
        </w:rPr>
      </w:pPr>
    </w:p>
    <w:p w14:paraId="34986873" w14:textId="77777777" w:rsidR="00B43F6F" w:rsidRPr="008E7D1F" w:rsidRDefault="00061995" w:rsidP="008E7D1F">
      <w:pPr>
        <w:tabs>
          <w:tab w:val="left" w:pos="709"/>
        </w:tabs>
        <w:spacing w:line="360" w:lineRule="auto"/>
        <w:ind w:right="51"/>
        <w:jc w:val="both"/>
        <w:rPr>
          <w:rFonts w:ascii="Palatino Linotype" w:eastAsia="Palatino Linotype" w:hAnsi="Palatino Linotype" w:cs="Palatino Linotype"/>
        </w:rPr>
      </w:pPr>
      <w:r w:rsidRPr="008E7D1F">
        <w:rPr>
          <w:rFonts w:ascii="Palatino Linotype" w:eastAsia="Palatino Linotype" w:hAnsi="Palatino Linotype" w:cs="Palatino Linotype"/>
          <w:b/>
          <w:sz w:val="28"/>
          <w:szCs w:val="28"/>
        </w:rPr>
        <w:t>SEXTO.</w:t>
      </w:r>
      <w:r w:rsidRPr="008E7D1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5EBD85F" w14:textId="77777777" w:rsidR="00B43F6F" w:rsidRDefault="00B43F6F" w:rsidP="008E7D1F">
      <w:pPr>
        <w:tabs>
          <w:tab w:val="left" w:pos="709"/>
        </w:tabs>
        <w:spacing w:line="360" w:lineRule="auto"/>
        <w:ind w:right="51"/>
        <w:jc w:val="both"/>
        <w:rPr>
          <w:rFonts w:ascii="Palatino Linotype" w:eastAsia="Palatino Linotype" w:hAnsi="Palatino Linotype" w:cs="Palatino Linotype"/>
        </w:rPr>
      </w:pPr>
    </w:p>
    <w:p w14:paraId="53D8911F" w14:textId="77777777" w:rsidR="00B43F6F" w:rsidRPr="008E7D1F" w:rsidRDefault="00061995" w:rsidP="008E7D1F">
      <w:pPr>
        <w:widowControl w:val="0"/>
        <w:spacing w:line="360" w:lineRule="auto"/>
        <w:jc w:val="both"/>
        <w:rPr>
          <w:rFonts w:ascii="Palatino Linotype" w:eastAsia="Palatino Linotype" w:hAnsi="Palatino Linotype" w:cs="Palatino Linotype"/>
        </w:rPr>
      </w:pPr>
      <w:r w:rsidRPr="008E7D1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36443F95" w14:textId="77777777" w:rsidR="00B43F6F" w:rsidRPr="008E7D1F" w:rsidRDefault="00061995" w:rsidP="008E7D1F">
      <w:pPr>
        <w:spacing w:line="360" w:lineRule="auto"/>
        <w:jc w:val="both"/>
        <w:rPr>
          <w:rFonts w:ascii="Palatino Linotype" w:eastAsia="Palatino Linotype" w:hAnsi="Palatino Linotype" w:cs="Palatino Linotype"/>
          <w:sz w:val="16"/>
          <w:szCs w:val="16"/>
        </w:rPr>
      </w:pPr>
      <w:r w:rsidRPr="008E7D1F">
        <w:rPr>
          <w:rFonts w:ascii="Palatino Linotype" w:eastAsia="Palatino Linotype" w:hAnsi="Palatino Linotype" w:cs="Palatino Linotype"/>
          <w:sz w:val="16"/>
          <w:szCs w:val="16"/>
        </w:rPr>
        <w:t>SCMM/AGZ/DEMF/AGE</w:t>
      </w:r>
    </w:p>
    <w:p w14:paraId="7348117D"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2ED3EADD"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12E5DCE8"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175861BD"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34AA3EA4"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0231EF26"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0B048EA"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15EA171F"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085D022"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388E9A51"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1C2F9D4"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3FF72324"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070BEFDA"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6FFD3484"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FD4A03D"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7B1440C3"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3057BAA"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1466084B"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2958EF6D"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3E5FBB1"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38F5A000"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4207ECA7"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450E958A"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5B8BA4ED"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1742F11E" w14:textId="77777777" w:rsidR="00B43F6F" w:rsidRPr="008E7D1F" w:rsidRDefault="00B43F6F" w:rsidP="008E7D1F">
      <w:pPr>
        <w:spacing w:line="360" w:lineRule="auto"/>
        <w:jc w:val="both"/>
        <w:rPr>
          <w:rFonts w:ascii="Palatino Linotype" w:eastAsia="Palatino Linotype" w:hAnsi="Palatino Linotype" w:cs="Palatino Linotype"/>
          <w:sz w:val="20"/>
          <w:szCs w:val="20"/>
        </w:rPr>
      </w:pPr>
    </w:p>
    <w:p w14:paraId="7E28B747" w14:textId="77777777" w:rsidR="00B43F6F" w:rsidRPr="008E7D1F" w:rsidRDefault="00B43F6F" w:rsidP="008E7D1F">
      <w:pPr>
        <w:spacing w:line="360" w:lineRule="auto"/>
        <w:jc w:val="both"/>
        <w:rPr>
          <w:rFonts w:ascii="Palatino Linotype" w:eastAsia="Palatino Linotype" w:hAnsi="Palatino Linotype" w:cs="Palatino Linotype"/>
          <w:b/>
          <w:sz w:val="28"/>
          <w:szCs w:val="28"/>
        </w:rPr>
      </w:pPr>
    </w:p>
    <w:sectPr w:rsidR="00B43F6F" w:rsidRPr="008E7D1F">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97671" w14:textId="77777777" w:rsidR="00B769DD" w:rsidRDefault="00B769DD">
      <w:r>
        <w:separator/>
      </w:r>
    </w:p>
  </w:endnote>
  <w:endnote w:type="continuationSeparator" w:id="0">
    <w:p w14:paraId="47C3BFB1" w14:textId="77777777" w:rsidR="00B769DD" w:rsidRDefault="00B7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1B6E" w14:textId="77777777" w:rsidR="00B43F6F" w:rsidRDefault="0006199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87082">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87082">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47DE9" w14:textId="77777777" w:rsidR="00B43F6F" w:rsidRDefault="0006199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A767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A7672">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F1132" w14:textId="77777777" w:rsidR="00B769DD" w:rsidRDefault="00B769DD">
      <w:r>
        <w:separator/>
      </w:r>
    </w:p>
  </w:footnote>
  <w:footnote w:type="continuationSeparator" w:id="0">
    <w:p w14:paraId="33DCA000" w14:textId="77777777" w:rsidR="00B769DD" w:rsidRDefault="00B769DD">
      <w:r>
        <w:continuationSeparator/>
      </w:r>
    </w:p>
  </w:footnote>
  <w:footnote w:id="1">
    <w:p w14:paraId="2A0114EA"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b/>
          <w:color w:val="000000"/>
          <w:sz w:val="14"/>
          <w:szCs w:val="14"/>
        </w:rPr>
        <w:t>RESTRICCIONES A LOS DERECHOS FUNDAMENTALES. ELEMENTOS QUE EL JUEZ CONSTITUCIONAL DEBE TOMAR EN CUENTA PARA CONSIDERARLAS VÁLIDAS.</w:t>
      </w:r>
      <w:r>
        <w:rPr>
          <w:rFonts w:ascii="Palatino Linotype" w:eastAsia="Palatino Linotype" w:hAnsi="Palatino Linotype" w:cs="Palatino Linotype"/>
          <w:color w:val="000000"/>
          <w:sz w:val="14"/>
          <w:szCs w:val="14"/>
        </w:rPr>
        <w:t xml:space="preserve"> </w:t>
      </w:r>
      <w:proofErr w:type="spellStart"/>
      <w:r>
        <w:rPr>
          <w:rFonts w:ascii="Palatino Linotype" w:eastAsia="Palatino Linotype" w:hAnsi="Palatino Linotype" w:cs="Palatino Linotype"/>
          <w:color w:val="000000"/>
          <w:sz w:val="14"/>
          <w:szCs w:val="14"/>
        </w:rPr>
        <w:t>Ningún</w:t>
      </w:r>
      <w:proofErr w:type="spellEnd"/>
      <w:r>
        <w:rPr>
          <w:rFonts w:ascii="Palatino Linotype" w:eastAsia="Palatino Linotype" w:hAnsi="Palatino Linotype" w:cs="Palatino Linotype"/>
          <w:color w:val="000000"/>
          <w:sz w:val="14"/>
          <w:szCs w:val="14"/>
        </w:rPr>
        <w:t xml:space="preserve"> derecho fundamental es absoluto y en esa medida todos admiten restricciones. Sin embargo, la </w:t>
      </w:r>
      <w:proofErr w:type="spellStart"/>
      <w:r>
        <w:rPr>
          <w:rFonts w:ascii="Palatino Linotype" w:eastAsia="Palatino Linotype" w:hAnsi="Palatino Linotype" w:cs="Palatino Linotype"/>
          <w:color w:val="000000"/>
          <w:sz w:val="14"/>
          <w:szCs w:val="14"/>
        </w:rPr>
        <w:t>regulación</w:t>
      </w:r>
      <w:proofErr w:type="spellEnd"/>
      <w:r>
        <w:rPr>
          <w:rFonts w:ascii="Palatino Linotype" w:eastAsia="Palatino Linotype" w:hAnsi="Palatino Linotype" w:cs="Palatino Linotype"/>
          <w:color w:val="000000"/>
          <w:sz w:val="14"/>
          <w:szCs w:val="14"/>
        </w:rPr>
        <w:t xml:space="preserve"> de dichas restricciones no puede ser arbitraria. Para que las medidas emitidas por el legislador ordinario con el </w:t>
      </w:r>
      <w:proofErr w:type="spellStart"/>
      <w:r>
        <w:rPr>
          <w:rFonts w:ascii="Palatino Linotype" w:eastAsia="Palatino Linotype" w:hAnsi="Palatino Linotype" w:cs="Palatino Linotype"/>
          <w:color w:val="000000"/>
          <w:sz w:val="14"/>
          <w:szCs w:val="14"/>
        </w:rPr>
        <w:t>propósito</w:t>
      </w:r>
      <w:proofErr w:type="spellEnd"/>
      <w:r>
        <w:rPr>
          <w:rFonts w:ascii="Palatino Linotype" w:eastAsia="Palatino Linotype" w:hAnsi="Palatino Linotype" w:cs="Palatino Linotype"/>
          <w:color w:val="000000"/>
          <w:sz w:val="14"/>
          <w:szCs w:val="14"/>
        </w:rPr>
        <w:t xml:space="preserve"> de restringir los derechos fundamentales sean </w:t>
      </w:r>
      <w:proofErr w:type="spellStart"/>
      <w:r>
        <w:rPr>
          <w:rFonts w:ascii="Palatino Linotype" w:eastAsia="Palatino Linotype" w:hAnsi="Palatino Linotype" w:cs="Palatino Linotype"/>
          <w:color w:val="000000"/>
          <w:sz w:val="14"/>
          <w:szCs w:val="14"/>
        </w:rPr>
        <w:t>válidas</w:t>
      </w:r>
      <w:proofErr w:type="spellEnd"/>
      <w:r>
        <w:rPr>
          <w:rFonts w:ascii="Palatino Linotype" w:eastAsia="Palatino Linotype" w:hAnsi="Palatino Linotype" w:cs="Palatino Linotype"/>
          <w:color w:val="000000"/>
          <w:sz w:val="14"/>
          <w:szCs w:val="14"/>
        </w:rPr>
        <w:t xml:space="preserve">, deben satisfacer al menos los siguientes requisitos: a) ser admisibles dentro del </w:t>
      </w:r>
      <w:proofErr w:type="spellStart"/>
      <w:r>
        <w:rPr>
          <w:rFonts w:ascii="Palatino Linotype" w:eastAsia="Palatino Linotype" w:hAnsi="Palatino Linotype" w:cs="Palatino Linotype"/>
          <w:color w:val="000000"/>
          <w:sz w:val="14"/>
          <w:szCs w:val="14"/>
        </w:rPr>
        <w:t>ámbito</w:t>
      </w:r>
      <w:proofErr w:type="spellEnd"/>
      <w:r>
        <w:rPr>
          <w:rFonts w:ascii="Palatino Linotype" w:eastAsia="Palatino Linotype" w:hAnsi="Palatino Linotype" w:cs="Palatino Linotype"/>
          <w:color w:val="000000"/>
          <w:sz w:val="14"/>
          <w:szCs w:val="14"/>
        </w:rPr>
        <w:t xml:space="preserve"> constitucional, esto es, el legislador ordinario </w:t>
      </w:r>
      <w:proofErr w:type="spellStart"/>
      <w:r>
        <w:rPr>
          <w:rFonts w:ascii="Palatino Linotype" w:eastAsia="Palatino Linotype" w:hAnsi="Palatino Linotype" w:cs="Palatino Linotype"/>
          <w:color w:val="000000"/>
          <w:sz w:val="14"/>
          <w:szCs w:val="14"/>
        </w:rPr>
        <w:t>sólo</w:t>
      </w:r>
      <w:proofErr w:type="spellEnd"/>
      <w:r>
        <w:rPr>
          <w:rFonts w:ascii="Palatino Linotype" w:eastAsia="Palatino Linotype" w:hAnsi="Palatino Linotype" w:cs="Palatino Linotype"/>
          <w:color w:val="000000"/>
          <w:sz w:val="14"/>
          <w:szCs w:val="14"/>
        </w:rPr>
        <w:t xml:space="preserve"> puede restringir o suspender el ejercicio de las </w:t>
      </w:r>
      <w:proofErr w:type="spellStart"/>
      <w:r>
        <w:rPr>
          <w:rFonts w:ascii="Palatino Linotype" w:eastAsia="Palatino Linotype" w:hAnsi="Palatino Linotype" w:cs="Palatino Linotype"/>
          <w:color w:val="000000"/>
          <w:sz w:val="14"/>
          <w:szCs w:val="14"/>
        </w:rPr>
        <w:t>garantías</w:t>
      </w:r>
      <w:proofErr w:type="spellEnd"/>
      <w:r>
        <w:rPr>
          <w:rFonts w:ascii="Palatino Linotype" w:eastAsia="Palatino Linotype" w:hAnsi="Palatino Linotype" w:cs="Palatino Linotype"/>
          <w:color w:val="000000"/>
          <w:sz w:val="14"/>
          <w:szCs w:val="14"/>
        </w:rPr>
        <w:t xml:space="preserve"> individuales con objetivos que puedan enmarcarse dentro de las previsiones de la Carta Magna; b) ser necesarias para asegurar la </w:t>
      </w:r>
      <w:proofErr w:type="spellStart"/>
      <w:r>
        <w:rPr>
          <w:rFonts w:ascii="Palatino Linotype" w:eastAsia="Palatino Linotype" w:hAnsi="Palatino Linotype" w:cs="Palatino Linotype"/>
          <w:color w:val="000000"/>
          <w:sz w:val="14"/>
          <w:szCs w:val="14"/>
        </w:rPr>
        <w:t>obtención</w:t>
      </w:r>
      <w:proofErr w:type="spellEnd"/>
      <w:r>
        <w:rPr>
          <w:rFonts w:ascii="Palatino Linotype" w:eastAsia="Palatino Linotype" w:hAnsi="Palatino Linotype" w:cs="Palatino Linotype"/>
          <w:color w:val="000000"/>
          <w:sz w:val="14"/>
          <w:szCs w:val="14"/>
        </w:rPr>
        <w:t xml:space="preserve"> de los fines que fundamentan la </w:t>
      </w:r>
      <w:proofErr w:type="spellStart"/>
      <w:r>
        <w:rPr>
          <w:rFonts w:ascii="Palatino Linotype" w:eastAsia="Palatino Linotype" w:hAnsi="Palatino Linotype" w:cs="Palatino Linotype"/>
          <w:color w:val="000000"/>
          <w:sz w:val="14"/>
          <w:szCs w:val="14"/>
        </w:rPr>
        <w:t>restricción</w:t>
      </w:r>
      <w:proofErr w:type="spellEnd"/>
      <w:r>
        <w:rPr>
          <w:rFonts w:ascii="Palatino Linotype" w:eastAsia="Palatino Linotype" w:hAnsi="Palatino Linotype" w:cs="Palatino Linotype"/>
          <w:color w:val="000000"/>
          <w:sz w:val="14"/>
          <w:szCs w:val="14"/>
        </w:rPr>
        <w:t xml:space="preserve"> constitucional, es decir, no basta que la </w:t>
      </w:r>
      <w:proofErr w:type="spellStart"/>
      <w:r>
        <w:rPr>
          <w:rFonts w:ascii="Palatino Linotype" w:eastAsia="Palatino Linotype" w:hAnsi="Palatino Linotype" w:cs="Palatino Linotype"/>
          <w:color w:val="000000"/>
          <w:sz w:val="14"/>
          <w:szCs w:val="14"/>
        </w:rPr>
        <w:t>restricción</w:t>
      </w:r>
      <w:proofErr w:type="spellEnd"/>
      <w:r>
        <w:rPr>
          <w:rFonts w:ascii="Palatino Linotype" w:eastAsia="Palatino Linotype" w:hAnsi="Palatino Linotype" w:cs="Palatino Linotype"/>
          <w:color w:val="000000"/>
          <w:sz w:val="14"/>
          <w:szCs w:val="14"/>
        </w:rPr>
        <w:t xml:space="preserve"> sea en </w:t>
      </w:r>
      <w:proofErr w:type="spellStart"/>
      <w:r>
        <w:rPr>
          <w:rFonts w:ascii="Palatino Linotype" w:eastAsia="Palatino Linotype" w:hAnsi="Palatino Linotype" w:cs="Palatino Linotype"/>
          <w:color w:val="000000"/>
          <w:sz w:val="14"/>
          <w:szCs w:val="14"/>
        </w:rPr>
        <w:t>términos</w:t>
      </w:r>
      <w:proofErr w:type="spellEnd"/>
      <w:r>
        <w:rPr>
          <w:rFonts w:ascii="Palatino Linotype" w:eastAsia="Palatino Linotype" w:hAnsi="Palatino Linotype" w:cs="Palatino Linotype"/>
          <w:color w:val="000000"/>
          <w:sz w:val="14"/>
          <w:szCs w:val="14"/>
        </w:rPr>
        <w:t xml:space="preserve"> amplios </w:t>
      </w:r>
      <w:proofErr w:type="spellStart"/>
      <w:r>
        <w:rPr>
          <w:rFonts w:ascii="Palatino Linotype" w:eastAsia="Palatino Linotype" w:hAnsi="Palatino Linotype" w:cs="Palatino Linotype"/>
          <w:color w:val="000000"/>
          <w:sz w:val="14"/>
          <w:szCs w:val="14"/>
        </w:rPr>
        <w:t>útil</w:t>
      </w:r>
      <w:proofErr w:type="spellEnd"/>
      <w:r>
        <w:rPr>
          <w:rFonts w:ascii="Palatino Linotype" w:eastAsia="Palatino Linotype" w:hAnsi="Palatino Linotype" w:cs="Palatino Linotype"/>
          <w:color w:val="000000"/>
          <w:sz w:val="14"/>
          <w:szCs w:val="14"/>
        </w:rPr>
        <w:t xml:space="preserve"> para la </w:t>
      </w:r>
      <w:proofErr w:type="spellStart"/>
      <w:r>
        <w:rPr>
          <w:rFonts w:ascii="Palatino Linotype" w:eastAsia="Palatino Linotype" w:hAnsi="Palatino Linotype" w:cs="Palatino Linotype"/>
          <w:color w:val="000000"/>
          <w:sz w:val="14"/>
          <w:szCs w:val="14"/>
        </w:rPr>
        <w:t>obtención</w:t>
      </w:r>
      <w:proofErr w:type="spellEnd"/>
      <w:r>
        <w:rPr>
          <w:rFonts w:ascii="Palatino Linotype" w:eastAsia="Palatino Linotype" w:hAnsi="Palatino Linotype" w:cs="Palatino Linotype"/>
          <w:color w:val="000000"/>
          <w:sz w:val="14"/>
          <w:szCs w:val="14"/>
        </w:rPr>
        <w:t xml:space="preserve"> de esos objetivos, sino que debe ser la </w:t>
      </w:r>
      <w:proofErr w:type="spellStart"/>
      <w:r>
        <w:rPr>
          <w:rFonts w:ascii="Palatino Linotype" w:eastAsia="Palatino Linotype" w:hAnsi="Palatino Linotype" w:cs="Palatino Linotype"/>
          <w:color w:val="000000"/>
          <w:sz w:val="14"/>
          <w:szCs w:val="14"/>
        </w:rPr>
        <w:t>idónea</w:t>
      </w:r>
      <w:proofErr w:type="spellEnd"/>
      <w:r>
        <w:rPr>
          <w:rFonts w:ascii="Palatino Linotype" w:eastAsia="Palatino Linotype" w:hAnsi="Palatino Linotype" w:cs="Palatino Linotype"/>
          <w:color w:val="000000"/>
          <w:sz w:val="14"/>
          <w:szCs w:val="14"/>
        </w:rPr>
        <w:t xml:space="preserve"> para su </w:t>
      </w:r>
      <w:proofErr w:type="spellStart"/>
      <w:r>
        <w:rPr>
          <w:rFonts w:ascii="Palatino Linotype" w:eastAsia="Palatino Linotype" w:hAnsi="Palatino Linotype" w:cs="Palatino Linotype"/>
          <w:color w:val="000000"/>
          <w:sz w:val="14"/>
          <w:szCs w:val="14"/>
        </w:rPr>
        <w:t>realización</w:t>
      </w:r>
      <w:proofErr w:type="spellEnd"/>
      <w:r>
        <w:rPr>
          <w:rFonts w:ascii="Palatino Linotype" w:eastAsia="Palatino Linotype" w:hAnsi="Palatino Linotype" w:cs="Palatino Linotype"/>
          <w:color w:val="000000"/>
          <w:sz w:val="14"/>
          <w:szCs w:val="14"/>
        </w:rPr>
        <w:t xml:space="preserve">,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w:t>
      </w:r>
      <w:proofErr w:type="spellStart"/>
      <w:r>
        <w:rPr>
          <w:rFonts w:ascii="Palatino Linotype" w:eastAsia="Palatino Linotype" w:hAnsi="Palatino Linotype" w:cs="Palatino Linotype"/>
          <w:color w:val="000000"/>
          <w:sz w:val="14"/>
          <w:szCs w:val="14"/>
        </w:rPr>
        <w:t>persecución</w:t>
      </w:r>
      <w:proofErr w:type="spellEnd"/>
      <w:r>
        <w:rPr>
          <w:rFonts w:ascii="Palatino Linotype" w:eastAsia="Palatino Linotype" w:hAnsi="Palatino Linotype" w:cs="Palatino Linotype"/>
          <w:color w:val="000000"/>
          <w:sz w:val="14"/>
          <w:szCs w:val="14"/>
        </w:rPr>
        <w:t xml:space="preserve"> de un objetivo constitucional no puede hacerse a costa de una </w:t>
      </w:r>
      <w:proofErr w:type="spellStart"/>
      <w:r>
        <w:rPr>
          <w:rFonts w:ascii="Palatino Linotype" w:eastAsia="Palatino Linotype" w:hAnsi="Palatino Linotype" w:cs="Palatino Linotype"/>
          <w:color w:val="000000"/>
          <w:sz w:val="14"/>
          <w:szCs w:val="14"/>
        </w:rPr>
        <w:t>afectación</w:t>
      </w:r>
      <w:proofErr w:type="spellEnd"/>
      <w:r>
        <w:rPr>
          <w:rFonts w:ascii="Palatino Linotype" w:eastAsia="Palatino Linotype" w:hAnsi="Palatino Linotype" w:cs="Palatino Linotype"/>
          <w:color w:val="000000"/>
          <w:sz w:val="14"/>
          <w:szCs w:val="14"/>
        </w:rPr>
        <w:t xml:space="preserve"> innecesaria o desmedida a otros bienes y derechos constitucionalmente protegidos. </w:t>
      </w:r>
      <w:proofErr w:type="spellStart"/>
      <w:r>
        <w:rPr>
          <w:rFonts w:ascii="Palatino Linotype" w:eastAsia="Palatino Linotype" w:hAnsi="Palatino Linotype" w:cs="Palatino Linotype"/>
          <w:color w:val="000000"/>
          <w:sz w:val="14"/>
          <w:szCs w:val="14"/>
        </w:rPr>
        <w:t>Asi</w:t>
      </w:r>
      <w:proofErr w:type="spellEnd"/>
      <w:r>
        <w:rPr>
          <w:rFonts w:ascii="Palatino Linotype" w:eastAsia="Palatino Linotype" w:hAnsi="Palatino Linotype" w:cs="Palatino Linotype"/>
          <w:color w:val="000000"/>
          <w:sz w:val="14"/>
          <w:szCs w:val="14"/>
        </w:rPr>
        <w:t xml:space="preserve">́, el juzgador debe determinar en cada caso si la </w:t>
      </w:r>
      <w:proofErr w:type="spellStart"/>
      <w:r>
        <w:rPr>
          <w:rFonts w:ascii="Palatino Linotype" w:eastAsia="Palatino Linotype" w:hAnsi="Palatino Linotype" w:cs="Palatino Linotype"/>
          <w:color w:val="000000"/>
          <w:sz w:val="14"/>
          <w:szCs w:val="14"/>
        </w:rPr>
        <w:t>restricción</w:t>
      </w:r>
      <w:proofErr w:type="spellEnd"/>
      <w:r>
        <w:rPr>
          <w:rFonts w:ascii="Palatino Linotype" w:eastAsia="Palatino Linotype" w:hAnsi="Palatino Linotype" w:cs="Palatino Linotype"/>
          <w:color w:val="000000"/>
          <w:sz w:val="14"/>
          <w:szCs w:val="14"/>
        </w:rPr>
        <w:t xml:space="preserve">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w:t>
      </w:r>
      <w:proofErr w:type="spellStart"/>
      <w:r>
        <w:rPr>
          <w:rFonts w:ascii="Palatino Linotype" w:eastAsia="Palatino Linotype" w:hAnsi="Palatino Linotype" w:cs="Palatino Linotype"/>
          <w:color w:val="000000"/>
          <w:sz w:val="14"/>
          <w:szCs w:val="14"/>
        </w:rPr>
        <w:t>distinción</w:t>
      </w:r>
      <w:proofErr w:type="spellEnd"/>
      <w:r>
        <w:rPr>
          <w:rFonts w:ascii="Palatino Linotype" w:eastAsia="Palatino Linotype" w:hAnsi="Palatino Linotype" w:cs="Palatino Linotype"/>
          <w:color w:val="000000"/>
          <w:sz w:val="14"/>
          <w:szCs w:val="14"/>
        </w:rPr>
        <w:t xml:space="preserve"> legislativa se encuentra dentro de las opciones de tratamiento que pueden considerarse proporcionales. De igual manera, las restricciones </w:t>
      </w:r>
      <w:proofErr w:type="spellStart"/>
      <w:r>
        <w:rPr>
          <w:rFonts w:ascii="Palatino Linotype" w:eastAsia="Palatino Linotype" w:hAnsi="Palatino Linotype" w:cs="Palatino Linotype"/>
          <w:color w:val="000000"/>
          <w:sz w:val="14"/>
          <w:szCs w:val="14"/>
        </w:rPr>
        <w:t>deberán</w:t>
      </w:r>
      <w:proofErr w:type="spellEnd"/>
      <w:r>
        <w:rPr>
          <w:rFonts w:ascii="Palatino Linotype" w:eastAsia="Palatino Linotype" w:hAnsi="Palatino Linotype" w:cs="Palatino Linotype"/>
          <w:color w:val="000000"/>
          <w:sz w:val="14"/>
          <w:szCs w:val="14"/>
        </w:rPr>
        <w:t xml:space="preserve"> estar en consonancia con la ley, incluidas las normas internacionales de derechos humanos, y ser compatibles con la naturaleza de los derechos amparados por la </w:t>
      </w:r>
      <w:proofErr w:type="spellStart"/>
      <w:r>
        <w:rPr>
          <w:rFonts w:ascii="Palatino Linotype" w:eastAsia="Palatino Linotype" w:hAnsi="Palatino Linotype" w:cs="Palatino Linotype"/>
          <w:color w:val="000000"/>
          <w:sz w:val="14"/>
          <w:szCs w:val="14"/>
        </w:rPr>
        <w:t>Constitución</w:t>
      </w:r>
      <w:proofErr w:type="spellEnd"/>
      <w:r>
        <w:rPr>
          <w:rFonts w:ascii="Palatino Linotype" w:eastAsia="Palatino Linotype" w:hAnsi="Palatino Linotype" w:cs="Palatino Linotype"/>
          <w:color w:val="000000"/>
          <w:sz w:val="14"/>
          <w:szCs w:val="14"/>
        </w:rPr>
        <w:t xml:space="preserve">, en aras de la </w:t>
      </w:r>
      <w:proofErr w:type="spellStart"/>
      <w:r>
        <w:rPr>
          <w:rFonts w:ascii="Palatino Linotype" w:eastAsia="Palatino Linotype" w:hAnsi="Palatino Linotype" w:cs="Palatino Linotype"/>
          <w:color w:val="000000"/>
          <w:sz w:val="14"/>
          <w:szCs w:val="14"/>
        </w:rPr>
        <w:t>consecución</w:t>
      </w:r>
      <w:proofErr w:type="spellEnd"/>
      <w:r>
        <w:rPr>
          <w:rFonts w:ascii="Palatino Linotype" w:eastAsia="Palatino Linotype" w:hAnsi="Palatino Linotype" w:cs="Palatino Linotype"/>
          <w:color w:val="000000"/>
          <w:sz w:val="14"/>
          <w:szCs w:val="14"/>
        </w:rPr>
        <w:t xml:space="preserve"> de los objetivos </w:t>
      </w:r>
      <w:proofErr w:type="spellStart"/>
      <w:r>
        <w:rPr>
          <w:rFonts w:ascii="Palatino Linotype" w:eastAsia="Palatino Linotype" w:hAnsi="Palatino Linotype" w:cs="Palatino Linotype"/>
          <w:color w:val="000000"/>
          <w:sz w:val="14"/>
          <w:szCs w:val="14"/>
        </w:rPr>
        <w:t>legítimos</w:t>
      </w:r>
      <w:proofErr w:type="spellEnd"/>
      <w:r>
        <w:rPr>
          <w:rFonts w:ascii="Palatino Linotype" w:eastAsia="Palatino Linotype" w:hAnsi="Palatino Linotype" w:cs="Palatino Linotype"/>
          <w:color w:val="000000"/>
          <w:sz w:val="14"/>
          <w:szCs w:val="14"/>
        </w:rPr>
        <w:t xml:space="preserve"> perseguidos, y ser estrictamente necesarias para promover el bienestar general en una sociedad </w:t>
      </w:r>
      <w:proofErr w:type="spellStart"/>
      <w:r>
        <w:rPr>
          <w:rFonts w:ascii="Palatino Linotype" w:eastAsia="Palatino Linotype" w:hAnsi="Palatino Linotype" w:cs="Palatino Linotype"/>
          <w:color w:val="000000"/>
          <w:sz w:val="14"/>
          <w:szCs w:val="14"/>
        </w:rPr>
        <w:t>democrática</w:t>
      </w:r>
      <w:proofErr w:type="spellEnd"/>
      <w:r>
        <w:rPr>
          <w:rFonts w:ascii="Palatino Linotype" w:eastAsia="Palatino Linotype" w:hAnsi="Palatino Linotype" w:cs="Palatino Linotype"/>
          <w:color w:val="000000"/>
          <w:sz w:val="14"/>
          <w:szCs w:val="14"/>
        </w:rPr>
        <w:t xml:space="preserve">. </w:t>
      </w:r>
    </w:p>
    <w:p w14:paraId="068C2DA7"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1a</w:t>
      </w:r>
      <w:proofErr w:type="gramStart"/>
      <w:r>
        <w:rPr>
          <w:rFonts w:ascii="Palatino Linotype" w:eastAsia="Palatino Linotype" w:hAnsi="Palatino Linotype" w:cs="Palatino Linotype"/>
          <w:color w:val="000000"/>
          <w:sz w:val="14"/>
          <w:szCs w:val="14"/>
        </w:rPr>
        <w:t>./</w:t>
      </w:r>
      <w:proofErr w:type="gramEnd"/>
      <w:r>
        <w:rPr>
          <w:rFonts w:ascii="Palatino Linotype" w:eastAsia="Palatino Linotype" w:hAnsi="Palatino Linotype" w:cs="Palatino Linotype"/>
          <w:color w:val="000000"/>
          <w:sz w:val="14"/>
          <w:szCs w:val="14"/>
        </w:rPr>
        <w:t xml:space="preserve">J. 2/2012 (9a.). Primera Sala. </w:t>
      </w:r>
      <w:proofErr w:type="spellStart"/>
      <w:r>
        <w:rPr>
          <w:rFonts w:ascii="Palatino Linotype" w:eastAsia="Palatino Linotype" w:hAnsi="Palatino Linotype" w:cs="Palatino Linotype"/>
          <w:color w:val="000000"/>
          <w:sz w:val="14"/>
          <w:szCs w:val="14"/>
        </w:rPr>
        <w:t>Décima</w:t>
      </w:r>
      <w:proofErr w:type="spellEnd"/>
      <w:r>
        <w:rPr>
          <w:rFonts w:ascii="Palatino Linotype" w:eastAsia="Palatino Linotype" w:hAnsi="Palatino Linotype" w:cs="Palatino Linotype"/>
          <w:color w:val="000000"/>
          <w:sz w:val="14"/>
          <w:szCs w:val="14"/>
        </w:rPr>
        <w:t xml:space="preserve"> </w:t>
      </w:r>
      <w:proofErr w:type="spellStart"/>
      <w:r>
        <w:rPr>
          <w:rFonts w:ascii="Palatino Linotype" w:eastAsia="Palatino Linotype" w:hAnsi="Palatino Linotype" w:cs="Palatino Linotype"/>
          <w:color w:val="000000"/>
          <w:sz w:val="14"/>
          <w:szCs w:val="14"/>
        </w:rPr>
        <w:t>Época</w:t>
      </w:r>
      <w:proofErr w:type="spellEnd"/>
      <w:r>
        <w:rPr>
          <w:rFonts w:ascii="Palatino Linotype" w:eastAsia="Palatino Linotype" w:hAnsi="Palatino Linotype" w:cs="Palatino Linotype"/>
          <w:color w:val="000000"/>
          <w:sz w:val="14"/>
          <w:szCs w:val="14"/>
        </w:rPr>
        <w:t xml:space="preserve">. Semanario Judicial de la </w:t>
      </w:r>
      <w:proofErr w:type="spellStart"/>
      <w:r>
        <w:rPr>
          <w:rFonts w:ascii="Palatino Linotype" w:eastAsia="Palatino Linotype" w:hAnsi="Palatino Linotype" w:cs="Palatino Linotype"/>
          <w:color w:val="000000"/>
          <w:sz w:val="14"/>
          <w:szCs w:val="14"/>
        </w:rPr>
        <w:t>Federación</w:t>
      </w:r>
      <w:proofErr w:type="spellEnd"/>
      <w:r>
        <w:rPr>
          <w:rFonts w:ascii="Palatino Linotype" w:eastAsia="Palatino Linotype" w:hAnsi="Palatino Linotype" w:cs="Palatino Linotype"/>
          <w:color w:val="000000"/>
          <w:sz w:val="14"/>
          <w:szCs w:val="14"/>
        </w:rPr>
        <w:t xml:space="preserve"> y su Gaceta. Libro V, Febrero de 2012, </w:t>
      </w:r>
      <w:proofErr w:type="spellStart"/>
      <w:r>
        <w:rPr>
          <w:rFonts w:ascii="Palatino Linotype" w:eastAsia="Palatino Linotype" w:hAnsi="Palatino Linotype" w:cs="Palatino Linotype"/>
          <w:color w:val="000000"/>
          <w:sz w:val="14"/>
          <w:szCs w:val="14"/>
        </w:rPr>
        <w:t>Pág</w:t>
      </w:r>
      <w:proofErr w:type="spellEnd"/>
      <w:r>
        <w:rPr>
          <w:rFonts w:ascii="Palatino Linotype" w:eastAsia="Palatino Linotype" w:hAnsi="Palatino Linotype" w:cs="Palatino Linotype"/>
          <w:color w:val="000000"/>
          <w:sz w:val="14"/>
          <w:szCs w:val="14"/>
        </w:rPr>
        <w:t xml:space="preserve">. 533.  </w:t>
      </w:r>
    </w:p>
  </w:footnote>
  <w:footnote w:id="2">
    <w:p w14:paraId="4AC02593"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eastAsia="Palatino Linotype" w:hAnsi="Palatino Linotype" w:cs="Palatino Linotype"/>
          <w:i/>
          <w:color w:val="000000"/>
          <w:sz w:val="14"/>
          <w:szCs w:val="14"/>
        </w:rPr>
        <w:t>Marco jurídico interamericano sobre el derecho a la libertad de expresión</w:t>
      </w:r>
      <w:r>
        <w:rPr>
          <w:rFonts w:ascii="Palatino Linotype" w:eastAsia="Palatino Linotype" w:hAnsi="Palatino Linotype" w:cs="Palatino Linotype"/>
          <w:color w:val="000000"/>
          <w:sz w:val="14"/>
          <w:szCs w:val="14"/>
        </w:rPr>
        <w:t xml:space="preserve">. Párr. 67. </w:t>
      </w:r>
    </w:p>
  </w:footnote>
  <w:footnote w:id="3">
    <w:p w14:paraId="486E644D"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4E0AA707"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09B69535"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proofErr w:type="spellStart"/>
      <w:r>
        <w:rPr>
          <w:rFonts w:ascii="Palatino Linotype" w:eastAsia="Palatino Linotype" w:hAnsi="Palatino Linotype" w:cs="Palatino Linotype"/>
          <w:color w:val="000000"/>
          <w:sz w:val="18"/>
          <w:szCs w:val="18"/>
        </w:rPr>
        <w:t>Pp</w:t>
      </w:r>
      <w:proofErr w:type="spellEnd"/>
      <w:r>
        <w:rPr>
          <w:rFonts w:ascii="Palatino Linotype" w:eastAsia="Palatino Linotype" w:hAnsi="Palatino Linotype" w:cs="Palatino Linotype"/>
          <w:color w:val="000000"/>
          <w:sz w:val="18"/>
          <w:szCs w:val="18"/>
        </w:rPr>
        <w:t xml:space="preserve"> 1-19. </w:t>
      </w:r>
    </w:p>
  </w:footnote>
  <w:footnote w:id="4">
    <w:p w14:paraId="3C86C7AE"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Tribunales Colegiados de Circuito. Novena Época. Semanario Judicial de la Federación y su Gaceta. Tomo III, marzo de 1996. </w:t>
      </w:r>
      <w:proofErr w:type="spellStart"/>
      <w:r>
        <w:rPr>
          <w:rFonts w:ascii="Palatino Linotype" w:eastAsia="Palatino Linotype" w:hAnsi="Palatino Linotype" w:cs="Palatino Linotype"/>
          <w:color w:val="000000"/>
          <w:sz w:val="18"/>
          <w:szCs w:val="18"/>
        </w:rPr>
        <w:t>Pág</w:t>
      </w:r>
      <w:proofErr w:type="spellEnd"/>
      <w:r>
        <w:rPr>
          <w:rFonts w:ascii="Palatino Linotype" w:eastAsia="Palatino Linotype" w:hAnsi="Palatino Linotype" w:cs="Palatino Linotype"/>
          <w:color w:val="000000"/>
          <w:sz w:val="18"/>
          <w:szCs w:val="18"/>
        </w:rPr>
        <w:t xml:space="preserve"> 769. Consultado en http://sjf.scjn.gob.mx/sjfsist/Documentos/Tesis/203/203143.pdf  el viernes 16 de junio de 2017.</w:t>
      </w:r>
    </w:p>
  </w:footnote>
  <w:footnote w:id="5">
    <w:p w14:paraId="19A7253F"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 3. Para los efectos de la presente Ley se entenderá por:</w:t>
      </w:r>
    </w:p>
    <w:p w14:paraId="3C4C9CDB"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p w14:paraId="622A5586" w14:textId="77777777" w:rsidR="00B43F6F" w:rsidRDefault="00061995">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7E9B" w14:textId="77777777" w:rsidR="00B43F6F" w:rsidRDefault="00B769D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08E3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D29E" w14:textId="77777777" w:rsidR="00B43F6F" w:rsidRDefault="00B769D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0A096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2"/>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B43F6F" w14:paraId="4B47F0D0" w14:textId="77777777">
      <w:tc>
        <w:tcPr>
          <w:tcW w:w="3261" w:type="dxa"/>
          <w:vMerge w:val="restart"/>
        </w:tcPr>
        <w:p w14:paraId="596CBC2E"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698D872" wp14:editId="50B4483B">
                <wp:extent cx="1692162" cy="852673"/>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B7C272C"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4F7A37E" w14:textId="77777777" w:rsidR="00B43F6F" w:rsidRDefault="000619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03012/INFOEM/IP/RR/2023</w:t>
          </w:r>
        </w:p>
      </w:tc>
    </w:tr>
    <w:tr w:rsidR="00B43F6F" w14:paraId="43BA5B05" w14:textId="77777777">
      <w:tc>
        <w:tcPr>
          <w:tcW w:w="3261" w:type="dxa"/>
          <w:vMerge/>
        </w:tcPr>
        <w:p w14:paraId="21EE45D0" w14:textId="77777777" w:rsidR="00B43F6F" w:rsidRDefault="00B43F6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CF905C4"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085F1BCE" w14:textId="77777777" w:rsidR="00B43F6F" w:rsidRDefault="000619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w:t>
          </w:r>
        </w:p>
      </w:tc>
    </w:tr>
    <w:tr w:rsidR="00B43F6F" w14:paraId="0DDE4605" w14:textId="77777777">
      <w:trPr>
        <w:trHeight w:val="228"/>
      </w:trPr>
      <w:tc>
        <w:tcPr>
          <w:tcW w:w="3261" w:type="dxa"/>
          <w:vMerge/>
        </w:tcPr>
        <w:p w14:paraId="5F429699" w14:textId="77777777" w:rsidR="00B43F6F" w:rsidRDefault="00B43F6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89845E0"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24BD5122" w14:textId="77777777" w:rsidR="00B43F6F" w:rsidRDefault="000619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330D7EE" w14:textId="77777777" w:rsidR="00B43F6F" w:rsidRDefault="00B43F6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40CE" w14:textId="77777777" w:rsidR="00B43F6F" w:rsidRDefault="00B769D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F43E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B43F6F" w14:paraId="509687DD" w14:textId="77777777">
      <w:tc>
        <w:tcPr>
          <w:tcW w:w="4253" w:type="dxa"/>
          <w:vMerge w:val="restart"/>
          <w:shd w:val="clear" w:color="auto" w:fill="auto"/>
        </w:tcPr>
        <w:p w14:paraId="291AF023"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C545D2C" wp14:editId="2B8753ED">
                <wp:extent cx="1692162" cy="85267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97B2544"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4515E2B" w14:textId="77777777" w:rsidR="00B43F6F" w:rsidRDefault="000619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03012/INFOEM/IP/RR/2023</w:t>
          </w:r>
        </w:p>
      </w:tc>
    </w:tr>
    <w:tr w:rsidR="00B43F6F" w14:paraId="2A68F571" w14:textId="77777777">
      <w:tc>
        <w:tcPr>
          <w:tcW w:w="4253" w:type="dxa"/>
          <w:vMerge/>
          <w:shd w:val="clear" w:color="auto" w:fill="auto"/>
        </w:tcPr>
        <w:p w14:paraId="39E706DF" w14:textId="77777777" w:rsidR="00B43F6F" w:rsidRDefault="00B43F6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EFF6DD4"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8254F88" w14:textId="517F7F73" w:rsidR="00B43F6F" w:rsidRDefault="008A767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 XXXXXXXX</w:t>
          </w:r>
        </w:p>
      </w:tc>
    </w:tr>
    <w:tr w:rsidR="00B43F6F" w14:paraId="438AEC8E" w14:textId="77777777">
      <w:trPr>
        <w:trHeight w:val="228"/>
      </w:trPr>
      <w:tc>
        <w:tcPr>
          <w:tcW w:w="4253" w:type="dxa"/>
          <w:vMerge/>
          <w:shd w:val="clear" w:color="auto" w:fill="auto"/>
        </w:tcPr>
        <w:p w14:paraId="179CAC25" w14:textId="77777777" w:rsidR="00B43F6F" w:rsidRDefault="00B43F6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084D4D7"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2E62E4C" w14:textId="77777777" w:rsidR="00B43F6F" w:rsidRDefault="00061995">
          <w:pPr>
            <w:jc w:val="both"/>
            <w:rPr>
              <w:rFonts w:ascii="Palatino Linotype" w:eastAsia="Palatino Linotype" w:hAnsi="Palatino Linotype" w:cs="Palatino Linotype"/>
              <w:b/>
            </w:rPr>
          </w:pPr>
          <w:r>
            <w:rPr>
              <w:rFonts w:ascii="Palatino Linotype" w:eastAsia="Palatino Linotype" w:hAnsi="Palatino Linotype" w:cs="Palatino Linotype"/>
              <w:b/>
            </w:rPr>
            <w:t>Ayuntamiento de Cuautitlán</w:t>
          </w:r>
        </w:p>
      </w:tc>
    </w:tr>
    <w:tr w:rsidR="00B43F6F" w14:paraId="3ACAEEA3" w14:textId="77777777">
      <w:tc>
        <w:tcPr>
          <w:tcW w:w="4253" w:type="dxa"/>
          <w:vMerge/>
          <w:shd w:val="clear" w:color="auto" w:fill="auto"/>
        </w:tcPr>
        <w:p w14:paraId="43A1E059" w14:textId="77777777" w:rsidR="00B43F6F" w:rsidRDefault="00B43F6F">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34288B3A" w14:textId="77777777" w:rsidR="00B43F6F" w:rsidRDefault="000619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2720232" w14:textId="77777777" w:rsidR="00B43F6F" w:rsidRDefault="000619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631BF14" w14:textId="77777777" w:rsidR="00B43F6F" w:rsidRDefault="00B43F6F">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1430"/>
    <w:multiLevelType w:val="multilevel"/>
    <w:tmpl w:val="553E889C"/>
    <w:lvl w:ilvl="0">
      <w:start w:val="1"/>
      <w:numFmt w:val="decimal"/>
      <w:lvlText w:val="%1."/>
      <w:lvlJc w:val="left"/>
      <w:pPr>
        <w:ind w:left="1429" w:hanging="360"/>
      </w:pPr>
      <w:rPr>
        <w:b/>
      </w:rPr>
    </w:lvl>
    <w:lvl w:ilvl="1">
      <w:start w:val="1"/>
      <w:numFmt w:val="decimal"/>
      <w:lvlText w:val="%1.%2"/>
      <w:lvlJc w:val="left"/>
      <w:pPr>
        <w:ind w:left="1789" w:hanging="360"/>
      </w:pPr>
      <w:rPr>
        <w:b/>
      </w:rPr>
    </w:lvl>
    <w:lvl w:ilvl="2">
      <w:start w:val="1"/>
      <w:numFmt w:val="decimal"/>
      <w:lvlText w:val="%1.%2.%3"/>
      <w:lvlJc w:val="left"/>
      <w:pPr>
        <w:ind w:left="2509" w:hanging="720"/>
      </w:pPr>
    </w:lvl>
    <w:lvl w:ilvl="3">
      <w:start w:val="1"/>
      <w:numFmt w:val="decimal"/>
      <w:lvlText w:val="%1.%2.%3.%4"/>
      <w:lvlJc w:val="left"/>
      <w:pPr>
        <w:ind w:left="2869" w:hanging="720"/>
      </w:pPr>
    </w:lvl>
    <w:lvl w:ilvl="4">
      <w:start w:val="1"/>
      <w:numFmt w:val="decimal"/>
      <w:lvlText w:val="%1.%2.%3.%4.%5"/>
      <w:lvlJc w:val="left"/>
      <w:pPr>
        <w:ind w:left="3589" w:hanging="1080"/>
      </w:pPr>
    </w:lvl>
    <w:lvl w:ilvl="5">
      <w:start w:val="1"/>
      <w:numFmt w:val="decimal"/>
      <w:lvlText w:val="%1.%2.%3.%4.%5.%6"/>
      <w:lvlJc w:val="left"/>
      <w:pPr>
        <w:ind w:left="3949" w:hanging="1080"/>
      </w:pPr>
    </w:lvl>
    <w:lvl w:ilvl="6">
      <w:start w:val="1"/>
      <w:numFmt w:val="decimal"/>
      <w:lvlText w:val="%1.%2.%3.%4.%5.%6.%7"/>
      <w:lvlJc w:val="left"/>
      <w:pPr>
        <w:ind w:left="4669" w:hanging="1440"/>
      </w:pPr>
    </w:lvl>
    <w:lvl w:ilvl="7">
      <w:start w:val="1"/>
      <w:numFmt w:val="decimal"/>
      <w:lvlText w:val="%1.%2.%3.%4.%5.%6.%7.%8"/>
      <w:lvlJc w:val="left"/>
      <w:pPr>
        <w:ind w:left="5029" w:hanging="1440"/>
      </w:pPr>
    </w:lvl>
    <w:lvl w:ilvl="8">
      <w:start w:val="1"/>
      <w:numFmt w:val="decimal"/>
      <w:lvlText w:val="%1.%2.%3.%4.%5.%6.%7.%8.%9"/>
      <w:lvlJc w:val="left"/>
      <w:pPr>
        <w:ind w:left="5749" w:hanging="1800"/>
      </w:pPr>
    </w:lvl>
  </w:abstractNum>
  <w:abstractNum w:abstractNumId="1" w15:restartNumberingAfterBreak="0">
    <w:nsid w:val="33260641"/>
    <w:multiLevelType w:val="multilevel"/>
    <w:tmpl w:val="2F925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EE3E82"/>
    <w:multiLevelType w:val="multilevel"/>
    <w:tmpl w:val="95DA4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B17933"/>
    <w:multiLevelType w:val="multilevel"/>
    <w:tmpl w:val="E004A11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6F"/>
    <w:rsid w:val="00061995"/>
    <w:rsid w:val="000807CF"/>
    <w:rsid w:val="0034387F"/>
    <w:rsid w:val="00397257"/>
    <w:rsid w:val="003A107A"/>
    <w:rsid w:val="003B6557"/>
    <w:rsid w:val="003E53DB"/>
    <w:rsid w:val="004176C5"/>
    <w:rsid w:val="008A7672"/>
    <w:rsid w:val="008E7D1F"/>
    <w:rsid w:val="00A87082"/>
    <w:rsid w:val="00A95A5E"/>
    <w:rsid w:val="00B43F6F"/>
    <w:rsid w:val="00B769DD"/>
    <w:rsid w:val="00EF1A27"/>
    <w:rsid w:val="00F32F43"/>
    <w:rsid w:val="00F51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E6CB86"/>
  <w15:docId w15:val="{FE9A701F-DCCB-4965-B1F3-D7E17880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E0006D"/>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teym.org.mx/transparenci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znZXG+wntQYXVIf8wgZfAIa7w==">CgMxLjAyCGguZ2pkZ3hzMgloLjJldDkycDAyCWguMzBqMHpsbDIJaC4xZm9iOXRlOAByITFWTVE4OUxFYkpCSWVyMk9aSlNMVmlSUGhaTHZQdGl6QQ==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6241</Words>
  <Characters>34331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2024-02-23T00:27:00Z</cp:lastPrinted>
  <dcterms:created xsi:type="dcterms:W3CDTF">2024-02-20T01:24:00Z</dcterms:created>
  <dcterms:modified xsi:type="dcterms:W3CDTF">2024-03-12T17:39:00Z</dcterms:modified>
</cp:coreProperties>
</file>