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D5CB9" w:rsidRDefault="00AE3DA7" w:rsidP="002D5CB9">
          <w:pPr>
            <w:pStyle w:val="TtulodeTDC"/>
            <w:spacing w:before="0" w:line="240" w:lineRule="auto"/>
            <w:rPr>
              <w:rFonts w:ascii="Palatino Linotype" w:hAnsi="Palatino Linotype"/>
              <w:color w:val="auto"/>
              <w:sz w:val="24"/>
              <w:szCs w:val="24"/>
              <w:lang w:val="es-ES"/>
            </w:rPr>
          </w:pPr>
          <w:r w:rsidRPr="002D5CB9">
            <w:rPr>
              <w:rFonts w:ascii="Palatino Linotype" w:hAnsi="Palatino Linotype"/>
              <w:color w:val="auto"/>
              <w:sz w:val="24"/>
              <w:szCs w:val="24"/>
              <w:lang w:val="es-ES"/>
            </w:rPr>
            <w:t>Contenido</w:t>
          </w:r>
        </w:p>
        <w:p w14:paraId="3EB312A7" w14:textId="77777777" w:rsidR="00AA6EA9" w:rsidRPr="002D5CB9" w:rsidRDefault="00AA6EA9" w:rsidP="002D5CB9">
          <w:pPr>
            <w:spacing w:line="240" w:lineRule="auto"/>
            <w:rPr>
              <w:sz w:val="16"/>
              <w:szCs w:val="16"/>
              <w:lang w:val="es-ES" w:eastAsia="es-MX"/>
            </w:rPr>
          </w:pPr>
        </w:p>
        <w:p w14:paraId="78B85E97" w14:textId="77777777" w:rsidR="002D5CB9" w:rsidRDefault="00AE3DA7">
          <w:pPr>
            <w:pStyle w:val="TDC1"/>
            <w:tabs>
              <w:tab w:val="right" w:leader="dot" w:pos="9034"/>
            </w:tabs>
            <w:rPr>
              <w:rFonts w:asciiTheme="minorHAnsi" w:eastAsiaTheme="minorEastAsia" w:hAnsiTheme="minorHAnsi" w:cstheme="minorBidi"/>
              <w:noProof/>
              <w:szCs w:val="22"/>
              <w:lang w:eastAsia="es-MX"/>
            </w:rPr>
          </w:pPr>
          <w:r w:rsidRPr="002D5CB9">
            <w:rPr>
              <w:sz w:val="16"/>
              <w:szCs w:val="16"/>
            </w:rPr>
            <w:fldChar w:fldCharType="begin"/>
          </w:r>
          <w:r w:rsidRPr="002D5CB9">
            <w:rPr>
              <w:sz w:val="16"/>
              <w:szCs w:val="16"/>
            </w:rPr>
            <w:instrText xml:space="preserve"> TOC \o "1-3" \h \z \u </w:instrText>
          </w:r>
          <w:r w:rsidRPr="002D5CB9">
            <w:rPr>
              <w:sz w:val="16"/>
              <w:szCs w:val="16"/>
            </w:rPr>
            <w:fldChar w:fldCharType="separate"/>
          </w:r>
          <w:hyperlink w:anchor="_Toc184229940" w:history="1">
            <w:r w:rsidR="002D5CB9" w:rsidRPr="008E70C7">
              <w:rPr>
                <w:rStyle w:val="Hipervnculo"/>
                <w:noProof/>
              </w:rPr>
              <w:t>ANTECEDENTES</w:t>
            </w:r>
            <w:r w:rsidR="002D5CB9">
              <w:rPr>
                <w:noProof/>
                <w:webHidden/>
              </w:rPr>
              <w:tab/>
            </w:r>
            <w:r w:rsidR="002D5CB9">
              <w:rPr>
                <w:noProof/>
                <w:webHidden/>
              </w:rPr>
              <w:fldChar w:fldCharType="begin"/>
            </w:r>
            <w:r w:rsidR="002D5CB9">
              <w:rPr>
                <w:noProof/>
                <w:webHidden/>
              </w:rPr>
              <w:instrText xml:space="preserve"> PAGEREF _Toc184229940 \h </w:instrText>
            </w:r>
            <w:r w:rsidR="002D5CB9">
              <w:rPr>
                <w:noProof/>
                <w:webHidden/>
              </w:rPr>
            </w:r>
            <w:r w:rsidR="002D5CB9">
              <w:rPr>
                <w:noProof/>
                <w:webHidden/>
              </w:rPr>
              <w:fldChar w:fldCharType="separate"/>
            </w:r>
            <w:r w:rsidR="002104DC">
              <w:rPr>
                <w:noProof/>
                <w:webHidden/>
              </w:rPr>
              <w:t>1</w:t>
            </w:r>
            <w:r w:rsidR="002D5CB9">
              <w:rPr>
                <w:noProof/>
                <w:webHidden/>
              </w:rPr>
              <w:fldChar w:fldCharType="end"/>
            </w:r>
          </w:hyperlink>
        </w:p>
        <w:p w14:paraId="5411B945" w14:textId="77777777" w:rsidR="002D5CB9" w:rsidRDefault="00113117">
          <w:pPr>
            <w:pStyle w:val="TDC2"/>
            <w:rPr>
              <w:rFonts w:asciiTheme="minorHAnsi" w:eastAsiaTheme="minorEastAsia" w:hAnsiTheme="minorHAnsi" w:cstheme="minorBidi"/>
              <w:noProof/>
              <w:szCs w:val="22"/>
              <w:lang w:eastAsia="es-MX"/>
            </w:rPr>
          </w:pPr>
          <w:hyperlink w:anchor="_Toc184229941" w:history="1">
            <w:r w:rsidR="002D5CB9" w:rsidRPr="008E70C7">
              <w:rPr>
                <w:rStyle w:val="Hipervnculo"/>
                <w:noProof/>
              </w:rPr>
              <w:t>DE LA SOLICITUD DE INFORMACIÓN</w:t>
            </w:r>
            <w:r w:rsidR="002D5CB9">
              <w:rPr>
                <w:noProof/>
                <w:webHidden/>
              </w:rPr>
              <w:tab/>
            </w:r>
            <w:r w:rsidR="002D5CB9">
              <w:rPr>
                <w:noProof/>
                <w:webHidden/>
              </w:rPr>
              <w:fldChar w:fldCharType="begin"/>
            </w:r>
            <w:r w:rsidR="002D5CB9">
              <w:rPr>
                <w:noProof/>
                <w:webHidden/>
              </w:rPr>
              <w:instrText xml:space="preserve"> PAGEREF _Toc184229941 \h </w:instrText>
            </w:r>
            <w:r w:rsidR="002D5CB9">
              <w:rPr>
                <w:noProof/>
                <w:webHidden/>
              </w:rPr>
            </w:r>
            <w:r w:rsidR="002D5CB9">
              <w:rPr>
                <w:noProof/>
                <w:webHidden/>
              </w:rPr>
              <w:fldChar w:fldCharType="separate"/>
            </w:r>
            <w:r w:rsidR="002104DC">
              <w:rPr>
                <w:noProof/>
                <w:webHidden/>
              </w:rPr>
              <w:t>1</w:t>
            </w:r>
            <w:r w:rsidR="002D5CB9">
              <w:rPr>
                <w:noProof/>
                <w:webHidden/>
              </w:rPr>
              <w:fldChar w:fldCharType="end"/>
            </w:r>
          </w:hyperlink>
        </w:p>
        <w:p w14:paraId="46FD73FE" w14:textId="77777777" w:rsidR="002D5CB9" w:rsidRDefault="00113117">
          <w:pPr>
            <w:pStyle w:val="TDC3"/>
            <w:rPr>
              <w:rFonts w:asciiTheme="minorHAnsi" w:eastAsiaTheme="minorEastAsia" w:hAnsiTheme="minorHAnsi" w:cstheme="minorBidi"/>
              <w:noProof/>
              <w:szCs w:val="22"/>
              <w:lang w:eastAsia="es-MX"/>
            </w:rPr>
          </w:pPr>
          <w:hyperlink w:anchor="_Toc184229942" w:history="1">
            <w:r w:rsidR="002D5CB9" w:rsidRPr="008E70C7">
              <w:rPr>
                <w:rStyle w:val="Hipervnculo"/>
                <w:noProof/>
              </w:rPr>
              <w:t>a) Solicitud de información</w:t>
            </w:r>
            <w:r w:rsidR="002D5CB9">
              <w:rPr>
                <w:noProof/>
                <w:webHidden/>
              </w:rPr>
              <w:tab/>
            </w:r>
            <w:r w:rsidR="002D5CB9">
              <w:rPr>
                <w:noProof/>
                <w:webHidden/>
              </w:rPr>
              <w:fldChar w:fldCharType="begin"/>
            </w:r>
            <w:r w:rsidR="002D5CB9">
              <w:rPr>
                <w:noProof/>
                <w:webHidden/>
              </w:rPr>
              <w:instrText xml:space="preserve"> PAGEREF _Toc184229942 \h </w:instrText>
            </w:r>
            <w:r w:rsidR="002D5CB9">
              <w:rPr>
                <w:noProof/>
                <w:webHidden/>
              </w:rPr>
            </w:r>
            <w:r w:rsidR="002D5CB9">
              <w:rPr>
                <w:noProof/>
                <w:webHidden/>
              </w:rPr>
              <w:fldChar w:fldCharType="separate"/>
            </w:r>
            <w:r w:rsidR="002104DC">
              <w:rPr>
                <w:noProof/>
                <w:webHidden/>
              </w:rPr>
              <w:t>1</w:t>
            </w:r>
            <w:r w:rsidR="002D5CB9">
              <w:rPr>
                <w:noProof/>
                <w:webHidden/>
              </w:rPr>
              <w:fldChar w:fldCharType="end"/>
            </w:r>
          </w:hyperlink>
        </w:p>
        <w:p w14:paraId="0457AEA5" w14:textId="77777777" w:rsidR="002D5CB9" w:rsidRDefault="00113117">
          <w:pPr>
            <w:pStyle w:val="TDC3"/>
            <w:rPr>
              <w:rFonts w:asciiTheme="minorHAnsi" w:eastAsiaTheme="minorEastAsia" w:hAnsiTheme="minorHAnsi" w:cstheme="minorBidi"/>
              <w:noProof/>
              <w:szCs w:val="22"/>
              <w:lang w:eastAsia="es-MX"/>
            </w:rPr>
          </w:pPr>
          <w:hyperlink w:anchor="_Toc184229943" w:history="1">
            <w:r w:rsidR="002D5CB9" w:rsidRPr="008E70C7">
              <w:rPr>
                <w:rStyle w:val="Hipervnculo"/>
                <w:noProof/>
              </w:rPr>
              <w:t>b) Turno de la solicitud de información</w:t>
            </w:r>
            <w:r w:rsidR="002D5CB9">
              <w:rPr>
                <w:noProof/>
                <w:webHidden/>
              </w:rPr>
              <w:tab/>
            </w:r>
            <w:r w:rsidR="002D5CB9">
              <w:rPr>
                <w:noProof/>
                <w:webHidden/>
              </w:rPr>
              <w:fldChar w:fldCharType="begin"/>
            </w:r>
            <w:r w:rsidR="002D5CB9">
              <w:rPr>
                <w:noProof/>
                <w:webHidden/>
              </w:rPr>
              <w:instrText xml:space="preserve"> PAGEREF _Toc184229943 \h </w:instrText>
            </w:r>
            <w:r w:rsidR="002D5CB9">
              <w:rPr>
                <w:noProof/>
                <w:webHidden/>
              </w:rPr>
            </w:r>
            <w:r w:rsidR="002D5CB9">
              <w:rPr>
                <w:noProof/>
                <w:webHidden/>
              </w:rPr>
              <w:fldChar w:fldCharType="separate"/>
            </w:r>
            <w:r w:rsidR="002104DC">
              <w:rPr>
                <w:noProof/>
                <w:webHidden/>
              </w:rPr>
              <w:t>2</w:t>
            </w:r>
            <w:r w:rsidR="002D5CB9">
              <w:rPr>
                <w:noProof/>
                <w:webHidden/>
              </w:rPr>
              <w:fldChar w:fldCharType="end"/>
            </w:r>
          </w:hyperlink>
        </w:p>
        <w:p w14:paraId="32D39B7A" w14:textId="77777777" w:rsidR="002D5CB9" w:rsidRDefault="00113117">
          <w:pPr>
            <w:pStyle w:val="TDC3"/>
            <w:rPr>
              <w:rFonts w:asciiTheme="minorHAnsi" w:eastAsiaTheme="minorEastAsia" w:hAnsiTheme="minorHAnsi" w:cstheme="minorBidi"/>
              <w:noProof/>
              <w:szCs w:val="22"/>
              <w:lang w:eastAsia="es-MX"/>
            </w:rPr>
          </w:pPr>
          <w:hyperlink w:anchor="_Toc184229944" w:history="1">
            <w:r w:rsidR="002D5CB9" w:rsidRPr="008E70C7">
              <w:rPr>
                <w:rStyle w:val="Hipervnculo"/>
                <w:noProof/>
              </w:rPr>
              <w:t>c) Prórroga</w:t>
            </w:r>
            <w:r w:rsidR="002D5CB9">
              <w:rPr>
                <w:noProof/>
                <w:webHidden/>
              </w:rPr>
              <w:tab/>
            </w:r>
            <w:r w:rsidR="002D5CB9">
              <w:rPr>
                <w:noProof/>
                <w:webHidden/>
              </w:rPr>
              <w:fldChar w:fldCharType="begin"/>
            </w:r>
            <w:r w:rsidR="002D5CB9">
              <w:rPr>
                <w:noProof/>
                <w:webHidden/>
              </w:rPr>
              <w:instrText xml:space="preserve"> PAGEREF _Toc184229944 \h </w:instrText>
            </w:r>
            <w:r w:rsidR="002D5CB9">
              <w:rPr>
                <w:noProof/>
                <w:webHidden/>
              </w:rPr>
            </w:r>
            <w:r w:rsidR="002D5CB9">
              <w:rPr>
                <w:noProof/>
                <w:webHidden/>
              </w:rPr>
              <w:fldChar w:fldCharType="separate"/>
            </w:r>
            <w:r w:rsidR="002104DC">
              <w:rPr>
                <w:noProof/>
                <w:webHidden/>
              </w:rPr>
              <w:t>2</w:t>
            </w:r>
            <w:r w:rsidR="002D5CB9">
              <w:rPr>
                <w:noProof/>
                <w:webHidden/>
              </w:rPr>
              <w:fldChar w:fldCharType="end"/>
            </w:r>
          </w:hyperlink>
        </w:p>
        <w:p w14:paraId="7B005F40" w14:textId="77777777" w:rsidR="002D5CB9" w:rsidRDefault="00113117">
          <w:pPr>
            <w:pStyle w:val="TDC3"/>
            <w:rPr>
              <w:rFonts w:asciiTheme="minorHAnsi" w:eastAsiaTheme="minorEastAsia" w:hAnsiTheme="minorHAnsi" w:cstheme="minorBidi"/>
              <w:noProof/>
              <w:szCs w:val="22"/>
              <w:lang w:eastAsia="es-MX"/>
            </w:rPr>
          </w:pPr>
          <w:hyperlink w:anchor="_Toc184229945" w:history="1">
            <w:r w:rsidR="002D5CB9" w:rsidRPr="008E70C7">
              <w:rPr>
                <w:rStyle w:val="Hipervnculo"/>
                <w:noProof/>
                <w:lang w:val="es-ES"/>
              </w:rPr>
              <w:t xml:space="preserve">d) Respuesta </w:t>
            </w:r>
            <w:r w:rsidR="002D5CB9" w:rsidRPr="008E70C7">
              <w:rPr>
                <w:rStyle w:val="Hipervnculo"/>
                <w:rFonts w:eastAsia="Calibri"/>
                <w:noProof/>
                <w:lang w:eastAsia="en-US"/>
              </w:rPr>
              <w:t>del Sujeto Obligado</w:t>
            </w:r>
            <w:r w:rsidR="002D5CB9">
              <w:rPr>
                <w:noProof/>
                <w:webHidden/>
              </w:rPr>
              <w:tab/>
            </w:r>
            <w:r w:rsidR="002D5CB9">
              <w:rPr>
                <w:noProof/>
                <w:webHidden/>
              </w:rPr>
              <w:fldChar w:fldCharType="begin"/>
            </w:r>
            <w:r w:rsidR="002D5CB9">
              <w:rPr>
                <w:noProof/>
                <w:webHidden/>
              </w:rPr>
              <w:instrText xml:space="preserve"> PAGEREF _Toc184229945 \h </w:instrText>
            </w:r>
            <w:r w:rsidR="002D5CB9">
              <w:rPr>
                <w:noProof/>
                <w:webHidden/>
              </w:rPr>
            </w:r>
            <w:r w:rsidR="002D5CB9">
              <w:rPr>
                <w:noProof/>
                <w:webHidden/>
              </w:rPr>
              <w:fldChar w:fldCharType="separate"/>
            </w:r>
            <w:r w:rsidR="002104DC">
              <w:rPr>
                <w:noProof/>
                <w:webHidden/>
              </w:rPr>
              <w:t>3</w:t>
            </w:r>
            <w:r w:rsidR="002D5CB9">
              <w:rPr>
                <w:noProof/>
                <w:webHidden/>
              </w:rPr>
              <w:fldChar w:fldCharType="end"/>
            </w:r>
          </w:hyperlink>
        </w:p>
        <w:p w14:paraId="58530279" w14:textId="77777777" w:rsidR="002D5CB9" w:rsidRDefault="00113117">
          <w:pPr>
            <w:pStyle w:val="TDC2"/>
            <w:rPr>
              <w:rFonts w:asciiTheme="minorHAnsi" w:eastAsiaTheme="minorEastAsia" w:hAnsiTheme="minorHAnsi" w:cstheme="minorBidi"/>
              <w:noProof/>
              <w:szCs w:val="22"/>
              <w:lang w:eastAsia="es-MX"/>
            </w:rPr>
          </w:pPr>
          <w:hyperlink w:anchor="_Toc184229946" w:history="1">
            <w:r w:rsidR="002D5CB9" w:rsidRPr="008E70C7">
              <w:rPr>
                <w:rStyle w:val="Hipervnculo"/>
                <w:noProof/>
              </w:rPr>
              <w:t>DEL RECURSO DE REVISIÓN</w:t>
            </w:r>
            <w:r w:rsidR="002D5CB9">
              <w:rPr>
                <w:noProof/>
                <w:webHidden/>
              </w:rPr>
              <w:tab/>
            </w:r>
            <w:r w:rsidR="002D5CB9">
              <w:rPr>
                <w:noProof/>
                <w:webHidden/>
              </w:rPr>
              <w:fldChar w:fldCharType="begin"/>
            </w:r>
            <w:r w:rsidR="002D5CB9">
              <w:rPr>
                <w:noProof/>
                <w:webHidden/>
              </w:rPr>
              <w:instrText xml:space="preserve"> PAGEREF _Toc184229946 \h </w:instrText>
            </w:r>
            <w:r w:rsidR="002D5CB9">
              <w:rPr>
                <w:noProof/>
                <w:webHidden/>
              </w:rPr>
            </w:r>
            <w:r w:rsidR="002D5CB9">
              <w:rPr>
                <w:noProof/>
                <w:webHidden/>
              </w:rPr>
              <w:fldChar w:fldCharType="separate"/>
            </w:r>
            <w:r w:rsidR="002104DC">
              <w:rPr>
                <w:noProof/>
                <w:webHidden/>
              </w:rPr>
              <w:t>3</w:t>
            </w:r>
            <w:r w:rsidR="002D5CB9">
              <w:rPr>
                <w:noProof/>
                <w:webHidden/>
              </w:rPr>
              <w:fldChar w:fldCharType="end"/>
            </w:r>
          </w:hyperlink>
        </w:p>
        <w:p w14:paraId="0392CF47" w14:textId="77777777" w:rsidR="002D5CB9" w:rsidRDefault="00113117">
          <w:pPr>
            <w:pStyle w:val="TDC3"/>
            <w:rPr>
              <w:rFonts w:asciiTheme="minorHAnsi" w:eastAsiaTheme="minorEastAsia" w:hAnsiTheme="minorHAnsi" w:cstheme="minorBidi"/>
              <w:noProof/>
              <w:szCs w:val="22"/>
              <w:lang w:eastAsia="es-MX"/>
            </w:rPr>
          </w:pPr>
          <w:hyperlink w:anchor="_Toc184229947" w:history="1">
            <w:r w:rsidR="002D5CB9" w:rsidRPr="008E70C7">
              <w:rPr>
                <w:rStyle w:val="Hipervnculo"/>
                <w:noProof/>
              </w:rPr>
              <w:t>a) Interposición del Recurso de Revisión</w:t>
            </w:r>
            <w:r w:rsidR="002D5CB9">
              <w:rPr>
                <w:noProof/>
                <w:webHidden/>
              </w:rPr>
              <w:tab/>
            </w:r>
            <w:r w:rsidR="002D5CB9">
              <w:rPr>
                <w:noProof/>
                <w:webHidden/>
              </w:rPr>
              <w:fldChar w:fldCharType="begin"/>
            </w:r>
            <w:r w:rsidR="002D5CB9">
              <w:rPr>
                <w:noProof/>
                <w:webHidden/>
              </w:rPr>
              <w:instrText xml:space="preserve"> PAGEREF _Toc184229947 \h </w:instrText>
            </w:r>
            <w:r w:rsidR="002D5CB9">
              <w:rPr>
                <w:noProof/>
                <w:webHidden/>
              </w:rPr>
            </w:r>
            <w:r w:rsidR="002D5CB9">
              <w:rPr>
                <w:noProof/>
                <w:webHidden/>
              </w:rPr>
              <w:fldChar w:fldCharType="separate"/>
            </w:r>
            <w:r w:rsidR="002104DC">
              <w:rPr>
                <w:noProof/>
                <w:webHidden/>
              </w:rPr>
              <w:t>4</w:t>
            </w:r>
            <w:r w:rsidR="002D5CB9">
              <w:rPr>
                <w:noProof/>
                <w:webHidden/>
              </w:rPr>
              <w:fldChar w:fldCharType="end"/>
            </w:r>
          </w:hyperlink>
        </w:p>
        <w:p w14:paraId="322678D0" w14:textId="77777777" w:rsidR="002D5CB9" w:rsidRDefault="00113117">
          <w:pPr>
            <w:pStyle w:val="TDC3"/>
            <w:rPr>
              <w:rFonts w:asciiTheme="minorHAnsi" w:eastAsiaTheme="minorEastAsia" w:hAnsiTheme="minorHAnsi" w:cstheme="minorBidi"/>
              <w:noProof/>
              <w:szCs w:val="22"/>
              <w:lang w:eastAsia="es-MX"/>
            </w:rPr>
          </w:pPr>
          <w:hyperlink w:anchor="_Toc184229948" w:history="1">
            <w:r w:rsidR="002D5CB9" w:rsidRPr="008E70C7">
              <w:rPr>
                <w:rStyle w:val="Hipervnculo"/>
                <w:noProof/>
              </w:rPr>
              <w:t>b) Turno del Recurso de Revisión</w:t>
            </w:r>
            <w:r w:rsidR="002D5CB9">
              <w:rPr>
                <w:noProof/>
                <w:webHidden/>
              </w:rPr>
              <w:tab/>
            </w:r>
            <w:r w:rsidR="002D5CB9">
              <w:rPr>
                <w:noProof/>
                <w:webHidden/>
              </w:rPr>
              <w:fldChar w:fldCharType="begin"/>
            </w:r>
            <w:r w:rsidR="002D5CB9">
              <w:rPr>
                <w:noProof/>
                <w:webHidden/>
              </w:rPr>
              <w:instrText xml:space="preserve"> PAGEREF _Toc184229948 \h </w:instrText>
            </w:r>
            <w:r w:rsidR="002D5CB9">
              <w:rPr>
                <w:noProof/>
                <w:webHidden/>
              </w:rPr>
            </w:r>
            <w:r w:rsidR="002D5CB9">
              <w:rPr>
                <w:noProof/>
                <w:webHidden/>
              </w:rPr>
              <w:fldChar w:fldCharType="separate"/>
            </w:r>
            <w:r w:rsidR="002104DC">
              <w:rPr>
                <w:noProof/>
                <w:webHidden/>
              </w:rPr>
              <w:t>4</w:t>
            </w:r>
            <w:r w:rsidR="002D5CB9">
              <w:rPr>
                <w:noProof/>
                <w:webHidden/>
              </w:rPr>
              <w:fldChar w:fldCharType="end"/>
            </w:r>
          </w:hyperlink>
        </w:p>
        <w:p w14:paraId="08F588E0" w14:textId="77777777" w:rsidR="002D5CB9" w:rsidRDefault="00113117">
          <w:pPr>
            <w:pStyle w:val="TDC3"/>
            <w:rPr>
              <w:rFonts w:asciiTheme="minorHAnsi" w:eastAsiaTheme="minorEastAsia" w:hAnsiTheme="minorHAnsi" w:cstheme="minorBidi"/>
              <w:noProof/>
              <w:szCs w:val="22"/>
              <w:lang w:eastAsia="es-MX"/>
            </w:rPr>
          </w:pPr>
          <w:hyperlink w:anchor="_Toc184229949" w:history="1">
            <w:r w:rsidR="002D5CB9" w:rsidRPr="008E70C7">
              <w:rPr>
                <w:rStyle w:val="Hipervnculo"/>
                <w:noProof/>
              </w:rPr>
              <w:t>c) Admisión del Recurso de Revisión</w:t>
            </w:r>
            <w:r w:rsidR="002D5CB9">
              <w:rPr>
                <w:noProof/>
                <w:webHidden/>
              </w:rPr>
              <w:tab/>
            </w:r>
            <w:r w:rsidR="002D5CB9">
              <w:rPr>
                <w:noProof/>
                <w:webHidden/>
              </w:rPr>
              <w:fldChar w:fldCharType="begin"/>
            </w:r>
            <w:r w:rsidR="002D5CB9">
              <w:rPr>
                <w:noProof/>
                <w:webHidden/>
              </w:rPr>
              <w:instrText xml:space="preserve"> PAGEREF _Toc184229949 \h </w:instrText>
            </w:r>
            <w:r w:rsidR="002D5CB9">
              <w:rPr>
                <w:noProof/>
                <w:webHidden/>
              </w:rPr>
            </w:r>
            <w:r w:rsidR="002D5CB9">
              <w:rPr>
                <w:noProof/>
                <w:webHidden/>
              </w:rPr>
              <w:fldChar w:fldCharType="separate"/>
            </w:r>
            <w:r w:rsidR="002104DC">
              <w:rPr>
                <w:noProof/>
                <w:webHidden/>
              </w:rPr>
              <w:t>4</w:t>
            </w:r>
            <w:r w:rsidR="002D5CB9">
              <w:rPr>
                <w:noProof/>
                <w:webHidden/>
              </w:rPr>
              <w:fldChar w:fldCharType="end"/>
            </w:r>
          </w:hyperlink>
        </w:p>
        <w:p w14:paraId="4E90AD86" w14:textId="77777777" w:rsidR="002D5CB9" w:rsidRDefault="00113117">
          <w:pPr>
            <w:pStyle w:val="TDC3"/>
            <w:rPr>
              <w:rFonts w:asciiTheme="minorHAnsi" w:eastAsiaTheme="minorEastAsia" w:hAnsiTheme="minorHAnsi" w:cstheme="minorBidi"/>
              <w:noProof/>
              <w:szCs w:val="22"/>
              <w:lang w:eastAsia="es-MX"/>
            </w:rPr>
          </w:pPr>
          <w:hyperlink w:anchor="_Toc184229950" w:history="1">
            <w:r w:rsidR="002D5CB9" w:rsidRPr="008E70C7">
              <w:rPr>
                <w:rStyle w:val="Hipervnculo"/>
                <w:noProof/>
              </w:rPr>
              <w:t>d) Informe Justificado del Sujeto Obligado</w:t>
            </w:r>
            <w:r w:rsidR="002D5CB9">
              <w:rPr>
                <w:noProof/>
                <w:webHidden/>
              </w:rPr>
              <w:tab/>
            </w:r>
            <w:r w:rsidR="002D5CB9">
              <w:rPr>
                <w:noProof/>
                <w:webHidden/>
              </w:rPr>
              <w:fldChar w:fldCharType="begin"/>
            </w:r>
            <w:r w:rsidR="002D5CB9">
              <w:rPr>
                <w:noProof/>
                <w:webHidden/>
              </w:rPr>
              <w:instrText xml:space="preserve"> PAGEREF _Toc184229950 \h </w:instrText>
            </w:r>
            <w:r w:rsidR="002D5CB9">
              <w:rPr>
                <w:noProof/>
                <w:webHidden/>
              </w:rPr>
            </w:r>
            <w:r w:rsidR="002D5CB9">
              <w:rPr>
                <w:noProof/>
                <w:webHidden/>
              </w:rPr>
              <w:fldChar w:fldCharType="separate"/>
            </w:r>
            <w:r w:rsidR="002104DC">
              <w:rPr>
                <w:noProof/>
                <w:webHidden/>
              </w:rPr>
              <w:t>5</w:t>
            </w:r>
            <w:r w:rsidR="002D5CB9">
              <w:rPr>
                <w:noProof/>
                <w:webHidden/>
              </w:rPr>
              <w:fldChar w:fldCharType="end"/>
            </w:r>
          </w:hyperlink>
        </w:p>
        <w:p w14:paraId="1F5DD7B5" w14:textId="77777777" w:rsidR="002D5CB9" w:rsidRDefault="00113117">
          <w:pPr>
            <w:pStyle w:val="TDC3"/>
            <w:rPr>
              <w:rFonts w:asciiTheme="minorHAnsi" w:eastAsiaTheme="minorEastAsia" w:hAnsiTheme="minorHAnsi" w:cstheme="minorBidi"/>
              <w:noProof/>
              <w:szCs w:val="22"/>
              <w:lang w:eastAsia="es-MX"/>
            </w:rPr>
          </w:pPr>
          <w:hyperlink w:anchor="_Toc184229951" w:history="1">
            <w:r w:rsidR="002D5CB9" w:rsidRPr="008E70C7">
              <w:rPr>
                <w:rStyle w:val="Hipervnculo"/>
                <w:rFonts w:eastAsia="Calibri"/>
                <w:bCs/>
                <w:noProof/>
                <w:lang w:eastAsia="en-US"/>
              </w:rPr>
              <w:t>e)</w:t>
            </w:r>
            <w:r w:rsidR="002D5CB9" w:rsidRPr="008E70C7">
              <w:rPr>
                <w:rStyle w:val="Hipervnculo"/>
                <w:noProof/>
              </w:rPr>
              <w:t xml:space="preserve"> </w:t>
            </w:r>
            <w:r w:rsidR="002D5CB9" w:rsidRPr="008E70C7">
              <w:rPr>
                <w:rStyle w:val="Hipervnculo"/>
                <w:noProof/>
                <w:lang w:val="es-ES"/>
              </w:rPr>
              <w:t>Manifestaciones de la Parte Recurrente</w:t>
            </w:r>
            <w:r w:rsidR="002D5CB9">
              <w:rPr>
                <w:noProof/>
                <w:webHidden/>
              </w:rPr>
              <w:tab/>
            </w:r>
            <w:r w:rsidR="002D5CB9">
              <w:rPr>
                <w:noProof/>
                <w:webHidden/>
              </w:rPr>
              <w:fldChar w:fldCharType="begin"/>
            </w:r>
            <w:r w:rsidR="002D5CB9">
              <w:rPr>
                <w:noProof/>
                <w:webHidden/>
              </w:rPr>
              <w:instrText xml:space="preserve"> PAGEREF _Toc184229951 \h </w:instrText>
            </w:r>
            <w:r w:rsidR="002D5CB9">
              <w:rPr>
                <w:noProof/>
                <w:webHidden/>
              </w:rPr>
            </w:r>
            <w:r w:rsidR="002D5CB9">
              <w:rPr>
                <w:noProof/>
                <w:webHidden/>
              </w:rPr>
              <w:fldChar w:fldCharType="separate"/>
            </w:r>
            <w:r w:rsidR="002104DC">
              <w:rPr>
                <w:noProof/>
                <w:webHidden/>
              </w:rPr>
              <w:t>5</w:t>
            </w:r>
            <w:r w:rsidR="002D5CB9">
              <w:rPr>
                <w:noProof/>
                <w:webHidden/>
              </w:rPr>
              <w:fldChar w:fldCharType="end"/>
            </w:r>
          </w:hyperlink>
        </w:p>
        <w:p w14:paraId="6E28EF0D" w14:textId="77777777" w:rsidR="002D5CB9" w:rsidRDefault="00113117">
          <w:pPr>
            <w:pStyle w:val="TDC3"/>
            <w:rPr>
              <w:rFonts w:asciiTheme="minorHAnsi" w:eastAsiaTheme="minorEastAsia" w:hAnsiTheme="minorHAnsi" w:cstheme="minorBidi"/>
              <w:noProof/>
              <w:szCs w:val="22"/>
              <w:lang w:eastAsia="es-MX"/>
            </w:rPr>
          </w:pPr>
          <w:hyperlink w:anchor="_Toc184229952" w:history="1">
            <w:r w:rsidR="002D5CB9" w:rsidRPr="008E70C7">
              <w:rPr>
                <w:rStyle w:val="Hipervnculo"/>
                <w:noProof/>
              </w:rPr>
              <w:t>f) Cierre de instrucción</w:t>
            </w:r>
            <w:r w:rsidR="002D5CB9">
              <w:rPr>
                <w:noProof/>
                <w:webHidden/>
              </w:rPr>
              <w:tab/>
            </w:r>
            <w:r w:rsidR="002D5CB9">
              <w:rPr>
                <w:noProof/>
                <w:webHidden/>
              </w:rPr>
              <w:fldChar w:fldCharType="begin"/>
            </w:r>
            <w:r w:rsidR="002D5CB9">
              <w:rPr>
                <w:noProof/>
                <w:webHidden/>
              </w:rPr>
              <w:instrText xml:space="preserve"> PAGEREF _Toc184229952 \h </w:instrText>
            </w:r>
            <w:r w:rsidR="002D5CB9">
              <w:rPr>
                <w:noProof/>
                <w:webHidden/>
              </w:rPr>
            </w:r>
            <w:r w:rsidR="002D5CB9">
              <w:rPr>
                <w:noProof/>
                <w:webHidden/>
              </w:rPr>
              <w:fldChar w:fldCharType="separate"/>
            </w:r>
            <w:r w:rsidR="002104DC">
              <w:rPr>
                <w:noProof/>
                <w:webHidden/>
              </w:rPr>
              <w:t>5</w:t>
            </w:r>
            <w:r w:rsidR="002D5CB9">
              <w:rPr>
                <w:noProof/>
                <w:webHidden/>
              </w:rPr>
              <w:fldChar w:fldCharType="end"/>
            </w:r>
          </w:hyperlink>
        </w:p>
        <w:p w14:paraId="3367BDAF" w14:textId="77777777" w:rsidR="002D5CB9" w:rsidRDefault="00113117">
          <w:pPr>
            <w:pStyle w:val="TDC1"/>
            <w:tabs>
              <w:tab w:val="right" w:leader="dot" w:pos="9034"/>
            </w:tabs>
            <w:rPr>
              <w:rFonts w:asciiTheme="minorHAnsi" w:eastAsiaTheme="minorEastAsia" w:hAnsiTheme="minorHAnsi" w:cstheme="minorBidi"/>
              <w:noProof/>
              <w:szCs w:val="22"/>
              <w:lang w:eastAsia="es-MX"/>
            </w:rPr>
          </w:pPr>
          <w:hyperlink w:anchor="_Toc184229953" w:history="1">
            <w:r w:rsidR="002D5CB9" w:rsidRPr="008E70C7">
              <w:rPr>
                <w:rStyle w:val="Hipervnculo"/>
                <w:rFonts w:eastAsiaTheme="minorHAnsi"/>
                <w:noProof/>
                <w:lang w:eastAsia="en-US"/>
              </w:rPr>
              <w:t>CONSIDERANDOS</w:t>
            </w:r>
            <w:r w:rsidR="002D5CB9">
              <w:rPr>
                <w:noProof/>
                <w:webHidden/>
              </w:rPr>
              <w:tab/>
            </w:r>
            <w:r w:rsidR="002D5CB9">
              <w:rPr>
                <w:noProof/>
                <w:webHidden/>
              </w:rPr>
              <w:fldChar w:fldCharType="begin"/>
            </w:r>
            <w:r w:rsidR="002D5CB9">
              <w:rPr>
                <w:noProof/>
                <w:webHidden/>
              </w:rPr>
              <w:instrText xml:space="preserve"> PAGEREF _Toc184229953 \h </w:instrText>
            </w:r>
            <w:r w:rsidR="002D5CB9">
              <w:rPr>
                <w:noProof/>
                <w:webHidden/>
              </w:rPr>
            </w:r>
            <w:r w:rsidR="002D5CB9">
              <w:rPr>
                <w:noProof/>
                <w:webHidden/>
              </w:rPr>
              <w:fldChar w:fldCharType="separate"/>
            </w:r>
            <w:r w:rsidR="002104DC">
              <w:rPr>
                <w:noProof/>
                <w:webHidden/>
              </w:rPr>
              <w:t>6</w:t>
            </w:r>
            <w:r w:rsidR="002D5CB9">
              <w:rPr>
                <w:noProof/>
                <w:webHidden/>
              </w:rPr>
              <w:fldChar w:fldCharType="end"/>
            </w:r>
          </w:hyperlink>
        </w:p>
        <w:p w14:paraId="2DE4B512" w14:textId="77777777" w:rsidR="002D5CB9" w:rsidRDefault="00113117">
          <w:pPr>
            <w:pStyle w:val="TDC2"/>
            <w:rPr>
              <w:rFonts w:asciiTheme="minorHAnsi" w:eastAsiaTheme="minorEastAsia" w:hAnsiTheme="minorHAnsi" w:cstheme="minorBidi"/>
              <w:noProof/>
              <w:szCs w:val="22"/>
              <w:lang w:eastAsia="es-MX"/>
            </w:rPr>
          </w:pPr>
          <w:hyperlink w:anchor="_Toc184229954" w:history="1">
            <w:r w:rsidR="002D5CB9" w:rsidRPr="008E70C7">
              <w:rPr>
                <w:rStyle w:val="Hipervnculo"/>
                <w:rFonts w:eastAsia="Batang"/>
                <w:noProof/>
              </w:rPr>
              <w:t>PRIMERO. Procedibilidad</w:t>
            </w:r>
            <w:r w:rsidR="002D5CB9">
              <w:rPr>
                <w:noProof/>
                <w:webHidden/>
              </w:rPr>
              <w:tab/>
            </w:r>
            <w:r w:rsidR="002D5CB9">
              <w:rPr>
                <w:noProof/>
                <w:webHidden/>
              </w:rPr>
              <w:fldChar w:fldCharType="begin"/>
            </w:r>
            <w:r w:rsidR="002D5CB9">
              <w:rPr>
                <w:noProof/>
                <w:webHidden/>
              </w:rPr>
              <w:instrText xml:space="preserve"> PAGEREF _Toc184229954 \h </w:instrText>
            </w:r>
            <w:r w:rsidR="002D5CB9">
              <w:rPr>
                <w:noProof/>
                <w:webHidden/>
              </w:rPr>
            </w:r>
            <w:r w:rsidR="002D5CB9">
              <w:rPr>
                <w:noProof/>
                <w:webHidden/>
              </w:rPr>
              <w:fldChar w:fldCharType="separate"/>
            </w:r>
            <w:r w:rsidR="002104DC">
              <w:rPr>
                <w:noProof/>
                <w:webHidden/>
              </w:rPr>
              <w:t>6</w:t>
            </w:r>
            <w:r w:rsidR="002D5CB9">
              <w:rPr>
                <w:noProof/>
                <w:webHidden/>
              </w:rPr>
              <w:fldChar w:fldCharType="end"/>
            </w:r>
          </w:hyperlink>
        </w:p>
        <w:p w14:paraId="3A034CDB" w14:textId="77777777" w:rsidR="002D5CB9" w:rsidRDefault="00113117">
          <w:pPr>
            <w:pStyle w:val="TDC3"/>
            <w:rPr>
              <w:rFonts w:asciiTheme="minorHAnsi" w:eastAsiaTheme="minorEastAsia" w:hAnsiTheme="minorHAnsi" w:cstheme="minorBidi"/>
              <w:noProof/>
              <w:szCs w:val="22"/>
              <w:lang w:eastAsia="es-MX"/>
            </w:rPr>
          </w:pPr>
          <w:hyperlink w:anchor="_Toc184229955" w:history="1">
            <w:r w:rsidR="002D5CB9" w:rsidRPr="008E70C7">
              <w:rPr>
                <w:rStyle w:val="Hipervnculo"/>
                <w:noProof/>
              </w:rPr>
              <w:t>a) Competencia del Instituto</w:t>
            </w:r>
            <w:r w:rsidR="002D5CB9">
              <w:rPr>
                <w:noProof/>
                <w:webHidden/>
              </w:rPr>
              <w:tab/>
            </w:r>
            <w:r w:rsidR="002D5CB9">
              <w:rPr>
                <w:noProof/>
                <w:webHidden/>
              </w:rPr>
              <w:fldChar w:fldCharType="begin"/>
            </w:r>
            <w:r w:rsidR="002D5CB9">
              <w:rPr>
                <w:noProof/>
                <w:webHidden/>
              </w:rPr>
              <w:instrText xml:space="preserve"> PAGEREF _Toc184229955 \h </w:instrText>
            </w:r>
            <w:r w:rsidR="002D5CB9">
              <w:rPr>
                <w:noProof/>
                <w:webHidden/>
              </w:rPr>
            </w:r>
            <w:r w:rsidR="002D5CB9">
              <w:rPr>
                <w:noProof/>
                <w:webHidden/>
              </w:rPr>
              <w:fldChar w:fldCharType="separate"/>
            </w:r>
            <w:r w:rsidR="002104DC">
              <w:rPr>
                <w:noProof/>
                <w:webHidden/>
              </w:rPr>
              <w:t>6</w:t>
            </w:r>
            <w:r w:rsidR="002D5CB9">
              <w:rPr>
                <w:noProof/>
                <w:webHidden/>
              </w:rPr>
              <w:fldChar w:fldCharType="end"/>
            </w:r>
          </w:hyperlink>
        </w:p>
        <w:p w14:paraId="2BA834D1" w14:textId="77777777" w:rsidR="002D5CB9" w:rsidRDefault="00113117">
          <w:pPr>
            <w:pStyle w:val="TDC3"/>
            <w:rPr>
              <w:rFonts w:asciiTheme="minorHAnsi" w:eastAsiaTheme="minorEastAsia" w:hAnsiTheme="minorHAnsi" w:cstheme="minorBidi"/>
              <w:noProof/>
              <w:szCs w:val="22"/>
              <w:lang w:eastAsia="es-MX"/>
            </w:rPr>
          </w:pPr>
          <w:hyperlink w:anchor="_Toc184229956" w:history="1">
            <w:r w:rsidR="002D5CB9" w:rsidRPr="008E70C7">
              <w:rPr>
                <w:rStyle w:val="Hipervnculo"/>
                <w:noProof/>
              </w:rPr>
              <w:t>b) Legitimidad de la parte recurrente</w:t>
            </w:r>
            <w:r w:rsidR="002D5CB9">
              <w:rPr>
                <w:noProof/>
                <w:webHidden/>
              </w:rPr>
              <w:tab/>
            </w:r>
            <w:r w:rsidR="002D5CB9">
              <w:rPr>
                <w:noProof/>
                <w:webHidden/>
              </w:rPr>
              <w:fldChar w:fldCharType="begin"/>
            </w:r>
            <w:r w:rsidR="002D5CB9">
              <w:rPr>
                <w:noProof/>
                <w:webHidden/>
              </w:rPr>
              <w:instrText xml:space="preserve"> PAGEREF _Toc184229956 \h </w:instrText>
            </w:r>
            <w:r w:rsidR="002D5CB9">
              <w:rPr>
                <w:noProof/>
                <w:webHidden/>
              </w:rPr>
            </w:r>
            <w:r w:rsidR="002D5CB9">
              <w:rPr>
                <w:noProof/>
                <w:webHidden/>
              </w:rPr>
              <w:fldChar w:fldCharType="separate"/>
            </w:r>
            <w:r w:rsidR="002104DC">
              <w:rPr>
                <w:noProof/>
                <w:webHidden/>
              </w:rPr>
              <w:t>6</w:t>
            </w:r>
            <w:r w:rsidR="002D5CB9">
              <w:rPr>
                <w:noProof/>
                <w:webHidden/>
              </w:rPr>
              <w:fldChar w:fldCharType="end"/>
            </w:r>
          </w:hyperlink>
        </w:p>
        <w:p w14:paraId="6EFF05CC" w14:textId="77777777" w:rsidR="002D5CB9" w:rsidRDefault="00113117">
          <w:pPr>
            <w:pStyle w:val="TDC3"/>
            <w:rPr>
              <w:rFonts w:asciiTheme="minorHAnsi" w:eastAsiaTheme="minorEastAsia" w:hAnsiTheme="minorHAnsi" w:cstheme="minorBidi"/>
              <w:noProof/>
              <w:szCs w:val="22"/>
              <w:lang w:eastAsia="es-MX"/>
            </w:rPr>
          </w:pPr>
          <w:hyperlink w:anchor="_Toc184229957" w:history="1">
            <w:r w:rsidR="002D5CB9" w:rsidRPr="008E70C7">
              <w:rPr>
                <w:rStyle w:val="Hipervnculo"/>
                <w:rFonts w:eastAsia="Calibri"/>
                <w:noProof/>
                <w:lang w:eastAsia="es-ES_tradnl"/>
              </w:rPr>
              <w:t>c) Plazo para interponer el recurso</w:t>
            </w:r>
            <w:r w:rsidR="002D5CB9">
              <w:rPr>
                <w:noProof/>
                <w:webHidden/>
              </w:rPr>
              <w:tab/>
            </w:r>
            <w:r w:rsidR="002D5CB9">
              <w:rPr>
                <w:noProof/>
                <w:webHidden/>
              </w:rPr>
              <w:fldChar w:fldCharType="begin"/>
            </w:r>
            <w:r w:rsidR="002D5CB9">
              <w:rPr>
                <w:noProof/>
                <w:webHidden/>
              </w:rPr>
              <w:instrText xml:space="preserve"> PAGEREF _Toc184229957 \h </w:instrText>
            </w:r>
            <w:r w:rsidR="002D5CB9">
              <w:rPr>
                <w:noProof/>
                <w:webHidden/>
              </w:rPr>
            </w:r>
            <w:r w:rsidR="002D5CB9">
              <w:rPr>
                <w:noProof/>
                <w:webHidden/>
              </w:rPr>
              <w:fldChar w:fldCharType="separate"/>
            </w:r>
            <w:r w:rsidR="002104DC">
              <w:rPr>
                <w:noProof/>
                <w:webHidden/>
              </w:rPr>
              <w:t>7</w:t>
            </w:r>
            <w:r w:rsidR="002D5CB9">
              <w:rPr>
                <w:noProof/>
                <w:webHidden/>
              </w:rPr>
              <w:fldChar w:fldCharType="end"/>
            </w:r>
          </w:hyperlink>
        </w:p>
        <w:p w14:paraId="488E5513" w14:textId="77777777" w:rsidR="002D5CB9" w:rsidRDefault="00113117">
          <w:pPr>
            <w:pStyle w:val="TDC3"/>
            <w:rPr>
              <w:rFonts w:asciiTheme="minorHAnsi" w:eastAsiaTheme="minorEastAsia" w:hAnsiTheme="minorHAnsi" w:cstheme="minorBidi"/>
              <w:noProof/>
              <w:szCs w:val="22"/>
              <w:lang w:eastAsia="es-MX"/>
            </w:rPr>
          </w:pPr>
          <w:hyperlink w:anchor="_Toc184229958" w:history="1">
            <w:r w:rsidR="002D5CB9" w:rsidRPr="008E70C7">
              <w:rPr>
                <w:rStyle w:val="Hipervnculo"/>
                <w:rFonts w:eastAsia="Calibri"/>
                <w:noProof/>
                <w:lang w:eastAsia="es-ES_tradnl"/>
              </w:rPr>
              <w:t>d) Causal de Procedencia</w:t>
            </w:r>
            <w:r w:rsidR="002D5CB9">
              <w:rPr>
                <w:noProof/>
                <w:webHidden/>
              </w:rPr>
              <w:tab/>
            </w:r>
            <w:r w:rsidR="002D5CB9">
              <w:rPr>
                <w:noProof/>
                <w:webHidden/>
              </w:rPr>
              <w:fldChar w:fldCharType="begin"/>
            </w:r>
            <w:r w:rsidR="002D5CB9">
              <w:rPr>
                <w:noProof/>
                <w:webHidden/>
              </w:rPr>
              <w:instrText xml:space="preserve"> PAGEREF _Toc184229958 \h </w:instrText>
            </w:r>
            <w:r w:rsidR="002D5CB9">
              <w:rPr>
                <w:noProof/>
                <w:webHidden/>
              </w:rPr>
            </w:r>
            <w:r w:rsidR="002D5CB9">
              <w:rPr>
                <w:noProof/>
                <w:webHidden/>
              </w:rPr>
              <w:fldChar w:fldCharType="separate"/>
            </w:r>
            <w:r w:rsidR="002104DC">
              <w:rPr>
                <w:noProof/>
                <w:webHidden/>
              </w:rPr>
              <w:t>7</w:t>
            </w:r>
            <w:r w:rsidR="002D5CB9">
              <w:rPr>
                <w:noProof/>
                <w:webHidden/>
              </w:rPr>
              <w:fldChar w:fldCharType="end"/>
            </w:r>
          </w:hyperlink>
        </w:p>
        <w:p w14:paraId="17629E62" w14:textId="77777777" w:rsidR="002D5CB9" w:rsidRDefault="00113117">
          <w:pPr>
            <w:pStyle w:val="TDC3"/>
            <w:rPr>
              <w:rFonts w:asciiTheme="minorHAnsi" w:eastAsiaTheme="minorEastAsia" w:hAnsiTheme="minorHAnsi" w:cstheme="minorBidi"/>
              <w:noProof/>
              <w:szCs w:val="22"/>
              <w:lang w:eastAsia="es-MX"/>
            </w:rPr>
          </w:pPr>
          <w:hyperlink w:anchor="_Toc184229959" w:history="1">
            <w:r w:rsidR="002D5CB9" w:rsidRPr="008E70C7">
              <w:rPr>
                <w:rStyle w:val="Hipervnculo"/>
                <w:noProof/>
              </w:rPr>
              <w:t>e) Requisitos formales para la interposición del recurso</w:t>
            </w:r>
            <w:r w:rsidR="002D5CB9">
              <w:rPr>
                <w:noProof/>
                <w:webHidden/>
              </w:rPr>
              <w:tab/>
            </w:r>
            <w:r w:rsidR="002D5CB9">
              <w:rPr>
                <w:noProof/>
                <w:webHidden/>
              </w:rPr>
              <w:fldChar w:fldCharType="begin"/>
            </w:r>
            <w:r w:rsidR="002D5CB9">
              <w:rPr>
                <w:noProof/>
                <w:webHidden/>
              </w:rPr>
              <w:instrText xml:space="preserve"> PAGEREF _Toc184229959 \h </w:instrText>
            </w:r>
            <w:r w:rsidR="002D5CB9">
              <w:rPr>
                <w:noProof/>
                <w:webHidden/>
              </w:rPr>
            </w:r>
            <w:r w:rsidR="002D5CB9">
              <w:rPr>
                <w:noProof/>
                <w:webHidden/>
              </w:rPr>
              <w:fldChar w:fldCharType="separate"/>
            </w:r>
            <w:r w:rsidR="002104DC">
              <w:rPr>
                <w:noProof/>
                <w:webHidden/>
              </w:rPr>
              <w:t>7</w:t>
            </w:r>
            <w:r w:rsidR="002D5CB9">
              <w:rPr>
                <w:noProof/>
                <w:webHidden/>
              </w:rPr>
              <w:fldChar w:fldCharType="end"/>
            </w:r>
          </w:hyperlink>
        </w:p>
        <w:p w14:paraId="3D62DF55" w14:textId="77777777" w:rsidR="002D5CB9" w:rsidRDefault="00113117">
          <w:pPr>
            <w:pStyle w:val="TDC2"/>
            <w:rPr>
              <w:rFonts w:asciiTheme="minorHAnsi" w:eastAsiaTheme="minorEastAsia" w:hAnsiTheme="minorHAnsi" w:cstheme="minorBidi"/>
              <w:noProof/>
              <w:szCs w:val="22"/>
              <w:lang w:eastAsia="es-MX"/>
            </w:rPr>
          </w:pPr>
          <w:hyperlink w:anchor="_Toc184229960" w:history="1">
            <w:r w:rsidR="002D5CB9" w:rsidRPr="008E70C7">
              <w:rPr>
                <w:rStyle w:val="Hipervnculo"/>
                <w:noProof/>
              </w:rPr>
              <w:t>SEGUNDO. Estudio de Fondo</w:t>
            </w:r>
            <w:r w:rsidR="002D5CB9">
              <w:rPr>
                <w:noProof/>
                <w:webHidden/>
              </w:rPr>
              <w:tab/>
            </w:r>
            <w:r w:rsidR="002D5CB9">
              <w:rPr>
                <w:noProof/>
                <w:webHidden/>
              </w:rPr>
              <w:fldChar w:fldCharType="begin"/>
            </w:r>
            <w:r w:rsidR="002D5CB9">
              <w:rPr>
                <w:noProof/>
                <w:webHidden/>
              </w:rPr>
              <w:instrText xml:space="preserve"> PAGEREF _Toc184229960 \h </w:instrText>
            </w:r>
            <w:r w:rsidR="002D5CB9">
              <w:rPr>
                <w:noProof/>
                <w:webHidden/>
              </w:rPr>
            </w:r>
            <w:r w:rsidR="002D5CB9">
              <w:rPr>
                <w:noProof/>
                <w:webHidden/>
              </w:rPr>
              <w:fldChar w:fldCharType="separate"/>
            </w:r>
            <w:r w:rsidR="002104DC">
              <w:rPr>
                <w:noProof/>
                <w:webHidden/>
              </w:rPr>
              <w:t>8</w:t>
            </w:r>
            <w:r w:rsidR="002D5CB9">
              <w:rPr>
                <w:noProof/>
                <w:webHidden/>
              </w:rPr>
              <w:fldChar w:fldCharType="end"/>
            </w:r>
          </w:hyperlink>
        </w:p>
        <w:p w14:paraId="151E8F88" w14:textId="77777777" w:rsidR="002D5CB9" w:rsidRDefault="00113117">
          <w:pPr>
            <w:pStyle w:val="TDC3"/>
            <w:rPr>
              <w:rFonts w:asciiTheme="minorHAnsi" w:eastAsiaTheme="minorEastAsia" w:hAnsiTheme="minorHAnsi" w:cstheme="minorBidi"/>
              <w:noProof/>
              <w:szCs w:val="22"/>
              <w:lang w:eastAsia="es-MX"/>
            </w:rPr>
          </w:pPr>
          <w:hyperlink w:anchor="_Toc184229961" w:history="1">
            <w:r w:rsidR="002D5CB9" w:rsidRPr="008E70C7">
              <w:rPr>
                <w:rStyle w:val="Hipervnculo"/>
                <w:noProof/>
              </w:rPr>
              <w:t>a) Mandato de transparencia y responsabilidad del Sujeto Obligado</w:t>
            </w:r>
            <w:r w:rsidR="002D5CB9">
              <w:rPr>
                <w:noProof/>
                <w:webHidden/>
              </w:rPr>
              <w:tab/>
            </w:r>
            <w:r w:rsidR="002D5CB9">
              <w:rPr>
                <w:noProof/>
                <w:webHidden/>
              </w:rPr>
              <w:fldChar w:fldCharType="begin"/>
            </w:r>
            <w:r w:rsidR="002D5CB9">
              <w:rPr>
                <w:noProof/>
                <w:webHidden/>
              </w:rPr>
              <w:instrText xml:space="preserve"> PAGEREF _Toc184229961 \h </w:instrText>
            </w:r>
            <w:r w:rsidR="002D5CB9">
              <w:rPr>
                <w:noProof/>
                <w:webHidden/>
              </w:rPr>
            </w:r>
            <w:r w:rsidR="002D5CB9">
              <w:rPr>
                <w:noProof/>
                <w:webHidden/>
              </w:rPr>
              <w:fldChar w:fldCharType="separate"/>
            </w:r>
            <w:r w:rsidR="002104DC">
              <w:rPr>
                <w:noProof/>
                <w:webHidden/>
              </w:rPr>
              <w:t>8</w:t>
            </w:r>
            <w:r w:rsidR="002D5CB9">
              <w:rPr>
                <w:noProof/>
                <w:webHidden/>
              </w:rPr>
              <w:fldChar w:fldCharType="end"/>
            </w:r>
          </w:hyperlink>
        </w:p>
        <w:p w14:paraId="50750B1A" w14:textId="77777777" w:rsidR="002D5CB9" w:rsidRDefault="00113117">
          <w:pPr>
            <w:pStyle w:val="TDC3"/>
            <w:rPr>
              <w:rFonts w:asciiTheme="minorHAnsi" w:eastAsiaTheme="minorEastAsia" w:hAnsiTheme="minorHAnsi" w:cstheme="minorBidi"/>
              <w:noProof/>
              <w:szCs w:val="22"/>
              <w:lang w:eastAsia="es-MX"/>
            </w:rPr>
          </w:pPr>
          <w:hyperlink w:anchor="_Toc184229962" w:history="1">
            <w:r w:rsidR="002D5CB9" w:rsidRPr="008E70C7">
              <w:rPr>
                <w:rStyle w:val="Hipervnculo"/>
                <w:rFonts w:eastAsia="Calibri"/>
                <w:noProof/>
                <w:lang w:eastAsia="es-ES_tradnl"/>
              </w:rPr>
              <w:t>b) Controversia a resolver</w:t>
            </w:r>
            <w:r w:rsidR="002D5CB9">
              <w:rPr>
                <w:noProof/>
                <w:webHidden/>
              </w:rPr>
              <w:tab/>
            </w:r>
            <w:r w:rsidR="002D5CB9">
              <w:rPr>
                <w:noProof/>
                <w:webHidden/>
              </w:rPr>
              <w:fldChar w:fldCharType="begin"/>
            </w:r>
            <w:r w:rsidR="002D5CB9">
              <w:rPr>
                <w:noProof/>
                <w:webHidden/>
              </w:rPr>
              <w:instrText xml:space="preserve"> PAGEREF _Toc184229962 \h </w:instrText>
            </w:r>
            <w:r w:rsidR="002D5CB9">
              <w:rPr>
                <w:noProof/>
                <w:webHidden/>
              </w:rPr>
            </w:r>
            <w:r w:rsidR="002D5CB9">
              <w:rPr>
                <w:noProof/>
                <w:webHidden/>
              </w:rPr>
              <w:fldChar w:fldCharType="separate"/>
            </w:r>
            <w:r w:rsidR="002104DC">
              <w:rPr>
                <w:noProof/>
                <w:webHidden/>
              </w:rPr>
              <w:t>11</w:t>
            </w:r>
            <w:r w:rsidR="002D5CB9">
              <w:rPr>
                <w:noProof/>
                <w:webHidden/>
              </w:rPr>
              <w:fldChar w:fldCharType="end"/>
            </w:r>
          </w:hyperlink>
        </w:p>
        <w:p w14:paraId="3537D537" w14:textId="77777777" w:rsidR="002D5CB9" w:rsidRDefault="00113117">
          <w:pPr>
            <w:pStyle w:val="TDC3"/>
            <w:rPr>
              <w:rFonts w:asciiTheme="minorHAnsi" w:eastAsiaTheme="minorEastAsia" w:hAnsiTheme="minorHAnsi" w:cstheme="minorBidi"/>
              <w:noProof/>
              <w:szCs w:val="22"/>
              <w:lang w:eastAsia="es-MX"/>
            </w:rPr>
          </w:pPr>
          <w:hyperlink w:anchor="_Toc184229963" w:history="1">
            <w:r w:rsidR="002D5CB9" w:rsidRPr="008E70C7">
              <w:rPr>
                <w:rStyle w:val="Hipervnculo"/>
                <w:noProof/>
              </w:rPr>
              <w:t>c) Estudio de la controversia</w:t>
            </w:r>
            <w:r w:rsidR="002D5CB9">
              <w:rPr>
                <w:noProof/>
                <w:webHidden/>
              </w:rPr>
              <w:tab/>
            </w:r>
            <w:r w:rsidR="002D5CB9">
              <w:rPr>
                <w:noProof/>
                <w:webHidden/>
              </w:rPr>
              <w:fldChar w:fldCharType="begin"/>
            </w:r>
            <w:r w:rsidR="002D5CB9">
              <w:rPr>
                <w:noProof/>
                <w:webHidden/>
              </w:rPr>
              <w:instrText xml:space="preserve"> PAGEREF _Toc184229963 \h </w:instrText>
            </w:r>
            <w:r w:rsidR="002D5CB9">
              <w:rPr>
                <w:noProof/>
                <w:webHidden/>
              </w:rPr>
            </w:r>
            <w:r w:rsidR="002D5CB9">
              <w:rPr>
                <w:noProof/>
                <w:webHidden/>
              </w:rPr>
              <w:fldChar w:fldCharType="separate"/>
            </w:r>
            <w:r w:rsidR="002104DC">
              <w:rPr>
                <w:noProof/>
                <w:webHidden/>
              </w:rPr>
              <w:t>11</w:t>
            </w:r>
            <w:r w:rsidR="002D5CB9">
              <w:rPr>
                <w:noProof/>
                <w:webHidden/>
              </w:rPr>
              <w:fldChar w:fldCharType="end"/>
            </w:r>
          </w:hyperlink>
        </w:p>
        <w:p w14:paraId="39FB609E" w14:textId="77777777" w:rsidR="002D5CB9" w:rsidRDefault="00113117">
          <w:pPr>
            <w:pStyle w:val="TDC3"/>
            <w:rPr>
              <w:rFonts w:asciiTheme="minorHAnsi" w:eastAsiaTheme="minorEastAsia" w:hAnsiTheme="minorHAnsi" w:cstheme="minorBidi"/>
              <w:noProof/>
              <w:szCs w:val="22"/>
              <w:lang w:eastAsia="es-MX"/>
            </w:rPr>
          </w:pPr>
          <w:hyperlink w:anchor="_Toc184229964" w:history="1">
            <w:r w:rsidR="002D5CB9" w:rsidRPr="008E70C7">
              <w:rPr>
                <w:rStyle w:val="Hipervnculo"/>
                <w:noProof/>
              </w:rPr>
              <w:t>d) Versión pública</w:t>
            </w:r>
            <w:r w:rsidR="002D5CB9">
              <w:rPr>
                <w:noProof/>
                <w:webHidden/>
              </w:rPr>
              <w:tab/>
            </w:r>
            <w:r w:rsidR="002D5CB9">
              <w:rPr>
                <w:noProof/>
                <w:webHidden/>
              </w:rPr>
              <w:fldChar w:fldCharType="begin"/>
            </w:r>
            <w:r w:rsidR="002D5CB9">
              <w:rPr>
                <w:noProof/>
                <w:webHidden/>
              </w:rPr>
              <w:instrText xml:space="preserve"> PAGEREF _Toc184229964 \h </w:instrText>
            </w:r>
            <w:r w:rsidR="002D5CB9">
              <w:rPr>
                <w:noProof/>
                <w:webHidden/>
              </w:rPr>
            </w:r>
            <w:r w:rsidR="002D5CB9">
              <w:rPr>
                <w:noProof/>
                <w:webHidden/>
              </w:rPr>
              <w:fldChar w:fldCharType="separate"/>
            </w:r>
            <w:r w:rsidR="002104DC">
              <w:rPr>
                <w:noProof/>
                <w:webHidden/>
              </w:rPr>
              <w:t>36</w:t>
            </w:r>
            <w:r w:rsidR="002D5CB9">
              <w:rPr>
                <w:noProof/>
                <w:webHidden/>
              </w:rPr>
              <w:fldChar w:fldCharType="end"/>
            </w:r>
          </w:hyperlink>
        </w:p>
        <w:p w14:paraId="7BB66BBB" w14:textId="77777777" w:rsidR="002D5CB9" w:rsidRDefault="00113117">
          <w:pPr>
            <w:pStyle w:val="TDC3"/>
            <w:rPr>
              <w:rFonts w:asciiTheme="minorHAnsi" w:eastAsiaTheme="minorEastAsia" w:hAnsiTheme="minorHAnsi" w:cstheme="minorBidi"/>
              <w:noProof/>
              <w:szCs w:val="22"/>
              <w:lang w:eastAsia="es-MX"/>
            </w:rPr>
          </w:pPr>
          <w:hyperlink w:anchor="_Toc184229965" w:history="1">
            <w:r w:rsidR="002D5CB9" w:rsidRPr="008E70C7">
              <w:rPr>
                <w:rStyle w:val="Hipervnculo"/>
                <w:noProof/>
              </w:rPr>
              <w:t>e) Conclusión</w:t>
            </w:r>
            <w:r w:rsidR="002D5CB9">
              <w:rPr>
                <w:noProof/>
                <w:webHidden/>
              </w:rPr>
              <w:tab/>
            </w:r>
            <w:r w:rsidR="002D5CB9">
              <w:rPr>
                <w:noProof/>
                <w:webHidden/>
              </w:rPr>
              <w:fldChar w:fldCharType="begin"/>
            </w:r>
            <w:r w:rsidR="002D5CB9">
              <w:rPr>
                <w:noProof/>
                <w:webHidden/>
              </w:rPr>
              <w:instrText xml:space="preserve"> PAGEREF _Toc184229965 \h </w:instrText>
            </w:r>
            <w:r w:rsidR="002D5CB9">
              <w:rPr>
                <w:noProof/>
                <w:webHidden/>
              </w:rPr>
            </w:r>
            <w:r w:rsidR="002D5CB9">
              <w:rPr>
                <w:noProof/>
                <w:webHidden/>
              </w:rPr>
              <w:fldChar w:fldCharType="separate"/>
            </w:r>
            <w:r w:rsidR="002104DC">
              <w:rPr>
                <w:noProof/>
                <w:webHidden/>
              </w:rPr>
              <w:t>40</w:t>
            </w:r>
            <w:r w:rsidR="002D5CB9">
              <w:rPr>
                <w:noProof/>
                <w:webHidden/>
              </w:rPr>
              <w:fldChar w:fldCharType="end"/>
            </w:r>
          </w:hyperlink>
        </w:p>
        <w:p w14:paraId="204FD913" w14:textId="77777777" w:rsidR="002D5CB9" w:rsidRDefault="00113117">
          <w:pPr>
            <w:pStyle w:val="TDC1"/>
            <w:tabs>
              <w:tab w:val="right" w:leader="dot" w:pos="9034"/>
            </w:tabs>
            <w:rPr>
              <w:rFonts w:asciiTheme="minorHAnsi" w:eastAsiaTheme="minorEastAsia" w:hAnsiTheme="minorHAnsi" w:cstheme="minorBidi"/>
              <w:noProof/>
              <w:szCs w:val="22"/>
              <w:lang w:eastAsia="es-MX"/>
            </w:rPr>
          </w:pPr>
          <w:hyperlink w:anchor="_Toc184229966" w:history="1">
            <w:r w:rsidR="002D5CB9" w:rsidRPr="008E70C7">
              <w:rPr>
                <w:rStyle w:val="Hipervnculo"/>
                <w:noProof/>
              </w:rPr>
              <w:t>RESUELVE</w:t>
            </w:r>
            <w:r w:rsidR="002D5CB9">
              <w:rPr>
                <w:noProof/>
                <w:webHidden/>
              </w:rPr>
              <w:tab/>
            </w:r>
            <w:r w:rsidR="002D5CB9">
              <w:rPr>
                <w:noProof/>
                <w:webHidden/>
              </w:rPr>
              <w:fldChar w:fldCharType="begin"/>
            </w:r>
            <w:r w:rsidR="002D5CB9">
              <w:rPr>
                <w:noProof/>
                <w:webHidden/>
              </w:rPr>
              <w:instrText xml:space="preserve"> PAGEREF _Toc184229966 \h </w:instrText>
            </w:r>
            <w:r w:rsidR="002D5CB9">
              <w:rPr>
                <w:noProof/>
                <w:webHidden/>
              </w:rPr>
            </w:r>
            <w:r w:rsidR="002D5CB9">
              <w:rPr>
                <w:noProof/>
                <w:webHidden/>
              </w:rPr>
              <w:fldChar w:fldCharType="separate"/>
            </w:r>
            <w:r w:rsidR="002104DC">
              <w:rPr>
                <w:noProof/>
                <w:webHidden/>
              </w:rPr>
              <w:t>41</w:t>
            </w:r>
            <w:r w:rsidR="002D5CB9">
              <w:rPr>
                <w:noProof/>
                <w:webHidden/>
              </w:rPr>
              <w:fldChar w:fldCharType="end"/>
            </w:r>
          </w:hyperlink>
        </w:p>
        <w:p w14:paraId="0C82FD7A" w14:textId="09CBD3D9" w:rsidR="009B2945" w:rsidRPr="002D5CB9" w:rsidRDefault="00AE3DA7" w:rsidP="002D5CB9">
          <w:pPr>
            <w:spacing w:line="240" w:lineRule="auto"/>
            <w:rPr>
              <w:b/>
              <w:bCs/>
              <w:lang w:val="es-ES"/>
            </w:rPr>
          </w:pPr>
          <w:r w:rsidRPr="002D5CB9">
            <w:rPr>
              <w:b/>
              <w:bCs/>
              <w:sz w:val="16"/>
              <w:szCs w:val="16"/>
              <w:lang w:val="es-ES"/>
            </w:rPr>
            <w:fldChar w:fldCharType="end"/>
          </w:r>
        </w:p>
      </w:sdtContent>
    </w:sdt>
    <w:p w14:paraId="603A07E2" w14:textId="77777777" w:rsidR="00646436" w:rsidRPr="002D5CB9" w:rsidRDefault="00646436" w:rsidP="002D5CB9">
      <w:pPr>
        <w:rPr>
          <w:rFonts w:cs="Tahoma"/>
          <w:szCs w:val="22"/>
        </w:rPr>
        <w:sectPr w:rsidR="00646436" w:rsidRPr="002D5CB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810CBDF" w:rsidR="00775BFC" w:rsidRPr="002D5CB9" w:rsidRDefault="00775BFC" w:rsidP="002D5CB9">
      <w:pPr>
        <w:rPr>
          <w:b/>
        </w:rPr>
      </w:pPr>
      <w:r w:rsidRPr="002D5CB9">
        <w:lastRenderedPageBreak/>
        <w:t>Resolución del Pleno del Instituto de Transparencia, Acceso a la Información Pública y Protección de Datos Personales del Estado de México y Municipios, con domicilio en Metepec, Estado de México, de</w:t>
      </w:r>
      <w:r w:rsidR="00252301" w:rsidRPr="002D5CB9">
        <w:t xml:space="preserve"> </w:t>
      </w:r>
      <w:r w:rsidR="00252301" w:rsidRPr="002D5CB9">
        <w:rPr>
          <w:b/>
        </w:rPr>
        <w:t>cuatro de diciembre de dos mil veinticuatro.</w:t>
      </w:r>
    </w:p>
    <w:p w14:paraId="0AF3AAC4" w14:textId="77777777" w:rsidR="00775BFC" w:rsidRPr="002D5CB9" w:rsidRDefault="00775BFC" w:rsidP="002D5CB9"/>
    <w:p w14:paraId="40EAE038" w14:textId="384EF8F4" w:rsidR="00775BFC" w:rsidRPr="002D5CB9" w:rsidRDefault="00775BFC" w:rsidP="002D5CB9">
      <w:r w:rsidRPr="002D5CB9">
        <w:rPr>
          <w:b/>
        </w:rPr>
        <w:t xml:space="preserve">VISTO </w:t>
      </w:r>
      <w:r w:rsidRPr="002D5CB9">
        <w:t xml:space="preserve">el expediente formado con motivo del Recurso de Revisión </w:t>
      </w:r>
      <w:r w:rsidR="00252301" w:rsidRPr="002D5CB9">
        <w:rPr>
          <w:rFonts w:eastAsia="Calibri"/>
          <w:b/>
          <w:lang w:eastAsia="en-US"/>
        </w:rPr>
        <w:t>07062</w:t>
      </w:r>
      <w:r w:rsidRPr="002D5CB9">
        <w:rPr>
          <w:rFonts w:eastAsia="Calibri"/>
          <w:b/>
          <w:lang w:eastAsia="en-US"/>
        </w:rPr>
        <w:t>/INFOEM/IP/RR/</w:t>
      </w:r>
      <w:r w:rsidR="00252301" w:rsidRPr="002D5CB9">
        <w:rPr>
          <w:rFonts w:eastAsia="Calibri"/>
          <w:b/>
          <w:lang w:eastAsia="en-US"/>
        </w:rPr>
        <w:t>2024</w:t>
      </w:r>
      <w:r w:rsidRPr="002D5CB9">
        <w:rPr>
          <w:rFonts w:eastAsia="Calibri"/>
          <w:lang w:eastAsia="en-US"/>
        </w:rPr>
        <w:t xml:space="preserve"> </w:t>
      </w:r>
      <w:r w:rsidRPr="002D5CB9">
        <w:t xml:space="preserve">interpuesto </w:t>
      </w:r>
      <w:r w:rsidR="00252301" w:rsidRPr="002D5CB9">
        <w:t>de manera anónima</w:t>
      </w:r>
      <w:r w:rsidRPr="002D5CB9">
        <w:t xml:space="preserve">, a quien en lo subsecuente se le denominará </w:t>
      </w:r>
      <w:r w:rsidRPr="002D5CB9">
        <w:rPr>
          <w:b/>
          <w:bCs/>
        </w:rPr>
        <w:t>LA PARTE RECURRENTE</w:t>
      </w:r>
      <w:r w:rsidRPr="002D5CB9">
        <w:t xml:space="preserve">, en contra de la respuesta emitida por </w:t>
      </w:r>
      <w:r w:rsidR="00252301" w:rsidRPr="002D5CB9">
        <w:rPr>
          <w:b/>
        </w:rPr>
        <w:t>Secretaría de Movilidad</w:t>
      </w:r>
      <w:r w:rsidRPr="002D5CB9">
        <w:t xml:space="preserve">, en adelante </w:t>
      </w:r>
      <w:r w:rsidRPr="002D5CB9">
        <w:rPr>
          <w:b/>
          <w:bCs/>
        </w:rPr>
        <w:t>EL SUJETO OBLIGADO</w:t>
      </w:r>
      <w:r w:rsidRPr="002D5CB9">
        <w:rPr>
          <w:rFonts w:eastAsia="Calibri"/>
          <w:lang w:eastAsia="en-US"/>
        </w:rPr>
        <w:t xml:space="preserve">, </w:t>
      </w:r>
      <w:r w:rsidRPr="002D5CB9">
        <w:t>se emite la presente Resolución con base en los Antecedentes y Considerandos que se exponen a continuación:</w:t>
      </w:r>
    </w:p>
    <w:p w14:paraId="2116968C" w14:textId="77777777" w:rsidR="00775BFC" w:rsidRPr="002D5CB9" w:rsidRDefault="00775BFC" w:rsidP="002D5CB9"/>
    <w:p w14:paraId="5A444FB6" w14:textId="639D3567" w:rsidR="00664420" w:rsidRPr="002D5CB9" w:rsidRDefault="00664420" w:rsidP="002D5CB9">
      <w:pPr>
        <w:pStyle w:val="Ttulo1"/>
      </w:pPr>
      <w:bookmarkStart w:id="3" w:name="_Toc184229940"/>
      <w:r w:rsidRPr="002D5CB9">
        <w:t>ANTECEDENTES</w:t>
      </w:r>
      <w:bookmarkEnd w:id="3"/>
    </w:p>
    <w:p w14:paraId="5CB5034E" w14:textId="77777777" w:rsidR="00AC2DB8" w:rsidRPr="002D5CB9" w:rsidRDefault="00AC2DB8" w:rsidP="002D5CB9"/>
    <w:p w14:paraId="09B2D38F" w14:textId="6E49D146" w:rsidR="00664420" w:rsidRPr="002D5CB9" w:rsidRDefault="00E37A3F" w:rsidP="002D5CB9">
      <w:pPr>
        <w:pStyle w:val="Ttulo2"/>
      </w:pPr>
      <w:bookmarkStart w:id="4" w:name="_Toc184229941"/>
      <w:r w:rsidRPr="002D5CB9">
        <w:t>DE LA SOLICITUD DE INFORMACIÓN</w:t>
      </w:r>
      <w:bookmarkEnd w:id="4"/>
    </w:p>
    <w:p w14:paraId="2C6AD1A5" w14:textId="0405B3CD" w:rsidR="00664420" w:rsidRPr="002D5CB9" w:rsidRDefault="00E37A3F" w:rsidP="002D5CB9">
      <w:pPr>
        <w:pStyle w:val="Ttulo3"/>
      </w:pPr>
      <w:bookmarkStart w:id="5" w:name="_Toc184229942"/>
      <w:r w:rsidRPr="002D5CB9">
        <w:t xml:space="preserve">a) </w:t>
      </w:r>
      <w:r w:rsidR="006B10B0" w:rsidRPr="002D5CB9">
        <w:t>S</w:t>
      </w:r>
      <w:r w:rsidR="00664420" w:rsidRPr="002D5CB9">
        <w:t xml:space="preserve">olicitud de </w:t>
      </w:r>
      <w:r w:rsidR="006B10B0" w:rsidRPr="002D5CB9">
        <w:t>i</w:t>
      </w:r>
      <w:r w:rsidR="00664420" w:rsidRPr="002D5CB9">
        <w:t>nformación</w:t>
      </w:r>
      <w:bookmarkEnd w:id="5"/>
    </w:p>
    <w:p w14:paraId="06DCD29D" w14:textId="313CFC18" w:rsidR="009A2D78" w:rsidRPr="002D5CB9" w:rsidRDefault="006B10B0" w:rsidP="002D5CB9">
      <w:pPr>
        <w:pStyle w:val="Prrafodelista"/>
        <w:tabs>
          <w:tab w:val="left" w:pos="0"/>
        </w:tabs>
        <w:ind w:left="0"/>
        <w:contextualSpacing w:val="0"/>
        <w:rPr>
          <w:rFonts w:cs="Tahoma"/>
        </w:rPr>
      </w:pPr>
      <w:r w:rsidRPr="002D5CB9">
        <w:rPr>
          <w:rFonts w:cs="Tahoma"/>
        </w:rPr>
        <w:t>El</w:t>
      </w:r>
      <w:r w:rsidR="00664420" w:rsidRPr="002D5CB9">
        <w:rPr>
          <w:rFonts w:cs="Tahoma"/>
        </w:rPr>
        <w:t xml:space="preserve"> </w:t>
      </w:r>
      <w:r w:rsidR="00252301" w:rsidRPr="002D5CB9">
        <w:rPr>
          <w:rFonts w:cs="Tahoma"/>
          <w:b/>
          <w:bCs/>
        </w:rPr>
        <w:t>diecisiete de septiembre de dos mil veinticuatro</w:t>
      </w:r>
      <w:r w:rsidR="00664420" w:rsidRPr="002D5CB9">
        <w:rPr>
          <w:rFonts w:cs="Tahoma"/>
        </w:rPr>
        <w:t xml:space="preserve">, </w:t>
      </w:r>
      <w:r w:rsidRPr="002D5CB9">
        <w:rPr>
          <w:b/>
          <w:bCs/>
        </w:rPr>
        <w:t>LA PARTE RECURRENTE</w:t>
      </w:r>
      <w:r w:rsidR="00664420" w:rsidRPr="002D5CB9">
        <w:rPr>
          <w:rFonts w:cs="Tahoma"/>
        </w:rPr>
        <w:t xml:space="preserve"> presentó una solicitud de acceso a la información pública </w:t>
      </w:r>
      <w:r w:rsidR="001F3515" w:rsidRPr="002D5CB9">
        <w:rPr>
          <w:rFonts w:cs="Tahoma"/>
        </w:rPr>
        <w:t xml:space="preserve">ante el </w:t>
      </w:r>
      <w:r w:rsidR="001F3515" w:rsidRPr="002D5CB9">
        <w:rPr>
          <w:rFonts w:cs="Tahoma"/>
          <w:b/>
          <w:bCs/>
        </w:rPr>
        <w:t>SUJETO OBLIGADO</w:t>
      </w:r>
      <w:r w:rsidR="001F3515" w:rsidRPr="002D5CB9">
        <w:rPr>
          <w:rFonts w:cs="Tahoma"/>
        </w:rPr>
        <w:t xml:space="preserve">, </w:t>
      </w:r>
      <w:r w:rsidR="00664420" w:rsidRPr="002D5CB9">
        <w:rPr>
          <w:rFonts w:cs="Tahoma"/>
        </w:rPr>
        <w:t>a través del Sistema de Acceso a la Información Mexiquense</w:t>
      </w:r>
      <w:r w:rsidRPr="002D5CB9">
        <w:rPr>
          <w:rFonts w:cs="Tahoma"/>
        </w:rPr>
        <w:t xml:space="preserve"> </w:t>
      </w:r>
      <w:r w:rsidR="009A2D78" w:rsidRPr="002D5CB9">
        <w:rPr>
          <w:rFonts w:cs="Tahoma"/>
        </w:rPr>
        <w:t>(</w:t>
      </w:r>
      <w:r w:rsidRPr="002D5CB9">
        <w:rPr>
          <w:rFonts w:cs="Tahoma"/>
        </w:rPr>
        <w:t>SAIMEX</w:t>
      </w:r>
      <w:r w:rsidR="009A2D78" w:rsidRPr="002D5CB9">
        <w:rPr>
          <w:rFonts w:cs="Tahoma"/>
        </w:rPr>
        <w:t>). Dicha solicitud quedó</w:t>
      </w:r>
      <w:r w:rsidRPr="002D5CB9">
        <w:rPr>
          <w:rFonts w:cs="Tahoma"/>
        </w:rPr>
        <w:t xml:space="preserve"> registrada c</w:t>
      </w:r>
      <w:r w:rsidR="00664420" w:rsidRPr="002D5CB9">
        <w:rPr>
          <w:rFonts w:cs="Tahoma"/>
        </w:rPr>
        <w:t>on el número de folio</w:t>
      </w:r>
      <w:r w:rsidR="00664420" w:rsidRPr="002D5CB9">
        <w:rPr>
          <w:rFonts w:cs="Tahoma"/>
          <w:b/>
          <w:bCs/>
        </w:rPr>
        <w:t xml:space="preserve"> </w:t>
      </w:r>
      <w:r w:rsidR="00252301" w:rsidRPr="002D5CB9">
        <w:rPr>
          <w:rFonts w:cs="Tahoma"/>
          <w:b/>
          <w:bCs/>
        </w:rPr>
        <w:t>00652/SMOV/IP/2024</w:t>
      </w:r>
      <w:r w:rsidR="002A3601" w:rsidRPr="002D5CB9">
        <w:rPr>
          <w:rFonts w:cs="Tahoma"/>
        </w:rPr>
        <w:t xml:space="preserve"> y en ella </w:t>
      </w:r>
      <w:r w:rsidR="009A2D78" w:rsidRPr="002D5CB9">
        <w:rPr>
          <w:rFonts w:cs="Tahoma"/>
        </w:rPr>
        <w:t>se requirió la siguiente información:</w:t>
      </w:r>
    </w:p>
    <w:p w14:paraId="0459D6AC" w14:textId="77777777" w:rsidR="00664420" w:rsidRPr="002D5CB9" w:rsidRDefault="00664420" w:rsidP="002D5CB9">
      <w:pPr>
        <w:tabs>
          <w:tab w:val="left" w:pos="4667"/>
        </w:tabs>
        <w:ind w:left="567" w:right="567"/>
        <w:rPr>
          <w:rFonts w:cs="Tahoma"/>
          <w:b/>
          <w:bCs/>
        </w:rPr>
      </w:pPr>
    </w:p>
    <w:p w14:paraId="179FB369" w14:textId="19CAD432" w:rsidR="00664420" w:rsidRPr="002D5CB9" w:rsidRDefault="00252301" w:rsidP="002D5CB9">
      <w:pPr>
        <w:pStyle w:val="Puesto"/>
      </w:pPr>
      <w:r w:rsidRPr="002D5CB9">
        <w:t xml:space="preserve">“Se solicita el contrato, el expediente completo del procedimiento para la contratación de la empresa para realizar el mapeo de las rutas, el </w:t>
      </w:r>
      <w:proofErr w:type="spellStart"/>
      <w:r w:rsidRPr="002D5CB9">
        <w:t>presupueto</w:t>
      </w:r>
      <w:proofErr w:type="spellEnd"/>
      <w:r w:rsidRPr="002D5CB9">
        <w:t xml:space="preserve"> autorizado y ejercido, no </w:t>
      </w:r>
      <w:proofErr w:type="spellStart"/>
      <w:r w:rsidRPr="002D5CB9">
        <w:t>esta</w:t>
      </w:r>
      <w:proofErr w:type="spellEnd"/>
      <w:r w:rsidRPr="002D5CB9">
        <w:t xml:space="preserve"> en </w:t>
      </w:r>
      <w:proofErr w:type="spellStart"/>
      <w:r w:rsidRPr="002D5CB9">
        <w:t>ipomex</w:t>
      </w:r>
      <w:proofErr w:type="spellEnd"/>
      <w:r w:rsidRPr="002D5CB9">
        <w:t xml:space="preserve"> por eso se pide completo, el acta del comité de adquisiciones y la grabación de que se sesiono para el proceso transparente.”</w:t>
      </w:r>
    </w:p>
    <w:p w14:paraId="64B27DE3" w14:textId="77777777" w:rsidR="00664420" w:rsidRPr="002D5CB9" w:rsidRDefault="00664420" w:rsidP="002D5CB9">
      <w:pPr>
        <w:tabs>
          <w:tab w:val="left" w:pos="4667"/>
        </w:tabs>
        <w:ind w:left="567" w:right="567"/>
        <w:rPr>
          <w:rFonts w:cs="Tahoma"/>
          <w:bCs/>
          <w:i/>
          <w:szCs w:val="22"/>
        </w:rPr>
      </w:pPr>
    </w:p>
    <w:p w14:paraId="0BD6321D" w14:textId="56D9ABBC" w:rsidR="00664420" w:rsidRPr="002D5CB9" w:rsidRDefault="009A2D78" w:rsidP="002D5CB9">
      <w:pPr>
        <w:tabs>
          <w:tab w:val="left" w:pos="4667"/>
        </w:tabs>
        <w:ind w:left="567" w:right="567"/>
        <w:rPr>
          <w:rFonts w:cs="Tahoma"/>
          <w:bCs/>
          <w:szCs w:val="22"/>
        </w:rPr>
      </w:pPr>
      <w:r w:rsidRPr="002D5CB9">
        <w:rPr>
          <w:rFonts w:cs="Tahoma"/>
          <w:b/>
          <w:bCs/>
          <w:szCs w:val="22"/>
        </w:rPr>
        <w:t>Modalidad de entrega</w:t>
      </w:r>
      <w:r w:rsidRPr="002D5CB9">
        <w:rPr>
          <w:rFonts w:cs="Tahoma"/>
          <w:bCs/>
          <w:szCs w:val="22"/>
        </w:rPr>
        <w:t>: a</w:t>
      </w:r>
      <w:r w:rsidR="00664420" w:rsidRPr="002D5CB9">
        <w:rPr>
          <w:rFonts w:cs="Tahoma"/>
          <w:bCs/>
          <w:i/>
          <w:szCs w:val="22"/>
        </w:rPr>
        <w:t xml:space="preserve"> través del </w:t>
      </w:r>
      <w:r w:rsidR="00664420" w:rsidRPr="002D5CB9">
        <w:rPr>
          <w:rFonts w:cs="Tahoma"/>
          <w:b/>
          <w:bCs/>
          <w:i/>
          <w:szCs w:val="22"/>
        </w:rPr>
        <w:t>SAIMEX</w:t>
      </w:r>
      <w:r w:rsidRPr="002D5CB9">
        <w:rPr>
          <w:rFonts w:cs="Tahoma"/>
          <w:bCs/>
          <w:i/>
          <w:szCs w:val="22"/>
        </w:rPr>
        <w:t>.</w:t>
      </w:r>
    </w:p>
    <w:p w14:paraId="334D2860" w14:textId="77777777" w:rsidR="00664420" w:rsidRPr="002D5CB9" w:rsidRDefault="00664420" w:rsidP="002D5CB9">
      <w:pPr>
        <w:autoSpaceDE w:val="0"/>
        <w:autoSpaceDN w:val="0"/>
        <w:adjustRightInd w:val="0"/>
        <w:ind w:right="-28"/>
        <w:rPr>
          <w:rFonts w:cs="Tahoma"/>
          <w:bCs/>
          <w:i/>
          <w:szCs w:val="22"/>
        </w:rPr>
      </w:pPr>
    </w:p>
    <w:p w14:paraId="5AC1EE52" w14:textId="34C34E77" w:rsidR="00D036D3" w:rsidRPr="002D5CB9" w:rsidRDefault="00E37A3F" w:rsidP="002D5CB9">
      <w:pPr>
        <w:pStyle w:val="Ttulo3"/>
      </w:pPr>
      <w:bookmarkStart w:id="6" w:name="_Toc184229943"/>
      <w:r w:rsidRPr="002D5CB9">
        <w:lastRenderedPageBreak/>
        <w:t xml:space="preserve">b) </w:t>
      </w:r>
      <w:r w:rsidR="00D036D3" w:rsidRPr="002D5CB9">
        <w:t>Turno de la solicitud de información</w:t>
      </w:r>
      <w:bookmarkEnd w:id="6"/>
    </w:p>
    <w:p w14:paraId="7CEE6F8C" w14:textId="07991A69" w:rsidR="007D1C55" w:rsidRPr="002D5CB9" w:rsidRDefault="00D036D3" w:rsidP="002D5CB9">
      <w:r w:rsidRPr="002D5CB9">
        <w:t xml:space="preserve">En cumplimiento al artículo 162 de la Ley de Transparencia y Acceso a la Información Pública del Estado de México y Municipios, el </w:t>
      </w:r>
      <w:r w:rsidR="00252301" w:rsidRPr="002D5CB9">
        <w:rPr>
          <w:rFonts w:eastAsia="Palatino Linotype" w:cs="Palatino Linotype"/>
          <w:b/>
        </w:rPr>
        <w:t>diecinueve de septiembre de dos mil veinticuatro</w:t>
      </w:r>
      <w:r w:rsidRPr="002D5CB9">
        <w:t xml:space="preserve">, el Titular de la Unidad de Transparencia del </w:t>
      </w:r>
      <w:r w:rsidRPr="002D5CB9">
        <w:rPr>
          <w:b/>
        </w:rPr>
        <w:t>SUJETO OBLIGADO</w:t>
      </w:r>
      <w:r w:rsidRPr="002D5CB9">
        <w:t xml:space="preserve"> turnó la solicitud de información </w:t>
      </w:r>
      <w:r w:rsidR="00163D12" w:rsidRPr="002D5CB9">
        <w:t xml:space="preserve">a los </w:t>
      </w:r>
      <w:r w:rsidRPr="002D5CB9">
        <w:t>servidor</w:t>
      </w:r>
      <w:r w:rsidR="007D1C55" w:rsidRPr="002D5CB9">
        <w:t>es</w:t>
      </w:r>
      <w:r w:rsidRPr="002D5CB9">
        <w:t xml:space="preserve"> público</w:t>
      </w:r>
      <w:r w:rsidR="007D1C55" w:rsidRPr="002D5CB9">
        <w:t>s</w:t>
      </w:r>
      <w:r w:rsidRPr="002D5CB9">
        <w:t xml:space="preserve"> habilitado</w:t>
      </w:r>
      <w:r w:rsidR="007D1C55" w:rsidRPr="002D5CB9">
        <w:t>s</w:t>
      </w:r>
      <w:r w:rsidRPr="002D5CB9">
        <w:t xml:space="preserve"> que estimó pertinente</w:t>
      </w:r>
      <w:r w:rsidR="00163D12" w:rsidRPr="002D5CB9">
        <w:t>s</w:t>
      </w:r>
      <w:r w:rsidR="007D1C55" w:rsidRPr="002D5CB9">
        <w:t>.</w:t>
      </w:r>
    </w:p>
    <w:p w14:paraId="7B667FC9" w14:textId="77777777" w:rsidR="007D1C55" w:rsidRPr="002D5CB9" w:rsidRDefault="007D1C55" w:rsidP="002D5CB9"/>
    <w:p w14:paraId="196DA0ED" w14:textId="032B3E54" w:rsidR="007D1C55" w:rsidRPr="002D5CB9" w:rsidRDefault="00E37A3F" w:rsidP="002D5CB9">
      <w:pPr>
        <w:pStyle w:val="Ttulo3"/>
      </w:pPr>
      <w:bookmarkStart w:id="7" w:name="_Toc184229944"/>
      <w:r w:rsidRPr="002D5CB9">
        <w:t xml:space="preserve">c) </w:t>
      </w:r>
      <w:r w:rsidR="007D1C55" w:rsidRPr="002D5CB9">
        <w:t>Prórroga</w:t>
      </w:r>
      <w:bookmarkEnd w:id="7"/>
    </w:p>
    <w:p w14:paraId="1DC36F1A" w14:textId="37727AA5" w:rsidR="007D1C55" w:rsidRPr="002D5CB9" w:rsidRDefault="007D1C55" w:rsidP="002D5CB9">
      <w:r w:rsidRPr="002D5CB9">
        <w:t xml:space="preserve">De las constancias que obran en el </w:t>
      </w:r>
      <w:r w:rsidRPr="002D5CB9">
        <w:rPr>
          <w:b/>
        </w:rPr>
        <w:t>SAIMEX</w:t>
      </w:r>
      <w:r w:rsidRPr="002D5CB9">
        <w:t>, se advierte que el</w:t>
      </w:r>
      <w:r w:rsidR="00252301" w:rsidRPr="002D5CB9">
        <w:t xml:space="preserve"> </w:t>
      </w:r>
      <w:r w:rsidR="00252301" w:rsidRPr="002D5CB9">
        <w:rPr>
          <w:b/>
        </w:rPr>
        <w:t>siete de octubre de dos mil veinticuatro</w:t>
      </w:r>
      <w:r w:rsidRPr="002D5CB9">
        <w:rPr>
          <w:b/>
        </w:rPr>
        <w:t>,</w:t>
      </w:r>
      <w:r w:rsidRPr="002D5CB9">
        <w:t xml:space="preserve"> </w:t>
      </w:r>
      <w:r w:rsidRPr="002D5CB9">
        <w:rPr>
          <w:b/>
          <w:bCs/>
        </w:rPr>
        <w:t>EL SUJETO OBLIGADO</w:t>
      </w:r>
      <w:r w:rsidRPr="002D5CB9">
        <w:t xml:space="preserve"> notificó una prórroga de siete días para dar respuesta a la solicitud de información planteada por </w:t>
      </w:r>
      <w:r w:rsidRPr="002D5CB9">
        <w:rPr>
          <w:b/>
          <w:bCs/>
        </w:rPr>
        <w:t>LA PARTE RECURRENTE</w:t>
      </w:r>
      <w:r w:rsidRPr="002D5CB9">
        <w:t>, en los siguientes términos:</w:t>
      </w:r>
    </w:p>
    <w:p w14:paraId="6D8A0B77" w14:textId="77777777" w:rsidR="007D1C55" w:rsidRPr="002D5CB9" w:rsidRDefault="007D1C55" w:rsidP="002D5CB9"/>
    <w:p w14:paraId="5A7E8F1A" w14:textId="77777777" w:rsidR="00252301" w:rsidRPr="002D5CB9" w:rsidRDefault="007D1C55" w:rsidP="002D5CB9">
      <w:pPr>
        <w:pStyle w:val="Puesto"/>
        <w:jc w:val="right"/>
      </w:pPr>
      <w:r w:rsidRPr="002D5CB9">
        <w:t>“</w:t>
      </w:r>
      <w:r w:rsidR="00252301" w:rsidRPr="002D5CB9">
        <w:t>Folio de la solicitud: 00652/SMOV/IP/2024</w:t>
      </w:r>
    </w:p>
    <w:p w14:paraId="18BC5016" w14:textId="77777777" w:rsidR="00252301" w:rsidRPr="002D5CB9" w:rsidRDefault="00252301" w:rsidP="002D5CB9">
      <w:pPr>
        <w:pStyle w:val="Puesto"/>
      </w:pPr>
    </w:p>
    <w:p w14:paraId="4444B728" w14:textId="77777777" w:rsidR="00252301" w:rsidRPr="002D5CB9" w:rsidRDefault="00252301" w:rsidP="002D5CB9">
      <w:pPr>
        <w:pStyle w:val="Puesto"/>
      </w:pPr>
      <w:r w:rsidRPr="002D5CB9">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B591C36" w14:textId="77777777" w:rsidR="00252301" w:rsidRPr="002D5CB9" w:rsidRDefault="00252301" w:rsidP="002D5CB9"/>
    <w:p w14:paraId="613BFF4C" w14:textId="0B151C45" w:rsidR="007D1C55" w:rsidRPr="002D5CB9" w:rsidRDefault="00252301" w:rsidP="002D5CB9">
      <w:pPr>
        <w:pStyle w:val="Puesto"/>
      </w:pPr>
      <w:r w:rsidRPr="002D5CB9">
        <w:t>se anexa prorroga”</w:t>
      </w:r>
    </w:p>
    <w:p w14:paraId="6A9C2899" w14:textId="77777777" w:rsidR="007D1C55" w:rsidRPr="002D5CB9" w:rsidRDefault="007D1C55" w:rsidP="002D5CB9"/>
    <w:p w14:paraId="4D69647E" w14:textId="3ED2E25A" w:rsidR="004F7A00" w:rsidRPr="002D5CB9" w:rsidRDefault="004F7A00" w:rsidP="002D5CB9">
      <w:r w:rsidRPr="002D5CB9">
        <w:t xml:space="preserve">Asimismo, en el expediente que obra en el SAIMEX se advierte que </w:t>
      </w:r>
      <w:r w:rsidRPr="002D5CB9">
        <w:rPr>
          <w:b/>
          <w:bCs/>
        </w:rPr>
        <w:t>EL SUJETO OBLIGADO</w:t>
      </w:r>
      <w:r w:rsidRPr="002D5CB9">
        <w:t xml:space="preserve"> acompañó a la solicitud de prórroga el archivo electrónico denominado </w:t>
      </w:r>
      <w:r w:rsidR="00E90C82" w:rsidRPr="002D5CB9">
        <w:rPr>
          <w:b/>
        </w:rPr>
        <w:t xml:space="preserve">Acta 179 </w:t>
      </w:r>
      <w:proofErr w:type="spellStart"/>
      <w:r w:rsidR="00E90C82" w:rsidRPr="002D5CB9">
        <w:rPr>
          <w:b/>
        </w:rPr>
        <w:t>Extraord</w:t>
      </w:r>
      <w:proofErr w:type="spellEnd"/>
      <w:r w:rsidR="00E90C82" w:rsidRPr="002D5CB9">
        <w:rPr>
          <w:b/>
        </w:rPr>
        <w:t xml:space="preserve"> sol 647(VP) (1).</w:t>
      </w:r>
      <w:proofErr w:type="spellStart"/>
      <w:r w:rsidR="00E90C82" w:rsidRPr="002D5CB9">
        <w:rPr>
          <w:b/>
        </w:rPr>
        <w:t>pdf</w:t>
      </w:r>
      <w:proofErr w:type="spellEnd"/>
      <w:r w:rsidRPr="002D5CB9">
        <w:t xml:space="preserve">, el cual contiene el Acuerdo número </w:t>
      </w:r>
      <w:r w:rsidR="00E90C82" w:rsidRPr="002D5CB9">
        <w:rPr>
          <w:b/>
        </w:rPr>
        <w:t>ACUERDO CT/SM/A/02/2024</w:t>
      </w:r>
      <w:r w:rsidRPr="002D5CB9">
        <w:t>, por medio del cual el Comité de Transparencia aprobó la ampliación de plazo para dar respuesta a la solicitud de información.</w:t>
      </w:r>
    </w:p>
    <w:p w14:paraId="3E60195F" w14:textId="77777777" w:rsidR="004F7A00" w:rsidRPr="002D5CB9" w:rsidRDefault="004F7A00" w:rsidP="002D5CB9"/>
    <w:p w14:paraId="3212BA4D" w14:textId="0718DF14" w:rsidR="00664420" w:rsidRPr="002D5CB9" w:rsidRDefault="00B77B52" w:rsidP="002D5CB9">
      <w:pPr>
        <w:pStyle w:val="Ttulo3"/>
        <w:rPr>
          <w:rFonts w:eastAsia="Calibri"/>
          <w:lang w:eastAsia="en-US"/>
        </w:rPr>
      </w:pPr>
      <w:bookmarkStart w:id="8" w:name="_Toc184229945"/>
      <w:r w:rsidRPr="002D5CB9">
        <w:rPr>
          <w:lang w:val="es-ES"/>
        </w:rPr>
        <w:lastRenderedPageBreak/>
        <w:t>d</w:t>
      </w:r>
      <w:r w:rsidR="00E37A3F" w:rsidRPr="002D5CB9">
        <w:rPr>
          <w:lang w:val="es-ES"/>
        </w:rPr>
        <w:t xml:space="preserve">) </w:t>
      </w:r>
      <w:r w:rsidR="00664420" w:rsidRPr="002D5CB9">
        <w:rPr>
          <w:lang w:val="es-ES"/>
        </w:rPr>
        <w:t xml:space="preserve">Respuesta </w:t>
      </w:r>
      <w:r w:rsidR="00664420" w:rsidRPr="002D5CB9">
        <w:rPr>
          <w:rFonts w:eastAsia="Calibri"/>
          <w:lang w:eastAsia="en-US"/>
        </w:rPr>
        <w:t>del Sujeto Obligado</w:t>
      </w:r>
      <w:bookmarkEnd w:id="8"/>
    </w:p>
    <w:p w14:paraId="79199CC1" w14:textId="1D225384" w:rsidR="00664420" w:rsidRPr="002D5CB9" w:rsidRDefault="00664420" w:rsidP="002D5CB9">
      <w:pPr>
        <w:pStyle w:val="Sinespaciado"/>
        <w:spacing w:line="360" w:lineRule="auto"/>
        <w:rPr>
          <w:lang w:val="es-ES"/>
        </w:rPr>
      </w:pPr>
      <w:r w:rsidRPr="002D5CB9">
        <w:rPr>
          <w:lang w:val="es-ES"/>
        </w:rPr>
        <w:t xml:space="preserve">El </w:t>
      </w:r>
      <w:r w:rsidR="00E90C82" w:rsidRPr="002D5CB9">
        <w:rPr>
          <w:b/>
          <w:bCs/>
          <w:lang w:val="es-ES"/>
        </w:rPr>
        <w:t>dieciséis de octubre de dos mil veinticuatro</w:t>
      </w:r>
      <w:r w:rsidRPr="002D5CB9">
        <w:rPr>
          <w:lang w:val="es-ES"/>
        </w:rPr>
        <w:t xml:space="preserve">, </w:t>
      </w:r>
      <w:r w:rsidR="00F07EE6" w:rsidRPr="002D5CB9">
        <w:rPr>
          <w:lang w:val="es-ES"/>
        </w:rPr>
        <w:t xml:space="preserve">el Titular de la Unidad de Transparencia del </w:t>
      </w:r>
      <w:r w:rsidR="00F07EE6" w:rsidRPr="002D5CB9">
        <w:rPr>
          <w:b/>
          <w:lang w:val="es-ES"/>
        </w:rPr>
        <w:t>SUJETO OBLIGADO</w:t>
      </w:r>
      <w:r w:rsidR="00F07EE6" w:rsidRPr="002D5CB9">
        <w:rPr>
          <w:lang w:val="es-ES"/>
        </w:rPr>
        <w:t xml:space="preserve"> notificó la siguiente respuesta a través del </w:t>
      </w:r>
      <w:r w:rsidRPr="002D5CB9">
        <w:rPr>
          <w:b/>
          <w:lang w:val="es-ES"/>
        </w:rPr>
        <w:t>SAIMEX</w:t>
      </w:r>
      <w:r w:rsidR="00F07EE6" w:rsidRPr="002D5CB9">
        <w:rPr>
          <w:lang w:val="es-ES"/>
        </w:rPr>
        <w:t>:</w:t>
      </w:r>
    </w:p>
    <w:p w14:paraId="669F7EFD" w14:textId="77777777" w:rsidR="00664420" w:rsidRPr="002D5CB9" w:rsidRDefault="00664420" w:rsidP="002D5CB9">
      <w:pPr>
        <w:tabs>
          <w:tab w:val="left" w:pos="4667"/>
        </w:tabs>
        <w:ind w:left="567" w:right="567"/>
        <w:rPr>
          <w:rFonts w:cs="Tahoma"/>
          <w:b/>
          <w:bCs/>
        </w:rPr>
      </w:pPr>
    </w:p>
    <w:p w14:paraId="49BE4BE0" w14:textId="4ABD3F89" w:rsidR="00E90C82" w:rsidRPr="002D5CB9" w:rsidRDefault="00E90C82" w:rsidP="002D5CB9">
      <w:pPr>
        <w:pStyle w:val="Puesto"/>
        <w:jc w:val="right"/>
      </w:pPr>
      <w:r w:rsidRPr="002D5CB9">
        <w:t>“Folio de la solicitud: 00652/SMOV/IP/2024</w:t>
      </w:r>
    </w:p>
    <w:p w14:paraId="55616E83" w14:textId="77777777" w:rsidR="00E90C82" w:rsidRPr="002D5CB9" w:rsidRDefault="00E90C82" w:rsidP="002D5CB9">
      <w:pPr>
        <w:pStyle w:val="Puesto"/>
      </w:pPr>
    </w:p>
    <w:p w14:paraId="2471AEC9" w14:textId="77777777" w:rsidR="00E90C82" w:rsidRPr="002D5CB9" w:rsidRDefault="00E90C82" w:rsidP="002D5CB9">
      <w:pPr>
        <w:pStyle w:val="Puesto"/>
      </w:pPr>
      <w:r w:rsidRPr="002D5CB9">
        <w:t>En respuesta a la solicitud recibida, nos permitimos hacer de su conocimiento que con fundamento en el artículo 53, Fracciones: II, V y VI de la Ley de Transparencia y Acceso a la Información Pública del Estado de México y Municipios, le contestamos que:</w:t>
      </w:r>
    </w:p>
    <w:p w14:paraId="042FE73D" w14:textId="5F5184D3" w:rsidR="00F07EE6" w:rsidRPr="002D5CB9" w:rsidRDefault="00E90C82" w:rsidP="002D5CB9">
      <w:pPr>
        <w:pStyle w:val="Puesto"/>
      </w:pPr>
      <w:r w:rsidRPr="002D5CB9">
        <w:t>Se anexan respuestas.”</w:t>
      </w:r>
    </w:p>
    <w:p w14:paraId="5D11024C" w14:textId="77777777" w:rsidR="00664420" w:rsidRPr="002D5CB9" w:rsidRDefault="00664420" w:rsidP="002D5CB9">
      <w:pPr>
        <w:autoSpaceDE w:val="0"/>
        <w:autoSpaceDN w:val="0"/>
        <w:adjustRightInd w:val="0"/>
        <w:ind w:right="-28"/>
        <w:rPr>
          <w:rFonts w:cs="Tahoma"/>
          <w:bCs/>
          <w:szCs w:val="22"/>
        </w:rPr>
      </w:pPr>
    </w:p>
    <w:p w14:paraId="70920289" w14:textId="1734249B" w:rsidR="00664420" w:rsidRPr="002D5CB9" w:rsidRDefault="00F07EE6" w:rsidP="002D5CB9">
      <w:pPr>
        <w:autoSpaceDE w:val="0"/>
        <w:autoSpaceDN w:val="0"/>
        <w:adjustRightInd w:val="0"/>
        <w:ind w:right="-28"/>
        <w:rPr>
          <w:rFonts w:cs="Tahoma"/>
          <w:bCs/>
          <w:szCs w:val="22"/>
          <w:lang w:val="es-ES"/>
        </w:rPr>
      </w:pPr>
      <w:r w:rsidRPr="002D5CB9">
        <w:rPr>
          <w:rFonts w:cs="Tahoma"/>
          <w:bCs/>
          <w:szCs w:val="22"/>
          <w:lang w:val="es-ES"/>
        </w:rPr>
        <w:t xml:space="preserve">Asimismo, </w:t>
      </w:r>
      <w:r w:rsidRPr="002D5CB9">
        <w:rPr>
          <w:rFonts w:cs="Tahoma"/>
          <w:b/>
          <w:szCs w:val="22"/>
          <w:lang w:val="es-ES"/>
        </w:rPr>
        <w:t xml:space="preserve">EL SUJETO OBLIGADO </w:t>
      </w:r>
      <w:r w:rsidRPr="002D5CB9">
        <w:rPr>
          <w:rFonts w:cs="Tahoma"/>
          <w:bCs/>
          <w:szCs w:val="22"/>
          <w:lang w:val="es-ES"/>
        </w:rPr>
        <w:t>adjuntó a su respuesta los archivos electrónicos que se describen a continuación</w:t>
      </w:r>
      <w:r w:rsidR="00664420" w:rsidRPr="002D5CB9">
        <w:rPr>
          <w:rFonts w:cs="Tahoma"/>
          <w:bCs/>
          <w:szCs w:val="22"/>
          <w:lang w:val="es-ES"/>
        </w:rPr>
        <w:t>:</w:t>
      </w:r>
    </w:p>
    <w:p w14:paraId="7C964526" w14:textId="77777777" w:rsidR="005F2D5D" w:rsidRPr="002D5CB9" w:rsidRDefault="005F2D5D" w:rsidP="002D5CB9">
      <w:pPr>
        <w:autoSpaceDE w:val="0"/>
        <w:autoSpaceDN w:val="0"/>
        <w:adjustRightInd w:val="0"/>
        <w:ind w:right="-28"/>
        <w:rPr>
          <w:rFonts w:cs="Tahoma"/>
          <w:bCs/>
          <w:szCs w:val="22"/>
          <w:lang w:val="es-ES"/>
        </w:rPr>
      </w:pPr>
    </w:p>
    <w:p w14:paraId="6AEF37A8" w14:textId="3F5E07A0" w:rsidR="005F2D5D" w:rsidRPr="002D5CB9" w:rsidRDefault="005F2D5D" w:rsidP="002D5CB9">
      <w:pPr>
        <w:pStyle w:val="Prrafodelista"/>
        <w:numPr>
          <w:ilvl w:val="0"/>
          <w:numId w:val="23"/>
        </w:numPr>
        <w:autoSpaceDE w:val="0"/>
        <w:autoSpaceDN w:val="0"/>
        <w:adjustRightInd w:val="0"/>
        <w:ind w:right="-28"/>
        <w:rPr>
          <w:rFonts w:cs="Tahoma"/>
          <w:bCs/>
          <w:szCs w:val="22"/>
          <w:lang w:val="es-ES"/>
        </w:rPr>
      </w:pPr>
      <w:r w:rsidRPr="002D5CB9">
        <w:rPr>
          <w:rFonts w:cs="Tahoma"/>
          <w:b/>
          <w:bCs/>
          <w:szCs w:val="22"/>
          <w:lang w:val="es-ES"/>
        </w:rPr>
        <w:t>SAIMEX 2024-00652 RM.pdf.-</w:t>
      </w:r>
      <w:r w:rsidRPr="002D5CB9">
        <w:rPr>
          <w:rFonts w:cs="Tahoma"/>
          <w:bCs/>
          <w:szCs w:val="22"/>
          <w:lang w:val="es-ES"/>
        </w:rPr>
        <w:t>Archivo que contiene un oficio firmado por el suplente de la Subdirección de Recursos Materiales, mediante el cual hace del conocimiento que una vez realizado una búsqueda exhaustiva en sus archivos, no se localizaron los documentos solicitados.</w:t>
      </w:r>
    </w:p>
    <w:p w14:paraId="127BC2DD" w14:textId="77777777" w:rsidR="0004446F" w:rsidRPr="002D5CB9" w:rsidRDefault="0004446F" w:rsidP="002D5CB9">
      <w:pPr>
        <w:autoSpaceDE w:val="0"/>
        <w:autoSpaceDN w:val="0"/>
        <w:adjustRightInd w:val="0"/>
        <w:ind w:right="-28"/>
        <w:rPr>
          <w:rFonts w:cs="Tahoma"/>
          <w:bCs/>
          <w:szCs w:val="22"/>
          <w:lang w:val="es-ES"/>
        </w:rPr>
      </w:pPr>
    </w:p>
    <w:p w14:paraId="763729F4" w14:textId="15576AE1" w:rsidR="005F2D5D" w:rsidRPr="002D5CB9" w:rsidRDefault="005F2D5D" w:rsidP="002D5CB9">
      <w:pPr>
        <w:pStyle w:val="Prrafodelista"/>
        <w:numPr>
          <w:ilvl w:val="0"/>
          <w:numId w:val="23"/>
        </w:numPr>
        <w:autoSpaceDE w:val="0"/>
        <w:autoSpaceDN w:val="0"/>
        <w:adjustRightInd w:val="0"/>
        <w:ind w:right="-28"/>
        <w:rPr>
          <w:rFonts w:cs="Tahoma"/>
          <w:bCs/>
          <w:szCs w:val="22"/>
          <w:lang w:val="es-ES"/>
        </w:rPr>
      </w:pPr>
      <w:r w:rsidRPr="002D5CB9">
        <w:rPr>
          <w:rFonts w:cs="Tahoma"/>
          <w:b/>
          <w:bCs/>
          <w:szCs w:val="22"/>
          <w:lang w:val="es-ES"/>
        </w:rPr>
        <w:t xml:space="preserve">SAIMEX 2024-00652 SF.pdf.- </w:t>
      </w:r>
      <w:r w:rsidRPr="002D5CB9">
        <w:rPr>
          <w:rFonts w:cs="Tahoma"/>
          <w:bCs/>
          <w:szCs w:val="22"/>
          <w:lang w:val="es-ES"/>
        </w:rPr>
        <w:t>Oficio firmado por la Subdirectora de Finanzas mediante el cual hace del conocimiento que dentro de sus objetivos y funciones, no se encuentra la de  administrar o poseer la información solicitada.</w:t>
      </w:r>
    </w:p>
    <w:p w14:paraId="30EF4445" w14:textId="77777777" w:rsidR="0004446F" w:rsidRPr="002D5CB9" w:rsidRDefault="0004446F" w:rsidP="002D5CB9">
      <w:pPr>
        <w:autoSpaceDE w:val="0"/>
        <w:autoSpaceDN w:val="0"/>
        <w:adjustRightInd w:val="0"/>
        <w:ind w:right="-28"/>
        <w:rPr>
          <w:rFonts w:cs="Tahoma"/>
          <w:bCs/>
          <w:szCs w:val="22"/>
          <w:lang w:val="es-ES"/>
        </w:rPr>
      </w:pPr>
    </w:p>
    <w:p w14:paraId="5A5DAB9E" w14:textId="77777777" w:rsidR="00E37A3F" w:rsidRPr="002D5CB9" w:rsidRDefault="00E37A3F" w:rsidP="002D5CB9">
      <w:pPr>
        <w:pStyle w:val="Ttulo2"/>
        <w:jc w:val="left"/>
      </w:pPr>
      <w:bookmarkStart w:id="9" w:name="_Toc184229946"/>
      <w:r w:rsidRPr="002D5CB9">
        <w:t>DEL RECURSO DE REVISIÓN</w:t>
      </w:r>
      <w:bookmarkEnd w:id="9"/>
    </w:p>
    <w:p w14:paraId="0B17CD08" w14:textId="77777777" w:rsidR="00664420" w:rsidRPr="002D5CB9" w:rsidRDefault="00664420" w:rsidP="002D5CB9">
      <w:pPr>
        <w:autoSpaceDE w:val="0"/>
        <w:autoSpaceDN w:val="0"/>
        <w:adjustRightInd w:val="0"/>
        <w:ind w:right="-28"/>
        <w:rPr>
          <w:rFonts w:cs="Tahoma"/>
          <w:bCs/>
          <w:szCs w:val="22"/>
          <w:lang w:val="es-ES"/>
        </w:rPr>
      </w:pPr>
    </w:p>
    <w:p w14:paraId="2B216813" w14:textId="61ADBB2B" w:rsidR="00664420" w:rsidRPr="002D5CB9" w:rsidRDefault="006E25BC" w:rsidP="002D5CB9">
      <w:pPr>
        <w:pStyle w:val="Ttulo3"/>
      </w:pPr>
      <w:bookmarkStart w:id="10" w:name="_Toc184229947"/>
      <w:r w:rsidRPr="002D5CB9">
        <w:rPr>
          <w:szCs w:val="32"/>
        </w:rPr>
        <w:lastRenderedPageBreak/>
        <w:t>a)</w:t>
      </w:r>
      <w:r w:rsidRPr="002D5CB9">
        <w:t xml:space="preserve"> </w:t>
      </w:r>
      <w:r w:rsidR="00664420" w:rsidRPr="002D5CB9">
        <w:t>Interposición del Recurso de Revisión</w:t>
      </w:r>
      <w:bookmarkEnd w:id="10"/>
    </w:p>
    <w:p w14:paraId="6279C622" w14:textId="3186F7B5" w:rsidR="00664420" w:rsidRPr="002D5CB9" w:rsidRDefault="00664420" w:rsidP="002D5CB9">
      <w:pPr>
        <w:autoSpaceDE w:val="0"/>
        <w:autoSpaceDN w:val="0"/>
        <w:adjustRightInd w:val="0"/>
        <w:ind w:right="-28"/>
        <w:rPr>
          <w:rFonts w:cs="Tahoma"/>
          <w:szCs w:val="22"/>
        </w:rPr>
      </w:pPr>
      <w:r w:rsidRPr="002D5CB9">
        <w:rPr>
          <w:rFonts w:cs="Tahoma"/>
          <w:szCs w:val="22"/>
        </w:rPr>
        <w:t xml:space="preserve">El </w:t>
      </w:r>
      <w:r w:rsidR="005F2D5D" w:rsidRPr="002D5CB9">
        <w:rPr>
          <w:rFonts w:cs="Tahoma"/>
          <w:b/>
          <w:bCs/>
          <w:szCs w:val="22"/>
        </w:rPr>
        <w:t>cinco de noviembre de dos mil veinticuatro,</w:t>
      </w:r>
      <w:r w:rsidRPr="002D5CB9">
        <w:rPr>
          <w:rFonts w:cs="Tahoma"/>
          <w:szCs w:val="22"/>
        </w:rPr>
        <w:t xml:space="preserve"> </w:t>
      </w:r>
      <w:r w:rsidR="00F75D23" w:rsidRPr="002D5CB9">
        <w:rPr>
          <w:rFonts w:cs="Tahoma"/>
          <w:b/>
          <w:bCs/>
          <w:szCs w:val="22"/>
        </w:rPr>
        <w:t>LA PARTE RECURRENTE</w:t>
      </w:r>
      <w:r w:rsidR="00F75D23" w:rsidRPr="002D5CB9">
        <w:rPr>
          <w:rFonts w:cs="Tahoma"/>
          <w:szCs w:val="22"/>
        </w:rPr>
        <w:t xml:space="preserve"> interpuso el recurso de revisión en contra de la respuesta emitida por el </w:t>
      </w:r>
      <w:r w:rsidR="00F75D23" w:rsidRPr="002D5CB9">
        <w:rPr>
          <w:rFonts w:cs="Tahoma"/>
          <w:b/>
          <w:bCs/>
          <w:szCs w:val="22"/>
        </w:rPr>
        <w:t>SUJETO OBLIGADO</w:t>
      </w:r>
      <w:r w:rsidR="00953430" w:rsidRPr="002D5CB9">
        <w:rPr>
          <w:rFonts w:cs="Tahoma"/>
          <w:szCs w:val="22"/>
        </w:rPr>
        <w:t xml:space="preserve">, mismo que fue registrado en el SAIMEX con el número de expediente </w:t>
      </w:r>
      <w:r w:rsidR="005F2D5D" w:rsidRPr="002D5CB9">
        <w:rPr>
          <w:rFonts w:cs="Tahoma"/>
          <w:b/>
          <w:bCs/>
          <w:szCs w:val="22"/>
        </w:rPr>
        <w:t>07062</w:t>
      </w:r>
      <w:r w:rsidR="00953430" w:rsidRPr="002D5CB9">
        <w:rPr>
          <w:rFonts w:cs="Tahoma"/>
          <w:b/>
          <w:bCs/>
          <w:szCs w:val="22"/>
        </w:rPr>
        <w:t>/INFOEM/IP/RR/</w:t>
      </w:r>
      <w:r w:rsidR="005F2D5D" w:rsidRPr="002D5CB9">
        <w:rPr>
          <w:rFonts w:cs="Tahoma"/>
          <w:b/>
          <w:bCs/>
          <w:szCs w:val="22"/>
        </w:rPr>
        <w:t>2024</w:t>
      </w:r>
      <w:r w:rsidR="00953430" w:rsidRPr="002D5CB9">
        <w:rPr>
          <w:rFonts w:cs="Tahoma"/>
          <w:szCs w:val="22"/>
        </w:rPr>
        <w:t>, y en el cual manifiesta lo siguiente</w:t>
      </w:r>
      <w:r w:rsidRPr="002D5CB9">
        <w:rPr>
          <w:rFonts w:cs="Tahoma"/>
          <w:szCs w:val="22"/>
        </w:rPr>
        <w:t>:</w:t>
      </w:r>
    </w:p>
    <w:p w14:paraId="74B30008" w14:textId="77777777" w:rsidR="00664420" w:rsidRPr="002D5CB9" w:rsidRDefault="00664420" w:rsidP="002D5CB9">
      <w:pPr>
        <w:tabs>
          <w:tab w:val="left" w:pos="4667"/>
        </w:tabs>
        <w:ind w:right="539"/>
        <w:rPr>
          <w:rFonts w:cs="Tahoma"/>
          <w:szCs w:val="22"/>
        </w:rPr>
      </w:pPr>
    </w:p>
    <w:p w14:paraId="12153283" w14:textId="77777777" w:rsidR="00664420" w:rsidRPr="002D5CB9" w:rsidRDefault="00664420" w:rsidP="002D5CB9">
      <w:pPr>
        <w:tabs>
          <w:tab w:val="left" w:pos="4667"/>
        </w:tabs>
        <w:ind w:left="567" w:right="539"/>
        <w:rPr>
          <w:rFonts w:cs="Tahoma"/>
          <w:b/>
          <w:iCs/>
        </w:rPr>
      </w:pPr>
      <w:r w:rsidRPr="002D5CB9">
        <w:rPr>
          <w:rFonts w:cs="Tahoma"/>
          <w:b/>
          <w:iCs/>
        </w:rPr>
        <w:t>ACTO IMPUGNADO</w:t>
      </w:r>
      <w:r w:rsidRPr="002D5CB9">
        <w:rPr>
          <w:rFonts w:cs="Tahoma"/>
          <w:b/>
          <w:iCs/>
        </w:rPr>
        <w:tab/>
      </w:r>
    </w:p>
    <w:p w14:paraId="523F8BF4" w14:textId="5492A09C" w:rsidR="00664420" w:rsidRPr="002D5CB9" w:rsidRDefault="005F2D5D" w:rsidP="002D5CB9">
      <w:pPr>
        <w:pStyle w:val="Puesto"/>
      </w:pPr>
      <w:r w:rsidRPr="002D5CB9">
        <w:t>“niega la información no atiende el derecho de transparencia”</w:t>
      </w:r>
    </w:p>
    <w:p w14:paraId="6AE8EA9A" w14:textId="77777777" w:rsidR="00664420" w:rsidRPr="002D5CB9" w:rsidRDefault="00664420" w:rsidP="002D5CB9">
      <w:pPr>
        <w:tabs>
          <w:tab w:val="left" w:pos="4667"/>
        </w:tabs>
        <w:ind w:left="567" w:right="539"/>
        <w:rPr>
          <w:rFonts w:cs="Tahoma"/>
          <w:bCs/>
          <w:i/>
        </w:rPr>
      </w:pPr>
    </w:p>
    <w:p w14:paraId="047D036B" w14:textId="77777777" w:rsidR="00664420" w:rsidRPr="002D5CB9" w:rsidRDefault="00664420" w:rsidP="002D5CB9">
      <w:pPr>
        <w:tabs>
          <w:tab w:val="left" w:pos="4667"/>
        </w:tabs>
        <w:ind w:left="567" w:right="539"/>
        <w:rPr>
          <w:rFonts w:cs="Tahoma"/>
          <w:b/>
          <w:iCs/>
        </w:rPr>
      </w:pPr>
      <w:r w:rsidRPr="002D5CB9">
        <w:rPr>
          <w:rFonts w:cs="Tahoma"/>
          <w:b/>
          <w:iCs/>
        </w:rPr>
        <w:t>RAZONES O MOTIVOS DE LA INCONFORMIDAD</w:t>
      </w:r>
      <w:r w:rsidRPr="002D5CB9">
        <w:rPr>
          <w:rFonts w:cs="Tahoma"/>
          <w:b/>
          <w:iCs/>
        </w:rPr>
        <w:tab/>
      </w:r>
    </w:p>
    <w:p w14:paraId="1DAE2563" w14:textId="002D7D61" w:rsidR="00953430" w:rsidRPr="002D5CB9" w:rsidRDefault="005F2D5D" w:rsidP="002D5CB9">
      <w:pPr>
        <w:pStyle w:val="Puesto"/>
      </w:pPr>
      <w:r w:rsidRPr="002D5CB9">
        <w:t xml:space="preserve">“No atiende la solicitud no se </w:t>
      </w:r>
      <w:proofErr w:type="spellStart"/>
      <w:r w:rsidRPr="002D5CB9">
        <w:t>ateinde</w:t>
      </w:r>
      <w:proofErr w:type="spellEnd"/>
      <w:r w:rsidRPr="002D5CB9">
        <w:t xml:space="preserve"> el derecho de acceso a la información”</w:t>
      </w:r>
    </w:p>
    <w:p w14:paraId="48FE75EA" w14:textId="77777777" w:rsidR="00664420" w:rsidRPr="002D5CB9" w:rsidRDefault="00664420" w:rsidP="002D5CB9">
      <w:pPr>
        <w:tabs>
          <w:tab w:val="left" w:pos="4667"/>
        </w:tabs>
        <w:ind w:right="567"/>
        <w:rPr>
          <w:rFonts w:cs="Tahoma"/>
          <w:b/>
          <w:bCs/>
        </w:rPr>
      </w:pPr>
    </w:p>
    <w:p w14:paraId="6804DEF1" w14:textId="3C4F6CB5" w:rsidR="00664420" w:rsidRPr="002D5CB9" w:rsidRDefault="006E25BC" w:rsidP="002D5CB9">
      <w:pPr>
        <w:pStyle w:val="Ttulo3"/>
      </w:pPr>
      <w:bookmarkStart w:id="11" w:name="_Toc184229948"/>
      <w:r w:rsidRPr="002D5CB9">
        <w:t>b</w:t>
      </w:r>
      <w:r w:rsidR="00664420" w:rsidRPr="002D5CB9">
        <w:t>) Turno del Recurso de Revisión</w:t>
      </w:r>
      <w:bookmarkEnd w:id="11"/>
    </w:p>
    <w:p w14:paraId="1173671B" w14:textId="27C22A79" w:rsidR="00C72DAA" w:rsidRPr="002D5CB9" w:rsidRDefault="00C72DAA" w:rsidP="002D5CB9">
      <w:r w:rsidRPr="002D5CB9">
        <w:t>Con fundamento en el artículo 185, fracción I de la Ley de Transparencia y Acceso a la Información Pública del Estado de México y Municipios, el</w:t>
      </w:r>
      <w:r w:rsidR="00AF6A29" w:rsidRPr="002D5CB9">
        <w:t xml:space="preserve"> </w:t>
      </w:r>
      <w:r w:rsidR="00AF6A29" w:rsidRPr="002D5CB9">
        <w:rPr>
          <w:b/>
        </w:rPr>
        <w:t>cinco de noviembre de dos mil veinticuatro</w:t>
      </w:r>
      <w:r w:rsidR="00AF6A29" w:rsidRPr="002D5CB9">
        <w:t>,</w:t>
      </w:r>
      <w:r w:rsidRPr="002D5CB9">
        <w:t xml:space="preserve"> se turnó el recurso de revisión a través del</w:t>
      </w:r>
      <w:r w:rsidRPr="002D5CB9">
        <w:rPr>
          <w:rFonts w:eastAsia="Arial Unicode MS"/>
        </w:rPr>
        <w:t xml:space="preserve"> </w:t>
      </w:r>
      <w:r w:rsidRPr="002D5CB9">
        <w:rPr>
          <w:rFonts w:eastAsia="Arial Unicode MS"/>
          <w:bCs/>
        </w:rPr>
        <w:t>SAIMEX</w:t>
      </w:r>
      <w:r w:rsidRPr="002D5CB9">
        <w:t xml:space="preserve"> a la </w:t>
      </w:r>
      <w:r w:rsidRPr="002D5CB9">
        <w:rPr>
          <w:b/>
        </w:rPr>
        <w:t>Comisionada Sharon Cristina Morales Martínez</w:t>
      </w:r>
      <w:r w:rsidRPr="002D5CB9">
        <w:rPr>
          <w:bCs/>
        </w:rPr>
        <w:t xml:space="preserve">, </w:t>
      </w:r>
      <w:r w:rsidRPr="002D5CB9">
        <w:t xml:space="preserve">a efecto de decretar su admisión o desechamiento. </w:t>
      </w:r>
    </w:p>
    <w:p w14:paraId="18F305CB" w14:textId="77777777" w:rsidR="00664420" w:rsidRPr="002D5CB9" w:rsidRDefault="00664420" w:rsidP="002D5CB9">
      <w:pPr>
        <w:rPr>
          <w:rFonts w:eastAsia="Batang" w:cs="Tahoma"/>
          <w:bCs/>
          <w:szCs w:val="22"/>
        </w:rPr>
      </w:pPr>
    </w:p>
    <w:p w14:paraId="3E31EC2D" w14:textId="295256A1" w:rsidR="00664420" w:rsidRPr="002D5CB9" w:rsidRDefault="006E25BC" w:rsidP="002D5CB9">
      <w:pPr>
        <w:pStyle w:val="Ttulo3"/>
      </w:pPr>
      <w:bookmarkStart w:id="12" w:name="_Toc184229949"/>
      <w:r w:rsidRPr="002D5CB9">
        <w:t>c</w:t>
      </w:r>
      <w:r w:rsidR="00664420" w:rsidRPr="002D5CB9">
        <w:t>) Admisión del Recurso de Revisión</w:t>
      </w:r>
      <w:bookmarkEnd w:id="12"/>
    </w:p>
    <w:p w14:paraId="240447D5" w14:textId="523C838C" w:rsidR="000E09C4" w:rsidRPr="002D5CB9" w:rsidRDefault="000E09C4" w:rsidP="002D5CB9">
      <w:pPr>
        <w:rPr>
          <w:rFonts w:cs="Arial"/>
        </w:rPr>
      </w:pPr>
      <w:r w:rsidRPr="002D5CB9">
        <w:rPr>
          <w:rFonts w:cs="Arial"/>
        </w:rPr>
        <w:t xml:space="preserve">El </w:t>
      </w:r>
      <w:r w:rsidR="00AF6A29" w:rsidRPr="002D5CB9">
        <w:rPr>
          <w:rFonts w:eastAsia="Palatino Linotype" w:cs="Palatino Linotype"/>
          <w:b/>
        </w:rPr>
        <w:t xml:space="preserve">seis de noviembre de dos mil veinticuatro, </w:t>
      </w:r>
      <w:r w:rsidRPr="002D5CB9">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2D5CB9">
        <w:rPr>
          <w:rFonts w:cs="Arial"/>
        </w:rPr>
        <w:t>, fracción II</w:t>
      </w:r>
      <w:r w:rsidRPr="002D5CB9">
        <w:rPr>
          <w:rFonts w:cs="Arial"/>
        </w:rPr>
        <w:t xml:space="preserve"> de la Ley de Transparencia y Acceso a la Información Pública del Estado de México y Municipios.</w:t>
      </w:r>
    </w:p>
    <w:p w14:paraId="09B589C5" w14:textId="77777777" w:rsidR="00664420" w:rsidRPr="002D5CB9" w:rsidRDefault="00664420" w:rsidP="002D5CB9">
      <w:pPr>
        <w:rPr>
          <w:rFonts w:cs="Tahoma"/>
          <w:b/>
          <w:szCs w:val="22"/>
        </w:rPr>
      </w:pPr>
    </w:p>
    <w:p w14:paraId="3B820F58" w14:textId="1741AB5E" w:rsidR="00865CF4" w:rsidRPr="002D5CB9" w:rsidRDefault="00B77B52" w:rsidP="002D5CB9">
      <w:pPr>
        <w:pStyle w:val="Ttulo3"/>
      </w:pPr>
      <w:bookmarkStart w:id="13" w:name="_Toc184229950"/>
      <w:r w:rsidRPr="002D5CB9">
        <w:lastRenderedPageBreak/>
        <w:t>d</w:t>
      </w:r>
      <w:r w:rsidR="00664420" w:rsidRPr="002D5CB9">
        <w:t xml:space="preserve">) </w:t>
      </w:r>
      <w:r w:rsidR="00865CF4" w:rsidRPr="002D5CB9">
        <w:t>Informe Justificado del Sujeto Obligado</w:t>
      </w:r>
      <w:bookmarkEnd w:id="13"/>
    </w:p>
    <w:p w14:paraId="195F0D72" w14:textId="30D24679" w:rsidR="00865CF4" w:rsidRPr="002D5CB9" w:rsidRDefault="00865CF4" w:rsidP="002D5CB9">
      <w:pPr>
        <w:rPr>
          <w:rFonts w:eastAsia="Calibri" w:cs="Tahoma"/>
          <w:szCs w:val="22"/>
          <w:lang w:eastAsia="en-US"/>
        </w:rPr>
      </w:pPr>
      <w:r w:rsidRPr="002D5CB9">
        <w:rPr>
          <w:rFonts w:cs="Tahoma"/>
          <w:bCs/>
          <w:szCs w:val="24"/>
        </w:rPr>
        <w:t xml:space="preserve">El </w:t>
      </w:r>
      <w:r w:rsidR="00AF6A29" w:rsidRPr="002D5CB9">
        <w:rPr>
          <w:rFonts w:cs="Tahoma"/>
          <w:b/>
          <w:szCs w:val="24"/>
        </w:rPr>
        <w:t>quince de noviembre de dos mil veinticuatro,</w:t>
      </w:r>
      <w:r w:rsidRPr="002D5CB9">
        <w:rPr>
          <w:rFonts w:cs="Tahoma"/>
          <w:b/>
          <w:szCs w:val="24"/>
        </w:rPr>
        <w:t xml:space="preserve"> EL SUJETO OBLIGADO</w:t>
      </w:r>
      <w:r w:rsidRPr="002D5CB9">
        <w:rPr>
          <w:rFonts w:cs="Tahoma"/>
          <w:bCs/>
          <w:szCs w:val="24"/>
        </w:rPr>
        <w:t xml:space="preserve"> rindió su informe justificado a través del </w:t>
      </w:r>
      <w:r w:rsidRPr="002D5CB9">
        <w:rPr>
          <w:rFonts w:cs="Tahoma"/>
          <w:b/>
          <w:bCs/>
          <w:szCs w:val="24"/>
        </w:rPr>
        <w:t>SAIMEX</w:t>
      </w:r>
      <w:r w:rsidRPr="002D5CB9">
        <w:rPr>
          <w:rFonts w:cs="Tahoma"/>
          <w:bCs/>
          <w:szCs w:val="24"/>
        </w:rPr>
        <w:t xml:space="preserve">, </w:t>
      </w:r>
      <w:r w:rsidR="00A734A6" w:rsidRPr="002D5CB9">
        <w:rPr>
          <w:rFonts w:eastAsia="Calibri" w:cs="Tahoma"/>
          <w:szCs w:val="22"/>
          <w:lang w:eastAsia="en-US"/>
        </w:rPr>
        <w:t xml:space="preserve">adjuntando los archivos electrónicos que a continuación </w:t>
      </w:r>
      <w:proofErr w:type="spellStart"/>
      <w:r w:rsidR="00A734A6" w:rsidRPr="002D5CB9">
        <w:rPr>
          <w:rFonts w:eastAsia="Calibri" w:cs="Tahoma"/>
          <w:szCs w:val="22"/>
          <w:lang w:eastAsia="en-US"/>
        </w:rPr>
        <w:t>s</w:t>
      </w:r>
      <w:proofErr w:type="spellEnd"/>
      <w:r w:rsidR="00A734A6" w:rsidRPr="002D5CB9">
        <w:rPr>
          <w:rFonts w:eastAsia="Calibri" w:cs="Tahoma"/>
          <w:szCs w:val="22"/>
          <w:lang w:eastAsia="en-US"/>
        </w:rPr>
        <w:t xml:space="preserve"> describen:  </w:t>
      </w:r>
    </w:p>
    <w:p w14:paraId="6E939452" w14:textId="77777777" w:rsidR="00865CF4" w:rsidRPr="002D5CB9" w:rsidRDefault="00865CF4" w:rsidP="002D5CB9">
      <w:pPr>
        <w:rPr>
          <w:rFonts w:eastAsia="Calibri" w:cs="Tahoma"/>
          <w:szCs w:val="22"/>
          <w:lang w:eastAsia="en-US"/>
        </w:rPr>
      </w:pPr>
    </w:p>
    <w:p w14:paraId="768F701E" w14:textId="15AD7B2A" w:rsidR="00AF6A29" w:rsidRPr="002D5CB9" w:rsidRDefault="00AF6A29" w:rsidP="002D5CB9">
      <w:pPr>
        <w:pStyle w:val="Prrafodelista"/>
        <w:numPr>
          <w:ilvl w:val="0"/>
          <w:numId w:val="24"/>
        </w:numPr>
        <w:rPr>
          <w:rFonts w:eastAsia="Calibri" w:cs="Tahoma"/>
          <w:szCs w:val="22"/>
          <w:lang w:eastAsia="en-US"/>
        </w:rPr>
      </w:pPr>
      <w:r w:rsidRPr="002D5CB9">
        <w:rPr>
          <w:rFonts w:eastAsia="Calibri" w:cs="Tahoma"/>
          <w:b/>
          <w:szCs w:val="22"/>
          <w:lang w:eastAsia="en-US"/>
        </w:rPr>
        <w:t xml:space="preserve">INFORME JUSTIFICADO 7062.pdf.- </w:t>
      </w:r>
      <w:r w:rsidRPr="002D5CB9">
        <w:rPr>
          <w:rFonts w:eastAsia="Calibri" w:cs="Tahoma"/>
          <w:szCs w:val="22"/>
          <w:lang w:eastAsia="en-US"/>
        </w:rPr>
        <w:t xml:space="preserve">Oficio firmado por el Titular de la Unidad de Transparencia mediante el cual ratifica su respuesta </w:t>
      </w:r>
      <w:r w:rsidR="00D05B17" w:rsidRPr="002D5CB9">
        <w:rPr>
          <w:rFonts w:eastAsia="Calibri" w:cs="Tahoma"/>
          <w:szCs w:val="22"/>
          <w:lang w:eastAsia="en-US"/>
        </w:rPr>
        <w:t>primigenia</w:t>
      </w:r>
      <w:r w:rsidRPr="002D5CB9">
        <w:rPr>
          <w:rFonts w:eastAsia="Calibri" w:cs="Tahoma"/>
          <w:szCs w:val="22"/>
          <w:lang w:eastAsia="en-US"/>
        </w:rPr>
        <w:t>.</w:t>
      </w:r>
    </w:p>
    <w:p w14:paraId="06A2EE8C" w14:textId="77777777" w:rsidR="00AF6A29" w:rsidRPr="002D5CB9" w:rsidRDefault="00AF6A29" w:rsidP="002D5CB9">
      <w:pPr>
        <w:rPr>
          <w:rFonts w:eastAsia="Calibri" w:cs="Tahoma"/>
          <w:szCs w:val="22"/>
          <w:lang w:eastAsia="en-US"/>
        </w:rPr>
      </w:pPr>
    </w:p>
    <w:p w14:paraId="33A62F0D" w14:textId="3B5AA8A4" w:rsidR="00AF6A29" w:rsidRPr="002D5CB9" w:rsidRDefault="00AF6A29" w:rsidP="002D5CB9">
      <w:pPr>
        <w:pStyle w:val="Prrafodelista"/>
        <w:numPr>
          <w:ilvl w:val="0"/>
          <w:numId w:val="24"/>
        </w:numPr>
        <w:rPr>
          <w:rFonts w:eastAsia="Calibri" w:cs="Tahoma"/>
          <w:szCs w:val="22"/>
          <w:lang w:eastAsia="en-US"/>
        </w:rPr>
      </w:pPr>
      <w:r w:rsidRPr="002D5CB9">
        <w:rPr>
          <w:rFonts w:eastAsia="Calibri" w:cs="Tahoma"/>
          <w:b/>
          <w:szCs w:val="22"/>
          <w:lang w:eastAsia="en-US"/>
        </w:rPr>
        <w:t xml:space="preserve">OFICIO.pdf.- </w:t>
      </w:r>
      <w:r w:rsidR="00D05B17" w:rsidRPr="002D5CB9">
        <w:rPr>
          <w:rFonts w:eastAsia="Calibri" w:cs="Tahoma"/>
          <w:szCs w:val="22"/>
          <w:lang w:eastAsia="en-US"/>
        </w:rPr>
        <w:t>Archivo que contiene</w:t>
      </w:r>
      <w:r w:rsidR="00D05B17" w:rsidRPr="002D5CB9">
        <w:rPr>
          <w:rFonts w:eastAsia="Calibri" w:cs="Tahoma"/>
          <w:b/>
          <w:szCs w:val="22"/>
          <w:lang w:eastAsia="en-US"/>
        </w:rPr>
        <w:t xml:space="preserve"> </w:t>
      </w:r>
      <w:r w:rsidR="00D05B17" w:rsidRPr="002D5CB9">
        <w:rPr>
          <w:rFonts w:eastAsia="Calibri" w:cs="Tahoma"/>
          <w:szCs w:val="22"/>
          <w:lang w:eastAsia="en-US"/>
        </w:rPr>
        <w:t>2 oficios remitidos mediante el cual la Subdirectora de Recursos Materiales ratifica la respuesta entregada en primer término.</w:t>
      </w:r>
    </w:p>
    <w:p w14:paraId="371F88A0" w14:textId="77777777" w:rsidR="00441BFA" w:rsidRPr="002D5CB9" w:rsidRDefault="00441BFA" w:rsidP="002D5CB9">
      <w:pPr>
        <w:ind w:right="539"/>
        <w:jc w:val="left"/>
        <w:rPr>
          <w:rFonts w:eastAsia="Calibri" w:cs="Tahoma"/>
          <w:szCs w:val="22"/>
          <w:lang w:eastAsia="en-US"/>
        </w:rPr>
      </w:pPr>
    </w:p>
    <w:p w14:paraId="2D130A9D" w14:textId="790A75D3" w:rsidR="00865CF4" w:rsidRPr="002D5CB9" w:rsidRDefault="00865CF4" w:rsidP="002D5CB9">
      <w:pPr>
        <w:rPr>
          <w:rFonts w:cs="Tahoma"/>
          <w:bCs/>
          <w:szCs w:val="24"/>
        </w:rPr>
      </w:pPr>
      <w:r w:rsidRPr="002D5CB9">
        <w:rPr>
          <w:rFonts w:cs="Tahoma"/>
          <w:bCs/>
          <w:szCs w:val="24"/>
        </w:rPr>
        <w:t xml:space="preserve">Esta información fue puesta a la vista de </w:t>
      </w:r>
      <w:r w:rsidRPr="002D5CB9">
        <w:rPr>
          <w:rFonts w:cs="Tahoma"/>
          <w:b/>
          <w:szCs w:val="24"/>
        </w:rPr>
        <w:t xml:space="preserve">LA PARTE RECURRENTE </w:t>
      </w:r>
      <w:r w:rsidRPr="002D5CB9">
        <w:rPr>
          <w:rFonts w:cs="Tahoma"/>
          <w:bCs/>
          <w:szCs w:val="24"/>
        </w:rPr>
        <w:t>el</w:t>
      </w:r>
      <w:r w:rsidR="00D05B17" w:rsidRPr="002D5CB9">
        <w:rPr>
          <w:rFonts w:cs="Tahoma"/>
          <w:bCs/>
          <w:szCs w:val="24"/>
        </w:rPr>
        <w:t xml:space="preserve"> </w:t>
      </w:r>
      <w:r w:rsidR="00D05B17" w:rsidRPr="002D5CB9">
        <w:rPr>
          <w:rFonts w:cs="Tahoma"/>
          <w:b/>
          <w:bCs/>
          <w:szCs w:val="24"/>
        </w:rPr>
        <w:t>veintiséis de noviembre de dos mil veinticuatro</w:t>
      </w:r>
      <w:r w:rsidR="00D05B17" w:rsidRPr="002D5CB9">
        <w:rPr>
          <w:rFonts w:cs="Tahoma"/>
          <w:bCs/>
          <w:szCs w:val="24"/>
        </w:rPr>
        <w:t>,</w:t>
      </w:r>
      <w:r w:rsidRPr="002D5CB9">
        <w:rPr>
          <w:rFonts w:cs="Tahoma"/>
          <w:bCs/>
          <w:szCs w:val="24"/>
        </w:rPr>
        <w:t xml:space="preserve"> para que, en un plazo de tres días hábiles, manifestara lo que a su derecho conviniera, de conformidad con lo establecido en el </w:t>
      </w:r>
      <w:r w:rsidRPr="002D5CB9">
        <w:rPr>
          <w:rFonts w:cs="Arial"/>
        </w:rPr>
        <w:t>artículo 185, fracción III de la Ley de Transparencia y Acceso a la Información Pública del Estado de México y Municipios</w:t>
      </w:r>
      <w:r w:rsidRPr="002D5CB9">
        <w:rPr>
          <w:rFonts w:cs="Tahoma"/>
          <w:bCs/>
          <w:szCs w:val="24"/>
        </w:rPr>
        <w:t>.</w:t>
      </w:r>
    </w:p>
    <w:p w14:paraId="3B386B4C" w14:textId="77777777" w:rsidR="003A40C1" w:rsidRPr="002D5CB9" w:rsidRDefault="003A40C1" w:rsidP="002D5CB9">
      <w:pPr>
        <w:ind w:right="539"/>
        <w:rPr>
          <w:rFonts w:cs="Tahoma"/>
          <w:bCs/>
          <w:szCs w:val="24"/>
        </w:rPr>
      </w:pPr>
    </w:p>
    <w:p w14:paraId="755B7730" w14:textId="41478B01" w:rsidR="00664420" w:rsidRPr="002D5CB9" w:rsidRDefault="00B77B52" w:rsidP="002D5CB9">
      <w:pPr>
        <w:pStyle w:val="Ttulo3"/>
        <w:rPr>
          <w:lang w:val="es-ES"/>
        </w:rPr>
      </w:pPr>
      <w:bookmarkStart w:id="14" w:name="_Toc184229951"/>
      <w:r w:rsidRPr="002D5CB9">
        <w:rPr>
          <w:rFonts w:eastAsia="Calibri"/>
          <w:bCs/>
          <w:lang w:eastAsia="en-US"/>
        </w:rPr>
        <w:t>e</w:t>
      </w:r>
      <w:r w:rsidR="00664420" w:rsidRPr="002D5CB9">
        <w:rPr>
          <w:rFonts w:eastAsia="Calibri"/>
          <w:bCs/>
          <w:lang w:eastAsia="en-US"/>
        </w:rPr>
        <w:t>)</w:t>
      </w:r>
      <w:r w:rsidR="00664420" w:rsidRPr="002D5CB9">
        <w:t xml:space="preserve"> </w:t>
      </w:r>
      <w:r w:rsidR="00865CF4" w:rsidRPr="002D5CB9">
        <w:rPr>
          <w:lang w:val="es-ES"/>
        </w:rPr>
        <w:t>Manifestaciones de la Parte Recurrente</w:t>
      </w:r>
      <w:bookmarkEnd w:id="14"/>
    </w:p>
    <w:p w14:paraId="4E8AF011" w14:textId="77777777" w:rsidR="00865CF4" w:rsidRPr="002D5CB9" w:rsidRDefault="00865CF4" w:rsidP="002D5CB9">
      <w:pPr>
        <w:rPr>
          <w:rFonts w:eastAsia="Arial Unicode MS" w:cs="Arial"/>
        </w:rPr>
      </w:pPr>
      <w:r w:rsidRPr="002D5CB9">
        <w:rPr>
          <w:rFonts w:cs="Tahoma"/>
          <w:b/>
          <w:szCs w:val="24"/>
        </w:rPr>
        <w:t xml:space="preserve">LA PARTE RECURRENTE </w:t>
      </w:r>
      <w:r w:rsidRPr="002D5CB9">
        <w:rPr>
          <w:rFonts w:eastAsia="Arial Unicode MS" w:cs="Arial"/>
        </w:rPr>
        <w:t>no realizó manifestación alguna dentro del término legalmente concedido para tal efecto, ni presentó pruebas o alegatos.</w:t>
      </w:r>
    </w:p>
    <w:p w14:paraId="429B094F" w14:textId="77777777" w:rsidR="0056254E" w:rsidRPr="002D5CB9" w:rsidRDefault="0056254E" w:rsidP="002D5CB9">
      <w:pPr>
        <w:pStyle w:val="Ttulo3"/>
      </w:pPr>
    </w:p>
    <w:p w14:paraId="0E651988" w14:textId="22C71484" w:rsidR="00664420" w:rsidRPr="002D5CB9" w:rsidRDefault="00B77B52" w:rsidP="002D5CB9">
      <w:pPr>
        <w:pStyle w:val="Ttulo3"/>
      </w:pPr>
      <w:bookmarkStart w:id="15" w:name="_Toc184229952"/>
      <w:r w:rsidRPr="002D5CB9">
        <w:t>f</w:t>
      </w:r>
      <w:r w:rsidR="00664420" w:rsidRPr="002D5CB9">
        <w:t>) Cierre de instrucción</w:t>
      </w:r>
      <w:bookmarkEnd w:id="15"/>
    </w:p>
    <w:p w14:paraId="79AF95DC" w14:textId="0D30E8AD" w:rsidR="00664420" w:rsidRPr="002D5CB9" w:rsidRDefault="00BF091A" w:rsidP="002D5CB9">
      <w:r w:rsidRPr="002D5CB9">
        <w:rPr>
          <w:rFonts w:cs="Tahoma"/>
          <w:szCs w:val="22"/>
        </w:rPr>
        <w:t>Al no existir diligencias pendientes por desahogar</w:t>
      </w:r>
      <w:r w:rsidRPr="002D5CB9">
        <w:rPr>
          <w:rFonts w:cs="Arial"/>
        </w:rPr>
        <w:t xml:space="preserve">, el </w:t>
      </w:r>
      <w:r w:rsidR="0056254E" w:rsidRPr="002D5CB9">
        <w:rPr>
          <w:rFonts w:cs="Arial"/>
          <w:b/>
        </w:rPr>
        <w:t>tres de diciembre de dos mil veinticuatro,</w:t>
      </w:r>
      <w:r w:rsidRPr="002D5CB9">
        <w:rPr>
          <w:rFonts w:cs="Arial"/>
        </w:rPr>
        <w:t xml:space="preserve"> la </w:t>
      </w:r>
      <w:r w:rsidRPr="002D5CB9">
        <w:rPr>
          <w:rFonts w:cs="Arial"/>
          <w:b/>
          <w:bCs/>
        </w:rPr>
        <w:t xml:space="preserve">Comisionada </w:t>
      </w:r>
      <w:r w:rsidRPr="002D5CB9">
        <w:rPr>
          <w:b/>
        </w:rPr>
        <w:t xml:space="preserve">Sharon Cristina Morales Martínez </w:t>
      </w:r>
      <w:r w:rsidRPr="002D5CB9">
        <w:rPr>
          <w:rFonts w:cs="Arial"/>
        </w:rPr>
        <w:t>acordó el cierre de instrucción</w:t>
      </w:r>
      <w:r w:rsidR="0011350D" w:rsidRPr="002D5CB9">
        <w:rPr>
          <w:rFonts w:cs="Arial"/>
        </w:rPr>
        <w:t xml:space="preserve"> y</w:t>
      </w:r>
      <w:r w:rsidRPr="002D5CB9">
        <w:rPr>
          <w:rFonts w:cs="Arial"/>
        </w:rPr>
        <w:t xml:space="preserve"> </w:t>
      </w:r>
      <w:r w:rsidR="0011350D" w:rsidRPr="002D5CB9">
        <w:rPr>
          <w:rFonts w:cs="Arial"/>
        </w:rPr>
        <w:t xml:space="preserve">la </w:t>
      </w:r>
      <w:r w:rsidRPr="002D5CB9">
        <w:rPr>
          <w:rFonts w:cs="Arial"/>
        </w:rPr>
        <w:t xml:space="preserve">remisión del expediente a efecto de ser resuelto, de conformidad con lo </w:t>
      </w:r>
      <w:r w:rsidRPr="002D5CB9">
        <w:rPr>
          <w:rFonts w:cs="Arial"/>
        </w:rPr>
        <w:lastRenderedPageBreak/>
        <w:t>establecido en el artículo 185 fracciones VI y VIII de la Ley de Transparencia y Acceso a la Información Pública del Estado de México y Municipios</w:t>
      </w:r>
      <w:r w:rsidRPr="002D5CB9">
        <w:t>.</w:t>
      </w:r>
      <w:r w:rsidR="0011350D" w:rsidRPr="002D5CB9">
        <w:t xml:space="preserve"> Dicho acuerdo </w:t>
      </w:r>
      <w:r w:rsidR="00664420" w:rsidRPr="002D5CB9">
        <w:rPr>
          <w:rFonts w:cs="Tahoma"/>
          <w:szCs w:val="22"/>
        </w:rPr>
        <w:t xml:space="preserve">fue notificado a las partes el mismo día a través del </w:t>
      </w:r>
      <w:r w:rsidR="00664420" w:rsidRPr="002D5CB9">
        <w:rPr>
          <w:rFonts w:cs="Tahoma"/>
          <w:szCs w:val="22"/>
          <w:lang w:val="es-ES"/>
        </w:rPr>
        <w:t>SAIMEX</w:t>
      </w:r>
      <w:r w:rsidR="00664420" w:rsidRPr="002D5CB9">
        <w:rPr>
          <w:rFonts w:cs="Tahoma"/>
          <w:szCs w:val="22"/>
        </w:rPr>
        <w:t>.</w:t>
      </w:r>
    </w:p>
    <w:p w14:paraId="741683E3" w14:textId="77777777" w:rsidR="0011350D" w:rsidRPr="002D5CB9" w:rsidRDefault="0011350D" w:rsidP="002D5CB9">
      <w:pPr>
        <w:rPr>
          <w:rFonts w:cs="Tahoma"/>
          <w:szCs w:val="22"/>
        </w:rPr>
      </w:pPr>
    </w:p>
    <w:p w14:paraId="7A9629DE" w14:textId="77777777" w:rsidR="00664420" w:rsidRPr="002D5CB9" w:rsidRDefault="00664420" w:rsidP="002D5CB9">
      <w:pPr>
        <w:pStyle w:val="Ttulo1"/>
        <w:rPr>
          <w:rFonts w:eastAsiaTheme="minorHAnsi"/>
          <w:lang w:eastAsia="en-US"/>
        </w:rPr>
      </w:pPr>
      <w:bookmarkStart w:id="16" w:name="_Toc184229953"/>
      <w:r w:rsidRPr="002D5CB9">
        <w:rPr>
          <w:rFonts w:eastAsiaTheme="minorHAnsi"/>
          <w:lang w:eastAsia="en-US"/>
        </w:rPr>
        <w:t>CONSIDERANDOS</w:t>
      </w:r>
      <w:bookmarkEnd w:id="16"/>
    </w:p>
    <w:p w14:paraId="6DD1243B" w14:textId="77777777" w:rsidR="00664420" w:rsidRPr="002D5CB9" w:rsidRDefault="00664420" w:rsidP="002D5CB9">
      <w:pPr>
        <w:contextualSpacing/>
        <w:jc w:val="center"/>
        <w:rPr>
          <w:rFonts w:eastAsiaTheme="minorHAnsi" w:cs="Tahoma"/>
          <w:b/>
          <w:szCs w:val="22"/>
          <w:lang w:eastAsia="en-US"/>
        </w:rPr>
      </w:pPr>
    </w:p>
    <w:p w14:paraId="0B67CB92" w14:textId="2E307D3B" w:rsidR="00664420" w:rsidRPr="002D5CB9" w:rsidRDefault="00664420" w:rsidP="002D5CB9">
      <w:pPr>
        <w:pStyle w:val="Ttulo2"/>
        <w:rPr>
          <w:rFonts w:eastAsia="Batang"/>
        </w:rPr>
      </w:pPr>
      <w:bookmarkStart w:id="17" w:name="_Toc184229954"/>
      <w:r w:rsidRPr="002D5CB9">
        <w:rPr>
          <w:rFonts w:eastAsia="Batang"/>
        </w:rPr>
        <w:t xml:space="preserve">PRIMERO. </w:t>
      </w:r>
      <w:r w:rsidR="00BA55A8" w:rsidRPr="002D5CB9">
        <w:rPr>
          <w:rFonts w:eastAsia="Batang"/>
        </w:rPr>
        <w:t>Procedibilidad</w:t>
      </w:r>
      <w:bookmarkEnd w:id="17"/>
    </w:p>
    <w:p w14:paraId="39C52BC1" w14:textId="56FCC20D" w:rsidR="00BA55A8" w:rsidRPr="002D5CB9" w:rsidRDefault="00BA55A8" w:rsidP="002D5CB9">
      <w:pPr>
        <w:pStyle w:val="Ttulo3"/>
      </w:pPr>
      <w:bookmarkStart w:id="18" w:name="_Toc184229955"/>
      <w:r w:rsidRPr="002D5CB9">
        <w:t>a) Competencia</w:t>
      </w:r>
      <w:r w:rsidR="00150C49" w:rsidRPr="002D5CB9">
        <w:t xml:space="preserve"> del Instituto</w:t>
      </w:r>
      <w:bookmarkEnd w:id="18"/>
    </w:p>
    <w:p w14:paraId="56E64942" w14:textId="6572EDF7" w:rsidR="0011350D" w:rsidRPr="002D5CB9" w:rsidRDefault="0011350D" w:rsidP="002D5CB9">
      <w:pPr>
        <w:rPr>
          <w:rFonts w:cs="Arial"/>
        </w:rPr>
      </w:pPr>
      <w:r w:rsidRPr="002D5CB9">
        <w:t xml:space="preserve">Este Instituto de Transparencia, Acceso a la Información Pública y Protección de Datos Personales del Estado de México y Municipios es competente para conocer y resolver </w:t>
      </w:r>
      <w:r w:rsidR="005F65B7" w:rsidRPr="002D5CB9">
        <w:t xml:space="preserve">el </w:t>
      </w:r>
      <w:r w:rsidRPr="002D5CB9">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D5CB9">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2D5CB9" w:rsidRDefault="00DB1C09" w:rsidP="002D5CB9">
      <w:pPr>
        <w:rPr>
          <w:rFonts w:cs="Arial"/>
        </w:rPr>
      </w:pPr>
    </w:p>
    <w:p w14:paraId="517A2DD6" w14:textId="4169BE4D" w:rsidR="00664420" w:rsidRPr="002D5CB9" w:rsidRDefault="00BA55A8" w:rsidP="002D5CB9">
      <w:pPr>
        <w:pStyle w:val="Ttulo3"/>
      </w:pPr>
      <w:bookmarkStart w:id="19" w:name="_Toc184229956"/>
      <w:r w:rsidRPr="002D5CB9">
        <w:t>b)</w:t>
      </w:r>
      <w:r w:rsidR="00664420" w:rsidRPr="002D5CB9">
        <w:t xml:space="preserve"> </w:t>
      </w:r>
      <w:r w:rsidR="00D91CB4" w:rsidRPr="002D5CB9">
        <w:t>Legitimidad</w:t>
      </w:r>
      <w:r w:rsidRPr="002D5CB9">
        <w:t xml:space="preserve"> de la parte recurrente</w:t>
      </w:r>
      <w:bookmarkEnd w:id="19"/>
    </w:p>
    <w:p w14:paraId="26FEA382" w14:textId="0B06695C" w:rsidR="00D91CB4" w:rsidRPr="002D5CB9" w:rsidRDefault="00D91CB4" w:rsidP="002D5CB9">
      <w:pPr>
        <w:rPr>
          <w:rFonts w:cs="Arial"/>
          <w:bCs/>
        </w:rPr>
      </w:pPr>
      <w:r w:rsidRPr="002D5CB9">
        <w:rPr>
          <w:rFonts w:cs="Arial"/>
          <w:bCs/>
        </w:rPr>
        <w:t>El recurso de revisión fue interpuesto por parte legítima, ya que se presentó por la misma persona que formuló la solicitud de acceso a la Información Pública,</w:t>
      </w:r>
      <w:r w:rsidRPr="002D5CB9">
        <w:rPr>
          <w:rFonts w:cs="Arial"/>
          <w:b/>
          <w:bCs/>
        </w:rPr>
        <w:t xml:space="preserve"> </w:t>
      </w:r>
      <w:r w:rsidRPr="002D5CB9">
        <w:rPr>
          <w:rFonts w:cs="Arial"/>
        </w:rPr>
        <w:t>debido a que los datos de acceso</w:t>
      </w:r>
      <w:r w:rsidRPr="002D5CB9">
        <w:rPr>
          <w:rFonts w:cs="Arial"/>
          <w:b/>
          <w:bCs/>
        </w:rPr>
        <w:t xml:space="preserve"> </w:t>
      </w:r>
      <w:r w:rsidRPr="002D5CB9">
        <w:rPr>
          <w:rFonts w:cs="Arial"/>
          <w:b/>
        </w:rPr>
        <w:t>SAIMEX</w:t>
      </w:r>
      <w:r w:rsidRPr="002D5CB9">
        <w:rPr>
          <w:rFonts w:eastAsia="Calibri" w:cs="Arial"/>
          <w:lang w:eastAsia="en-US"/>
        </w:rPr>
        <w:t xml:space="preserve"> son personales e irrepetibles.</w:t>
      </w:r>
    </w:p>
    <w:p w14:paraId="2C367810" w14:textId="77777777" w:rsidR="00D91CB4" w:rsidRPr="002D5CB9" w:rsidRDefault="00D91CB4" w:rsidP="002D5CB9"/>
    <w:p w14:paraId="496490FC" w14:textId="1A5F3FDB" w:rsidR="00D91CB4" w:rsidRPr="002D5CB9" w:rsidRDefault="00BA55A8" w:rsidP="002D5CB9">
      <w:pPr>
        <w:pStyle w:val="Ttulo3"/>
        <w:rPr>
          <w:rFonts w:eastAsia="Calibri"/>
          <w:lang w:eastAsia="es-ES_tradnl"/>
        </w:rPr>
      </w:pPr>
      <w:bookmarkStart w:id="20" w:name="_Toc184229957"/>
      <w:r w:rsidRPr="002D5CB9">
        <w:rPr>
          <w:rFonts w:eastAsia="Calibri"/>
          <w:lang w:eastAsia="es-ES_tradnl"/>
        </w:rPr>
        <w:lastRenderedPageBreak/>
        <w:t>c)</w:t>
      </w:r>
      <w:r w:rsidR="00664420" w:rsidRPr="002D5CB9">
        <w:rPr>
          <w:rFonts w:eastAsia="Calibri"/>
          <w:lang w:eastAsia="es-ES_tradnl"/>
        </w:rPr>
        <w:t xml:space="preserve"> </w:t>
      </w:r>
      <w:r w:rsidR="00D91CB4" w:rsidRPr="002D5CB9">
        <w:rPr>
          <w:rFonts w:eastAsia="Calibri"/>
          <w:lang w:eastAsia="es-ES_tradnl"/>
        </w:rPr>
        <w:t>Plazo para interponer el recurso</w:t>
      </w:r>
      <w:bookmarkEnd w:id="20"/>
    </w:p>
    <w:p w14:paraId="106D37EE" w14:textId="1105512E" w:rsidR="00D91CB4" w:rsidRPr="002D5CB9" w:rsidRDefault="00D91CB4" w:rsidP="002D5CB9">
      <w:pPr>
        <w:rPr>
          <w:rFonts w:eastAsiaTheme="minorEastAsia" w:cs="Arial"/>
          <w:lang w:val="es-ES_tradnl"/>
        </w:rPr>
      </w:pPr>
      <w:r w:rsidRPr="002D5CB9">
        <w:rPr>
          <w:rFonts w:cs="Arial"/>
          <w:b/>
        </w:rPr>
        <w:t>EL SUJETO OBLIGADO</w:t>
      </w:r>
      <w:r w:rsidRPr="002D5CB9">
        <w:rPr>
          <w:rFonts w:cs="Arial"/>
        </w:rPr>
        <w:t xml:space="preserve"> notificó la respuesta a la solicitud de acceso a la Información Pública el </w:t>
      </w:r>
      <w:r w:rsidR="0056254E" w:rsidRPr="002D5CB9">
        <w:rPr>
          <w:rFonts w:eastAsia="Palatino Linotype" w:cs="Palatino Linotype"/>
          <w:b/>
        </w:rPr>
        <w:t>dieciséis de octubre de dos mil veinticuatro</w:t>
      </w:r>
      <w:r w:rsidRPr="002D5CB9">
        <w:rPr>
          <w:rFonts w:cs="Arial"/>
        </w:rPr>
        <w:t xml:space="preserve"> </w:t>
      </w:r>
      <w:r w:rsidR="00A53315" w:rsidRPr="002D5CB9">
        <w:rPr>
          <w:rFonts w:cs="Arial"/>
        </w:rPr>
        <w:t xml:space="preserve">y el recurso </w:t>
      </w:r>
      <w:r w:rsidR="00A53315" w:rsidRPr="002D5CB9">
        <w:rPr>
          <w:rFonts w:eastAsia="Palatino Linotype" w:cs="Palatino Linotype"/>
        </w:rPr>
        <w:t>que nos ocupa se interpuso el</w:t>
      </w:r>
      <w:r w:rsidR="0056254E" w:rsidRPr="002D5CB9">
        <w:rPr>
          <w:rFonts w:eastAsia="Palatino Linotype" w:cs="Palatino Linotype"/>
        </w:rPr>
        <w:t xml:space="preserve"> </w:t>
      </w:r>
      <w:r w:rsidR="0056254E" w:rsidRPr="002D5CB9">
        <w:rPr>
          <w:rFonts w:eastAsia="Palatino Linotype" w:cs="Palatino Linotype"/>
          <w:b/>
        </w:rPr>
        <w:t>cinco de noviembre de dos mil veinticuatro</w:t>
      </w:r>
      <w:r w:rsidR="00A53315" w:rsidRPr="002D5CB9">
        <w:rPr>
          <w:rFonts w:eastAsia="Palatino Linotype" w:cs="Palatino Linotype"/>
          <w:bCs/>
        </w:rPr>
        <w:t>;</w:t>
      </w:r>
      <w:r w:rsidR="00A53315" w:rsidRPr="002D5CB9">
        <w:rPr>
          <w:rFonts w:eastAsia="Palatino Linotype" w:cs="Palatino Linotype"/>
        </w:rPr>
        <w:t xml:space="preserve"> por lo tanto, éste se encuentra dentro del margen temporal previsto en el artículo 178 de la </w:t>
      </w:r>
      <w:r w:rsidR="00A53315" w:rsidRPr="002D5CB9">
        <w:rPr>
          <w:rFonts w:cs="Arial"/>
        </w:rPr>
        <w:t>Ley de Transparencia y Acceso a la Información Pública del Estado de México y Municipios</w:t>
      </w:r>
      <w:r w:rsidR="00163D12" w:rsidRPr="002D5CB9">
        <w:rPr>
          <w:rFonts w:cs="Arial"/>
        </w:rPr>
        <w:t>.</w:t>
      </w:r>
    </w:p>
    <w:p w14:paraId="49076992" w14:textId="77777777" w:rsidR="00D91CB4" w:rsidRPr="002D5CB9" w:rsidRDefault="00D91CB4" w:rsidP="002D5CB9">
      <w:pPr>
        <w:rPr>
          <w:rFonts w:eastAsia="Palatino Linotype" w:cs="Palatino Linotype"/>
        </w:rPr>
      </w:pPr>
    </w:p>
    <w:p w14:paraId="46C0EB3A" w14:textId="15F1A919" w:rsidR="00A53315" w:rsidRPr="002D5CB9" w:rsidRDefault="00BA55A8" w:rsidP="002D5CB9">
      <w:pPr>
        <w:pStyle w:val="Ttulo3"/>
        <w:rPr>
          <w:rFonts w:eastAsia="Calibri"/>
          <w:lang w:eastAsia="es-ES_tradnl"/>
        </w:rPr>
      </w:pPr>
      <w:bookmarkStart w:id="21" w:name="_Toc184229958"/>
      <w:r w:rsidRPr="002D5CB9">
        <w:rPr>
          <w:rFonts w:eastAsia="Calibri"/>
          <w:lang w:eastAsia="es-ES_tradnl"/>
        </w:rPr>
        <w:t>d)</w:t>
      </w:r>
      <w:r w:rsidR="00D91CB4" w:rsidRPr="002D5CB9">
        <w:rPr>
          <w:rFonts w:eastAsia="Calibri"/>
          <w:lang w:eastAsia="es-ES_tradnl"/>
        </w:rPr>
        <w:t xml:space="preserve"> </w:t>
      </w:r>
      <w:r w:rsidR="009A0277" w:rsidRPr="002D5CB9">
        <w:rPr>
          <w:rFonts w:eastAsia="Calibri"/>
          <w:lang w:eastAsia="es-ES_tradnl"/>
        </w:rPr>
        <w:t>Causal de Procedencia</w:t>
      </w:r>
      <w:bookmarkEnd w:id="21"/>
    </w:p>
    <w:p w14:paraId="190404A6" w14:textId="3CF85EB0" w:rsidR="00BA55A8" w:rsidRPr="002D5CB9" w:rsidRDefault="00BA55A8" w:rsidP="002D5CB9">
      <w:r w:rsidRPr="002D5CB9">
        <w:rPr>
          <w:rFonts w:cs="Arial"/>
        </w:rPr>
        <w:t xml:space="preserve">Resulta procedente la interposición del recurso de revisión, ya que </w:t>
      </w:r>
      <w:r w:rsidRPr="002D5CB9">
        <w:rPr>
          <w:rFonts w:eastAsia="Calibri" w:cs="Tahoma"/>
          <w:szCs w:val="22"/>
          <w:lang w:eastAsia="es-MX"/>
        </w:rPr>
        <w:t xml:space="preserve">se actualiza la causal de procedencia señalada en el artículo 179, fracción </w:t>
      </w:r>
      <w:r w:rsidR="0056254E" w:rsidRPr="002D5CB9">
        <w:rPr>
          <w:rFonts w:eastAsia="Calibri" w:cs="Tahoma"/>
          <w:szCs w:val="22"/>
          <w:lang w:eastAsia="es-MX"/>
        </w:rPr>
        <w:t>I</w:t>
      </w:r>
      <w:r w:rsidRPr="002D5CB9">
        <w:rPr>
          <w:rFonts w:cs="Arial"/>
        </w:rPr>
        <w:t xml:space="preserve"> de la </w:t>
      </w:r>
      <w:r w:rsidRPr="002D5CB9">
        <w:t>Ley de Transparencia y Acceso a la Información Pública del Estado de México y Municipios.</w:t>
      </w:r>
    </w:p>
    <w:p w14:paraId="0EFF7141" w14:textId="77777777" w:rsidR="00362A11" w:rsidRPr="002D5CB9" w:rsidRDefault="00362A11" w:rsidP="002D5CB9"/>
    <w:p w14:paraId="2284D7EB" w14:textId="3EE1D036" w:rsidR="00BA55A8" w:rsidRPr="002D5CB9" w:rsidRDefault="00362A11" w:rsidP="002D5CB9">
      <w:pPr>
        <w:pStyle w:val="Ttulo3"/>
      </w:pPr>
      <w:bookmarkStart w:id="22" w:name="_Toc184229959"/>
      <w:r w:rsidRPr="002D5CB9">
        <w:t>e) Requisitos formales para la interposición del recurso</w:t>
      </w:r>
      <w:bookmarkEnd w:id="22"/>
    </w:p>
    <w:p w14:paraId="6390674A" w14:textId="78A894DD" w:rsidR="00BA55A8" w:rsidRPr="002D5CB9" w:rsidRDefault="00BA55A8" w:rsidP="002D5CB9">
      <w:pPr>
        <w:rPr>
          <w:rFonts w:cs="Arial"/>
        </w:rPr>
      </w:pPr>
      <w:r w:rsidRPr="002D5CB9">
        <w:rPr>
          <w:rFonts w:cs="Arial"/>
          <w:b/>
          <w:bCs/>
        </w:rPr>
        <w:t xml:space="preserve">LA PARTE RECURRENTE </w:t>
      </w:r>
      <w:r w:rsidRPr="002D5CB9">
        <w:rPr>
          <w:rFonts w:cs="Arial"/>
        </w:rPr>
        <w:t>acreditó todos y cada uno de los elementos formales exigidos por el artículo 180 de la misma normatividad.</w:t>
      </w:r>
    </w:p>
    <w:p w14:paraId="20BDA7EE" w14:textId="77777777" w:rsidR="005F5301" w:rsidRPr="002D5CB9" w:rsidRDefault="005F5301" w:rsidP="002D5CB9">
      <w:pPr>
        <w:rPr>
          <w:rFonts w:cs="Arial"/>
        </w:rPr>
      </w:pPr>
    </w:p>
    <w:p w14:paraId="1E5C9B96" w14:textId="77777777" w:rsidR="005F5301" w:rsidRPr="002D5CB9" w:rsidRDefault="005F5301" w:rsidP="002D5CB9">
      <w:pPr>
        <w:rPr>
          <w:rFonts w:cs="Arial"/>
          <w:lang w:val="es-ES"/>
        </w:rPr>
      </w:pPr>
      <w:r w:rsidRPr="002D5CB9">
        <w:rPr>
          <w:lang w:val="es-ES"/>
        </w:rPr>
        <w:t xml:space="preserve">Es importante mencionar que, de la revisión del expediente electrónico del </w:t>
      </w:r>
      <w:r w:rsidRPr="002D5CB9">
        <w:rPr>
          <w:b/>
          <w:bCs/>
          <w:lang w:val="es-ES"/>
        </w:rPr>
        <w:t>SAIMEX</w:t>
      </w:r>
      <w:r w:rsidRPr="002D5CB9">
        <w:rPr>
          <w:bCs/>
          <w:lang w:val="es-ES"/>
        </w:rPr>
        <w:t>,</w:t>
      </w:r>
      <w:r w:rsidRPr="002D5CB9">
        <w:rPr>
          <w:lang w:val="es-ES"/>
        </w:rPr>
        <w:t xml:space="preserve"> se observa que </w:t>
      </w:r>
      <w:r w:rsidRPr="002D5CB9">
        <w:rPr>
          <w:b/>
          <w:bCs/>
          <w:lang w:val="es-ES"/>
        </w:rPr>
        <w:t>LA PARTE RECURRENTE</w:t>
      </w:r>
      <w:r w:rsidRPr="002D5CB9">
        <w:rPr>
          <w:lang w:val="es-ES"/>
        </w:rPr>
        <w:t xml:space="preserve"> no proporcionó su nombre para ser identificado, lo que en estricto sentido provoca que </w:t>
      </w:r>
      <w:r w:rsidRPr="002D5CB9">
        <w:rPr>
          <w:rFonts w:cs="Arial"/>
          <w:lang w:val="es-ES"/>
        </w:rPr>
        <w:t>no</w:t>
      </w:r>
      <w:r w:rsidRPr="002D5CB9">
        <w:rPr>
          <w:lang w:val="es-ES"/>
        </w:rPr>
        <w:t xml:space="preserve"> se colmen los requisitos establecidos en el artículo 180 de la Ley de Transparencia; sin embargo, el artículo 15 de </w:t>
      </w:r>
      <w:r w:rsidRPr="002D5CB9">
        <w:rPr>
          <w:rFonts w:cs="Arial"/>
          <w:lang w:val="es-ES" w:eastAsia="es-MX"/>
        </w:rPr>
        <w:t xml:space="preserve">Ley de Transparencia y Acceso a la </w:t>
      </w:r>
      <w:r w:rsidRPr="002D5CB9">
        <w:rPr>
          <w:rFonts w:cs="Arial"/>
          <w:lang w:val="es-ES"/>
        </w:rPr>
        <w:t>Información</w:t>
      </w:r>
      <w:r w:rsidRPr="002D5CB9">
        <w:rPr>
          <w:rFonts w:cs="Arial"/>
          <w:lang w:val="es-ES" w:eastAsia="es-MX"/>
        </w:rPr>
        <w:t xml:space="preserve"> Pública del Estado de México y Municipios </w:t>
      </w:r>
      <w:r w:rsidRPr="002D5CB9">
        <w:rPr>
          <w:rFonts w:cs="Arial"/>
          <w:iCs/>
          <w:lang w:val="es-ES"/>
        </w:rPr>
        <w:t xml:space="preserve">prevé que </w:t>
      </w:r>
      <w:r w:rsidRPr="002D5CB9">
        <w:rPr>
          <w:lang w:val="es-ES"/>
        </w:rPr>
        <w:t xml:space="preserve">toda persona tendrá acceso a la información </w:t>
      </w:r>
      <w:r w:rsidRPr="002D5CB9">
        <w:rPr>
          <w:rFonts w:cs="Arial"/>
          <w:lang w:val="es-ES"/>
        </w:rPr>
        <w:t xml:space="preserve">sin necesidad de acreditar interés alguno o justificar su utilización, de lo que se infiere que </w:t>
      </w:r>
      <w:r w:rsidRPr="002D5CB9">
        <w:rPr>
          <w:rFonts w:cs="Arial"/>
          <w:b/>
          <w:u w:val="single"/>
          <w:lang w:val="es-ES"/>
        </w:rPr>
        <w:t xml:space="preserve">el nombre no es un requisito </w:t>
      </w:r>
      <w:r w:rsidRPr="002D5CB9">
        <w:rPr>
          <w:rFonts w:cs="Arial"/>
          <w:b/>
          <w:iCs/>
          <w:u w:val="single"/>
          <w:lang w:val="es-ES"/>
        </w:rPr>
        <w:t>indispensable</w:t>
      </w:r>
      <w:r w:rsidRPr="002D5CB9">
        <w:rPr>
          <w:rFonts w:cs="Arial"/>
          <w:lang w:val="es-ES"/>
        </w:rPr>
        <w:t xml:space="preserve"> para que las y los ciudadanos ejerzan el derecho de acceso a la información pública. </w:t>
      </w:r>
    </w:p>
    <w:p w14:paraId="0DBCFA60" w14:textId="77777777" w:rsidR="005F5301" w:rsidRPr="002D5CB9" w:rsidRDefault="005F5301" w:rsidP="002D5CB9">
      <w:pPr>
        <w:rPr>
          <w:rFonts w:cs="Arial"/>
          <w:lang w:val="es-ES"/>
        </w:rPr>
      </w:pPr>
    </w:p>
    <w:p w14:paraId="4B63C5CE" w14:textId="647DDEF6" w:rsidR="005F5301" w:rsidRPr="002D5CB9" w:rsidRDefault="005F5301" w:rsidP="002D5CB9">
      <w:pPr>
        <w:rPr>
          <w:lang w:val="es-ES"/>
        </w:rPr>
      </w:pPr>
      <w:r w:rsidRPr="002D5CB9">
        <w:rPr>
          <w:rFonts w:cs="Arial"/>
          <w:lang w:val="es-ES"/>
        </w:rPr>
        <w:lastRenderedPageBreak/>
        <w:t>Asimismo, la Ley de la materia prevé en su artículo 155, párrafo segundo la posibilidad de que las solicitudes de información sean anónimas, al utilizar un nombre incompleto o, inclusive un seudónimo.</w:t>
      </w:r>
      <w:r w:rsidR="00057B2D" w:rsidRPr="002D5CB9">
        <w:rPr>
          <w:lang w:val="es-ES"/>
        </w:rPr>
        <w:t xml:space="preserve"> </w:t>
      </w:r>
      <w:r w:rsidRPr="002D5CB9">
        <w:rPr>
          <w:lang w:val="es-ES"/>
        </w:rPr>
        <w:t xml:space="preserve">En adición a lo anterior, el propio artículo 180, en su último párrafo, establece que cuando el recurso de revisión se interponga de manera electrónica no será indispensable que contenga </w:t>
      </w:r>
      <w:r w:rsidR="00057B2D" w:rsidRPr="002D5CB9">
        <w:rPr>
          <w:lang w:val="es-ES"/>
        </w:rPr>
        <w:t>algunos</w:t>
      </w:r>
      <w:r w:rsidRPr="002D5CB9">
        <w:rPr>
          <w:lang w:val="es-ES"/>
        </w:rPr>
        <w:t xml:space="preserve"> requisitos, entre ellos, el nombre de</w:t>
      </w:r>
      <w:r w:rsidR="00057B2D" w:rsidRPr="002D5CB9">
        <w:rPr>
          <w:lang w:val="es-ES"/>
        </w:rPr>
        <w:t xml:space="preserve"> </w:t>
      </w:r>
      <w:r w:rsidR="00057B2D" w:rsidRPr="002D5CB9">
        <w:rPr>
          <w:b/>
          <w:bCs/>
          <w:lang w:val="es-ES"/>
        </w:rPr>
        <w:t>LA PARTE RECURRENTE</w:t>
      </w:r>
      <w:r w:rsidRPr="002D5CB9">
        <w:rPr>
          <w:rFonts w:cs="Arial"/>
          <w:b/>
          <w:lang w:val="es-ES"/>
        </w:rPr>
        <w:t>;</w:t>
      </w:r>
      <w:r w:rsidRPr="002D5CB9">
        <w:rPr>
          <w:lang w:val="es-ES"/>
        </w:rPr>
        <w:t xml:space="preserve"> por lo que, en el presente caso, al haber sido presentado el recurso de revisión vía </w:t>
      </w:r>
      <w:r w:rsidRPr="002D5CB9">
        <w:rPr>
          <w:bCs/>
          <w:lang w:val="es-ES"/>
        </w:rPr>
        <w:t>SAIMEX</w:t>
      </w:r>
      <w:r w:rsidRPr="002D5CB9">
        <w:rPr>
          <w:lang w:val="es-ES"/>
        </w:rPr>
        <w:t>, dicho requisito resulta innecesario.</w:t>
      </w:r>
    </w:p>
    <w:p w14:paraId="3A121826" w14:textId="77777777" w:rsidR="00C461EC" w:rsidRPr="002D5CB9" w:rsidRDefault="00C461EC" w:rsidP="002D5CB9">
      <w:pPr>
        <w:ind w:left="-57"/>
        <w:rPr>
          <w:bCs/>
          <w:lang w:val="es-ES_tradnl"/>
        </w:rPr>
      </w:pPr>
    </w:p>
    <w:p w14:paraId="457548E9" w14:textId="3F7AF03B" w:rsidR="00C71CEF" w:rsidRPr="002D5CB9" w:rsidRDefault="00C71CEF" w:rsidP="002D5CB9">
      <w:pPr>
        <w:pStyle w:val="Ttulo2"/>
      </w:pPr>
      <w:bookmarkStart w:id="23" w:name="_Toc184229960"/>
      <w:r w:rsidRPr="002D5CB9">
        <w:t>SEGUNDO. Estudio de Fondo</w:t>
      </w:r>
      <w:bookmarkEnd w:id="23"/>
    </w:p>
    <w:p w14:paraId="2A308F59" w14:textId="0FF373F0" w:rsidR="00C049E2" w:rsidRPr="002D5CB9" w:rsidRDefault="00C71CEF" w:rsidP="002D5CB9">
      <w:pPr>
        <w:pStyle w:val="Ttulo3"/>
      </w:pPr>
      <w:bookmarkStart w:id="24" w:name="_Toc184229961"/>
      <w:r w:rsidRPr="002D5CB9">
        <w:t>a</w:t>
      </w:r>
      <w:r w:rsidR="00C049E2" w:rsidRPr="002D5CB9">
        <w:t>) Mandato de transparencia y responsabilidad del Sujeto Obligado</w:t>
      </w:r>
      <w:bookmarkEnd w:id="24"/>
    </w:p>
    <w:p w14:paraId="6901A889" w14:textId="59EEDAE1" w:rsidR="00C049E2" w:rsidRPr="002D5CB9" w:rsidRDefault="00C049E2" w:rsidP="002D5CB9">
      <w:pPr>
        <w:rPr>
          <w:rFonts w:eastAsia="Palatino Linotype"/>
        </w:rPr>
      </w:pPr>
      <w:r w:rsidRPr="002D5CB9">
        <w:rPr>
          <w:rFonts w:eastAsia="Palatino Linotype"/>
        </w:rPr>
        <w:t xml:space="preserve">El </w:t>
      </w:r>
      <w:r w:rsidR="00717E59" w:rsidRPr="002D5CB9">
        <w:rPr>
          <w:rFonts w:eastAsia="Palatino Linotype"/>
        </w:rPr>
        <w:t>d</w:t>
      </w:r>
      <w:r w:rsidRPr="002D5CB9">
        <w:rPr>
          <w:rFonts w:eastAsia="Palatino Linotype"/>
        </w:rPr>
        <w:t xml:space="preserve">erecho de </w:t>
      </w:r>
      <w:r w:rsidR="00717E59" w:rsidRPr="002D5CB9">
        <w:rPr>
          <w:rFonts w:eastAsia="Palatino Linotype"/>
        </w:rPr>
        <w:t>a</w:t>
      </w:r>
      <w:r w:rsidRPr="002D5CB9">
        <w:rPr>
          <w:rFonts w:eastAsia="Palatino Linotype"/>
        </w:rPr>
        <w:t xml:space="preserve">cceso a la </w:t>
      </w:r>
      <w:r w:rsidR="00717E59" w:rsidRPr="002D5CB9">
        <w:rPr>
          <w:rFonts w:eastAsia="Palatino Linotype"/>
        </w:rPr>
        <w:t>i</w:t>
      </w:r>
      <w:r w:rsidRPr="002D5CB9">
        <w:rPr>
          <w:rFonts w:eastAsia="Palatino Linotype"/>
        </w:rPr>
        <w:t xml:space="preserve">nformación </w:t>
      </w:r>
      <w:r w:rsidR="00717E59" w:rsidRPr="002D5CB9">
        <w:rPr>
          <w:rFonts w:eastAsia="Palatino Linotype"/>
        </w:rPr>
        <w:t>p</w:t>
      </w:r>
      <w:r w:rsidRPr="002D5CB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D5CB9">
        <w:rPr>
          <w:rFonts w:eastAsia="Palatino Linotype"/>
        </w:rPr>
        <w:t>:</w:t>
      </w:r>
    </w:p>
    <w:p w14:paraId="7FAB8D32" w14:textId="77777777" w:rsidR="00C049E2" w:rsidRPr="002D5CB9" w:rsidRDefault="00C049E2" w:rsidP="002D5CB9">
      <w:pPr>
        <w:rPr>
          <w:rFonts w:eastAsia="Palatino Linotype"/>
        </w:rPr>
      </w:pPr>
    </w:p>
    <w:p w14:paraId="05320813" w14:textId="77777777" w:rsidR="00C049E2" w:rsidRPr="002D5CB9" w:rsidRDefault="00C049E2" w:rsidP="002D5CB9">
      <w:pPr>
        <w:spacing w:line="240" w:lineRule="auto"/>
        <w:ind w:left="567" w:right="539"/>
        <w:rPr>
          <w:rFonts w:eastAsia="Palatino Linotype"/>
          <w:b/>
          <w:i/>
        </w:rPr>
      </w:pPr>
      <w:r w:rsidRPr="002D5CB9">
        <w:rPr>
          <w:rFonts w:eastAsia="Palatino Linotype"/>
          <w:b/>
          <w:i/>
        </w:rPr>
        <w:t>Constitución Política de los Estados Unidos Mexicanos</w:t>
      </w:r>
    </w:p>
    <w:p w14:paraId="6B6C67B6" w14:textId="77777777" w:rsidR="00C049E2" w:rsidRPr="002D5CB9" w:rsidRDefault="00C049E2" w:rsidP="002D5CB9">
      <w:pPr>
        <w:spacing w:line="240" w:lineRule="auto"/>
        <w:ind w:left="567" w:right="539"/>
        <w:rPr>
          <w:rFonts w:eastAsia="Palatino Linotype"/>
          <w:b/>
          <w:i/>
        </w:rPr>
      </w:pPr>
      <w:r w:rsidRPr="002D5CB9">
        <w:rPr>
          <w:rFonts w:eastAsia="Palatino Linotype"/>
          <w:b/>
          <w:i/>
        </w:rPr>
        <w:t>“Artículo 6.</w:t>
      </w:r>
    </w:p>
    <w:p w14:paraId="38D3B4C4" w14:textId="77777777" w:rsidR="00C049E2" w:rsidRPr="002D5CB9" w:rsidRDefault="00C049E2" w:rsidP="002D5CB9">
      <w:pPr>
        <w:spacing w:line="240" w:lineRule="auto"/>
        <w:ind w:left="567" w:right="539"/>
        <w:rPr>
          <w:rFonts w:eastAsia="Palatino Linotype"/>
          <w:i/>
        </w:rPr>
      </w:pPr>
      <w:r w:rsidRPr="002D5CB9">
        <w:rPr>
          <w:rFonts w:eastAsia="Palatino Linotype"/>
          <w:i/>
        </w:rPr>
        <w:t>(…)</w:t>
      </w:r>
    </w:p>
    <w:p w14:paraId="2CCAA297" w14:textId="6602827B" w:rsidR="00C049E2" w:rsidRPr="002D5CB9" w:rsidRDefault="00C049E2" w:rsidP="002D5CB9">
      <w:pPr>
        <w:spacing w:line="240" w:lineRule="auto"/>
        <w:ind w:left="567" w:right="539"/>
        <w:rPr>
          <w:rFonts w:eastAsia="Palatino Linotype"/>
          <w:i/>
        </w:rPr>
      </w:pPr>
      <w:r w:rsidRPr="002D5CB9">
        <w:rPr>
          <w:rFonts w:eastAsia="Palatino Linotype"/>
          <w:i/>
        </w:rPr>
        <w:t>Para efectos de lo dispuesto en el presente artículo se observará lo siguiente:</w:t>
      </w:r>
    </w:p>
    <w:p w14:paraId="74CC3718" w14:textId="77777777" w:rsidR="00C049E2" w:rsidRPr="002D5CB9" w:rsidRDefault="00C049E2" w:rsidP="002D5CB9">
      <w:pPr>
        <w:spacing w:line="240" w:lineRule="auto"/>
        <w:ind w:left="567" w:right="539"/>
        <w:rPr>
          <w:rFonts w:eastAsia="Palatino Linotype"/>
          <w:b/>
          <w:i/>
        </w:rPr>
      </w:pPr>
      <w:r w:rsidRPr="002D5CB9">
        <w:rPr>
          <w:rFonts w:eastAsia="Palatino Linotype"/>
          <w:b/>
          <w:i/>
        </w:rPr>
        <w:t>A</w:t>
      </w:r>
      <w:r w:rsidRPr="002D5CB9">
        <w:rPr>
          <w:rFonts w:eastAsia="Palatino Linotype"/>
          <w:i/>
        </w:rPr>
        <w:t xml:space="preserve">. </w:t>
      </w:r>
      <w:r w:rsidRPr="002D5CB9">
        <w:rPr>
          <w:rFonts w:eastAsia="Palatino Linotype"/>
          <w:b/>
          <w:i/>
        </w:rPr>
        <w:t>Para el ejercicio del derecho de acceso a la información</w:t>
      </w:r>
      <w:r w:rsidRPr="002D5CB9">
        <w:rPr>
          <w:rFonts w:eastAsia="Palatino Linotype"/>
          <w:i/>
        </w:rPr>
        <w:t xml:space="preserve">, la Federación y </w:t>
      </w:r>
      <w:r w:rsidRPr="002D5CB9">
        <w:rPr>
          <w:rFonts w:eastAsia="Palatino Linotype"/>
          <w:b/>
          <w:i/>
        </w:rPr>
        <w:t>las entidades federativas, en el ámbito de sus respectivas competencias, se regirán por los siguientes principios y bases:</w:t>
      </w:r>
    </w:p>
    <w:p w14:paraId="596A956B" w14:textId="77777777" w:rsidR="00C049E2" w:rsidRPr="002D5CB9" w:rsidRDefault="00C049E2" w:rsidP="002D5CB9">
      <w:pPr>
        <w:spacing w:line="240" w:lineRule="auto"/>
        <w:ind w:left="567" w:right="539"/>
        <w:rPr>
          <w:rFonts w:eastAsia="Palatino Linotype"/>
          <w:i/>
        </w:rPr>
      </w:pPr>
      <w:r w:rsidRPr="002D5CB9">
        <w:rPr>
          <w:rFonts w:eastAsia="Palatino Linotype"/>
          <w:b/>
          <w:i/>
        </w:rPr>
        <w:t xml:space="preserve">I. </w:t>
      </w:r>
      <w:r w:rsidRPr="002D5CB9">
        <w:rPr>
          <w:rFonts w:eastAsia="Palatino Linotype"/>
          <w:b/>
          <w:i/>
        </w:rPr>
        <w:tab/>
        <w:t>Toda la información en posesión de cualquier</w:t>
      </w:r>
      <w:r w:rsidRPr="002D5CB9">
        <w:rPr>
          <w:rFonts w:eastAsia="Palatino Linotype"/>
          <w:i/>
        </w:rPr>
        <w:t xml:space="preserve"> </w:t>
      </w:r>
      <w:r w:rsidRPr="002D5CB9">
        <w:rPr>
          <w:rFonts w:eastAsia="Palatino Linotype"/>
          <w:b/>
          <w:i/>
        </w:rPr>
        <w:t>autoridad</w:t>
      </w:r>
      <w:r w:rsidRPr="002D5CB9">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D5CB9">
        <w:rPr>
          <w:rFonts w:eastAsia="Palatino Linotype"/>
          <w:b/>
          <w:i/>
        </w:rPr>
        <w:t>municipal</w:t>
      </w:r>
      <w:r w:rsidRPr="002D5CB9">
        <w:rPr>
          <w:rFonts w:eastAsia="Palatino Linotype"/>
          <w:i/>
        </w:rPr>
        <w:t xml:space="preserve">, </w:t>
      </w:r>
      <w:r w:rsidRPr="002D5CB9">
        <w:rPr>
          <w:rFonts w:eastAsia="Palatino Linotype"/>
          <w:b/>
          <w:i/>
        </w:rPr>
        <w:t>es pública</w:t>
      </w:r>
      <w:r w:rsidRPr="002D5CB9">
        <w:rPr>
          <w:rFonts w:eastAsia="Palatino Linotype"/>
          <w:i/>
        </w:rPr>
        <w:t xml:space="preserve"> y sólo podrá ser reservada temporalmente por razones de interés público y seguridad nacional, en los términos que fijen las leyes. </w:t>
      </w:r>
      <w:r w:rsidRPr="002D5CB9">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2D5CB9">
        <w:rPr>
          <w:rFonts w:eastAsia="Palatino Linotype"/>
          <w:i/>
        </w:rPr>
        <w:t>, la ley determinará los supuestos específicos bajo los cuales procederá la declaración de inexistencia de la información.”</w:t>
      </w:r>
    </w:p>
    <w:p w14:paraId="68F313E4" w14:textId="77777777" w:rsidR="00C049E2" w:rsidRPr="002D5CB9" w:rsidRDefault="00C049E2" w:rsidP="002D5CB9">
      <w:pPr>
        <w:spacing w:line="240" w:lineRule="auto"/>
        <w:ind w:left="567" w:right="539"/>
        <w:rPr>
          <w:rFonts w:eastAsia="Palatino Linotype"/>
          <w:b/>
          <w:i/>
        </w:rPr>
      </w:pPr>
    </w:p>
    <w:p w14:paraId="504F12DB" w14:textId="77777777" w:rsidR="00C049E2" w:rsidRPr="002D5CB9" w:rsidRDefault="00C049E2" w:rsidP="002D5CB9">
      <w:pPr>
        <w:spacing w:line="240" w:lineRule="auto"/>
        <w:ind w:left="567" w:right="539"/>
        <w:rPr>
          <w:rFonts w:eastAsia="Palatino Linotype"/>
          <w:b/>
          <w:i/>
        </w:rPr>
      </w:pPr>
      <w:r w:rsidRPr="002D5CB9">
        <w:rPr>
          <w:rFonts w:eastAsia="Palatino Linotype"/>
          <w:b/>
          <w:i/>
        </w:rPr>
        <w:t>Constitución Política del Estado Libre y Soberano de México</w:t>
      </w:r>
    </w:p>
    <w:p w14:paraId="04932D29" w14:textId="77777777" w:rsidR="00C049E2" w:rsidRPr="002D5CB9" w:rsidRDefault="00C049E2" w:rsidP="002D5CB9">
      <w:pPr>
        <w:spacing w:line="240" w:lineRule="auto"/>
        <w:ind w:left="567" w:right="539"/>
        <w:rPr>
          <w:rFonts w:eastAsia="Palatino Linotype"/>
          <w:i/>
        </w:rPr>
      </w:pPr>
      <w:r w:rsidRPr="002D5CB9">
        <w:rPr>
          <w:rFonts w:eastAsia="Palatino Linotype"/>
          <w:b/>
          <w:i/>
        </w:rPr>
        <w:t>“Artículo 5</w:t>
      </w:r>
      <w:r w:rsidRPr="002D5CB9">
        <w:rPr>
          <w:rFonts w:eastAsia="Palatino Linotype"/>
          <w:i/>
        </w:rPr>
        <w:t xml:space="preserve">.- </w:t>
      </w:r>
    </w:p>
    <w:p w14:paraId="1D3829F4" w14:textId="77777777" w:rsidR="00C049E2" w:rsidRPr="002D5CB9" w:rsidRDefault="00C049E2" w:rsidP="002D5CB9">
      <w:pPr>
        <w:spacing w:line="240" w:lineRule="auto"/>
        <w:ind w:left="567" w:right="539"/>
        <w:rPr>
          <w:rFonts w:eastAsia="Palatino Linotype"/>
          <w:i/>
        </w:rPr>
      </w:pPr>
      <w:r w:rsidRPr="002D5CB9">
        <w:rPr>
          <w:rFonts w:eastAsia="Palatino Linotype"/>
          <w:i/>
        </w:rPr>
        <w:t>(…)</w:t>
      </w:r>
    </w:p>
    <w:p w14:paraId="0EAE47FD" w14:textId="77777777" w:rsidR="00C049E2" w:rsidRPr="002D5CB9" w:rsidRDefault="00C049E2" w:rsidP="002D5CB9">
      <w:pPr>
        <w:spacing w:line="240" w:lineRule="auto"/>
        <w:ind w:left="567" w:right="539"/>
        <w:rPr>
          <w:rFonts w:eastAsia="Palatino Linotype"/>
          <w:i/>
        </w:rPr>
      </w:pPr>
      <w:r w:rsidRPr="002D5CB9">
        <w:rPr>
          <w:rFonts w:eastAsia="Palatino Linotype"/>
          <w:b/>
          <w:i/>
        </w:rPr>
        <w:t>El derecho a la información será garantizado por el Estado. La ley establecerá las previsiones que permitan asegurar la protección, el respeto y la difusión de este derecho</w:t>
      </w:r>
      <w:r w:rsidRPr="002D5CB9">
        <w:rPr>
          <w:rFonts w:eastAsia="Palatino Linotype"/>
          <w:i/>
        </w:rPr>
        <w:t>.</w:t>
      </w:r>
    </w:p>
    <w:p w14:paraId="4F0C804A" w14:textId="77777777" w:rsidR="00C049E2" w:rsidRPr="002D5CB9" w:rsidRDefault="00C049E2" w:rsidP="002D5CB9">
      <w:pPr>
        <w:spacing w:line="240" w:lineRule="auto"/>
        <w:ind w:left="567" w:right="539"/>
        <w:rPr>
          <w:rFonts w:eastAsia="Palatino Linotype"/>
          <w:i/>
        </w:rPr>
      </w:pPr>
      <w:r w:rsidRPr="002D5CB9">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D5CB9" w:rsidRDefault="00C049E2" w:rsidP="002D5CB9">
      <w:pPr>
        <w:spacing w:line="240" w:lineRule="auto"/>
        <w:ind w:left="567" w:right="539"/>
        <w:rPr>
          <w:rFonts w:eastAsia="Palatino Linotype"/>
          <w:i/>
        </w:rPr>
      </w:pPr>
      <w:r w:rsidRPr="002D5CB9">
        <w:rPr>
          <w:rFonts w:eastAsia="Palatino Linotype"/>
          <w:b/>
          <w:i/>
        </w:rPr>
        <w:t>Este derecho se regirá por los principios y bases siguientes</w:t>
      </w:r>
      <w:r w:rsidRPr="002D5CB9">
        <w:rPr>
          <w:rFonts w:eastAsia="Palatino Linotype"/>
          <w:i/>
        </w:rPr>
        <w:t>:</w:t>
      </w:r>
    </w:p>
    <w:p w14:paraId="4A3E8CBA" w14:textId="77777777" w:rsidR="00C049E2" w:rsidRPr="002D5CB9" w:rsidRDefault="00C049E2" w:rsidP="002D5CB9">
      <w:pPr>
        <w:spacing w:line="240" w:lineRule="auto"/>
        <w:ind w:left="567" w:right="539"/>
        <w:rPr>
          <w:rFonts w:eastAsia="Palatino Linotype"/>
          <w:i/>
        </w:rPr>
      </w:pPr>
      <w:r w:rsidRPr="002D5CB9">
        <w:rPr>
          <w:rFonts w:eastAsia="Palatino Linotype"/>
          <w:b/>
          <w:i/>
        </w:rPr>
        <w:t>I. Toda la información en posesión de cualquier autoridad, entidad, órgano y organismos de los</w:t>
      </w:r>
      <w:r w:rsidRPr="002D5CB9">
        <w:rPr>
          <w:rFonts w:eastAsia="Palatino Linotype"/>
          <w:i/>
        </w:rPr>
        <w:t xml:space="preserve"> Poderes Ejecutivo, Legislativo y Judicial, órganos autónomos, partidos políticos, fideicomisos y fondos públicos estatales y </w:t>
      </w:r>
      <w:r w:rsidRPr="002D5CB9">
        <w:rPr>
          <w:rFonts w:eastAsia="Palatino Linotype"/>
          <w:b/>
          <w:i/>
        </w:rPr>
        <w:t>municipales</w:t>
      </w:r>
      <w:r w:rsidRPr="002D5CB9">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D5CB9">
        <w:rPr>
          <w:rFonts w:eastAsia="Palatino Linotype"/>
          <w:b/>
          <w:i/>
        </w:rPr>
        <w:t>es pública</w:t>
      </w:r>
      <w:r w:rsidRPr="002D5CB9">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2D5CB9">
        <w:rPr>
          <w:rFonts w:eastAsia="Palatino Linotype"/>
          <w:b/>
          <w:i/>
        </w:rPr>
        <w:t>En la interpretación de este derecho deberá prevalecer el principio de máxima publicidad</w:t>
      </w:r>
      <w:r w:rsidRPr="002D5CB9">
        <w:rPr>
          <w:rFonts w:eastAsia="Palatino Linotype"/>
          <w:i/>
        </w:rPr>
        <w:t xml:space="preserve">. </w:t>
      </w:r>
      <w:r w:rsidRPr="002D5CB9">
        <w:rPr>
          <w:rFonts w:eastAsia="Palatino Linotype"/>
          <w:b/>
          <w:i/>
        </w:rPr>
        <w:t>Los sujetos obligados deberán documentar todo acto que derive del ejercicio de sus facultades, competencias o funciones</w:t>
      </w:r>
      <w:r w:rsidRPr="002D5CB9">
        <w:rPr>
          <w:rFonts w:eastAsia="Palatino Linotype"/>
          <w:i/>
        </w:rPr>
        <w:t>, la ley determinará los supuestos específicos bajo los cuales procederá la declaración de inexistencia de la información.”</w:t>
      </w:r>
    </w:p>
    <w:p w14:paraId="5CA98E37" w14:textId="77777777" w:rsidR="00C049E2" w:rsidRPr="002D5CB9" w:rsidRDefault="00C049E2" w:rsidP="002D5CB9">
      <w:pPr>
        <w:rPr>
          <w:rFonts w:eastAsia="Palatino Linotype"/>
          <w:b/>
          <w:i/>
        </w:rPr>
      </w:pPr>
    </w:p>
    <w:p w14:paraId="6FC1BB3B" w14:textId="3BF4A33D" w:rsidR="00C049E2" w:rsidRPr="002D5CB9" w:rsidRDefault="00717E59" w:rsidP="002D5CB9">
      <w:pPr>
        <w:rPr>
          <w:rFonts w:eastAsia="Palatino Linotype"/>
          <w:i/>
        </w:rPr>
      </w:pPr>
      <w:r w:rsidRPr="002D5CB9">
        <w:rPr>
          <w:rFonts w:eastAsia="Palatino Linotype"/>
        </w:rPr>
        <w:t xml:space="preserve">Asimismo, </w:t>
      </w:r>
      <w:r w:rsidR="00C049E2" w:rsidRPr="002D5CB9">
        <w:rPr>
          <w:rFonts w:eastAsia="Palatino Linotype"/>
        </w:rPr>
        <w:t>el artículo 150 de la Ley de Transparencia y Acceso a la Información Pública del Estado de México y Municipios</w:t>
      </w:r>
      <w:r w:rsidR="00057B2D" w:rsidRPr="002D5CB9">
        <w:rPr>
          <w:rFonts w:eastAsia="Palatino Linotype"/>
        </w:rPr>
        <w:t xml:space="preserve"> </w:t>
      </w:r>
      <w:r w:rsidR="00E9335C" w:rsidRPr="002D5CB9">
        <w:rPr>
          <w:rFonts w:eastAsia="Palatino Linotype"/>
        </w:rPr>
        <w:t xml:space="preserve">indica </w:t>
      </w:r>
      <w:r w:rsidR="00057B2D" w:rsidRPr="002D5CB9">
        <w:rPr>
          <w:rFonts w:eastAsia="Palatino Linotype"/>
        </w:rPr>
        <w:t>que</w:t>
      </w:r>
      <w:r w:rsidR="00C049E2" w:rsidRPr="002D5CB9">
        <w:rPr>
          <w:rFonts w:eastAsia="Palatino Linotype"/>
        </w:rPr>
        <w:t xml:space="preserve"> la solicitud es la garantía primaria del Derecho de Acceso a la Información, además, establece que se regirá </w:t>
      </w:r>
      <w:r w:rsidR="00C049E2" w:rsidRPr="002D5CB9">
        <w:rPr>
          <w:rFonts w:eastAsia="Palatino Linotype"/>
          <w:i/>
        </w:rPr>
        <w:t>por los principios de simplicidad, rapidez</w:t>
      </w:r>
      <w:r w:rsidR="005F65B7" w:rsidRPr="002D5CB9">
        <w:rPr>
          <w:rFonts w:eastAsia="Palatino Linotype"/>
          <w:i/>
        </w:rPr>
        <w:t>,</w:t>
      </w:r>
      <w:r w:rsidR="00C049E2" w:rsidRPr="002D5CB9">
        <w:rPr>
          <w:rFonts w:eastAsia="Palatino Linotype"/>
          <w:i/>
        </w:rPr>
        <w:t xml:space="preserve"> gratuidad del procedimiento, auxilio y orientación a los particulare</w:t>
      </w:r>
      <w:r w:rsidR="001A58B3" w:rsidRPr="002D5CB9">
        <w:rPr>
          <w:rFonts w:eastAsia="Palatino Linotype"/>
          <w:i/>
        </w:rPr>
        <w:t>s.</w:t>
      </w:r>
    </w:p>
    <w:p w14:paraId="033466A6" w14:textId="77777777" w:rsidR="001A58B3" w:rsidRPr="002D5CB9" w:rsidRDefault="001A58B3" w:rsidP="002D5CB9">
      <w:pPr>
        <w:rPr>
          <w:rFonts w:eastAsia="Palatino Linotype"/>
          <w:i/>
        </w:rPr>
      </w:pPr>
    </w:p>
    <w:p w14:paraId="04ADA10B" w14:textId="574A944A" w:rsidR="001A58B3" w:rsidRPr="002D5CB9" w:rsidRDefault="00233F17" w:rsidP="002D5CB9">
      <w:pPr>
        <w:rPr>
          <w:rFonts w:eastAsia="Palatino Linotype" w:cs="Palatino Linotype"/>
          <w:i/>
          <w:szCs w:val="22"/>
        </w:rPr>
      </w:pPr>
      <w:r w:rsidRPr="002D5CB9">
        <w:rPr>
          <w:rFonts w:eastAsia="Palatino Linotype" w:cs="Palatino Linotype"/>
        </w:rPr>
        <w:t xml:space="preserve">Por su parte, el artículo 4 de </w:t>
      </w:r>
      <w:r w:rsidR="001A58B3" w:rsidRPr="002D5CB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D5CB9">
        <w:rPr>
          <w:rFonts w:eastAsia="Palatino Linotype" w:cs="Palatino Linotype"/>
        </w:rPr>
        <w:t>.</w:t>
      </w:r>
    </w:p>
    <w:p w14:paraId="1407DBB8" w14:textId="77777777" w:rsidR="001A58B3" w:rsidRPr="002D5CB9" w:rsidRDefault="001A58B3" w:rsidP="002D5CB9">
      <w:pPr>
        <w:rPr>
          <w:rFonts w:eastAsia="Palatino Linotype" w:cs="Palatino Linotype"/>
        </w:rPr>
      </w:pPr>
    </w:p>
    <w:p w14:paraId="7552AA79" w14:textId="5C52E4A4" w:rsidR="001A58B3" w:rsidRPr="002D5CB9" w:rsidRDefault="001A58B3" w:rsidP="002D5CB9">
      <w:pPr>
        <w:rPr>
          <w:rFonts w:eastAsia="Palatino Linotype" w:cs="Palatino Linotype"/>
        </w:rPr>
      </w:pPr>
      <w:r w:rsidRPr="002D5CB9">
        <w:rPr>
          <w:rFonts w:eastAsia="Palatino Linotype" w:cs="Palatino Linotype"/>
        </w:rPr>
        <w:t xml:space="preserve">Esto es, que los Sujetos Obligados </w:t>
      </w:r>
      <w:r w:rsidR="00FA5957" w:rsidRPr="002D5CB9">
        <w:rPr>
          <w:rFonts w:eastAsia="Palatino Linotype" w:cs="Palatino Linotype"/>
        </w:rPr>
        <w:t>deben</w:t>
      </w:r>
      <w:r w:rsidRPr="002D5CB9">
        <w:rPr>
          <w:rFonts w:eastAsia="Palatino Linotype" w:cs="Palatino Linotype"/>
        </w:rPr>
        <w:t xml:space="preserve"> atender las solicitudes de acceso a la información pública que se les </w:t>
      </w:r>
      <w:r w:rsidR="00FA5957" w:rsidRPr="002D5CB9">
        <w:rPr>
          <w:rFonts w:eastAsia="Palatino Linotype" w:cs="Palatino Linotype"/>
        </w:rPr>
        <w:t>sean realizadas,</w:t>
      </w:r>
      <w:r w:rsidRPr="002D5CB9">
        <w:rPr>
          <w:rFonts w:eastAsia="Palatino Linotype" w:cs="Palatino Linotype"/>
        </w:rPr>
        <w:t xml:space="preserve"> y proporcionar la información pública que obre en su poder</w:t>
      </w:r>
      <w:r w:rsidR="00FA5957" w:rsidRPr="002D5CB9">
        <w:rPr>
          <w:rFonts w:eastAsia="Palatino Linotype" w:cs="Palatino Linotype"/>
        </w:rPr>
        <w:t>,</w:t>
      </w:r>
      <w:r w:rsidRPr="002D5CB9">
        <w:rPr>
          <w:rFonts w:eastAsia="Palatino Linotype" w:cs="Palatino Linotype"/>
        </w:rPr>
        <w:t xml:space="preserve"> conforme </w:t>
      </w:r>
      <w:r w:rsidR="00FA5957" w:rsidRPr="002D5CB9">
        <w:rPr>
          <w:rFonts w:eastAsia="Palatino Linotype" w:cs="Palatino Linotype"/>
        </w:rPr>
        <w:t>a</w:t>
      </w:r>
      <w:r w:rsidRPr="002D5CB9">
        <w:rPr>
          <w:rFonts w:eastAsia="Palatino Linotype" w:cs="Palatino Linotype"/>
        </w:rPr>
        <w:t xml:space="preserve">l estado </w:t>
      </w:r>
      <w:r w:rsidR="00FA5957" w:rsidRPr="002D5CB9">
        <w:rPr>
          <w:rFonts w:eastAsia="Palatino Linotype" w:cs="Palatino Linotype"/>
        </w:rPr>
        <w:t xml:space="preserve">en </w:t>
      </w:r>
      <w:r w:rsidRPr="002D5CB9">
        <w:rPr>
          <w:rFonts w:eastAsia="Palatino Linotype" w:cs="Palatino Linotype"/>
        </w:rPr>
        <w:t>que se encuentr</w:t>
      </w:r>
      <w:r w:rsidR="00FA5957" w:rsidRPr="002D5CB9">
        <w:rPr>
          <w:rFonts w:eastAsia="Palatino Linotype" w:cs="Palatino Linotype"/>
        </w:rPr>
        <w:t>e, sin que sea necesario</w:t>
      </w:r>
      <w:r w:rsidRPr="002D5CB9">
        <w:rPr>
          <w:rFonts w:eastAsia="Palatino Linotype" w:cs="Palatino Linotype"/>
        </w:rPr>
        <w:t xml:space="preserve"> </w:t>
      </w:r>
      <w:r w:rsidR="00FA5957" w:rsidRPr="002D5CB9">
        <w:rPr>
          <w:rFonts w:eastAsia="Palatino Linotype" w:cs="Palatino Linotype"/>
        </w:rPr>
        <w:t>procesar</w:t>
      </w:r>
      <w:r w:rsidRPr="002D5CB9">
        <w:rPr>
          <w:rFonts w:eastAsia="Palatino Linotype" w:cs="Palatino Linotype"/>
        </w:rPr>
        <w:t xml:space="preserve"> la misma, ni presentarla conforme al interés del solicitante; </w:t>
      </w:r>
      <w:r w:rsidR="00FA5957" w:rsidRPr="002D5CB9">
        <w:rPr>
          <w:rFonts w:eastAsia="Palatino Linotype" w:cs="Palatino Linotype"/>
        </w:rPr>
        <w:t>tal y como</w:t>
      </w:r>
      <w:r w:rsidRPr="002D5CB9">
        <w:rPr>
          <w:rFonts w:eastAsia="Palatino Linotype" w:cs="Palatino Linotype"/>
        </w:rPr>
        <w:t xml:space="preserve"> lo establece el artículo 12 de la Ley de Transparencia y Acceso a la Información Pública del Estado de México y Municipios</w:t>
      </w:r>
      <w:r w:rsidR="00970EB3" w:rsidRPr="002D5CB9">
        <w:rPr>
          <w:rFonts w:eastAsia="Palatino Linotype" w:cs="Palatino Linotype"/>
        </w:rPr>
        <w:t>.</w:t>
      </w:r>
    </w:p>
    <w:p w14:paraId="73245195" w14:textId="77777777" w:rsidR="00970EB3" w:rsidRPr="002D5CB9" w:rsidRDefault="00970EB3" w:rsidP="002D5CB9">
      <w:pPr>
        <w:rPr>
          <w:rFonts w:eastAsia="Palatino Linotype" w:cs="Palatino Linotype"/>
        </w:rPr>
      </w:pPr>
    </w:p>
    <w:p w14:paraId="7F62D4DF" w14:textId="775730E1" w:rsidR="001A58B3" w:rsidRPr="002D5CB9" w:rsidRDefault="001A58B3" w:rsidP="002D5CB9">
      <w:pPr>
        <w:rPr>
          <w:rFonts w:eastAsia="Palatino Linotype" w:cs="Palatino Linotype"/>
        </w:rPr>
      </w:pPr>
      <w:r w:rsidRPr="002D5CB9">
        <w:rPr>
          <w:rFonts w:eastAsia="Palatino Linotype" w:cs="Palatino Linotype"/>
        </w:rPr>
        <w:t>Es decir, que todo sujeto obligado que genere, recopile, administre, procese, archive, posea o conserven, son responsables de la misma</w:t>
      </w:r>
      <w:r w:rsidR="00970EB3" w:rsidRPr="002D5CB9">
        <w:rPr>
          <w:rFonts w:eastAsia="Palatino Linotype" w:cs="Palatino Linotype"/>
        </w:rPr>
        <w:t>,</w:t>
      </w:r>
      <w:r w:rsidRPr="002D5CB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D5CB9">
        <w:rPr>
          <w:rFonts w:eastAsia="Palatino Linotype" w:cs="Palatino Linotype"/>
        </w:rPr>
        <w:t>o</w:t>
      </w:r>
      <w:r w:rsidRPr="002D5CB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D5CB9" w:rsidRDefault="001A58B3" w:rsidP="002D5CB9">
      <w:pPr>
        <w:rPr>
          <w:rFonts w:eastAsia="Palatino Linotype" w:cs="Palatino Linotype"/>
        </w:rPr>
      </w:pPr>
    </w:p>
    <w:p w14:paraId="04E42DFE" w14:textId="573F1198" w:rsidR="001A58B3" w:rsidRPr="002D5CB9" w:rsidRDefault="001A58B3" w:rsidP="002D5CB9">
      <w:pPr>
        <w:rPr>
          <w:rFonts w:eastAsia="Palatino Linotype" w:cs="Palatino Linotype"/>
        </w:rPr>
      </w:pPr>
      <w:r w:rsidRPr="002D5CB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D5CB9">
        <w:rPr>
          <w:rFonts w:eastAsia="Palatino Linotype" w:cs="Palatino Linotype"/>
        </w:rPr>
        <w:t>, s</w:t>
      </w:r>
      <w:r w:rsidRPr="002D5CB9">
        <w:rPr>
          <w:rFonts w:eastAsia="Palatino Linotype" w:cs="Palatino Linotype"/>
        </w:rPr>
        <w:t xml:space="preserve">iempre y cuando no se trate de información reservada o </w:t>
      </w:r>
      <w:r w:rsidR="00331F35" w:rsidRPr="002D5CB9">
        <w:rPr>
          <w:rFonts w:eastAsia="Palatino Linotype" w:cs="Palatino Linotype"/>
        </w:rPr>
        <w:t>confidencial.</w:t>
      </w:r>
    </w:p>
    <w:p w14:paraId="40C5219F" w14:textId="77777777" w:rsidR="001A58B3" w:rsidRPr="002D5CB9" w:rsidRDefault="001A58B3" w:rsidP="002D5CB9">
      <w:pPr>
        <w:rPr>
          <w:rFonts w:eastAsia="Palatino Linotype" w:cs="Palatino Linotype"/>
        </w:rPr>
      </w:pPr>
    </w:p>
    <w:p w14:paraId="2E629608" w14:textId="01727E15" w:rsidR="00C049E2" w:rsidRPr="002D5CB9" w:rsidRDefault="006067C7" w:rsidP="002D5CB9">
      <w:pPr>
        <w:rPr>
          <w:rFonts w:eastAsia="Palatino Linotype"/>
        </w:rPr>
      </w:pPr>
      <w:bookmarkStart w:id="25" w:name="_heading=h.2s8eyo1" w:colFirst="0" w:colLast="0"/>
      <w:bookmarkEnd w:id="25"/>
      <w:r w:rsidRPr="002D5CB9">
        <w:rPr>
          <w:rFonts w:eastAsia="Palatino Linotype"/>
        </w:rPr>
        <w:t>Con base en lo anterior</w:t>
      </w:r>
      <w:r w:rsidR="00B22A80" w:rsidRPr="002D5CB9">
        <w:rPr>
          <w:rFonts w:eastAsia="Palatino Linotype"/>
        </w:rPr>
        <w:t>, se considera que</w:t>
      </w:r>
      <w:r w:rsidR="00C049E2" w:rsidRPr="002D5CB9">
        <w:rPr>
          <w:rFonts w:eastAsia="Palatino Linotype"/>
        </w:rPr>
        <w:t xml:space="preserve"> </w:t>
      </w:r>
      <w:r w:rsidR="00B22A80" w:rsidRPr="002D5CB9">
        <w:rPr>
          <w:rFonts w:eastAsia="Palatino Linotype"/>
          <w:b/>
          <w:bCs/>
        </w:rPr>
        <w:t>EL</w:t>
      </w:r>
      <w:r w:rsidR="00C049E2" w:rsidRPr="002D5CB9">
        <w:rPr>
          <w:rFonts w:eastAsia="Palatino Linotype"/>
        </w:rPr>
        <w:t xml:space="preserve"> </w:t>
      </w:r>
      <w:r w:rsidR="00C049E2" w:rsidRPr="002D5CB9">
        <w:rPr>
          <w:rFonts w:eastAsia="Palatino Linotype"/>
          <w:b/>
        </w:rPr>
        <w:t>SUJETO OBLIGADO</w:t>
      </w:r>
      <w:r w:rsidR="00C049E2" w:rsidRPr="002D5CB9">
        <w:rPr>
          <w:rFonts w:eastAsia="Palatino Linotype"/>
        </w:rPr>
        <w:t xml:space="preserve"> </w:t>
      </w:r>
      <w:r w:rsidR="00B22A80" w:rsidRPr="002D5CB9">
        <w:rPr>
          <w:rFonts w:eastAsia="Palatino Linotype"/>
        </w:rPr>
        <w:t xml:space="preserve">se </w:t>
      </w:r>
      <w:r w:rsidR="00717E59" w:rsidRPr="002D5CB9">
        <w:rPr>
          <w:rFonts w:eastAsia="Palatino Linotype"/>
        </w:rPr>
        <w:t>encontraba</w:t>
      </w:r>
      <w:r w:rsidR="00B22A80" w:rsidRPr="002D5CB9">
        <w:rPr>
          <w:rFonts w:eastAsia="Palatino Linotype"/>
        </w:rPr>
        <w:t xml:space="preserve"> compelido a</w:t>
      </w:r>
      <w:r w:rsidR="00C049E2" w:rsidRPr="002D5CB9">
        <w:rPr>
          <w:rFonts w:eastAsia="Palatino Linotype"/>
        </w:rPr>
        <w:t xml:space="preserve"> atender la solicitud de acceso a la información </w:t>
      </w:r>
      <w:r w:rsidR="00B22A80" w:rsidRPr="002D5CB9">
        <w:rPr>
          <w:rFonts w:eastAsia="Palatino Linotype"/>
        </w:rPr>
        <w:t xml:space="preserve">realizada por </w:t>
      </w:r>
      <w:r w:rsidR="00B22A80" w:rsidRPr="002D5CB9">
        <w:rPr>
          <w:rFonts w:eastAsia="Palatino Linotype"/>
          <w:b/>
          <w:bCs/>
        </w:rPr>
        <w:t>LA PARTE RECURRENTE</w:t>
      </w:r>
      <w:r w:rsidR="00331F35" w:rsidRPr="002D5CB9">
        <w:rPr>
          <w:rFonts w:eastAsia="Palatino Linotype"/>
        </w:rPr>
        <w:t>.</w:t>
      </w:r>
    </w:p>
    <w:p w14:paraId="1611F147" w14:textId="77777777" w:rsidR="00BD5A7C" w:rsidRPr="002D5CB9" w:rsidRDefault="00BD5A7C" w:rsidP="002D5CB9">
      <w:pPr>
        <w:rPr>
          <w:rFonts w:eastAsia="Palatino Linotype"/>
        </w:rPr>
      </w:pPr>
    </w:p>
    <w:p w14:paraId="51A0E8B4" w14:textId="676DCA47" w:rsidR="00664420" w:rsidRPr="002D5CB9" w:rsidRDefault="00C71CEF" w:rsidP="002D5CB9">
      <w:pPr>
        <w:pStyle w:val="Ttulo3"/>
        <w:rPr>
          <w:rFonts w:eastAsia="Calibri"/>
          <w:lang w:eastAsia="es-ES_tradnl"/>
        </w:rPr>
      </w:pPr>
      <w:bookmarkStart w:id="26" w:name="_Toc184229962"/>
      <w:r w:rsidRPr="002D5CB9">
        <w:rPr>
          <w:rFonts w:eastAsia="Calibri"/>
          <w:lang w:eastAsia="es-ES_tradnl"/>
        </w:rPr>
        <w:lastRenderedPageBreak/>
        <w:t>b)</w:t>
      </w:r>
      <w:r w:rsidR="00A53315" w:rsidRPr="002D5CB9">
        <w:rPr>
          <w:rFonts w:eastAsia="Calibri"/>
          <w:lang w:eastAsia="es-ES_tradnl"/>
        </w:rPr>
        <w:t xml:space="preserve"> </w:t>
      </w:r>
      <w:r w:rsidR="00A21A20" w:rsidRPr="002D5CB9">
        <w:rPr>
          <w:rFonts w:eastAsia="Calibri"/>
          <w:lang w:eastAsia="es-ES_tradnl"/>
        </w:rPr>
        <w:t>Controversia a resolver</w:t>
      </w:r>
      <w:bookmarkEnd w:id="26"/>
    </w:p>
    <w:p w14:paraId="5C674736" w14:textId="0B778115" w:rsidR="0004446F" w:rsidRPr="002D5CB9" w:rsidRDefault="00664420" w:rsidP="002D5CB9">
      <w:pPr>
        <w:rPr>
          <w:i/>
        </w:rPr>
      </w:pPr>
      <w:r w:rsidRPr="002D5CB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2D5CB9">
        <w:rPr>
          <w:rFonts w:eastAsia="Calibri"/>
          <w:b/>
          <w:bCs/>
          <w:lang w:eastAsia="es-ES_tradnl"/>
        </w:rPr>
        <w:t>LA PARTE RECURRENTE</w:t>
      </w:r>
      <w:r w:rsidRPr="002D5CB9">
        <w:rPr>
          <w:rFonts w:eastAsia="Calibri"/>
          <w:lang w:eastAsia="es-ES_tradnl"/>
        </w:rPr>
        <w:t xml:space="preserve"> solicitó </w:t>
      </w:r>
      <w:r w:rsidR="00A734A6" w:rsidRPr="002D5CB9">
        <w:rPr>
          <w:rFonts w:eastAsia="Calibri"/>
          <w:lang w:eastAsia="es-ES_tradnl"/>
        </w:rPr>
        <w:t xml:space="preserve">el </w:t>
      </w:r>
      <w:r w:rsidR="0004446F" w:rsidRPr="002D5CB9">
        <w:t>expediente del procedimiento para la contratación de la empresa para realizar el mapeo de las rutas</w:t>
      </w:r>
      <w:r w:rsidR="00A734A6" w:rsidRPr="002D5CB9">
        <w:t>; así como</w:t>
      </w:r>
      <w:r w:rsidR="0004446F" w:rsidRPr="002D5CB9">
        <w:t>,</w:t>
      </w:r>
      <w:r w:rsidR="00A734A6" w:rsidRPr="002D5CB9">
        <w:t xml:space="preserve"> el</w:t>
      </w:r>
      <w:r w:rsidR="0004446F" w:rsidRPr="002D5CB9">
        <w:t xml:space="preserve"> presupuesto autorizado y ejercido, el acta del comité de adquisiciones </w:t>
      </w:r>
      <w:r w:rsidR="00A734A6" w:rsidRPr="002D5CB9">
        <w:t>y la grabación de que se sesionó</w:t>
      </w:r>
      <w:r w:rsidR="0004446F" w:rsidRPr="002D5CB9">
        <w:t xml:space="preserve"> para el proceso transparente.</w:t>
      </w:r>
    </w:p>
    <w:p w14:paraId="4831E3E8" w14:textId="77777777" w:rsidR="0004446F" w:rsidRPr="002D5CB9" w:rsidRDefault="0004446F" w:rsidP="002D5CB9">
      <w:pPr>
        <w:tabs>
          <w:tab w:val="left" w:pos="4962"/>
        </w:tabs>
        <w:contextualSpacing/>
        <w:rPr>
          <w:rFonts w:eastAsiaTheme="minorHAnsi" w:cs="Tahoma"/>
          <w:bCs/>
          <w:iCs/>
          <w:szCs w:val="22"/>
          <w:lang w:eastAsia="en-US"/>
        </w:rPr>
      </w:pPr>
    </w:p>
    <w:p w14:paraId="55110C94" w14:textId="7C2A95A7" w:rsidR="0004446F" w:rsidRPr="002D5CB9" w:rsidRDefault="00664420" w:rsidP="002D5CB9">
      <w:pPr>
        <w:autoSpaceDE w:val="0"/>
        <w:autoSpaceDN w:val="0"/>
        <w:adjustRightInd w:val="0"/>
        <w:ind w:right="-28"/>
        <w:rPr>
          <w:rFonts w:cs="Tahoma"/>
          <w:bCs/>
          <w:szCs w:val="22"/>
          <w:lang w:val="es-ES"/>
        </w:rPr>
      </w:pPr>
      <w:r w:rsidRPr="002D5CB9">
        <w:rPr>
          <w:rFonts w:eastAsiaTheme="minorHAnsi" w:cs="Tahoma"/>
          <w:bCs/>
          <w:iCs/>
          <w:szCs w:val="22"/>
          <w:lang w:eastAsia="en-US"/>
        </w:rPr>
        <w:t xml:space="preserve">En respuesta, </w:t>
      </w:r>
      <w:r w:rsidR="005D5A50" w:rsidRPr="002D5CB9">
        <w:rPr>
          <w:rFonts w:eastAsiaTheme="minorHAnsi" w:cs="Tahoma"/>
          <w:b/>
          <w:iCs/>
          <w:szCs w:val="22"/>
          <w:lang w:eastAsia="en-US"/>
        </w:rPr>
        <w:t>EL SUJETO OBLIGADO</w:t>
      </w:r>
      <w:r w:rsidRPr="002D5CB9">
        <w:rPr>
          <w:rFonts w:eastAsiaTheme="minorHAnsi" w:cs="Tahoma"/>
          <w:bCs/>
          <w:iCs/>
          <w:szCs w:val="22"/>
          <w:lang w:eastAsia="en-US"/>
        </w:rPr>
        <w:t xml:space="preserve"> se pronunció por conducto de</w:t>
      </w:r>
      <w:r w:rsidR="0004446F" w:rsidRPr="002D5CB9">
        <w:rPr>
          <w:rFonts w:eastAsiaTheme="minorHAnsi" w:cs="Tahoma"/>
          <w:bCs/>
          <w:iCs/>
          <w:szCs w:val="22"/>
          <w:lang w:eastAsia="en-US"/>
        </w:rPr>
        <w:t xml:space="preserve"> </w:t>
      </w:r>
      <w:r w:rsidR="0004446F" w:rsidRPr="002D5CB9">
        <w:rPr>
          <w:rFonts w:cs="Tahoma"/>
          <w:bCs/>
          <w:szCs w:val="22"/>
          <w:lang w:val="es-ES"/>
        </w:rPr>
        <w:t>Subdirección de Recursos Materiales y la Subdirectora de Finanzas</w:t>
      </w:r>
      <w:r w:rsidR="0004446F" w:rsidRPr="002D5CB9">
        <w:rPr>
          <w:rFonts w:eastAsiaTheme="minorHAnsi" w:cs="Tahoma"/>
          <w:bCs/>
          <w:iCs/>
          <w:szCs w:val="22"/>
          <w:lang w:eastAsia="en-US"/>
        </w:rPr>
        <w:t>, quienes refirieron</w:t>
      </w:r>
      <w:r w:rsidRPr="002D5CB9">
        <w:rPr>
          <w:rFonts w:eastAsiaTheme="minorHAnsi" w:cs="Tahoma"/>
          <w:bCs/>
          <w:iCs/>
          <w:szCs w:val="22"/>
          <w:lang w:eastAsia="en-US"/>
        </w:rPr>
        <w:t xml:space="preserve"> que</w:t>
      </w:r>
      <w:r w:rsidR="0004446F" w:rsidRPr="002D5CB9">
        <w:rPr>
          <w:rFonts w:eastAsiaTheme="minorHAnsi" w:cs="Tahoma"/>
          <w:bCs/>
          <w:iCs/>
          <w:szCs w:val="22"/>
          <w:lang w:eastAsia="en-US"/>
        </w:rPr>
        <w:t xml:space="preserve"> </w:t>
      </w:r>
      <w:r w:rsidR="0004446F" w:rsidRPr="002D5CB9">
        <w:rPr>
          <w:rFonts w:cs="Tahoma"/>
          <w:bCs/>
          <w:szCs w:val="22"/>
          <w:lang w:val="es-ES"/>
        </w:rPr>
        <w:t>una vez realizada una búsqueda exhaustiva en sus archivos, no se localizaron los documentos solicitados.</w:t>
      </w:r>
    </w:p>
    <w:p w14:paraId="231D9192" w14:textId="498A2DEF" w:rsidR="0004446F" w:rsidRPr="002D5CB9" w:rsidRDefault="0004446F" w:rsidP="002D5CB9">
      <w:pPr>
        <w:tabs>
          <w:tab w:val="left" w:pos="4962"/>
        </w:tabs>
        <w:contextualSpacing/>
        <w:rPr>
          <w:rFonts w:eastAsiaTheme="minorHAnsi" w:cs="Tahoma"/>
          <w:bCs/>
          <w:iCs/>
          <w:szCs w:val="22"/>
          <w:lang w:eastAsia="en-US"/>
        </w:rPr>
      </w:pPr>
    </w:p>
    <w:p w14:paraId="2DA592FF" w14:textId="4C844497" w:rsidR="0004446F" w:rsidRPr="002D5CB9" w:rsidRDefault="00CF7586" w:rsidP="002D5CB9">
      <w:pPr>
        <w:tabs>
          <w:tab w:val="left" w:pos="4962"/>
        </w:tabs>
        <w:contextualSpacing/>
        <w:rPr>
          <w:rFonts w:eastAsiaTheme="minorHAnsi" w:cs="Tahoma"/>
          <w:bCs/>
          <w:iCs/>
          <w:szCs w:val="22"/>
          <w:lang w:eastAsia="en-US"/>
        </w:rPr>
      </w:pPr>
      <w:r w:rsidRPr="002D5CB9">
        <w:rPr>
          <w:rFonts w:eastAsiaTheme="minorHAnsi" w:cs="Tahoma"/>
          <w:bCs/>
          <w:iCs/>
          <w:szCs w:val="22"/>
          <w:lang w:eastAsia="en-US"/>
        </w:rPr>
        <w:t xml:space="preserve">Ahora bien, en la interposición del presente recurso </w:t>
      </w:r>
      <w:r w:rsidRPr="002D5CB9">
        <w:rPr>
          <w:rFonts w:eastAsiaTheme="minorHAnsi" w:cs="Tahoma"/>
          <w:b/>
          <w:iCs/>
          <w:szCs w:val="22"/>
          <w:lang w:eastAsia="en-US"/>
        </w:rPr>
        <w:t>LA PARTE RECURRENTE</w:t>
      </w:r>
      <w:r w:rsidR="00664420" w:rsidRPr="002D5CB9">
        <w:rPr>
          <w:rFonts w:eastAsiaTheme="minorHAnsi" w:cs="Tahoma"/>
          <w:bCs/>
          <w:iCs/>
          <w:szCs w:val="22"/>
          <w:lang w:eastAsia="en-US"/>
        </w:rPr>
        <w:t xml:space="preserve"> se inconformó de </w:t>
      </w:r>
      <w:r w:rsidR="0004446F" w:rsidRPr="002D5CB9">
        <w:rPr>
          <w:rFonts w:eastAsiaTheme="minorHAnsi" w:cs="Tahoma"/>
          <w:bCs/>
          <w:iCs/>
          <w:szCs w:val="22"/>
          <w:lang w:eastAsia="en-US"/>
        </w:rPr>
        <w:t xml:space="preserve">la negativa de entrega de información; por lo que el estudio se centrará en verificar si </w:t>
      </w:r>
      <w:r w:rsidR="00A734A6" w:rsidRPr="002D5CB9">
        <w:rPr>
          <w:rFonts w:eastAsiaTheme="minorHAnsi" w:cs="Tahoma"/>
          <w:b/>
          <w:bCs/>
          <w:iCs/>
          <w:szCs w:val="22"/>
          <w:lang w:eastAsia="en-US"/>
        </w:rPr>
        <w:t>EL</w:t>
      </w:r>
      <w:r w:rsidR="00A734A6" w:rsidRPr="002D5CB9">
        <w:rPr>
          <w:rFonts w:eastAsiaTheme="minorHAnsi" w:cs="Tahoma"/>
          <w:bCs/>
          <w:iCs/>
          <w:szCs w:val="22"/>
          <w:lang w:eastAsia="en-US"/>
        </w:rPr>
        <w:t xml:space="preserve"> </w:t>
      </w:r>
      <w:r w:rsidR="0004446F" w:rsidRPr="002D5CB9">
        <w:rPr>
          <w:rFonts w:eastAsiaTheme="minorHAnsi" w:cs="Tahoma"/>
          <w:b/>
          <w:bCs/>
          <w:iCs/>
          <w:szCs w:val="22"/>
          <w:lang w:eastAsia="en-US"/>
        </w:rPr>
        <w:t>SUJETO OBLIGADO</w:t>
      </w:r>
      <w:r w:rsidR="0004446F" w:rsidRPr="002D5CB9">
        <w:rPr>
          <w:rFonts w:eastAsiaTheme="minorHAnsi" w:cs="Tahoma"/>
          <w:bCs/>
          <w:iCs/>
          <w:szCs w:val="22"/>
          <w:lang w:eastAsia="en-US"/>
        </w:rPr>
        <w:t xml:space="preserve"> posee o administra la información solicitada.</w:t>
      </w:r>
    </w:p>
    <w:p w14:paraId="23D8CF37" w14:textId="77777777" w:rsidR="009E4934" w:rsidRPr="002D5CB9" w:rsidRDefault="009E4934" w:rsidP="002D5CB9">
      <w:pPr>
        <w:pStyle w:val="Ttulo3"/>
      </w:pPr>
    </w:p>
    <w:p w14:paraId="414FD2D5" w14:textId="4408E416" w:rsidR="00664420" w:rsidRPr="002D5CB9" w:rsidRDefault="00A21A20" w:rsidP="002D5CB9">
      <w:pPr>
        <w:pStyle w:val="Ttulo3"/>
      </w:pPr>
      <w:bookmarkStart w:id="27" w:name="_Toc184229963"/>
      <w:r w:rsidRPr="002D5CB9">
        <w:t>c)</w:t>
      </w:r>
      <w:r w:rsidR="00664420" w:rsidRPr="002D5CB9">
        <w:t xml:space="preserve"> </w:t>
      </w:r>
      <w:r w:rsidRPr="002D5CB9">
        <w:t>Estudio de la controversia</w:t>
      </w:r>
      <w:bookmarkEnd w:id="27"/>
    </w:p>
    <w:p w14:paraId="5E6759D2" w14:textId="31E0AC94" w:rsidR="00442068" w:rsidRPr="002D5CB9" w:rsidRDefault="00442068" w:rsidP="002D5CB9">
      <w:pPr>
        <w:rPr>
          <w:szCs w:val="22"/>
        </w:rPr>
      </w:pPr>
      <w:r w:rsidRPr="002D5CB9">
        <w:t xml:space="preserve">Este Órgano Garante basará el análisis del presente, en el contenido íntegro de las actuaciones que obran en el expediente electrónico en </w:t>
      </w:r>
      <w:r w:rsidR="00A734A6" w:rsidRPr="002D5CB9">
        <w:rPr>
          <w:b/>
        </w:rPr>
        <w:t>EL SAIMEX</w:t>
      </w:r>
      <w:r w:rsidRPr="002D5CB9">
        <w:t xml:space="preserve">,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w:t>
      </w:r>
      <w:r w:rsidRPr="002D5CB9">
        <w:lastRenderedPageBreak/>
        <w:t xml:space="preserve">del artículo </w:t>
      </w:r>
      <w:r w:rsidRPr="002D5CB9">
        <w:rPr>
          <w:szCs w:val="22"/>
        </w:rPr>
        <w:t>1 de la Constitución Política de los Estados Unidos Mexicanos y los numerales 8 y 9 de la Ley de Transparencia local.</w:t>
      </w:r>
    </w:p>
    <w:p w14:paraId="3DEDBFEE" w14:textId="77777777" w:rsidR="00442068" w:rsidRPr="002D5CB9" w:rsidRDefault="00442068" w:rsidP="002D5CB9">
      <w:pPr>
        <w:rPr>
          <w:szCs w:val="22"/>
        </w:rPr>
      </w:pPr>
    </w:p>
    <w:p w14:paraId="778BA36B" w14:textId="1F694F0E" w:rsidR="005B3C80" w:rsidRPr="002D5CB9" w:rsidRDefault="00442068" w:rsidP="002D5CB9">
      <w:pPr>
        <w:rPr>
          <w:rFonts w:eastAsiaTheme="minorHAnsi" w:cs="Tahoma"/>
          <w:bCs/>
          <w:iCs/>
          <w:szCs w:val="22"/>
          <w:lang w:eastAsia="en-US"/>
        </w:rPr>
      </w:pPr>
      <w:r w:rsidRPr="002D5CB9">
        <w:rPr>
          <w:rFonts w:eastAsia="Palatino Linotype" w:cs="Palatino Linotype"/>
          <w:szCs w:val="22"/>
        </w:rPr>
        <w:t xml:space="preserve">Precisado lo anterior, de una revisión al expediente que nos ocupa dentro del Sistema de Acceso a la Información Mexiquense, se advierte que en respuesta se pronunció </w:t>
      </w:r>
      <w:r w:rsidR="005B3C80" w:rsidRPr="002D5CB9">
        <w:rPr>
          <w:rFonts w:eastAsia="Palatino Linotype" w:cs="Palatino Linotype"/>
          <w:szCs w:val="22"/>
        </w:rPr>
        <w:t xml:space="preserve">la </w:t>
      </w:r>
      <w:r w:rsidR="005B3C80" w:rsidRPr="002D5CB9">
        <w:rPr>
          <w:rFonts w:cs="Tahoma"/>
          <w:bCs/>
          <w:szCs w:val="22"/>
          <w:lang w:val="es-ES"/>
        </w:rPr>
        <w:t>Subdirección de Recursos Materiales y la Subdirectora de Finanzas</w:t>
      </w:r>
      <w:r w:rsidRPr="002D5CB9">
        <w:rPr>
          <w:rFonts w:eastAsiaTheme="minorHAnsi" w:cs="Tahoma"/>
          <w:bCs/>
          <w:iCs/>
          <w:szCs w:val="22"/>
          <w:lang w:eastAsia="en-US"/>
        </w:rPr>
        <w:t>, exponiendo que</w:t>
      </w:r>
      <w:r w:rsidR="005B3C80" w:rsidRPr="002D5CB9">
        <w:rPr>
          <w:rFonts w:eastAsiaTheme="minorHAnsi" w:cs="Tahoma"/>
          <w:bCs/>
          <w:iCs/>
          <w:szCs w:val="22"/>
          <w:lang w:eastAsia="en-US"/>
        </w:rPr>
        <w:t xml:space="preserve"> dentro de sus archivos no tenía información solicitada.</w:t>
      </w:r>
    </w:p>
    <w:p w14:paraId="557A0C98" w14:textId="77777777" w:rsidR="00442068" w:rsidRPr="002D5CB9" w:rsidRDefault="00442068" w:rsidP="002D5CB9">
      <w:pPr>
        <w:rPr>
          <w:rFonts w:eastAsia="Palatino Linotype" w:cs="Palatino Linotype"/>
          <w:szCs w:val="22"/>
        </w:rPr>
      </w:pPr>
    </w:p>
    <w:p w14:paraId="4641FA5C" w14:textId="77777777" w:rsidR="00442068" w:rsidRPr="002D5CB9" w:rsidRDefault="00442068" w:rsidP="002D5CB9">
      <w:pPr>
        <w:pBdr>
          <w:top w:val="nil"/>
          <w:left w:val="nil"/>
          <w:bottom w:val="nil"/>
          <w:right w:val="nil"/>
          <w:between w:val="nil"/>
        </w:pBdr>
        <w:spacing w:after="240"/>
        <w:contextualSpacing/>
        <w:rPr>
          <w:rFonts w:eastAsia="Palatino Linotype" w:cs="Palatino Linotype"/>
          <w:b/>
          <w:szCs w:val="22"/>
        </w:rPr>
      </w:pPr>
      <w:r w:rsidRPr="002D5CB9">
        <w:rPr>
          <w:rFonts w:eastAsia="Palatino Linotype" w:cs="Palatino Linotype"/>
          <w:szCs w:val="22"/>
        </w:rPr>
        <w:t>Atento a lo anterior debe hacer se alusión al procedimiento de turno de servidor público habilitado, por ello si bien es cierto, el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2D5CB9">
        <w:rPr>
          <w:rFonts w:eastAsia="Palatino Linotype" w:cs="Palatino Linotype"/>
          <w:b/>
          <w:szCs w:val="22"/>
        </w:rPr>
        <w:t xml:space="preserve"> </w:t>
      </w:r>
    </w:p>
    <w:p w14:paraId="6C2E7EC6" w14:textId="77777777" w:rsidR="00442068" w:rsidRPr="002D5CB9" w:rsidRDefault="00442068" w:rsidP="002D5CB9">
      <w:pPr>
        <w:pBdr>
          <w:top w:val="nil"/>
          <w:left w:val="nil"/>
          <w:bottom w:val="nil"/>
          <w:right w:val="nil"/>
          <w:between w:val="nil"/>
        </w:pBdr>
        <w:spacing w:after="240"/>
        <w:contextualSpacing/>
        <w:rPr>
          <w:rFonts w:eastAsia="Palatino Linotype" w:cs="Palatino Linotype"/>
          <w:sz w:val="24"/>
          <w:szCs w:val="24"/>
        </w:rPr>
      </w:pPr>
    </w:p>
    <w:p w14:paraId="4EC26C96" w14:textId="77777777" w:rsidR="00442068" w:rsidRPr="002D5CB9" w:rsidRDefault="00442068" w:rsidP="002D5CB9">
      <w:pPr>
        <w:pStyle w:val="Puesto"/>
        <w:jc w:val="center"/>
        <w:rPr>
          <w:rFonts w:eastAsia="Palatino Linotype"/>
          <w:b/>
        </w:rPr>
      </w:pPr>
      <w:r w:rsidRPr="002D5CB9">
        <w:rPr>
          <w:rFonts w:eastAsia="Palatino Linotype"/>
          <w:b/>
        </w:rPr>
        <w:t>“Ley de Transparencia y Acceso a la Información Pública del Estado de México y Municipios</w:t>
      </w:r>
    </w:p>
    <w:p w14:paraId="13CC9DAC" w14:textId="77777777" w:rsidR="00442068" w:rsidRPr="002D5CB9" w:rsidRDefault="00442068" w:rsidP="002D5CB9">
      <w:pPr>
        <w:pStyle w:val="Puesto"/>
        <w:rPr>
          <w:rFonts w:eastAsia="Palatino Linotype"/>
        </w:rPr>
      </w:pPr>
      <w:r w:rsidRPr="002D5CB9">
        <w:rPr>
          <w:rFonts w:eastAsia="Palatino Linotype"/>
        </w:rPr>
        <w:t>“</w:t>
      </w:r>
      <w:r w:rsidRPr="002D5CB9">
        <w:rPr>
          <w:rFonts w:eastAsia="Palatino Linotype"/>
          <w:b/>
        </w:rPr>
        <w:t>Artículo 50.</w:t>
      </w:r>
      <w:r w:rsidRPr="002D5CB9">
        <w:rPr>
          <w:rFonts w:eastAsia="Palatino Linotype"/>
        </w:rPr>
        <w:t xml:space="preserve"> Los sujetos obligados contarán con un área responsable para la atención de las solicitudes de información, a la que se le denominará Unidad de Transparencia. </w:t>
      </w:r>
    </w:p>
    <w:p w14:paraId="2BC98788" w14:textId="77777777" w:rsidR="00442068" w:rsidRPr="002D5CB9" w:rsidRDefault="00442068" w:rsidP="002D5CB9">
      <w:pPr>
        <w:pStyle w:val="Puesto"/>
        <w:rPr>
          <w:rFonts w:eastAsia="Palatino Linotype"/>
        </w:rPr>
      </w:pPr>
      <w:r w:rsidRPr="002D5CB9">
        <w:rPr>
          <w:rFonts w:eastAsia="Palatino Linotype"/>
        </w:rPr>
        <w:t xml:space="preserve">Artículo 51. Los sujetos obligados designaran a un responsable para atender la Unidad de Transparencia, quien fungirá como enlace entre éstos y los solicitantes. </w:t>
      </w:r>
      <w:r w:rsidRPr="002D5CB9">
        <w:rPr>
          <w:rFonts w:eastAsia="Palatino Linotype"/>
          <w:b/>
          <w:u w:val="single"/>
        </w:rPr>
        <w:t>Dicha Unidad será la encargada de tramitar internamente la solicitud de información</w:t>
      </w:r>
      <w:r w:rsidRPr="002D5CB9">
        <w:rPr>
          <w:rFonts w:eastAsia="Palatino Linotype"/>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6D614126" w14:textId="77777777" w:rsidR="00442068" w:rsidRPr="002D5CB9" w:rsidRDefault="00442068" w:rsidP="002D5CB9">
      <w:pPr>
        <w:pStyle w:val="Puesto"/>
        <w:rPr>
          <w:rFonts w:eastAsia="Palatino Linotype"/>
        </w:rPr>
      </w:pPr>
      <w:r w:rsidRPr="002D5CB9">
        <w:rPr>
          <w:rFonts w:eastAsia="Palatino Linotype"/>
        </w:rPr>
        <w:t>…</w:t>
      </w:r>
    </w:p>
    <w:p w14:paraId="470D395A" w14:textId="77777777" w:rsidR="00442068" w:rsidRPr="002D5CB9" w:rsidRDefault="00442068" w:rsidP="002D5CB9">
      <w:pPr>
        <w:pStyle w:val="Puesto"/>
        <w:rPr>
          <w:rFonts w:eastAsia="Palatino Linotype"/>
        </w:rPr>
      </w:pPr>
      <w:r w:rsidRPr="002D5CB9">
        <w:rPr>
          <w:rFonts w:eastAsia="Palatino Linotype"/>
        </w:rPr>
        <w:lastRenderedPageBreak/>
        <w:t>Artículo 53. Las Unidades de Transparencia tendrán las siguientes funciones:</w:t>
      </w:r>
    </w:p>
    <w:p w14:paraId="615E16EC" w14:textId="77777777" w:rsidR="00442068" w:rsidRPr="002D5CB9" w:rsidRDefault="00442068" w:rsidP="002D5CB9">
      <w:pPr>
        <w:pStyle w:val="Puesto"/>
        <w:rPr>
          <w:rFonts w:eastAsia="Palatino Linotype"/>
        </w:rPr>
      </w:pPr>
      <w:r w:rsidRPr="002D5CB9">
        <w:rPr>
          <w:rFonts w:eastAsia="Palatino Linotype"/>
        </w:rPr>
        <w:t>…</w:t>
      </w:r>
    </w:p>
    <w:p w14:paraId="71A244C8" w14:textId="77777777" w:rsidR="00442068" w:rsidRPr="002D5CB9" w:rsidRDefault="00442068" w:rsidP="002D5CB9">
      <w:pPr>
        <w:pStyle w:val="Puesto"/>
        <w:rPr>
          <w:rFonts w:eastAsia="Palatino Linotype"/>
        </w:rPr>
      </w:pPr>
      <w:r w:rsidRPr="002D5CB9">
        <w:rPr>
          <w:rFonts w:eastAsia="Palatino Linotype"/>
        </w:rPr>
        <w:t xml:space="preserve">II. Recibir, tramitar y dar respuesta a las solicitudes de acceso a la información; </w:t>
      </w:r>
    </w:p>
    <w:p w14:paraId="79359FD1" w14:textId="77777777" w:rsidR="00442068" w:rsidRPr="002D5CB9" w:rsidRDefault="00442068" w:rsidP="002D5CB9">
      <w:pPr>
        <w:pStyle w:val="Puesto"/>
        <w:rPr>
          <w:rFonts w:eastAsia="Palatino Linotype"/>
        </w:rPr>
      </w:pPr>
      <w:r w:rsidRPr="002D5CB9">
        <w:rPr>
          <w:rFonts w:eastAsia="Palatino Linotype"/>
        </w:rPr>
        <w:t>…</w:t>
      </w:r>
    </w:p>
    <w:p w14:paraId="19411C2D" w14:textId="77777777" w:rsidR="00442068" w:rsidRPr="002D5CB9" w:rsidRDefault="00442068" w:rsidP="002D5CB9">
      <w:pPr>
        <w:pStyle w:val="Puesto"/>
        <w:rPr>
          <w:rFonts w:eastAsia="Palatino Linotype"/>
          <w:b/>
          <w:u w:val="single"/>
        </w:rPr>
      </w:pPr>
      <w:r w:rsidRPr="002D5CB9">
        <w:rPr>
          <w:rFonts w:eastAsia="Palatino Linotype"/>
          <w:b/>
          <w:u w:val="single"/>
        </w:rPr>
        <w:t xml:space="preserve">IV. Realizar, con efectividad, los trámites internos necesarios para la atención de las solicitudes de acceso a la información; </w:t>
      </w:r>
    </w:p>
    <w:p w14:paraId="71E29893" w14:textId="77777777" w:rsidR="00442068" w:rsidRPr="002D5CB9" w:rsidRDefault="00442068" w:rsidP="002D5CB9">
      <w:pPr>
        <w:pStyle w:val="Puesto"/>
        <w:rPr>
          <w:rFonts w:eastAsia="Palatino Linotype"/>
        </w:rPr>
      </w:pPr>
      <w:r w:rsidRPr="002D5CB9">
        <w:rPr>
          <w:rFonts w:eastAsia="Palatino Linotype"/>
        </w:rPr>
        <w:t xml:space="preserve">V. Entregar, en su caso, a los particulares la información solicitada; </w:t>
      </w:r>
    </w:p>
    <w:p w14:paraId="1D044261" w14:textId="77777777" w:rsidR="00442068" w:rsidRPr="002D5CB9" w:rsidRDefault="00442068" w:rsidP="002D5CB9">
      <w:pPr>
        <w:pStyle w:val="Puesto"/>
        <w:rPr>
          <w:rFonts w:eastAsia="Palatino Linotype"/>
        </w:rPr>
      </w:pPr>
      <w:r w:rsidRPr="002D5CB9">
        <w:rPr>
          <w:rFonts w:eastAsia="Palatino Linotype"/>
        </w:rPr>
        <w:t>VI. Efectuar las notificaciones a los solicitantes;” (Sic)</w:t>
      </w:r>
    </w:p>
    <w:p w14:paraId="47734A32" w14:textId="77777777" w:rsidR="00442068" w:rsidRPr="002D5CB9" w:rsidRDefault="00442068" w:rsidP="002D5CB9">
      <w:pPr>
        <w:tabs>
          <w:tab w:val="left" w:pos="709"/>
        </w:tabs>
        <w:ind w:left="851" w:right="760"/>
        <w:rPr>
          <w:rFonts w:eastAsia="Palatino Linotype" w:cs="Palatino Linotype"/>
          <w:sz w:val="24"/>
        </w:rPr>
      </w:pPr>
    </w:p>
    <w:p w14:paraId="2CF23A87" w14:textId="77777777" w:rsidR="00442068" w:rsidRPr="002D5CB9" w:rsidRDefault="00442068" w:rsidP="002D5CB9">
      <w:pPr>
        <w:rPr>
          <w:rFonts w:eastAsia="Palatino Linotype" w:cs="Palatino Linotype"/>
          <w:szCs w:val="22"/>
        </w:rPr>
      </w:pPr>
      <w:r w:rsidRPr="002D5CB9">
        <w:rPr>
          <w:rFonts w:eastAsia="Palatino Linotype" w:cs="Palatino Linotype"/>
          <w:szCs w:val="22"/>
        </w:rPr>
        <w:t xml:space="preserve">Aunado a lo anterior, se debe señalar que aunque la solicitud de información y la respuesta estén dirigidas y atendidas por un </w:t>
      </w:r>
      <w:r w:rsidRPr="002D5CB9">
        <w:rPr>
          <w:rFonts w:eastAsia="Palatino Linotype" w:cs="Palatino Linotype"/>
          <w:b/>
          <w:szCs w:val="22"/>
        </w:rPr>
        <w:t>SUJETO OBLIGADO</w:t>
      </w:r>
      <w:r w:rsidRPr="002D5CB9">
        <w:rPr>
          <w:rFonts w:eastAsia="Palatino Linotype" w:cs="Palatino Linotype"/>
          <w:szCs w:val="22"/>
        </w:rPr>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63BC2921" w14:textId="77777777" w:rsidR="00442068" w:rsidRPr="002D5CB9" w:rsidRDefault="00442068" w:rsidP="002D5CB9">
      <w:pPr>
        <w:spacing w:line="276" w:lineRule="auto"/>
        <w:rPr>
          <w:rFonts w:eastAsia="Palatino Linotype" w:cs="Palatino Linotype"/>
          <w:szCs w:val="22"/>
        </w:rPr>
      </w:pPr>
    </w:p>
    <w:p w14:paraId="4482B9E5" w14:textId="77777777" w:rsidR="00442068" w:rsidRPr="002D5CB9" w:rsidRDefault="00442068" w:rsidP="002D5CB9">
      <w:pPr>
        <w:pStyle w:val="Puesto"/>
        <w:rPr>
          <w:rFonts w:eastAsia="Palatino Linotype"/>
        </w:rPr>
      </w:pPr>
      <w:r w:rsidRPr="002D5CB9">
        <w:rPr>
          <w:rFonts w:eastAsia="Palatino Linotype"/>
          <w:b/>
        </w:rPr>
        <w:t>“Artículo 3.</w:t>
      </w:r>
      <w:r w:rsidRPr="002D5CB9">
        <w:rPr>
          <w:rFonts w:eastAsia="Palatino Linotype"/>
        </w:rPr>
        <w:t xml:space="preserve"> Para los efectos de la presente Ley se entenderá por:</w:t>
      </w:r>
    </w:p>
    <w:p w14:paraId="66225709" w14:textId="77777777" w:rsidR="00442068" w:rsidRPr="002D5CB9" w:rsidRDefault="00442068" w:rsidP="002D5CB9">
      <w:pPr>
        <w:pStyle w:val="Puesto"/>
        <w:rPr>
          <w:rFonts w:eastAsia="Palatino Linotype"/>
        </w:rPr>
      </w:pPr>
      <w:r w:rsidRPr="002D5CB9">
        <w:rPr>
          <w:rFonts w:eastAsia="Palatino Linotype"/>
        </w:rPr>
        <w:t>…</w:t>
      </w:r>
    </w:p>
    <w:p w14:paraId="4E71F419" w14:textId="77777777" w:rsidR="00442068" w:rsidRPr="002D5CB9" w:rsidRDefault="00442068" w:rsidP="002D5CB9">
      <w:pPr>
        <w:pStyle w:val="Puesto"/>
        <w:rPr>
          <w:rFonts w:eastAsia="Palatino Linotype"/>
        </w:rPr>
      </w:pPr>
      <w:r w:rsidRPr="002D5CB9">
        <w:rPr>
          <w:rFonts w:eastAsia="Palatino Linotype"/>
          <w:b/>
        </w:rPr>
        <w:t xml:space="preserve">XXXIX. Servidor público habilitado: </w:t>
      </w:r>
      <w:r w:rsidRPr="002D5CB9">
        <w:rPr>
          <w:rFonts w:eastAsia="Palatino Linotype"/>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04AE3848" w14:textId="77777777" w:rsidR="00442068" w:rsidRPr="002D5CB9" w:rsidRDefault="00442068" w:rsidP="002D5CB9">
      <w:pPr>
        <w:pStyle w:val="Puesto"/>
        <w:rPr>
          <w:rFonts w:eastAsia="Palatino Linotype"/>
        </w:rPr>
      </w:pPr>
      <w:r w:rsidRPr="002D5CB9">
        <w:rPr>
          <w:rFonts w:eastAsia="Palatino Linotype"/>
        </w:rPr>
        <w:t>…</w:t>
      </w:r>
    </w:p>
    <w:p w14:paraId="2AB1C36D" w14:textId="77777777" w:rsidR="00442068" w:rsidRPr="002D5CB9" w:rsidRDefault="00442068" w:rsidP="002D5CB9">
      <w:pPr>
        <w:pStyle w:val="Puesto"/>
        <w:rPr>
          <w:rFonts w:eastAsia="Palatino Linotype"/>
        </w:rPr>
      </w:pPr>
      <w:r w:rsidRPr="002D5CB9">
        <w:rPr>
          <w:rFonts w:eastAsia="Palatino Linotype"/>
          <w:b/>
        </w:rPr>
        <w:t>Artículo 58.</w:t>
      </w:r>
      <w:r w:rsidRPr="002D5CB9">
        <w:rPr>
          <w:rFonts w:eastAsia="Palatino Linotype"/>
        </w:rPr>
        <w:t xml:space="preserve"> Los servidores públicos habilitados serán designados por el titular del sujeto obligado a propuesta del responsable de la Unidad de Transparencia.</w:t>
      </w:r>
    </w:p>
    <w:p w14:paraId="00A2F8F4" w14:textId="77777777" w:rsidR="00442068" w:rsidRPr="002D5CB9" w:rsidRDefault="00442068" w:rsidP="002D5CB9">
      <w:pPr>
        <w:pStyle w:val="Puesto"/>
        <w:rPr>
          <w:rFonts w:eastAsia="Palatino Linotype"/>
        </w:rPr>
      </w:pPr>
      <w:r w:rsidRPr="002D5CB9">
        <w:rPr>
          <w:rFonts w:eastAsia="Palatino Linotype"/>
          <w:b/>
        </w:rPr>
        <w:t>Artículo 59.</w:t>
      </w:r>
      <w:r w:rsidRPr="002D5CB9">
        <w:rPr>
          <w:rFonts w:eastAsia="Palatino Linotype"/>
        </w:rPr>
        <w:t xml:space="preserve"> </w:t>
      </w:r>
      <w:r w:rsidRPr="002D5CB9">
        <w:rPr>
          <w:rFonts w:eastAsia="Palatino Linotype"/>
          <w:b/>
          <w:u w:val="single"/>
        </w:rPr>
        <w:t>Los servidores públicos habilitados</w:t>
      </w:r>
      <w:r w:rsidRPr="002D5CB9">
        <w:rPr>
          <w:rFonts w:eastAsia="Palatino Linotype"/>
        </w:rPr>
        <w:t xml:space="preserve"> tendrán las funciones siguientes:</w:t>
      </w:r>
    </w:p>
    <w:p w14:paraId="07355FA4" w14:textId="77777777" w:rsidR="00442068" w:rsidRPr="002D5CB9" w:rsidRDefault="00442068" w:rsidP="002D5CB9">
      <w:pPr>
        <w:pStyle w:val="Puesto"/>
        <w:rPr>
          <w:rFonts w:eastAsia="Palatino Linotype"/>
        </w:rPr>
      </w:pPr>
      <w:r w:rsidRPr="002D5CB9">
        <w:rPr>
          <w:rFonts w:eastAsia="Palatino Linotype"/>
        </w:rPr>
        <w:t xml:space="preserve">I. </w:t>
      </w:r>
      <w:r w:rsidRPr="002D5CB9">
        <w:rPr>
          <w:rFonts w:eastAsia="Palatino Linotype"/>
          <w:b/>
          <w:u w:val="single"/>
        </w:rPr>
        <w:t>Localizar la información que le solicite la Unidad de Transparencia</w:t>
      </w:r>
      <w:r w:rsidRPr="002D5CB9">
        <w:rPr>
          <w:rFonts w:eastAsia="Palatino Linotype"/>
        </w:rPr>
        <w:t>;</w:t>
      </w:r>
    </w:p>
    <w:p w14:paraId="25A2D67F" w14:textId="77777777" w:rsidR="00442068" w:rsidRPr="002D5CB9" w:rsidRDefault="00442068" w:rsidP="002D5CB9">
      <w:pPr>
        <w:pStyle w:val="Puesto"/>
        <w:rPr>
          <w:rFonts w:eastAsia="Palatino Linotype"/>
          <w:b/>
        </w:rPr>
      </w:pPr>
      <w:r w:rsidRPr="002D5CB9">
        <w:rPr>
          <w:rFonts w:eastAsia="Palatino Linotype"/>
          <w:b/>
        </w:rPr>
        <w:t>II. Proporcionar la información que obre en los archivos y que le sea solicitada por la Unidad de Transparencia;</w:t>
      </w:r>
    </w:p>
    <w:p w14:paraId="730B82CA" w14:textId="77777777" w:rsidR="00442068" w:rsidRPr="002D5CB9" w:rsidRDefault="00442068" w:rsidP="002D5CB9">
      <w:pPr>
        <w:pStyle w:val="Puesto"/>
        <w:rPr>
          <w:rFonts w:eastAsia="Palatino Linotype"/>
        </w:rPr>
      </w:pPr>
      <w:r w:rsidRPr="002D5CB9">
        <w:rPr>
          <w:rFonts w:eastAsia="Palatino Linotype"/>
        </w:rPr>
        <w:lastRenderedPageBreak/>
        <w:t>III. Apoyar a la Unidad de Transparencia en lo que esta le solicite para el cumplimiento de sus funciones;</w:t>
      </w:r>
    </w:p>
    <w:p w14:paraId="1BA56DDE" w14:textId="77777777" w:rsidR="00442068" w:rsidRPr="002D5CB9" w:rsidRDefault="00442068" w:rsidP="002D5CB9">
      <w:pPr>
        <w:pStyle w:val="Puesto"/>
        <w:rPr>
          <w:rFonts w:eastAsia="Palatino Linotype"/>
        </w:rPr>
      </w:pPr>
      <w:r w:rsidRPr="002D5CB9">
        <w:rPr>
          <w:rFonts w:eastAsia="Palatino Linotype"/>
        </w:rPr>
        <w:t>IV. Proporcionar a la Unidad de Transparencia, las modificaciones a la información pública de oficio que obre en su poder;</w:t>
      </w:r>
    </w:p>
    <w:p w14:paraId="34749DDD" w14:textId="77777777" w:rsidR="00442068" w:rsidRPr="002D5CB9" w:rsidRDefault="00442068" w:rsidP="002D5CB9">
      <w:pPr>
        <w:pStyle w:val="Puesto"/>
        <w:rPr>
          <w:rFonts w:eastAsia="Palatino Linotype"/>
        </w:rPr>
      </w:pPr>
      <w:r w:rsidRPr="002D5CB9">
        <w:rPr>
          <w:rFonts w:eastAsia="Palatino Linotype"/>
        </w:rPr>
        <w:t>V. Integrar y presentar al responsable de la Unidad de Transparencia la propuesta de clasificación de información, la cual tendrá los fundamentos y argumentos en que se basa dicha propuesta;</w:t>
      </w:r>
    </w:p>
    <w:p w14:paraId="78D8F44F" w14:textId="77777777" w:rsidR="00442068" w:rsidRPr="002D5CB9" w:rsidRDefault="00442068" w:rsidP="002D5CB9">
      <w:pPr>
        <w:pStyle w:val="Puesto"/>
        <w:rPr>
          <w:rFonts w:eastAsia="Palatino Linotype"/>
        </w:rPr>
      </w:pPr>
      <w:r w:rsidRPr="002D5CB9">
        <w:rPr>
          <w:rFonts w:eastAsia="Palatino Linotype"/>
        </w:rPr>
        <w:t>VI. Verificar, una vez analizado el contenido de la información, que no se encuentre en los supuestos de información clasificada; y</w:t>
      </w:r>
    </w:p>
    <w:p w14:paraId="3621706A" w14:textId="77777777" w:rsidR="00442068" w:rsidRPr="002D5CB9" w:rsidRDefault="00442068" w:rsidP="002D5CB9">
      <w:pPr>
        <w:pStyle w:val="Puesto"/>
        <w:rPr>
          <w:rFonts w:eastAsia="Palatino Linotype"/>
        </w:rPr>
      </w:pPr>
      <w:r w:rsidRPr="002D5CB9">
        <w:rPr>
          <w:rFonts w:eastAsia="Palatino Linotype"/>
        </w:rPr>
        <w:t>VII. Dar cuenta a la Unidad de Transparencia del vencimiento de los plazos de reserva.” (Sic)</w:t>
      </w:r>
    </w:p>
    <w:p w14:paraId="6848792E" w14:textId="77777777" w:rsidR="00A734A6" w:rsidRPr="002D5CB9" w:rsidRDefault="00A734A6" w:rsidP="002D5CB9">
      <w:pPr>
        <w:rPr>
          <w:rFonts w:eastAsia="Palatino Linotype" w:cs="Palatino Linotype"/>
          <w:szCs w:val="22"/>
        </w:rPr>
      </w:pPr>
    </w:p>
    <w:p w14:paraId="2685BFA0" w14:textId="1F063317" w:rsidR="00CF5D32" w:rsidRPr="002D5CB9" w:rsidRDefault="00442068" w:rsidP="002D5CB9">
      <w:pPr>
        <w:rPr>
          <w:rFonts w:eastAsia="Palatino Linotype" w:cs="Palatino Linotype"/>
          <w:szCs w:val="22"/>
        </w:rPr>
      </w:pPr>
      <w:r w:rsidRPr="002D5CB9">
        <w:rPr>
          <w:rFonts w:eastAsia="Palatino Linotype" w:cs="Palatino Linotype"/>
          <w:szCs w:val="22"/>
        </w:rPr>
        <w:t xml:space="preserve">No obstante, dentro de la solicitud de información se advierte que </w:t>
      </w:r>
      <w:r w:rsidRPr="002D5CB9">
        <w:rPr>
          <w:rFonts w:eastAsia="Palatino Linotype" w:cs="Palatino Linotype"/>
          <w:b/>
          <w:szCs w:val="22"/>
        </w:rPr>
        <w:t>LA PARTE RECURRENTE</w:t>
      </w:r>
      <w:r w:rsidRPr="002D5CB9">
        <w:rPr>
          <w:rFonts w:eastAsia="Palatino Linotype" w:cs="Palatino Linotype"/>
          <w:szCs w:val="22"/>
        </w:rPr>
        <w:t xml:space="preserve"> pide información relativa </w:t>
      </w:r>
      <w:r w:rsidR="00CF5D32" w:rsidRPr="002D5CB9">
        <w:rPr>
          <w:rFonts w:eastAsia="Palatino Linotype" w:cs="Palatino Linotype"/>
          <w:szCs w:val="22"/>
        </w:rPr>
        <w:t>expedientes de contratación de empresas, así como lo relativo a adquisiciones</w:t>
      </w:r>
      <w:r w:rsidR="00B0366C" w:rsidRPr="002D5CB9">
        <w:rPr>
          <w:rFonts w:eastAsia="Palatino Linotype" w:cs="Palatino Linotype"/>
          <w:szCs w:val="22"/>
        </w:rPr>
        <w:t>, por lo que conviene analizar la naturaleza de la información.</w:t>
      </w:r>
    </w:p>
    <w:p w14:paraId="2D795EFF" w14:textId="77777777" w:rsidR="00B0366C" w:rsidRPr="002D5CB9" w:rsidRDefault="00B0366C" w:rsidP="002D5CB9">
      <w:pPr>
        <w:rPr>
          <w:rFonts w:eastAsia="Palatino Linotype" w:cs="Palatino Linotype"/>
          <w:szCs w:val="22"/>
        </w:rPr>
      </w:pPr>
    </w:p>
    <w:p w14:paraId="400CC665" w14:textId="77777777" w:rsidR="00B0366C" w:rsidRPr="002D5CB9" w:rsidRDefault="00B0366C" w:rsidP="002D5CB9">
      <w:pPr>
        <w:rPr>
          <w:rFonts w:cs="Tahoma"/>
          <w:bCs/>
          <w:iCs/>
          <w:lang w:val="es-ES_tradnl"/>
        </w:rPr>
      </w:pPr>
      <w:r w:rsidRPr="002D5CB9">
        <w:rPr>
          <w:rFonts w:cs="Tahoma"/>
          <w:bCs/>
          <w:iCs/>
          <w:lang w:val="es-ES_tradnl"/>
        </w:rPr>
        <w:t xml:space="preserve">En este sentido, respecto de la contratación, López Olvera, Miguel Alejandro </w:t>
      </w:r>
      <w:proofErr w:type="spellStart"/>
      <w:r w:rsidRPr="002D5CB9">
        <w:rPr>
          <w:rFonts w:cs="Tahoma"/>
          <w:bCs/>
          <w:iCs/>
          <w:lang w:val="es-ES_tradnl"/>
        </w:rPr>
        <w:t>Cancino</w:t>
      </w:r>
      <w:proofErr w:type="spellEnd"/>
      <w:r w:rsidRPr="002D5CB9">
        <w:rPr>
          <w:rFonts w:cs="Tahoma"/>
          <w:bCs/>
          <w:iCs/>
          <w:lang w:val="es-ES_tradnl"/>
        </w:rPr>
        <w:t xml:space="preserve"> Gómez, Rodolfo. (2020). “La Contratación Pública y el Sistema Nacional Anticorrupción”. (p. 4) señala que, la </w:t>
      </w:r>
      <w:r w:rsidRPr="002D5CB9">
        <w:rPr>
          <w:rFonts w:cs="Tahoma"/>
          <w:b/>
          <w:bCs/>
          <w:iCs/>
          <w:lang w:val="es-ES_tradnl"/>
        </w:rPr>
        <w:t>contratación pública</w:t>
      </w:r>
      <w:r w:rsidRPr="002D5CB9">
        <w:rPr>
          <w:rFonts w:cs="Tahoma"/>
          <w:bCs/>
          <w:iCs/>
          <w:lang w:val="es-ES_tradnl"/>
        </w:rPr>
        <w:t>, es el procedimiento de carácter administrativo, por medio del cual, un ente público selecciona y posteriormente, celebra un acuerdo de voluntades, con una persona física o jurídica colectiva, para que ésta, preste algún servicio público o lleve a cabo la ejecución de una obra pública, con recursos públicos del Estado y en beneficio de la colectividad. </w:t>
      </w:r>
    </w:p>
    <w:p w14:paraId="4523DA7F" w14:textId="77777777" w:rsidR="00B0366C" w:rsidRPr="002D5CB9" w:rsidRDefault="00B0366C" w:rsidP="002D5CB9">
      <w:pPr>
        <w:rPr>
          <w:rFonts w:cs="Tahoma"/>
          <w:bCs/>
          <w:iCs/>
          <w:lang w:val="es-ES_tradnl"/>
        </w:rPr>
      </w:pPr>
    </w:p>
    <w:p w14:paraId="0B8210C2" w14:textId="77777777" w:rsidR="00B0366C" w:rsidRPr="002D5CB9" w:rsidRDefault="00B0366C" w:rsidP="002D5CB9">
      <w:pPr>
        <w:contextualSpacing/>
        <w:rPr>
          <w:rFonts w:eastAsia="Calibri" w:cs="Tahoma"/>
        </w:rPr>
      </w:pPr>
      <w:r w:rsidRPr="002D5CB9">
        <w:rPr>
          <w:rFonts w:eastAsia="Calibri" w:cs="Tahoma"/>
        </w:rPr>
        <w:t>Por otra parte, los artículos 1°, fracción IV, y 4° de la Ley de la de Contratación Pública del Estado de México y Municipios, especifica que los organismos auxiliares y fideicomisos públicos, de carácter estatal o municipal, serán los encargados de realizar los actos relativos a la planeación, programación, presupuestación, ejecución y control de la adquisición (bienes muebles e inmuebles), arrendamiento (bienes muebles e inmuebles), y la contratación de servicios de cualquier naturaleza.</w:t>
      </w:r>
    </w:p>
    <w:p w14:paraId="17C9950E" w14:textId="77777777" w:rsidR="00B0366C" w:rsidRPr="002D5CB9" w:rsidRDefault="00B0366C" w:rsidP="002D5CB9">
      <w:pPr>
        <w:contextualSpacing/>
        <w:rPr>
          <w:rFonts w:eastAsia="Calibri" w:cs="Tahoma"/>
        </w:rPr>
      </w:pPr>
      <w:r w:rsidRPr="002D5CB9">
        <w:rPr>
          <w:rFonts w:eastAsia="Calibri" w:cs="Tahoma"/>
        </w:rPr>
        <w:lastRenderedPageBreak/>
        <w:t xml:space="preserve"> </w:t>
      </w:r>
    </w:p>
    <w:p w14:paraId="2B6804DE" w14:textId="77777777" w:rsidR="00B0366C" w:rsidRPr="002D5CB9" w:rsidRDefault="00B0366C" w:rsidP="002D5CB9">
      <w:pPr>
        <w:contextualSpacing/>
        <w:rPr>
          <w:rFonts w:eastAsia="Calibri" w:cs="Tahoma"/>
        </w:rPr>
      </w:pPr>
      <w:r w:rsidRPr="002D5CB9">
        <w:rPr>
          <w:rFonts w:eastAsia="Calibri" w:cs="Tahoma"/>
        </w:rPr>
        <w:t xml:space="preserve">En ese contexto, conforme a los artículos 26 y 27 de dicho ordenamiento jurídico, las adquisiciones, arrendamientos y servicios, se adjudicarán a través de procedimientos de </w:t>
      </w:r>
      <w:r w:rsidRPr="002D5CB9">
        <w:rPr>
          <w:rFonts w:eastAsia="Calibri" w:cs="Tahoma"/>
          <w:b/>
          <w:bCs/>
        </w:rPr>
        <w:t>licitación pública, invitación restringida y adjudicación directa.</w:t>
      </w:r>
    </w:p>
    <w:p w14:paraId="508F76C3" w14:textId="77777777" w:rsidR="00B0366C" w:rsidRPr="002D5CB9" w:rsidRDefault="00B0366C" w:rsidP="002D5CB9">
      <w:pPr>
        <w:ind w:left="708" w:hanging="708"/>
        <w:contextualSpacing/>
        <w:rPr>
          <w:rFonts w:cs="Tahoma"/>
        </w:rPr>
      </w:pPr>
    </w:p>
    <w:p w14:paraId="2ACC06EF" w14:textId="77777777" w:rsidR="00B0366C" w:rsidRPr="002D5CB9" w:rsidRDefault="00B0366C" w:rsidP="002D5CB9">
      <w:pPr>
        <w:rPr>
          <w:rFonts w:cs="Tahoma"/>
          <w:lang w:val="es-ES"/>
        </w:rPr>
      </w:pPr>
      <w:r w:rsidRPr="002D5CB9">
        <w:rPr>
          <w:rFonts w:cs="Tahoma"/>
          <w:iCs/>
          <w:lang w:val="es-ES"/>
        </w:rPr>
        <w:t>Además</w:t>
      </w:r>
      <w:r w:rsidRPr="002D5CB9">
        <w:rPr>
          <w:rFonts w:cs="Tahoma"/>
          <w:lang w:val="es-ES"/>
        </w:rPr>
        <w:t xml:space="preserve">, conforme al artículo 65 de la </w:t>
      </w:r>
      <w:r w:rsidRPr="002D5CB9">
        <w:rPr>
          <w:rFonts w:eastAsia="Calibri" w:cs="Tahoma"/>
        </w:rPr>
        <w:t>Ley de la de Contratación Pública del Estado de México y Municipios</w:t>
      </w:r>
      <w:r w:rsidRPr="002D5CB9">
        <w:rPr>
          <w:rFonts w:cs="Tahoma"/>
          <w:lang w:val="es-ES"/>
        </w:rPr>
        <w:t xml:space="preserve">, la adjudicación de un procedimiento de </w:t>
      </w:r>
      <w:r w:rsidRPr="002D5CB9">
        <w:rPr>
          <w:rFonts w:cs="Tahoma"/>
          <w:b/>
          <w:bCs/>
          <w:lang w:val="es-ES"/>
        </w:rPr>
        <w:t>adquisición y arrendamiento de bienes, contratación de servicios y ejecución de obra,</w:t>
      </w:r>
      <w:r w:rsidRPr="002D5CB9">
        <w:rPr>
          <w:rFonts w:cs="Tahoma"/>
          <w:lang w:val="es-ES"/>
        </w:rPr>
        <w:t xml:space="preserve"> se realizará mediante la suscripción de un contrato, entre la Dependencia Pública y la persona a la cual haya ganado el procedimiento respectivo, dentro de los diez días hábiles siguientes a la notificación del fallo.</w:t>
      </w:r>
    </w:p>
    <w:p w14:paraId="7032CE78" w14:textId="77777777" w:rsidR="00B0366C" w:rsidRPr="002D5CB9" w:rsidRDefault="00B0366C" w:rsidP="002D5CB9">
      <w:pPr>
        <w:ind w:right="-28"/>
        <w:contextualSpacing/>
        <w:rPr>
          <w:rFonts w:cs="Tahoma"/>
        </w:rPr>
      </w:pPr>
    </w:p>
    <w:p w14:paraId="6827D504" w14:textId="77777777" w:rsidR="00B0366C" w:rsidRPr="002D5CB9" w:rsidRDefault="00B0366C" w:rsidP="002D5CB9">
      <w:pPr>
        <w:ind w:right="-28"/>
        <w:contextualSpacing/>
        <w:rPr>
          <w:rFonts w:eastAsia="Calibri" w:cs="Tahoma"/>
        </w:rPr>
      </w:pPr>
      <w:r w:rsidRPr="002D5CB9">
        <w:rPr>
          <w:rFonts w:cs="Tahoma"/>
          <w:iCs/>
          <w:lang w:val="es-ES"/>
        </w:rPr>
        <w:t xml:space="preserve">Además, el artículo 14 y 15 del Reglamento de la </w:t>
      </w:r>
      <w:r w:rsidRPr="002D5CB9">
        <w:rPr>
          <w:rFonts w:eastAsia="Calibri" w:cs="Tahoma"/>
        </w:rPr>
        <w:t>Ley de la de Contratación Pública del Estado de México y Municipios, precisan que previo a la realización de los procedimientos previamente referidos, las unidades administrativas requirentes deberán realizar una solicitud de adquisición de bienes o contratación de servicios, el cual deberá contener además el documento que avale la suficiencia presupuestal.</w:t>
      </w:r>
    </w:p>
    <w:p w14:paraId="5B23EB5E" w14:textId="77777777" w:rsidR="00B0366C" w:rsidRPr="002D5CB9" w:rsidRDefault="00B0366C" w:rsidP="002D5CB9">
      <w:pPr>
        <w:ind w:right="-28"/>
        <w:contextualSpacing/>
        <w:rPr>
          <w:rFonts w:cs="Tahoma"/>
        </w:rPr>
      </w:pPr>
    </w:p>
    <w:p w14:paraId="0C096B17" w14:textId="77777777" w:rsidR="00B0366C" w:rsidRPr="002D5CB9" w:rsidRDefault="00B0366C" w:rsidP="002D5CB9">
      <w:pPr>
        <w:rPr>
          <w:rFonts w:eastAsia="Calibri"/>
          <w:lang w:val="es-ES_tradnl"/>
        </w:rPr>
      </w:pPr>
      <w:r w:rsidRPr="002D5CB9">
        <w:rPr>
          <w:rFonts w:eastAsia="Calibri" w:cs="Tahoma"/>
          <w:iCs/>
          <w:lang w:val="es-ES_tradnl" w:eastAsia="es-ES_tradnl"/>
        </w:rPr>
        <w:t>Por su parte, el</w:t>
      </w:r>
      <w:r w:rsidRPr="002D5CB9">
        <w:rPr>
          <w:rFonts w:eastAsia="Calibri"/>
          <w:lang w:val="es-ES_tradnl"/>
        </w:rPr>
        <w:t xml:space="preserve"> artículo 12.4 del Código Administrativo del Estado de México, establece que las obras públicas son aquellas cuyo objeto principal es construir, instalar, ampliar, adecuar, remodelar, restaurar, conservar, mantener, modificar o demoler bienes inmuebles de los municipios con cargo a recursos públicos estatales y municipales; así como los trabajos de exploración, localización y perforación, mejoramiento de suelo y subsuelo, la infraestructura agropecuaria e hidroagrícola, entre otros. </w:t>
      </w:r>
    </w:p>
    <w:p w14:paraId="605E0115" w14:textId="77777777" w:rsidR="00B0366C" w:rsidRPr="002D5CB9" w:rsidRDefault="00B0366C" w:rsidP="002D5CB9">
      <w:pPr>
        <w:rPr>
          <w:rFonts w:cs="Tahoma"/>
          <w:lang w:val="es-ES"/>
        </w:rPr>
      </w:pPr>
    </w:p>
    <w:p w14:paraId="115C7785" w14:textId="77777777" w:rsidR="00B0366C" w:rsidRPr="002D5CB9" w:rsidRDefault="00B0366C" w:rsidP="002D5CB9">
      <w:pPr>
        <w:tabs>
          <w:tab w:val="left" w:pos="4962"/>
        </w:tabs>
        <w:contextualSpacing/>
        <w:rPr>
          <w:rFonts w:cs="Tahoma"/>
          <w:iCs/>
        </w:rPr>
      </w:pPr>
      <w:r w:rsidRPr="002D5CB9">
        <w:rPr>
          <w:rFonts w:cs="Tahoma"/>
          <w:lang w:val="es-ES"/>
        </w:rPr>
        <w:t xml:space="preserve">Así, el artículo 92, fracción XXIX, de la Ley de Transparencia y Acceso a la Información Pública del Estado de México y Municipios, </w:t>
      </w:r>
      <w:r w:rsidRPr="002D5CB9">
        <w:rPr>
          <w:rFonts w:cs="Tahoma"/>
          <w:iCs/>
          <w:lang w:val="es-ES_tradnl"/>
        </w:rPr>
        <w:t xml:space="preserve">precisa que es </w:t>
      </w:r>
      <w:r w:rsidRPr="002D5CB9">
        <w:rPr>
          <w:rFonts w:cs="Tahoma"/>
          <w:b/>
          <w:iCs/>
          <w:lang w:val="es-ES_tradnl"/>
        </w:rPr>
        <w:t xml:space="preserve">información que es pública de oficio, </w:t>
      </w:r>
      <w:r w:rsidRPr="002D5CB9">
        <w:rPr>
          <w:rFonts w:cs="Tahoma"/>
          <w:iCs/>
          <w:lang w:val="es-ES_tradnl"/>
        </w:rPr>
        <w:t>la</w:t>
      </w:r>
      <w:r w:rsidRPr="002D5CB9">
        <w:rPr>
          <w:rFonts w:cs="Tahoma"/>
          <w:b/>
          <w:iCs/>
          <w:lang w:val="es-ES_tradnl"/>
        </w:rPr>
        <w:t xml:space="preserve"> </w:t>
      </w:r>
      <w:r w:rsidRPr="002D5CB9">
        <w:rPr>
          <w:rFonts w:cs="Tahoma"/>
          <w:iCs/>
          <w:lang w:val="es-ES_tradnl"/>
        </w:rPr>
        <w:lastRenderedPageBreak/>
        <w:t xml:space="preserve">documentación sobre los procesos y resultados sobre procedimientos de adjudicación directa, invitación restringida y licitación pública, </w:t>
      </w:r>
      <w:r w:rsidRPr="002D5CB9">
        <w:rPr>
          <w:rFonts w:cs="Tahoma"/>
          <w:b/>
          <w:iCs/>
          <w:lang w:val="es-ES_tradnl"/>
        </w:rPr>
        <w:t xml:space="preserve">que incluye la versión pública del expediente respectivo y de los contratos celebrados, </w:t>
      </w:r>
      <w:r w:rsidRPr="002D5CB9">
        <w:rPr>
          <w:rFonts w:cs="Tahoma"/>
          <w:iCs/>
        </w:rPr>
        <w:t>que deben incluir lo siguiente:</w:t>
      </w:r>
    </w:p>
    <w:p w14:paraId="2361EA95" w14:textId="77777777" w:rsidR="00B0366C" w:rsidRPr="002D5CB9" w:rsidRDefault="00B0366C" w:rsidP="002D5CB9">
      <w:pPr>
        <w:tabs>
          <w:tab w:val="left" w:pos="4962"/>
        </w:tabs>
        <w:contextualSpacing/>
        <w:rPr>
          <w:rFonts w:cs="Tahoma"/>
          <w:iCs/>
        </w:rPr>
      </w:pPr>
    </w:p>
    <w:tbl>
      <w:tblPr>
        <w:tblStyle w:val="Tablaconcuadrcula"/>
        <w:tblW w:w="0" w:type="auto"/>
        <w:jc w:val="center"/>
        <w:tblLook w:val="04A0" w:firstRow="1" w:lastRow="0" w:firstColumn="1" w:lastColumn="0" w:noHBand="0" w:noVBand="1"/>
      </w:tblPr>
      <w:tblGrid>
        <w:gridCol w:w="3011"/>
        <w:gridCol w:w="3011"/>
        <w:gridCol w:w="3012"/>
      </w:tblGrid>
      <w:tr w:rsidR="002D5CB9" w:rsidRPr="002D5CB9" w14:paraId="2D8CE932" w14:textId="77777777" w:rsidTr="00A734A6">
        <w:trPr>
          <w:tblHeader/>
          <w:jc w:val="center"/>
        </w:trPr>
        <w:tc>
          <w:tcPr>
            <w:tcW w:w="3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71119E" w14:textId="77777777" w:rsidR="00B0366C" w:rsidRPr="002D5CB9" w:rsidRDefault="00B0366C" w:rsidP="002D5CB9">
            <w:pPr>
              <w:spacing w:line="240" w:lineRule="auto"/>
              <w:ind w:right="-93"/>
              <w:jc w:val="center"/>
              <w:rPr>
                <w:rFonts w:eastAsia="Calibri" w:cs="Tahoma"/>
                <w:b/>
                <w:iCs/>
                <w:lang w:eastAsia="es-ES_tradnl"/>
              </w:rPr>
            </w:pPr>
            <w:r w:rsidRPr="002D5CB9">
              <w:rPr>
                <w:rFonts w:eastAsia="Calibri" w:cs="Tahoma"/>
                <w:b/>
                <w:iCs/>
                <w:sz w:val="20"/>
                <w:lang w:eastAsia="es-ES_tradnl"/>
              </w:rPr>
              <w:t>Licitación Pública</w:t>
            </w:r>
          </w:p>
        </w:tc>
        <w:tc>
          <w:tcPr>
            <w:tcW w:w="3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BDE324" w14:textId="77777777" w:rsidR="00B0366C" w:rsidRPr="002D5CB9" w:rsidRDefault="00B0366C" w:rsidP="002D5CB9">
            <w:pPr>
              <w:spacing w:line="240" w:lineRule="auto"/>
              <w:ind w:right="-93"/>
              <w:jc w:val="center"/>
              <w:rPr>
                <w:rFonts w:eastAsia="Calibri" w:cs="Tahoma"/>
                <w:b/>
                <w:iCs/>
                <w:sz w:val="20"/>
                <w:lang w:eastAsia="es-ES_tradnl"/>
              </w:rPr>
            </w:pPr>
            <w:r w:rsidRPr="002D5CB9">
              <w:rPr>
                <w:rFonts w:eastAsia="Calibri" w:cs="Tahoma"/>
                <w:b/>
                <w:iCs/>
                <w:sz w:val="20"/>
                <w:lang w:eastAsia="es-ES_tradnl"/>
              </w:rPr>
              <w:t>Invitación Restringida</w:t>
            </w:r>
          </w:p>
        </w:tc>
        <w:tc>
          <w:tcPr>
            <w:tcW w:w="3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FC8F3" w14:textId="77777777" w:rsidR="00B0366C" w:rsidRPr="002D5CB9" w:rsidRDefault="00B0366C" w:rsidP="002D5CB9">
            <w:pPr>
              <w:spacing w:line="240" w:lineRule="auto"/>
              <w:ind w:right="-93"/>
              <w:jc w:val="center"/>
              <w:rPr>
                <w:rFonts w:eastAsia="Calibri" w:cs="Tahoma"/>
                <w:b/>
                <w:iCs/>
                <w:sz w:val="20"/>
                <w:lang w:eastAsia="es-ES_tradnl"/>
              </w:rPr>
            </w:pPr>
            <w:r w:rsidRPr="002D5CB9">
              <w:rPr>
                <w:rFonts w:eastAsia="Calibri" w:cs="Tahoma"/>
                <w:b/>
                <w:iCs/>
                <w:sz w:val="20"/>
                <w:lang w:eastAsia="es-ES_tradnl"/>
              </w:rPr>
              <w:t>Adjudicación Directa</w:t>
            </w:r>
          </w:p>
        </w:tc>
      </w:tr>
      <w:tr w:rsidR="002D5CB9" w:rsidRPr="002D5CB9" w14:paraId="63A055CC" w14:textId="77777777" w:rsidTr="008C21E6">
        <w:trPr>
          <w:jc w:val="center"/>
        </w:trPr>
        <w:tc>
          <w:tcPr>
            <w:tcW w:w="3011" w:type="dxa"/>
            <w:tcBorders>
              <w:top w:val="single" w:sz="4" w:space="0" w:color="auto"/>
              <w:left w:val="single" w:sz="4" w:space="0" w:color="auto"/>
              <w:bottom w:val="single" w:sz="4" w:space="0" w:color="auto"/>
              <w:right w:val="single" w:sz="4" w:space="0" w:color="auto"/>
            </w:tcBorders>
            <w:hideMark/>
          </w:tcPr>
          <w:p w14:paraId="11DAF19E"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Convocatoria y fundamentos legales</w:t>
            </w:r>
          </w:p>
        </w:tc>
        <w:tc>
          <w:tcPr>
            <w:tcW w:w="3011" w:type="dxa"/>
            <w:tcBorders>
              <w:top w:val="single" w:sz="4" w:space="0" w:color="auto"/>
              <w:left w:val="single" w:sz="4" w:space="0" w:color="auto"/>
              <w:bottom w:val="single" w:sz="4" w:space="0" w:color="auto"/>
              <w:right w:val="single" w:sz="4" w:space="0" w:color="auto"/>
            </w:tcBorders>
            <w:hideMark/>
          </w:tcPr>
          <w:p w14:paraId="1773F4B2"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Invitación y fundamentos legales</w:t>
            </w:r>
          </w:p>
        </w:tc>
        <w:tc>
          <w:tcPr>
            <w:tcW w:w="3012" w:type="dxa"/>
            <w:tcBorders>
              <w:top w:val="single" w:sz="4" w:space="0" w:color="auto"/>
              <w:left w:val="single" w:sz="4" w:space="0" w:color="auto"/>
              <w:bottom w:val="single" w:sz="4" w:space="0" w:color="auto"/>
              <w:right w:val="single" w:sz="4" w:space="0" w:color="auto"/>
            </w:tcBorders>
            <w:hideMark/>
          </w:tcPr>
          <w:p w14:paraId="567F1047"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Propuesta enviada por el participante</w:t>
            </w:r>
          </w:p>
        </w:tc>
      </w:tr>
      <w:tr w:rsidR="002D5CB9" w:rsidRPr="002D5CB9" w14:paraId="7D2B913F" w14:textId="77777777" w:rsidTr="008C21E6">
        <w:trPr>
          <w:jc w:val="center"/>
        </w:trPr>
        <w:tc>
          <w:tcPr>
            <w:tcW w:w="3011" w:type="dxa"/>
            <w:tcBorders>
              <w:top w:val="single" w:sz="4" w:space="0" w:color="auto"/>
              <w:left w:val="single" w:sz="4" w:space="0" w:color="auto"/>
              <w:bottom w:val="single" w:sz="4" w:space="0" w:color="auto"/>
              <w:right w:val="single" w:sz="4" w:space="0" w:color="auto"/>
            </w:tcBorders>
            <w:hideMark/>
          </w:tcPr>
          <w:p w14:paraId="1908636E"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Nombre de los participantes</w:t>
            </w:r>
          </w:p>
        </w:tc>
        <w:tc>
          <w:tcPr>
            <w:tcW w:w="3011" w:type="dxa"/>
            <w:tcBorders>
              <w:top w:val="single" w:sz="4" w:space="0" w:color="auto"/>
              <w:left w:val="single" w:sz="4" w:space="0" w:color="auto"/>
              <w:bottom w:val="single" w:sz="4" w:space="0" w:color="auto"/>
              <w:right w:val="single" w:sz="4" w:space="0" w:color="auto"/>
            </w:tcBorders>
            <w:hideMark/>
          </w:tcPr>
          <w:p w14:paraId="71DB3126"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Nombre de los invitados</w:t>
            </w:r>
          </w:p>
        </w:tc>
        <w:tc>
          <w:tcPr>
            <w:tcW w:w="3012" w:type="dxa"/>
            <w:tcBorders>
              <w:top w:val="single" w:sz="4" w:space="0" w:color="auto"/>
              <w:left w:val="single" w:sz="4" w:space="0" w:color="auto"/>
              <w:bottom w:val="single" w:sz="4" w:space="0" w:color="auto"/>
              <w:right w:val="single" w:sz="4" w:space="0" w:color="auto"/>
            </w:tcBorders>
            <w:hideMark/>
          </w:tcPr>
          <w:p w14:paraId="00F975DF"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Motivos y fundamentos legales aplicados para llevar a cabo la adjudicación</w:t>
            </w:r>
          </w:p>
        </w:tc>
      </w:tr>
      <w:tr w:rsidR="002D5CB9" w:rsidRPr="002D5CB9" w14:paraId="2F38A9CE" w14:textId="77777777" w:rsidTr="008C21E6">
        <w:trPr>
          <w:jc w:val="center"/>
        </w:trPr>
        <w:tc>
          <w:tcPr>
            <w:tcW w:w="3011" w:type="dxa"/>
            <w:tcBorders>
              <w:top w:val="single" w:sz="4" w:space="0" w:color="auto"/>
              <w:left w:val="single" w:sz="4" w:space="0" w:color="auto"/>
              <w:bottom w:val="single" w:sz="4" w:space="0" w:color="auto"/>
              <w:right w:val="single" w:sz="4" w:space="0" w:color="auto"/>
            </w:tcBorders>
            <w:hideMark/>
          </w:tcPr>
          <w:p w14:paraId="0B7028A9"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Nombre del ganador y razones que lo justifican</w:t>
            </w:r>
          </w:p>
        </w:tc>
        <w:tc>
          <w:tcPr>
            <w:tcW w:w="3011" w:type="dxa"/>
            <w:tcBorders>
              <w:top w:val="single" w:sz="4" w:space="0" w:color="auto"/>
              <w:left w:val="single" w:sz="4" w:space="0" w:color="auto"/>
              <w:bottom w:val="single" w:sz="4" w:space="0" w:color="auto"/>
              <w:right w:val="single" w:sz="4" w:space="0" w:color="auto"/>
            </w:tcBorders>
            <w:hideMark/>
          </w:tcPr>
          <w:p w14:paraId="68D48354"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Nombre del ganador y razones que lo justifican</w:t>
            </w:r>
          </w:p>
        </w:tc>
        <w:tc>
          <w:tcPr>
            <w:tcW w:w="3012" w:type="dxa"/>
            <w:tcBorders>
              <w:top w:val="single" w:sz="4" w:space="0" w:color="auto"/>
              <w:left w:val="single" w:sz="4" w:space="0" w:color="auto"/>
              <w:bottom w:val="single" w:sz="4" w:space="0" w:color="auto"/>
              <w:right w:val="single" w:sz="4" w:space="0" w:color="auto"/>
            </w:tcBorders>
            <w:hideMark/>
          </w:tcPr>
          <w:p w14:paraId="3BBF269A"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Autorización del ejercicio de la opción</w:t>
            </w:r>
          </w:p>
        </w:tc>
      </w:tr>
      <w:tr w:rsidR="002D5CB9" w:rsidRPr="002D5CB9" w14:paraId="0009943E" w14:textId="77777777" w:rsidTr="008C21E6">
        <w:trPr>
          <w:jc w:val="center"/>
        </w:trPr>
        <w:tc>
          <w:tcPr>
            <w:tcW w:w="3011" w:type="dxa"/>
            <w:tcBorders>
              <w:top w:val="single" w:sz="4" w:space="0" w:color="auto"/>
              <w:left w:val="single" w:sz="4" w:space="0" w:color="auto"/>
              <w:bottom w:val="single" w:sz="4" w:space="0" w:color="auto"/>
              <w:right w:val="single" w:sz="4" w:space="0" w:color="auto"/>
            </w:tcBorders>
            <w:hideMark/>
          </w:tcPr>
          <w:p w14:paraId="2BD6FEBB"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La unidad administrativa solicitante y responsable de la ejecución</w:t>
            </w:r>
          </w:p>
        </w:tc>
        <w:tc>
          <w:tcPr>
            <w:tcW w:w="3011" w:type="dxa"/>
            <w:tcBorders>
              <w:top w:val="single" w:sz="4" w:space="0" w:color="auto"/>
              <w:left w:val="single" w:sz="4" w:space="0" w:color="auto"/>
              <w:bottom w:val="single" w:sz="4" w:space="0" w:color="auto"/>
              <w:right w:val="single" w:sz="4" w:space="0" w:color="auto"/>
            </w:tcBorders>
            <w:hideMark/>
          </w:tcPr>
          <w:p w14:paraId="71F71CEE"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La unidad administrativa solicitante y responsable de la ejecución</w:t>
            </w:r>
          </w:p>
        </w:tc>
        <w:tc>
          <w:tcPr>
            <w:tcW w:w="3012" w:type="dxa"/>
            <w:tcBorders>
              <w:top w:val="single" w:sz="4" w:space="0" w:color="auto"/>
              <w:left w:val="single" w:sz="4" w:space="0" w:color="auto"/>
              <w:bottom w:val="single" w:sz="4" w:space="0" w:color="auto"/>
              <w:right w:val="single" w:sz="4" w:space="0" w:color="auto"/>
            </w:tcBorders>
            <w:hideMark/>
          </w:tcPr>
          <w:p w14:paraId="301DBDDD"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Cotizaciones consideradas, especificando el nombre de los proveedores y sus montos</w:t>
            </w:r>
          </w:p>
        </w:tc>
      </w:tr>
      <w:tr w:rsidR="002D5CB9" w:rsidRPr="002D5CB9" w14:paraId="49FFE6C4" w14:textId="77777777" w:rsidTr="008C21E6">
        <w:trPr>
          <w:jc w:val="center"/>
        </w:trPr>
        <w:tc>
          <w:tcPr>
            <w:tcW w:w="3011" w:type="dxa"/>
            <w:tcBorders>
              <w:top w:val="single" w:sz="4" w:space="0" w:color="auto"/>
              <w:left w:val="single" w:sz="4" w:space="0" w:color="auto"/>
              <w:bottom w:val="single" w:sz="4" w:space="0" w:color="auto"/>
              <w:right w:val="single" w:sz="4" w:space="0" w:color="auto"/>
            </w:tcBorders>
            <w:hideMark/>
          </w:tcPr>
          <w:p w14:paraId="0A88B08B"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Convocatorias emitidas</w:t>
            </w:r>
          </w:p>
        </w:tc>
        <w:tc>
          <w:tcPr>
            <w:tcW w:w="3011" w:type="dxa"/>
            <w:tcBorders>
              <w:top w:val="single" w:sz="4" w:space="0" w:color="auto"/>
              <w:left w:val="single" w:sz="4" w:space="0" w:color="auto"/>
              <w:bottom w:val="single" w:sz="4" w:space="0" w:color="auto"/>
              <w:right w:val="single" w:sz="4" w:space="0" w:color="auto"/>
            </w:tcBorders>
            <w:hideMark/>
          </w:tcPr>
          <w:p w14:paraId="38E989CF"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Invitaciones emitidas</w:t>
            </w:r>
          </w:p>
        </w:tc>
        <w:tc>
          <w:tcPr>
            <w:tcW w:w="3012" w:type="dxa"/>
            <w:tcBorders>
              <w:top w:val="single" w:sz="4" w:space="0" w:color="auto"/>
              <w:left w:val="single" w:sz="4" w:space="0" w:color="auto"/>
              <w:bottom w:val="single" w:sz="4" w:space="0" w:color="auto"/>
              <w:right w:val="single" w:sz="4" w:space="0" w:color="auto"/>
            </w:tcBorders>
            <w:hideMark/>
          </w:tcPr>
          <w:p w14:paraId="72588C01"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Nombre de la persona física o jurídica colectiva adjudicada</w:t>
            </w:r>
          </w:p>
        </w:tc>
      </w:tr>
      <w:tr w:rsidR="002D5CB9" w:rsidRPr="002D5CB9" w14:paraId="22EC5FEC" w14:textId="77777777" w:rsidTr="008C21E6">
        <w:trPr>
          <w:jc w:val="center"/>
        </w:trPr>
        <w:tc>
          <w:tcPr>
            <w:tcW w:w="3011" w:type="dxa"/>
            <w:tcBorders>
              <w:top w:val="single" w:sz="4" w:space="0" w:color="auto"/>
              <w:left w:val="single" w:sz="4" w:space="0" w:color="auto"/>
              <w:bottom w:val="single" w:sz="4" w:space="0" w:color="auto"/>
              <w:right w:val="single" w:sz="4" w:space="0" w:color="auto"/>
            </w:tcBorders>
            <w:hideMark/>
          </w:tcPr>
          <w:p w14:paraId="7944D653"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 xml:space="preserve">Dictámenes y fallos </w:t>
            </w:r>
          </w:p>
        </w:tc>
        <w:tc>
          <w:tcPr>
            <w:tcW w:w="3011" w:type="dxa"/>
            <w:tcBorders>
              <w:top w:val="single" w:sz="4" w:space="0" w:color="auto"/>
              <w:left w:val="single" w:sz="4" w:space="0" w:color="auto"/>
              <w:bottom w:val="single" w:sz="4" w:space="0" w:color="auto"/>
              <w:right w:val="single" w:sz="4" w:space="0" w:color="auto"/>
            </w:tcBorders>
            <w:hideMark/>
          </w:tcPr>
          <w:p w14:paraId="60DF2849"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Dictámenes y fallos</w:t>
            </w:r>
          </w:p>
        </w:tc>
        <w:tc>
          <w:tcPr>
            <w:tcW w:w="3012" w:type="dxa"/>
            <w:tcBorders>
              <w:top w:val="single" w:sz="4" w:space="0" w:color="auto"/>
              <w:left w:val="single" w:sz="4" w:space="0" w:color="auto"/>
              <w:bottom w:val="single" w:sz="4" w:space="0" w:color="auto"/>
              <w:right w:val="single" w:sz="4" w:space="0" w:color="auto"/>
            </w:tcBorders>
            <w:hideMark/>
          </w:tcPr>
          <w:p w14:paraId="6C19555A"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La unidad administrativa solicitante y responsable de la ejecución</w:t>
            </w:r>
          </w:p>
        </w:tc>
      </w:tr>
      <w:tr w:rsidR="002D5CB9" w:rsidRPr="002D5CB9" w14:paraId="3663D8EA" w14:textId="77777777" w:rsidTr="008C21E6">
        <w:trPr>
          <w:jc w:val="center"/>
        </w:trPr>
        <w:tc>
          <w:tcPr>
            <w:tcW w:w="3011" w:type="dxa"/>
            <w:tcBorders>
              <w:top w:val="single" w:sz="4" w:space="0" w:color="auto"/>
              <w:left w:val="single" w:sz="4" w:space="0" w:color="auto"/>
              <w:bottom w:val="single" w:sz="4" w:space="0" w:color="auto"/>
              <w:right w:val="single" w:sz="4" w:space="0" w:color="auto"/>
            </w:tcBorders>
            <w:hideMark/>
          </w:tcPr>
          <w:p w14:paraId="6128AEE2"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Contrato y anexos</w:t>
            </w:r>
          </w:p>
        </w:tc>
        <w:tc>
          <w:tcPr>
            <w:tcW w:w="3011" w:type="dxa"/>
            <w:tcBorders>
              <w:top w:val="single" w:sz="4" w:space="0" w:color="auto"/>
              <w:left w:val="single" w:sz="4" w:space="0" w:color="auto"/>
              <w:bottom w:val="single" w:sz="4" w:space="0" w:color="auto"/>
              <w:right w:val="single" w:sz="4" w:space="0" w:color="auto"/>
            </w:tcBorders>
            <w:hideMark/>
          </w:tcPr>
          <w:p w14:paraId="70C9FF3F"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Contrato y anexos</w:t>
            </w:r>
          </w:p>
        </w:tc>
        <w:tc>
          <w:tcPr>
            <w:tcW w:w="3012" w:type="dxa"/>
            <w:tcBorders>
              <w:top w:val="single" w:sz="4" w:space="0" w:color="auto"/>
              <w:left w:val="single" w:sz="4" w:space="0" w:color="auto"/>
              <w:bottom w:val="single" w:sz="4" w:space="0" w:color="auto"/>
              <w:right w:val="single" w:sz="4" w:space="0" w:color="auto"/>
            </w:tcBorders>
            <w:hideMark/>
          </w:tcPr>
          <w:p w14:paraId="10520A5A"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Número, fecha, monto del contrato, el plazo de entrega o de ejecución de los servicios de obra.</w:t>
            </w:r>
          </w:p>
        </w:tc>
      </w:tr>
      <w:tr w:rsidR="002D5CB9" w:rsidRPr="002D5CB9" w14:paraId="016E4FD5" w14:textId="77777777" w:rsidTr="008C21E6">
        <w:trPr>
          <w:jc w:val="center"/>
        </w:trPr>
        <w:tc>
          <w:tcPr>
            <w:tcW w:w="3011" w:type="dxa"/>
            <w:tcBorders>
              <w:top w:val="single" w:sz="4" w:space="0" w:color="auto"/>
              <w:left w:val="single" w:sz="4" w:space="0" w:color="auto"/>
              <w:bottom w:val="single" w:sz="4" w:space="0" w:color="auto"/>
              <w:right w:val="single" w:sz="4" w:space="0" w:color="auto"/>
            </w:tcBorders>
            <w:hideMark/>
          </w:tcPr>
          <w:p w14:paraId="2F856805"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Los mecanismos de vigilancia y supervisión</w:t>
            </w:r>
          </w:p>
        </w:tc>
        <w:tc>
          <w:tcPr>
            <w:tcW w:w="3011" w:type="dxa"/>
            <w:tcBorders>
              <w:top w:val="single" w:sz="4" w:space="0" w:color="auto"/>
              <w:left w:val="single" w:sz="4" w:space="0" w:color="auto"/>
              <w:bottom w:val="single" w:sz="4" w:space="0" w:color="auto"/>
              <w:right w:val="single" w:sz="4" w:space="0" w:color="auto"/>
            </w:tcBorders>
            <w:hideMark/>
          </w:tcPr>
          <w:p w14:paraId="2BF44795"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Los mecanismos de vigilancia y supervisión</w:t>
            </w:r>
          </w:p>
        </w:tc>
        <w:tc>
          <w:tcPr>
            <w:tcW w:w="3012" w:type="dxa"/>
            <w:tcBorders>
              <w:top w:val="single" w:sz="4" w:space="0" w:color="auto"/>
              <w:left w:val="single" w:sz="4" w:space="0" w:color="auto"/>
              <w:bottom w:val="single" w:sz="4" w:space="0" w:color="auto"/>
              <w:right w:val="single" w:sz="4" w:space="0" w:color="auto"/>
            </w:tcBorders>
            <w:hideMark/>
          </w:tcPr>
          <w:p w14:paraId="556AE8B5"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Los mecanismos de vigilancia y supervisión</w:t>
            </w:r>
          </w:p>
        </w:tc>
      </w:tr>
      <w:tr w:rsidR="002D5CB9" w:rsidRPr="002D5CB9" w14:paraId="53D967DB" w14:textId="77777777" w:rsidTr="008C21E6">
        <w:trPr>
          <w:jc w:val="center"/>
        </w:trPr>
        <w:tc>
          <w:tcPr>
            <w:tcW w:w="3011" w:type="dxa"/>
            <w:tcBorders>
              <w:top w:val="single" w:sz="4" w:space="0" w:color="auto"/>
              <w:left w:val="single" w:sz="4" w:space="0" w:color="auto"/>
              <w:bottom w:val="single" w:sz="4" w:space="0" w:color="auto"/>
              <w:right w:val="single" w:sz="4" w:space="0" w:color="auto"/>
            </w:tcBorders>
            <w:hideMark/>
          </w:tcPr>
          <w:p w14:paraId="7FF95D51"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La partida presupuestal</w:t>
            </w:r>
          </w:p>
        </w:tc>
        <w:tc>
          <w:tcPr>
            <w:tcW w:w="3011" w:type="dxa"/>
            <w:tcBorders>
              <w:top w:val="single" w:sz="4" w:space="0" w:color="auto"/>
              <w:left w:val="single" w:sz="4" w:space="0" w:color="auto"/>
              <w:bottom w:val="single" w:sz="4" w:space="0" w:color="auto"/>
              <w:right w:val="single" w:sz="4" w:space="0" w:color="auto"/>
            </w:tcBorders>
            <w:hideMark/>
          </w:tcPr>
          <w:p w14:paraId="1C7DDC72"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La partida presupuestal</w:t>
            </w:r>
          </w:p>
        </w:tc>
        <w:tc>
          <w:tcPr>
            <w:tcW w:w="3012" w:type="dxa"/>
            <w:tcBorders>
              <w:top w:val="single" w:sz="4" w:space="0" w:color="auto"/>
              <w:left w:val="single" w:sz="4" w:space="0" w:color="auto"/>
              <w:bottom w:val="single" w:sz="4" w:space="0" w:color="auto"/>
              <w:right w:val="single" w:sz="4" w:space="0" w:color="auto"/>
            </w:tcBorders>
            <w:hideMark/>
          </w:tcPr>
          <w:p w14:paraId="237ED5B6"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Informes de avances físicos y financieros</w:t>
            </w:r>
          </w:p>
        </w:tc>
      </w:tr>
      <w:tr w:rsidR="002D5CB9" w:rsidRPr="002D5CB9" w14:paraId="7C6F552D" w14:textId="77777777" w:rsidTr="008C21E6">
        <w:trPr>
          <w:jc w:val="center"/>
        </w:trPr>
        <w:tc>
          <w:tcPr>
            <w:tcW w:w="3011" w:type="dxa"/>
            <w:tcBorders>
              <w:top w:val="single" w:sz="4" w:space="0" w:color="auto"/>
              <w:left w:val="single" w:sz="4" w:space="0" w:color="auto"/>
              <w:bottom w:val="single" w:sz="4" w:space="0" w:color="auto"/>
              <w:right w:val="single" w:sz="4" w:space="0" w:color="auto"/>
            </w:tcBorders>
            <w:hideMark/>
          </w:tcPr>
          <w:p w14:paraId="56721400"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Origen de los recursos, así como el tipo de fondo de participación o aportación respectiva</w:t>
            </w:r>
          </w:p>
        </w:tc>
        <w:tc>
          <w:tcPr>
            <w:tcW w:w="3011" w:type="dxa"/>
            <w:tcBorders>
              <w:top w:val="single" w:sz="4" w:space="0" w:color="auto"/>
              <w:left w:val="single" w:sz="4" w:space="0" w:color="auto"/>
              <w:bottom w:val="single" w:sz="4" w:space="0" w:color="auto"/>
              <w:right w:val="single" w:sz="4" w:space="0" w:color="auto"/>
            </w:tcBorders>
            <w:hideMark/>
          </w:tcPr>
          <w:p w14:paraId="71761CDD"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Origen de los recursos, así como el tipo de fondo de participación o aportación respectiva</w:t>
            </w:r>
          </w:p>
        </w:tc>
        <w:tc>
          <w:tcPr>
            <w:tcW w:w="3012" w:type="dxa"/>
            <w:tcBorders>
              <w:top w:val="single" w:sz="4" w:space="0" w:color="auto"/>
              <w:left w:val="single" w:sz="4" w:space="0" w:color="auto"/>
              <w:bottom w:val="single" w:sz="4" w:space="0" w:color="auto"/>
              <w:right w:val="single" w:sz="4" w:space="0" w:color="auto"/>
            </w:tcBorders>
            <w:hideMark/>
          </w:tcPr>
          <w:p w14:paraId="5B3E3475"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Convenio de terminación</w:t>
            </w:r>
          </w:p>
        </w:tc>
      </w:tr>
      <w:tr w:rsidR="002D5CB9" w:rsidRPr="002D5CB9" w14:paraId="53E0B79A" w14:textId="77777777" w:rsidTr="008C21E6">
        <w:trPr>
          <w:jc w:val="center"/>
        </w:trPr>
        <w:tc>
          <w:tcPr>
            <w:tcW w:w="3011" w:type="dxa"/>
            <w:tcBorders>
              <w:top w:val="single" w:sz="4" w:space="0" w:color="auto"/>
              <w:left w:val="single" w:sz="4" w:space="0" w:color="auto"/>
              <w:bottom w:val="single" w:sz="4" w:space="0" w:color="auto"/>
              <w:right w:val="single" w:sz="4" w:space="0" w:color="auto"/>
            </w:tcBorders>
            <w:hideMark/>
          </w:tcPr>
          <w:p w14:paraId="56239608"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Convenios modificatorios</w:t>
            </w:r>
          </w:p>
        </w:tc>
        <w:tc>
          <w:tcPr>
            <w:tcW w:w="3011" w:type="dxa"/>
            <w:tcBorders>
              <w:top w:val="single" w:sz="4" w:space="0" w:color="auto"/>
              <w:left w:val="single" w:sz="4" w:space="0" w:color="auto"/>
              <w:bottom w:val="single" w:sz="4" w:space="0" w:color="auto"/>
              <w:right w:val="single" w:sz="4" w:space="0" w:color="auto"/>
            </w:tcBorders>
            <w:hideMark/>
          </w:tcPr>
          <w:p w14:paraId="2E3FA652"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Convenios modificatorios</w:t>
            </w:r>
          </w:p>
        </w:tc>
        <w:tc>
          <w:tcPr>
            <w:tcW w:w="3012" w:type="dxa"/>
            <w:tcBorders>
              <w:top w:val="single" w:sz="4" w:space="0" w:color="auto"/>
              <w:left w:val="single" w:sz="4" w:space="0" w:color="auto"/>
              <w:bottom w:val="single" w:sz="4" w:space="0" w:color="auto"/>
              <w:right w:val="single" w:sz="4" w:space="0" w:color="auto"/>
            </w:tcBorders>
            <w:hideMark/>
          </w:tcPr>
          <w:p w14:paraId="5ADC6377" w14:textId="77777777" w:rsidR="00B0366C" w:rsidRPr="002D5CB9" w:rsidRDefault="00B0366C" w:rsidP="002D5CB9">
            <w:pPr>
              <w:spacing w:line="240" w:lineRule="auto"/>
              <w:ind w:right="-93"/>
              <w:jc w:val="center"/>
              <w:rPr>
                <w:rFonts w:eastAsia="Calibri" w:cs="Tahoma"/>
                <w:iCs/>
                <w:sz w:val="20"/>
                <w:lang w:eastAsia="es-ES_tradnl"/>
              </w:rPr>
            </w:pPr>
            <w:r w:rsidRPr="002D5CB9">
              <w:rPr>
                <w:rFonts w:eastAsia="Calibri" w:cs="Tahoma"/>
                <w:iCs/>
                <w:sz w:val="20"/>
                <w:lang w:eastAsia="es-ES_tradnl"/>
              </w:rPr>
              <w:t>Finiquito</w:t>
            </w:r>
          </w:p>
        </w:tc>
      </w:tr>
      <w:tr w:rsidR="002D5CB9" w:rsidRPr="002D5CB9" w14:paraId="07D4DD9D" w14:textId="77777777" w:rsidTr="008C21E6">
        <w:trPr>
          <w:jc w:val="center"/>
        </w:trPr>
        <w:tc>
          <w:tcPr>
            <w:tcW w:w="3011" w:type="dxa"/>
            <w:tcBorders>
              <w:top w:val="single" w:sz="4" w:space="0" w:color="auto"/>
              <w:left w:val="single" w:sz="4" w:space="0" w:color="auto"/>
              <w:bottom w:val="single" w:sz="4" w:space="0" w:color="auto"/>
              <w:right w:val="single" w:sz="4" w:space="0" w:color="auto"/>
            </w:tcBorders>
            <w:hideMark/>
          </w:tcPr>
          <w:p w14:paraId="6EF073F2" w14:textId="77777777" w:rsidR="00B0366C" w:rsidRPr="002D5CB9" w:rsidRDefault="00B0366C" w:rsidP="002D5CB9">
            <w:pPr>
              <w:spacing w:line="240" w:lineRule="auto"/>
              <w:ind w:right="-93"/>
              <w:jc w:val="center"/>
              <w:rPr>
                <w:rFonts w:eastAsia="Calibri" w:cs="Tahoma"/>
                <w:bCs/>
                <w:iCs/>
                <w:sz w:val="20"/>
                <w:lang w:eastAsia="es-ES_tradnl"/>
              </w:rPr>
            </w:pPr>
            <w:r w:rsidRPr="002D5CB9">
              <w:rPr>
                <w:rFonts w:eastAsia="Calibri" w:cs="Tahoma"/>
                <w:bCs/>
                <w:iCs/>
                <w:sz w:val="20"/>
                <w:lang w:eastAsia="es-ES_tradnl"/>
              </w:rPr>
              <w:t>Informes de avances físicos y financieros</w:t>
            </w:r>
          </w:p>
        </w:tc>
        <w:tc>
          <w:tcPr>
            <w:tcW w:w="3011" w:type="dxa"/>
            <w:tcBorders>
              <w:top w:val="single" w:sz="4" w:space="0" w:color="auto"/>
              <w:left w:val="single" w:sz="4" w:space="0" w:color="auto"/>
              <w:bottom w:val="single" w:sz="4" w:space="0" w:color="auto"/>
              <w:right w:val="single" w:sz="4" w:space="0" w:color="auto"/>
            </w:tcBorders>
            <w:hideMark/>
          </w:tcPr>
          <w:p w14:paraId="199D056D" w14:textId="77777777" w:rsidR="00B0366C" w:rsidRPr="002D5CB9" w:rsidRDefault="00B0366C" w:rsidP="002D5CB9">
            <w:pPr>
              <w:spacing w:line="240" w:lineRule="auto"/>
              <w:ind w:right="-93"/>
              <w:jc w:val="center"/>
              <w:rPr>
                <w:rFonts w:eastAsia="Calibri" w:cs="Tahoma"/>
                <w:bCs/>
                <w:iCs/>
                <w:sz w:val="20"/>
                <w:lang w:eastAsia="es-ES_tradnl"/>
              </w:rPr>
            </w:pPr>
            <w:r w:rsidRPr="002D5CB9">
              <w:rPr>
                <w:rFonts w:eastAsia="Calibri" w:cs="Tahoma"/>
                <w:bCs/>
                <w:iCs/>
                <w:sz w:val="20"/>
                <w:lang w:eastAsia="es-ES_tradnl"/>
              </w:rPr>
              <w:t>Informes de avances físicos y financieros</w:t>
            </w:r>
          </w:p>
        </w:tc>
        <w:tc>
          <w:tcPr>
            <w:tcW w:w="3012" w:type="dxa"/>
            <w:tcBorders>
              <w:top w:val="single" w:sz="4" w:space="0" w:color="auto"/>
              <w:left w:val="single" w:sz="4" w:space="0" w:color="auto"/>
              <w:bottom w:val="single" w:sz="4" w:space="0" w:color="auto"/>
              <w:right w:val="single" w:sz="4" w:space="0" w:color="auto"/>
            </w:tcBorders>
          </w:tcPr>
          <w:p w14:paraId="37E5D97A" w14:textId="77777777" w:rsidR="00B0366C" w:rsidRPr="002D5CB9" w:rsidRDefault="00B0366C" w:rsidP="002D5CB9">
            <w:pPr>
              <w:spacing w:line="240" w:lineRule="auto"/>
              <w:ind w:right="-93"/>
              <w:jc w:val="center"/>
              <w:rPr>
                <w:rFonts w:eastAsia="Calibri" w:cs="Tahoma"/>
                <w:iCs/>
                <w:sz w:val="20"/>
                <w:lang w:eastAsia="es-ES_tradnl"/>
              </w:rPr>
            </w:pPr>
          </w:p>
        </w:tc>
      </w:tr>
      <w:tr w:rsidR="002D5CB9" w:rsidRPr="002D5CB9" w14:paraId="3204B558" w14:textId="77777777" w:rsidTr="008C21E6">
        <w:trPr>
          <w:jc w:val="center"/>
        </w:trPr>
        <w:tc>
          <w:tcPr>
            <w:tcW w:w="3011" w:type="dxa"/>
            <w:tcBorders>
              <w:top w:val="single" w:sz="4" w:space="0" w:color="auto"/>
              <w:left w:val="single" w:sz="4" w:space="0" w:color="auto"/>
              <w:bottom w:val="single" w:sz="4" w:space="0" w:color="auto"/>
              <w:right w:val="single" w:sz="4" w:space="0" w:color="auto"/>
            </w:tcBorders>
            <w:hideMark/>
          </w:tcPr>
          <w:p w14:paraId="0C467DAC" w14:textId="77777777" w:rsidR="00B0366C" w:rsidRPr="002D5CB9" w:rsidRDefault="00B0366C" w:rsidP="002D5CB9">
            <w:pPr>
              <w:spacing w:line="240" w:lineRule="auto"/>
              <w:ind w:right="-93"/>
              <w:jc w:val="center"/>
              <w:rPr>
                <w:rFonts w:eastAsia="Calibri" w:cs="Tahoma"/>
                <w:bCs/>
                <w:iCs/>
                <w:sz w:val="20"/>
                <w:lang w:eastAsia="es-ES_tradnl"/>
              </w:rPr>
            </w:pPr>
            <w:r w:rsidRPr="002D5CB9">
              <w:rPr>
                <w:rFonts w:eastAsia="Calibri" w:cs="Tahoma"/>
                <w:bCs/>
                <w:iCs/>
                <w:sz w:val="20"/>
                <w:lang w:eastAsia="es-ES_tradnl"/>
              </w:rPr>
              <w:t>Convenio de terminación</w:t>
            </w:r>
          </w:p>
        </w:tc>
        <w:tc>
          <w:tcPr>
            <w:tcW w:w="3011" w:type="dxa"/>
            <w:tcBorders>
              <w:top w:val="single" w:sz="4" w:space="0" w:color="auto"/>
              <w:left w:val="single" w:sz="4" w:space="0" w:color="auto"/>
              <w:bottom w:val="single" w:sz="4" w:space="0" w:color="auto"/>
              <w:right w:val="single" w:sz="4" w:space="0" w:color="auto"/>
            </w:tcBorders>
            <w:hideMark/>
          </w:tcPr>
          <w:p w14:paraId="074FD45A" w14:textId="77777777" w:rsidR="00B0366C" w:rsidRPr="002D5CB9" w:rsidRDefault="00B0366C" w:rsidP="002D5CB9">
            <w:pPr>
              <w:spacing w:line="240" w:lineRule="auto"/>
              <w:ind w:right="-93"/>
              <w:jc w:val="center"/>
              <w:rPr>
                <w:rFonts w:eastAsia="Calibri" w:cs="Tahoma"/>
                <w:bCs/>
                <w:iCs/>
                <w:sz w:val="20"/>
                <w:lang w:eastAsia="es-ES_tradnl"/>
              </w:rPr>
            </w:pPr>
            <w:r w:rsidRPr="002D5CB9">
              <w:rPr>
                <w:rFonts w:eastAsia="Calibri" w:cs="Tahoma"/>
                <w:bCs/>
                <w:iCs/>
                <w:sz w:val="20"/>
                <w:lang w:eastAsia="es-ES_tradnl"/>
              </w:rPr>
              <w:t>Convenio de terminación</w:t>
            </w:r>
          </w:p>
        </w:tc>
        <w:tc>
          <w:tcPr>
            <w:tcW w:w="3012" w:type="dxa"/>
            <w:tcBorders>
              <w:top w:val="single" w:sz="4" w:space="0" w:color="auto"/>
              <w:left w:val="single" w:sz="4" w:space="0" w:color="auto"/>
              <w:bottom w:val="single" w:sz="4" w:space="0" w:color="auto"/>
              <w:right w:val="single" w:sz="4" w:space="0" w:color="auto"/>
            </w:tcBorders>
          </w:tcPr>
          <w:p w14:paraId="1C924243" w14:textId="77777777" w:rsidR="00B0366C" w:rsidRPr="002D5CB9" w:rsidRDefault="00B0366C" w:rsidP="002D5CB9">
            <w:pPr>
              <w:spacing w:line="240" w:lineRule="auto"/>
              <w:ind w:right="-93"/>
              <w:jc w:val="center"/>
              <w:rPr>
                <w:rFonts w:eastAsia="Calibri" w:cs="Tahoma"/>
                <w:iCs/>
                <w:sz w:val="20"/>
                <w:lang w:eastAsia="es-ES_tradnl"/>
              </w:rPr>
            </w:pPr>
          </w:p>
        </w:tc>
      </w:tr>
      <w:tr w:rsidR="00B0366C" w:rsidRPr="002D5CB9" w14:paraId="7C07B426" w14:textId="77777777" w:rsidTr="008C21E6">
        <w:trPr>
          <w:jc w:val="center"/>
        </w:trPr>
        <w:tc>
          <w:tcPr>
            <w:tcW w:w="3011" w:type="dxa"/>
            <w:tcBorders>
              <w:top w:val="single" w:sz="4" w:space="0" w:color="auto"/>
              <w:left w:val="single" w:sz="4" w:space="0" w:color="auto"/>
              <w:bottom w:val="single" w:sz="4" w:space="0" w:color="auto"/>
              <w:right w:val="single" w:sz="4" w:space="0" w:color="auto"/>
            </w:tcBorders>
            <w:hideMark/>
          </w:tcPr>
          <w:p w14:paraId="79ADC2DD" w14:textId="77777777" w:rsidR="00B0366C" w:rsidRPr="002D5CB9" w:rsidRDefault="00B0366C" w:rsidP="002D5CB9">
            <w:pPr>
              <w:spacing w:line="240" w:lineRule="auto"/>
              <w:ind w:right="-93"/>
              <w:jc w:val="center"/>
              <w:rPr>
                <w:rFonts w:eastAsia="Calibri" w:cs="Tahoma"/>
                <w:bCs/>
                <w:iCs/>
                <w:sz w:val="20"/>
                <w:lang w:eastAsia="es-ES_tradnl"/>
              </w:rPr>
            </w:pPr>
            <w:r w:rsidRPr="002D5CB9">
              <w:rPr>
                <w:rFonts w:eastAsia="Calibri" w:cs="Tahoma"/>
                <w:bCs/>
                <w:iCs/>
                <w:sz w:val="20"/>
                <w:lang w:eastAsia="es-ES_tradnl"/>
              </w:rPr>
              <w:t>Finiquito</w:t>
            </w:r>
          </w:p>
        </w:tc>
        <w:tc>
          <w:tcPr>
            <w:tcW w:w="3011" w:type="dxa"/>
            <w:tcBorders>
              <w:top w:val="single" w:sz="4" w:space="0" w:color="auto"/>
              <w:left w:val="single" w:sz="4" w:space="0" w:color="auto"/>
              <w:bottom w:val="single" w:sz="4" w:space="0" w:color="auto"/>
              <w:right w:val="single" w:sz="4" w:space="0" w:color="auto"/>
            </w:tcBorders>
            <w:hideMark/>
          </w:tcPr>
          <w:p w14:paraId="1A198695" w14:textId="77777777" w:rsidR="00B0366C" w:rsidRPr="002D5CB9" w:rsidRDefault="00B0366C" w:rsidP="002D5CB9">
            <w:pPr>
              <w:spacing w:line="240" w:lineRule="auto"/>
              <w:ind w:right="-93"/>
              <w:jc w:val="center"/>
              <w:rPr>
                <w:rFonts w:eastAsia="Calibri" w:cs="Tahoma"/>
                <w:bCs/>
                <w:iCs/>
                <w:sz w:val="20"/>
                <w:lang w:eastAsia="es-ES_tradnl"/>
              </w:rPr>
            </w:pPr>
            <w:r w:rsidRPr="002D5CB9">
              <w:rPr>
                <w:rFonts w:eastAsia="Calibri" w:cs="Tahoma"/>
                <w:bCs/>
                <w:iCs/>
                <w:sz w:val="20"/>
                <w:lang w:eastAsia="es-ES_tradnl"/>
              </w:rPr>
              <w:t>Finiquito</w:t>
            </w:r>
          </w:p>
        </w:tc>
        <w:tc>
          <w:tcPr>
            <w:tcW w:w="3012" w:type="dxa"/>
            <w:tcBorders>
              <w:top w:val="single" w:sz="4" w:space="0" w:color="auto"/>
              <w:left w:val="single" w:sz="4" w:space="0" w:color="auto"/>
              <w:bottom w:val="single" w:sz="4" w:space="0" w:color="auto"/>
              <w:right w:val="single" w:sz="4" w:space="0" w:color="auto"/>
            </w:tcBorders>
          </w:tcPr>
          <w:p w14:paraId="604CC3FD" w14:textId="77777777" w:rsidR="00B0366C" w:rsidRPr="002D5CB9" w:rsidRDefault="00B0366C" w:rsidP="002D5CB9">
            <w:pPr>
              <w:spacing w:line="240" w:lineRule="auto"/>
              <w:ind w:right="-93"/>
              <w:jc w:val="center"/>
              <w:rPr>
                <w:rFonts w:eastAsia="Calibri" w:cs="Tahoma"/>
                <w:iCs/>
                <w:sz w:val="20"/>
                <w:lang w:eastAsia="es-ES_tradnl"/>
              </w:rPr>
            </w:pPr>
          </w:p>
        </w:tc>
      </w:tr>
    </w:tbl>
    <w:p w14:paraId="4E96FD94" w14:textId="77777777" w:rsidR="00B0366C" w:rsidRPr="002D5CB9" w:rsidRDefault="00B0366C" w:rsidP="002D5CB9">
      <w:pPr>
        <w:contextualSpacing/>
        <w:rPr>
          <w:rFonts w:cs="Tahoma"/>
          <w:bCs/>
        </w:rPr>
      </w:pPr>
    </w:p>
    <w:p w14:paraId="59B0F965" w14:textId="16332D77" w:rsidR="00301C62" w:rsidRPr="002D5CB9" w:rsidRDefault="00301C62" w:rsidP="002D5CB9">
      <w:pPr>
        <w:rPr>
          <w:rFonts w:eastAsia="Calibri" w:cs="Tahoma"/>
          <w:bCs/>
          <w:szCs w:val="22"/>
        </w:rPr>
      </w:pPr>
      <w:r w:rsidRPr="002D5CB9">
        <w:rPr>
          <w:rFonts w:eastAsia="Calibri" w:cs="Tahoma"/>
          <w:szCs w:val="22"/>
        </w:rPr>
        <w:lastRenderedPageBreak/>
        <w:t>Además, relativo al dictamen o acuerdo</w:t>
      </w:r>
      <w:r w:rsidR="00192F50" w:rsidRPr="002D5CB9">
        <w:rPr>
          <w:rFonts w:eastAsia="Calibri" w:cs="Tahoma"/>
          <w:szCs w:val="22"/>
        </w:rPr>
        <w:t xml:space="preserve"> (acta)</w:t>
      </w:r>
      <w:r w:rsidRPr="002D5CB9">
        <w:rPr>
          <w:rFonts w:eastAsia="Calibri" w:cs="Tahoma"/>
          <w:szCs w:val="22"/>
        </w:rPr>
        <w:t xml:space="preserve"> del Comité de Adquisiciones y las grabaciones de las sesiones, </w:t>
      </w:r>
      <w:r w:rsidRPr="002D5CB9">
        <w:rPr>
          <w:rFonts w:eastAsia="Calibri" w:cs="Tahoma"/>
          <w:bCs/>
          <w:szCs w:val="22"/>
        </w:rPr>
        <w:t>la Ley de Contratación Pública del Estado de México y Municipios señala en sus artículo 22, 23 y 24, la información respecto de la integración y funciones de los Comités, es decir, señala que los comités son órganos colegiados con facultades de opinión, que tienen por objeto auxiliar a la Oficialía Mayor, entidades, tribunales administrativos y ayuntamientos, los cuales entre sus funciones se encuentran:</w:t>
      </w:r>
    </w:p>
    <w:p w14:paraId="755C895B" w14:textId="77777777" w:rsidR="00301C62" w:rsidRPr="002D5CB9" w:rsidRDefault="00301C62" w:rsidP="002D5CB9">
      <w:pPr>
        <w:pStyle w:val="Prrafodelista"/>
        <w:rPr>
          <w:rFonts w:eastAsia="Calibri" w:cs="Tahoma"/>
          <w:bCs/>
          <w:szCs w:val="22"/>
        </w:rPr>
      </w:pPr>
    </w:p>
    <w:p w14:paraId="7A0E56F3" w14:textId="77777777" w:rsidR="00301C62" w:rsidRPr="002D5CB9" w:rsidRDefault="00301C62" w:rsidP="002D5CB9">
      <w:pPr>
        <w:pStyle w:val="Prrafodelista"/>
        <w:numPr>
          <w:ilvl w:val="0"/>
          <w:numId w:val="18"/>
        </w:numPr>
        <w:rPr>
          <w:rFonts w:eastAsia="Calibri" w:cs="Tahoma"/>
          <w:bCs/>
          <w:szCs w:val="22"/>
        </w:rPr>
      </w:pPr>
      <w:r w:rsidRPr="002D5CB9">
        <w:rPr>
          <w:rFonts w:eastAsia="Calibri" w:cs="Tahoma"/>
          <w:bCs/>
          <w:szCs w:val="22"/>
        </w:rPr>
        <w:t xml:space="preserve">Dictaminar sobre la procedencia de los casos de excepción al procedimiento de licitación pública. </w:t>
      </w:r>
    </w:p>
    <w:p w14:paraId="132AA1E4" w14:textId="77777777" w:rsidR="00301C62" w:rsidRPr="002D5CB9" w:rsidRDefault="00301C62" w:rsidP="002D5CB9">
      <w:pPr>
        <w:pStyle w:val="Prrafodelista"/>
        <w:numPr>
          <w:ilvl w:val="0"/>
          <w:numId w:val="18"/>
        </w:numPr>
        <w:rPr>
          <w:rFonts w:eastAsia="Calibri" w:cs="Tahoma"/>
          <w:bCs/>
          <w:szCs w:val="22"/>
        </w:rPr>
      </w:pPr>
      <w:r w:rsidRPr="002D5CB9">
        <w:rPr>
          <w:rFonts w:eastAsia="Calibri" w:cs="Tahoma"/>
          <w:bCs/>
          <w:szCs w:val="22"/>
        </w:rPr>
        <w:t xml:space="preserve">Participar en los procedimientos de licitación, invitación restringida y adjudicación directa, hasta dejarlos en estado de dictar el fallo correspondiente, incluidos los que tengan que desahogarse bajo la modalidad de subasta inversa. </w:t>
      </w:r>
    </w:p>
    <w:p w14:paraId="659153CF" w14:textId="77777777" w:rsidR="00301C62" w:rsidRPr="002D5CB9" w:rsidRDefault="00301C62" w:rsidP="002D5CB9">
      <w:pPr>
        <w:pStyle w:val="Prrafodelista"/>
        <w:numPr>
          <w:ilvl w:val="0"/>
          <w:numId w:val="18"/>
        </w:numPr>
        <w:rPr>
          <w:rFonts w:eastAsia="Calibri" w:cs="Tahoma"/>
          <w:bCs/>
          <w:szCs w:val="22"/>
        </w:rPr>
      </w:pPr>
      <w:r w:rsidRPr="002D5CB9">
        <w:rPr>
          <w:rFonts w:eastAsia="Calibri" w:cs="Tahoma"/>
          <w:bCs/>
          <w:szCs w:val="22"/>
        </w:rPr>
        <w:t xml:space="preserve">Emitir los dictámenes de adjudicación. </w:t>
      </w:r>
    </w:p>
    <w:p w14:paraId="13491DF2" w14:textId="77777777" w:rsidR="00301C62" w:rsidRPr="002D5CB9" w:rsidRDefault="00301C62" w:rsidP="002D5CB9">
      <w:pPr>
        <w:contextualSpacing/>
        <w:rPr>
          <w:rFonts w:eastAsia="Calibri" w:cs="Tahoma"/>
          <w:bCs/>
          <w:szCs w:val="22"/>
        </w:rPr>
      </w:pPr>
    </w:p>
    <w:p w14:paraId="770E760C" w14:textId="77777777" w:rsidR="00301C62" w:rsidRPr="002D5CB9" w:rsidRDefault="00301C62" w:rsidP="002D5CB9">
      <w:pPr>
        <w:contextualSpacing/>
        <w:rPr>
          <w:rFonts w:eastAsia="Calibri" w:cs="Tahoma"/>
          <w:bCs/>
          <w:szCs w:val="22"/>
        </w:rPr>
      </w:pPr>
      <w:r w:rsidRPr="002D5CB9">
        <w:rPr>
          <w:rFonts w:eastAsia="Calibri" w:cs="Tahoma"/>
          <w:bCs/>
          <w:szCs w:val="22"/>
        </w:rPr>
        <w:t>Además, el artículo 37 de la Ley antes citada, señala que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14:paraId="00D39FDA" w14:textId="77777777" w:rsidR="00301C62" w:rsidRPr="002D5CB9" w:rsidRDefault="00301C62" w:rsidP="002D5CB9">
      <w:pPr>
        <w:contextualSpacing/>
        <w:rPr>
          <w:rFonts w:eastAsia="Calibri" w:cs="Tahoma"/>
          <w:bCs/>
          <w:szCs w:val="22"/>
        </w:rPr>
      </w:pPr>
    </w:p>
    <w:p w14:paraId="51A81A7A" w14:textId="77777777" w:rsidR="00301C62" w:rsidRPr="002D5CB9" w:rsidRDefault="00301C62" w:rsidP="002D5CB9">
      <w:pPr>
        <w:contextualSpacing/>
        <w:rPr>
          <w:rFonts w:eastAsia="Calibri" w:cs="Tahoma"/>
          <w:bCs/>
          <w:szCs w:val="22"/>
        </w:rPr>
      </w:pPr>
      <w:r w:rsidRPr="002D5CB9">
        <w:rPr>
          <w:rFonts w:eastAsia="Calibri" w:cs="Tahoma"/>
          <w:bCs/>
          <w:szCs w:val="22"/>
        </w:rPr>
        <w:t>Ahora bien, el Reglamento de la Ley de Contratación Pública del Estado de México y Municipios, señala en sus artículos 44, 45, 46, 47, 48 y 49, que el Comité de Adquisiciones y Servicios se integrará de la siguiente manera:</w:t>
      </w:r>
    </w:p>
    <w:p w14:paraId="390CA193" w14:textId="77777777" w:rsidR="00301C62" w:rsidRPr="002D5CB9" w:rsidRDefault="00301C62" w:rsidP="002D5CB9">
      <w:pPr>
        <w:contextualSpacing/>
        <w:rPr>
          <w:rFonts w:eastAsia="Calibri" w:cs="Tahoma"/>
          <w:bCs/>
          <w:szCs w:val="22"/>
        </w:rPr>
      </w:pPr>
    </w:p>
    <w:p w14:paraId="349F4EE2" w14:textId="77777777" w:rsidR="00301C62" w:rsidRPr="002D5CB9" w:rsidRDefault="00301C62" w:rsidP="002D5CB9">
      <w:pPr>
        <w:pStyle w:val="Prrafodelista"/>
        <w:numPr>
          <w:ilvl w:val="0"/>
          <w:numId w:val="19"/>
        </w:numPr>
        <w:rPr>
          <w:rFonts w:eastAsia="Calibri" w:cs="Tahoma"/>
          <w:bCs/>
          <w:szCs w:val="22"/>
        </w:rPr>
      </w:pPr>
      <w:r w:rsidRPr="002D5CB9">
        <w:rPr>
          <w:rFonts w:eastAsia="Calibri" w:cs="Tahoma"/>
          <w:bCs/>
          <w:szCs w:val="22"/>
        </w:rPr>
        <w:t xml:space="preserve">En la Secretaría, por el titular del área encargada de operar el sistema de adquisiciones de las dependencias del Poder Ejecutivo, y en los organismos auxiliares, tribunales administrativos y municipios, por el titular de la unidad administrativa, quien fungirá como presidente; </w:t>
      </w:r>
    </w:p>
    <w:p w14:paraId="5EA1FCB5" w14:textId="77777777" w:rsidR="00301C62" w:rsidRPr="002D5CB9" w:rsidRDefault="00301C62" w:rsidP="002D5CB9">
      <w:pPr>
        <w:pStyle w:val="Prrafodelista"/>
        <w:numPr>
          <w:ilvl w:val="0"/>
          <w:numId w:val="19"/>
        </w:numPr>
        <w:rPr>
          <w:rFonts w:eastAsia="Calibri" w:cs="Tahoma"/>
          <w:bCs/>
          <w:szCs w:val="22"/>
        </w:rPr>
      </w:pPr>
      <w:r w:rsidRPr="002D5CB9">
        <w:rPr>
          <w:rFonts w:eastAsia="Calibri" w:cs="Tahoma"/>
          <w:bCs/>
          <w:szCs w:val="22"/>
        </w:rPr>
        <w:t xml:space="preserve">Un representante del área financiera de la Secretaría, entidad, tribunal administrativo o municipio, con función de vocal; </w:t>
      </w:r>
    </w:p>
    <w:p w14:paraId="076885F9" w14:textId="77777777" w:rsidR="00301C62" w:rsidRPr="002D5CB9" w:rsidRDefault="00301C62" w:rsidP="002D5CB9">
      <w:pPr>
        <w:pStyle w:val="Prrafodelista"/>
        <w:numPr>
          <w:ilvl w:val="0"/>
          <w:numId w:val="19"/>
        </w:numPr>
        <w:rPr>
          <w:rFonts w:eastAsia="Calibri" w:cs="Tahoma"/>
          <w:bCs/>
          <w:szCs w:val="22"/>
        </w:rPr>
      </w:pPr>
      <w:r w:rsidRPr="002D5CB9">
        <w:rPr>
          <w:rFonts w:eastAsia="Calibri" w:cs="Tahoma"/>
          <w:bCs/>
          <w:szCs w:val="22"/>
        </w:rPr>
        <w:t xml:space="preserve">Un representante de cada dependencia o unidad administrativa interesada en la adquisición de los bienes o contratación del servicio, con función de vocal; </w:t>
      </w:r>
    </w:p>
    <w:p w14:paraId="4FE8493E" w14:textId="77777777" w:rsidR="00301C62" w:rsidRPr="002D5CB9" w:rsidRDefault="00301C62" w:rsidP="002D5CB9">
      <w:pPr>
        <w:pStyle w:val="Prrafodelista"/>
        <w:numPr>
          <w:ilvl w:val="0"/>
          <w:numId w:val="19"/>
        </w:numPr>
        <w:rPr>
          <w:rFonts w:eastAsia="Calibri" w:cs="Tahoma"/>
          <w:bCs/>
          <w:szCs w:val="22"/>
        </w:rPr>
      </w:pPr>
      <w:r w:rsidRPr="002D5CB9">
        <w:rPr>
          <w:rFonts w:eastAsia="Calibri" w:cs="Tahoma"/>
          <w:bCs/>
          <w:szCs w:val="22"/>
        </w:rPr>
        <w:t xml:space="preserve">Un representante de la Consejería Jurídica o del área jurídica respectiva o quien lleve a cabo las funciones de esta naturaleza, con función de vocal; </w:t>
      </w:r>
    </w:p>
    <w:p w14:paraId="1D4EBAAC" w14:textId="77777777" w:rsidR="00301C62" w:rsidRPr="002D5CB9" w:rsidRDefault="00301C62" w:rsidP="002D5CB9">
      <w:pPr>
        <w:pStyle w:val="Prrafodelista"/>
        <w:numPr>
          <w:ilvl w:val="0"/>
          <w:numId w:val="19"/>
        </w:numPr>
        <w:rPr>
          <w:rFonts w:eastAsia="Calibri" w:cs="Tahoma"/>
          <w:bCs/>
          <w:szCs w:val="22"/>
        </w:rPr>
      </w:pPr>
      <w:r w:rsidRPr="002D5CB9">
        <w:rPr>
          <w:rFonts w:eastAsia="Calibri" w:cs="Tahoma"/>
          <w:bCs/>
          <w:szCs w:val="22"/>
        </w:rPr>
        <w:t xml:space="preserve">Un representante del Órgano de Control, con función de vocal; y </w:t>
      </w:r>
    </w:p>
    <w:p w14:paraId="705C2895" w14:textId="77777777" w:rsidR="00301C62" w:rsidRPr="002D5CB9" w:rsidRDefault="00301C62" w:rsidP="002D5CB9">
      <w:pPr>
        <w:pStyle w:val="Prrafodelista"/>
        <w:numPr>
          <w:ilvl w:val="0"/>
          <w:numId w:val="19"/>
        </w:numPr>
        <w:rPr>
          <w:rFonts w:eastAsia="Calibri" w:cs="Tahoma"/>
          <w:bCs/>
          <w:szCs w:val="22"/>
        </w:rPr>
      </w:pPr>
      <w:r w:rsidRPr="002D5CB9">
        <w:rPr>
          <w:rFonts w:eastAsia="Calibri" w:cs="Tahoma"/>
          <w:bCs/>
          <w:szCs w:val="22"/>
        </w:rPr>
        <w:t xml:space="preserve">Un secretario ejecutivo, que será designado por el presidente. </w:t>
      </w:r>
    </w:p>
    <w:p w14:paraId="1A8DBCA4" w14:textId="77777777" w:rsidR="00301C62" w:rsidRPr="002D5CB9" w:rsidRDefault="00301C62" w:rsidP="002D5CB9">
      <w:pPr>
        <w:rPr>
          <w:rFonts w:eastAsia="Calibri" w:cs="Tahoma"/>
          <w:bCs/>
          <w:szCs w:val="22"/>
        </w:rPr>
      </w:pPr>
    </w:p>
    <w:p w14:paraId="4A8A9141" w14:textId="77777777" w:rsidR="00301C62" w:rsidRPr="002D5CB9" w:rsidRDefault="00301C62" w:rsidP="002D5CB9">
      <w:pPr>
        <w:contextualSpacing/>
        <w:rPr>
          <w:szCs w:val="22"/>
        </w:rPr>
      </w:pPr>
      <w:r w:rsidRPr="002D5CB9">
        <w:rPr>
          <w:rFonts w:eastAsia="Calibri" w:cs="Tahoma"/>
          <w:bCs/>
          <w:szCs w:val="22"/>
        </w:rPr>
        <w:t xml:space="preserve">Además, señala que el Comité </w:t>
      </w:r>
      <w:r w:rsidRPr="002D5CB9">
        <w:rPr>
          <w:szCs w:val="22"/>
        </w:rPr>
        <w:t xml:space="preserve">sesionará cuando sea convocado por el presidente, o cuando lo solicite alguno de sus integrantes y su desarrollo, entre otros, se celebrarán cuando asista la mayoría de los integrantes con derecho a voto, previa convocatoria y se desarrollarán conforme al orden del día enviado a los integrantes del comité. Sus acuerdos se tomarán por mayoría de votos o unanimidad, </w:t>
      </w:r>
      <w:r w:rsidRPr="002D5CB9">
        <w:rPr>
          <w:b/>
          <w:szCs w:val="22"/>
          <w:u w:val="single"/>
        </w:rPr>
        <w:t>al término de cada sesión se levantará acta que será firmada por los integrantes del comité que hubieran asistido a la sesión</w:t>
      </w:r>
      <w:r w:rsidRPr="002D5CB9">
        <w:rPr>
          <w:szCs w:val="22"/>
        </w:rPr>
        <w:t>. En dicha acta se deberá señalar el sentido del acuerdo tomado por los integrantes y los comentarios fundados y motivados relevantes de cada caso. Los asesores y los invitados firmarán el acta como constancia de su participación.</w:t>
      </w:r>
    </w:p>
    <w:p w14:paraId="08067031" w14:textId="77777777" w:rsidR="00A734A6" w:rsidRPr="002D5CB9" w:rsidRDefault="00A734A6" w:rsidP="002D5CB9">
      <w:pPr>
        <w:contextualSpacing/>
        <w:rPr>
          <w:szCs w:val="22"/>
        </w:rPr>
      </w:pPr>
    </w:p>
    <w:p w14:paraId="520B6B7D" w14:textId="77777777" w:rsidR="00301C62" w:rsidRPr="002D5CB9" w:rsidRDefault="00301C62" w:rsidP="002D5CB9">
      <w:pPr>
        <w:contextualSpacing/>
        <w:rPr>
          <w:rFonts w:eastAsia="Calibri" w:cs="Tahoma"/>
          <w:bCs/>
          <w:szCs w:val="22"/>
        </w:rPr>
      </w:pPr>
      <w:r w:rsidRPr="002D5CB9">
        <w:rPr>
          <w:rFonts w:eastAsia="Calibri" w:cs="Tahoma"/>
          <w:bCs/>
          <w:szCs w:val="22"/>
        </w:rPr>
        <w:t xml:space="preserve">Por su parte, el Reglamento Interno de la Junta de Caminos del Estado de México, que señala en su artículo 14, fracciones V y VII, que corresponde a la Dirección de Administración y </w:t>
      </w:r>
      <w:r w:rsidRPr="002D5CB9">
        <w:rPr>
          <w:rFonts w:eastAsia="Calibri" w:cs="Tahoma"/>
          <w:bCs/>
          <w:szCs w:val="22"/>
        </w:rPr>
        <w:lastRenderedPageBreak/>
        <w:t>Finanzas, presidir los Comités de Adquisiciones y Servicios; formular el programa anual de adquisiciones y servicios del Organismo y ejecutar los procedimientos para la adquisición y arrendamiento de bienes, así como la contratación de servicios, de acuerdo con la normatividad vigente en la materia.</w:t>
      </w:r>
    </w:p>
    <w:p w14:paraId="1B278602" w14:textId="77777777" w:rsidR="00301C62" w:rsidRPr="002D5CB9" w:rsidRDefault="00301C62" w:rsidP="002D5CB9">
      <w:pPr>
        <w:contextualSpacing/>
        <w:rPr>
          <w:rFonts w:eastAsia="Calibri" w:cs="Tahoma"/>
          <w:bCs/>
          <w:szCs w:val="22"/>
        </w:rPr>
      </w:pPr>
    </w:p>
    <w:p w14:paraId="564CCE45" w14:textId="5E2785F3" w:rsidR="00301C62" w:rsidRPr="002D5CB9" w:rsidRDefault="00301C62" w:rsidP="002D5CB9">
      <w:pPr>
        <w:contextualSpacing/>
        <w:rPr>
          <w:szCs w:val="22"/>
        </w:rPr>
      </w:pPr>
      <w:r w:rsidRPr="002D5CB9">
        <w:rPr>
          <w:rFonts w:eastAsia="Calibri" w:cs="Tahoma"/>
          <w:bCs/>
          <w:szCs w:val="22"/>
        </w:rPr>
        <w:t xml:space="preserve">Derivado de lo anterior, y del análisis realizado por este Instituto, no se advierte de la normatividad citada, que </w:t>
      </w:r>
      <w:r w:rsidR="00864862" w:rsidRPr="002D5CB9">
        <w:rPr>
          <w:rFonts w:eastAsia="Calibri" w:cs="Tahoma"/>
          <w:bCs/>
          <w:szCs w:val="22"/>
        </w:rPr>
        <w:t>las sesiones del Comité de Adquisiciones deban</w:t>
      </w:r>
      <w:r w:rsidRPr="002D5CB9">
        <w:rPr>
          <w:rFonts w:eastAsia="Calibri" w:cs="Tahoma"/>
          <w:bCs/>
          <w:szCs w:val="22"/>
        </w:rPr>
        <w:t xml:space="preserve"> de ser pública y grabada, ya que únicamente señala </w:t>
      </w:r>
      <w:r w:rsidR="00864862" w:rsidRPr="002D5CB9">
        <w:rPr>
          <w:rFonts w:eastAsia="Calibri" w:cs="Tahoma"/>
          <w:bCs/>
          <w:szCs w:val="22"/>
        </w:rPr>
        <w:t>que al</w:t>
      </w:r>
      <w:r w:rsidRPr="002D5CB9">
        <w:rPr>
          <w:b/>
          <w:szCs w:val="22"/>
        </w:rPr>
        <w:t xml:space="preserve"> término de cada sesión se levantará acta que será firmada por los integrantes del comité que hubieran asistido a la sesión</w:t>
      </w:r>
      <w:r w:rsidRPr="002D5CB9">
        <w:rPr>
          <w:szCs w:val="22"/>
        </w:rPr>
        <w:t>. En este sentido, lo requerido por el particular respecto a las videograbaciones de las sesiones, no tiene fuente normativa que constriña al Sujeto Obligado a llevar a cabo videograbaciones de su Comité de Adquisiciones.</w:t>
      </w:r>
    </w:p>
    <w:p w14:paraId="078F1BF1" w14:textId="77777777" w:rsidR="00301C62" w:rsidRPr="002D5CB9" w:rsidRDefault="00301C62" w:rsidP="002D5CB9">
      <w:pPr>
        <w:contextualSpacing/>
        <w:rPr>
          <w:szCs w:val="22"/>
        </w:rPr>
      </w:pPr>
    </w:p>
    <w:p w14:paraId="5B921B36" w14:textId="151F831A" w:rsidR="00301C62" w:rsidRPr="002D5CB9" w:rsidRDefault="008B65D2" w:rsidP="002D5CB9">
      <w:pPr>
        <w:contextualSpacing/>
        <w:rPr>
          <w:rFonts w:cs="Tahoma"/>
          <w:b/>
          <w:szCs w:val="22"/>
        </w:rPr>
      </w:pPr>
      <w:r w:rsidRPr="002D5CB9">
        <w:rPr>
          <w:b/>
          <w:szCs w:val="22"/>
        </w:rPr>
        <w:t>N</w:t>
      </w:r>
      <w:r w:rsidR="00A734A6" w:rsidRPr="002D5CB9">
        <w:rPr>
          <w:b/>
          <w:szCs w:val="22"/>
        </w:rPr>
        <w:t>o obstante, el sujeto obligado no se pronunció respecto a lo requerido, razón por la cual deberá hacer entrega del acta</w:t>
      </w:r>
      <w:r w:rsidR="00A734A6" w:rsidRPr="002D5CB9">
        <w:rPr>
          <w:rFonts w:eastAsia="Calibri" w:cs="Tahoma"/>
          <w:b/>
          <w:bCs/>
          <w:szCs w:val="22"/>
        </w:rPr>
        <w:t>,</w:t>
      </w:r>
      <w:r w:rsidR="00A734A6" w:rsidRPr="002D5CB9">
        <w:rPr>
          <w:rFonts w:cs="Tahoma"/>
          <w:b/>
          <w:szCs w:val="22"/>
        </w:rPr>
        <w:t xml:space="preserve"> así como, las grabaciones</w:t>
      </w:r>
      <w:r w:rsidR="00A734A6" w:rsidRPr="002D5CB9">
        <w:rPr>
          <w:rFonts w:eastAsia="Calibri" w:cs="Tahoma"/>
          <w:b/>
          <w:bCs/>
          <w:szCs w:val="22"/>
        </w:rPr>
        <w:t xml:space="preserve"> que haya emitido su comité de adquisiciones respecto de </w:t>
      </w:r>
      <w:r w:rsidR="00A734A6" w:rsidRPr="002D5CB9">
        <w:rPr>
          <w:rFonts w:cs="Tahoma"/>
          <w:b/>
          <w:szCs w:val="22"/>
        </w:rPr>
        <w:t>los procedimientos de licitación pública e invitación restringida</w:t>
      </w:r>
      <w:r w:rsidR="004C3E58" w:rsidRPr="002D5CB9">
        <w:rPr>
          <w:rFonts w:cs="Tahoma"/>
          <w:b/>
          <w:szCs w:val="22"/>
        </w:rPr>
        <w:t>.</w:t>
      </w:r>
    </w:p>
    <w:p w14:paraId="42D33EAD" w14:textId="77777777" w:rsidR="00301C62" w:rsidRPr="002D5CB9" w:rsidRDefault="00301C62" w:rsidP="002D5CB9">
      <w:pPr>
        <w:contextualSpacing/>
        <w:rPr>
          <w:rFonts w:cs="Tahoma"/>
          <w:szCs w:val="22"/>
        </w:rPr>
      </w:pPr>
    </w:p>
    <w:p w14:paraId="5F2870B9" w14:textId="5D9BF357" w:rsidR="00B0366C" w:rsidRPr="002D5CB9" w:rsidRDefault="00B0366C" w:rsidP="002D5CB9">
      <w:pPr>
        <w:contextualSpacing/>
        <w:rPr>
          <w:b/>
        </w:rPr>
      </w:pPr>
      <w:r w:rsidRPr="002D5CB9">
        <w:rPr>
          <w:rFonts w:cs="Tahoma"/>
          <w:szCs w:val="24"/>
        </w:rPr>
        <w:t xml:space="preserve">Derivado de lo anterior y de la información solicitada, </w:t>
      </w:r>
      <w:r w:rsidRPr="002D5CB9">
        <w:t xml:space="preserve">es necesario precisar que de las constancias que obran en el expediente, se advierte que, si bien, el Ente Recurrido turnó la solicitud de información a </w:t>
      </w:r>
      <w:r w:rsidR="0025234D" w:rsidRPr="002D5CB9">
        <w:t xml:space="preserve">las áreas de </w:t>
      </w:r>
      <w:r w:rsidR="0025234D" w:rsidRPr="002D5CB9">
        <w:rPr>
          <w:rFonts w:cs="Tahoma"/>
          <w:bCs/>
          <w:szCs w:val="22"/>
          <w:lang w:val="es-ES"/>
        </w:rPr>
        <w:t>Subdirección de Recursos Materiales y la Subdirección de Finanzas</w:t>
      </w:r>
      <w:r w:rsidRPr="002D5CB9">
        <w:t xml:space="preserve"> que pudieran conocer de la información solicitada, estas señalaron </w:t>
      </w:r>
      <w:r w:rsidR="0025234D" w:rsidRPr="002D5CB9">
        <w:t>que dentro de sus archivos no contaban con la información solicitada</w:t>
      </w:r>
      <w:r w:rsidR="008C21E6" w:rsidRPr="002D5CB9">
        <w:t>; no obstante ello, faltó realizar el turno a las áreas de Subdirección de Servicios Generales, así como a la propia Coordinación Administrativa y de Gestión Documental</w:t>
      </w:r>
      <w:r w:rsidR="0088050B" w:rsidRPr="002D5CB9">
        <w:t>, pues así se advierte del organigrama del SUJETO OBLIGADO, el cual contiene las siguientes áreas:</w:t>
      </w:r>
    </w:p>
    <w:p w14:paraId="5EBE27E1" w14:textId="77777777" w:rsidR="00B0366C" w:rsidRPr="002D5CB9" w:rsidRDefault="00B0366C" w:rsidP="002D5CB9">
      <w:pPr>
        <w:rPr>
          <w:rFonts w:eastAsia="Palatino Linotype" w:cs="Palatino Linotype"/>
          <w:szCs w:val="22"/>
        </w:rPr>
      </w:pPr>
    </w:p>
    <w:p w14:paraId="6B388E5C" w14:textId="3A8060BF" w:rsidR="0025234D" w:rsidRPr="002D5CB9" w:rsidRDefault="0025234D" w:rsidP="002D5CB9">
      <w:pPr>
        <w:rPr>
          <w:rFonts w:eastAsia="Palatino Linotype" w:cs="Palatino Linotype"/>
          <w:szCs w:val="22"/>
        </w:rPr>
      </w:pPr>
      <w:r w:rsidRPr="002D5CB9">
        <w:rPr>
          <w:rFonts w:eastAsia="Palatino Linotype" w:cs="Palatino Linotype"/>
          <w:noProof/>
          <w:szCs w:val="22"/>
          <w:lang w:eastAsia="es-MX"/>
        </w:rPr>
        <w:lastRenderedPageBreak/>
        <w:drawing>
          <wp:inline distT="0" distB="0" distL="0" distR="0" wp14:anchorId="6A0C56D3" wp14:editId="0C77711E">
            <wp:extent cx="5742940" cy="30740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3074035"/>
                    </a:xfrm>
                    <a:prstGeom prst="rect">
                      <a:avLst/>
                    </a:prstGeom>
                  </pic:spPr>
                </pic:pic>
              </a:graphicData>
            </a:graphic>
          </wp:inline>
        </w:drawing>
      </w:r>
    </w:p>
    <w:p w14:paraId="6332C326" w14:textId="77777777" w:rsidR="00CF5D32" w:rsidRPr="002D5CB9" w:rsidRDefault="00CF5D32" w:rsidP="002D5CB9">
      <w:pPr>
        <w:rPr>
          <w:rFonts w:eastAsia="Palatino Linotype" w:cs="Palatino Linotype"/>
          <w:szCs w:val="22"/>
        </w:rPr>
      </w:pPr>
    </w:p>
    <w:p w14:paraId="2D757ED1" w14:textId="77777777" w:rsidR="00CF5D32" w:rsidRPr="002D5CB9" w:rsidRDefault="00CF5D32" w:rsidP="002D5CB9">
      <w:pPr>
        <w:rPr>
          <w:rFonts w:eastAsia="Palatino Linotype" w:cs="Palatino Linotype"/>
          <w:szCs w:val="22"/>
        </w:rPr>
      </w:pPr>
    </w:p>
    <w:p w14:paraId="6753E58B" w14:textId="77777777" w:rsidR="00CF5D32" w:rsidRPr="002D5CB9" w:rsidRDefault="00CF5D32" w:rsidP="002D5CB9">
      <w:pPr>
        <w:rPr>
          <w:rFonts w:eastAsia="Palatino Linotype" w:cs="Palatino Linotype"/>
          <w:szCs w:val="22"/>
        </w:rPr>
      </w:pPr>
    </w:p>
    <w:p w14:paraId="1899F990" w14:textId="77777777" w:rsidR="00CF5D32" w:rsidRPr="002D5CB9" w:rsidRDefault="00CF5D32" w:rsidP="002D5CB9">
      <w:pPr>
        <w:rPr>
          <w:rFonts w:eastAsia="Palatino Linotype" w:cs="Palatino Linotype"/>
          <w:szCs w:val="22"/>
        </w:rPr>
      </w:pPr>
    </w:p>
    <w:p w14:paraId="0AA95284" w14:textId="77777777" w:rsidR="0088050B" w:rsidRPr="002D5CB9" w:rsidRDefault="0088050B" w:rsidP="002D5CB9">
      <w:pPr>
        <w:pStyle w:val="Puesto"/>
        <w:rPr>
          <w:rFonts w:eastAsia="Palatino Linotype"/>
        </w:rPr>
      </w:pPr>
      <w:r w:rsidRPr="002D5CB9">
        <w:rPr>
          <w:rFonts w:eastAsia="Palatino Linotype"/>
          <w:b/>
        </w:rPr>
        <w:t>Artículo 17.</w:t>
      </w:r>
      <w:r w:rsidRPr="002D5CB9">
        <w:rPr>
          <w:rFonts w:eastAsia="Palatino Linotype"/>
        </w:rPr>
        <w:t xml:space="preserve"> Corresponden a la </w:t>
      </w:r>
      <w:r w:rsidRPr="002D5CB9">
        <w:rPr>
          <w:rFonts w:eastAsia="Palatino Linotype"/>
          <w:b/>
        </w:rPr>
        <w:t>Coordinación Administrativa</w:t>
      </w:r>
      <w:r w:rsidRPr="002D5CB9">
        <w:rPr>
          <w:rFonts w:eastAsia="Palatino Linotype"/>
        </w:rPr>
        <w:t xml:space="preserve"> las atribuciones siguientes:</w:t>
      </w:r>
    </w:p>
    <w:p w14:paraId="74AC81B8" w14:textId="77777777" w:rsidR="0088050B" w:rsidRPr="002D5CB9" w:rsidRDefault="0088050B" w:rsidP="002D5CB9">
      <w:pPr>
        <w:pStyle w:val="Puesto"/>
        <w:rPr>
          <w:rFonts w:eastAsia="Palatino Linotype"/>
        </w:rPr>
      </w:pPr>
    </w:p>
    <w:p w14:paraId="4AD07158" w14:textId="3253F829" w:rsidR="0088050B" w:rsidRPr="002D5CB9" w:rsidRDefault="0088050B" w:rsidP="002D5CB9">
      <w:pPr>
        <w:pStyle w:val="Puesto"/>
        <w:rPr>
          <w:rFonts w:eastAsia="Palatino Linotype"/>
        </w:rPr>
      </w:pPr>
      <w:r w:rsidRPr="002D5CB9">
        <w:rPr>
          <w:rFonts w:eastAsia="Palatino Linotype"/>
        </w:rPr>
        <w:t>I. Planear, programar, organizar y controlar el suministro, aprovechamiento y aplicación de los recursos humanos, materiales, financieros y técnicos, así como los servicios generales de la Secretaría, en coordinación con las demás unidades administrativas;</w:t>
      </w:r>
    </w:p>
    <w:p w14:paraId="49E792E6" w14:textId="51CAED9F" w:rsidR="0088050B" w:rsidRPr="002D5CB9" w:rsidRDefault="0088050B" w:rsidP="002D5CB9">
      <w:pPr>
        <w:pStyle w:val="Puesto"/>
        <w:rPr>
          <w:rFonts w:eastAsia="Palatino Linotype"/>
        </w:rPr>
      </w:pPr>
      <w:r w:rsidRPr="002D5CB9">
        <w:rPr>
          <w:rFonts w:eastAsia="Palatino Linotype"/>
        </w:rPr>
        <w:t>II. Integrar, en coordinación con las demás unidades administrativas, el anteproyecto de presupuesto de egresos de la Secretaría y someterlos a la consideración de la persona titular de la Secretaría, así como realizar la calendarización de los recursos del presupuesto autorizado;</w:t>
      </w:r>
    </w:p>
    <w:p w14:paraId="6B8C7345" w14:textId="469FA60A" w:rsidR="0088050B" w:rsidRPr="002D5CB9" w:rsidRDefault="0088050B" w:rsidP="002D5CB9">
      <w:pPr>
        <w:pStyle w:val="Puesto"/>
        <w:rPr>
          <w:rFonts w:eastAsia="Palatino Linotype"/>
        </w:rPr>
      </w:pPr>
      <w:r w:rsidRPr="002D5CB9">
        <w:rPr>
          <w:rFonts w:eastAsia="Palatino Linotype"/>
        </w:rPr>
        <w:t>III. Cumplir y hacer cumplir las normas y políticas aplicables en materia de administración de recursos humanos, materiales y financieros;</w:t>
      </w:r>
    </w:p>
    <w:p w14:paraId="062EFFA0" w14:textId="77777777" w:rsidR="0088050B" w:rsidRPr="002D5CB9" w:rsidRDefault="0088050B" w:rsidP="002D5CB9">
      <w:pPr>
        <w:pStyle w:val="Puesto"/>
        <w:rPr>
          <w:rFonts w:eastAsia="Palatino Linotype"/>
        </w:rPr>
      </w:pPr>
      <w:r w:rsidRPr="002D5CB9">
        <w:rPr>
          <w:rFonts w:eastAsia="Palatino Linotype"/>
        </w:rPr>
        <w:t>IV. Controlar y verificar la aplicación del presupuesto de las unidades administrativas de la Secretaría;</w:t>
      </w:r>
    </w:p>
    <w:p w14:paraId="3A2DD483" w14:textId="39C931C5" w:rsidR="0088050B" w:rsidRPr="002D5CB9" w:rsidRDefault="0088050B" w:rsidP="002D5CB9">
      <w:pPr>
        <w:pStyle w:val="Puesto"/>
        <w:rPr>
          <w:rFonts w:eastAsia="Palatino Linotype"/>
        </w:rPr>
      </w:pPr>
      <w:r w:rsidRPr="002D5CB9">
        <w:rPr>
          <w:rFonts w:eastAsia="Palatino Linotype"/>
        </w:rPr>
        <w:t>V. Coordinar, consolidar y controlar la información sobre el ejercicio del gasto de la Secretaría e informar a la persona titular de la Secretaría sobre su comportamiento;</w:t>
      </w:r>
    </w:p>
    <w:p w14:paraId="2AFC70E4" w14:textId="1087245D" w:rsidR="0088050B" w:rsidRPr="002D5CB9" w:rsidRDefault="0088050B" w:rsidP="002D5CB9">
      <w:pPr>
        <w:pStyle w:val="Puesto"/>
        <w:rPr>
          <w:rFonts w:eastAsia="Palatino Linotype"/>
        </w:rPr>
      </w:pPr>
      <w:r w:rsidRPr="002D5CB9">
        <w:rPr>
          <w:rFonts w:eastAsia="Palatino Linotype"/>
        </w:rPr>
        <w:lastRenderedPageBreak/>
        <w:t>VI. Integrar de manera conjunta con las demás unidades administrativas de la Secretaría, los programas de adquisiciones, arrendamientos, mantenimientos y contratación de servicios que requieran las unidades administrativas de la dependencia;</w:t>
      </w:r>
    </w:p>
    <w:p w14:paraId="6607CAA6" w14:textId="028E8E06" w:rsidR="00CF5D32" w:rsidRPr="002D5CB9" w:rsidRDefault="0088050B" w:rsidP="002D5CB9">
      <w:pPr>
        <w:pStyle w:val="Puesto"/>
        <w:rPr>
          <w:rFonts w:eastAsia="Palatino Linotype"/>
        </w:rPr>
      </w:pPr>
      <w:r w:rsidRPr="002D5CB9">
        <w:rPr>
          <w:rFonts w:eastAsia="Palatino Linotype"/>
        </w:rPr>
        <w:t>VII. Programar, formular, coordinar, establecer y ejecutar las acciones y procedimientos para la adquisición de bienes y contratación de servicios que requiera la Secretaría, de acuerdo con la normatividad aplicable;</w:t>
      </w:r>
    </w:p>
    <w:p w14:paraId="6BF51B78" w14:textId="0631D9A9" w:rsidR="0088050B" w:rsidRPr="002D5CB9" w:rsidRDefault="0088050B" w:rsidP="002D5CB9">
      <w:pPr>
        <w:pStyle w:val="Puesto"/>
        <w:rPr>
          <w:rFonts w:eastAsia="Palatino Linotype"/>
        </w:rPr>
      </w:pPr>
      <w:r w:rsidRPr="002D5CB9">
        <w:rPr>
          <w:rFonts w:eastAsia="Palatino Linotype"/>
        </w:rPr>
        <w:t>VIII. Suscribir los contratos, convenios y demás actos jurídicos de carácter administrativo o de cualquier otra índole dentro del ámbito de su competencia que sean solicitados por la Secretaría, de conformidad con la normatividad aplicable;</w:t>
      </w:r>
    </w:p>
    <w:p w14:paraId="42BE6F93" w14:textId="351FFD42" w:rsidR="0088050B" w:rsidRPr="002D5CB9" w:rsidRDefault="0088050B" w:rsidP="002D5CB9">
      <w:pPr>
        <w:pStyle w:val="Puesto"/>
        <w:rPr>
          <w:rFonts w:eastAsia="Palatino Linotype"/>
        </w:rPr>
      </w:pPr>
      <w:r w:rsidRPr="002D5CB9">
        <w:rPr>
          <w:rFonts w:eastAsia="Palatino Linotype"/>
        </w:rPr>
        <w:t>IX. Solicitar a la Oficialía Mayor o rescindir administrativamente, según corresponda, los contratos de adquisición de bienes y contratación de servicios que haya celebrado la Secretaría, y aplicar las penas convencionales, así como dar vista a las autoridades competentes para la imposición de las sanciones que prevé la legislación de la materia a los proveedores que incurran en el incumplimiento de dichos contratos;</w:t>
      </w:r>
    </w:p>
    <w:p w14:paraId="746C4285" w14:textId="68F63683" w:rsidR="0088050B" w:rsidRPr="002D5CB9" w:rsidRDefault="0088050B" w:rsidP="002D5CB9">
      <w:pPr>
        <w:pStyle w:val="Puesto"/>
        <w:rPr>
          <w:rFonts w:eastAsia="Palatino Linotype"/>
        </w:rPr>
      </w:pPr>
      <w:r w:rsidRPr="002D5CB9">
        <w:rPr>
          <w:rFonts w:eastAsia="Palatino Linotype"/>
        </w:rPr>
        <w:t>X. Impulsar las actividades de capacitación y adiestramiento de las personas servidoras públicas de la Secretaría;</w:t>
      </w:r>
    </w:p>
    <w:p w14:paraId="05B2A29F" w14:textId="195EF20D" w:rsidR="0088050B" w:rsidRPr="002D5CB9" w:rsidRDefault="0088050B" w:rsidP="002D5CB9">
      <w:pPr>
        <w:pStyle w:val="Puesto"/>
        <w:rPr>
          <w:rFonts w:eastAsia="Palatino Linotype"/>
        </w:rPr>
      </w:pPr>
      <w:r w:rsidRPr="002D5CB9">
        <w:rPr>
          <w:rFonts w:eastAsia="Palatino Linotype"/>
        </w:rPr>
        <w:t>XI. Convocar y organizar los actos de entrega y recepción de las unidades administrativas, así como de las personas servidoras públicas con la intervención del Órgano Interno de Control con apego a la normatividad aplicable;</w:t>
      </w:r>
    </w:p>
    <w:p w14:paraId="1E73997D" w14:textId="3023B079" w:rsidR="0088050B" w:rsidRPr="002D5CB9" w:rsidRDefault="0088050B" w:rsidP="002D5CB9">
      <w:pPr>
        <w:pStyle w:val="Puesto"/>
        <w:rPr>
          <w:rFonts w:eastAsia="Palatino Linotype"/>
        </w:rPr>
      </w:pPr>
      <w:r w:rsidRPr="002D5CB9">
        <w:rPr>
          <w:rFonts w:eastAsia="Palatino Linotype"/>
        </w:rPr>
        <w:t>XII. Realizar el registro, control, mantenimiento y conservación de los bienes muebles e inmuebles asignados a las unidades administrativas de la Secretaría;</w:t>
      </w:r>
    </w:p>
    <w:p w14:paraId="5E2D20D2" w14:textId="71A4D080" w:rsidR="0088050B" w:rsidRPr="002D5CB9" w:rsidRDefault="0088050B" w:rsidP="002D5CB9">
      <w:pPr>
        <w:pStyle w:val="Puesto"/>
        <w:rPr>
          <w:rFonts w:eastAsia="Palatino Linotype"/>
        </w:rPr>
      </w:pPr>
      <w:r w:rsidRPr="002D5CB9">
        <w:rPr>
          <w:rFonts w:eastAsia="Palatino Linotype"/>
        </w:rPr>
        <w:t>XIII. Administrar los recursos derivados de los convenios suscritos con dependencias federales y estatales, así como los que correspondan ser ejercidos por la Secretaría, informando de ello a las instancias competentes;</w:t>
      </w:r>
    </w:p>
    <w:p w14:paraId="327F357A" w14:textId="548FB1F8" w:rsidR="0088050B" w:rsidRPr="002D5CB9" w:rsidRDefault="0088050B" w:rsidP="002D5CB9">
      <w:pPr>
        <w:pStyle w:val="Puesto"/>
        <w:rPr>
          <w:rFonts w:eastAsia="Palatino Linotype"/>
        </w:rPr>
      </w:pPr>
      <w:r w:rsidRPr="002D5CB9">
        <w:rPr>
          <w:rFonts w:eastAsia="Palatino Linotype"/>
        </w:rPr>
        <w:t>XIV. Emitir acuerdos para habilitar días y horas para la práctica de diligencias relacionadas con los procedimientos administrativos de su competencia;</w:t>
      </w:r>
    </w:p>
    <w:p w14:paraId="7BF294A3" w14:textId="2617DD4D" w:rsidR="0088050B" w:rsidRPr="002D5CB9" w:rsidRDefault="0088050B" w:rsidP="002D5CB9">
      <w:pPr>
        <w:pStyle w:val="Puesto"/>
        <w:rPr>
          <w:rFonts w:eastAsia="Palatino Linotype"/>
        </w:rPr>
      </w:pPr>
      <w:r w:rsidRPr="002D5CB9">
        <w:rPr>
          <w:rFonts w:eastAsia="Palatino Linotype"/>
        </w:rPr>
        <w:t>XV. Tramitar, previo acuerdo de la persona titular de la Secretaría, los movimientos de altas, bajas, cambios, promociones, permisos, licencias y demás movimientos de las personas servidoras públicas de la Secretaría, en términos de las disposiciones legales aplicables;</w:t>
      </w:r>
    </w:p>
    <w:p w14:paraId="5BC2DA6D" w14:textId="7AB6A3B5" w:rsidR="0088050B" w:rsidRPr="002D5CB9" w:rsidRDefault="0088050B" w:rsidP="002D5CB9">
      <w:pPr>
        <w:pStyle w:val="Puesto"/>
        <w:rPr>
          <w:rFonts w:eastAsia="Palatino Linotype"/>
        </w:rPr>
      </w:pPr>
      <w:r w:rsidRPr="002D5CB9">
        <w:rPr>
          <w:rFonts w:eastAsia="Palatino Linotype"/>
        </w:rPr>
        <w:t>XVI. Promover y coordinar las actividades de capacitación, y motivación de las personas servidoras públicas de la Secretaría;</w:t>
      </w:r>
    </w:p>
    <w:p w14:paraId="57DA2943" w14:textId="38559B2F" w:rsidR="0088050B" w:rsidRPr="002D5CB9" w:rsidRDefault="0088050B" w:rsidP="002D5CB9">
      <w:pPr>
        <w:pStyle w:val="Puesto"/>
        <w:rPr>
          <w:rFonts w:eastAsia="Palatino Linotype"/>
        </w:rPr>
      </w:pPr>
      <w:r w:rsidRPr="002D5CB9">
        <w:rPr>
          <w:rFonts w:eastAsia="Palatino Linotype"/>
        </w:rPr>
        <w:t>XVII. Apoyar, en el ámbito de su competencia, la elaboración de los programas de trabajo de las unidades administrativas de la Secretaría;</w:t>
      </w:r>
    </w:p>
    <w:p w14:paraId="7B66C8E3" w14:textId="79B9403C" w:rsidR="0088050B" w:rsidRPr="002D5CB9" w:rsidRDefault="0088050B" w:rsidP="002D5CB9">
      <w:pPr>
        <w:pStyle w:val="Puesto"/>
        <w:rPr>
          <w:rFonts w:eastAsia="Palatino Linotype"/>
        </w:rPr>
      </w:pPr>
      <w:r w:rsidRPr="002D5CB9">
        <w:rPr>
          <w:rFonts w:eastAsia="Palatino Linotype"/>
        </w:rPr>
        <w:t>XVIII. Diseñar y proponer instrumentos técnico-administrativos para mejorar la administración de los recursos asignados a la Secretaría;</w:t>
      </w:r>
    </w:p>
    <w:p w14:paraId="7108E67E" w14:textId="6E768669" w:rsidR="0088050B" w:rsidRPr="002D5CB9" w:rsidRDefault="0088050B" w:rsidP="002D5CB9">
      <w:pPr>
        <w:pStyle w:val="Puesto"/>
        <w:rPr>
          <w:rFonts w:eastAsia="Palatino Linotype"/>
        </w:rPr>
      </w:pPr>
      <w:r w:rsidRPr="002D5CB9">
        <w:rPr>
          <w:rFonts w:eastAsia="Palatino Linotype"/>
        </w:rPr>
        <w:t>XIX. Coordinar la elaboración, integración y actualización del Reglamento y los manuales administrativos de la Secretaría y someterlos a la aprobación de la Oficialía Mayor;</w:t>
      </w:r>
    </w:p>
    <w:p w14:paraId="76582BD5" w14:textId="258EBABB" w:rsidR="0088050B" w:rsidRPr="002D5CB9" w:rsidRDefault="0088050B" w:rsidP="002D5CB9">
      <w:pPr>
        <w:pStyle w:val="Puesto"/>
        <w:rPr>
          <w:rFonts w:eastAsia="Palatino Linotype"/>
        </w:rPr>
      </w:pPr>
      <w:r w:rsidRPr="002D5CB9">
        <w:rPr>
          <w:rFonts w:eastAsia="Palatino Linotype"/>
        </w:rPr>
        <w:lastRenderedPageBreak/>
        <w:t>XX. Determinar y controlar las medidas de seguridad y vigilancia de las instalaciones y bienes de la Secretaría, así como instrumentar mecanismos preventivos y dispositivos de emergencia en caso de desastre, y coordinar las acciones en materia de protección civil en la Secretaría, con base en las normas y políticas aplicables;</w:t>
      </w:r>
    </w:p>
    <w:p w14:paraId="3BFC1723" w14:textId="29D36962" w:rsidR="0088050B" w:rsidRPr="002D5CB9" w:rsidRDefault="0088050B" w:rsidP="002D5CB9">
      <w:pPr>
        <w:pStyle w:val="Puesto"/>
        <w:rPr>
          <w:rFonts w:eastAsia="Palatino Linotype"/>
        </w:rPr>
      </w:pPr>
      <w:r w:rsidRPr="002D5CB9">
        <w:rPr>
          <w:rFonts w:eastAsia="Palatino Linotype"/>
        </w:rPr>
        <w:t>XXI. Administrar los recursos financieros de la Secretaría, previendo la capacidad de pago y liquidez, conforme a los programas y presupuestos aprobados;</w:t>
      </w:r>
    </w:p>
    <w:p w14:paraId="16467002" w14:textId="5A1A7D93" w:rsidR="0088050B" w:rsidRPr="002D5CB9" w:rsidRDefault="0088050B" w:rsidP="002D5CB9">
      <w:pPr>
        <w:pStyle w:val="Puesto"/>
        <w:rPr>
          <w:rFonts w:eastAsia="Palatino Linotype"/>
        </w:rPr>
      </w:pPr>
      <w:r w:rsidRPr="002D5CB9">
        <w:rPr>
          <w:rFonts w:eastAsia="Palatino Linotype"/>
        </w:rPr>
        <w:t>XXII. Coadyuvar en la vigilancia y control de la aplicación de los recursos asignados a la Secretaría referentes al ejercicio y comprobación del gasto, conforme a las normas, políticas y procedimientos establecidos;</w:t>
      </w:r>
    </w:p>
    <w:p w14:paraId="31EB1EB9" w14:textId="3778EFF4" w:rsidR="0088050B" w:rsidRPr="002D5CB9" w:rsidRDefault="0088050B" w:rsidP="002D5CB9">
      <w:pPr>
        <w:pStyle w:val="Puesto"/>
        <w:rPr>
          <w:rFonts w:eastAsia="Palatino Linotype"/>
        </w:rPr>
      </w:pPr>
      <w:r w:rsidRPr="002D5CB9">
        <w:rPr>
          <w:rFonts w:eastAsia="Palatino Linotype"/>
        </w:rPr>
        <w:t>XXIII. Verificar que se realicen los registros contables y presupuestales de las operaciones financieras de la dependencia;</w:t>
      </w:r>
    </w:p>
    <w:p w14:paraId="166F0E40" w14:textId="15C268B0" w:rsidR="0088050B" w:rsidRPr="002D5CB9" w:rsidRDefault="0088050B" w:rsidP="002D5CB9">
      <w:pPr>
        <w:pStyle w:val="Puesto"/>
        <w:rPr>
          <w:rFonts w:eastAsia="Palatino Linotype"/>
        </w:rPr>
      </w:pPr>
      <w:r w:rsidRPr="002D5CB9">
        <w:rPr>
          <w:rFonts w:eastAsia="Palatino Linotype"/>
        </w:rPr>
        <w:t>XXIV. Coordinar a las delegaciones administrativas o equivalentes para que realicen el registro, mantenimiento y conservación de los bienes muebles e inmuebles asignados a las unidades ejecutoras de la Secretaría, así como mantener actualizado el resguardo de los bienes muebles, a través de las mismas;</w:t>
      </w:r>
    </w:p>
    <w:p w14:paraId="5C577173" w14:textId="2ADBF1E9" w:rsidR="0088050B" w:rsidRPr="002D5CB9" w:rsidRDefault="0088050B" w:rsidP="002D5CB9">
      <w:pPr>
        <w:pStyle w:val="Puesto"/>
        <w:rPr>
          <w:rFonts w:eastAsia="Palatino Linotype"/>
        </w:rPr>
      </w:pPr>
      <w:r w:rsidRPr="002D5CB9">
        <w:rPr>
          <w:rFonts w:eastAsia="Palatino Linotype"/>
        </w:rPr>
        <w:t>XXV. Instrumentar actas administrativas a las personas servidoras públicas de la Secretaría cuando incumplan las disposiciones laborales respectivas, y rescindir la relación laboral entre las personas servidoras públicas y la Secretaría de conformidad con las disposiciones de la materia;</w:t>
      </w:r>
    </w:p>
    <w:p w14:paraId="5D9E9E8B" w14:textId="1CEB458D" w:rsidR="0088050B" w:rsidRPr="002D5CB9" w:rsidRDefault="0088050B" w:rsidP="002D5CB9">
      <w:pPr>
        <w:pStyle w:val="Puesto"/>
        <w:rPr>
          <w:rFonts w:eastAsia="Palatino Linotype"/>
        </w:rPr>
      </w:pPr>
      <w:r w:rsidRPr="002D5CB9">
        <w:rPr>
          <w:rFonts w:eastAsia="Palatino Linotype"/>
        </w:rPr>
        <w:t>XXVI. Colaborar con la Coordinación Jurídica, de Igualdad de Género y Erradicación de la Violencia, en la implementación de medidas que institucionalicen la perspectiva de género entre las personas servidoras públicas adscritas a la Secretaría;</w:t>
      </w:r>
    </w:p>
    <w:p w14:paraId="35E8516A" w14:textId="11EDBB08" w:rsidR="0088050B" w:rsidRPr="002D5CB9" w:rsidRDefault="0088050B" w:rsidP="002D5CB9">
      <w:pPr>
        <w:pStyle w:val="Puesto"/>
        <w:rPr>
          <w:rFonts w:eastAsia="Palatino Linotype"/>
        </w:rPr>
      </w:pPr>
      <w:r w:rsidRPr="002D5CB9">
        <w:rPr>
          <w:rFonts w:eastAsia="Palatino Linotype"/>
        </w:rPr>
        <w:t>XXVII. Mantener actualizados los registros administrativos sobre recursos humanos, materiales, financieros, archivo, correspondencia, inventario de bienes muebles e inmuebles y apoyos técnicos de la Secretaría;</w:t>
      </w:r>
    </w:p>
    <w:p w14:paraId="481E7099" w14:textId="63805F03" w:rsidR="0088050B" w:rsidRPr="002D5CB9" w:rsidRDefault="0088050B" w:rsidP="002D5CB9">
      <w:pPr>
        <w:pStyle w:val="Puesto"/>
        <w:rPr>
          <w:rFonts w:eastAsia="Palatino Linotype"/>
        </w:rPr>
      </w:pPr>
      <w:r w:rsidRPr="002D5CB9">
        <w:rPr>
          <w:rFonts w:eastAsia="Palatino Linotype"/>
        </w:rPr>
        <w:t>XXVIII. Coordinar al interior de la Dependencia el cumplimiento de las disposiciones en materia archivística y de administración de documentos establecidos en la Ley de Archivos y Administración de Documentos del Estado de México y Municipios y en otras disposiciones jurídicas aplicables;</w:t>
      </w:r>
    </w:p>
    <w:p w14:paraId="6FA3B73F" w14:textId="2F65CD32" w:rsidR="0088050B" w:rsidRPr="002D5CB9" w:rsidRDefault="0088050B" w:rsidP="002D5CB9">
      <w:pPr>
        <w:pStyle w:val="Puesto"/>
        <w:rPr>
          <w:rFonts w:eastAsia="Palatino Linotype"/>
        </w:rPr>
      </w:pPr>
      <w:r w:rsidRPr="002D5CB9">
        <w:rPr>
          <w:rFonts w:eastAsia="Palatino Linotype"/>
        </w:rPr>
        <w:t>XXIX. Participar en los Comités de Adquisiciones y de Servicios; y de Arrendamientos, Adquisiciones de Inmuebles y Enajenaciones, de conformidad con las disposiciones jurídicas aplicables;</w:t>
      </w:r>
    </w:p>
    <w:p w14:paraId="1E556B1A" w14:textId="02A907D0" w:rsidR="0088050B" w:rsidRPr="002D5CB9" w:rsidRDefault="0088050B" w:rsidP="002D5CB9">
      <w:pPr>
        <w:pStyle w:val="Puesto"/>
        <w:rPr>
          <w:rFonts w:eastAsia="Palatino Linotype"/>
        </w:rPr>
      </w:pPr>
      <w:r w:rsidRPr="002D5CB9">
        <w:rPr>
          <w:rFonts w:eastAsia="Palatino Linotype"/>
        </w:rPr>
        <w:t>XXX. Suscribir contratos individuales de trabajo por obra o tiempo determinado, por honorarios asimilables a salarios y por servicios profesionales, previa revisión de la Coordinación Jurídica, de Igualdad de Género y Erradicación de la Violencia, en términos de la legislación aplicable;</w:t>
      </w:r>
    </w:p>
    <w:p w14:paraId="1F023173" w14:textId="15E01FFC" w:rsidR="0088050B" w:rsidRPr="002D5CB9" w:rsidRDefault="0088050B" w:rsidP="002D5CB9">
      <w:pPr>
        <w:pStyle w:val="Puesto"/>
        <w:rPr>
          <w:rFonts w:eastAsia="Palatino Linotype"/>
        </w:rPr>
      </w:pPr>
      <w:r w:rsidRPr="002D5CB9">
        <w:rPr>
          <w:rFonts w:eastAsia="Palatino Linotype"/>
        </w:rPr>
        <w:t>XXXI. Coordinar las acciones de protección civil de la Secretaría, con base en las normas y políticas aplicables;</w:t>
      </w:r>
    </w:p>
    <w:p w14:paraId="6DCE6A57" w14:textId="3F91E239" w:rsidR="0088050B" w:rsidRPr="002D5CB9" w:rsidRDefault="0088050B" w:rsidP="002D5CB9">
      <w:pPr>
        <w:pStyle w:val="Puesto"/>
        <w:rPr>
          <w:rFonts w:eastAsia="Palatino Linotype"/>
        </w:rPr>
      </w:pPr>
      <w:r w:rsidRPr="002D5CB9">
        <w:rPr>
          <w:rFonts w:eastAsia="Palatino Linotype"/>
        </w:rPr>
        <w:lastRenderedPageBreak/>
        <w:t>XXXII. Coordinar los programas de servicio social, en coordinación con instituciones educativas, con el fin de apoyar las actividades de las unidades administrativas de la Secretaría; y</w:t>
      </w:r>
    </w:p>
    <w:p w14:paraId="4D3BDE5B" w14:textId="77777777" w:rsidR="008336E7" w:rsidRPr="002D5CB9" w:rsidRDefault="0088050B" w:rsidP="002D5CB9">
      <w:pPr>
        <w:pStyle w:val="Puesto"/>
        <w:rPr>
          <w:rFonts w:eastAsia="Palatino Linotype"/>
        </w:rPr>
      </w:pPr>
      <w:r w:rsidRPr="002D5CB9">
        <w:rPr>
          <w:rFonts w:eastAsia="Palatino Linotype"/>
        </w:rPr>
        <w:t>XXXIII. Las demás que le confieren otras disposiciones jurídicas y las que le encomiende la persona titular de la Secretaría.</w:t>
      </w:r>
      <w:r w:rsidRPr="002D5CB9">
        <w:rPr>
          <w:rFonts w:eastAsia="Palatino Linotype"/>
        </w:rPr>
        <w:cr/>
      </w:r>
    </w:p>
    <w:p w14:paraId="5E1A40D3" w14:textId="77777777" w:rsidR="008336E7" w:rsidRPr="002D5CB9" w:rsidRDefault="008336E7" w:rsidP="002D5CB9">
      <w:pPr>
        <w:spacing w:line="240" w:lineRule="auto"/>
        <w:ind w:left="851" w:right="822"/>
        <w:rPr>
          <w:rFonts w:eastAsia="Palatino Linotype" w:cs="Palatino Linotype"/>
          <w:i/>
          <w:szCs w:val="22"/>
        </w:rPr>
      </w:pPr>
    </w:p>
    <w:p w14:paraId="6D99D176" w14:textId="0CCE36D5" w:rsidR="008336E7" w:rsidRPr="002D5CB9" w:rsidRDefault="008336E7" w:rsidP="002D5CB9">
      <w:pPr>
        <w:pStyle w:val="Puesto"/>
        <w:rPr>
          <w:rFonts w:eastAsia="Palatino Linotype"/>
        </w:rPr>
      </w:pPr>
      <w:r w:rsidRPr="002D5CB9">
        <w:rPr>
          <w:rFonts w:eastAsia="Palatino Linotype"/>
        </w:rPr>
        <w:t>22000002000500S SUBDIRECCIÓN DE SERVICIOS GENERALES</w:t>
      </w:r>
    </w:p>
    <w:p w14:paraId="4105945A" w14:textId="77777777" w:rsidR="008336E7" w:rsidRPr="002D5CB9" w:rsidRDefault="008336E7" w:rsidP="002D5CB9">
      <w:pPr>
        <w:pStyle w:val="Puesto"/>
        <w:rPr>
          <w:rFonts w:eastAsia="Palatino Linotype"/>
        </w:rPr>
      </w:pPr>
      <w:r w:rsidRPr="002D5CB9">
        <w:rPr>
          <w:rFonts w:eastAsia="Palatino Linotype"/>
        </w:rPr>
        <w:t xml:space="preserve">OBJETIVO: </w:t>
      </w:r>
    </w:p>
    <w:p w14:paraId="748EC644" w14:textId="1A54F008" w:rsidR="008336E7" w:rsidRPr="002D5CB9" w:rsidRDefault="008336E7" w:rsidP="002D5CB9">
      <w:pPr>
        <w:pStyle w:val="Puesto"/>
        <w:rPr>
          <w:rFonts w:eastAsia="Palatino Linotype"/>
        </w:rPr>
      </w:pPr>
      <w:r w:rsidRPr="002D5CB9">
        <w:rPr>
          <w:rFonts w:eastAsia="Palatino Linotype"/>
        </w:rPr>
        <w:t xml:space="preserve">Coordinar, gestionar y proporcionar a las unidades administrativas, los servicios generales que requieran para el desempeño de sus  funciones; así como controlar y administrar los bienes inmuebles para la operación de las actividades de la Secretaría. </w:t>
      </w:r>
    </w:p>
    <w:p w14:paraId="7268B10B" w14:textId="77777777" w:rsidR="008336E7" w:rsidRPr="002D5CB9" w:rsidRDefault="008336E7" w:rsidP="002D5CB9">
      <w:pPr>
        <w:pStyle w:val="Puesto"/>
        <w:rPr>
          <w:rFonts w:eastAsia="Palatino Linotype"/>
        </w:rPr>
      </w:pPr>
    </w:p>
    <w:p w14:paraId="24591312" w14:textId="47891EA0" w:rsidR="008336E7" w:rsidRPr="002D5CB9" w:rsidRDefault="008336E7" w:rsidP="002D5CB9">
      <w:pPr>
        <w:pStyle w:val="Puesto"/>
        <w:rPr>
          <w:rFonts w:eastAsia="Palatino Linotype"/>
        </w:rPr>
      </w:pPr>
      <w:r w:rsidRPr="002D5CB9">
        <w:rPr>
          <w:rFonts w:eastAsia="Palatino Linotype"/>
        </w:rPr>
        <w:t>FUNCIONES:</w:t>
      </w:r>
    </w:p>
    <w:p w14:paraId="6A74FFFC" w14:textId="3074665B" w:rsidR="008336E7" w:rsidRPr="002D5CB9" w:rsidRDefault="008336E7" w:rsidP="002D5CB9">
      <w:pPr>
        <w:pStyle w:val="Puesto"/>
        <w:rPr>
          <w:rFonts w:eastAsia="Palatino Linotype"/>
        </w:rPr>
      </w:pPr>
      <w:r w:rsidRPr="002D5CB9">
        <w:rPr>
          <w:rFonts w:eastAsia="Palatino Linotype"/>
        </w:rPr>
        <w:t>-Coordinar las acciones para identificar los requerimientos de recursos financieros de los servicios; así como, proponer su incorporación y calendarización al anteproyecto de presupuesto de la Secretaría y realizar el seguimiento a las contrataciones y adquisiciones, verificando el cumplimiento de las condiciones específicas, para ser remitido a la Subdirección de Finanzas.</w:t>
      </w:r>
    </w:p>
    <w:p w14:paraId="37C37DF0" w14:textId="7C8788B9" w:rsidR="008336E7" w:rsidRPr="002D5CB9" w:rsidRDefault="008336E7" w:rsidP="002D5CB9">
      <w:pPr>
        <w:pStyle w:val="Puesto"/>
        <w:rPr>
          <w:rFonts w:eastAsia="Palatino Linotype"/>
        </w:rPr>
      </w:pPr>
      <w:r w:rsidRPr="002D5CB9">
        <w:rPr>
          <w:rFonts w:eastAsia="Palatino Linotype"/>
        </w:rPr>
        <w:t>-Verificar que el suministro y prestación de los servicios generales requeridos en la Secretaría, se proporcionen con base en las normas establecidas en la materia.</w:t>
      </w:r>
    </w:p>
    <w:p w14:paraId="193154BE" w14:textId="76950EF9" w:rsidR="008336E7" w:rsidRPr="002D5CB9" w:rsidRDefault="008336E7" w:rsidP="002D5CB9">
      <w:pPr>
        <w:pStyle w:val="Puesto"/>
        <w:rPr>
          <w:rFonts w:eastAsia="Palatino Linotype"/>
        </w:rPr>
      </w:pPr>
      <w:r w:rsidRPr="002D5CB9">
        <w:rPr>
          <w:rFonts w:eastAsia="Palatino Linotype"/>
        </w:rPr>
        <w:t>-Proponer y coordinar la instrumentación de medidas y acciones para el uso racional de los recursos autorizados a la Secretaría; así como observar e impulsar el cumplimiento de los programas de contención del gasto que sean aprobados.</w:t>
      </w:r>
    </w:p>
    <w:p w14:paraId="01720D81" w14:textId="3D2999BE" w:rsidR="008336E7" w:rsidRPr="002D5CB9" w:rsidRDefault="008336E7" w:rsidP="002D5CB9">
      <w:pPr>
        <w:pStyle w:val="Puesto"/>
        <w:rPr>
          <w:rFonts w:eastAsia="Palatino Linotype"/>
        </w:rPr>
      </w:pPr>
      <w:r w:rsidRPr="002D5CB9">
        <w:rPr>
          <w:rFonts w:eastAsia="Palatino Linotype"/>
        </w:rPr>
        <w:t xml:space="preserve">-Tramitar ante la Dirección General de Recursos Materiales, las solicitudes de arrendamientos, comodatos o figuras jurídicas relacionadas con los inmuebles que requieran las unidades administrativas de la Secretaría, según la disponibilidad del recurso aprobado. </w:t>
      </w:r>
    </w:p>
    <w:p w14:paraId="3CD61D86" w14:textId="0768DA38" w:rsidR="008336E7" w:rsidRPr="002D5CB9" w:rsidRDefault="008336E7" w:rsidP="002D5CB9">
      <w:pPr>
        <w:pStyle w:val="Puesto"/>
        <w:rPr>
          <w:rFonts w:eastAsia="Palatino Linotype"/>
        </w:rPr>
      </w:pPr>
      <w:r w:rsidRPr="002D5CB9">
        <w:rPr>
          <w:rFonts w:eastAsia="Palatino Linotype"/>
        </w:rPr>
        <w:t>-Controlar y mantener actualizados los inventarios de bienes inmuebles de la -Secretaría, realizando los trámites para el levantamiento físico de éstos.</w:t>
      </w:r>
    </w:p>
    <w:p w14:paraId="553CFC16" w14:textId="76508EC1" w:rsidR="008336E7" w:rsidRPr="002D5CB9" w:rsidRDefault="008336E7" w:rsidP="002D5CB9">
      <w:pPr>
        <w:pStyle w:val="Puesto"/>
        <w:rPr>
          <w:rFonts w:eastAsia="Palatino Linotype"/>
        </w:rPr>
      </w:pPr>
      <w:r w:rsidRPr="002D5CB9">
        <w:rPr>
          <w:rFonts w:eastAsia="Palatino Linotype"/>
        </w:rPr>
        <w:t>-Supervisar la elaboración del Programa de Mantenimiento Preventivo y Correctivo de los Inmuebles de la Secretaría. así como l levar a cabo la ejecución del Programa para la conservación de los bienes.</w:t>
      </w:r>
    </w:p>
    <w:p w14:paraId="160AB881" w14:textId="47034BC4" w:rsidR="008336E7" w:rsidRPr="002D5CB9" w:rsidRDefault="008336E7" w:rsidP="002D5CB9">
      <w:pPr>
        <w:pStyle w:val="Puesto"/>
        <w:rPr>
          <w:rFonts w:eastAsia="Palatino Linotype"/>
        </w:rPr>
      </w:pPr>
      <w:r w:rsidRPr="002D5CB9">
        <w:rPr>
          <w:rFonts w:eastAsia="Palatino Linotype"/>
        </w:rPr>
        <w:t>-Revisar y validar, en el ámbito de su competencia, la distribución del ejercicio presupuestal, conforme a la recepción y entrega de los bienes y servicios, así como someter a su pago los documentos comprobatorios de las erogaciones realizadas, previa revisión del cumplimiento de los requisitos fiscales y administrativos, y de las normas aplicables.</w:t>
      </w:r>
    </w:p>
    <w:p w14:paraId="37829787" w14:textId="60FE649E" w:rsidR="008336E7" w:rsidRPr="002D5CB9" w:rsidRDefault="008336E7" w:rsidP="002D5CB9">
      <w:pPr>
        <w:pStyle w:val="Puesto"/>
        <w:rPr>
          <w:rFonts w:eastAsia="Palatino Linotype"/>
        </w:rPr>
      </w:pPr>
      <w:r w:rsidRPr="002D5CB9">
        <w:rPr>
          <w:rFonts w:eastAsia="Palatino Linotype"/>
        </w:rPr>
        <w:t>-Elaborar y ejecutar el Programa Anual para el Mantenimiento Preventivo y Correctivo del parque vehicular asignado a las unidades administrativas de la Secretaría.</w:t>
      </w:r>
    </w:p>
    <w:p w14:paraId="0673AB2F" w14:textId="79346AF7" w:rsidR="008336E7" w:rsidRPr="002D5CB9" w:rsidRDefault="008336E7" w:rsidP="002D5CB9">
      <w:pPr>
        <w:pStyle w:val="Puesto"/>
        <w:rPr>
          <w:rFonts w:eastAsia="Palatino Linotype"/>
        </w:rPr>
      </w:pPr>
      <w:r w:rsidRPr="002D5CB9">
        <w:rPr>
          <w:rFonts w:eastAsia="Palatino Linotype"/>
        </w:rPr>
        <w:lastRenderedPageBreak/>
        <w:t>-Gestionar, supervisar y aprobar los servicios de reparación y mantenimiento requeridos para los vehículos asignados a las unidades administrativas de la Secretaría.</w:t>
      </w:r>
    </w:p>
    <w:p w14:paraId="6A671DD5" w14:textId="585CD46B" w:rsidR="008336E7" w:rsidRPr="002D5CB9" w:rsidRDefault="008336E7" w:rsidP="002D5CB9">
      <w:pPr>
        <w:pStyle w:val="Puesto"/>
        <w:rPr>
          <w:rFonts w:eastAsia="Palatino Linotype"/>
        </w:rPr>
      </w:pPr>
      <w:r w:rsidRPr="002D5CB9">
        <w:rPr>
          <w:rFonts w:eastAsia="Palatino Linotype"/>
        </w:rPr>
        <w:t>-Tramitar los documentos necesarios para la circulación de los vehículos asignados a las unidades administrativas de la Secretaría, así como el pago de impuestos y derechos de estos.</w:t>
      </w:r>
    </w:p>
    <w:p w14:paraId="10F06539" w14:textId="7C4DF83D" w:rsidR="008336E7" w:rsidRPr="002D5CB9" w:rsidRDefault="008336E7" w:rsidP="002D5CB9">
      <w:pPr>
        <w:pStyle w:val="Puesto"/>
        <w:rPr>
          <w:rFonts w:eastAsia="Palatino Linotype"/>
        </w:rPr>
      </w:pPr>
      <w:r w:rsidRPr="002D5CB9">
        <w:rPr>
          <w:rFonts w:eastAsia="Palatino Linotype"/>
        </w:rPr>
        <w:t>-Resguardar y mantener actualizados los expedientes del parque vehicular asignados a las unidades administrativas de la Secretaría.</w:t>
      </w:r>
    </w:p>
    <w:p w14:paraId="3E7A4B47" w14:textId="6E79DA2F" w:rsidR="008336E7" w:rsidRPr="002D5CB9" w:rsidRDefault="008336E7" w:rsidP="002D5CB9">
      <w:pPr>
        <w:pStyle w:val="Puesto"/>
        <w:rPr>
          <w:rFonts w:eastAsia="Palatino Linotype"/>
        </w:rPr>
      </w:pPr>
      <w:r w:rsidRPr="002D5CB9">
        <w:rPr>
          <w:rFonts w:eastAsia="Palatino Linotype"/>
        </w:rPr>
        <w:t xml:space="preserve">-Establecer los procedimientos internos para el uso eficiente del parque vehicular asignado a la Secretaría, verificando puntualmente el pago sobre uso y tenencia vehicular. </w:t>
      </w:r>
    </w:p>
    <w:p w14:paraId="39DEF8B3" w14:textId="4485BFC7" w:rsidR="008336E7" w:rsidRPr="002D5CB9" w:rsidRDefault="008336E7" w:rsidP="002D5CB9">
      <w:pPr>
        <w:pStyle w:val="Puesto"/>
        <w:rPr>
          <w:rFonts w:eastAsia="Palatino Linotype"/>
        </w:rPr>
      </w:pPr>
      <w:r w:rsidRPr="002D5CB9">
        <w:rPr>
          <w:rFonts w:eastAsia="Palatino Linotype"/>
        </w:rPr>
        <w:t xml:space="preserve">-Tramitar, administrar, controlar y determinar la distribución de la dotación de combustible y lubricantes para uso de los vehículos de la Dependencia, en términos de la normativa y medidas de racionalidad. </w:t>
      </w:r>
    </w:p>
    <w:p w14:paraId="6FD85ADF" w14:textId="67242850" w:rsidR="008336E7" w:rsidRPr="002D5CB9" w:rsidRDefault="008336E7" w:rsidP="002D5CB9">
      <w:pPr>
        <w:pStyle w:val="Puesto"/>
        <w:rPr>
          <w:rFonts w:eastAsia="Palatino Linotype"/>
        </w:rPr>
      </w:pPr>
      <w:r w:rsidRPr="002D5CB9">
        <w:rPr>
          <w:rFonts w:eastAsia="Palatino Linotype"/>
        </w:rPr>
        <w:t>-Tramitar y comprobar ante la Dirección General de Recursos Materiales, la dotación de combustible y lubricantes asignados al parque vehicular.</w:t>
      </w:r>
    </w:p>
    <w:p w14:paraId="0EA36A0F" w14:textId="2BBE893C" w:rsidR="008336E7" w:rsidRPr="002D5CB9" w:rsidRDefault="008336E7" w:rsidP="002D5CB9">
      <w:pPr>
        <w:pStyle w:val="Puesto"/>
        <w:rPr>
          <w:rFonts w:eastAsia="Palatino Linotype"/>
        </w:rPr>
      </w:pPr>
      <w:r w:rsidRPr="002D5CB9">
        <w:rPr>
          <w:rFonts w:eastAsia="Palatino Linotype"/>
        </w:rPr>
        <w:t>-Vigilar y realizar el seguimiento al proceso administrativo derivado de los siniestros ocurridos a vehículos oficiales asignados a las unidades administrativas de la Secretaría.</w:t>
      </w:r>
    </w:p>
    <w:p w14:paraId="42D41F19" w14:textId="7A423055" w:rsidR="0086479B" w:rsidRPr="002D5CB9" w:rsidRDefault="008336E7" w:rsidP="002D5CB9">
      <w:pPr>
        <w:pStyle w:val="Puesto"/>
        <w:rPr>
          <w:rFonts w:eastAsia="Palatino Linotype"/>
        </w:rPr>
      </w:pPr>
      <w:r w:rsidRPr="002D5CB9">
        <w:rPr>
          <w:rFonts w:eastAsia="Palatino Linotype"/>
        </w:rPr>
        <w:t>-Coordinar y supervisar el despacho de la correspondencia de la Coordinación Administrativa</w:t>
      </w:r>
      <w:r w:rsidR="0086479B" w:rsidRPr="002D5CB9">
        <w:t xml:space="preserve"> </w:t>
      </w:r>
      <w:r w:rsidR="0086479B" w:rsidRPr="002D5CB9">
        <w:rPr>
          <w:rFonts w:eastAsia="Palatino Linotype"/>
        </w:rPr>
        <w:t>Supervisar y verificar, el cumplimiento de los contratos vigentes en materia de servicios, que requieran las unidades administrativas de la Secretaría, realizados con cargo a las partidas correspondientes, así como las que se realizan directamente en forma global, para su seguimiento.</w:t>
      </w:r>
    </w:p>
    <w:p w14:paraId="1965135C" w14:textId="5F6DD9D9" w:rsidR="0086479B" w:rsidRPr="002D5CB9" w:rsidRDefault="0086479B" w:rsidP="002D5CB9">
      <w:pPr>
        <w:pStyle w:val="Puesto"/>
        <w:rPr>
          <w:rFonts w:eastAsia="Palatino Linotype"/>
        </w:rPr>
      </w:pPr>
      <w:r w:rsidRPr="002D5CB9">
        <w:rPr>
          <w:rFonts w:eastAsia="Palatino Linotype"/>
        </w:rPr>
        <w:t>-Verificar y validar que los servicios generales contratados se cumplan de acuerdo con las condiciones, características y especificaciones técnicas pactadas.</w:t>
      </w:r>
    </w:p>
    <w:p w14:paraId="1F448498" w14:textId="144B4DF9" w:rsidR="0086479B" w:rsidRPr="002D5CB9" w:rsidRDefault="0086479B" w:rsidP="002D5CB9">
      <w:pPr>
        <w:pStyle w:val="Puesto"/>
        <w:rPr>
          <w:rFonts w:eastAsia="Palatino Linotype"/>
        </w:rPr>
      </w:pPr>
      <w:r w:rsidRPr="002D5CB9">
        <w:rPr>
          <w:rFonts w:eastAsia="Palatino Linotype"/>
        </w:rPr>
        <w:t>-Proporcionar, los servicios de reparación, adaptación y conservación de los bienes muebles e inmuebles, así como los de fotocopiado, impresión, dotación de gasolina, vehículos, estacionamiento, apoyo a eventos especiales, y otros que soliciten las unidades administrativas de la Secretaría.</w:t>
      </w:r>
    </w:p>
    <w:p w14:paraId="229F87A6" w14:textId="27FB11C4" w:rsidR="0086479B" w:rsidRPr="002D5CB9" w:rsidRDefault="0086479B" w:rsidP="002D5CB9">
      <w:pPr>
        <w:pStyle w:val="Puesto"/>
        <w:rPr>
          <w:rFonts w:eastAsia="Palatino Linotype"/>
        </w:rPr>
      </w:pPr>
      <w:r w:rsidRPr="002D5CB9">
        <w:rPr>
          <w:rFonts w:eastAsia="Palatino Linotype"/>
        </w:rPr>
        <w:t>-Concentrar, aprobar y gestionar ante las instancias correspondientes, el pago de los servicios que se reciben en la Secretaría.</w:t>
      </w:r>
    </w:p>
    <w:p w14:paraId="3C219E39" w14:textId="28699522" w:rsidR="0086479B" w:rsidRPr="002D5CB9" w:rsidRDefault="0086479B" w:rsidP="002D5CB9">
      <w:pPr>
        <w:pStyle w:val="Puesto"/>
        <w:rPr>
          <w:rFonts w:eastAsia="Palatino Linotype"/>
        </w:rPr>
      </w:pPr>
      <w:r w:rsidRPr="002D5CB9">
        <w:rPr>
          <w:rFonts w:eastAsia="Palatino Linotype"/>
        </w:rPr>
        <w:t>-Elaborar, integrar y presentar los informes periódicos sobre el apoyo y la prestación de servicios que se proporcionan a las unidades administrativas de la Secretaría.</w:t>
      </w:r>
    </w:p>
    <w:p w14:paraId="70BFC898" w14:textId="758AFCA2" w:rsidR="0086479B" w:rsidRPr="002D5CB9" w:rsidRDefault="0086479B" w:rsidP="002D5CB9">
      <w:pPr>
        <w:pStyle w:val="Puesto"/>
        <w:rPr>
          <w:rFonts w:eastAsia="Palatino Linotype"/>
        </w:rPr>
      </w:pPr>
      <w:r w:rsidRPr="002D5CB9">
        <w:rPr>
          <w:rFonts w:eastAsia="Palatino Linotype"/>
        </w:rPr>
        <w:t>-Elaborar registros de los servicios que se proporcionan en la Secretaría.</w:t>
      </w:r>
    </w:p>
    <w:p w14:paraId="087F71E6" w14:textId="700AD766" w:rsidR="0086479B" w:rsidRPr="002D5CB9" w:rsidRDefault="0086479B" w:rsidP="002D5CB9">
      <w:pPr>
        <w:pStyle w:val="Puesto"/>
        <w:rPr>
          <w:rFonts w:eastAsia="Palatino Linotype"/>
        </w:rPr>
      </w:pPr>
      <w:r w:rsidRPr="002D5CB9">
        <w:rPr>
          <w:rFonts w:eastAsia="Palatino Linotype"/>
        </w:rPr>
        <w:t>-Administrar los recursos autorizados como caja chica, destinados a realizar gastos menores o compras directas.</w:t>
      </w:r>
    </w:p>
    <w:p w14:paraId="1C412FA4" w14:textId="6AF64A54" w:rsidR="0086479B" w:rsidRPr="002D5CB9" w:rsidRDefault="0086479B" w:rsidP="002D5CB9">
      <w:pPr>
        <w:pStyle w:val="Puesto"/>
        <w:rPr>
          <w:rFonts w:eastAsia="Palatino Linotype"/>
        </w:rPr>
      </w:pPr>
      <w:r w:rsidRPr="002D5CB9">
        <w:rPr>
          <w:rFonts w:eastAsia="Palatino Linotype"/>
        </w:rPr>
        <w:t>-Observar y aplicar, en su ámbito de competencia, los programas de contención del gasto que establezca la Secretaría de Finanzas.</w:t>
      </w:r>
    </w:p>
    <w:p w14:paraId="0BCD6B11" w14:textId="058E7679" w:rsidR="0086479B" w:rsidRPr="002D5CB9" w:rsidRDefault="0086479B" w:rsidP="002D5CB9">
      <w:pPr>
        <w:pStyle w:val="Puesto"/>
        <w:rPr>
          <w:rFonts w:eastAsia="Palatino Linotype"/>
        </w:rPr>
      </w:pPr>
      <w:r w:rsidRPr="002D5CB9">
        <w:rPr>
          <w:rFonts w:eastAsia="Palatino Linotype"/>
        </w:rPr>
        <w:t>-Tramitar la contratación, en su caso, y supervisar la prestación de los servicios generales que requiera la Secretaría.</w:t>
      </w:r>
    </w:p>
    <w:p w14:paraId="746E7D0B" w14:textId="1EDBA47F" w:rsidR="0086479B" w:rsidRPr="002D5CB9" w:rsidRDefault="0086479B" w:rsidP="002D5CB9">
      <w:pPr>
        <w:pStyle w:val="Puesto"/>
        <w:rPr>
          <w:rFonts w:eastAsia="Palatino Linotype"/>
        </w:rPr>
      </w:pPr>
      <w:r w:rsidRPr="002D5CB9">
        <w:rPr>
          <w:rFonts w:eastAsia="Palatino Linotype"/>
        </w:rPr>
        <w:lastRenderedPageBreak/>
        <w:t>-Coordinar las acciones para atender los actos de entrega y recepción de las unidades administrativas de la Secretaría, en el ámbito de su competencia.</w:t>
      </w:r>
    </w:p>
    <w:p w14:paraId="4DC00BE7" w14:textId="6B425B00" w:rsidR="0086479B" w:rsidRPr="002D5CB9" w:rsidRDefault="0086479B" w:rsidP="002D5CB9">
      <w:pPr>
        <w:pStyle w:val="Puesto"/>
        <w:rPr>
          <w:rFonts w:eastAsia="Palatino Linotype"/>
        </w:rPr>
      </w:pPr>
      <w:r w:rsidRPr="002D5CB9">
        <w:rPr>
          <w:rFonts w:eastAsia="Palatino Linotype"/>
        </w:rPr>
        <w:t>-Supervisar el estado que guardan las obligaciones de transparencia de su competencia.</w:t>
      </w:r>
    </w:p>
    <w:p w14:paraId="0ECECF9A" w14:textId="25AF0CB1" w:rsidR="0086479B" w:rsidRPr="002D5CB9" w:rsidRDefault="0086479B" w:rsidP="002D5CB9">
      <w:pPr>
        <w:pStyle w:val="Puesto"/>
        <w:rPr>
          <w:rFonts w:eastAsia="Palatino Linotype"/>
        </w:rPr>
      </w:pPr>
      <w:r w:rsidRPr="002D5CB9">
        <w:rPr>
          <w:rFonts w:eastAsia="Palatino Linotype"/>
        </w:rPr>
        <w:t>-Cumplir con las funciones que correspondan al puesto, de conformidad con las disposiciones jurídicas aplicables, y realizar aquellas que le encomienden sus superiores jerárquicos.</w:t>
      </w:r>
    </w:p>
    <w:p w14:paraId="540F5E82" w14:textId="4786994C" w:rsidR="0088050B" w:rsidRPr="002D5CB9" w:rsidRDefault="0086479B" w:rsidP="002D5CB9">
      <w:pPr>
        <w:pStyle w:val="Puesto"/>
        <w:rPr>
          <w:rFonts w:eastAsia="Palatino Linotype"/>
        </w:rPr>
      </w:pPr>
      <w:r w:rsidRPr="002D5CB9">
        <w:rPr>
          <w:rFonts w:eastAsia="Palatino Linotype"/>
        </w:rPr>
        <w:t>-Desarrollar las demás funciones inherentes al área de su competencia</w:t>
      </w:r>
    </w:p>
    <w:p w14:paraId="426C188C" w14:textId="77777777" w:rsidR="005A6CF2" w:rsidRPr="002D5CB9" w:rsidRDefault="005A6CF2" w:rsidP="002D5CB9">
      <w:pPr>
        <w:rPr>
          <w:rFonts w:eastAsia="Palatino Linotype" w:cs="Palatino Linotype"/>
          <w:szCs w:val="22"/>
        </w:rPr>
      </w:pPr>
    </w:p>
    <w:p w14:paraId="18E87F7D" w14:textId="09D77174" w:rsidR="009F4E20" w:rsidRPr="002D5CB9" w:rsidRDefault="005A6CF2" w:rsidP="002D5CB9">
      <w:pPr>
        <w:rPr>
          <w:rFonts w:eastAsia="Palatino Linotype" w:cs="Palatino Linotype"/>
          <w:szCs w:val="22"/>
        </w:rPr>
      </w:pPr>
      <w:r w:rsidRPr="002D5CB9">
        <w:rPr>
          <w:rFonts w:cs="Tahoma"/>
          <w:bCs/>
          <w:szCs w:val="22"/>
        </w:rPr>
        <w:t>De lo anterior se advierte que las atribuciones d</w:t>
      </w:r>
      <w:r w:rsidR="00045D3A" w:rsidRPr="002D5CB9">
        <w:rPr>
          <w:rFonts w:cs="Tahoma"/>
          <w:bCs/>
          <w:szCs w:val="22"/>
        </w:rPr>
        <w:t>e</w:t>
      </w:r>
      <w:r w:rsidRPr="002D5CB9">
        <w:rPr>
          <w:rFonts w:cs="Tahoma"/>
          <w:bCs/>
          <w:szCs w:val="22"/>
        </w:rPr>
        <w:t xml:space="preserve"> </w:t>
      </w:r>
      <w:r w:rsidR="00045D3A" w:rsidRPr="002D5CB9">
        <w:rPr>
          <w:b/>
          <w:bCs/>
        </w:rPr>
        <w:t>Subdirección de Servicios Generales</w:t>
      </w:r>
      <w:r w:rsidR="00045D3A" w:rsidRPr="002D5CB9">
        <w:t xml:space="preserve">, así como a la propia </w:t>
      </w:r>
      <w:r w:rsidR="00045D3A" w:rsidRPr="002D5CB9">
        <w:rPr>
          <w:b/>
          <w:bCs/>
        </w:rPr>
        <w:t>Coordinación Administrativa y de Gestión Documental</w:t>
      </w:r>
      <w:r w:rsidR="00045D3A" w:rsidRPr="002D5CB9">
        <w:t xml:space="preserve"> son áreas que pueden contar con la información peticionada, pues estas áreas tienen a su cargo p</w:t>
      </w:r>
      <w:r w:rsidR="00045D3A" w:rsidRPr="002D5CB9">
        <w:rPr>
          <w:rFonts w:eastAsia="Palatino Linotype" w:cs="Palatino Linotype"/>
          <w:szCs w:val="22"/>
        </w:rPr>
        <w:t>lanear, programar, organizar y controlar el suministro, aprovechamiento y aplicación de los recursos humanos, materiales, financieros y técnicos, así como los servicios generales de la Secretaría</w:t>
      </w:r>
      <w:r w:rsidR="00D8275E" w:rsidRPr="002D5CB9">
        <w:rPr>
          <w:rFonts w:eastAsia="Palatino Linotype" w:cs="Palatino Linotype"/>
          <w:szCs w:val="22"/>
        </w:rPr>
        <w:t>, realizando el seguimiento a las contrataciones y adquisiciones, verificando el cumplimiento de las condiciones específicas, para ser remitido a la Subdirección de Finanzas</w:t>
      </w:r>
      <w:r w:rsidR="009F4E20" w:rsidRPr="002D5CB9">
        <w:rPr>
          <w:rFonts w:eastAsia="Palatino Linotype" w:cs="Palatino Linotype"/>
          <w:szCs w:val="22"/>
        </w:rPr>
        <w:t>; por ello resulta pertinente el turno a estas áreas para efecto de que realicen una búsqueda exhaustiva en sus archivos y hagan entrega de la información solicitada.</w:t>
      </w:r>
    </w:p>
    <w:p w14:paraId="6D79FBA2" w14:textId="77777777" w:rsidR="009F4E20" w:rsidRPr="002D5CB9" w:rsidRDefault="009F4E20" w:rsidP="002D5CB9">
      <w:pPr>
        <w:rPr>
          <w:rFonts w:eastAsia="Palatino Linotype" w:cs="Palatino Linotype"/>
          <w:szCs w:val="22"/>
        </w:rPr>
      </w:pPr>
    </w:p>
    <w:p w14:paraId="44CEF026" w14:textId="77777777" w:rsidR="009F4E20" w:rsidRPr="002D5CB9" w:rsidRDefault="009F4E20" w:rsidP="002D5CB9">
      <w:pPr>
        <w:rPr>
          <w:rFonts w:eastAsia="Palatino Linotype" w:cs="Palatino Linotype"/>
          <w:szCs w:val="22"/>
        </w:rPr>
      </w:pPr>
      <w:r w:rsidRPr="002D5CB9">
        <w:rPr>
          <w:rFonts w:eastAsia="Palatino Linotype" w:cs="Palatino Linotype"/>
          <w:szCs w:val="22"/>
        </w:rPr>
        <w:t>Por lo anterior, se advierte que no se cumplió con lo que, para tal efecto, dispone el artículo 162 de la Ley de Transparencia y Acceso a la Información Pública del Estado de México y Municipios, que índica:</w:t>
      </w:r>
    </w:p>
    <w:p w14:paraId="51DFB50D" w14:textId="77777777" w:rsidR="009F4E20" w:rsidRPr="002D5CB9" w:rsidRDefault="009F4E20" w:rsidP="002D5CB9">
      <w:pPr>
        <w:rPr>
          <w:rFonts w:eastAsia="Palatino Linotype" w:cs="Palatino Linotype"/>
          <w:szCs w:val="22"/>
        </w:rPr>
      </w:pPr>
    </w:p>
    <w:p w14:paraId="0E3185FF" w14:textId="78EEFB2D" w:rsidR="009F4E20" w:rsidRPr="002D5CB9" w:rsidRDefault="009F4E20" w:rsidP="002D5CB9">
      <w:pPr>
        <w:pStyle w:val="Puesto"/>
        <w:rPr>
          <w:rFonts w:eastAsia="Palatino Linotype"/>
          <w:b/>
        </w:rPr>
      </w:pPr>
      <w:r w:rsidRPr="002D5CB9">
        <w:rPr>
          <w:rFonts w:eastAsia="Palatino Linotype"/>
          <w:b/>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14:paraId="0326D833" w14:textId="0440D0E8" w:rsidR="008B65D2" w:rsidRPr="002D5CB9" w:rsidRDefault="008B65D2" w:rsidP="002D5CB9">
      <w:pPr>
        <w:rPr>
          <w:rFonts w:eastAsia="Palatino Linotype"/>
        </w:rPr>
      </w:pPr>
    </w:p>
    <w:p w14:paraId="011C38A5" w14:textId="61165CC2" w:rsidR="008B65D2" w:rsidRPr="002D5CB9" w:rsidRDefault="008B65D2" w:rsidP="002D5CB9">
      <w:pPr>
        <w:rPr>
          <w:rFonts w:cs="Arial"/>
          <w:bCs/>
          <w:lang w:val="es-ES"/>
        </w:rPr>
      </w:pPr>
      <w:r w:rsidRPr="002D5CB9">
        <w:rPr>
          <w:rFonts w:eastAsia="Palatino Linotype"/>
        </w:rPr>
        <w:t>No pasa desapercibido que dentro del expediente que se ordena entrega debe contener facturas, por lo que</w:t>
      </w:r>
      <w:r w:rsidRPr="002D5CB9">
        <w:rPr>
          <w:rFonts w:cs="Arial"/>
          <w:bCs/>
          <w:lang w:val="es-ES"/>
        </w:rPr>
        <w:t xml:space="preserve"> es de señalar que de conformidad con lo dispuesto por los artículos 29 y </w:t>
      </w:r>
      <w:r w:rsidRPr="002D5CB9">
        <w:rPr>
          <w:rFonts w:cs="Arial"/>
          <w:bCs/>
          <w:lang w:val="es-ES"/>
        </w:rPr>
        <w:lastRenderedPageBreak/>
        <w:t xml:space="preserve">29-A del Código Fiscal de la Federación; así como, por la </w:t>
      </w:r>
      <w:r w:rsidRPr="002D5CB9">
        <w:rPr>
          <w:rFonts w:eastAsia="Palatino Linotype" w:cs="Palatino Linotype"/>
        </w:rPr>
        <w:t>Resolución</w:t>
      </w:r>
      <w:r w:rsidRPr="002D5CB9">
        <w:rPr>
          <w:rFonts w:cs="Arial"/>
          <w:bCs/>
          <w:lang w:val="es-ES"/>
        </w:rPr>
        <w:t xml:space="preserve"> Miscelánea Fiscal vigente y en tención a la información publicada por el Servicio de Administración Tributaria (SAT), ubicable en la liga electrónica:</w:t>
      </w:r>
    </w:p>
    <w:p w14:paraId="32B5C8A4" w14:textId="77777777" w:rsidR="008B65D2" w:rsidRPr="002D5CB9" w:rsidRDefault="008B65D2" w:rsidP="002D5CB9">
      <w:pPr>
        <w:pStyle w:val="Prrafodelista"/>
        <w:rPr>
          <w:rFonts w:cs="Arial"/>
          <w:bCs/>
          <w:lang w:val="es-ES"/>
        </w:rPr>
      </w:pPr>
    </w:p>
    <w:p w14:paraId="02DF05FD" w14:textId="77777777" w:rsidR="008B65D2" w:rsidRPr="002D5CB9" w:rsidRDefault="008B65D2" w:rsidP="002D5CB9">
      <w:pPr>
        <w:pStyle w:val="Prrafodelista"/>
        <w:ind w:left="0"/>
        <w:rPr>
          <w:rFonts w:cs="Arial"/>
          <w:bCs/>
          <w:lang w:val="es-ES"/>
        </w:rPr>
      </w:pPr>
      <w:r w:rsidRPr="002D5CB9">
        <w:rPr>
          <w:rFonts w:cs="Arial"/>
          <w:bCs/>
          <w:lang w:val="es-ES"/>
        </w:rPr>
        <w:t xml:space="preserve"> </w:t>
      </w:r>
      <w:hyperlink r:id="rId15" w:history="1">
        <w:r w:rsidRPr="002D5CB9">
          <w:rPr>
            <w:rStyle w:val="Hipervnculo"/>
            <w:rFonts w:eastAsiaTheme="majorEastAsia" w:cs="Arial"/>
            <w:bCs/>
            <w:color w:val="auto"/>
            <w:lang w:val="es-ES"/>
          </w:rPr>
          <w:t>http://omawww.sat.gob.mx/factura/Paginas/solicita_requisitos.htm</w:t>
        </w:r>
      </w:hyperlink>
      <w:r w:rsidRPr="002D5CB9">
        <w:rPr>
          <w:rFonts w:cs="Arial"/>
          <w:bCs/>
          <w:lang w:val="es-ES"/>
        </w:rPr>
        <w:t>, las facturas deben reunir los siguientes requisitos:</w:t>
      </w:r>
    </w:p>
    <w:tbl>
      <w:tblPr>
        <w:tblW w:w="4536" w:type="pct"/>
        <w:tblInd w:w="846" w:type="dxa"/>
        <w:tblCellMar>
          <w:top w:w="75" w:type="dxa"/>
          <w:left w:w="75" w:type="dxa"/>
          <w:bottom w:w="75" w:type="dxa"/>
          <w:right w:w="75" w:type="dxa"/>
        </w:tblCellMar>
        <w:tblLook w:val="04A0" w:firstRow="1" w:lastRow="0" w:firstColumn="1" w:lastColumn="0" w:noHBand="0" w:noVBand="1"/>
      </w:tblPr>
      <w:tblGrid>
        <w:gridCol w:w="422"/>
        <w:gridCol w:w="7783"/>
      </w:tblGrid>
      <w:tr w:rsidR="002D5CB9" w:rsidRPr="002D5CB9" w14:paraId="50454A1A" w14:textId="77777777" w:rsidTr="00813B0B">
        <w:tc>
          <w:tcPr>
            <w:tcW w:w="257" w:type="pct"/>
            <w:tcMar>
              <w:top w:w="0" w:type="dxa"/>
              <w:left w:w="0" w:type="dxa"/>
              <w:bottom w:w="0" w:type="dxa"/>
              <w:right w:w="0" w:type="dxa"/>
            </w:tcMar>
            <w:hideMark/>
          </w:tcPr>
          <w:p w14:paraId="40F561B0" w14:textId="77777777" w:rsidR="008B65D2" w:rsidRPr="002D5CB9" w:rsidRDefault="008B65D2" w:rsidP="002D5CB9">
            <w:pPr>
              <w:rPr>
                <w:rFonts w:cs="Arial"/>
                <w:bCs/>
              </w:rPr>
            </w:pPr>
            <w:r w:rsidRPr="002D5CB9">
              <w:rPr>
                <w:rFonts w:cs="Arial"/>
                <w:b/>
                <w:bCs/>
              </w:rPr>
              <w:t>•</w:t>
            </w:r>
          </w:p>
        </w:tc>
        <w:tc>
          <w:tcPr>
            <w:tcW w:w="4743" w:type="pct"/>
            <w:tcMar>
              <w:top w:w="0" w:type="dxa"/>
              <w:left w:w="0" w:type="dxa"/>
              <w:bottom w:w="0" w:type="dxa"/>
              <w:right w:w="0" w:type="dxa"/>
            </w:tcMar>
            <w:hideMark/>
          </w:tcPr>
          <w:p w14:paraId="20B16390" w14:textId="77777777" w:rsidR="008B65D2" w:rsidRPr="002D5CB9" w:rsidRDefault="008B65D2" w:rsidP="002D5CB9">
            <w:pPr>
              <w:ind w:right="901"/>
              <w:rPr>
                <w:rFonts w:cs="Arial"/>
                <w:bCs/>
              </w:rPr>
            </w:pPr>
            <w:r w:rsidRPr="002D5CB9">
              <w:rPr>
                <w:rFonts w:cs="Arial"/>
                <w:bCs/>
              </w:rPr>
              <w:t>Clave del Registro Federal de Contribuyentes de quien los expida.</w:t>
            </w:r>
          </w:p>
        </w:tc>
      </w:tr>
      <w:tr w:rsidR="002D5CB9" w:rsidRPr="002D5CB9" w14:paraId="2B16942A" w14:textId="77777777" w:rsidTr="00813B0B">
        <w:tc>
          <w:tcPr>
            <w:tcW w:w="257" w:type="pct"/>
            <w:tcMar>
              <w:top w:w="0" w:type="dxa"/>
              <w:left w:w="0" w:type="dxa"/>
              <w:bottom w:w="0" w:type="dxa"/>
              <w:right w:w="0" w:type="dxa"/>
            </w:tcMar>
            <w:hideMark/>
          </w:tcPr>
          <w:p w14:paraId="0D38A988" w14:textId="77777777" w:rsidR="008B65D2" w:rsidRPr="002D5CB9" w:rsidRDefault="008B65D2" w:rsidP="002D5CB9">
            <w:pPr>
              <w:rPr>
                <w:rFonts w:cs="Arial"/>
                <w:bCs/>
              </w:rPr>
            </w:pPr>
            <w:r w:rsidRPr="002D5CB9">
              <w:rPr>
                <w:rFonts w:cs="Arial"/>
                <w:b/>
                <w:bCs/>
              </w:rPr>
              <w:t>•</w:t>
            </w:r>
          </w:p>
        </w:tc>
        <w:tc>
          <w:tcPr>
            <w:tcW w:w="4743" w:type="pct"/>
            <w:tcMar>
              <w:top w:w="0" w:type="dxa"/>
              <w:left w:w="0" w:type="dxa"/>
              <w:bottom w:w="0" w:type="dxa"/>
              <w:right w:w="0" w:type="dxa"/>
            </w:tcMar>
            <w:hideMark/>
          </w:tcPr>
          <w:p w14:paraId="51CC70F7" w14:textId="77777777" w:rsidR="008B65D2" w:rsidRPr="002D5CB9" w:rsidRDefault="008B65D2" w:rsidP="002D5CB9">
            <w:pPr>
              <w:ind w:right="901"/>
              <w:rPr>
                <w:rFonts w:cs="Arial"/>
                <w:bCs/>
              </w:rPr>
            </w:pPr>
            <w:r w:rsidRPr="002D5CB9">
              <w:rPr>
                <w:rFonts w:cs="Arial"/>
                <w:bCs/>
              </w:rPr>
              <w:t>Régimen Fiscal en que tributen conforme a la Ley del ISR.</w:t>
            </w:r>
          </w:p>
        </w:tc>
      </w:tr>
      <w:tr w:rsidR="002D5CB9" w:rsidRPr="002D5CB9" w14:paraId="75C9A14B" w14:textId="77777777" w:rsidTr="00813B0B">
        <w:tc>
          <w:tcPr>
            <w:tcW w:w="257" w:type="pct"/>
            <w:tcMar>
              <w:top w:w="0" w:type="dxa"/>
              <w:left w:w="0" w:type="dxa"/>
              <w:bottom w:w="0" w:type="dxa"/>
              <w:right w:w="0" w:type="dxa"/>
            </w:tcMar>
            <w:hideMark/>
          </w:tcPr>
          <w:p w14:paraId="1C3EE055" w14:textId="77777777" w:rsidR="008B65D2" w:rsidRPr="002D5CB9" w:rsidRDefault="008B65D2" w:rsidP="002D5CB9">
            <w:pPr>
              <w:rPr>
                <w:rFonts w:cs="Arial"/>
                <w:bCs/>
              </w:rPr>
            </w:pPr>
            <w:r w:rsidRPr="002D5CB9">
              <w:rPr>
                <w:rFonts w:cs="Arial"/>
                <w:b/>
                <w:bCs/>
              </w:rPr>
              <w:t>•</w:t>
            </w:r>
          </w:p>
        </w:tc>
        <w:tc>
          <w:tcPr>
            <w:tcW w:w="4743" w:type="pct"/>
            <w:tcMar>
              <w:top w:w="0" w:type="dxa"/>
              <w:left w:w="0" w:type="dxa"/>
              <w:bottom w:w="0" w:type="dxa"/>
              <w:right w:w="0" w:type="dxa"/>
            </w:tcMar>
            <w:hideMark/>
          </w:tcPr>
          <w:p w14:paraId="3330E4E3" w14:textId="77777777" w:rsidR="008B65D2" w:rsidRPr="002D5CB9" w:rsidRDefault="008B65D2" w:rsidP="002D5CB9">
            <w:pPr>
              <w:ind w:right="901"/>
              <w:rPr>
                <w:rFonts w:cs="Arial"/>
                <w:bCs/>
              </w:rPr>
            </w:pPr>
            <w:r w:rsidRPr="002D5CB9">
              <w:rPr>
                <w:rFonts w:cs="Arial"/>
                <w:bCs/>
              </w:rPr>
              <w:t>Sí se tiene más de un local o establecimiento, se deberá señalar el domicilio del local o establecimiento en el que se expidan las Facturas.</w:t>
            </w:r>
          </w:p>
        </w:tc>
      </w:tr>
      <w:tr w:rsidR="002D5CB9" w:rsidRPr="002D5CB9" w14:paraId="680C68F7" w14:textId="77777777" w:rsidTr="00813B0B">
        <w:tc>
          <w:tcPr>
            <w:tcW w:w="257" w:type="pct"/>
            <w:tcMar>
              <w:top w:w="0" w:type="dxa"/>
              <w:left w:w="0" w:type="dxa"/>
              <w:bottom w:w="0" w:type="dxa"/>
              <w:right w:w="0" w:type="dxa"/>
            </w:tcMar>
            <w:hideMark/>
          </w:tcPr>
          <w:p w14:paraId="533DA95D" w14:textId="77777777" w:rsidR="008B65D2" w:rsidRPr="002D5CB9" w:rsidRDefault="008B65D2" w:rsidP="002D5CB9">
            <w:pPr>
              <w:rPr>
                <w:rFonts w:cs="Arial"/>
                <w:bCs/>
              </w:rPr>
            </w:pPr>
            <w:r w:rsidRPr="002D5CB9">
              <w:rPr>
                <w:rFonts w:cs="Arial"/>
                <w:b/>
                <w:bCs/>
              </w:rPr>
              <w:t>•</w:t>
            </w:r>
          </w:p>
        </w:tc>
        <w:tc>
          <w:tcPr>
            <w:tcW w:w="4743" w:type="pct"/>
            <w:tcMar>
              <w:top w:w="0" w:type="dxa"/>
              <w:left w:w="0" w:type="dxa"/>
              <w:bottom w:w="0" w:type="dxa"/>
              <w:right w:w="0" w:type="dxa"/>
            </w:tcMar>
            <w:hideMark/>
          </w:tcPr>
          <w:p w14:paraId="7F973D02" w14:textId="77777777" w:rsidR="008B65D2" w:rsidRPr="002D5CB9" w:rsidRDefault="008B65D2" w:rsidP="002D5CB9">
            <w:pPr>
              <w:ind w:right="901"/>
              <w:rPr>
                <w:rFonts w:cs="Arial"/>
                <w:bCs/>
              </w:rPr>
            </w:pPr>
            <w:r w:rsidRPr="002D5CB9">
              <w:rPr>
                <w:rFonts w:cs="Arial"/>
                <w:bCs/>
              </w:rPr>
              <w:t>Contener el número de folio asignado por el SAT y el sello digital del SAT.</w:t>
            </w:r>
          </w:p>
        </w:tc>
      </w:tr>
      <w:tr w:rsidR="002D5CB9" w:rsidRPr="002D5CB9" w14:paraId="17B219F4" w14:textId="77777777" w:rsidTr="00813B0B">
        <w:tc>
          <w:tcPr>
            <w:tcW w:w="257" w:type="pct"/>
            <w:tcMar>
              <w:top w:w="0" w:type="dxa"/>
              <w:left w:w="0" w:type="dxa"/>
              <w:bottom w:w="0" w:type="dxa"/>
              <w:right w:w="0" w:type="dxa"/>
            </w:tcMar>
            <w:hideMark/>
          </w:tcPr>
          <w:p w14:paraId="3F23B3A8" w14:textId="77777777" w:rsidR="008B65D2" w:rsidRPr="002D5CB9" w:rsidRDefault="008B65D2" w:rsidP="002D5CB9">
            <w:pPr>
              <w:rPr>
                <w:rFonts w:cs="Arial"/>
                <w:bCs/>
              </w:rPr>
            </w:pPr>
            <w:r w:rsidRPr="002D5CB9">
              <w:rPr>
                <w:rFonts w:cs="Arial"/>
                <w:b/>
                <w:bCs/>
              </w:rPr>
              <w:t>•</w:t>
            </w:r>
          </w:p>
        </w:tc>
        <w:tc>
          <w:tcPr>
            <w:tcW w:w="4743" w:type="pct"/>
            <w:tcMar>
              <w:top w:w="0" w:type="dxa"/>
              <w:left w:w="0" w:type="dxa"/>
              <w:bottom w:w="0" w:type="dxa"/>
              <w:right w:w="0" w:type="dxa"/>
            </w:tcMar>
            <w:hideMark/>
          </w:tcPr>
          <w:p w14:paraId="57B00B66" w14:textId="77777777" w:rsidR="008B65D2" w:rsidRPr="002D5CB9" w:rsidRDefault="008B65D2" w:rsidP="002D5CB9">
            <w:pPr>
              <w:ind w:right="901"/>
              <w:rPr>
                <w:rFonts w:cs="Arial"/>
                <w:bCs/>
              </w:rPr>
            </w:pPr>
            <w:r w:rsidRPr="002D5CB9">
              <w:rPr>
                <w:rFonts w:cs="Arial"/>
                <w:bCs/>
              </w:rPr>
              <w:t>Sello digital del contribuyente que lo expide.</w:t>
            </w:r>
          </w:p>
        </w:tc>
      </w:tr>
      <w:tr w:rsidR="002D5CB9" w:rsidRPr="002D5CB9" w14:paraId="45489794" w14:textId="77777777" w:rsidTr="00813B0B">
        <w:tc>
          <w:tcPr>
            <w:tcW w:w="257" w:type="pct"/>
            <w:tcMar>
              <w:top w:w="0" w:type="dxa"/>
              <w:left w:w="0" w:type="dxa"/>
              <w:bottom w:w="0" w:type="dxa"/>
              <w:right w:w="0" w:type="dxa"/>
            </w:tcMar>
            <w:hideMark/>
          </w:tcPr>
          <w:p w14:paraId="269A6D93" w14:textId="77777777" w:rsidR="008B65D2" w:rsidRPr="002D5CB9" w:rsidRDefault="008B65D2" w:rsidP="002D5CB9">
            <w:pPr>
              <w:rPr>
                <w:rFonts w:cs="Arial"/>
                <w:bCs/>
              </w:rPr>
            </w:pPr>
            <w:r w:rsidRPr="002D5CB9">
              <w:rPr>
                <w:rFonts w:cs="Arial"/>
                <w:b/>
                <w:bCs/>
              </w:rPr>
              <w:t>•</w:t>
            </w:r>
          </w:p>
        </w:tc>
        <w:tc>
          <w:tcPr>
            <w:tcW w:w="4743" w:type="pct"/>
            <w:tcMar>
              <w:top w:w="0" w:type="dxa"/>
              <w:left w:w="0" w:type="dxa"/>
              <w:bottom w:w="0" w:type="dxa"/>
              <w:right w:w="0" w:type="dxa"/>
            </w:tcMar>
            <w:hideMark/>
          </w:tcPr>
          <w:p w14:paraId="0D6A6245" w14:textId="77777777" w:rsidR="008B65D2" w:rsidRPr="002D5CB9" w:rsidRDefault="008B65D2" w:rsidP="002D5CB9">
            <w:pPr>
              <w:ind w:right="901"/>
              <w:rPr>
                <w:rFonts w:cs="Arial"/>
                <w:bCs/>
              </w:rPr>
            </w:pPr>
            <w:r w:rsidRPr="002D5CB9">
              <w:rPr>
                <w:rFonts w:cs="Arial"/>
                <w:bCs/>
              </w:rPr>
              <w:t>Lugar y fecha de expedición.</w:t>
            </w:r>
          </w:p>
        </w:tc>
      </w:tr>
      <w:tr w:rsidR="002D5CB9" w:rsidRPr="002D5CB9" w14:paraId="5923D73C" w14:textId="77777777" w:rsidTr="00813B0B">
        <w:tc>
          <w:tcPr>
            <w:tcW w:w="257" w:type="pct"/>
            <w:tcMar>
              <w:top w:w="0" w:type="dxa"/>
              <w:left w:w="0" w:type="dxa"/>
              <w:bottom w:w="0" w:type="dxa"/>
              <w:right w:w="0" w:type="dxa"/>
            </w:tcMar>
            <w:hideMark/>
          </w:tcPr>
          <w:p w14:paraId="0CEBF08B" w14:textId="77777777" w:rsidR="008B65D2" w:rsidRPr="002D5CB9" w:rsidRDefault="008B65D2" w:rsidP="002D5CB9">
            <w:pPr>
              <w:rPr>
                <w:rFonts w:cs="Arial"/>
                <w:bCs/>
              </w:rPr>
            </w:pPr>
            <w:r w:rsidRPr="002D5CB9">
              <w:rPr>
                <w:rFonts w:cs="Arial"/>
                <w:b/>
                <w:bCs/>
              </w:rPr>
              <w:t>•</w:t>
            </w:r>
          </w:p>
        </w:tc>
        <w:tc>
          <w:tcPr>
            <w:tcW w:w="4743" w:type="pct"/>
            <w:tcMar>
              <w:top w:w="0" w:type="dxa"/>
              <w:left w:w="0" w:type="dxa"/>
              <w:bottom w:w="0" w:type="dxa"/>
              <w:right w:w="0" w:type="dxa"/>
            </w:tcMar>
            <w:hideMark/>
          </w:tcPr>
          <w:p w14:paraId="5277CDED" w14:textId="77777777" w:rsidR="008B65D2" w:rsidRPr="002D5CB9" w:rsidRDefault="008B65D2" w:rsidP="002D5CB9">
            <w:pPr>
              <w:ind w:right="901"/>
              <w:rPr>
                <w:rFonts w:cs="Arial"/>
                <w:bCs/>
              </w:rPr>
            </w:pPr>
            <w:r w:rsidRPr="002D5CB9">
              <w:rPr>
                <w:rFonts w:cs="Arial"/>
                <w:bCs/>
              </w:rPr>
              <w:t>Clave del Registro Federal de Contribuyentes de la persona a favor de quien se expida.</w:t>
            </w:r>
          </w:p>
        </w:tc>
      </w:tr>
      <w:tr w:rsidR="002D5CB9" w:rsidRPr="002D5CB9" w14:paraId="08CD2F1A" w14:textId="77777777" w:rsidTr="00813B0B">
        <w:tc>
          <w:tcPr>
            <w:tcW w:w="257" w:type="pct"/>
            <w:tcMar>
              <w:top w:w="0" w:type="dxa"/>
              <w:left w:w="0" w:type="dxa"/>
              <w:bottom w:w="0" w:type="dxa"/>
              <w:right w:w="0" w:type="dxa"/>
            </w:tcMar>
            <w:hideMark/>
          </w:tcPr>
          <w:p w14:paraId="4F050657" w14:textId="77777777" w:rsidR="008B65D2" w:rsidRPr="002D5CB9" w:rsidRDefault="008B65D2" w:rsidP="002D5CB9">
            <w:pPr>
              <w:rPr>
                <w:rFonts w:cs="Arial"/>
                <w:bCs/>
              </w:rPr>
            </w:pPr>
            <w:r w:rsidRPr="002D5CB9">
              <w:rPr>
                <w:rFonts w:cs="Arial"/>
                <w:b/>
                <w:bCs/>
              </w:rPr>
              <w:t>•</w:t>
            </w:r>
          </w:p>
        </w:tc>
        <w:tc>
          <w:tcPr>
            <w:tcW w:w="4743" w:type="pct"/>
            <w:tcMar>
              <w:top w:w="0" w:type="dxa"/>
              <w:left w:w="0" w:type="dxa"/>
              <w:bottom w:w="0" w:type="dxa"/>
              <w:right w:w="0" w:type="dxa"/>
            </w:tcMar>
            <w:hideMark/>
          </w:tcPr>
          <w:p w14:paraId="0ED126E1" w14:textId="77777777" w:rsidR="008B65D2" w:rsidRPr="002D5CB9" w:rsidRDefault="008B65D2" w:rsidP="002D5CB9">
            <w:pPr>
              <w:ind w:right="901"/>
              <w:rPr>
                <w:rFonts w:cs="Arial"/>
                <w:bCs/>
              </w:rPr>
            </w:pPr>
            <w:r w:rsidRPr="002D5CB9">
              <w:rPr>
                <w:rFonts w:cs="Arial"/>
                <w:bCs/>
              </w:rPr>
              <w:t>Cantidad, unidad de medida y clase de los bienes, mercancías o descripción del servicio o del uso o goce que amparen.</w:t>
            </w:r>
          </w:p>
        </w:tc>
      </w:tr>
      <w:tr w:rsidR="002D5CB9" w:rsidRPr="002D5CB9" w14:paraId="55F9064D" w14:textId="77777777" w:rsidTr="00813B0B">
        <w:tc>
          <w:tcPr>
            <w:tcW w:w="257" w:type="pct"/>
            <w:tcMar>
              <w:top w:w="0" w:type="dxa"/>
              <w:left w:w="0" w:type="dxa"/>
              <w:bottom w:w="0" w:type="dxa"/>
              <w:right w:w="0" w:type="dxa"/>
            </w:tcMar>
            <w:hideMark/>
          </w:tcPr>
          <w:p w14:paraId="4294B61D" w14:textId="77777777" w:rsidR="008B65D2" w:rsidRPr="002D5CB9" w:rsidRDefault="008B65D2" w:rsidP="002D5CB9">
            <w:pPr>
              <w:rPr>
                <w:rFonts w:cs="Arial"/>
                <w:bCs/>
              </w:rPr>
            </w:pPr>
            <w:r w:rsidRPr="002D5CB9">
              <w:rPr>
                <w:rFonts w:cs="Arial"/>
                <w:b/>
                <w:bCs/>
              </w:rPr>
              <w:t>•</w:t>
            </w:r>
          </w:p>
        </w:tc>
        <w:tc>
          <w:tcPr>
            <w:tcW w:w="4743" w:type="pct"/>
            <w:tcMar>
              <w:top w:w="0" w:type="dxa"/>
              <w:left w:w="0" w:type="dxa"/>
              <w:bottom w:w="0" w:type="dxa"/>
              <w:right w:w="0" w:type="dxa"/>
            </w:tcMar>
            <w:hideMark/>
          </w:tcPr>
          <w:p w14:paraId="5E1B3CD1" w14:textId="77777777" w:rsidR="008B65D2" w:rsidRPr="002D5CB9" w:rsidRDefault="008B65D2" w:rsidP="002D5CB9">
            <w:pPr>
              <w:ind w:right="901"/>
              <w:rPr>
                <w:rFonts w:cs="Arial"/>
                <w:bCs/>
              </w:rPr>
            </w:pPr>
            <w:r w:rsidRPr="002D5CB9">
              <w:rPr>
                <w:rFonts w:cs="Arial"/>
                <w:bCs/>
              </w:rPr>
              <w:t>Valor unitario consignado en número.</w:t>
            </w:r>
          </w:p>
        </w:tc>
      </w:tr>
      <w:tr w:rsidR="002D5CB9" w:rsidRPr="002D5CB9" w14:paraId="6BFBF9C3" w14:textId="77777777" w:rsidTr="00813B0B">
        <w:tc>
          <w:tcPr>
            <w:tcW w:w="257" w:type="pct"/>
            <w:tcMar>
              <w:top w:w="0" w:type="dxa"/>
              <w:left w:w="0" w:type="dxa"/>
              <w:bottom w:w="0" w:type="dxa"/>
              <w:right w:w="0" w:type="dxa"/>
            </w:tcMar>
            <w:hideMark/>
          </w:tcPr>
          <w:p w14:paraId="4D7392C9" w14:textId="77777777" w:rsidR="008B65D2" w:rsidRPr="002D5CB9" w:rsidRDefault="008B65D2" w:rsidP="002D5CB9">
            <w:pPr>
              <w:rPr>
                <w:rFonts w:cs="Arial"/>
                <w:bCs/>
              </w:rPr>
            </w:pPr>
            <w:r w:rsidRPr="002D5CB9">
              <w:rPr>
                <w:rFonts w:cs="Arial"/>
                <w:b/>
                <w:bCs/>
              </w:rPr>
              <w:t>•</w:t>
            </w:r>
          </w:p>
        </w:tc>
        <w:tc>
          <w:tcPr>
            <w:tcW w:w="4743" w:type="pct"/>
            <w:tcMar>
              <w:top w:w="0" w:type="dxa"/>
              <w:left w:w="0" w:type="dxa"/>
              <w:bottom w:w="0" w:type="dxa"/>
              <w:right w:w="0" w:type="dxa"/>
            </w:tcMar>
            <w:hideMark/>
          </w:tcPr>
          <w:p w14:paraId="65D3088D" w14:textId="77777777" w:rsidR="008B65D2" w:rsidRPr="002D5CB9" w:rsidRDefault="008B65D2" w:rsidP="002D5CB9">
            <w:pPr>
              <w:ind w:right="901"/>
              <w:rPr>
                <w:rFonts w:cs="Arial"/>
                <w:bCs/>
              </w:rPr>
            </w:pPr>
            <w:r w:rsidRPr="002D5CB9">
              <w:rPr>
                <w:rFonts w:cs="Arial"/>
                <w:bCs/>
              </w:rPr>
              <w:t>Importe total señalado en número o en letra.</w:t>
            </w:r>
          </w:p>
        </w:tc>
      </w:tr>
      <w:tr w:rsidR="002D5CB9" w:rsidRPr="002D5CB9" w14:paraId="0902F83A" w14:textId="77777777" w:rsidTr="00813B0B">
        <w:tc>
          <w:tcPr>
            <w:tcW w:w="257" w:type="pct"/>
            <w:tcMar>
              <w:top w:w="0" w:type="dxa"/>
              <w:left w:w="0" w:type="dxa"/>
              <w:bottom w:w="0" w:type="dxa"/>
              <w:right w:w="0" w:type="dxa"/>
            </w:tcMar>
            <w:hideMark/>
          </w:tcPr>
          <w:p w14:paraId="3CA9A74D" w14:textId="77777777" w:rsidR="008B65D2" w:rsidRPr="002D5CB9" w:rsidRDefault="008B65D2" w:rsidP="002D5CB9">
            <w:pPr>
              <w:rPr>
                <w:rFonts w:cs="Arial"/>
                <w:bCs/>
              </w:rPr>
            </w:pPr>
            <w:r w:rsidRPr="002D5CB9">
              <w:rPr>
                <w:rFonts w:cs="Arial"/>
                <w:b/>
                <w:bCs/>
              </w:rPr>
              <w:t>•</w:t>
            </w:r>
          </w:p>
        </w:tc>
        <w:tc>
          <w:tcPr>
            <w:tcW w:w="4743" w:type="pct"/>
            <w:tcMar>
              <w:top w:w="0" w:type="dxa"/>
              <w:left w:w="0" w:type="dxa"/>
              <w:bottom w:w="0" w:type="dxa"/>
              <w:right w:w="0" w:type="dxa"/>
            </w:tcMar>
            <w:hideMark/>
          </w:tcPr>
          <w:p w14:paraId="5383F962" w14:textId="77777777" w:rsidR="008B65D2" w:rsidRPr="002D5CB9" w:rsidRDefault="008B65D2" w:rsidP="002D5CB9">
            <w:pPr>
              <w:ind w:right="901"/>
              <w:rPr>
                <w:rFonts w:cs="Arial"/>
                <w:bCs/>
              </w:rPr>
            </w:pPr>
            <w:r w:rsidRPr="002D5CB9">
              <w:rPr>
                <w:rFonts w:cs="Arial"/>
                <w:bCs/>
              </w:rPr>
              <w:t>Señalamiento expreso cuando la prestación se pague en una sola exhibición o en parcialidades.</w:t>
            </w:r>
          </w:p>
        </w:tc>
      </w:tr>
      <w:tr w:rsidR="002D5CB9" w:rsidRPr="002D5CB9" w14:paraId="4B697AFA" w14:textId="77777777" w:rsidTr="00813B0B">
        <w:tc>
          <w:tcPr>
            <w:tcW w:w="257" w:type="pct"/>
            <w:tcMar>
              <w:top w:w="0" w:type="dxa"/>
              <w:left w:w="0" w:type="dxa"/>
              <w:bottom w:w="0" w:type="dxa"/>
              <w:right w:w="0" w:type="dxa"/>
            </w:tcMar>
            <w:hideMark/>
          </w:tcPr>
          <w:p w14:paraId="51F97175" w14:textId="77777777" w:rsidR="008B65D2" w:rsidRPr="002D5CB9" w:rsidRDefault="008B65D2" w:rsidP="002D5CB9">
            <w:pPr>
              <w:rPr>
                <w:rFonts w:cs="Arial"/>
                <w:bCs/>
              </w:rPr>
            </w:pPr>
            <w:r w:rsidRPr="002D5CB9">
              <w:rPr>
                <w:rFonts w:cs="Arial"/>
                <w:b/>
                <w:bCs/>
              </w:rPr>
              <w:t>•</w:t>
            </w:r>
          </w:p>
        </w:tc>
        <w:tc>
          <w:tcPr>
            <w:tcW w:w="4743" w:type="pct"/>
            <w:tcMar>
              <w:top w:w="0" w:type="dxa"/>
              <w:left w:w="0" w:type="dxa"/>
              <w:bottom w:w="0" w:type="dxa"/>
              <w:right w:w="0" w:type="dxa"/>
            </w:tcMar>
            <w:hideMark/>
          </w:tcPr>
          <w:p w14:paraId="69826BAB" w14:textId="77777777" w:rsidR="008B65D2" w:rsidRPr="002D5CB9" w:rsidRDefault="008B65D2" w:rsidP="002D5CB9">
            <w:pPr>
              <w:ind w:right="901"/>
              <w:rPr>
                <w:rFonts w:cs="Arial"/>
                <w:bCs/>
              </w:rPr>
            </w:pPr>
            <w:r w:rsidRPr="002D5CB9">
              <w:rPr>
                <w:rFonts w:cs="Arial"/>
                <w:bCs/>
              </w:rPr>
              <w:t>Cuando proceda, se indicará el monto de los impuestos trasladados, desglosados por tasa de impuesto y, en su caso, el monto de los impuestos retenidos.</w:t>
            </w:r>
          </w:p>
        </w:tc>
      </w:tr>
      <w:tr w:rsidR="002D5CB9" w:rsidRPr="002D5CB9" w14:paraId="50D46476" w14:textId="77777777" w:rsidTr="00813B0B">
        <w:tc>
          <w:tcPr>
            <w:tcW w:w="257" w:type="pct"/>
            <w:tcMar>
              <w:top w:w="0" w:type="dxa"/>
              <w:left w:w="0" w:type="dxa"/>
              <w:bottom w:w="0" w:type="dxa"/>
              <w:right w:w="0" w:type="dxa"/>
            </w:tcMar>
            <w:hideMark/>
          </w:tcPr>
          <w:p w14:paraId="289FAC54" w14:textId="77777777" w:rsidR="008B65D2" w:rsidRPr="002D5CB9" w:rsidRDefault="008B65D2" w:rsidP="002D5CB9">
            <w:pPr>
              <w:rPr>
                <w:rFonts w:cs="Arial"/>
                <w:bCs/>
              </w:rPr>
            </w:pPr>
            <w:r w:rsidRPr="002D5CB9">
              <w:rPr>
                <w:rFonts w:cs="Arial"/>
                <w:b/>
                <w:bCs/>
              </w:rPr>
              <w:lastRenderedPageBreak/>
              <w:t>•</w:t>
            </w:r>
          </w:p>
        </w:tc>
        <w:tc>
          <w:tcPr>
            <w:tcW w:w="4743" w:type="pct"/>
            <w:tcMar>
              <w:top w:w="0" w:type="dxa"/>
              <w:left w:w="0" w:type="dxa"/>
              <w:bottom w:w="0" w:type="dxa"/>
              <w:right w:w="0" w:type="dxa"/>
            </w:tcMar>
            <w:hideMark/>
          </w:tcPr>
          <w:p w14:paraId="10A2CE63" w14:textId="77777777" w:rsidR="008B65D2" w:rsidRPr="002D5CB9" w:rsidRDefault="008B65D2" w:rsidP="002D5CB9">
            <w:pPr>
              <w:ind w:right="901"/>
              <w:rPr>
                <w:rFonts w:cs="Arial"/>
                <w:bCs/>
              </w:rPr>
            </w:pPr>
            <w:r w:rsidRPr="002D5CB9">
              <w:rPr>
                <w:rFonts w:cs="Arial"/>
                <w:bCs/>
              </w:rPr>
              <w:t>Forma en que se realizó el pago (efectivo, transferencia electrónica de fondos, cheque nominativo o tarjeta de débito, de crédito, de servicio o la denominada monedero electrónico que autorice el Servicio de Administración Tributaria).</w:t>
            </w:r>
          </w:p>
        </w:tc>
      </w:tr>
      <w:tr w:rsidR="002D5CB9" w:rsidRPr="002D5CB9" w14:paraId="27FF5E65" w14:textId="77777777" w:rsidTr="00813B0B">
        <w:tc>
          <w:tcPr>
            <w:tcW w:w="257" w:type="pct"/>
            <w:tcMar>
              <w:top w:w="0" w:type="dxa"/>
              <w:left w:w="0" w:type="dxa"/>
              <w:bottom w:w="0" w:type="dxa"/>
              <w:right w:w="0" w:type="dxa"/>
            </w:tcMar>
            <w:hideMark/>
          </w:tcPr>
          <w:p w14:paraId="7F1EDB0E" w14:textId="77777777" w:rsidR="008B65D2" w:rsidRPr="002D5CB9" w:rsidRDefault="008B65D2" w:rsidP="002D5CB9">
            <w:pPr>
              <w:rPr>
                <w:rFonts w:cs="Arial"/>
                <w:bCs/>
              </w:rPr>
            </w:pPr>
            <w:r w:rsidRPr="002D5CB9">
              <w:rPr>
                <w:rFonts w:cs="Arial"/>
                <w:b/>
                <w:bCs/>
              </w:rPr>
              <w:t>•</w:t>
            </w:r>
          </w:p>
        </w:tc>
        <w:tc>
          <w:tcPr>
            <w:tcW w:w="4743" w:type="pct"/>
            <w:tcMar>
              <w:top w:w="0" w:type="dxa"/>
              <w:left w:w="0" w:type="dxa"/>
              <w:bottom w:w="0" w:type="dxa"/>
              <w:right w:w="0" w:type="dxa"/>
            </w:tcMar>
            <w:hideMark/>
          </w:tcPr>
          <w:p w14:paraId="5DC6A045" w14:textId="77777777" w:rsidR="008B65D2" w:rsidRPr="002D5CB9" w:rsidRDefault="008B65D2" w:rsidP="002D5CB9">
            <w:pPr>
              <w:ind w:right="901"/>
              <w:rPr>
                <w:rFonts w:cs="Arial"/>
                <w:bCs/>
              </w:rPr>
            </w:pPr>
            <w:r w:rsidRPr="002D5CB9">
              <w:rPr>
                <w:rFonts w:cs="Arial"/>
                <w:bCs/>
              </w:rPr>
              <w:t>Número y fecha del documento aduanero, tratándose de ventas de primera mano de mercancías de importación.</w:t>
            </w:r>
          </w:p>
        </w:tc>
      </w:tr>
      <w:tr w:rsidR="002D5CB9" w:rsidRPr="002D5CB9" w14:paraId="7B6A2285" w14:textId="77777777" w:rsidTr="00813B0B">
        <w:tc>
          <w:tcPr>
            <w:tcW w:w="5000" w:type="pct"/>
            <w:gridSpan w:val="2"/>
            <w:tcMar>
              <w:top w:w="0" w:type="dxa"/>
              <w:left w:w="0" w:type="dxa"/>
              <w:bottom w:w="0" w:type="dxa"/>
              <w:right w:w="0" w:type="dxa"/>
            </w:tcMar>
            <w:hideMark/>
          </w:tcPr>
          <w:p w14:paraId="0AD50EAE" w14:textId="77777777" w:rsidR="008B65D2" w:rsidRPr="002D5CB9" w:rsidRDefault="008B65D2" w:rsidP="002D5CB9">
            <w:pPr>
              <w:ind w:right="901"/>
              <w:rPr>
                <w:rFonts w:cs="Arial"/>
                <w:bCs/>
                <w:lang w:val="es-ES"/>
              </w:rPr>
            </w:pPr>
            <w:r w:rsidRPr="002D5CB9">
              <w:rPr>
                <w:rFonts w:cs="Arial"/>
                <w:bCs/>
                <w:lang w:val="es-ES"/>
              </w:rPr>
              <w:t>Además, debe contener los siguientes datos:</w:t>
            </w:r>
          </w:p>
          <w:p w14:paraId="2AA0CF5A" w14:textId="77777777" w:rsidR="008B65D2" w:rsidRPr="002D5CB9" w:rsidRDefault="008B65D2" w:rsidP="002D5CB9">
            <w:pPr>
              <w:ind w:right="901"/>
              <w:rPr>
                <w:rFonts w:cs="Arial"/>
                <w:bCs/>
                <w:lang w:val="es-ES"/>
              </w:rPr>
            </w:pPr>
            <w:r w:rsidRPr="002D5CB9">
              <w:rPr>
                <w:rFonts w:cs="Arial"/>
                <w:bCs/>
                <w:lang w:val="es-ES"/>
              </w:rPr>
              <w:t>a)     Fecha y hora de certificación.</w:t>
            </w:r>
          </w:p>
          <w:p w14:paraId="763F74A0" w14:textId="77777777" w:rsidR="008B65D2" w:rsidRPr="002D5CB9" w:rsidRDefault="008B65D2" w:rsidP="002D5CB9">
            <w:pPr>
              <w:ind w:right="901"/>
              <w:rPr>
                <w:rFonts w:cs="Arial"/>
                <w:bCs/>
              </w:rPr>
            </w:pPr>
            <w:r w:rsidRPr="002D5CB9">
              <w:rPr>
                <w:rFonts w:cs="Arial"/>
                <w:bCs/>
                <w:lang w:val="es-ES"/>
              </w:rPr>
              <w:t>b)    Número de serie del certificado digital del SAT con el que se realizó el sellado</w:t>
            </w:r>
          </w:p>
        </w:tc>
      </w:tr>
      <w:tr w:rsidR="002D5CB9" w:rsidRPr="002D5CB9" w14:paraId="78A06AA6" w14:textId="77777777" w:rsidTr="00813B0B">
        <w:tc>
          <w:tcPr>
            <w:tcW w:w="5000" w:type="pct"/>
            <w:gridSpan w:val="2"/>
            <w:tcMar>
              <w:top w:w="0" w:type="dxa"/>
              <w:left w:w="0" w:type="dxa"/>
              <w:bottom w:w="0" w:type="dxa"/>
              <w:right w:w="0" w:type="dxa"/>
            </w:tcMar>
            <w:hideMark/>
          </w:tcPr>
          <w:p w14:paraId="31BB4705" w14:textId="77777777" w:rsidR="008B65D2" w:rsidRPr="002D5CB9" w:rsidRDefault="008B65D2" w:rsidP="002D5CB9">
            <w:pPr>
              <w:ind w:right="901"/>
              <w:rPr>
                <w:rFonts w:cs="Arial"/>
                <w:lang w:val="es-ES"/>
              </w:rPr>
            </w:pPr>
            <w:r w:rsidRPr="002D5CB9">
              <w:rPr>
                <w:rFonts w:cs="Arial"/>
              </w:rPr>
              <w:t>La representación impresa además debe contener los requisitos contenidos en la Resolución Miscelánea Fiscal vigente:</w:t>
            </w:r>
          </w:p>
        </w:tc>
      </w:tr>
      <w:tr w:rsidR="008B65D2" w:rsidRPr="002D5CB9" w14:paraId="744B17BE" w14:textId="77777777" w:rsidTr="00813B0B">
        <w:tc>
          <w:tcPr>
            <w:tcW w:w="5000" w:type="pct"/>
            <w:gridSpan w:val="2"/>
            <w:tcMar>
              <w:top w:w="0" w:type="dxa"/>
              <w:left w:w="0" w:type="dxa"/>
              <w:bottom w:w="0" w:type="dxa"/>
              <w:right w:w="0" w:type="dxa"/>
            </w:tcMar>
            <w:hideMark/>
          </w:tcPr>
          <w:p w14:paraId="3D28485C" w14:textId="77777777" w:rsidR="008B65D2" w:rsidRPr="002D5CB9" w:rsidRDefault="008B65D2" w:rsidP="002D5CB9">
            <w:pPr>
              <w:ind w:right="901"/>
              <w:rPr>
                <w:rFonts w:cs="Arial"/>
              </w:rPr>
            </w:pPr>
            <w:r w:rsidRPr="002D5CB9">
              <w:rPr>
                <w:rFonts w:cs="Arial"/>
              </w:rPr>
              <w:t>a)    Código de barras generado conforme al rubro I.D del Anexo 20 o el número de folio fiscal del comprobante.</w:t>
            </w:r>
          </w:p>
          <w:p w14:paraId="4D6CB42F" w14:textId="77777777" w:rsidR="008B65D2" w:rsidRPr="002D5CB9" w:rsidRDefault="008B65D2" w:rsidP="002D5CB9">
            <w:pPr>
              <w:ind w:right="901"/>
              <w:rPr>
                <w:rFonts w:cs="Arial"/>
              </w:rPr>
            </w:pPr>
            <w:r w:rsidRPr="002D5CB9">
              <w:rPr>
                <w:rFonts w:cs="Arial"/>
              </w:rPr>
              <w:t>b)    Número de serie del CSD del emisor y del SAT.</w:t>
            </w:r>
          </w:p>
          <w:p w14:paraId="5E4942D8" w14:textId="77777777" w:rsidR="008B65D2" w:rsidRPr="002D5CB9" w:rsidRDefault="008B65D2" w:rsidP="002D5CB9">
            <w:pPr>
              <w:ind w:right="901"/>
              <w:rPr>
                <w:rFonts w:cs="Arial"/>
              </w:rPr>
            </w:pPr>
            <w:r w:rsidRPr="002D5CB9">
              <w:rPr>
                <w:rFonts w:cs="Arial"/>
              </w:rPr>
              <w:t>c)     La leyenda “Este documento es una representación impresa de un CFDI”.</w:t>
            </w:r>
          </w:p>
          <w:p w14:paraId="3B963528" w14:textId="77777777" w:rsidR="008B65D2" w:rsidRPr="002D5CB9" w:rsidRDefault="008B65D2" w:rsidP="002D5CB9">
            <w:pPr>
              <w:ind w:right="901"/>
              <w:rPr>
                <w:rFonts w:cs="Arial"/>
              </w:rPr>
            </w:pPr>
            <w:r w:rsidRPr="002D5CB9">
              <w:rPr>
                <w:rFonts w:cs="Arial"/>
              </w:rPr>
              <w:t>d)    Fecha y hora de emisión y de certificación de la Factura en adición a lo señalado en el artículo 29-A, fracción III del CFF.</w:t>
            </w:r>
          </w:p>
          <w:p w14:paraId="0C820D76" w14:textId="77777777" w:rsidR="008B65D2" w:rsidRPr="002D5CB9" w:rsidRDefault="008B65D2" w:rsidP="002D5CB9">
            <w:pPr>
              <w:ind w:right="901"/>
              <w:rPr>
                <w:rFonts w:cs="Arial"/>
              </w:rPr>
            </w:pPr>
            <w:r w:rsidRPr="002D5CB9">
              <w:rPr>
                <w:rFonts w:cs="Arial"/>
              </w:rPr>
              <w:t>e)    Cadena original del complemento de certificación digital del SAT.</w:t>
            </w:r>
          </w:p>
        </w:tc>
      </w:tr>
    </w:tbl>
    <w:p w14:paraId="7FDAD6D8" w14:textId="77777777" w:rsidR="008B65D2" w:rsidRPr="002D5CB9" w:rsidRDefault="008B65D2" w:rsidP="002D5CB9">
      <w:pPr>
        <w:rPr>
          <w:rFonts w:cs="Arial"/>
          <w:bCs/>
          <w:lang w:val="es-ES"/>
        </w:rPr>
      </w:pPr>
    </w:p>
    <w:p w14:paraId="0971225F" w14:textId="77777777" w:rsidR="008B65D2" w:rsidRPr="002D5CB9" w:rsidRDefault="008B65D2" w:rsidP="002D5CB9">
      <w:pPr>
        <w:pStyle w:val="Prrafodelista"/>
        <w:ind w:left="0"/>
        <w:rPr>
          <w:rFonts w:cs="Arial"/>
        </w:rPr>
      </w:pPr>
      <w:r w:rsidRPr="002D5CB9">
        <w:rPr>
          <w:rFonts w:cs="Arial"/>
        </w:rPr>
        <w:t xml:space="preserve">En este contexto, el hecho de que la información pública solicitada contenga datos </w:t>
      </w:r>
      <w:r w:rsidRPr="002D5CB9">
        <w:rPr>
          <w:rFonts w:cs="Arial"/>
          <w:bCs/>
          <w:lang w:val="es-ES"/>
        </w:rPr>
        <w:t>personales</w:t>
      </w:r>
      <w:r w:rsidRPr="002D5CB9">
        <w:rPr>
          <w:rFonts w:cs="Arial"/>
        </w:rPr>
        <w:t xml:space="preserve"> susceptibles de ser protegidos mediante su correcta </w:t>
      </w:r>
      <w:r w:rsidRPr="002D5CB9">
        <w:rPr>
          <w:rFonts w:cs="Arial"/>
          <w:b/>
        </w:rPr>
        <w:t>versión pública</w:t>
      </w:r>
      <w:r w:rsidRPr="002D5CB9">
        <w:rPr>
          <w:rFonts w:cs="Arial"/>
        </w:rPr>
        <w:t xml:space="preserve">, ello no implica que esta </w:t>
      </w:r>
      <w:r w:rsidRPr="002D5CB9">
        <w:t>circunstancia</w:t>
      </w:r>
      <w:r w:rsidRPr="002D5CB9">
        <w:rPr>
          <w:rFonts w:cs="Arial"/>
        </w:rPr>
        <w:t xml:space="preserve"> opere en </w:t>
      </w:r>
      <w:r w:rsidRPr="002D5CB9">
        <w:t>automático</w:t>
      </w:r>
      <w:r w:rsidRPr="002D5CB9">
        <w:rPr>
          <w:rFonts w:cs="Arial"/>
        </w:rPr>
        <w:t>, sino que es necesario que el Comité de Transparencia del</w:t>
      </w:r>
      <w:r w:rsidRPr="002D5CB9">
        <w:rPr>
          <w:rFonts w:cs="Arial"/>
          <w:b/>
        </w:rPr>
        <w:t xml:space="preserve"> SUJETO OBLIGADO </w:t>
      </w:r>
      <w:r w:rsidRPr="002D5CB9">
        <w:rPr>
          <w:rFonts w:cs="Arial"/>
        </w:rPr>
        <w:t>emita el Acuerdo de Clasificación correspondiente.</w:t>
      </w:r>
    </w:p>
    <w:p w14:paraId="54403A67" w14:textId="77777777" w:rsidR="008B65D2" w:rsidRPr="002D5CB9" w:rsidRDefault="008B65D2" w:rsidP="002D5CB9">
      <w:pPr>
        <w:pStyle w:val="Prrafodelista"/>
        <w:ind w:left="0"/>
        <w:rPr>
          <w:rFonts w:cs="Arial"/>
        </w:rPr>
      </w:pPr>
    </w:p>
    <w:p w14:paraId="3F0D5B7B" w14:textId="77777777" w:rsidR="008B65D2" w:rsidRPr="002D5CB9" w:rsidRDefault="008B65D2" w:rsidP="002D5CB9">
      <w:pPr>
        <w:pStyle w:val="Prrafodelista"/>
        <w:ind w:left="0"/>
        <w:rPr>
          <w:rFonts w:cs="Arial"/>
        </w:rPr>
      </w:pPr>
      <w:r w:rsidRPr="002D5CB9">
        <w:rPr>
          <w:rFonts w:cs="Arial"/>
        </w:rPr>
        <w:lastRenderedPageBreak/>
        <w:t xml:space="preserve">En ese sentido, </w:t>
      </w:r>
      <w:r w:rsidRPr="002D5CB9">
        <w:t xml:space="preserve">este Órgano Garante no pierde de vista que la información solicitada, pudiera </w:t>
      </w:r>
      <w:r w:rsidRPr="002D5CB9">
        <w:rPr>
          <w:rFonts w:cs="Arial"/>
        </w:rPr>
        <w:t>contener</w:t>
      </w:r>
      <w:r w:rsidRPr="002D5CB9">
        <w:t xml:space="preserve"> a su vez datos personales susceptibles de considerarse información confidencial como lo son: </w:t>
      </w:r>
      <w:r w:rsidRPr="002D5CB9">
        <w:rPr>
          <w:rFonts w:eastAsia="Arial Unicode MS" w:cs="Arial"/>
        </w:rPr>
        <w:t xml:space="preserve">números de cuenta y </w:t>
      </w:r>
      <w:proofErr w:type="spellStart"/>
      <w:r w:rsidRPr="002D5CB9">
        <w:rPr>
          <w:rFonts w:eastAsia="Arial Unicode MS" w:cs="Arial"/>
        </w:rPr>
        <w:t>CLABE’s</w:t>
      </w:r>
      <w:proofErr w:type="spellEnd"/>
      <w:r w:rsidRPr="002D5CB9">
        <w:rPr>
          <w:rFonts w:eastAsia="Arial Unicode MS" w:cs="Arial"/>
        </w:rPr>
        <w:t xml:space="preserve"> interbancarias del proveedor</w:t>
      </w:r>
      <w:r w:rsidRPr="002D5CB9">
        <w:rPr>
          <w:rFonts w:cs="Arial"/>
        </w:rPr>
        <w:t>.</w:t>
      </w:r>
    </w:p>
    <w:p w14:paraId="7E7B6442" w14:textId="77777777" w:rsidR="008B65D2" w:rsidRPr="002D5CB9" w:rsidRDefault="008B65D2" w:rsidP="002D5CB9">
      <w:pPr>
        <w:pStyle w:val="Prrafodelista"/>
        <w:ind w:left="0"/>
        <w:rPr>
          <w:rFonts w:cs="Arial"/>
        </w:rPr>
      </w:pPr>
    </w:p>
    <w:p w14:paraId="5EC22B5D" w14:textId="77777777" w:rsidR="008B65D2" w:rsidRPr="002D5CB9" w:rsidRDefault="008B65D2" w:rsidP="002D5CB9">
      <w:pPr>
        <w:pStyle w:val="Prrafodelista"/>
        <w:ind w:left="0"/>
        <w:rPr>
          <w:rFonts w:cs="Arial"/>
        </w:rPr>
      </w:pPr>
      <w:r w:rsidRPr="002D5CB9">
        <w:rPr>
          <w:rFonts w:cs="Arial"/>
        </w:rPr>
        <w:t xml:space="preserve">Por cuanto hace a las cuentas bancarias y claves interbancarias es de precisar que dicha información es información confidencial únicamente; por lo que, concierne a los particulares, y no así del </w:t>
      </w:r>
      <w:r w:rsidRPr="002D5CB9">
        <w:rPr>
          <w:rFonts w:cs="Arial"/>
          <w:b/>
        </w:rPr>
        <w:t xml:space="preserve">SUJETO OBLIGADO, </w:t>
      </w:r>
      <w:r w:rsidRPr="002D5CB9">
        <w:rPr>
          <w:rFonts w:cs="Arial"/>
        </w:rPr>
        <w:t>toda vez que su publicidad abona a la transparencia y a la rendición de cuentas.</w:t>
      </w:r>
    </w:p>
    <w:p w14:paraId="5A06847F" w14:textId="77777777" w:rsidR="008B65D2" w:rsidRPr="002D5CB9" w:rsidRDefault="008B65D2" w:rsidP="002D5CB9">
      <w:pPr>
        <w:pStyle w:val="Prrafodelista"/>
        <w:ind w:left="0"/>
        <w:rPr>
          <w:rFonts w:eastAsia="Calibri"/>
        </w:rPr>
      </w:pPr>
    </w:p>
    <w:p w14:paraId="4715E3B0" w14:textId="77777777" w:rsidR="008B65D2" w:rsidRPr="002D5CB9" w:rsidRDefault="008B65D2" w:rsidP="002D5CB9">
      <w:pPr>
        <w:pStyle w:val="Prrafodelista"/>
        <w:ind w:left="0"/>
        <w:rPr>
          <w:rFonts w:eastAsia="Calibri"/>
        </w:rPr>
      </w:pPr>
      <w:r w:rsidRPr="002D5CB9">
        <w:rPr>
          <w:rFonts w:eastAsia="Calibri"/>
        </w:rPr>
        <w:t xml:space="preserve">En </w:t>
      </w:r>
      <w:r w:rsidRPr="002D5CB9">
        <w:rPr>
          <w:rFonts w:cs="Arial"/>
        </w:rPr>
        <w:t>este</w:t>
      </w:r>
      <w:r w:rsidRPr="002D5CB9">
        <w:rPr>
          <w:rFonts w:eastAsia="Calibri"/>
        </w:rPr>
        <w:t xml:space="preserve"> sentido, es importante precisar que de acuerdo al </w:t>
      </w:r>
      <w:r w:rsidRPr="002D5CB9">
        <w:rPr>
          <w:rFonts w:eastAsia="Calibri"/>
          <w:b/>
        </w:rPr>
        <w:t>criterio 11/17</w:t>
      </w:r>
      <w:r w:rsidRPr="002D5CB9">
        <w:rPr>
          <w:rFonts w:eastAsia="Calibri"/>
        </w:rPr>
        <w:t xml:space="preserve"> emitido por el INAI, las cuentas bancarias y/o clave interbancaria de los Sujetos Obligados es información de carácter público. </w:t>
      </w:r>
    </w:p>
    <w:p w14:paraId="2DCCB1D4" w14:textId="77777777" w:rsidR="008B65D2" w:rsidRPr="002D5CB9" w:rsidRDefault="008B65D2" w:rsidP="002D5CB9">
      <w:pPr>
        <w:tabs>
          <w:tab w:val="left" w:pos="8222"/>
        </w:tabs>
        <w:spacing w:before="100" w:beforeAutospacing="1" w:after="100" w:afterAutospacing="1"/>
        <w:ind w:left="851" w:right="902"/>
        <w:contextualSpacing/>
        <w:rPr>
          <w:i/>
          <w:szCs w:val="22"/>
        </w:rPr>
      </w:pPr>
      <w:r w:rsidRPr="002D5CB9">
        <w:rPr>
          <w:rFonts w:cs="Arial"/>
          <w:szCs w:val="22"/>
        </w:rPr>
        <w:t>“</w:t>
      </w:r>
      <w:r w:rsidRPr="002D5CB9">
        <w:rPr>
          <w:b/>
          <w:i/>
          <w:szCs w:val="22"/>
        </w:rPr>
        <w:t>Cuentas bancarias y/o CLABE interbancaria de sujetos obligados que reciben y/o transfieren recursos públicos, son información pública.</w:t>
      </w:r>
      <w:r w:rsidRPr="002D5CB9">
        <w:rPr>
          <w:i/>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20CED228" w14:textId="77777777" w:rsidR="008B65D2" w:rsidRPr="002D5CB9" w:rsidRDefault="008B65D2" w:rsidP="002D5CB9">
      <w:pPr>
        <w:tabs>
          <w:tab w:val="left" w:pos="8222"/>
        </w:tabs>
        <w:spacing w:before="100" w:beforeAutospacing="1" w:after="100" w:afterAutospacing="1"/>
        <w:ind w:left="851" w:right="902"/>
        <w:contextualSpacing/>
        <w:rPr>
          <w:i/>
          <w:szCs w:val="22"/>
        </w:rPr>
      </w:pPr>
    </w:p>
    <w:p w14:paraId="39610E97" w14:textId="77777777" w:rsidR="008B65D2" w:rsidRPr="002D5CB9" w:rsidRDefault="008B65D2" w:rsidP="002D5CB9">
      <w:pPr>
        <w:pStyle w:val="Prrafodelista"/>
        <w:ind w:left="0"/>
        <w:rPr>
          <w:rFonts w:cs="Arial"/>
        </w:rPr>
      </w:pPr>
      <w:r w:rsidRPr="002D5CB9">
        <w:rPr>
          <w:rFonts w:cs="Arial"/>
        </w:rPr>
        <w:t xml:space="preserve">Caso contrario a los particulares, como lo refiere el </w:t>
      </w:r>
      <w:r w:rsidRPr="002D5CB9">
        <w:rPr>
          <w:rFonts w:eastAsia="Calibri"/>
          <w:b/>
        </w:rPr>
        <w:t>criterio 10/17</w:t>
      </w:r>
      <w:r w:rsidRPr="002D5CB9">
        <w:rPr>
          <w:rFonts w:eastAsia="Calibri"/>
        </w:rPr>
        <w:t xml:space="preserve"> emitido por el INAI, que es del tenor literal siguiente:</w:t>
      </w:r>
    </w:p>
    <w:p w14:paraId="5B798A53" w14:textId="77777777" w:rsidR="008B65D2" w:rsidRPr="002D5CB9" w:rsidRDefault="008B65D2" w:rsidP="002D5CB9">
      <w:pPr>
        <w:spacing w:before="100" w:beforeAutospacing="1" w:after="100" w:afterAutospacing="1"/>
        <w:ind w:left="851" w:right="902"/>
        <w:contextualSpacing/>
        <w:rPr>
          <w:rFonts w:cs="Arial"/>
          <w:b/>
          <w:i/>
        </w:rPr>
      </w:pPr>
    </w:p>
    <w:p w14:paraId="60BC7954" w14:textId="77777777" w:rsidR="008B65D2" w:rsidRPr="002D5CB9" w:rsidRDefault="008B65D2" w:rsidP="002D5CB9">
      <w:pPr>
        <w:spacing w:before="100" w:beforeAutospacing="1" w:after="100" w:afterAutospacing="1"/>
        <w:ind w:left="851" w:right="902"/>
        <w:contextualSpacing/>
        <w:rPr>
          <w:rFonts w:cs="Arial"/>
          <w:i/>
        </w:rPr>
      </w:pPr>
      <w:r w:rsidRPr="002D5CB9">
        <w:rPr>
          <w:rFonts w:cs="Arial"/>
          <w:b/>
          <w:i/>
        </w:rPr>
        <w:t xml:space="preserve">Cuentas bancarias y/o CLABE interbancaria de personas físicas y morales privadas. El número de cuenta bancaria y/o CLABE interbancaria de </w:t>
      </w:r>
      <w:r w:rsidRPr="002D5CB9">
        <w:rPr>
          <w:rFonts w:cs="Arial"/>
          <w:b/>
          <w:i/>
        </w:rPr>
        <w:lastRenderedPageBreak/>
        <w:t>particulares es información confidencial</w:t>
      </w:r>
      <w:r w:rsidRPr="002D5CB9">
        <w:rPr>
          <w:rFonts w:cs="Arial"/>
          <w:i/>
        </w:rPr>
        <w:t xml:space="preserve">,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 </w:t>
      </w:r>
    </w:p>
    <w:p w14:paraId="398769ED" w14:textId="77777777" w:rsidR="008B65D2" w:rsidRPr="002D5CB9" w:rsidRDefault="008B65D2" w:rsidP="002D5CB9">
      <w:pPr>
        <w:ind w:right="49"/>
        <w:contextualSpacing/>
        <w:rPr>
          <w:rFonts w:cs="Arial"/>
          <w:i/>
        </w:rPr>
      </w:pPr>
    </w:p>
    <w:p w14:paraId="1AF77DD8" w14:textId="77777777" w:rsidR="008B65D2" w:rsidRPr="002D5CB9" w:rsidRDefault="008B65D2" w:rsidP="002D5CB9">
      <w:pPr>
        <w:pStyle w:val="Prrafodelista"/>
        <w:ind w:left="0"/>
        <w:rPr>
          <w:rFonts w:cs="Arial"/>
        </w:rPr>
      </w:pPr>
      <w:r w:rsidRPr="002D5CB9">
        <w:rPr>
          <w:rFonts w:cs="Arial"/>
        </w:rPr>
        <w:t xml:space="preserve">Ahora bien, por cuanto hace a las </w:t>
      </w:r>
      <w:r w:rsidRPr="002D5CB9">
        <w:rPr>
          <w:rFonts w:cs="Arial"/>
          <w:b/>
        </w:rPr>
        <w:t xml:space="preserve">Cadenas Originales y Sellos Digitales del Servicio de </w:t>
      </w:r>
      <w:r w:rsidRPr="002D5CB9">
        <w:rPr>
          <w:rFonts w:cs="Arial"/>
        </w:rPr>
        <w:t>Administración</w:t>
      </w:r>
      <w:r w:rsidRPr="002D5CB9">
        <w:rPr>
          <w:rFonts w:cs="Arial"/>
          <w:b/>
        </w:rPr>
        <w:t xml:space="preserve"> Tributaria</w:t>
      </w:r>
      <w:r w:rsidRPr="002D5CB9">
        <w:rPr>
          <w:rFonts w:cs="Arial"/>
        </w:rPr>
        <w:t>, son certificados que emite el SAT, que de conformidad con los artículos 17-G fracción I y 29 primer y segundo párrafos, fracciones II y IV y 31 penúltimo párrafo del Código Fiscal de la Federación, le permiten advertir una vinculación entre la identidad de un sujeto o entidad con su clave pública, lo que hace identificable a una persona (física) o entidad (persona jurídica colectiva), por los ingresos que perciban o por la retención de contribuciones que efectúen, es decir los datos que se revelan al consultar dichos datos y tienen como finalidad o propósito específico, firmar digitalmente las facturas electrónicas para acreditar la autoría de los comprobantes fiscales digitales. Preceptos que se transcriben a continuación:</w:t>
      </w:r>
    </w:p>
    <w:p w14:paraId="23A38BA8" w14:textId="77777777" w:rsidR="008B65D2" w:rsidRPr="002D5CB9" w:rsidRDefault="008B65D2" w:rsidP="002D5CB9">
      <w:pPr>
        <w:ind w:left="850" w:right="902"/>
        <w:contextualSpacing/>
        <w:rPr>
          <w:rFonts w:cs="Arial"/>
          <w:bCs/>
          <w:noProof/>
        </w:rPr>
      </w:pPr>
    </w:p>
    <w:p w14:paraId="54316ABF" w14:textId="77777777" w:rsidR="008B65D2" w:rsidRPr="002D5CB9" w:rsidRDefault="008B65D2" w:rsidP="002D5CB9">
      <w:pPr>
        <w:ind w:left="850" w:right="902"/>
        <w:contextualSpacing/>
        <w:rPr>
          <w:rFonts w:cs="Arial"/>
          <w:bCs/>
          <w:i/>
          <w:noProof/>
        </w:rPr>
      </w:pPr>
      <w:r w:rsidRPr="002D5CB9">
        <w:rPr>
          <w:rFonts w:cs="Arial"/>
          <w:bCs/>
          <w:noProof/>
        </w:rPr>
        <w:t>“</w:t>
      </w:r>
      <w:r w:rsidRPr="002D5CB9">
        <w:rPr>
          <w:rFonts w:cs="Arial"/>
          <w:b/>
          <w:bCs/>
          <w:noProof/>
        </w:rPr>
        <w:t>Artículo 17-G</w:t>
      </w:r>
      <w:r w:rsidRPr="002D5CB9">
        <w:rPr>
          <w:rFonts w:cs="Arial"/>
          <w:bCs/>
          <w:i/>
          <w:noProof/>
        </w:rPr>
        <w:t xml:space="preserve">.- Los certificados que emita el Servicio de Administración Tributaria para ser considerados válidos deberán contener los datos siguientes: </w:t>
      </w:r>
    </w:p>
    <w:p w14:paraId="06D8FC81" w14:textId="77777777" w:rsidR="008B65D2" w:rsidRPr="002D5CB9" w:rsidRDefault="008B65D2" w:rsidP="002D5CB9">
      <w:pPr>
        <w:ind w:left="850" w:right="902"/>
        <w:contextualSpacing/>
        <w:rPr>
          <w:rFonts w:cs="Arial"/>
          <w:bCs/>
          <w:i/>
          <w:noProof/>
        </w:rPr>
      </w:pPr>
      <w:r w:rsidRPr="002D5CB9">
        <w:rPr>
          <w:rFonts w:cs="Arial"/>
          <w:b/>
          <w:bCs/>
          <w:i/>
          <w:noProof/>
        </w:rPr>
        <w:t>I.</w:t>
      </w:r>
      <w:r w:rsidRPr="002D5CB9">
        <w:rPr>
          <w:rFonts w:cs="Arial"/>
          <w:bCs/>
          <w:i/>
          <w:noProof/>
        </w:rPr>
        <w:tab/>
      </w:r>
      <w:r w:rsidRPr="002D5CB9">
        <w:rPr>
          <w:rFonts w:cs="Arial"/>
          <w:b/>
          <w:bCs/>
          <w:i/>
          <w:noProof/>
        </w:rPr>
        <w:t>La mención de que se expiden como tales</w:t>
      </w:r>
      <w:r w:rsidRPr="002D5CB9">
        <w:rPr>
          <w:rFonts w:cs="Arial"/>
          <w:bCs/>
          <w:i/>
          <w:noProof/>
        </w:rPr>
        <w:t xml:space="preserve">. </w:t>
      </w:r>
      <w:r w:rsidRPr="002D5CB9">
        <w:rPr>
          <w:rFonts w:cs="Arial"/>
          <w:b/>
          <w:bCs/>
          <w:i/>
          <w:noProof/>
        </w:rPr>
        <w:t>Tratándose de certificados de sellos digitales, se deberán especificar las limitantes que tengan para su uso</w:t>
      </w:r>
      <w:r w:rsidRPr="002D5CB9">
        <w:rPr>
          <w:rFonts w:cs="Arial"/>
          <w:bCs/>
          <w:i/>
          <w:noProof/>
        </w:rPr>
        <w:t>.</w:t>
      </w:r>
    </w:p>
    <w:p w14:paraId="4D5B8F8B" w14:textId="77777777" w:rsidR="008B65D2" w:rsidRPr="002D5CB9" w:rsidRDefault="008B65D2" w:rsidP="002D5CB9">
      <w:pPr>
        <w:ind w:left="850" w:right="902"/>
        <w:contextualSpacing/>
        <w:rPr>
          <w:rFonts w:cs="Arial"/>
          <w:bCs/>
          <w:i/>
          <w:noProof/>
        </w:rPr>
      </w:pPr>
      <w:r w:rsidRPr="002D5CB9">
        <w:rPr>
          <w:rFonts w:cs="Arial"/>
          <w:b/>
          <w:bCs/>
          <w:i/>
          <w:noProof/>
        </w:rPr>
        <w:t xml:space="preserve">Artículo 29. </w:t>
      </w:r>
      <w:r w:rsidRPr="002D5CB9">
        <w:rPr>
          <w:rFonts w:cs="Arial"/>
          <w:bCs/>
          <w:i/>
          <w:noProof/>
        </w:rPr>
        <w:t xml:space="preserve">Cuando las leyes fiscales establezcan la obligación de expedir comprobantes fiscales por los actos o actividades que realicen, por los ingresos que </w:t>
      </w:r>
      <w:r w:rsidRPr="002D5CB9">
        <w:rPr>
          <w:rFonts w:cs="Arial"/>
          <w:bCs/>
          <w:i/>
          <w:noProof/>
        </w:rPr>
        <w:lastRenderedPageBreak/>
        <w:t>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4C9EA78E" w14:textId="77777777" w:rsidR="008B65D2" w:rsidRPr="002D5CB9" w:rsidRDefault="008B65D2" w:rsidP="002D5CB9">
      <w:pPr>
        <w:ind w:left="850" w:right="902"/>
        <w:contextualSpacing/>
        <w:rPr>
          <w:rFonts w:cs="Arial"/>
          <w:bCs/>
          <w:i/>
          <w:noProof/>
        </w:rPr>
      </w:pPr>
      <w:r w:rsidRPr="002D5CB9">
        <w:rPr>
          <w:rFonts w:cs="Arial"/>
          <w:bCs/>
          <w:i/>
          <w:noProof/>
        </w:rPr>
        <w:t>Los contribuyentes a que se refiere el párrafo anterior deberán cumplir con las obligaciones siguientes:</w:t>
      </w:r>
    </w:p>
    <w:p w14:paraId="7D8EC72D" w14:textId="77777777" w:rsidR="008B65D2" w:rsidRPr="002D5CB9" w:rsidRDefault="008B65D2" w:rsidP="002D5CB9">
      <w:pPr>
        <w:ind w:left="850" w:right="902"/>
        <w:contextualSpacing/>
        <w:rPr>
          <w:rFonts w:cs="Arial"/>
          <w:bCs/>
          <w:i/>
          <w:noProof/>
        </w:rPr>
      </w:pPr>
      <w:r w:rsidRPr="002D5CB9">
        <w:rPr>
          <w:rFonts w:cs="Arial"/>
          <w:bCs/>
          <w:i/>
          <w:noProof/>
        </w:rPr>
        <w:t>[…]</w:t>
      </w:r>
    </w:p>
    <w:p w14:paraId="697C0C52" w14:textId="77777777" w:rsidR="008B65D2" w:rsidRPr="002D5CB9" w:rsidRDefault="008B65D2" w:rsidP="002D5CB9">
      <w:pPr>
        <w:ind w:left="850" w:right="902"/>
        <w:contextualSpacing/>
        <w:rPr>
          <w:rFonts w:cs="Arial"/>
          <w:bCs/>
          <w:i/>
          <w:noProof/>
        </w:rPr>
      </w:pPr>
      <w:r w:rsidRPr="002D5CB9">
        <w:rPr>
          <w:rFonts w:cs="Arial"/>
          <w:b/>
          <w:bCs/>
          <w:i/>
          <w:noProof/>
        </w:rPr>
        <w:t>II.</w:t>
      </w:r>
      <w:r w:rsidRPr="002D5CB9">
        <w:rPr>
          <w:rFonts w:cs="Arial"/>
          <w:bCs/>
          <w:i/>
          <w:noProof/>
        </w:rPr>
        <w:tab/>
      </w:r>
      <w:r w:rsidRPr="002D5CB9">
        <w:rPr>
          <w:rFonts w:cs="Arial"/>
          <w:b/>
          <w:bCs/>
          <w:i/>
          <w:noProof/>
        </w:rPr>
        <w:t>Tramitar ante el Servicio de Administración Tributaria el certificado para el uso de los sellos digitales</w:t>
      </w:r>
      <w:r w:rsidRPr="002D5CB9">
        <w:rPr>
          <w:rFonts w:cs="Arial"/>
          <w:bCs/>
          <w:i/>
          <w:noProof/>
        </w:rPr>
        <w:t>.</w:t>
      </w:r>
    </w:p>
    <w:p w14:paraId="56F1931C" w14:textId="77777777" w:rsidR="008B65D2" w:rsidRPr="002D5CB9" w:rsidRDefault="008B65D2" w:rsidP="002D5CB9">
      <w:pPr>
        <w:ind w:left="850" w:right="902"/>
        <w:contextualSpacing/>
        <w:rPr>
          <w:rFonts w:cs="Arial"/>
          <w:bCs/>
          <w:i/>
          <w:noProof/>
        </w:rPr>
      </w:pPr>
      <w:r w:rsidRPr="002D5CB9">
        <w:rPr>
          <w:rFonts w:cs="Arial"/>
          <w:bCs/>
          <w:i/>
          <w:noProof/>
        </w:rPr>
        <w:t xml:space="preserve">Los contribuyentes podrán optar por el uso de uno o más certificados de sellos digitales que se utilizarán exclusivamente para la expedición de los comprobantes fiscales mediante documentos digitales. </w:t>
      </w:r>
      <w:r w:rsidRPr="002D5CB9">
        <w:rPr>
          <w:rFonts w:cs="Arial"/>
          <w:b/>
          <w:bCs/>
          <w:i/>
          <w:noProof/>
        </w:rPr>
        <w:t>El sello digital permitirá acreditar la autoría de los comprobantes fiscales digitales</w:t>
      </w:r>
      <w:r w:rsidRPr="002D5CB9">
        <w:rPr>
          <w:rFonts w:cs="Arial"/>
          <w:bCs/>
          <w:i/>
          <w:noProof/>
        </w:rPr>
        <w:t xml:space="preserve"> por Internet que expidan las personas físicas y morales, el cual queda sujeto a la regulación aplicable al uso de la firma electrónica avanzada.</w:t>
      </w:r>
    </w:p>
    <w:p w14:paraId="0CA5738A" w14:textId="77777777" w:rsidR="008B65D2" w:rsidRPr="002D5CB9" w:rsidRDefault="008B65D2" w:rsidP="002D5CB9">
      <w:pPr>
        <w:ind w:left="850" w:right="902" w:firstLine="142"/>
        <w:contextualSpacing/>
        <w:rPr>
          <w:rFonts w:cs="Arial"/>
          <w:bCs/>
          <w:i/>
          <w:noProof/>
        </w:rPr>
      </w:pPr>
      <w:r w:rsidRPr="002D5CB9">
        <w:rPr>
          <w:rFonts w:cs="Arial"/>
          <w:bCs/>
          <w:i/>
          <w:noProof/>
        </w:rPr>
        <w:t>[…]</w:t>
      </w:r>
    </w:p>
    <w:p w14:paraId="424E2ADB" w14:textId="77777777" w:rsidR="008B65D2" w:rsidRPr="002D5CB9" w:rsidRDefault="008B65D2" w:rsidP="002D5CB9">
      <w:pPr>
        <w:ind w:left="850" w:right="902"/>
        <w:contextualSpacing/>
        <w:rPr>
          <w:rFonts w:cs="Arial"/>
          <w:bCs/>
          <w:i/>
          <w:noProof/>
        </w:rPr>
      </w:pPr>
      <w:r w:rsidRPr="002D5CB9">
        <w:rPr>
          <w:rFonts w:cs="Arial"/>
          <w:b/>
          <w:bCs/>
          <w:i/>
          <w:noProof/>
        </w:rPr>
        <w:t>IV.</w:t>
      </w:r>
      <w:r w:rsidRPr="002D5CB9">
        <w:rPr>
          <w:rFonts w:cs="Arial"/>
          <w:b/>
          <w:bCs/>
          <w:i/>
          <w:noProof/>
        </w:rPr>
        <w:tab/>
        <w:t>Remitir al Servicio de Administración Tributaria, antes de su expedición, el comprobante fiscal digital por Internet respectivo</w:t>
      </w:r>
      <w:r w:rsidRPr="002D5CB9">
        <w:rPr>
          <w:rFonts w:cs="Arial"/>
          <w:bCs/>
          <w:i/>
          <w:noProof/>
        </w:rPr>
        <w:t xml:space="preserve"> a través de los mecanismos digitales que para tal efecto determine dicho órgano desconcentrado mediante reglas de carácter general, </w:t>
      </w:r>
      <w:r w:rsidRPr="002D5CB9">
        <w:rPr>
          <w:rFonts w:cs="Arial"/>
          <w:b/>
          <w:bCs/>
          <w:i/>
          <w:noProof/>
        </w:rPr>
        <w:t>con el objeto de que éste proceda a</w:t>
      </w:r>
      <w:r w:rsidRPr="002D5CB9">
        <w:rPr>
          <w:rFonts w:cs="Arial"/>
          <w:bCs/>
          <w:i/>
          <w:noProof/>
        </w:rPr>
        <w:t>:</w:t>
      </w:r>
    </w:p>
    <w:p w14:paraId="4BCEF677" w14:textId="77777777" w:rsidR="008B65D2" w:rsidRPr="002D5CB9" w:rsidRDefault="008B65D2" w:rsidP="002D5CB9">
      <w:pPr>
        <w:ind w:left="850" w:right="902"/>
        <w:contextualSpacing/>
        <w:rPr>
          <w:rFonts w:cs="Arial"/>
          <w:bCs/>
          <w:i/>
          <w:noProof/>
        </w:rPr>
      </w:pPr>
      <w:r w:rsidRPr="002D5CB9">
        <w:rPr>
          <w:rFonts w:cs="Arial"/>
          <w:bCs/>
          <w:i/>
          <w:noProof/>
        </w:rPr>
        <w:t>a)</w:t>
      </w:r>
      <w:r w:rsidRPr="002D5CB9">
        <w:rPr>
          <w:rFonts w:cs="Arial"/>
          <w:bCs/>
          <w:i/>
          <w:noProof/>
        </w:rPr>
        <w:tab/>
        <w:t>Validar el cumplimiento de los requisitos establecidos en el artículo 29-A de este Código.</w:t>
      </w:r>
    </w:p>
    <w:p w14:paraId="5DD20414" w14:textId="77777777" w:rsidR="008B65D2" w:rsidRPr="002D5CB9" w:rsidRDefault="008B65D2" w:rsidP="002D5CB9">
      <w:pPr>
        <w:ind w:left="850" w:right="902"/>
        <w:contextualSpacing/>
        <w:rPr>
          <w:rFonts w:cs="Arial"/>
          <w:bCs/>
          <w:i/>
          <w:noProof/>
        </w:rPr>
      </w:pPr>
      <w:r w:rsidRPr="002D5CB9">
        <w:rPr>
          <w:rFonts w:cs="Arial"/>
          <w:bCs/>
          <w:i/>
          <w:noProof/>
        </w:rPr>
        <w:t>b)</w:t>
      </w:r>
      <w:r w:rsidRPr="002D5CB9">
        <w:rPr>
          <w:rFonts w:cs="Arial"/>
          <w:bCs/>
          <w:i/>
          <w:noProof/>
        </w:rPr>
        <w:tab/>
        <w:t xml:space="preserve">Asignar el </w:t>
      </w:r>
      <w:r w:rsidRPr="002D5CB9">
        <w:rPr>
          <w:rFonts w:cs="Arial"/>
          <w:b/>
          <w:bCs/>
          <w:i/>
          <w:noProof/>
        </w:rPr>
        <w:t>folio del comprobante fiscal digital</w:t>
      </w:r>
      <w:r w:rsidRPr="002D5CB9">
        <w:rPr>
          <w:rFonts w:cs="Arial"/>
          <w:bCs/>
          <w:i/>
          <w:noProof/>
        </w:rPr>
        <w:t>.</w:t>
      </w:r>
    </w:p>
    <w:p w14:paraId="5CF34CBB" w14:textId="77777777" w:rsidR="008B65D2" w:rsidRPr="002D5CB9" w:rsidRDefault="008B65D2" w:rsidP="002D5CB9">
      <w:pPr>
        <w:ind w:left="850" w:right="902"/>
        <w:contextualSpacing/>
        <w:rPr>
          <w:rFonts w:cs="Arial"/>
          <w:bCs/>
          <w:i/>
          <w:noProof/>
        </w:rPr>
      </w:pPr>
      <w:r w:rsidRPr="002D5CB9">
        <w:rPr>
          <w:rFonts w:cs="Arial"/>
          <w:b/>
          <w:bCs/>
          <w:i/>
          <w:noProof/>
        </w:rPr>
        <w:t>c)</w:t>
      </w:r>
      <w:r w:rsidRPr="002D5CB9">
        <w:rPr>
          <w:rFonts w:cs="Arial"/>
          <w:b/>
          <w:bCs/>
          <w:i/>
          <w:noProof/>
        </w:rPr>
        <w:tab/>
        <w:t>Incorporar el sello digital del Servicio de Administración Tributaria</w:t>
      </w:r>
      <w:r w:rsidRPr="002D5CB9">
        <w:rPr>
          <w:rFonts w:cs="Arial"/>
          <w:bCs/>
          <w:i/>
          <w:noProof/>
        </w:rPr>
        <w:t>.</w:t>
      </w:r>
    </w:p>
    <w:p w14:paraId="7CD37720" w14:textId="77777777" w:rsidR="008B65D2" w:rsidRPr="002D5CB9" w:rsidRDefault="008B65D2" w:rsidP="002D5CB9">
      <w:pPr>
        <w:ind w:left="850" w:right="902"/>
        <w:contextualSpacing/>
        <w:rPr>
          <w:rFonts w:cs="Arial"/>
          <w:bCs/>
          <w:i/>
          <w:noProof/>
        </w:rPr>
      </w:pPr>
      <w:r w:rsidRPr="002D5CB9">
        <w:rPr>
          <w:rFonts w:cs="Arial"/>
          <w:bCs/>
          <w:i/>
          <w:noProof/>
        </w:rPr>
        <w:lastRenderedPageBreak/>
        <w:t xml:space="preserve">El Servicio de Administración Tributaria podrá autorizar a proveedores de </w:t>
      </w:r>
      <w:r w:rsidRPr="002D5CB9">
        <w:rPr>
          <w:rFonts w:cs="Arial"/>
          <w:b/>
          <w:bCs/>
          <w:i/>
          <w:noProof/>
        </w:rPr>
        <w:t>certificación de comprobantes fiscales digitales por Internet para que efectúen la validación, asignación de folio e incorporación del sello a que se refiere esta fracción.</w:t>
      </w:r>
    </w:p>
    <w:p w14:paraId="578DF49E" w14:textId="77777777" w:rsidR="008B65D2" w:rsidRPr="002D5CB9" w:rsidRDefault="008B65D2" w:rsidP="002D5CB9">
      <w:pPr>
        <w:ind w:left="850" w:right="902"/>
        <w:contextualSpacing/>
        <w:rPr>
          <w:rFonts w:cs="Arial"/>
          <w:bCs/>
          <w:i/>
          <w:noProof/>
        </w:rPr>
      </w:pPr>
      <w:r w:rsidRPr="002D5CB9">
        <w:rPr>
          <w:rFonts w:cs="Arial"/>
          <w:bCs/>
          <w:i/>
          <w:noProof/>
        </w:rPr>
        <w:t>Los proveedores de certificación de comprobantes fiscales digitales por Internet a que se refiere el párrafo anterior deberán estar previamente autorizados por el Servicio de Administración Tributaria y cumplir con los requisitos que al efecto establezca dicho órgano desconcentrado mediante reglas de carácter general.</w:t>
      </w:r>
    </w:p>
    <w:p w14:paraId="7BEE441C" w14:textId="77777777" w:rsidR="008B65D2" w:rsidRPr="002D5CB9" w:rsidRDefault="008B65D2" w:rsidP="002D5CB9">
      <w:pPr>
        <w:ind w:left="850" w:right="902"/>
        <w:contextualSpacing/>
        <w:rPr>
          <w:rFonts w:cs="Arial"/>
          <w:bCs/>
          <w:i/>
          <w:noProof/>
        </w:rPr>
      </w:pPr>
      <w:r w:rsidRPr="002D5CB9">
        <w:rPr>
          <w:rFonts w:cs="Arial"/>
          <w:bCs/>
          <w:i/>
          <w:noProof/>
        </w:rPr>
        <w:t>El Servicio de Administración Tributaria podrá revocar las autorizaciones emitidas a los proveedores a que se refiere esta fracción, cuando incumplan con alguna de las obligaciones establecidas en este artículo, en la autorización respectiva o en las reglas de carácter general que les sean aplicables.</w:t>
      </w:r>
    </w:p>
    <w:p w14:paraId="7EB7E9E4" w14:textId="77777777" w:rsidR="008B65D2" w:rsidRPr="002D5CB9" w:rsidRDefault="008B65D2" w:rsidP="002D5CB9">
      <w:pPr>
        <w:ind w:left="850" w:right="902"/>
        <w:contextualSpacing/>
        <w:rPr>
          <w:rFonts w:cs="Arial"/>
          <w:bCs/>
          <w:i/>
          <w:noProof/>
        </w:rPr>
      </w:pPr>
      <w:r w:rsidRPr="002D5CB9">
        <w:rPr>
          <w:rFonts w:cs="Arial"/>
          <w:bCs/>
          <w:i/>
          <w:noProof/>
        </w:rPr>
        <w:t>Para los efectos del segundo párrafo de esta fracción, el Servicio de Administración Tributaria podrá proporcionar la información necesaria a los proveedores autorizados de certificación de comprobantes fiscales digitales por Internet.</w:t>
      </w:r>
    </w:p>
    <w:p w14:paraId="7094DC9E" w14:textId="77777777" w:rsidR="008B65D2" w:rsidRPr="002D5CB9" w:rsidRDefault="008B65D2" w:rsidP="002D5CB9">
      <w:pPr>
        <w:ind w:left="850" w:right="902"/>
        <w:contextualSpacing/>
        <w:rPr>
          <w:rFonts w:cs="Arial"/>
          <w:bCs/>
          <w:i/>
          <w:noProof/>
        </w:rPr>
      </w:pPr>
      <w:r w:rsidRPr="002D5CB9">
        <w:rPr>
          <w:rFonts w:cs="Arial"/>
          <w:b/>
          <w:bCs/>
          <w:i/>
          <w:noProof/>
        </w:rPr>
        <w:t>Artículo 31</w:t>
      </w:r>
      <w:r w:rsidRPr="002D5CB9">
        <w:rPr>
          <w:rFonts w:cs="Arial"/>
          <w:bCs/>
          <w:i/>
          <w:noProof/>
        </w:rPr>
        <w:t>.</w:t>
      </w:r>
    </w:p>
    <w:p w14:paraId="19E07EEE" w14:textId="77777777" w:rsidR="008B65D2" w:rsidRPr="002D5CB9" w:rsidRDefault="008B65D2" w:rsidP="002D5CB9">
      <w:pPr>
        <w:ind w:left="850" w:right="902" w:firstLine="142"/>
        <w:contextualSpacing/>
        <w:rPr>
          <w:rFonts w:cs="Arial"/>
          <w:bCs/>
          <w:i/>
          <w:noProof/>
        </w:rPr>
      </w:pPr>
      <w:r w:rsidRPr="002D5CB9">
        <w:rPr>
          <w:rFonts w:cs="Arial"/>
          <w:bCs/>
          <w:i/>
          <w:noProof/>
        </w:rPr>
        <w:t>[…]</w:t>
      </w:r>
    </w:p>
    <w:p w14:paraId="547228BB" w14:textId="77777777" w:rsidR="008B65D2" w:rsidRPr="002D5CB9" w:rsidRDefault="008B65D2" w:rsidP="002D5CB9">
      <w:pPr>
        <w:ind w:left="850" w:right="902"/>
        <w:contextualSpacing/>
        <w:rPr>
          <w:rFonts w:cs="Arial"/>
          <w:bCs/>
          <w:i/>
          <w:noProof/>
        </w:rPr>
      </w:pPr>
      <w:r w:rsidRPr="002D5CB9">
        <w:rPr>
          <w:rFonts w:cs="Arial"/>
          <w:bCs/>
          <w:i/>
          <w:noProof/>
        </w:rPr>
        <w:t>El Servicio de Administración Tributaria podrá autorizar a proveedores de certificación de documentos digitales para que incorporen el sello digital de dicho órgano administrativo desconcentrado a los documentos digitales que cumplan con los requisitos establecidos en las disposiciones fiscales. …”</w:t>
      </w:r>
    </w:p>
    <w:p w14:paraId="3A917795" w14:textId="77777777" w:rsidR="008B65D2" w:rsidRPr="002D5CB9" w:rsidRDefault="008B65D2" w:rsidP="002D5CB9">
      <w:pPr>
        <w:ind w:left="850" w:right="902"/>
        <w:contextualSpacing/>
        <w:rPr>
          <w:rFonts w:cs="Arial"/>
          <w:szCs w:val="22"/>
        </w:rPr>
      </w:pPr>
      <w:r w:rsidRPr="002D5CB9">
        <w:rPr>
          <w:rFonts w:cs="Arial"/>
          <w:szCs w:val="22"/>
        </w:rPr>
        <w:t>(Énfasis añadido)</w:t>
      </w:r>
    </w:p>
    <w:p w14:paraId="79A56D50" w14:textId="77777777" w:rsidR="008B65D2" w:rsidRPr="002D5CB9" w:rsidRDefault="008B65D2" w:rsidP="002D5CB9">
      <w:pPr>
        <w:ind w:left="851" w:right="902"/>
        <w:contextualSpacing/>
        <w:rPr>
          <w:rFonts w:cs="Arial"/>
          <w:szCs w:val="22"/>
        </w:rPr>
      </w:pPr>
    </w:p>
    <w:p w14:paraId="5A5F7C43" w14:textId="31F16BCC" w:rsidR="008B65D2" w:rsidRPr="002D5CB9" w:rsidRDefault="008B65D2" w:rsidP="002D5CB9">
      <w:pPr>
        <w:pStyle w:val="Prrafodelista"/>
        <w:ind w:left="0"/>
        <w:rPr>
          <w:rFonts w:cs="Arial"/>
        </w:rPr>
      </w:pPr>
      <w:r w:rsidRPr="002D5CB9">
        <w:rPr>
          <w:rFonts w:cs="Arial"/>
        </w:rPr>
        <w:t xml:space="preserve">En relación con lo anterior, se precisa que la certificación de los comprobantes digitales debe ser previamente autorizada por el Servicio de Administración Tributaria y cumplir con los requisitos que al efecto establezca dicho órgano desconcentrado federal, mediante reglas de </w:t>
      </w:r>
      <w:r w:rsidRPr="002D5CB9">
        <w:rPr>
          <w:rFonts w:cs="Arial"/>
        </w:rPr>
        <w:lastRenderedPageBreak/>
        <w:t>carácter general, las cuales son emitidas en términos del artículo 33, fracción I, inciso g), del Código Fiscal de la Federación, y plasman en la Regla 2.7.1.2, primer párrafo, de la Resolución Miscelánea Fiscal 2018 y los rubros I.B y I.E, del Anexo 20, de la Segunda Resolución de modificaciones a la Resolución Miscelánea Fiscal para 2017, publicada el 18 de julio de 2017, que además de identificar o hacer identificable la autoría del comprobante fiscal, de su conformación se aprecia de manera codificada, el RFC y el domicilio fiscal del emisor, el cual corresponde a información pública, pues no revela ningún dato de índole personal, como es el caso de la edad y el sexo de la persona.</w:t>
      </w:r>
    </w:p>
    <w:p w14:paraId="15C14B7A" w14:textId="77777777" w:rsidR="008B65D2" w:rsidRPr="002D5CB9" w:rsidRDefault="008B65D2" w:rsidP="002D5CB9">
      <w:pPr>
        <w:pStyle w:val="Prrafodelista"/>
        <w:ind w:left="0"/>
        <w:rPr>
          <w:rFonts w:cs="Arial"/>
        </w:rPr>
      </w:pPr>
    </w:p>
    <w:p w14:paraId="1C2F0D41" w14:textId="77777777" w:rsidR="008B65D2" w:rsidRPr="002D5CB9" w:rsidRDefault="008B65D2" w:rsidP="002D5CB9">
      <w:pPr>
        <w:widowControl w:val="0"/>
        <w:autoSpaceDE w:val="0"/>
        <w:autoSpaceDN w:val="0"/>
        <w:adjustRightInd w:val="0"/>
        <w:rPr>
          <w:rFonts w:cs="Arial"/>
        </w:rPr>
      </w:pPr>
      <w:r w:rsidRPr="002D5CB9">
        <w:rPr>
          <w:rFonts w:cs="Arial"/>
        </w:rPr>
        <w:t>Aunado a lo anterior, es conveniente traer a contexto lo siguiente:</w:t>
      </w:r>
    </w:p>
    <w:p w14:paraId="541C3434" w14:textId="77777777" w:rsidR="008B65D2" w:rsidRPr="002D5CB9" w:rsidRDefault="008B65D2" w:rsidP="002D5CB9">
      <w:pPr>
        <w:ind w:right="709"/>
        <w:contextualSpacing/>
        <w:rPr>
          <w:rFonts w:cs="Arial"/>
          <w:b/>
          <w:bCs/>
          <w:i/>
          <w:noProof/>
          <w:szCs w:val="22"/>
        </w:rPr>
      </w:pPr>
    </w:p>
    <w:p w14:paraId="590B9491" w14:textId="77777777" w:rsidR="008B65D2" w:rsidRPr="002D5CB9" w:rsidRDefault="008B65D2" w:rsidP="002D5CB9">
      <w:pPr>
        <w:ind w:left="851" w:right="709"/>
        <w:contextualSpacing/>
        <w:rPr>
          <w:rFonts w:cs="Arial"/>
          <w:b/>
          <w:bCs/>
          <w:i/>
          <w:noProof/>
          <w:szCs w:val="22"/>
        </w:rPr>
      </w:pPr>
      <w:r w:rsidRPr="002D5CB9">
        <w:rPr>
          <w:rFonts w:cs="Arial"/>
          <w:b/>
          <w:bCs/>
          <w:i/>
          <w:noProof/>
          <w:szCs w:val="22"/>
        </w:rPr>
        <w:t>Código Fiscal de la Federación</w:t>
      </w:r>
    </w:p>
    <w:p w14:paraId="2C4F6B2C" w14:textId="77777777" w:rsidR="008B65D2" w:rsidRPr="002D5CB9" w:rsidRDefault="008B65D2" w:rsidP="002D5CB9">
      <w:pPr>
        <w:ind w:left="851" w:right="899"/>
        <w:contextualSpacing/>
        <w:rPr>
          <w:rFonts w:cs="Arial"/>
          <w:bCs/>
          <w:i/>
          <w:noProof/>
          <w:szCs w:val="22"/>
        </w:rPr>
      </w:pPr>
      <w:r w:rsidRPr="002D5CB9">
        <w:rPr>
          <w:rFonts w:cs="Arial"/>
          <w:bCs/>
          <w:i/>
          <w:noProof/>
          <w:szCs w:val="22"/>
        </w:rPr>
        <w:t>“</w:t>
      </w:r>
      <w:r w:rsidRPr="002D5CB9">
        <w:rPr>
          <w:rFonts w:cs="Arial"/>
          <w:b/>
          <w:bCs/>
          <w:i/>
          <w:noProof/>
          <w:szCs w:val="22"/>
        </w:rPr>
        <w:t xml:space="preserve">Artículo 33.- </w:t>
      </w:r>
      <w:r w:rsidRPr="002D5CB9">
        <w:rPr>
          <w:rFonts w:cs="Arial"/>
          <w:bCs/>
          <w:i/>
          <w:noProof/>
          <w:szCs w:val="22"/>
        </w:rPr>
        <w:t>Las autoridades fiscales para el mejor cumplimiento de sus facultades, estarán a lo siguiente:</w:t>
      </w:r>
    </w:p>
    <w:p w14:paraId="7DCF516B" w14:textId="77777777" w:rsidR="008B65D2" w:rsidRPr="002D5CB9" w:rsidRDefault="008B65D2" w:rsidP="002D5CB9">
      <w:pPr>
        <w:ind w:left="851" w:right="899"/>
        <w:contextualSpacing/>
        <w:rPr>
          <w:rFonts w:cs="Arial"/>
          <w:bCs/>
          <w:i/>
          <w:noProof/>
          <w:szCs w:val="22"/>
        </w:rPr>
      </w:pPr>
      <w:r w:rsidRPr="002D5CB9">
        <w:rPr>
          <w:rFonts w:cs="Arial"/>
          <w:bCs/>
          <w:i/>
          <w:noProof/>
          <w:szCs w:val="22"/>
        </w:rPr>
        <w:t>I.- Proporcionarán asistencia gratuita a los contribuyentes y para ello procurarán:</w:t>
      </w:r>
    </w:p>
    <w:p w14:paraId="15737F4B" w14:textId="77777777" w:rsidR="008B65D2" w:rsidRPr="002D5CB9" w:rsidRDefault="008B65D2" w:rsidP="002D5CB9">
      <w:pPr>
        <w:ind w:left="851" w:right="899"/>
        <w:contextualSpacing/>
        <w:rPr>
          <w:rFonts w:cs="Arial"/>
          <w:bCs/>
          <w:i/>
          <w:noProof/>
          <w:szCs w:val="22"/>
        </w:rPr>
      </w:pPr>
      <w:r w:rsidRPr="002D5CB9">
        <w:rPr>
          <w:rFonts w:cs="Arial"/>
          <w:bCs/>
          <w:i/>
          <w:noProof/>
          <w:szCs w:val="22"/>
        </w:rPr>
        <w:t>[…]</w:t>
      </w:r>
    </w:p>
    <w:p w14:paraId="0AE718D2" w14:textId="77777777" w:rsidR="008B65D2" w:rsidRPr="002D5CB9" w:rsidRDefault="008B65D2" w:rsidP="002D5CB9">
      <w:pPr>
        <w:ind w:left="851" w:right="899"/>
        <w:contextualSpacing/>
        <w:rPr>
          <w:rFonts w:cs="Arial"/>
          <w:b/>
          <w:bCs/>
          <w:i/>
          <w:noProof/>
          <w:szCs w:val="22"/>
        </w:rPr>
      </w:pPr>
      <w:r w:rsidRPr="002D5CB9">
        <w:rPr>
          <w:rFonts w:cs="Arial"/>
          <w:b/>
          <w:bCs/>
          <w:i/>
          <w:noProof/>
          <w:szCs w:val="22"/>
        </w:rPr>
        <w:t>g)</w:t>
      </w:r>
      <w:r w:rsidRPr="002D5CB9">
        <w:rPr>
          <w:rFonts w:cs="Arial"/>
          <w:b/>
          <w:bCs/>
          <w:i/>
          <w:noProof/>
          <w:szCs w:val="22"/>
        </w:rPr>
        <w:tab/>
        <w:t>Publicar anualmente las resoluciones dictadas por las autoridades fiscales que establezcan disposiciones de carácter general agrupándolas de manera que faciliten su conocimiento por parte de los contribuyentes</w:t>
      </w:r>
      <w:r w:rsidRPr="002D5CB9">
        <w:rPr>
          <w:rFonts w:cs="Arial"/>
          <w:bCs/>
          <w:i/>
          <w:noProof/>
          <w:szCs w:val="22"/>
        </w:rPr>
        <w:t xml:space="preserve">; </w:t>
      </w:r>
      <w:r w:rsidRPr="002D5CB9">
        <w:rPr>
          <w:rFonts w:cs="Arial"/>
          <w:b/>
          <w:bCs/>
          <w:i/>
          <w:noProof/>
          <w:szCs w:val="22"/>
        </w:rPr>
        <w:t>se podrán publicar aisladamente aquellas disposiciones cuyos efectos se limitan a periodos inferiores a un año</w:t>
      </w:r>
      <w:r w:rsidRPr="002D5CB9">
        <w:rPr>
          <w:rFonts w:cs="Arial"/>
          <w:bCs/>
          <w:i/>
          <w:noProof/>
          <w:szCs w:val="22"/>
        </w:rPr>
        <w:t>. Las resoluciones que se emitan conforme a este inciso y que se refieran a sujeto, objeto, base, tasa o tarifa, no generarán obligaciones o cargas adicionales a las establecidas en las propias leyes fiscales.</w:t>
      </w:r>
    </w:p>
    <w:p w14:paraId="5EAFE915" w14:textId="77777777" w:rsidR="008B65D2" w:rsidRPr="002D5CB9" w:rsidRDefault="008B65D2" w:rsidP="002D5CB9">
      <w:pPr>
        <w:ind w:left="851" w:right="899"/>
        <w:contextualSpacing/>
        <w:jc w:val="center"/>
        <w:rPr>
          <w:rFonts w:cs="Arial"/>
          <w:b/>
          <w:bCs/>
          <w:i/>
          <w:noProof/>
          <w:szCs w:val="22"/>
        </w:rPr>
      </w:pPr>
    </w:p>
    <w:p w14:paraId="1D8DBEB2" w14:textId="77777777" w:rsidR="008B65D2" w:rsidRPr="002D5CB9" w:rsidRDefault="008B65D2" w:rsidP="002D5CB9">
      <w:pPr>
        <w:ind w:left="851" w:right="899"/>
        <w:contextualSpacing/>
        <w:rPr>
          <w:rFonts w:cs="Arial"/>
          <w:b/>
          <w:bCs/>
          <w:i/>
          <w:noProof/>
          <w:szCs w:val="22"/>
        </w:rPr>
      </w:pPr>
      <w:r w:rsidRPr="002D5CB9">
        <w:rPr>
          <w:rFonts w:cs="Arial"/>
          <w:b/>
          <w:bCs/>
          <w:i/>
          <w:noProof/>
          <w:szCs w:val="22"/>
        </w:rPr>
        <w:t>Resolución Miscelánea Fiscal 2018</w:t>
      </w:r>
    </w:p>
    <w:p w14:paraId="61D97400" w14:textId="77777777" w:rsidR="008B65D2" w:rsidRPr="002D5CB9" w:rsidRDefault="008B65D2" w:rsidP="002D5CB9">
      <w:pPr>
        <w:ind w:left="851" w:right="899"/>
        <w:contextualSpacing/>
        <w:rPr>
          <w:rFonts w:cs="Arial"/>
          <w:b/>
          <w:bCs/>
          <w:i/>
          <w:noProof/>
          <w:szCs w:val="22"/>
        </w:rPr>
      </w:pPr>
      <w:r w:rsidRPr="002D5CB9">
        <w:rPr>
          <w:rFonts w:cs="Arial"/>
          <w:bCs/>
          <w:i/>
          <w:noProof/>
          <w:szCs w:val="22"/>
        </w:rPr>
        <w:t>“</w:t>
      </w:r>
      <w:r w:rsidRPr="002D5CB9">
        <w:rPr>
          <w:rFonts w:cs="Arial"/>
          <w:b/>
          <w:bCs/>
          <w:i/>
          <w:noProof/>
          <w:szCs w:val="22"/>
        </w:rPr>
        <w:t>Generación del CFDI</w:t>
      </w:r>
    </w:p>
    <w:p w14:paraId="6E440CD2" w14:textId="77777777" w:rsidR="008B65D2" w:rsidRPr="002D5CB9" w:rsidRDefault="008B65D2" w:rsidP="002D5CB9">
      <w:pPr>
        <w:ind w:left="851" w:right="899"/>
        <w:contextualSpacing/>
        <w:rPr>
          <w:rFonts w:cs="Arial"/>
          <w:bCs/>
          <w:i/>
          <w:noProof/>
          <w:szCs w:val="22"/>
        </w:rPr>
      </w:pPr>
      <w:r w:rsidRPr="002D5CB9">
        <w:rPr>
          <w:rFonts w:cs="Arial"/>
          <w:b/>
          <w:bCs/>
          <w:i/>
          <w:noProof/>
          <w:szCs w:val="22"/>
        </w:rPr>
        <w:lastRenderedPageBreak/>
        <w:t>2.7.1.2.</w:t>
      </w:r>
      <w:r w:rsidRPr="002D5CB9">
        <w:rPr>
          <w:rFonts w:cs="Arial"/>
          <w:b/>
          <w:bCs/>
          <w:i/>
          <w:noProof/>
          <w:szCs w:val="22"/>
        </w:rPr>
        <w:tab/>
        <w:t>Para los efectos del artículo 29, primer y segundo párrafos del CFF, los CFDI que generen los contribuyentes</w:t>
      </w:r>
      <w:r w:rsidRPr="002D5CB9">
        <w:rPr>
          <w:rFonts w:cs="Arial"/>
          <w:bCs/>
          <w:i/>
          <w:noProof/>
          <w:szCs w:val="22"/>
        </w:rPr>
        <w:t xml:space="preserve"> y que posteriormente envíen a un proveedor de certificación de CFDI, </w:t>
      </w:r>
      <w:r w:rsidRPr="002D5CB9">
        <w:rPr>
          <w:rFonts w:cs="Arial"/>
          <w:b/>
          <w:bCs/>
          <w:i/>
          <w:noProof/>
          <w:szCs w:val="22"/>
        </w:rPr>
        <w:t>para su validación, asignación del folio e incorporación del sello digital del SAT otorgado para dicho efecto (certificación), deberán cumplir con las especificaciones técnicas previstas en los rubros</w:t>
      </w:r>
      <w:r w:rsidRPr="002D5CB9">
        <w:rPr>
          <w:rFonts w:cs="Arial"/>
          <w:bCs/>
          <w:i/>
          <w:noProof/>
          <w:szCs w:val="22"/>
        </w:rPr>
        <w:t xml:space="preserve"> I.A “Estándar de comprobante fiscal digital por Internet” y </w:t>
      </w:r>
      <w:r w:rsidRPr="002D5CB9">
        <w:rPr>
          <w:rFonts w:cs="Arial"/>
          <w:b/>
          <w:bCs/>
          <w:i/>
          <w:noProof/>
          <w:szCs w:val="22"/>
        </w:rPr>
        <w:t>I.B “Generación de sellos digitales para comprobantes fiscales digitales por Internet” del Anexo 20</w:t>
      </w:r>
      <w:r w:rsidRPr="002D5CB9">
        <w:rPr>
          <w:rFonts w:cs="Arial"/>
          <w:bCs/>
          <w:i/>
          <w:noProof/>
          <w:szCs w:val="22"/>
        </w:rPr>
        <w:t>. …”</w:t>
      </w:r>
    </w:p>
    <w:p w14:paraId="43ACD8EA" w14:textId="77777777" w:rsidR="008B65D2" w:rsidRPr="002D5CB9" w:rsidRDefault="008B65D2" w:rsidP="002D5CB9">
      <w:pPr>
        <w:ind w:left="851" w:right="899"/>
        <w:contextualSpacing/>
        <w:jc w:val="center"/>
        <w:rPr>
          <w:rFonts w:cs="Arial"/>
          <w:b/>
          <w:bCs/>
          <w:i/>
          <w:noProof/>
          <w:szCs w:val="22"/>
        </w:rPr>
      </w:pPr>
    </w:p>
    <w:p w14:paraId="590A4FF7" w14:textId="77777777" w:rsidR="008B65D2" w:rsidRPr="002D5CB9" w:rsidRDefault="008B65D2" w:rsidP="002D5CB9">
      <w:pPr>
        <w:ind w:left="851" w:right="899"/>
        <w:contextualSpacing/>
        <w:rPr>
          <w:rFonts w:cs="Arial"/>
          <w:b/>
          <w:bCs/>
          <w:i/>
          <w:noProof/>
          <w:szCs w:val="22"/>
        </w:rPr>
      </w:pPr>
      <w:r w:rsidRPr="002D5CB9">
        <w:rPr>
          <w:rFonts w:cs="Arial"/>
          <w:b/>
          <w:bCs/>
          <w:i/>
          <w:noProof/>
          <w:szCs w:val="22"/>
        </w:rPr>
        <w:t>Anexo 20 de la Segunda Resolución de modificaciones a la Resolución Miscelánea Fiscal para 2017</w:t>
      </w:r>
    </w:p>
    <w:p w14:paraId="7BAA9117" w14:textId="77777777" w:rsidR="008B65D2" w:rsidRPr="002D5CB9" w:rsidRDefault="008B65D2" w:rsidP="002D5CB9">
      <w:pPr>
        <w:ind w:left="851" w:right="899"/>
        <w:contextualSpacing/>
        <w:rPr>
          <w:rFonts w:cs="Arial"/>
          <w:b/>
          <w:bCs/>
          <w:i/>
          <w:noProof/>
          <w:szCs w:val="22"/>
        </w:rPr>
      </w:pPr>
      <w:r w:rsidRPr="002D5CB9">
        <w:rPr>
          <w:rFonts w:cs="Arial"/>
          <w:b/>
          <w:bCs/>
          <w:i/>
          <w:noProof/>
          <w:szCs w:val="22"/>
        </w:rPr>
        <w:t>I. Del Comprobante fiscal digital por Internet:</w:t>
      </w:r>
    </w:p>
    <w:p w14:paraId="598D21CE" w14:textId="77777777" w:rsidR="008B65D2" w:rsidRPr="002D5CB9" w:rsidRDefault="008B65D2" w:rsidP="002D5CB9">
      <w:pPr>
        <w:ind w:left="851" w:right="899"/>
        <w:contextualSpacing/>
        <w:rPr>
          <w:rFonts w:cs="Arial"/>
          <w:bCs/>
          <w:i/>
          <w:noProof/>
          <w:szCs w:val="22"/>
        </w:rPr>
      </w:pPr>
      <w:r w:rsidRPr="002D5CB9">
        <w:rPr>
          <w:rFonts w:cs="Arial"/>
          <w:bCs/>
          <w:i/>
          <w:noProof/>
          <w:szCs w:val="22"/>
        </w:rPr>
        <w:t>[…]</w:t>
      </w:r>
    </w:p>
    <w:p w14:paraId="1656BED2" w14:textId="77777777" w:rsidR="008B65D2" w:rsidRPr="002D5CB9" w:rsidRDefault="008B65D2" w:rsidP="002D5CB9">
      <w:pPr>
        <w:ind w:left="851" w:right="899"/>
        <w:contextualSpacing/>
        <w:rPr>
          <w:rFonts w:cs="Arial"/>
          <w:b/>
          <w:bCs/>
          <w:i/>
          <w:noProof/>
          <w:szCs w:val="22"/>
        </w:rPr>
      </w:pPr>
      <w:r w:rsidRPr="002D5CB9">
        <w:rPr>
          <w:rFonts w:cs="Arial"/>
          <w:b/>
          <w:bCs/>
          <w:i/>
          <w:noProof/>
          <w:szCs w:val="22"/>
        </w:rPr>
        <w:t>B. Generación de sellos digitales para comprobantes fiscales digitales por Internet.</w:t>
      </w:r>
    </w:p>
    <w:p w14:paraId="18E32FBF" w14:textId="77777777" w:rsidR="008B65D2" w:rsidRPr="002D5CB9" w:rsidRDefault="008B65D2" w:rsidP="002D5CB9">
      <w:pPr>
        <w:ind w:left="851" w:right="899"/>
        <w:contextualSpacing/>
        <w:rPr>
          <w:rFonts w:cs="Arial"/>
          <w:b/>
          <w:bCs/>
          <w:i/>
          <w:noProof/>
          <w:szCs w:val="22"/>
        </w:rPr>
      </w:pPr>
      <w:r w:rsidRPr="002D5CB9">
        <w:rPr>
          <w:rFonts w:cs="Arial"/>
          <w:b/>
          <w:bCs/>
          <w:i/>
          <w:noProof/>
          <w:szCs w:val="22"/>
        </w:rPr>
        <w:t>Elementos utilizados en la generación de Sellos Digitales:</w:t>
      </w:r>
    </w:p>
    <w:p w14:paraId="5EAB615D" w14:textId="77777777" w:rsidR="008B65D2" w:rsidRPr="002D5CB9" w:rsidRDefault="008B65D2" w:rsidP="002D5CB9">
      <w:pPr>
        <w:ind w:left="851" w:right="899"/>
        <w:contextualSpacing/>
        <w:rPr>
          <w:rFonts w:cs="Arial"/>
          <w:bCs/>
          <w:i/>
          <w:noProof/>
          <w:szCs w:val="22"/>
        </w:rPr>
      </w:pPr>
      <w:r w:rsidRPr="002D5CB9">
        <w:rPr>
          <w:rFonts w:cs="Arial"/>
          <w:b/>
          <w:bCs/>
          <w:i/>
          <w:noProof/>
          <w:szCs w:val="22"/>
        </w:rPr>
        <w:t xml:space="preserve">Cadena Original </w:t>
      </w:r>
      <w:r w:rsidRPr="002D5CB9">
        <w:rPr>
          <w:rFonts w:cs="Arial"/>
          <w:bCs/>
          <w:i/>
          <w:noProof/>
          <w:szCs w:val="22"/>
        </w:rPr>
        <w:t>del elemento a sellar.</w:t>
      </w:r>
    </w:p>
    <w:p w14:paraId="6FC328B7" w14:textId="77777777" w:rsidR="008B65D2" w:rsidRPr="002D5CB9" w:rsidRDefault="008B65D2" w:rsidP="002D5CB9">
      <w:pPr>
        <w:ind w:left="851" w:right="899"/>
        <w:contextualSpacing/>
        <w:rPr>
          <w:rFonts w:cs="Arial"/>
          <w:b/>
          <w:bCs/>
          <w:i/>
          <w:noProof/>
          <w:szCs w:val="22"/>
        </w:rPr>
      </w:pPr>
      <w:r w:rsidRPr="002D5CB9">
        <w:rPr>
          <w:rFonts w:cs="Arial"/>
          <w:b/>
          <w:bCs/>
          <w:i/>
          <w:noProof/>
          <w:szCs w:val="22"/>
        </w:rPr>
        <w:t xml:space="preserve">Certificado de Sello Digital </w:t>
      </w:r>
      <w:r w:rsidRPr="002D5CB9">
        <w:rPr>
          <w:rFonts w:cs="Arial"/>
          <w:bCs/>
          <w:i/>
          <w:noProof/>
          <w:szCs w:val="22"/>
        </w:rPr>
        <w:t>y su correspondiente clave privada</w:t>
      </w:r>
      <w:r w:rsidRPr="002D5CB9">
        <w:rPr>
          <w:rFonts w:cs="Arial"/>
          <w:b/>
          <w:bCs/>
          <w:i/>
          <w:noProof/>
          <w:szCs w:val="22"/>
        </w:rPr>
        <w:t>.</w:t>
      </w:r>
    </w:p>
    <w:p w14:paraId="2CFDDEF4" w14:textId="77777777" w:rsidR="008B65D2" w:rsidRPr="002D5CB9" w:rsidRDefault="008B65D2" w:rsidP="002D5CB9">
      <w:pPr>
        <w:ind w:left="851" w:right="899"/>
        <w:contextualSpacing/>
        <w:rPr>
          <w:rFonts w:cs="Arial"/>
          <w:bCs/>
          <w:i/>
          <w:noProof/>
          <w:szCs w:val="22"/>
        </w:rPr>
      </w:pPr>
      <w:r w:rsidRPr="002D5CB9">
        <w:rPr>
          <w:rFonts w:cs="Arial"/>
          <w:bCs/>
          <w:i/>
          <w:noProof/>
          <w:szCs w:val="22"/>
        </w:rPr>
        <w:t>Algoritmos de criptografía de clave pública para firma electrónica avanzada.</w:t>
      </w:r>
    </w:p>
    <w:p w14:paraId="225F14D4" w14:textId="77777777" w:rsidR="008B65D2" w:rsidRPr="002D5CB9" w:rsidRDefault="008B65D2" w:rsidP="002D5CB9">
      <w:pPr>
        <w:ind w:left="851" w:right="899"/>
        <w:contextualSpacing/>
        <w:rPr>
          <w:rFonts w:cs="Arial"/>
          <w:bCs/>
          <w:i/>
          <w:noProof/>
          <w:szCs w:val="22"/>
        </w:rPr>
      </w:pPr>
      <w:r w:rsidRPr="002D5CB9">
        <w:rPr>
          <w:rFonts w:cs="Arial"/>
          <w:bCs/>
          <w:i/>
          <w:noProof/>
          <w:szCs w:val="22"/>
        </w:rPr>
        <w:t>Especificaciones de conversión de la firma electrónica avanzada a Base 64.</w:t>
      </w:r>
    </w:p>
    <w:p w14:paraId="34AEC8DB" w14:textId="77777777" w:rsidR="008B65D2" w:rsidRPr="002D5CB9" w:rsidRDefault="008B65D2" w:rsidP="002D5CB9">
      <w:pPr>
        <w:ind w:left="851" w:right="899"/>
        <w:contextualSpacing/>
        <w:rPr>
          <w:rFonts w:cs="Arial"/>
          <w:b/>
          <w:bCs/>
          <w:i/>
          <w:noProof/>
          <w:szCs w:val="22"/>
        </w:rPr>
      </w:pPr>
      <w:r w:rsidRPr="002D5CB9">
        <w:rPr>
          <w:rFonts w:cs="Arial"/>
          <w:bCs/>
          <w:i/>
          <w:noProof/>
          <w:szCs w:val="22"/>
        </w:rPr>
        <w:t>[…]</w:t>
      </w:r>
    </w:p>
    <w:p w14:paraId="305C4A1C" w14:textId="77777777" w:rsidR="008B65D2" w:rsidRPr="002D5CB9" w:rsidRDefault="008B65D2" w:rsidP="002D5CB9">
      <w:pPr>
        <w:ind w:left="851" w:right="899"/>
        <w:contextualSpacing/>
        <w:rPr>
          <w:rFonts w:cs="Arial"/>
          <w:b/>
          <w:bCs/>
          <w:i/>
          <w:noProof/>
          <w:szCs w:val="22"/>
        </w:rPr>
      </w:pPr>
      <w:r w:rsidRPr="002D5CB9">
        <w:rPr>
          <w:rFonts w:cs="Arial"/>
          <w:b/>
          <w:bCs/>
          <w:i/>
          <w:noProof/>
          <w:szCs w:val="22"/>
        </w:rPr>
        <w:t>Cadena Original</w:t>
      </w:r>
    </w:p>
    <w:p w14:paraId="5F93D1C3" w14:textId="77777777" w:rsidR="008B65D2" w:rsidRPr="002D5CB9" w:rsidRDefault="008B65D2" w:rsidP="002D5CB9">
      <w:pPr>
        <w:ind w:left="851" w:right="899"/>
        <w:contextualSpacing/>
        <w:rPr>
          <w:rFonts w:cs="Arial"/>
          <w:b/>
          <w:bCs/>
          <w:i/>
          <w:noProof/>
          <w:szCs w:val="22"/>
        </w:rPr>
      </w:pPr>
      <w:r w:rsidRPr="002D5CB9">
        <w:rPr>
          <w:rFonts w:cs="Arial"/>
          <w:b/>
          <w:bCs/>
          <w:i/>
          <w:noProof/>
          <w:szCs w:val="22"/>
        </w:rPr>
        <w:t>Se entiende como cadena original, a la secuencia de datos formada con la información contenida dentro del comprobante fiscal digital por Internet, establecida en el Rubro I.A. de este anexo, construida aplicando las siguientes reglas.</w:t>
      </w:r>
    </w:p>
    <w:p w14:paraId="44E30B84" w14:textId="77777777" w:rsidR="008B65D2" w:rsidRPr="002D5CB9" w:rsidRDefault="008B65D2" w:rsidP="002D5CB9">
      <w:pPr>
        <w:ind w:left="851" w:right="899"/>
        <w:contextualSpacing/>
        <w:rPr>
          <w:rFonts w:cs="Arial"/>
          <w:b/>
          <w:bCs/>
          <w:i/>
          <w:noProof/>
          <w:szCs w:val="22"/>
        </w:rPr>
      </w:pPr>
      <w:r w:rsidRPr="002D5CB9">
        <w:rPr>
          <w:rFonts w:cs="Arial"/>
          <w:b/>
          <w:bCs/>
          <w:i/>
          <w:noProof/>
          <w:szCs w:val="22"/>
        </w:rPr>
        <w:lastRenderedPageBreak/>
        <w:t>Reglas Generales:</w:t>
      </w:r>
    </w:p>
    <w:p w14:paraId="553DB373" w14:textId="77777777" w:rsidR="008B65D2" w:rsidRPr="002D5CB9" w:rsidRDefault="008B65D2" w:rsidP="002D5CB9">
      <w:pPr>
        <w:ind w:left="851" w:right="899"/>
        <w:contextualSpacing/>
        <w:rPr>
          <w:rFonts w:cs="Arial"/>
          <w:bCs/>
          <w:i/>
          <w:noProof/>
          <w:szCs w:val="22"/>
        </w:rPr>
      </w:pPr>
      <w:r w:rsidRPr="002D5CB9">
        <w:rPr>
          <w:rFonts w:cs="Arial"/>
          <w:bCs/>
          <w:i/>
          <w:noProof/>
          <w:szCs w:val="22"/>
        </w:rPr>
        <w:t>1. Ninguno de los atributos que conforman al comprobante fiscal digital por Internet debe contener el carácter | (pleca) debido a que éste es utilizado como carácter de control en la formación de la cadena original.</w:t>
      </w:r>
    </w:p>
    <w:p w14:paraId="3B1A1D37" w14:textId="77777777" w:rsidR="008B65D2" w:rsidRPr="002D5CB9" w:rsidRDefault="008B65D2" w:rsidP="002D5CB9">
      <w:pPr>
        <w:ind w:left="851" w:right="899"/>
        <w:contextualSpacing/>
        <w:rPr>
          <w:rFonts w:cs="Arial"/>
          <w:bCs/>
          <w:i/>
          <w:noProof/>
          <w:szCs w:val="22"/>
        </w:rPr>
      </w:pPr>
      <w:r w:rsidRPr="002D5CB9">
        <w:rPr>
          <w:rFonts w:cs="Arial"/>
          <w:bCs/>
          <w:i/>
          <w:noProof/>
          <w:szCs w:val="22"/>
        </w:rPr>
        <w:t>2. El inicio de la cadena original se encuentra marcado mediante una secuencia de caracteres || (doble pleca).</w:t>
      </w:r>
    </w:p>
    <w:p w14:paraId="73DFAA08" w14:textId="77777777" w:rsidR="008B65D2" w:rsidRPr="002D5CB9" w:rsidRDefault="008B65D2" w:rsidP="002D5CB9">
      <w:pPr>
        <w:ind w:left="851" w:right="899"/>
        <w:contextualSpacing/>
        <w:rPr>
          <w:rFonts w:cs="Arial"/>
          <w:bCs/>
          <w:i/>
          <w:noProof/>
          <w:szCs w:val="22"/>
        </w:rPr>
      </w:pPr>
      <w:r w:rsidRPr="002D5CB9">
        <w:rPr>
          <w:rFonts w:cs="Arial"/>
          <w:bCs/>
          <w:i/>
          <w:noProof/>
          <w:szCs w:val="22"/>
        </w:rPr>
        <w:t>3. Se expresa únicamente la información del dato sin expresar el atributo al que hace referencia. Esto es, si el valor de un campo es "A" y el nombre del campo es "Concepto", sólo se expresa |A| y nunca |Concepto A|.</w:t>
      </w:r>
    </w:p>
    <w:p w14:paraId="668AFA0D" w14:textId="77777777" w:rsidR="008B65D2" w:rsidRPr="002D5CB9" w:rsidRDefault="008B65D2" w:rsidP="002D5CB9">
      <w:pPr>
        <w:ind w:left="851" w:right="899"/>
        <w:contextualSpacing/>
        <w:rPr>
          <w:rFonts w:cs="Arial"/>
          <w:bCs/>
          <w:i/>
          <w:noProof/>
          <w:szCs w:val="22"/>
        </w:rPr>
      </w:pPr>
      <w:r w:rsidRPr="002D5CB9">
        <w:rPr>
          <w:rFonts w:cs="Arial"/>
          <w:bCs/>
          <w:i/>
          <w:noProof/>
          <w:szCs w:val="22"/>
        </w:rPr>
        <w:t>4. Cada dato individual se debe separar de su dato subsiguiente, en caso de existir, mediante un carácter | (pleca sencilla).</w:t>
      </w:r>
    </w:p>
    <w:p w14:paraId="7CA7BC61" w14:textId="77777777" w:rsidR="008B65D2" w:rsidRPr="002D5CB9" w:rsidRDefault="008B65D2" w:rsidP="002D5CB9">
      <w:pPr>
        <w:ind w:left="851" w:right="899"/>
        <w:contextualSpacing/>
        <w:rPr>
          <w:rFonts w:cs="Arial"/>
          <w:bCs/>
          <w:i/>
          <w:noProof/>
          <w:szCs w:val="22"/>
        </w:rPr>
      </w:pPr>
      <w:r w:rsidRPr="002D5CB9">
        <w:rPr>
          <w:rFonts w:cs="Arial"/>
          <w:bCs/>
          <w:i/>
          <w:noProof/>
          <w:szCs w:val="22"/>
        </w:rPr>
        <w:t>5. Los espacios en blanco que se presenten dentro de la cadena original son tratados de la siguiente manera:</w:t>
      </w:r>
    </w:p>
    <w:p w14:paraId="49F2D883" w14:textId="77777777" w:rsidR="008B65D2" w:rsidRPr="002D5CB9" w:rsidRDefault="008B65D2" w:rsidP="002D5CB9">
      <w:pPr>
        <w:ind w:left="851" w:right="899"/>
        <w:contextualSpacing/>
        <w:rPr>
          <w:rFonts w:cs="Arial"/>
          <w:bCs/>
          <w:i/>
          <w:noProof/>
          <w:szCs w:val="22"/>
        </w:rPr>
      </w:pPr>
      <w:r w:rsidRPr="002D5CB9">
        <w:rPr>
          <w:rFonts w:cs="Arial"/>
          <w:bCs/>
          <w:i/>
          <w:noProof/>
          <w:szCs w:val="22"/>
        </w:rPr>
        <w:t>a. Se deben reemplazar todos los tabuladores, retornos de carro y saltos de línea por el carácter espacio (ASCII 32).</w:t>
      </w:r>
    </w:p>
    <w:p w14:paraId="0468FC6D" w14:textId="77777777" w:rsidR="008B65D2" w:rsidRPr="002D5CB9" w:rsidRDefault="008B65D2" w:rsidP="002D5CB9">
      <w:pPr>
        <w:ind w:left="851" w:right="899"/>
        <w:contextualSpacing/>
        <w:rPr>
          <w:rFonts w:cs="Arial"/>
          <w:bCs/>
          <w:i/>
          <w:noProof/>
          <w:szCs w:val="22"/>
        </w:rPr>
      </w:pPr>
      <w:r w:rsidRPr="002D5CB9">
        <w:rPr>
          <w:rFonts w:cs="Arial"/>
          <w:bCs/>
          <w:i/>
          <w:noProof/>
          <w:szCs w:val="22"/>
        </w:rPr>
        <w:t>b. Acto seguido se elimina cualquier espacio al principio y al final de cada separador | (pleca).</w:t>
      </w:r>
    </w:p>
    <w:p w14:paraId="4AA8851D" w14:textId="77777777" w:rsidR="008B65D2" w:rsidRPr="002D5CB9" w:rsidRDefault="008B65D2" w:rsidP="002D5CB9">
      <w:pPr>
        <w:ind w:left="851" w:right="899"/>
        <w:contextualSpacing/>
        <w:rPr>
          <w:rFonts w:cs="Arial"/>
          <w:bCs/>
          <w:i/>
          <w:noProof/>
          <w:szCs w:val="22"/>
        </w:rPr>
      </w:pPr>
      <w:r w:rsidRPr="002D5CB9">
        <w:rPr>
          <w:rFonts w:cs="Arial"/>
          <w:bCs/>
          <w:i/>
          <w:noProof/>
          <w:szCs w:val="22"/>
        </w:rPr>
        <w:t>c. Finalmente, toda secuencia de caracteres en blanco se sustituye por un único carácter espacio (ASCII 32).</w:t>
      </w:r>
    </w:p>
    <w:p w14:paraId="3E07871F" w14:textId="77777777" w:rsidR="008B65D2" w:rsidRPr="002D5CB9" w:rsidRDefault="008B65D2" w:rsidP="002D5CB9">
      <w:pPr>
        <w:ind w:left="851" w:right="899"/>
        <w:contextualSpacing/>
        <w:rPr>
          <w:rFonts w:cs="Arial"/>
          <w:bCs/>
          <w:i/>
          <w:noProof/>
          <w:szCs w:val="22"/>
        </w:rPr>
      </w:pPr>
      <w:r w:rsidRPr="002D5CB9">
        <w:rPr>
          <w:rFonts w:cs="Arial"/>
          <w:bCs/>
          <w:i/>
          <w:noProof/>
          <w:szCs w:val="22"/>
        </w:rPr>
        <w:t>6. Los datos opcionales no expresados, no aparecen en la cadena original y no tienen delimitador alguno.</w:t>
      </w:r>
    </w:p>
    <w:p w14:paraId="41D78515" w14:textId="77777777" w:rsidR="008B65D2" w:rsidRPr="002D5CB9" w:rsidRDefault="008B65D2" w:rsidP="002D5CB9">
      <w:pPr>
        <w:ind w:left="851" w:right="899"/>
        <w:contextualSpacing/>
        <w:rPr>
          <w:rFonts w:cs="Arial"/>
          <w:bCs/>
          <w:i/>
          <w:noProof/>
          <w:szCs w:val="22"/>
        </w:rPr>
      </w:pPr>
      <w:r w:rsidRPr="002D5CB9">
        <w:rPr>
          <w:rFonts w:cs="Arial"/>
          <w:bCs/>
          <w:i/>
          <w:noProof/>
          <w:szCs w:val="22"/>
        </w:rPr>
        <w:t>7. El final de la cadena original se expresa mediante una cadena de caracteres || (doble pleca).</w:t>
      </w:r>
    </w:p>
    <w:p w14:paraId="041941C9" w14:textId="77777777" w:rsidR="008B65D2" w:rsidRPr="002D5CB9" w:rsidRDefault="008B65D2" w:rsidP="002D5CB9">
      <w:pPr>
        <w:ind w:left="851" w:right="899"/>
        <w:contextualSpacing/>
        <w:rPr>
          <w:rFonts w:cs="Arial"/>
          <w:bCs/>
          <w:i/>
          <w:noProof/>
          <w:szCs w:val="22"/>
        </w:rPr>
      </w:pPr>
      <w:r w:rsidRPr="002D5CB9">
        <w:rPr>
          <w:rFonts w:cs="Arial"/>
          <w:bCs/>
          <w:i/>
          <w:noProof/>
          <w:szCs w:val="22"/>
        </w:rPr>
        <w:t>8. Toda la cadena original se expresa en el formato de codificación UTF-8.</w:t>
      </w:r>
    </w:p>
    <w:p w14:paraId="57FD769D" w14:textId="77777777" w:rsidR="008B65D2" w:rsidRPr="002D5CB9" w:rsidRDefault="008B65D2" w:rsidP="002D5CB9">
      <w:pPr>
        <w:ind w:left="851" w:right="899"/>
        <w:contextualSpacing/>
        <w:rPr>
          <w:rFonts w:cs="Arial"/>
          <w:bCs/>
          <w:i/>
          <w:noProof/>
          <w:szCs w:val="22"/>
        </w:rPr>
      </w:pPr>
      <w:r w:rsidRPr="002D5CB9">
        <w:rPr>
          <w:rFonts w:cs="Arial"/>
          <w:bCs/>
          <w:i/>
          <w:noProof/>
          <w:szCs w:val="22"/>
        </w:rPr>
        <w:lastRenderedPageBreak/>
        <w:t>9. El nodo o nodos adicionales &lt;ComplementoConcepto&gt; se integran a la cadena original como se indica en la secuencia de formación en su numeral 10, respetando la secuencia de formación y número de orden del ComplementoConcepto.</w:t>
      </w:r>
    </w:p>
    <w:p w14:paraId="31BC4086" w14:textId="77777777" w:rsidR="008B65D2" w:rsidRPr="002D5CB9" w:rsidRDefault="008B65D2" w:rsidP="002D5CB9">
      <w:pPr>
        <w:ind w:left="851" w:right="899"/>
        <w:contextualSpacing/>
        <w:rPr>
          <w:rFonts w:cs="Arial"/>
          <w:bCs/>
          <w:i/>
          <w:noProof/>
          <w:szCs w:val="22"/>
        </w:rPr>
      </w:pPr>
      <w:r w:rsidRPr="002D5CB9">
        <w:rPr>
          <w:rFonts w:cs="Arial"/>
          <w:bCs/>
          <w:i/>
          <w:noProof/>
          <w:szCs w:val="22"/>
        </w:rPr>
        <w:t>10. El nodo o nodos adicionales &lt;Complemento&gt; se integra al final de la cadena original respetando la secuencia de formación para cada complemento y número de orden del Complemento.</w:t>
      </w:r>
    </w:p>
    <w:p w14:paraId="1E042634" w14:textId="77777777" w:rsidR="008B65D2" w:rsidRPr="002D5CB9" w:rsidRDefault="008B65D2" w:rsidP="002D5CB9">
      <w:pPr>
        <w:ind w:left="851" w:right="899"/>
        <w:contextualSpacing/>
        <w:rPr>
          <w:rFonts w:cs="Arial"/>
          <w:bCs/>
          <w:i/>
          <w:noProof/>
          <w:szCs w:val="22"/>
        </w:rPr>
      </w:pPr>
      <w:r w:rsidRPr="002D5CB9">
        <w:rPr>
          <w:rFonts w:cs="Arial"/>
          <w:bCs/>
          <w:i/>
          <w:noProof/>
          <w:szCs w:val="22"/>
        </w:rPr>
        <w:t xml:space="preserve">11. El nodo </w:t>
      </w:r>
      <w:r w:rsidRPr="002D5CB9">
        <w:rPr>
          <w:rFonts w:cs="Arial"/>
          <w:b/>
          <w:bCs/>
          <w:i/>
          <w:noProof/>
          <w:szCs w:val="22"/>
        </w:rPr>
        <w:t>Timbre Fiscal Digital del SAT</w:t>
      </w:r>
      <w:r w:rsidRPr="002D5CB9">
        <w:rPr>
          <w:rFonts w:cs="Arial"/>
          <w:bCs/>
          <w:i/>
          <w:noProof/>
          <w:szCs w:val="22"/>
        </w:rPr>
        <w:t xml:space="preserve"> se integra posterior a la validación realizada por un proveedor autorizado por el SAT que </w:t>
      </w:r>
      <w:r w:rsidRPr="002D5CB9">
        <w:rPr>
          <w:rFonts w:cs="Arial"/>
          <w:b/>
          <w:bCs/>
          <w:i/>
          <w:noProof/>
          <w:szCs w:val="22"/>
        </w:rPr>
        <w:t>forma parte de la Certificación Digital del SAT</w:t>
      </w:r>
      <w:r w:rsidRPr="002D5CB9">
        <w:rPr>
          <w:rFonts w:cs="Arial"/>
          <w:bCs/>
          <w:i/>
          <w:noProof/>
          <w:szCs w:val="22"/>
        </w:rPr>
        <w:t>. Dicho nodo no se integra a la formación de la cadena original del CFDI, las reglas de conformación de la cadena original del nodo se describen en el Rubro III.B. del presente anexo.</w:t>
      </w:r>
    </w:p>
    <w:p w14:paraId="203A6458" w14:textId="77777777" w:rsidR="008B65D2" w:rsidRPr="002D5CB9" w:rsidRDefault="008B65D2" w:rsidP="002D5CB9">
      <w:pPr>
        <w:ind w:left="851" w:right="899"/>
        <w:contextualSpacing/>
        <w:rPr>
          <w:rFonts w:cs="Arial"/>
          <w:bCs/>
          <w:i/>
          <w:noProof/>
          <w:szCs w:val="22"/>
        </w:rPr>
      </w:pPr>
      <w:r w:rsidRPr="002D5CB9">
        <w:rPr>
          <w:rFonts w:cs="Arial"/>
          <w:bCs/>
          <w:i/>
          <w:noProof/>
          <w:szCs w:val="22"/>
        </w:rPr>
        <w:t>[…]</w:t>
      </w:r>
    </w:p>
    <w:p w14:paraId="7B285A6F" w14:textId="77777777" w:rsidR="008B65D2" w:rsidRPr="002D5CB9" w:rsidRDefault="008B65D2" w:rsidP="002D5CB9">
      <w:pPr>
        <w:ind w:left="851" w:right="899"/>
        <w:contextualSpacing/>
        <w:rPr>
          <w:rFonts w:cs="Arial"/>
          <w:b/>
          <w:bCs/>
          <w:i/>
          <w:noProof/>
          <w:szCs w:val="22"/>
        </w:rPr>
      </w:pPr>
      <w:r w:rsidRPr="002D5CB9">
        <w:rPr>
          <w:rFonts w:cs="Arial"/>
          <w:b/>
          <w:bCs/>
          <w:i/>
          <w:noProof/>
          <w:szCs w:val="22"/>
        </w:rPr>
        <w:t>Generación del Sello Digital</w:t>
      </w:r>
    </w:p>
    <w:p w14:paraId="562245B1" w14:textId="77777777" w:rsidR="008B65D2" w:rsidRPr="002D5CB9" w:rsidRDefault="008B65D2" w:rsidP="002D5CB9">
      <w:pPr>
        <w:ind w:left="851" w:right="899"/>
        <w:contextualSpacing/>
        <w:rPr>
          <w:rFonts w:cs="Arial"/>
          <w:bCs/>
          <w:i/>
          <w:noProof/>
          <w:szCs w:val="22"/>
        </w:rPr>
      </w:pPr>
      <w:r w:rsidRPr="002D5CB9">
        <w:rPr>
          <w:rFonts w:cs="Arial"/>
          <w:b/>
          <w:bCs/>
          <w:i/>
          <w:noProof/>
          <w:szCs w:val="22"/>
        </w:rPr>
        <w:t>Para toda cadena original a ser sellada digitalmente, la secuencia de algoritmos a aplicar es la siguiente</w:t>
      </w:r>
      <w:r w:rsidRPr="002D5CB9">
        <w:rPr>
          <w:rFonts w:cs="Arial"/>
          <w:bCs/>
          <w:i/>
          <w:noProof/>
          <w:szCs w:val="22"/>
        </w:rPr>
        <w:t>:</w:t>
      </w:r>
    </w:p>
    <w:p w14:paraId="7BD86A65" w14:textId="77777777" w:rsidR="008B65D2" w:rsidRPr="002D5CB9" w:rsidRDefault="008B65D2" w:rsidP="002D5CB9">
      <w:pPr>
        <w:ind w:left="851" w:right="899"/>
        <w:contextualSpacing/>
        <w:rPr>
          <w:rFonts w:cs="Arial"/>
          <w:bCs/>
          <w:i/>
          <w:noProof/>
          <w:szCs w:val="22"/>
        </w:rPr>
      </w:pPr>
      <w:r w:rsidRPr="002D5CB9">
        <w:rPr>
          <w:rFonts w:cs="Arial"/>
          <w:bCs/>
          <w:i/>
          <w:noProof/>
          <w:szCs w:val="22"/>
        </w:rPr>
        <w:t>[…]</w:t>
      </w:r>
    </w:p>
    <w:p w14:paraId="38768F64" w14:textId="77777777" w:rsidR="008B65D2" w:rsidRPr="002D5CB9" w:rsidRDefault="008B65D2" w:rsidP="002D5CB9">
      <w:pPr>
        <w:ind w:left="851" w:right="899"/>
        <w:contextualSpacing/>
        <w:rPr>
          <w:rFonts w:cs="Arial"/>
          <w:b/>
          <w:bCs/>
          <w:i/>
          <w:noProof/>
          <w:szCs w:val="22"/>
        </w:rPr>
      </w:pPr>
      <w:r w:rsidRPr="002D5CB9">
        <w:rPr>
          <w:rFonts w:cs="Arial"/>
          <w:b/>
          <w:bCs/>
          <w:i/>
          <w:noProof/>
          <w:szCs w:val="22"/>
        </w:rPr>
        <w:t>E. Secuencia de formación para generar la cadena original para comprobantes fiscales digitalespor Internet</w:t>
      </w:r>
    </w:p>
    <w:p w14:paraId="3767BBFB" w14:textId="77777777" w:rsidR="008B65D2" w:rsidRPr="002D5CB9" w:rsidRDefault="008B65D2" w:rsidP="002D5CB9">
      <w:pPr>
        <w:ind w:left="851" w:right="899"/>
        <w:contextualSpacing/>
        <w:rPr>
          <w:rFonts w:cs="Arial"/>
          <w:b/>
          <w:bCs/>
          <w:i/>
          <w:noProof/>
          <w:szCs w:val="22"/>
        </w:rPr>
      </w:pPr>
      <w:r w:rsidRPr="002D5CB9">
        <w:rPr>
          <w:rFonts w:cs="Arial"/>
          <w:b/>
          <w:bCs/>
          <w:i/>
          <w:noProof/>
          <w:szCs w:val="22"/>
        </w:rPr>
        <w:t>Secuencia de Formación:</w:t>
      </w:r>
    </w:p>
    <w:p w14:paraId="21A35F0E" w14:textId="77777777" w:rsidR="008B65D2" w:rsidRPr="002D5CB9" w:rsidRDefault="008B65D2" w:rsidP="002D5CB9">
      <w:pPr>
        <w:ind w:left="851" w:right="899"/>
        <w:contextualSpacing/>
        <w:rPr>
          <w:rFonts w:cs="Arial"/>
          <w:bCs/>
          <w:i/>
          <w:noProof/>
          <w:szCs w:val="22"/>
        </w:rPr>
      </w:pPr>
      <w:r w:rsidRPr="002D5CB9">
        <w:rPr>
          <w:rFonts w:cs="Arial"/>
          <w:b/>
          <w:bCs/>
          <w:i/>
          <w:noProof/>
          <w:szCs w:val="22"/>
        </w:rPr>
        <w:t>La secuencia de formación siempre se registra en el orden que se expresa a continuación</w:t>
      </w:r>
      <w:r w:rsidRPr="002D5CB9">
        <w:rPr>
          <w:rFonts w:cs="Arial"/>
          <w:bCs/>
          <w:i/>
          <w:noProof/>
          <w:szCs w:val="22"/>
        </w:rPr>
        <w:t>,</w:t>
      </w:r>
    </w:p>
    <w:p w14:paraId="138271E2" w14:textId="77777777" w:rsidR="008B65D2" w:rsidRPr="002D5CB9" w:rsidRDefault="008B65D2" w:rsidP="002D5CB9">
      <w:pPr>
        <w:ind w:left="851" w:right="899"/>
        <w:contextualSpacing/>
        <w:rPr>
          <w:rFonts w:cs="Arial"/>
          <w:bCs/>
          <w:i/>
          <w:noProof/>
          <w:szCs w:val="22"/>
        </w:rPr>
      </w:pPr>
      <w:r w:rsidRPr="002D5CB9">
        <w:rPr>
          <w:rFonts w:cs="Arial"/>
          <w:bCs/>
          <w:i/>
          <w:noProof/>
          <w:szCs w:val="22"/>
        </w:rPr>
        <w:t>[…]</w:t>
      </w:r>
    </w:p>
    <w:p w14:paraId="0E579DC2" w14:textId="77777777" w:rsidR="008B65D2" w:rsidRPr="002D5CB9" w:rsidRDefault="008B65D2" w:rsidP="002D5CB9">
      <w:pPr>
        <w:ind w:left="851" w:right="899"/>
        <w:contextualSpacing/>
        <w:rPr>
          <w:rFonts w:cs="Arial"/>
          <w:bCs/>
          <w:i/>
          <w:noProof/>
          <w:szCs w:val="22"/>
        </w:rPr>
      </w:pPr>
      <w:r w:rsidRPr="002D5CB9">
        <w:rPr>
          <w:rFonts w:cs="Arial"/>
          <w:bCs/>
          <w:i/>
          <w:noProof/>
          <w:szCs w:val="22"/>
        </w:rPr>
        <w:t>3. Información del nodo Emisor</w:t>
      </w:r>
    </w:p>
    <w:p w14:paraId="524BC6DC" w14:textId="77777777" w:rsidR="008B65D2" w:rsidRPr="002D5CB9" w:rsidRDefault="008B65D2" w:rsidP="002D5CB9">
      <w:pPr>
        <w:ind w:left="851" w:right="899"/>
        <w:contextualSpacing/>
        <w:rPr>
          <w:rFonts w:cs="Arial"/>
          <w:bCs/>
          <w:i/>
          <w:noProof/>
          <w:szCs w:val="22"/>
        </w:rPr>
      </w:pPr>
      <w:r w:rsidRPr="002D5CB9">
        <w:rPr>
          <w:rFonts w:cs="Arial"/>
          <w:bCs/>
          <w:i/>
          <w:noProof/>
          <w:szCs w:val="22"/>
        </w:rPr>
        <w:t>a. Rfc</w:t>
      </w:r>
    </w:p>
    <w:p w14:paraId="4018C648" w14:textId="77777777" w:rsidR="008B65D2" w:rsidRPr="002D5CB9" w:rsidRDefault="008B65D2" w:rsidP="002D5CB9">
      <w:pPr>
        <w:ind w:left="851" w:right="899"/>
        <w:contextualSpacing/>
        <w:rPr>
          <w:rFonts w:cs="Arial"/>
          <w:bCs/>
          <w:i/>
          <w:noProof/>
          <w:szCs w:val="22"/>
        </w:rPr>
      </w:pPr>
      <w:r w:rsidRPr="002D5CB9">
        <w:rPr>
          <w:rFonts w:cs="Arial"/>
          <w:bCs/>
          <w:i/>
          <w:noProof/>
          <w:szCs w:val="22"/>
        </w:rPr>
        <w:t>b. Nombre</w:t>
      </w:r>
    </w:p>
    <w:p w14:paraId="117B8243" w14:textId="77777777" w:rsidR="008B65D2" w:rsidRPr="002D5CB9" w:rsidRDefault="008B65D2" w:rsidP="002D5CB9">
      <w:pPr>
        <w:ind w:left="851" w:right="899"/>
        <w:contextualSpacing/>
        <w:rPr>
          <w:rFonts w:cs="Arial"/>
          <w:bCs/>
          <w:i/>
          <w:noProof/>
          <w:szCs w:val="22"/>
        </w:rPr>
      </w:pPr>
      <w:r w:rsidRPr="002D5CB9">
        <w:rPr>
          <w:rFonts w:cs="Arial"/>
          <w:bCs/>
          <w:i/>
          <w:noProof/>
          <w:szCs w:val="22"/>
        </w:rPr>
        <w:t>c. RegimenFiscal</w:t>
      </w:r>
    </w:p>
    <w:p w14:paraId="4A411077" w14:textId="77777777" w:rsidR="008B65D2" w:rsidRPr="002D5CB9" w:rsidRDefault="008B65D2" w:rsidP="002D5CB9">
      <w:pPr>
        <w:ind w:left="851" w:right="899"/>
        <w:contextualSpacing/>
        <w:rPr>
          <w:rFonts w:cs="Arial"/>
          <w:bCs/>
          <w:i/>
          <w:noProof/>
          <w:szCs w:val="22"/>
        </w:rPr>
      </w:pPr>
      <w:r w:rsidRPr="002D5CB9">
        <w:rPr>
          <w:rFonts w:cs="Arial"/>
          <w:bCs/>
          <w:i/>
          <w:noProof/>
          <w:szCs w:val="22"/>
        </w:rPr>
        <w:lastRenderedPageBreak/>
        <w:t>4. Información del nodo Receptor</w:t>
      </w:r>
    </w:p>
    <w:p w14:paraId="3D21940D" w14:textId="77777777" w:rsidR="008B65D2" w:rsidRPr="002D5CB9" w:rsidRDefault="008B65D2" w:rsidP="002D5CB9">
      <w:pPr>
        <w:ind w:left="851" w:right="899"/>
        <w:contextualSpacing/>
        <w:rPr>
          <w:rFonts w:cs="Arial"/>
          <w:bCs/>
          <w:i/>
          <w:noProof/>
          <w:szCs w:val="22"/>
        </w:rPr>
      </w:pPr>
      <w:r w:rsidRPr="002D5CB9">
        <w:rPr>
          <w:rFonts w:cs="Arial"/>
          <w:bCs/>
          <w:i/>
          <w:noProof/>
          <w:szCs w:val="22"/>
        </w:rPr>
        <w:t>a. Rfc</w:t>
      </w:r>
    </w:p>
    <w:p w14:paraId="4C398300" w14:textId="77777777" w:rsidR="008B65D2" w:rsidRPr="002D5CB9" w:rsidRDefault="008B65D2" w:rsidP="002D5CB9">
      <w:pPr>
        <w:ind w:left="851" w:right="899"/>
        <w:contextualSpacing/>
        <w:rPr>
          <w:rFonts w:cs="Arial"/>
          <w:bCs/>
          <w:i/>
          <w:noProof/>
          <w:szCs w:val="22"/>
        </w:rPr>
      </w:pPr>
      <w:r w:rsidRPr="002D5CB9">
        <w:rPr>
          <w:rFonts w:cs="Arial"/>
          <w:bCs/>
          <w:i/>
          <w:noProof/>
          <w:szCs w:val="22"/>
        </w:rPr>
        <w:t>b. Nombre</w:t>
      </w:r>
    </w:p>
    <w:p w14:paraId="55636D64" w14:textId="77777777" w:rsidR="008B65D2" w:rsidRPr="002D5CB9" w:rsidRDefault="008B65D2" w:rsidP="002D5CB9">
      <w:pPr>
        <w:ind w:left="851" w:right="899"/>
        <w:contextualSpacing/>
        <w:rPr>
          <w:rFonts w:cs="Arial"/>
          <w:bCs/>
          <w:i/>
          <w:noProof/>
          <w:szCs w:val="22"/>
        </w:rPr>
      </w:pPr>
      <w:r w:rsidRPr="002D5CB9">
        <w:rPr>
          <w:rFonts w:cs="Arial"/>
          <w:bCs/>
          <w:i/>
          <w:noProof/>
          <w:szCs w:val="22"/>
        </w:rPr>
        <w:t>c. Residencia Fiscal</w:t>
      </w:r>
    </w:p>
    <w:p w14:paraId="62687FB9" w14:textId="77777777" w:rsidR="008B65D2" w:rsidRPr="002D5CB9" w:rsidRDefault="008B65D2" w:rsidP="002D5CB9">
      <w:pPr>
        <w:ind w:left="851" w:right="899"/>
        <w:contextualSpacing/>
        <w:rPr>
          <w:rFonts w:cs="Arial"/>
          <w:bCs/>
          <w:i/>
          <w:noProof/>
          <w:szCs w:val="22"/>
        </w:rPr>
      </w:pPr>
      <w:r w:rsidRPr="002D5CB9">
        <w:rPr>
          <w:rFonts w:cs="Arial"/>
          <w:bCs/>
          <w:i/>
          <w:noProof/>
          <w:szCs w:val="22"/>
        </w:rPr>
        <w:t>d. NumRegIdTrib</w:t>
      </w:r>
    </w:p>
    <w:p w14:paraId="5DF8D9B6" w14:textId="77777777" w:rsidR="008B65D2" w:rsidRPr="002D5CB9" w:rsidRDefault="008B65D2" w:rsidP="002D5CB9">
      <w:pPr>
        <w:ind w:left="851" w:right="899"/>
        <w:contextualSpacing/>
        <w:rPr>
          <w:rFonts w:cs="Arial"/>
          <w:bCs/>
          <w:i/>
          <w:noProof/>
          <w:szCs w:val="22"/>
        </w:rPr>
      </w:pPr>
      <w:r w:rsidRPr="002D5CB9">
        <w:rPr>
          <w:rFonts w:cs="Arial"/>
          <w:bCs/>
          <w:i/>
          <w:noProof/>
          <w:szCs w:val="22"/>
        </w:rPr>
        <w:t>e. UsoCFDI”</w:t>
      </w:r>
    </w:p>
    <w:p w14:paraId="2EC4FE79" w14:textId="77777777" w:rsidR="008B65D2" w:rsidRPr="002D5CB9" w:rsidRDefault="008B65D2" w:rsidP="002D5CB9">
      <w:pPr>
        <w:ind w:right="-93"/>
        <w:rPr>
          <w:rFonts w:eastAsia="Palatino Linotype" w:cs="Palatino Linotype"/>
        </w:rPr>
      </w:pPr>
    </w:p>
    <w:p w14:paraId="56633C40" w14:textId="77777777" w:rsidR="008B65D2" w:rsidRPr="002D5CB9" w:rsidRDefault="008B65D2" w:rsidP="002D5CB9">
      <w:pPr>
        <w:pStyle w:val="Prrafodelista"/>
        <w:ind w:left="0"/>
        <w:rPr>
          <w:rFonts w:eastAsia="Palatino Linotype" w:cs="Palatino Linotype"/>
        </w:rPr>
      </w:pPr>
      <w:r w:rsidRPr="002D5CB9">
        <w:rPr>
          <w:rFonts w:eastAsia="Palatino Linotype" w:cs="Palatino Linotype"/>
        </w:rPr>
        <w:t xml:space="preserve">Como consecuencia, </w:t>
      </w:r>
      <w:r w:rsidRPr="002D5CB9">
        <w:rPr>
          <w:rFonts w:eastAsia="Palatino Linotype" w:cs="Palatino Linotype"/>
          <w:b/>
        </w:rPr>
        <w:t>EL SUJETO OBLIGADO</w:t>
      </w:r>
      <w:r w:rsidRPr="002D5CB9">
        <w:rPr>
          <w:rFonts w:eastAsia="Palatino Linotype" w:cs="Palatino Linotype"/>
        </w:rPr>
        <w:t xml:space="preserve"> deberá testar los datos referidos con antelación, sin pasar inadvertido que la clasificación respectiva tiene que cumplirse mediante la forma y formalidades que la ley impone; es decir, mediante acuerdo debidamente fundado y motivado, en términos de los numerales 49 fracción VIII y 132 fracciones II y III de la </w:t>
      </w:r>
      <w:bookmarkStart w:id="28" w:name="_Hlk71665731"/>
      <w:r w:rsidRPr="002D5CB9">
        <w:rPr>
          <w:rFonts w:eastAsia="Palatino Linotype" w:cs="Palatino Linotype"/>
        </w:rPr>
        <w:t xml:space="preserve">Ley de Transparencia y Acceso a la Información Pública del Estado de México y Municipios </w:t>
      </w:r>
      <w:bookmarkEnd w:id="28"/>
      <w:r w:rsidRPr="002D5CB9">
        <w:rPr>
          <w:rFonts w:eastAsia="Palatino Linotype" w:cs="Palatino Linotype"/>
        </w:rPr>
        <w:t>en vigor, así como los numerales Segundo, fracción XVIII, y del Cuarto al Décimo Primero de los Lineamientos Generales en materia de Clasificación y Desclasificación de la Información, así como para la elaboración de versiones públicas, de conformidad al Considerando siguiente.</w:t>
      </w:r>
    </w:p>
    <w:p w14:paraId="7F04BE04" w14:textId="77777777" w:rsidR="005A0427" w:rsidRPr="002D5CB9" w:rsidRDefault="005A0427" w:rsidP="002D5CB9">
      <w:pPr>
        <w:pStyle w:val="Prrafodelista"/>
        <w:ind w:left="0"/>
        <w:rPr>
          <w:rFonts w:eastAsia="Palatino Linotype" w:cs="Palatino Linotype"/>
        </w:rPr>
      </w:pPr>
    </w:p>
    <w:p w14:paraId="5DA7C963" w14:textId="6787BB2B" w:rsidR="00664420" w:rsidRPr="002D5CB9" w:rsidRDefault="00BD5A7C" w:rsidP="002D5CB9">
      <w:pPr>
        <w:pStyle w:val="Ttulo3"/>
      </w:pPr>
      <w:bookmarkStart w:id="29" w:name="_Toc184229964"/>
      <w:r w:rsidRPr="002D5CB9">
        <w:t>d</w:t>
      </w:r>
      <w:r w:rsidR="00A21A20" w:rsidRPr="002D5CB9">
        <w:t>)</w:t>
      </w:r>
      <w:r w:rsidR="00664420" w:rsidRPr="002D5CB9">
        <w:t xml:space="preserve"> Versión pública</w:t>
      </w:r>
      <w:bookmarkEnd w:id="29"/>
    </w:p>
    <w:p w14:paraId="1B8D6498" w14:textId="77777777" w:rsidR="00995AF9" w:rsidRPr="002D5CB9" w:rsidRDefault="00995AF9" w:rsidP="002D5CB9">
      <w:pPr>
        <w:tabs>
          <w:tab w:val="left" w:pos="7938"/>
        </w:tabs>
        <w:spacing w:before="240" w:after="240"/>
        <w:rPr>
          <w:rFonts w:eastAsia="Arial Unicode MS" w:cs="Arial"/>
          <w:sz w:val="24"/>
          <w:szCs w:val="24"/>
        </w:rPr>
      </w:pPr>
      <w:bookmarkStart w:id="30" w:name="_Toc181739414"/>
      <w:r w:rsidRPr="002D5CB9">
        <w:rPr>
          <w:rFonts w:eastAsia="Arial Unicode MS" w:cs="Arial"/>
          <w:sz w:val="24"/>
          <w:szCs w:val="24"/>
        </w:rPr>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w:t>
      </w:r>
      <w:r w:rsidRPr="002D5CB9">
        <w:rPr>
          <w:rFonts w:eastAsia="Arial Unicode MS" w:cs="Arial"/>
          <w:sz w:val="24"/>
          <w:szCs w:val="24"/>
        </w:rPr>
        <w:lastRenderedPageBreak/>
        <w:t>el derecho a la protección de datos personales, cuyo fundamento legal aplicable se encuentra inmerso en los numerales de la Ley de la materia, que a la letra esgrimen:</w:t>
      </w:r>
    </w:p>
    <w:p w14:paraId="1A58DEBB" w14:textId="77777777" w:rsidR="00995AF9" w:rsidRPr="002D5CB9" w:rsidRDefault="00995AF9" w:rsidP="002D5CB9">
      <w:pPr>
        <w:spacing w:before="240"/>
        <w:ind w:left="851" w:right="851"/>
        <w:rPr>
          <w:rFonts w:cs="Arial"/>
          <w:i/>
        </w:rPr>
      </w:pPr>
      <w:r w:rsidRPr="002D5CB9">
        <w:rPr>
          <w:rFonts w:cs="Arial"/>
          <w:i/>
        </w:rPr>
        <w:t>“Artículo 3. Para los efectos de la presente Ley se entenderá por:</w:t>
      </w:r>
    </w:p>
    <w:p w14:paraId="5E6578A9" w14:textId="77777777" w:rsidR="00995AF9" w:rsidRPr="002D5CB9" w:rsidRDefault="00995AF9" w:rsidP="002D5CB9">
      <w:pPr>
        <w:spacing w:before="240"/>
        <w:ind w:left="851" w:right="851"/>
        <w:rPr>
          <w:rFonts w:cs="Arial"/>
          <w:i/>
        </w:rPr>
      </w:pPr>
      <w:r w:rsidRPr="002D5CB9">
        <w:rPr>
          <w:rFonts w:cs="Arial"/>
          <w:i/>
        </w:rPr>
        <w:t>(…)</w:t>
      </w:r>
    </w:p>
    <w:p w14:paraId="75D2C53B" w14:textId="77777777" w:rsidR="00995AF9" w:rsidRPr="002D5CB9" w:rsidRDefault="00995AF9" w:rsidP="002D5CB9">
      <w:pPr>
        <w:spacing w:before="240"/>
        <w:ind w:left="851" w:right="851"/>
        <w:rPr>
          <w:rFonts w:cs="Arial"/>
          <w:b/>
          <w:i/>
        </w:rPr>
      </w:pPr>
      <w:r w:rsidRPr="002D5CB9">
        <w:rPr>
          <w:rFonts w:cs="Arial"/>
          <w:b/>
          <w:i/>
          <w:u w:val="single"/>
        </w:rPr>
        <w:t>IX. Datos personales:</w:t>
      </w:r>
      <w:r w:rsidRPr="002D5CB9">
        <w:rPr>
          <w:rFonts w:cs="Arial"/>
          <w:b/>
          <w:i/>
        </w:rPr>
        <w:t xml:space="preserve"> </w:t>
      </w:r>
      <w:r w:rsidRPr="002D5CB9">
        <w:rPr>
          <w:rFonts w:cs="Arial"/>
          <w:i/>
        </w:rPr>
        <w:t>La información concerniente a una persona, identificada o identificable según lo dispuesto por la Ley de Protección de Datos Personales del Estado de México;</w:t>
      </w:r>
    </w:p>
    <w:p w14:paraId="31E56078" w14:textId="77777777" w:rsidR="00995AF9" w:rsidRPr="002D5CB9" w:rsidRDefault="00995AF9" w:rsidP="002D5CB9">
      <w:pPr>
        <w:spacing w:before="240"/>
        <w:ind w:left="851" w:right="851"/>
        <w:rPr>
          <w:rFonts w:cs="Arial"/>
          <w:b/>
          <w:i/>
        </w:rPr>
      </w:pPr>
      <w:r w:rsidRPr="002D5CB9">
        <w:rPr>
          <w:rFonts w:cs="Arial"/>
          <w:b/>
          <w:i/>
        </w:rPr>
        <w:t>(…)</w:t>
      </w:r>
    </w:p>
    <w:p w14:paraId="47B2B522" w14:textId="77777777" w:rsidR="00995AF9" w:rsidRPr="002D5CB9" w:rsidRDefault="00995AF9" w:rsidP="002D5CB9">
      <w:pPr>
        <w:spacing w:before="240"/>
        <w:ind w:left="851" w:right="851"/>
        <w:rPr>
          <w:rFonts w:cs="Arial"/>
          <w:b/>
          <w:i/>
        </w:rPr>
      </w:pPr>
      <w:r w:rsidRPr="002D5CB9">
        <w:rPr>
          <w:rFonts w:cs="Arial"/>
          <w:b/>
          <w:i/>
          <w:u w:val="single"/>
        </w:rPr>
        <w:t>XLV. Versión pública:</w:t>
      </w:r>
      <w:r w:rsidRPr="002D5CB9">
        <w:rPr>
          <w:rFonts w:cs="Arial"/>
          <w:b/>
          <w:i/>
        </w:rPr>
        <w:t xml:space="preserve"> </w:t>
      </w:r>
      <w:r w:rsidRPr="002D5CB9">
        <w:rPr>
          <w:rFonts w:cs="Arial"/>
          <w:i/>
        </w:rPr>
        <w:t>Documento en el que se elimine, suprime o borra la información clasificada como reservada o confidencial para permitir su acceso.</w:t>
      </w:r>
    </w:p>
    <w:p w14:paraId="2DDBB584" w14:textId="77777777" w:rsidR="00995AF9" w:rsidRPr="002D5CB9" w:rsidRDefault="00995AF9" w:rsidP="002D5CB9">
      <w:pPr>
        <w:spacing w:before="240"/>
        <w:ind w:left="851" w:right="851"/>
        <w:rPr>
          <w:rFonts w:cs="Arial"/>
          <w:b/>
          <w:i/>
        </w:rPr>
      </w:pPr>
      <w:r w:rsidRPr="002D5CB9">
        <w:rPr>
          <w:rFonts w:cs="Arial"/>
          <w:i/>
        </w:rPr>
        <w:t xml:space="preserve">Artículo 122. </w:t>
      </w:r>
      <w:r w:rsidRPr="002D5CB9">
        <w:rPr>
          <w:rFonts w:cs="Arial"/>
          <w:b/>
          <w:i/>
          <w:u w:val="single"/>
        </w:rPr>
        <w:t xml:space="preserve">La clasificación es el proceso mediante el cual el sujeto obligado determina que la información en su poder </w:t>
      </w:r>
      <w:proofErr w:type="spellStart"/>
      <w:r w:rsidRPr="002D5CB9">
        <w:rPr>
          <w:rFonts w:cs="Arial"/>
          <w:b/>
          <w:i/>
          <w:u w:val="single"/>
        </w:rPr>
        <w:t>actualiza</w:t>
      </w:r>
      <w:proofErr w:type="spellEnd"/>
      <w:r w:rsidRPr="002D5CB9">
        <w:rPr>
          <w:rFonts w:cs="Arial"/>
          <w:b/>
          <w:i/>
          <w:u w:val="single"/>
        </w:rPr>
        <w:t xml:space="preserve"> alguno de los supuestos de reserva o confidencialidad, de conformidad con lo dispuesto en el presente título.</w:t>
      </w:r>
    </w:p>
    <w:p w14:paraId="60CF4C76" w14:textId="77777777" w:rsidR="00995AF9" w:rsidRPr="002D5CB9" w:rsidRDefault="00995AF9" w:rsidP="002D5CB9">
      <w:pPr>
        <w:spacing w:before="240"/>
        <w:ind w:left="851" w:right="851"/>
        <w:rPr>
          <w:rFonts w:cs="Arial"/>
          <w:i/>
        </w:rPr>
      </w:pPr>
      <w:r w:rsidRPr="002D5CB9">
        <w:rPr>
          <w:rFonts w:cs="Arial"/>
          <w:i/>
        </w:rPr>
        <w:t>[…]</w:t>
      </w:r>
    </w:p>
    <w:p w14:paraId="0BB53DF6" w14:textId="77777777" w:rsidR="00995AF9" w:rsidRPr="002D5CB9" w:rsidRDefault="00995AF9" w:rsidP="002D5CB9">
      <w:pPr>
        <w:spacing w:before="240"/>
        <w:ind w:left="851" w:right="851"/>
        <w:rPr>
          <w:rFonts w:cs="Arial"/>
          <w:i/>
        </w:rPr>
      </w:pPr>
      <w:r w:rsidRPr="002D5CB9">
        <w:rPr>
          <w:rFonts w:cs="Arial"/>
          <w:i/>
        </w:rPr>
        <w:t>Artículo 132. La clasificación de la información se llevará a cabo en el momento en que:</w:t>
      </w:r>
    </w:p>
    <w:p w14:paraId="4316B9D8" w14:textId="77777777" w:rsidR="00995AF9" w:rsidRPr="002D5CB9" w:rsidRDefault="00995AF9" w:rsidP="002D5CB9">
      <w:pPr>
        <w:spacing w:before="240"/>
        <w:ind w:left="851" w:right="851"/>
        <w:rPr>
          <w:rFonts w:cs="Arial"/>
          <w:i/>
        </w:rPr>
      </w:pPr>
      <w:r w:rsidRPr="002D5CB9">
        <w:rPr>
          <w:rFonts w:cs="Arial"/>
          <w:i/>
        </w:rPr>
        <w:t>[…]</w:t>
      </w:r>
    </w:p>
    <w:p w14:paraId="59E46524" w14:textId="77777777" w:rsidR="00995AF9" w:rsidRPr="002D5CB9" w:rsidRDefault="00995AF9" w:rsidP="002D5CB9">
      <w:pPr>
        <w:spacing w:before="240"/>
        <w:ind w:left="851" w:right="851"/>
        <w:rPr>
          <w:rFonts w:cs="Arial"/>
          <w:b/>
          <w:i/>
          <w:u w:val="single"/>
        </w:rPr>
      </w:pPr>
      <w:r w:rsidRPr="002D5CB9">
        <w:rPr>
          <w:rFonts w:cs="Arial"/>
          <w:b/>
          <w:i/>
          <w:u w:val="single"/>
        </w:rPr>
        <w:t>II. Se determine mediante resolución de autoridad competente; o</w:t>
      </w:r>
    </w:p>
    <w:p w14:paraId="2A08EF78" w14:textId="77777777" w:rsidR="00995AF9" w:rsidRPr="002D5CB9" w:rsidRDefault="00995AF9" w:rsidP="002D5CB9">
      <w:pPr>
        <w:spacing w:before="240"/>
        <w:ind w:left="851" w:right="851"/>
        <w:rPr>
          <w:rFonts w:cs="Arial"/>
          <w:b/>
          <w:i/>
        </w:rPr>
      </w:pPr>
      <w:r w:rsidRPr="002D5CB9">
        <w:rPr>
          <w:rFonts w:cs="Arial"/>
          <w:b/>
          <w:i/>
        </w:rPr>
        <w:t>(…)</w:t>
      </w:r>
    </w:p>
    <w:p w14:paraId="33D79CD2" w14:textId="77777777" w:rsidR="00995AF9" w:rsidRPr="002D5CB9" w:rsidRDefault="00995AF9" w:rsidP="002D5CB9">
      <w:pPr>
        <w:spacing w:before="240"/>
        <w:ind w:left="851" w:right="851"/>
        <w:rPr>
          <w:rFonts w:cs="Arial"/>
          <w:b/>
          <w:i/>
        </w:rPr>
      </w:pPr>
      <w:r w:rsidRPr="002D5CB9">
        <w:rPr>
          <w:rFonts w:cs="Arial"/>
          <w:i/>
        </w:rPr>
        <w:lastRenderedPageBreak/>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2D5CB9">
        <w:rPr>
          <w:rFonts w:cs="Arial"/>
          <w:b/>
          <w:i/>
        </w:rPr>
        <w:t xml:space="preserve"> </w:t>
      </w:r>
      <w:r w:rsidRPr="002D5CB9">
        <w:rPr>
          <w:rFonts w:cs="Arial"/>
          <w:b/>
          <w:i/>
          <w:u w:val="single"/>
        </w:rPr>
        <w:t xml:space="preserve">de manera genérica y fundando y motivando su clasificación.” </w:t>
      </w:r>
      <w:r w:rsidRPr="002D5CB9">
        <w:rPr>
          <w:rFonts w:cs="Arial"/>
          <w:b/>
          <w:i/>
        </w:rPr>
        <w:t>[Sic]</w:t>
      </w:r>
    </w:p>
    <w:p w14:paraId="71A7F00A" w14:textId="77777777" w:rsidR="00995AF9" w:rsidRPr="002D5CB9" w:rsidRDefault="00995AF9" w:rsidP="002D5CB9">
      <w:pPr>
        <w:ind w:right="51"/>
        <w:rPr>
          <w:rFonts w:eastAsia="Arial Unicode MS" w:cs="Arial"/>
          <w:sz w:val="24"/>
          <w:szCs w:val="24"/>
        </w:rPr>
      </w:pPr>
    </w:p>
    <w:p w14:paraId="52B0A1F9" w14:textId="77777777" w:rsidR="00995AF9" w:rsidRPr="002D5CB9" w:rsidRDefault="00995AF9" w:rsidP="002D5CB9">
      <w:pPr>
        <w:ind w:right="51"/>
        <w:rPr>
          <w:rFonts w:cs="Arial"/>
          <w:sz w:val="24"/>
          <w:szCs w:val="24"/>
        </w:rPr>
      </w:pPr>
      <w:r w:rsidRPr="002D5CB9">
        <w:rPr>
          <w:rFonts w:eastAsia="Arial Unicode MS" w:cs="Arial"/>
          <w:sz w:val="24"/>
          <w:szCs w:val="24"/>
        </w:rPr>
        <w:t xml:space="preserve">Verbigracia, previo a poner a disposición la información correspondiente debe considerarse que tiene carácter de confidencial </w:t>
      </w:r>
      <w:r w:rsidRPr="002D5CB9">
        <w:rPr>
          <w:rFonts w:cs="Arial"/>
          <w:sz w:val="24"/>
          <w:szCs w:val="24"/>
        </w:rPr>
        <w:t>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5D42AE7D" w14:textId="77777777" w:rsidR="00995AF9" w:rsidRPr="002D5CB9" w:rsidRDefault="00995AF9" w:rsidP="002D5CB9">
      <w:pPr>
        <w:autoSpaceDE w:val="0"/>
        <w:autoSpaceDN w:val="0"/>
        <w:adjustRightInd w:val="0"/>
        <w:spacing w:before="240" w:after="240"/>
        <w:ind w:right="-91"/>
        <w:rPr>
          <w:rFonts w:cs="Arial"/>
          <w:sz w:val="24"/>
          <w:szCs w:val="24"/>
          <w:lang w:eastAsia="es-MX"/>
        </w:rPr>
      </w:pPr>
      <w:r w:rsidRPr="002D5CB9">
        <w:rPr>
          <w:rFonts w:cs="Arial"/>
          <w:sz w:val="24"/>
          <w:szCs w:val="24"/>
          <w:lang w:eastAsia="es-MX"/>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622CD3DD" w14:textId="77777777" w:rsidR="00995AF9" w:rsidRPr="002D5CB9" w:rsidRDefault="00995AF9" w:rsidP="002D5CB9">
      <w:pPr>
        <w:spacing w:before="240" w:after="240"/>
        <w:ind w:right="-91"/>
        <w:rPr>
          <w:rFonts w:cs="Arial"/>
          <w:sz w:val="24"/>
          <w:szCs w:val="24"/>
          <w:lang w:eastAsia="es-MX"/>
        </w:rPr>
      </w:pPr>
      <w:r w:rsidRPr="002D5CB9">
        <w:rPr>
          <w:rFonts w:cs="Arial"/>
          <w:sz w:val="24"/>
          <w:szCs w:val="24"/>
          <w:lang w:eastAsia="es-MX"/>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6CC8B90C" w14:textId="77777777" w:rsidR="00995AF9" w:rsidRPr="002D5CB9" w:rsidRDefault="00995AF9" w:rsidP="002D5CB9">
      <w:pPr>
        <w:spacing w:before="240" w:after="240"/>
        <w:ind w:right="-91"/>
        <w:rPr>
          <w:rFonts w:cs="Arial"/>
          <w:sz w:val="24"/>
          <w:szCs w:val="24"/>
          <w:lang w:eastAsia="es-MX"/>
        </w:rPr>
      </w:pPr>
      <w:r w:rsidRPr="002D5CB9">
        <w:rPr>
          <w:rFonts w:cs="Arial"/>
          <w:sz w:val="24"/>
          <w:szCs w:val="24"/>
          <w:lang w:eastAsia="es-MX"/>
        </w:rPr>
        <w:t xml:space="preserve">Lo anterior es compartido por el ahora </w:t>
      </w:r>
      <w:r w:rsidRPr="002D5CB9">
        <w:rPr>
          <w:rFonts w:cs="Arial"/>
          <w:b/>
          <w:bCs/>
          <w:sz w:val="24"/>
          <w:szCs w:val="24"/>
          <w:lang w:eastAsia="es-MX"/>
        </w:rPr>
        <w:t>Instituto Nacional de Transparencia, Acceso a la Información y Protección de Datos Personales</w:t>
      </w:r>
      <w:r w:rsidRPr="002D5CB9">
        <w:rPr>
          <w:rFonts w:cs="Arial"/>
          <w:sz w:val="24"/>
          <w:szCs w:val="24"/>
          <w:lang w:eastAsia="es-MX"/>
        </w:rPr>
        <w:t xml:space="preserve"> (INAI), conforme al criterio </w:t>
      </w:r>
      <w:r w:rsidRPr="002D5CB9">
        <w:rPr>
          <w:rFonts w:cs="Arial"/>
          <w:b/>
          <w:sz w:val="24"/>
          <w:szCs w:val="24"/>
          <w:lang w:eastAsia="es-MX"/>
        </w:rPr>
        <w:t>19/17,</w:t>
      </w:r>
      <w:r w:rsidRPr="002D5CB9">
        <w:rPr>
          <w:rFonts w:cs="Arial"/>
          <w:sz w:val="24"/>
          <w:szCs w:val="24"/>
          <w:lang w:eastAsia="es-MX"/>
        </w:rPr>
        <w:t xml:space="preserve"> el cual es del tenor literal siguiente:</w:t>
      </w:r>
    </w:p>
    <w:p w14:paraId="6B6FF38C" w14:textId="77777777" w:rsidR="00995AF9" w:rsidRPr="002D5CB9" w:rsidRDefault="00995AF9" w:rsidP="002D5CB9">
      <w:pPr>
        <w:autoSpaceDE w:val="0"/>
        <w:autoSpaceDN w:val="0"/>
        <w:adjustRightInd w:val="0"/>
        <w:spacing w:before="240"/>
        <w:ind w:left="851" w:right="851"/>
        <w:jc w:val="center"/>
        <w:rPr>
          <w:rFonts w:cs="Arial"/>
          <w:b/>
          <w:bCs/>
          <w:i/>
        </w:rPr>
      </w:pPr>
      <w:r w:rsidRPr="002D5CB9">
        <w:rPr>
          <w:rFonts w:cs="Arial"/>
          <w:bCs/>
          <w:i/>
        </w:rPr>
        <w:lastRenderedPageBreak/>
        <w:t>“</w:t>
      </w:r>
      <w:r w:rsidRPr="002D5CB9">
        <w:rPr>
          <w:rFonts w:cs="Arial"/>
          <w:b/>
          <w:bCs/>
          <w:i/>
        </w:rPr>
        <w:t>REGISTRO FEDERAL DE CONTRIBUYENTES (RFC) DE PERSONAS FÍSICAS.</w:t>
      </w:r>
    </w:p>
    <w:p w14:paraId="55AC9804" w14:textId="3CD1F551" w:rsidR="00995AF9" w:rsidRPr="002D5CB9" w:rsidRDefault="00995AF9" w:rsidP="002D5CB9">
      <w:pPr>
        <w:autoSpaceDE w:val="0"/>
        <w:autoSpaceDN w:val="0"/>
        <w:adjustRightInd w:val="0"/>
        <w:spacing w:before="240"/>
        <w:ind w:left="851" w:right="851"/>
        <w:rPr>
          <w:rFonts w:cs="Arial"/>
          <w:bCs/>
          <w:i/>
        </w:rPr>
      </w:pPr>
      <w:r w:rsidRPr="002D5CB9">
        <w:rPr>
          <w:rFonts w:cs="Arial"/>
          <w:bCs/>
          <w:i/>
        </w:rPr>
        <w:t>El RFC es una clave de carácter fiscal, única e irrepetible, que permite identificar al titular, su edad y fecha de nacimiento, por lo que es un dato personal de carácter confidencial</w:t>
      </w:r>
      <w:r w:rsidR="005A0427" w:rsidRPr="002D5CB9">
        <w:rPr>
          <w:rFonts w:cs="Arial"/>
          <w:bCs/>
          <w:i/>
        </w:rPr>
        <w:t>”.</w:t>
      </w:r>
      <w:r w:rsidRPr="002D5CB9">
        <w:rPr>
          <w:rFonts w:cs="Arial"/>
          <w:i/>
        </w:rPr>
        <w:t xml:space="preserve"> </w:t>
      </w:r>
      <w:r w:rsidRPr="002D5CB9">
        <w:rPr>
          <w:rFonts w:cs="Arial"/>
          <w:b/>
          <w:i/>
        </w:rPr>
        <w:t>[Sic]</w:t>
      </w:r>
    </w:p>
    <w:p w14:paraId="5950A9CB" w14:textId="77777777" w:rsidR="00995AF9" w:rsidRPr="002D5CB9" w:rsidRDefault="00995AF9" w:rsidP="002D5CB9">
      <w:pPr>
        <w:autoSpaceDE w:val="0"/>
        <w:autoSpaceDN w:val="0"/>
        <w:adjustRightInd w:val="0"/>
        <w:spacing w:before="120" w:after="120"/>
        <w:ind w:left="567" w:right="850"/>
        <w:rPr>
          <w:rFonts w:cs="Arial"/>
          <w:i/>
        </w:rPr>
      </w:pPr>
    </w:p>
    <w:p w14:paraId="068EB082" w14:textId="77777777" w:rsidR="00995AF9" w:rsidRPr="002D5CB9" w:rsidRDefault="00995AF9" w:rsidP="002D5CB9">
      <w:pPr>
        <w:spacing w:before="240" w:after="240"/>
        <w:rPr>
          <w:rFonts w:cs="Arial"/>
          <w:sz w:val="24"/>
          <w:szCs w:val="24"/>
          <w:lang w:eastAsia="es-MX"/>
        </w:rPr>
      </w:pPr>
      <w:r w:rsidRPr="002D5CB9">
        <w:rPr>
          <w:rFonts w:cs="Arial"/>
          <w:sz w:val="24"/>
          <w:szCs w:val="24"/>
          <w:lang w:eastAsia="es-MX"/>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14:paraId="2B1623F3" w14:textId="77777777" w:rsidR="00995AF9" w:rsidRPr="002D5CB9" w:rsidRDefault="00995AF9" w:rsidP="002D5CB9">
      <w:pPr>
        <w:spacing w:before="240" w:after="240"/>
        <w:rPr>
          <w:rFonts w:eastAsia="Calibri" w:cs="Arial"/>
          <w:sz w:val="24"/>
          <w:szCs w:val="24"/>
          <w:lang w:eastAsia="es-MX"/>
        </w:rPr>
      </w:pPr>
      <w:r w:rsidRPr="002D5CB9">
        <w:rPr>
          <w:rFonts w:cs="Arial"/>
          <w:sz w:val="24"/>
          <w:szCs w:val="24"/>
          <w:lang w:eastAsia="es-MX"/>
        </w:rPr>
        <w:t xml:space="preserve">En cuanto a la </w:t>
      </w:r>
      <w:r w:rsidRPr="002D5CB9">
        <w:rPr>
          <w:rFonts w:cs="Arial"/>
          <w:sz w:val="24"/>
          <w:szCs w:val="24"/>
        </w:rPr>
        <w:t xml:space="preserve">Clave Única de Registro de Población (CURP) en virtud de que éste se </w:t>
      </w:r>
      <w:r w:rsidRPr="002D5CB9">
        <w:rPr>
          <w:rFonts w:eastAsia="Calibri" w:cs="Arial"/>
          <w:sz w:val="24"/>
          <w:szCs w:val="24"/>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0B6DE803" w14:textId="77777777" w:rsidR="00995AF9" w:rsidRPr="002D5CB9" w:rsidRDefault="00995AF9" w:rsidP="002D5CB9">
      <w:pPr>
        <w:spacing w:before="240" w:after="240"/>
        <w:ind w:right="-91"/>
        <w:rPr>
          <w:rFonts w:cs="Arial"/>
          <w:sz w:val="24"/>
          <w:szCs w:val="24"/>
        </w:rPr>
      </w:pPr>
      <w:r w:rsidRPr="002D5CB9">
        <w:rPr>
          <w:rFonts w:cs="Arial"/>
          <w:sz w:val="24"/>
          <w:szCs w:val="24"/>
        </w:rPr>
        <w:t xml:space="preserve">Argumento que es compartido por el </w:t>
      </w:r>
      <w:r w:rsidRPr="002D5CB9">
        <w:rPr>
          <w:rStyle w:val="Textoennegrita"/>
          <w:rFonts w:eastAsiaTheme="majorEastAsia" w:cs="Arial"/>
          <w:sz w:val="24"/>
          <w:szCs w:val="24"/>
        </w:rPr>
        <w:t xml:space="preserve">Instituto Nacional de Transparencia, Acceso a la Información y Protección de Datos Personales, conforme al </w:t>
      </w:r>
      <w:r w:rsidRPr="002D5CB9">
        <w:rPr>
          <w:rFonts w:cs="Arial"/>
          <w:sz w:val="24"/>
          <w:szCs w:val="24"/>
        </w:rPr>
        <w:t xml:space="preserve">criterio número 18/17 el cual refiere: </w:t>
      </w:r>
    </w:p>
    <w:p w14:paraId="126A808D" w14:textId="77777777" w:rsidR="00995AF9" w:rsidRPr="002D5CB9" w:rsidRDefault="00995AF9" w:rsidP="002D5CB9">
      <w:pPr>
        <w:autoSpaceDE w:val="0"/>
        <w:autoSpaceDN w:val="0"/>
        <w:adjustRightInd w:val="0"/>
        <w:spacing w:before="240"/>
        <w:ind w:left="851" w:right="851"/>
        <w:jc w:val="center"/>
        <w:rPr>
          <w:rFonts w:cs="Arial"/>
          <w:b/>
          <w:bCs/>
          <w:i/>
          <w:lang w:eastAsia="es-MX"/>
        </w:rPr>
      </w:pPr>
      <w:r w:rsidRPr="002D5CB9">
        <w:rPr>
          <w:rFonts w:cs="Arial"/>
          <w:bCs/>
          <w:i/>
          <w:lang w:eastAsia="es-MX"/>
        </w:rPr>
        <w:t>“</w:t>
      </w:r>
      <w:r w:rsidRPr="002D5CB9">
        <w:rPr>
          <w:rFonts w:cs="Arial"/>
          <w:b/>
          <w:bCs/>
          <w:i/>
          <w:lang w:eastAsia="es-MX"/>
        </w:rPr>
        <w:t>CLAVE ÚNICA DE REGISTRO DE POBLACIÓN (CURP).</w:t>
      </w:r>
    </w:p>
    <w:p w14:paraId="6A8386C9" w14:textId="0F66493B" w:rsidR="00995AF9" w:rsidRPr="002D5CB9" w:rsidRDefault="00995AF9" w:rsidP="002D5CB9">
      <w:pPr>
        <w:autoSpaceDE w:val="0"/>
        <w:autoSpaceDN w:val="0"/>
        <w:adjustRightInd w:val="0"/>
        <w:spacing w:before="240"/>
        <w:ind w:left="851" w:right="851"/>
        <w:rPr>
          <w:rFonts w:cs="Arial"/>
          <w:b/>
          <w:bCs/>
          <w:i/>
          <w:lang w:eastAsia="es-MX"/>
        </w:rPr>
      </w:pPr>
      <w:r w:rsidRPr="002D5CB9">
        <w:rPr>
          <w:rFonts w:cs="Arial"/>
          <w:bCs/>
          <w:i/>
          <w:lang w:eastAsia="es-MX"/>
        </w:rPr>
        <w:lastRenderedPageBreak/>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r w:rsidRPr="002D5CB9">
        <w:rPr>
          <w:rFonts w:cs="Arial"/>
          <w:i/>
          <w:lang w:eastAsia="es-MX"/>
        </w:rPr>
        <w:t xml:space="preserve"> </w:t>
      </w:r>
      <w:r w:rsidRPr="002D5CB9">
        <w:rPr>
          <w:rFonts w:cs="Arial"/>
          <w:b/>
          <w:i/>
          <w:lang w:eastAsia="es-MX"/>
        </w:rPr>
        <w:t>[Sic]</w:t>
      </w:r>
    </w:p>
    <w:p w14:paraId="52D6C979" w14:textId="77777777" w:rsidR="00995AF9" w:rsidRPr="002D5CB9" w:rsidRDefault="00995AF9" w:rsidP="002D5CB9">
      <w:pPr>
        <w:ind w:right="51"/>
        <w:rPr>
          <w:rFonts w:cs="Arial"/>
          <w:sz w:val="24"/>
          <w:szCs w:val="24"/>
        </w:rPr>
      </w:pPr>
      <w:r w:rsidRPr="002D5CB9">
        <w:rPr>
          <w:rFonts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2D5CB9">
        <w:rPr>
          <w:rFonts w:cs="Arial"/>
          <w:b/>
          <w:sz w:val="24"/>
          <w:szCs w:val="24"/>
        </w:rPr>
        <w:t>LINEAMIENTOS GENERALES EN MATERIA DE CLASIFICACIÓN Y DESCLASIFICACIÓN DE LA INFORMACIÓN, ASÍ COMO PARA LA ELABORACIÓN DE VERSIONES PÚBLICAS,</w:t>
      </w:r>
      <w:r w:rsidRPr="002D5CB9">
        <w:rPr>
          <w:rFonts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434D3C54" w14:textId="77777777" w:rsidR="00995AF9" w:rsidRPr="002D5CB9" w:rsidRDefault="00995AF9" w:rsidP="002D5CB9"/>
    <w:p w14:paraId="523608F1" w14:textId="15AEA441" w:rsidR="00B77B52" w:rsidRPr="002D5CB9" w:rsidRDefault="00B77B52" w:rsidP="002D5CB9">
      <w:pPr>
        <w:pStyle w:val="Ttulo3"/>
      </w:pPr>
      <w:bookmarkStart w:id="31" w:name="_Toc184229965"/>
      <w:r w:rsidRPr="002D5CB9">
        <w:t>e) Conclusión</w:t>
      </w:r>
      <w:bookmarkEnd w:id="30"/>
      <w:bookmarkEnd w:id="31"/>
    </w:p>
    <w:p w14:paraId="096A4B71" w14:textId="38487D15" w:rsidR="00192F50" w:rsidRPr="002D5CB9" w:rsidRDefault="00192F50" w:rsidP="002D5CB9">
      <w:pPr>
        <w:widowControl w:val="0"/>
        <w:tabs>
          <w:tab w:val="left" w:pos="1701"/>
          <w:tab w:val="left" w:pos="1843"/>
        </w:tabs>
        <w:ind w:right="-28"/>
      </w:pPr>
      <w:r w:rsidRPr="002D5CB9">
        <w:t xml:space="preserve">En razón de lo anteriormente expuesto, este Instituto estima que las razones o </w:t>
      </w:r>
      <w:r w:rsidR="005A0427" w:rsidRPr="002D5CB9">
        <w:t>motivos de</w:t>
      </w:r>
      <w:r w:rsidRPr="002D5CB9">
        <w:t xml:space="preserve"> inconformidad hechos valer por </w:t>
      </w:r>
      <w:r w:rsidRPr="002D5CB9">
        <w:rPr>
          <w:b/>
        </w:rPr>
        <w:t>LA PARTE RECURRENTE</w:t>
      </w:r>
      <w:r w:rsidRPr="002D5CB9">
        <w:t xml:space="preserve"> devienen </w:t>
      </w:r>
      <w:r w:rsidRPr="002D5CB9">
        <w:rPr>
          <w:b/>
        </w:rPr>
        <w:t>fundadas</w:t>
      </w:r>
      <w:r w:rsidRPr="002D5CB9">
        <w:t xml:space="preserve"> y suficientes para </w:t>
      </w:r>
      <w:r w:rsidRPr="002D5CB9">
        <w:rPr>
          <w:b/>
        </w:rPr>
        <w:t>REVOCAR</w:t>
      </w:r>
      <w:r w:rsidRPr="002D5CB9">
        <w:t xml:space="preserve"> la respuesta del </w:t>
      </w:r>
      <w:r w:rsidRPr="002D5CB9">
        <w:rPr>
          <w:b/>
        </w:rPr>
        <w:t>SUJETO OBLIGADO</w:t>
      </w:r>
      <w:r w:rsidRPr="002D5CB9">
        <w:t xml:space="preserve"> y ordenarle haga entrega lo siguiente:</w:t>
      </w:r>
    </w:p>
    <w:p w14:paraId="4DDCD29E" w14:textId="2500665A" w:rsidR="00192F50" w:rsidRPr="002D5CB9" w:rsidRDefault="00192F50" w:rsidP="002D5CB9">
      <w:pPr>
        <w:widowControl w:val="0"/>
        <w:tabs>
          <w:tab w:val="left" w:pos="1701"/>
          <w:tab w:val="left" w:pos="1843"/>
        </w:tabs>
        <w:ind w:right="-28"/>
        <w:rPr>
          <w:sz w:val="24"/>
          <w:szCs w:val="24"/>
        </w:rPr>
      </w:pPr>
    </w:p>
    <w:p w14:paraId="537F6AE6" w14:textId="43F23CD3" w:rsidR="00192F50" w:rsidRPr="002D5CB9" w:rsidRDefault="00192F50" w:rsidP="002D5CB9">
      <w:pPr>
        <w:pStyle w:val="Puesto"/>
        <w:numPr>
          <w:ilvl w:val="0"/>
          <w:numId w:val="21"/>
        </w:numPr>
        <w:spacing w:line="360" w:lineRule="auto"/>
        <w:ind w:right="822"/>
        <w:rPr>
          <w:i w:val="0"/>
        </w:rPr>
      </w:pPr>
      <w:r w:rsidRPr="002D5CB9">
        <w:rPr>
          <w:i w:val="0"/>
        </w:rPr>
        <w:t>El expediente del procedimiento para la contratación de la empresa para realizar el mapeo de las rutas.</w:t>
      </w:r>
    </w:p>
    <w:p w14:paraId="3A30DDC0" w14:textId="18BC5659" w:rsidR="00192F50" w:rsidRPr="002D5CB9" w:rsidRDefault="00192F50" w:rsidP="002D5CB9">
      <w:pPr>
        <w:pStyle w:val="Puesto"/>
        <w:numPr>
          <w:ilvl w:val="0"/>
          <w:numId w:val="21"/>
        </w:numPr>
        <w:spacing w:line="360" w:lineRule="auto"/>
        <w:ind w:right="822"/>
        <w:rPr>
          <w:i w:val="0"/>
        </w:rPr>
      </w:pPr>
      <w:r w:rsidRPr="002D5CB9">
        <w:rPr>
          <w:i w:val="0"/>
        </w:rPr>
        <w:lastRenderedPageBreak/>
        <w:t>Presupuesto autorizado y ejercido.</w:t>
      </w:r>
    </w:p>
    <w:p w14:paraId="4E7F342A" w14:textId="42A48EF4" w:rsidR="00192F50" w:rsidRPr="002D5CB9" w:rsidRDefault="00192F50" w:rsidP="002D5CB9">
      <w:pPr>
        <w:pStyle w:val="Puesto"/>
        <w:numPr>
          <w:ilvl w:val="0"/>
          <w:numId w:val="21"/>
        </w:numPr>
        <w:spacing w:line="360" w:lineRule="auto"/>
        <w:ind w:right="822"/>
        <w:rPr>
          <w:i w:val="0"/>
        </w:rPr>
      </w:pPr>
      <w:r w:rsidRPr="002D5CB9">
        <w:rPr>
          <w:i w:val="0"/>
        </w:rPr>
        <w:t>El acta del comité de adquisiciones y la grabación de que se sesiono para el proceso transparente.</w:t>
      </w:r>
    </w:p>
    <w:p w14:paraId="3186CC83" w14:textId="77777777" w:rsidR="005A0427" w:rsidRPr="002D5CB9" w:rsidRDefault="005A0427" w:rsidP="002D5CB9"/>
    <w:p w14:paraId="5FC1551F" w14:textId="46E09EED" w:rsidR="005A0427" w:rsidRPr="002D5CB9" w:rsidRDefault="005A0427" w:rsidP="002D5CB9">
      <w:pPr>
        <w:contextualSpacing/>
        <w:rPr>
          <w:rFonts w:cs="Tahoma"/>
          <w:szCs w:val="22"/>
        </w:rPr>
      </w:pPr>
      <w:r w:rsidRPr="002D5CB9">
        <w:rPr>
          <w:rFonts w:cs="Tahoma"/>
          <w:szCs w:val="22"/>
        </w:rPr>
        <w:t>Ahora bien, es necesario precisar que, en caso de no haber realizado alguna contratación, deberá hacerlo del conocimiento, de la parte Recurrente de manera clara y precisa, en términos del artículo 19, párrafo segundo, de la Ley de Transparencia y Acceso a la Información Pública del Estado de México y Municipios.</w:t>
      </w:r>
    </w:p>
    <w:p w14:paraId="4D68823D" w14:textId="77777777" w:rsidR="00192F50" w:rsidRPr="002D5CB9" w:rsidRDefault="00192F50" w:rsidP="002D5CB9"/>
    <w:p w14:paraId="6C4C444E" w14:textId="16F1DC79" w:rsidR="00BD5A7C" w:rsidRDefault="00BD5A7C" w:rsidP="002D5CB9">
      <w:pPr>
        <w:ind w:right="-93"/>
        <w:rPr>
          <w:rFonts w:cs="Tahoma"/>
          <w:bCs/>
          <w:szCs w:val="22"/>
        </w:rPr>
      </w:pPr>
      <w:bookmarkStart w:id="32" w:name="_Hlk165381027"/>
      <w:r w:rsidRPr="002D5CB9">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2"/>
    <w:p w14:paraId="7C13D1A0" w14:textId="77777777" w:rsidR="00BD5A7C" w:rsidRPr="002D5CB9" w:rsidRDefault="00BD5A7C" w:rsidP="002D5CB9"/>
    <w:p w14:paraId="5C396097" w14:textId="684A0E4F" w:rsidR="00664420" w:rsidRPr="002D5CB9" w:rsidRDefault="00664420" w:rsidP="002D5CB9">
      <w:pPr>
        <w:pStyle w:val="Ttulo1"/>
      </w:pPr>
      <w:bookmarkStart w:id="33" w:name="_Toc184229966"/>
      <w:r w:rsidRPr="002D5CB9">
        <w:t>RESUELVE</w:t>
      </w:r>
      <w:bookmarkEnd w:id="33"/>
    </w:p>
    <w:p w14:paraId="203B7093" w14:textId="77777777" w:rsidR="00664420" w:rsidRPr="002D5CB9" w:rsidRDefault="00664420" w:rsidP="002D5CB9">
      <w:pPr>
        <w:ind w:right="113"/>
        <w:rPr>
          <w:rFonts w:cs="Arial"/>
          <w:b/>
          <w:szCs w:val="22"/>
        </w:rPr>
      </w:pPr>
    </w:p>
    <w:p w14:paraId="40DE562B" w14:textId="58E19B2C" w:rsidR="00FC3CE0" w:rsidRPr="002D5CB9" w:rsidRDefault="00FC3CE0" w:rsidP="002D5CB9">
      <w:pPr>
        <w:widowControl w:val="0"/>
        <w:rPr>
          <w:rFonts w:eastAsia="Calibri" w:cs="Tahoma"/>
          <w:bCs/>
          <w:szCs w:val="22"/>
          <w:lang w:eastAsia="en-US"/>
        </w:rPr>
      </w:pPr>
      <w:r w:rsidRPr="002D5CB9">
        <w:rPr>
          <w:b/>
          <w:bCs/>
        </w:rPr>
        <w:t>PRIMERO.</w:t>
      </w:r>
      <w:r w:rsidRPr="002D5CB9">
        <w:t xml:space="preserve"> </w:t>
      </w:r>
      <w:r w:rsidRPr="002D5CB9">
        <w:rPr>
          <w:rFonts w:cs="Tahoma"/>
          <w:szCs w:val="22"/>
        </w:rPr>
        <w:t>Se</w:t>
      </w:r>
      <w:r w:rsidR="004E5068" w:rsidRPr="002D5CB9">
        <w:rPr>
          <w:rFonts w:cs="Tahoma"/>
          <w:b/>
          <w:bCs/>
          <w:szCs w:val="22"/>
        </w:rPr>
        <w:t xml:space="preserve"> REVOCA</w:t>
      </w:r>
      <w:r w:rsidRPr="002D5CB9">
        <w:rPr>
          <w:rFonts w:cs="Tahoma"/>
          <w:szCs w:val="22"/>
        </w:rPr>
        <w:t xml:space="preserve"> la respuesta entregada por el </w:t>
      </w:r>
      <w:r w:rsidR="004E5068" w:rsidRPr="002D5CB9">
        <w:rPr>
          <w:rFonts w:cs="Tahoma"/>
          <w:b/>
          <w:bCs/>
          <w:szCs w:val="22"/>
        </w:rPr>
        <w:t>SUJETO OBLIGADO</w:t>
      </w:r>
      <w:r w:rsidR="004E5068" w:rsidRPr="002D5CB9">
        <w:rPr>
          <w:rFonts w:cs="Tahoma"/>
          <w:szCs w:val="22"/>
        </w:rPr>
        <w:t xml:space="preserve"> </w:t>
      </w:r>
      <w:r w:rsidR="0041385B" w:rsidRPr="002D5CB9">
        <w:rPr>
          <w:rFonts w:cs="Tahoma"/>
          <w:szCs w:val="22"/>
        </w:rPr>
        <w:t>en</w:t>
      </w:r>
      <w:r w:rsidRPr="002D5CB9">
        <w:rPr>
          <w:rFonts w:cs="Tahoma"/>
          <w:szCs w:val="22"/>
        </w:rPr>
        <w:t xml:space="preserve"> la solicitud de información </w:t>
      </w:r>
      <w:r w:rsidR="00B77B52" w:rsidRPr="002D5CB9">
        <w:rPr>
          <w:rFonts w:cs="Tahoma"/>
          <w:b/>
          <w:bCs/>
        </w:rPr>
        <w:t>00652/SMOV/IP/2024</w:t>
      </w:r>
      <w:r w:rsidRPr="002D5CB9">
        <w:rPr>
          <w:rFonts w:cs="Tahoma"/>
          <w:bCs/>
          <w:szCs w:val="22"/>
        </w:rPr>
        <w:t xml:space="preserve">, </w:t>
      </w:r>
      <w:r w:rsidRPr="002D5CB9">
        <w:rPr>
          <w:rFonts w:eastAsia="Calibri" w:cs="Tahoma"/>
          <w:bCs/>
          <w:szCs w:val="22"/>
          <w:lang w:eastAsia="en-US"/>
        </w:rPr>
        <w:t xml:space="preserve">por resultar </w:t>
      </w:r>
      <w:r w:rsidRPr="002D5CB9">
        <w:rPr>
          <w:rFonts w:eastAsia="Calibri" w:cs="Tahoma"/>
          <w:b/>
          <w:bCs/>
          <w:szCs w:val="22"/>
          <w:lang w:eastAsia="en-US"/>
        </w:rPr>
        <w:t>FUNDADAS</w:t>
      </w:r>
      <w:r w:rsidRPr="002D5CB9">
        <w:rPr>
          <w:rFonts w:eastAsia="Calibri" w:cs="Tahoma"/>
          <w:bCs/>
          <w:szCs w:val="22"/>
          <w:lang w:eastAsia="en-US"/>
        </w:rPr>
        <w:t xml:space="preserve"> las razones o motivos de inconformidad hechos valer por </w:t>
      </w:r>
      <w:r w:rsidRPr="002D5CB9">
        <w:rPr>
          <w:rFonts w:eastAsia="Calibri" w:cs="Tahoma"/>
          <w:b/>
          <w:szCs w:val="22"/>
          <w:lang w:eastAsia="en-US"/>
        </w:rPr>
        <w:t>LA PARTE RECURRENTE</w:t>
      </w:r>
      <w:r w:rsidRPr="002D5CB9">
        <w:rPr>
          <w:rFonts w:eastAsia="Calibri" w:cs="Tahoma"/>
          <w:bCs/>
          <w:szCs w:val="22"/>
          <w:lang w:eastAsia="en-US"/>
        </w:rPr>
        <w:t xml:space="preserve"> en el Recurso de Revisión </w:t>
      </w:r>
      <w:r w:rsidR="00B77B52" w:rsidRPr="002D5CB9">
        <w:rPr>
          <w:rFonts w:eastAsiaTheme="minorHAnsi" w:cstheme="minorBidi"/>
          <w:b/>
          <w:bCs/>
          <w:szCs w:val="22"/>
          <w:lang w:eastAsia="en-US"/>
        </w:rPr>
        <w:t>07062</w:t>
      </w:r>
      <w:r w:rsidR="00BB5209" w:rsidRPr="002D5CB9">
        <w:rPr>
          <w:rFonts w:eastAsiaTheme="minorHAnsi" w:cstheme="minorBidi"/>
          <w:b/>
          <w:bCs/>
          <w:szCs w:val="22"/>
          <w:lang w:eastAsia="en-US"/>
        </w:rPr>
        <w:t>/</w:t>
      </w:r>
      <w:r w:rsidRPr="002D5CB9">
        <w:rPr>
          <w:rFonts w:eastAsiaTheme="minorHAnsi" w:cstheme="minorBidi"/>
          <w:b/>
          <w:bCs/>
          <w:szCs w:val="22"/>
          <w:lang w:eastAsia="en-US"/>
        </w:rPr>
        <w:t>INFOEM/IP/RR/</w:t>
      </w:r>
      <w:r w:rsidR="00B77B52" w:rsidRPr="002D5CB9">
        <w:rPr>
          <w:rFonts w:eastAsiaTheme="minorHAnsi" w:cstheme="minorBidi"/>
          <w:b/>
          <w:bCs/>
          <w:szCs w:val="22"/>
          <w:lang w:eastAsia="en-US"/>
        </w:rPr>
        <w:t>2024</w:t>
      </w:r>
      <w:r w:rsidRPr="002D5CB9">
        <w:rPr>
          <w:rFonts w:eastAsiaTheme="minorHAnsi" w:cstheme="minorBidi"/>
          <w:szCs w:val="22"/>
          <w:lang w:eastAsia="en-US"/>
        </w:rPr>
        <w:t>,</w:t>
      </w:r>
      <w:r w:rsidRPr="002D5CB9">
        <w:rPr>
          <w:rFonts w:cs="Tahoma"/>
          <w:b/>
          <w:szCs w:val="22"/>
        </w:rPr>
        <w:t xml:space="preserve"> </w:t>
      </w:r>
      <w:r w:rsidRPr="002D5CB9">
        <w:rPr>
          <w:rFonts w:eastAsia="Calibri" w:cs="Tahoma"/>
          <w:bCs/>
          <w:szCs w:val="22"/>
          <w:lang w:eastAsia="en-US"/>
        </w:rPr>
        <w:t xml:space="preserve">en términos del considerando </w:t>
      </w:r>
      <w:r w:rsidRPr="002D5CB9">
        <w:rPr>
          <w:rFonts w:eastAsia="Calibri" w:cs="Tahoma"/>
          <w:b/>
          <w:szCs w:val="22"/>
          <w:lang w:eastAsia="en-US"/>
        </w:rPr>
        <w:t>SEGUNDO</w:t>
      </w:r>
      <w:r w:rsidRPr="002D5CB9">
        <w:rPr>
          <w:rFonts w:eastAsia="Calibri" w:cs="Tahoma"/>
          <w:bCs/>
          <w:szCs w:val="22"/>
          <w:lang w:eastAsia="en-US"/>
        </w:rPr>
        <w:t xml:space="preserve"> de la presente Resolución.</w:t>
      </w:r>
    </w:p>
    <w:p w14:paraId="78D4A482" w14:textId="77777777" w:rsidR="00FC3CE0" w:rsidRPr="002D5CB9" w:rsidRDefault="00FC3CE0" w:rsidP="002D5CB9">
      <w:pPr>
        <w:widowControl w:val="0"/>
        <w:rPr>
          <w:rFonts w:eastAsia="Calibri" w:cs="Tahoma"/>
          <w:bCs/>
          <w:szCs w:val="22"/>
          <w:lang w:eastAsia="en-US"/>
        </w:rPr>
      </w:pPr>
    </w:p>
    <w:p w14:paraId="16CF919C" w14:textId="3FFDE925" w:rsidR="00FC3CE0" w:rsidRPr="002D5CB9" w:rsidRDefault="00FC3CE0" w:rsidP="002D5CB9">
      <w:pPr>
        <w:ind w:right="-93"/>
        <w:rPr>
          <w:rFonts w:eastAsia="Calibri" w:cs="Tahoma"/>
          <w:bCs/>
          <w:szCs w:val="22"/>
          <w:lang w:eastAsia="en-US"/>
        </w:rPr>
      </w:pPr>
      <w:r w:rsidRPr="002D5CB9">
        <w:rPr>
          <w:rFonts w:eastAsia="Calibri" w:cs="Tahoma"/>
          <w:b/>
          <w:bCs/>
          <w:szCs w:val="22"/>
          <w:lang w:eastAsia="en-US"/>
        </w:rPr>
        <w:t>SEGUNDO.</w:t>
      </w:r>
      <w:r w:rsidRPr="002D5CB9">
        <w:rPr>
          <w:rFonts w:eastAsia="Calibri" w:cs="Tahoma"/>
          <w:szCs w:val="22"/>
          <w:lang w:eastAsia="es-MX"/>
        </w:rPr>
        <w:t xml:space="preserve"> Se </w:t>
      </w:r>
      <w:r w:rsidRPr="002D5CB9">
        <w:rPr>
          <w:rFonts w:eastAsia="Calibri" w:cs="Tahoma"/>
          <w:b/>
          <w:szCs w:val="22"/>
          <w:lang w:eastAsia="es-MX"/>
        </w:rPr>
        <w:t xml:space="preserve">ORDENA </w:t>
      </w:r>
      <w:r w:rsidRPr="002D5CB9">
        <w:rPr>
          <w:rFonts w:eastAsia="Calibri" w:cs="Tahoma"/>
          <w:szCs w:val="22"/>
          <w:lang w:eastAsia="es-MX"/>
        </w:rPr>
        <w:t xml:space="preserve">al </w:t>
      </w:r>
      <w:r w:rsidRPr="002D5CB9">
        <w:rPr>
          <w:rFonts w:eastAsia="Calibri" w:cs="Tahoma"/>
          <w:b/>
          <w:bCs/>
          <w:szCs w:val="22"/>
          <w:lang w:eastAsia="es-MX"/>
        </w:rPr>
        <w:t>SUJETO OBLIGADO</w:t>
      </w:r>
      <w:r w:rsidRPr="002D5CB9">
        <w:rPr>
          <w:rFonts w:eastAsia="Calibri" w:cs="Tahoma"/>
          <w:szCs w:val="22"/>
          <w:lang w:eastAsia="es-MX"/>
        </w:rPr>
        <w:t xml:space="preserve">, </w:t>
      </w:r>
      <w:r w:rsidRPr="002D5CB9">
        <w:rPr>
          <w:rFonts w:eastAsia="Calibri" w:cs="Tahoma"/>
          <w:bCs/>
          <w:szCs w:val="22"/>
          <w:lang w:eastAsia="en-US"/>
        </w:rPr>
        <w:t xml:space="preserve">a efecto de que, previa búsqueda exhaustiva y razonable de la información, entregue a través del </w:t>
      </w:r>
      <w:r w:rsidR="00233005" w:rsidRPr="002D5CB9">
        <w:rPr>
          <w:rFonts w:eastAsia="Calibri" w:cs="Tahoma"/>
          <w:b/>
          <w:bCs/>
          <w:szCs w:val="22"/>
          <w:lang w:eastAsia="en-US"/>
        </w:rPr>
        <w:t>SAIMEX</w:t>
      </w:r>
      <w:r w:rsidR="00233005" w:rsidRPr="002D5CB9">
        <w:rPr>
          <w:rFonts w:eastAsia="Calibri" w:cs="Tahoma"/>
          <w:bCs/>
          <w:szCs w:val="22"/>
          <w:lang w:eastAsia="en-US"/>
        </w:rPr>
        <w:t xml:space="preserve">, </w:t>
      </w:r>
      <w:r w:rsidR="000A5265" w:rsidRPr="002D5CB9">
        <w:rPr>
          <w:rFonts w:eastAsia="Calibri" w:cs="Tahoma"/>
          <w:bCs/>
          <w:szCs w:val="22"/>
          <w:lang w:eastAsia="en-US"/>
        </w:rPr>
        <w:t xml:space="preserve">de ser procedente en </w:t>
      </w:r>
      <w:r w:rsidRPr="002D5CB9">
        <w:rPr>
          <w:rFonts w:eastAsia="Calibri" w:cs="Tahoma"/>
          <w:b/>
          <w:bCs/>
          <w:szCs w:val="22"/>
          <w:lang w:eastAsia="en-US"/>
        </w:rPr>
        <w:lastRenderedPageBreak/>
        <w:t>versión pública</w:t>
      </w:r>
      <w:r w:rsidR="000A5265" w:rsidRPr="002D5CB9">
        <w:rPr>
          <w:rFonts w:eastAsia="Calibri" w:cs="Tahoma"/>
          <w:bCs/>
          <w:szCs w:val="22"/>
          <w:lang w:eastAsia="en-US"/>
        </w:rPr>
        <w:t>, los documentos relacionados con la contratación de la empresa para realizar Mapeo de Rutas al 17 de septiembre de 2024, consistentes en</w:t>
      </w:r>
      <w:r w:rsidRPr="002D5CB9">
        <w:rPr>
          <w:rFonts w:eastAsia="Calibri" w:cs="Tahoma"/>
          <w:bCs/>
          <w:szCs w:val="22"/>
          <w:lang w:eastAsia="en-US"/>
        </w:rPr>
        <w:t>:</w:t>
      </w:r>
    </w:p>
    <w:p w14:paraId="3CC058E2" w14:textId="3A1EA620" w:rsidR="00B77B52" w:rsidRPr="002D5CB9" w:rsidRDefault="00B77B52" w:rsidP="002D5CB9">
      <w:pPr>
        <w:ind w:right="-93"/>
        <w:rPr>
          <w:rFonts w:eastAsia="Calibri" w:cs="Tahoma"/>
          <w:bCs/>
          <w:szCs w:val="22"/>
          <w:lang w:eastAsia="en-US"/>
        </w:rPr>
      </w:pPr>
    </w:p>
    <w:p w14:paraId="2B986E6C" w14:textId="63797BED" w:rsidR="00B77B52" w:rsidRPr="002D5CB9" w:rsidRDefault="00B77B52" w:rsidP="002D5CB9">
      <w:pPr>
        <w:pStyle w:val="Puesto"/>
        <w:numPr>
          <w:ilvl w:val="0"/>
          <w:numId w:val="22"/>
        </w:numPr>
        <w:spacing w:line="360" w:lineRule="auto"/>
        <w:ind w:right="822"/>
      </w:pPr>
      <w:r w:rsidRPr="002D5CB9">
        <w:t>El expediente del pro</w:t>
      </w:r>
      <w:r w:rsidR="000A5265" w:rsidRPr="002D5CB9">
        <w:t>cedimiento para la contratación.</w:t>
      </w:r>
    </w:p>
    <w:p w14:paraId="11D0E8BF" w14:textId="77777777" w:rsidR="00B77B52" w:rsidRPr="002D5CB9" w:rsidRDefault="00B77B52" w:rsidP="002D5CB9">
      <w:pPr>
        <w:pStyle w:val="Puesto"/>
        <w:numPr>
          <w:ilvl w:val="0"/>
          <w:numId w:val="22"/>
        </w:numPr>
        <w:spacing w:line="360" w:lineRule="auto"/>
        <w:ind w:right="822"/>
      </w:pPr>
      <w:r w:rsidRPr="002D5CB9">
        <w:t>Presupuesto autorizado y ejercido.</w:t>
      </w:r>
    </w:p>
    <w:p w14:paraId="167DB41E" w14:textId="5318DD71" w:rsidR="00B77B52" w:rsidRPr="002D5CB9" w:rsidRDefault="00B77B52" w:rsidP="002D5CB9">
      <w:pPr>
        <w:pStyle w:val="Puesto"/>
        <w:numPr>
          <w:ilvl w:val="0"/>
          <w:numId w:val="22"/>
        </w:numPr>
        <w:spacing w:line="360" w:lineRule="auto"/>
        <w:ind w:right="822"/>
      </w:pPr>
      <w:r w:rsidRPr="002D5CB9">
        <w:t xml:space="preserve">El acta del comité de adquisiciones y la grabación de </w:t>
      </w:r>
      <w:r w:rsidR="000A5265" w:rsidRPr="002D5CB9">
        <w:t xml:space="preserve">la sesión. </w:t>
      </w:r>
    </w:p>
    <w:p w14:paraId="35A4B0AF" w14:textId="77777777" w:rsidR="000A5265" w:rsidRPr="002D5CB9" w:rsidRDefault="000A5265" w:rsidP="002D5CB9">
      <w:pPr>
        <w:ind w:right="-93"/>
        <w:rPr>
          <w:rFonts w:eastAsia="Calibri" w:cs="Tahoma"/>
          <w:bCs/>
          <w:szCs w:val="22"/>
          <w:lang w:eastAsia="en-US"/>
        </w:rPr>
      </w:pPr>
    </w:p>
    <w:p w14:paraId="1599BF79" w14:textId="77777777" w:rsidR="00E40A98" w:rsidRPr="002D5CB9" w:rsidRDefault="00E40A98" w:rsidP="002D5CB9">
      <w:pPr>
        <w:spacing w:line="240" w:lineRule="auto"/>
        <w:ind w:left="851" w:right="822"/>
        <w:rPr>
          <w:rFonts w:eastAsia="Calibri" w:cs="Tahoma"/>
          <w:bCs/>
          <w:i/>
          <w:szCs w:val="22"/>
          <w:lang w:eastAsia="en-US"/>
        </w:rPr>
      </w:pPr>
      <w:r w:rsidRPr="002D5CB9">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2D5CB9" w:rsidRDefault="00E40A98" w:rsidP="002D5CB9">
      <w:pPr>
        <w:spacing w:line="240" w:lineRule="auto"/>
        <w:ind w:left="851" w:right="822"/>
        <w:rPr>
          <w:rFonts w:eastAsia="Calibri" w:cs="Tahoma"/>
          <w:bCs/>
          <w:i/>
          <w:szCs w:val="22"/>
          <w:lang w:eastAsia="en-US"/>
        </w:rPr>
      </w:pPr>
    </w:p>
    <w:p w14:paraId="03BC9413" w14:textId="2156F907" w:rsidR="00E40A98" w:rsidRPr="002D5CB9" w:rsidRDefault="00E40A98" w:rsidP="002D5CB9">
      <w:pPr>
        <w:spacing w:line="240" w:lineRule="auto"/>
        <w:ind w:left="851" w:right="822"/>
        <w:rPr>
          <w:rFonts w:eastAsia="Calibri" w:cs="Tahoma"/>
          <w:bCs/>
          <w:i/>
          <w:szCs w:val="22"/>
          <w:lang w:eastAsia="en-US"/>
        </w:rPr>
      </w:pPr>
      <w:r w:rsidRPr="002D5CB9">
        <w:rPr>
          <w:rFonts w:eastAsia="Calibri" w:cs="Tahoma"/>
          <w:bCs/>
          <w:i/>
          <w:szCs w:val="22"/>
          <w:lang w:eastAsia="en-US"/>
        </w:rPr>
        <w:t>Para el caso de que no se haya</w:t>
      </w:r>
      <w:r w:rsidR="008B65D2" w:rsidRPr="002D5CB9">
        <w:rPr>
          <w:rFonts w:eastAsia="Calibri" w:cs="Tahoma"/>
          <w:bCs/>
          <w:i/>
          <w:szCs w:val="22"/>
          <w:lang w:eastAsia="en-US"/>
        </w:rPr>
        <w:t xml:space="preserve"> realizado </w:t>
      </w:r>
      <w:r w:rsidR="005A0427" w:rsidRPr="002D5CB9">
        <w:rPr>
          <w:rFonts w:eastAsia="Calibri" w:cs="Tahoma"/>
          <w:bCs/>
          <w:i/>
          <w:szCs w:val="22"/>
          <w:lang w:eastAsia="en-US"/>
        </w:rPr>
        <w:t xml:space="preserve">alguna </w:t>
      </w:r>
      <w:r w:rsidR="008B65D2" w:rsidRPr="002D5CB9">
        <w:rPr>
          <w:rFonts w:eastAsia="Calibri" w:cs="Tahoma"/>
          <w:bCs/>
          <w:i/>
          <w:szCs w:val="22"/>
          <w:lang w:eastAsia="en-US"/>
        </w:rPr>
        <w:t xml:space="preserve">contratación, </w:t>
      </w:r>
      <w:r w:rsidRPr="002D5CB9">
        <w:rPr>
          <w:rFonts w:eastAsia="Calibri" w:cs="Tahoma"/>
          <w:bCs/>
          <w:i/>
          <w:szCs w:val="22"/>
          <w:lang w:eastAsia="en-US"/>
        </w:rPr>
        <w:t xml:space="preserve">bastará con que se haga del conocimiento a </w:t>
      </w:r>
      <w:r w:rsidRPr="002D5CB9">
        <w:rPr>
          <w:rFonts w:eastAsia="Calibri" w:cs="Tahoma"/>
          <w:b/>
          <w:bCs/>
          <w:i/>
          <w:szCs w:val="22"/>
          <w:lang w:eastAsia="en-US"/>
        </w:rPr>
        <w:t>LA PARTE RECURRENTE</w:t>
      </w:r>
      <w:r w:rsidRPr="002D5CB9">
        <w:rPr>
          <w:rFonts w:eastAsia="Calibri" w:cs="Tahoma"/>
          <w:bCs/>
          <w:i/>
          <w:szCs w:val="22"/>
          <w:lang w:eastAsia="en-US"/>
        </w:rPr>
        <w:t xml:space="preserve"> haciendo entrega, únicamente de la información que si se haya generado.</w:t>
      </w:r>
    </w:p>
    <w:p w14:paraId="7E68D565" w14:textId="77777777" w:rsidR="00FC3CE0" w:rsidRPr="002D5CB9" w:rsidRDefault="00FC3CE0" w:rsidP="002D5CB9">
      <w:pPr>
        <w:ind w:right="-93"/>
        <w:rPr>
          <w:rFonts w:eastAsia="Calibri" w:cs="Tahoma"/>
          <w:bCs/>
          <w:szCs w:val="22"/>
          <w:lang w:eastAsia="en-US"/>
        </w:rPr>
      </w:pPr>
    </w:p>
    <w:p w14:paraId="3230BFEF" w14:textId="77777777" w:rsidR="009A0277" w:rsidRPr="002D5CB9" w:rsidRDefault="009A0277" w:rsidP="002D5CB9">
      <w:r w:rsidRPr="002D5CB9">
        <w:rPr>
          <w:b/>
          <w:bCs/>
        </w:rPr>
        <w:t>TERCERO.</w:t>
      </w:r>
      <w:r w:rsidRPr="002D5CB9">
        <w:t xml:space="preserve"> </w:t>
      </w:r>
      <w:r w:rsidRPr="002D5CB9">
        <w:rPr>
          <w:rFonts w:eastAsia="Palatino Linotype" w:cs="Palatino Linotype"/>
          <w:b/>
          <w:lang w:eastAsia="es-MX"/>
        </w:rPr>
        <w:t xml:space="preserve">Notifíquese </w:t>
      </w:r>
      <w:r w:rsidRPr="002D5CB9">
        <w:rPr>
          <w:szCs w:val="17"/>
          <w:lang w:eastAsia="es-ES_tradnl"/>
        </w:rPr>
        <w:t xml:space="preserve">vía </w:t>
      </w:r>
      <w:r w:rsidRPr="002D5CB9">
        <w:rPr>
          <w:rFonts w:cs="Arial"/>
        </w:rPr>
        <w:t>Sistema de Acceso a la Información Mexiquense (</w:t>
      </w:r>
      <w:r w:rsidRPr="002D5CB9">
        <w:rPr>
          <w:rFonts w:cs="Arial"/>
          <w:b/>
          <w:bCs/>
        </w:rPr>
        <w:t>SAIMEX)</w:t>
      </w:r>
      <w:r w:rsidRPr="002D5CB9">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2D5CB9" w:rsidRDefault="00FC3CE0" w:rsidP="002D5CB9"/>
    <w:p w14:paraId="16A4F4E2" w14:textId="64DF9CE2" w:rsidR="00FC3CE0" w:rsidRPr="002D5CB9" w:rsidRDefault="00FC3CE0" w:rsidP="002D5CB9">
      <w:r w:rsidRPr="002D5CB9">
        <w:rPr>
          <w:b/>
          <w:bCs/>
        </w:rPr>
        <w:t>CUARTO.</w:t>
      </w:r>
      <w:r w:rsidRPr="002D5CB9">
        <w:t xml:space="preserve"> Notifíquese a </w:t>
      </w:r>
      <w:r w:rsidRPr="002D5CB9">
        <w:rPr>
          <w:b/>
          <w:bCs/>
        </w:rPr>
        <w:t>LA PARTE RECURRENTE</w:t>
      </w:r>
      <w:r w:rsidRPr="002D5CB9">
        <w:t xml:space="preserve"> la presente resolución vía Sistema de Acceso a la Información Mexiquense </w:t>
      </w:r>
      <w:r w:rsidR="008B1E16" w:rsidRPr="002D5CB9">
        <w:t>(</w:t>
      </w:r>
      <w:r w:rsidRPr="002D5CB9">
        <w:rPr>
          <w:b/>
        </w:rPr>
        <w:t>SAIMEX</w:t>
      </w:r>
      <w:r w:rsidR="008B1E16" w:rsidRPr="002D5CB9">
        <w:t>)</w:t>
      </w:r>
      <w:r w:rsidRPr="002D5CB9">
        <w:t>.</w:t>
      </w:r>
    </w:p>
    <w:p w14:paraId="515336ED" w14:textId="77777777" w:rsidR="00FC3CE0" w:rsidRPr="002D5CB9" w:rsidRDefault="00FC3CE0" w:rsidP="002D5CB9"/>
    <w:p w14:paraId="006EFE1D" w14:textId="07CDFDE4" w:rsidR="00FC3CE0" w:rsidRPr="002D5CB9" w:rsidRDefault="00FC3CE0" w:rsidP="002D5CB9">
      <w:r w:rsidRPr="002D5CB9">
        <w:rPr>
          <w:b/>
          <w:bCs/>
        </w:rPr>
        <w:t>QUINTO</w:t>
      </w:r>
      <w:r w:rsidRPr="002D5CB9">
        <w:t>. Hágase del conocimiento a</w:t>
      </w:r>
      <w:r w:rsidR="008B1E16" w:rsidRPr="002D5CB9">
        <w:t xml:space="preserve"> </w:t>
      </w:r>
      <w:r w:rsidR="008B1E16" w:rsidRPr="002D5CB9">
        <w:rPr>
          <w:b/>
          <w:bCs/>
        </w:rPr>
        <w:t xml:space="preserve">LA PARTE </w:t>
      </w:r>
      <w:r w:rsidRPr="002D5CB9">
        <w:rPr>
          <w:b/>
          <w:bCs/>
        </w:rPr>
        <w:t>RECURRENTE</w:t>
      </w:r>
      <w:r w:rsidRPr="002D5CB9">
        <w:t xml:space="preserve"> que</w:t>
      </w:r>
      <w:r w:rsidR="008B1E16" w:rsidRPr="002D5CB9">
        <w:t>,</w:t>
      </w:r>
      <w:r w:rsidRPr="002D5CB9">
        <w:t xml:space="preserve"> de conformidad con lo establecido en el artículo 196 de la Ley de Transparencia y Acceso a la Información Pública del Estado de México y Municipios, podrá impugnar</w:t>
      </w:r>
      <w:r w:rsidR="008B1E16" w:rsidRPr="002D5CB9">
        <w:t xml:space="preserve"> la presente resolución</w:t>
      </w:r>
      <w:r w:rsidRPr="002D5CB9">
        <w:t xml:space="preserve"> vía Juicio de Amparo en los términos de las leyes aplicables.</w:t>
      </w:r>
    </w:p>
    <w:p w14:paraId="1FDCA0FE" w14:textId="77777777" w:rsidR="00163D12" w:rsidRPr="002D5CB9" w:rsidRDefault="00163D12" w:rsidP="002D5CB9"/>
    <w:p w14:paraId="43DF9D99" w14:textId="4C6E52F9" w:rsidR="00FC3CE0" w:rsidRPr="002D5CB9" w:rsidRDefault="00FC3CE0" w:rsidP="002D5CB9">
      <w:r w:rsidRPr="002D5CB9">
        <w:rPr>
          <w:b/>
          <w:bCs/>
        </w:rPr>
        <w:t>SEXTO.</w:t>
      </w:r>
      <w:r w:rsidRPr="002D5CB9">
        <w:t xml:space="preserve"> De conformidad con el artículo 198 de la Ley de Transparencia y Acceso a la Información Pública del Estado de México y Municipios, el </w:t>
      </w:r>
      <w:r w:rsidR="008B1E16" w:rsidRPr="002D5CB9">
        <w:rPr>
          <w:b/>
          <w:bCs/>
        </w:rPr>
        <w:t>SUJETO OBLIGADO</w:t>
      </w:r>
      <w:r w:rsidR="008B1E16" w:rsidRPr="002D5CB9">
        <w:t xml:space="preserve"> </w:t>
      </w:r>
      <w:r w:rsidRPr="002D5CB9">
        <w:t>podrá solicitar</w:t>
      </w:r>
      <w:r w:rsidR="008B1E16" w:rsidRPr="002D5CB9">
        <w:t xml:space="preserve"> </w:t>
      </w:r>
      <w:r w:rsidRPr="002D5CB9">
        <w:t xml:space="preserve">una ampliación de plazo </w:t>
      </w:r>
      <w:r w:rsidR="008B1E16" w:rsidRPr="002D5CB9">
        <w:t xml:space="preserve">de manera fundada y motivada, </w:t>
      </w:r>
      <w:r w:rsidRPr="002D5CB9">
        <w:t>para el cumplimiento de la presente resolución.</w:t>
      </w:r>
    </w:p>
    <w:p w14:paraId="2BC8564F" w14:textId="77777777" w:rsidR="00FC3CE0" w:rsidRPr="002D5CB9" w:rsidRDefault="00FC3CE0" w:rsidP="002D5CB9">
      <w:pPr>
        <w:ind w:right="113"/>
        <w:rPr>
          <w:rFonts w:cs="Arial"/>
          <w:b/>
          <w:szCs w:val="22"/>
        </w:rPr>
      </w:pPr>
    </w:p>
    <w:p w14:paraId="573CF2A0" w14:textId="77777777" w:rsidR="000A5265" w:rsidRPr="002D5CB9" w:rsidRDefault="000A5265" w:rsidP="002D5CB9">
      <w:pPr>
        <w:rPr>
          <w:szCs w:val="22"/>
        </w:rPr>
      </w:pPr>
      <w:r w:rsidRPr="002D5CB9">
        <w:rPr>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SEGUNDA SESIÓN ORDINARIA, CELEBRADA EL CUATRO DE DICIEMBRE DE DOS MIL VEINTICUATRO ANTE EL SECRETARIO TÉCNICO DEL PLENO, ALEXIS TAPIA RAMÍREZ.</w:t>
      </w:r>
    </w:p>
    <w:p w14:paraId="2AB73DBD" w14:textId="77777777" w:rsidR="009A0277" w:rsidRPr="002D5CB9" w:rsidRDefault="009A0277" w:rsidP="002D5CB9">
      <w:pPr>
        <w:widowControl w:val="0"/>
        <w:autoSpaceDE w:val="0"/>
        <w:autoSpaceDN w:val="0"/>
        <w:adjustRightInd w:val="0"/>
        <w:rPr>
          <w:rFonts w:eastAsiaTheme="minorEastAsia"/>
          <w:sz w:val="18"/>
          <w:szCs w:val="18"/>
          <w:lang w:val="it-IT"/>
        </w:rPr>
      </w:pPr>
      <w:r w:rsidRPr="002D5CB9">
        <w:rPr>
          <w:rFonts w:eastAsiaTheme="minorEastAsia"/>
          <w:sz w:val="18"/>
          <w:szCs w:val="18"/>
          <w:lang w:val="it-IT"/>
        </w:rPr>
        <w:t>SCMM/AGZ/DEMF/JMMO</w:t>
      </w:r>
    </w:p>
    <w:p w14:paraId="49D72DA3" w14:textId="77777777" w:rsidR="00664420" w:rsidRPr="002D5CB9" w:rsidRDefault="00664420" w:rsidP="002D5CB9">
      <w:pPr>
        <w:ind w:right="-93"/>
        <w:rPr>
          <w:rFonts w:eastAsia="Calibri" w:cs="Tahoma"/>
          <w:bCs/>
          <w:szCs w:val="22"/>
          <w:lang w:eastAsia="en-US"/>
        </w:rPr>
      </w:pPr>
    </w:p>
    <w:p w14:paraId="5EFEA0CD" w14:textId="77777777" w:rsidR="00664420" w:rsidRPr="002D5CB9" w:rsidRDefault="00664420" w:rsidP="002D5CB9">
      <w:pPr>
        <w:ind w:right="-93"/>
        <w:rPr>
          <w:rFonts w:eastAsia="Calibri" w:cs="Tahoma"/>
          <w:szCs w:val="22"/>
          <w:lang w:val="es-ES"/>
        </w:rPr>
      </w:pPr>
    </w:p>
    <w:p w14:paraId="696BC976" w14:textId="77777777" w:rsidR="00664420" w:rsidRPr="002D5CB9" w:rsidRDefault="00664420" w:rsidP="002D5CB9">
      <w:pPr>
        <w:ind w:right="-93"/>
        <w:rPr>
          <w:rFonts w:eastAsia="Calibri" w:cs="Tahoma"/>
          <w:bCs/>
          <w:szCs w:val="22"/>
          <w:lang w:val="es-ES" w:eastAsia="en-US"/>
        </w:rPr>
      </w:pPr>
    </w:p>
    <w:p w14:paraId="671CB0C5" w14:textId="77777777" w:rsidR="00664420" w:rsidRPr="002D5CB9" w:rsidRDefault="00664420" w:rsidP="002D5CB9">
      <w:pPr>
        <w:ind w:right="-93"/>
        <w:rPr>
          <w:rFonts w:eastAsia="Calibri" w:cs="Tahoma"/>
          <w:bCs/>
          <w:szCs w:val="22"/>
          <w:lang w:val="es-ES_tradnl" w:eastAsia="en-US"/>
        </w:rPr>
      </w:pPr>
    </w:p>
    <w:p w14:paraId="52B66DE7" w14:textId="77777777" w:rsidR="00664420" w:rsidRPr="002D5CB9" w:rsidRDefault="00664420" w:rsidP="002D5CB9">
      <w:pPr>
        <w:ind w:right="-93"/>
        <w:rPr>
          <w:rFonts w:eastAsia="Calibri" w:cs="Tahoma"/>
          <w:bCs/>
          <w:szCs w:val="22"/>
          <w:lang w:val="es-ES_tradnl" w:eastAsia="en-US"/>
        </w:rPr>
      </w:pPr>
    </w:p>
    <w:p w14:paraId="3BA305D1" w14:textId="77777777" w:rsidR="00664420" w:rsidRPr="002D5CB9" w:rsidRDefault="00664420" w:rsidP="002D5CB9">
      <w:pPr>
        <w:ind w:right="-93"/>
        <w:rPr>
          <w:rFonts w:eastAsia="Calibri" w:cs="Tahoma"/>
          <w:bCs/>
          <w:szCs w:val="22"/>
          <w:lang w:val="es-ES_tradnl" w:eastAsia="en-US"/>
        </w:rPr>
      </w:pPr>
    </w:p>
    <w:p w14:paraId="78230707" w14:textId="77777777" w:rsidR="00664420" w:rsidRPr="002D5CB9" w:rsidRDefault="00664420" w:rsidP="002D5CB9">
      <w:pPr>
        <w:ind w:right="-93"/>
        <w:rPr>
          <w:rFonts w:eastAsia="Calibri" w:cs="Tahoma"/>
          <w:bCs/>
          <w:szCs w:val="22"/>
          <w:lang w:val="es-ES_tradnl" w:eastAsia="en-US"/>
        </w:rPr>
      </w:pPr>
    </w:p>
    <w:p w14:paraId="72D18B28" w14:textId="77777777" w:rsidR="00664420" w:rsidRPr="002D5CB9" w:rsidRDefault="00664420" w:rsidP="002D5CB9">
      <w:pPr>
        <w:ind w:right="-93"/>
        <w:rPr>
          <w:rFonts w:eastAsia="Calibri" w:cs="Tahoma"/>
          <w:bCs/>
          <w:szCs w:val="22"/>
          <w:lang w:val="es-ES_tradnl" w:eastAsia="en-US"/>
        </w:rPr>
      </w:pPr>
    </w:p>
    <w:p w14:paraId="6BD461DC" w14:textId="77777777" w:rsidR="00664420" w:rsidRPr="002D5CB9" w:rsidRDefault="00664420" w:rsidP="002D5CB9">
      <w:pPr>
        <w:tabs>
          <w:tab w:val="center" w:pos="4568"/>
        </w:tabs>
        <w:ind w:right="-93"/>
        <w:rPr>
          <w:rFonts w:eastAsia="Calibri" w:cs="Tahoma"/>
          <w:bCs/>
          <w:szCs w:val="22"/>
          <w:lang w:eastAsia="en-US"/>
        </w:rPr>
      </w:pPr>
    </w:p>
    <w:p w14:paraId="4DBB1727" w14:textId="77777777" w:rsidR="00664420" w:rsidRPr="002D5CB9" w:rsidRDefault="00664420" w:rsidP="002D5CB9">
      <w:pPr>
        <w:tabs>
          <w:tab w:val="center" w:pos="4568"/>
        </w:tabs>
        <w:ind w:right="-93"/>
        <w:rPr>
          <w:rFonts w:eastAsia="Calibri" w:cs="Tahoma"/>
          <w:bCs/>
          <w:szCs w:val="22"/>
          <w:lang w:eastAsia="en-US"/>
        </w:rPr>
      </w:pPr>
    </w:p>
    <w:p w14:paraId="1D74121B" w14:textId="77777777" w:rsidR="00664420" w:rsidRPr="002D5CB9" w:rsidRDefault="00664420" w:rsidP="002D5CB9">
      <w:pPr>
        <w:tabs>
          <w:tab w:val="center" w:pos="4568"/>
        </w:tabs>
        <w:ind w:right="-93"/>
        <w:rPr>
          <w:rFonts w:eastAsia="Calibri" w:cs="Tahoma"/>
          <w:bCs/>
          <w:szCs w:val="22"/>
          <w:lang w:eastAsia="en-US"/>
        </w:rPr>
      </w:pPr>
    </w:p>
    <w:p w14:paraId="08E74E9C" w14:textId="77777777" w:rsidR="00664420" w:rsidRPr="002D5CB9" w:rsidRDefault="00664420" w:rsidP="002D5CB9">
      <w:pPr>
        <w:tabs>
          <w:tab w:val="center" w:pos="4568"/>
        </w:tabs>
        <w:ind w:right="-93"/>
        <w:rPr>
          <w:rFonts w:eastAsia="Calibri" w:cs="Tahoma"/>
          <w:bCs/>
          <w:szCs w:val="22"/>
          <w:lang w:eastAsia="en-US"/>
        </w:rPr>
      </w:pPr>
    </w:p>
    <w:p w14:paraId="2CBF5E03" w14:textId="77777777" w:rsidR="00664420" w:rsidRPr="002D5CB9" w:rsidRDefault="00664420" w:rsidP="002D5CB9">
      <w:pPr>
        <w:tabs>
          <w:tab w:val="center" w:pos="4568"/>
        </w:tabs>
        <w:ind w:right="-93"/>
        <w:rPr>
          <w:rFonts w:eastAsia="Calibri" w:cs="Tahoma"/>
          <w:bCs/>
          <w:szCs w:val="22"/>
          <w:lang w:eastAsia="en-US"/>
        </w:rPr>
      </w:pPr>
    </w:p>
    <w:p w14:paraId="44865A6D" w14:textId="77777777" w:rsidR="00664420" w:rsidRPr="002D5CB9" w:rsidRDefault="00664420" w:rsidP="002D5CB9">
      <w:pPr>
        <w:tabs>
          <w:tab w:val="center" w:pos="4568"/>
        </w:tabs>
        <w:ind w:right="-93"/>
        <w:rPr>
          <w:rFonts w:eastAsia="Calibri" w:cs="Tahoma"/>
          <w:bCs/>
          <w:szCs w:val="22"/>
          <w:lang w:eastAsia="en-US"/>
        </w:rPr>
      </w:pPr>
    </w:p>
    <w:p w14:paraId="7147F06B" w14:textId="77777777" w:rsidR="00664420" w:rsidRPr="002D5CB9" w:rsidRDefault="00664420" w:rsidP="002D5CB9">
      <w:pPr>
        <w:tabs>
          <w:tab w:val="center" w:pos="4568"/>
        </w:tabs>
        <w:ind w:right="-93"/>
        <w:rPr>
          <w:rFonts w:eastAsia="Calibri" w:cs="Tahoma"/>
          <w:bCs/>
          <w:szCs w:val="22"/>
          <w:lang w:eastAsia="en-US"/>
        </w:rPr>
      </w:pPr>
    </w:p>
    <w:p w14:paraId="6FDF3D7E" w14:textId="77777777" w:rsidR="00664420" w:rsidRPr="002D5CB9" w:rsidRDefault="00664420" w:rsidP="002D5CB9">
      <w:pPr>
        <w:tabs>
          <w:tab w:val="center" w:pos="4568"/>
        </w:tabs>
        <w:ind w:right="-93"/>
        <w:rPr>
          <w:rFonts w:eastAsia="Calibri" w:cs="Tahoma"/>
          <w:bCs/>
          <w:szCs w:val="22"/>
          <w:lang w:eastAsia="en-US"/>
        </w:rPr>
      </w:pPr>
    </w:p>
    <w:p w14:paraId="6246F818" w14:textId="77777777" w:rsidR="00664420" w:rsidRPr="002D5CB9" w:rsidRDefault="00664420" w:rsidP="002D5CB9">
      <w:pPr>
        <w:tabs>
          <w:tab w:val="center" w:pos="4568"/>
        </w:tabs>
        <w:ind w:right="-93"/>
        <w:rPr>
          <w:rFonts w:eastAsia="Calibri" w:cs="Tahoma"/>
          <w:bCs/>
          <w:szCs w:val="22"/>
          <w:lang w:eastAsia="en-US"/>
        </w:rPr>
      </w:pPr>
    </w:p>
    <w:p w14:paraId="57A88B28" w14:textId="77777777" w:rsidR="00664420" w:rsidRPr="002D5CB9" w:rsidRDefault="00664420" w:rsidP="002D5CB9">
      <w:pPr>
        <w:tabs>
          <w:tab w:val="center" w:pos="4568"/>
        </w:tabs>
        <w:ind w:right="-93"/>
        <w:rPr>
          <w:rFonts w:eastAsia="Calibri" w:cs="Tahoma"/>
          <w:bCs/>
          <w:szCs w:val="22"/>
          <w:lang w:eastAsia="en-US"/>
        </w:rPr>
      </w:pPr>
    </w:p>
    <w:p w14:paraId="77EF6095" w14:textId="77777777" w:rsidR="00664420" w:rsidRPr="002D5CB9" w:rsidRDefault="00664420" w:rsidP="002D5CB9">
      <w:pPr>
        <w:tabs>
          <w:tab w:val="center" w:pos="4568"/>
        </w:tabs>
        <w:ind w:right="-93"/>
        <w:rPr>
          <w:rFonts w:eastAsia="Calibri" w:cs="Tahoma"/>
          <w:bCs/>
          <w:szCs w:val="22"/>
          <w:lang w:eastAsia="en-US"/>
        </w:rPr>
      </w:pPr>
    </w:p>
    <w:p w14:paraId="35593947" w14:textId="77777777" w:rsidR="00664420" w:rsidRPr="002D5CB9" w:rsidRDefault="00664420" w:rsidP="002D5CB9">
      <w:pPr>
        <w:tabs>
          <w:tab w:val="center" w:pos="4568"/>
        </w:tabs>
        <w:ind w:right="-93"/>
        <w:rPr>
          <w:rFonts w:eastAsia="Calibri" w:cs="Tahoma"/>
          <w:bCs/>
          <w:szCs w:val="22"/>
          <w:lang w:eastAsia="en-US"/>
        </w:rPr>
      </w:pPr>
    </w:p>
    <w:p w14:paraId="3AF72A17" w14:textId="77777777" w:rsidR="00664420" w:rsidRPr="002D5CB9" w:rsidRDefault="00664420" w:rsidP="002D5CB9">
      <w:pPr>
        <w:tabs>
          <w:tab w:val="center" w:pos="4568"/>
        </w:tabs>
        <w:ind w:right="-93"/>
        <w:rPr>
          <w:rFonts w:eastAsia="Calibri" w:cs="Tahoma"/>
          <w:bCs/>
          <w:szCs w:val="22"/>
          <w:lang w:eastAsia="en-US"/>
        </w:rPr>
      </w:pPr>
    </w:p>
    <w:p w14:paraId="37169144" w14:textId="77777777" w:rsidR="00664420" w:rsidRPr="002D5CB9" w:rsidRDefault="00664420" w:rsidP="002D5CB9">
      <w:pPr>
        <w:tabs>
          <w:tab w:val="center" w:pos="4568"/>
        </w:tabs>
        <w:ind w:right="-93"/>
        <w:rPr>
          <w:rFonts w:eastAsia="Calibri" w:cs="Tahoma"/>
          <w:bCs/>
          <w:szCs w:val="22"/>
          <w:lang w:eastAsia="en-US"/>
        </w:rPr>
      </w:pPr>
    </w:p>
    <w:p w14:paraId="77CFC088" w14:textId="77777777" w:rsidR="00664420" w:rsidRPr="002D5CB9" w:rsidRDefault="00664420" w:rsidP="002D5CB9">
      <w:pPr>
        <w:tabs>
          <w:tab w:val="center" w:pos="4568"/>
        </w:tabs>
        <w:ind w:right="-93"/>
        <w:rPr>
          <w:rFonts w:eastAsia="Calibri" w:cs="Tahoma"/>
          <w:bCs/>
          <w:szCs w:val="22"/>
          <w:lang w:eastAsia="en-US"/>
        </w:rPr>
      </w:pPr>
    </w:p>
    <w:p w14:paraId="781A11A5" w14:textId="77777777" w:rsidR="00664420" w:rsidRPr="002D5CB9" w:rsidRDefault="00664420" w:rsidP="002D5CB9">
      <w:pPr>
        <w:tabs>
          <w:tab w:val="center" w:pos="4568"/>
        </w:tabs>
        <w:ind w:right="-93"/>
        <w:rPr>
          <w:rFonts w:eastAsia="Calibri" w:cs="Tahoma"/>
          <w:bCs/>
          <w:szCs w:val="22"/>
          <w:lang w:eastAsia="en-US"/>
        </w:rPr>
      </w:pPr>
    </w:p>
    <w:p w14:paraId="5B4ADFF3" w14:textId="77777777" w:rsidR="00A131AC" w:rsidRPr="002D5CB9" w:rsidRDefault="00A131AC" w:rsidP="002D5CB9"/>
    <w:sectPr w:rsidR="00A131AC" w:rsidRPr="002D5CB9"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36CE0" w14:textId="77777777" w:rsidR="00113117" w:rsidRDefault="00113117" w:rsidP="00664420">
      <w:pPr>
        <w:spacing w:line="240" w:lineRule="auto"/>
      </w:pPr>
      <w:r>
        <w:separator/>
      </w:r>
    </w:p>
  </w:endnote>
  <w:endnote w:type="continuationSeparator" w:id="0">
    <w:p w14:paraId="29F2F18B" w14:textId="77777777" w:rsidR="00113117" w:rsidRDefault="0011311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B5209" w:rsidRDefault="00BB5209">
    <w:pPr>
      <w:tabs>
        <w:tab w:val="center" w:pos="4550"/>
        <w:tab w:val="left" w:pos="5818"/>
      </w:tabs>
      <w:ind w:right="260"/>
      <w:jc w:val="right"/>
      <w:rPr>
        <w:color w:val="071320" w:themeColor="text2" w:themeShade="80"/>
        <w:sz w:val="24"/>
        <w:szCs w:val="24"/>
      </w:rPr>
    </w:pPr>
  </w:p>
  <w:p w14:paraId="1BCA7F23" w14:textId="77777777" w:rsidR="00BB5209" w:rsidRDefault="00BB520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BB5209" w:rsidRDefault="00BB520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104DC" w:rsidRPr="002104DC">
      <w:rPr>
        <w:noProof/>
        <w:color w:val="0A1D30" w:themeColor="text2" w:themeShade="BF"/>
        <w:sz w:val="24"/>
        <w:szCs w:val="24"/>
        <w:lang w:val="es-ES"/>
      </w:rPr>
      <w:t>44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104DC" w:rsidRPr="002104DC">
      <w:rPr>
        <w:noProof/>
        <w:color w:val="0A1D30" w:themeColor="text2" w:themeShade="BF"/>
        <w:sz w:val="24"/>
        <w:szCs w:val="24"/>
        <w:lang w:val="es-ES"/>
      </w:rPr>
      <w:t>46</w:t>
    </w:r>
    <w:r>
      <w:rPr>
        <w:color w:val="0A1D30" w:themeColor="text2" w:themeShade="BF"/>
        <w:sz w:val="24"/>
        <w:szCs w:val="24"/>
      </w:rPr>
      <w:fldChar w:fldCharType="end"/>
    </w:r>
  </w:p>
  <w:p w14:paraId="310E15C0" w14:textId="77777777" w:rsidR="00BB5209" w:rsidRDefault="00BB52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A6288" w14:textId="77777777" w:rsidR="00113117" w:rsidRDefault="00113117" w:rsidP="00664420">
      <w:pPr>
        <w:spacing w:line="240" w:lineRule="auto"/>
      </w:pPr>
      <w:r>
        <w:separator/>
      </w:r>
    </w:p>
  </w:footnote>
  <w:footnote w:type="continuationSeparator" w:id="0">
    <w:p w14:paraId="7B9FC6E7" w14:textId="77777777" w:rsidR="00113117" w:rsidRDefault="00113117"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B5209" w:rsidRPr="00330DA7" w14:paraId="070A4B18" w14:textId="77777777" w:rsidTr="003F35FD">
      <w:trPr>
        <w:trHeight w:val="144"/>
        <w:jc w:val="right"/>
      </w:trPr>
      <w:tc>
        <w:tcPr>
          <w:tcW w:w="2727" w:type="dxa"/>
        </w:tcPr>
        <w:p w14:paraId="62B7493A" w14:textId="77777777" w:rsidR="00BB5209" w:rsidRPr="00330DA7" w:rsidRDefault="00BB520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F026E62" w:rsidR="00BB5209" w:rsidRPr="00A90C72" w:rsidRDefault="00BB5209" w:rsidP="003F35FD">
          <w:pPr>
            <w:tabs>
              <w:tab w:val="right" w:pos="8838"/>
            </w:tabs>
            <w:ind w:left="-74" w:right="-105"/>
            <w:rPr>
              <w:rFonts w:eastAsia="Calibri" w:cs="Tahoma"/>
              <w:szCs w:val="22"/>
              <w:lang w:eastAsia="en-US"/>
            </w:rPr>
          </w:pPr>
          <w:r>
            <w:rPr>
              <w:rFonts w:eastAsia="Calibri" w:cs="Tahoma"/>
              <w:szCs w:val="22"/>
              <w:lang w:eastAsia="en-US"/>
            </w:rPr>
            <w:t>07062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r>
    <w:tr w:rsidR="00BB5209" w:rsidRPr="00330DA7" w14:paraId="4521E058" w14:textId="77777777" w:rsidTr="003F35FD">
      <w:trPr>
        <w:trHeight w:val="283"/>
        <w:jc w:val="right"/>
      </w:trPr>
      <w:tc>
        <w:tcPr>
          <w:tcW w:w="2727" w:type="dxa"/>
        </w:tcPr>
        <w:p w14:paraId="0B68C086" w14:textId="77777777" w:rsidR="00BB5209" w:rsidRPr="00330DA7" w:rsidRDefault="00BB520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251CB03" w:rsidR="00BB5209" w:rsidRPr="00952DD0" w:rsidRDefault="00BB5209" w:rsidP="003F35FD">
          <w:pPr>
            <w:tabs>
              <w:tab w:val="left" w:pos="2834"/>
              <w:tab w:val="right" w:pos="8838"/>
            </w:tabs>
            <w:ind w:left="-108" w:right="-105"/>
            <w:rPr>
              <w:rFonts w:eastAsia="Calibri" w:cs="Tahoma"/>
              <w:szCs w:val="22"/>
              <w:lang w:eastAsia="en-US"/>
            </w:rPr>
          </w:pPr>
          <w:r w:rsidRPr="00252301">
            <w:rPr>
              <w:rFonts w:eastAsia="Calibri" w:cs="Tahoma"/>
              <w:szCs w:val="22"/>
              <w:lang w:eastAsia="en-US"/>
            </w:rPr>
            <w:t>Secretaría de Movilidad</w:t>
          </w:r>
        </w:p>
      </w:tc>
    </w:tr>
    <w:tr w:rsidR="00BB5209" w:rsidRPr="00330DA7" w14:paraId="6331D9B6" w14:textId="77777777" w:rsidTr="003F35FD">
      <w:trPr>
        <w:trHeight w:val="283"/>
        <w:jc w:val="right"/>
      </w:trPr>
      <w:tc>
        <w:tcPr>
          <w:tcW w:w="2727" w:type="dxa"/>
        </w:tcPr>
        <w:p w14:paraId="3FA86BAE" w14:textId="04F1C45E" w:rsidR="00BB5209" w:rsidRPr="00330DA7" w:rsidRDefault="00BB5209"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B5209" w:rsidRPr="00EA66FC" w:rsidRDefault="00BB520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B5209" w:rsidRPr="00443C6B" w:rsidRDefault="00BB520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B5209" w:rsidRPr="00330DA7" w14:paraId="29CFF901" w14:textId="77777777" w:rsidTr="00252301">
      <w:trPr>
        <w:trHeight w:val="1435"/>
      </w:trPr>
      <w:tc>
        <w:tcPr>
          <w:tcW w:w="283" w:type="dxa"/>
          <w:shd w:val="clear" w:color="auto" w:fill="auto"/>
        </w:tcPr>
        <w:p w14:paraId="046B9F8F" w14:textId="77777777" w:rsidR="00BB5209" w:rsidRPr="00330DA7" w:rsidRDefault="00BB5209" w:rsidP="0025230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B5209" w:rsidRPr="00330DA7" w14:paraId="04F272D2" w14:textId="77777777" w:rsidTr="00252301">
            <w:trPr>
              <w:trHeight w:val="144"/>
            </w:trPr>
            <w:tc>
              <w:tcPr>
                <w:tcW w:w="2727" w:type="dxa"/>
              </w:tcPr>
              <w:p w14:paraId="2FD4DBF6" w14:textId="77777777" w:rsidR="00BB5209" w:rsidRPr="00330DA7" w:rsidRDefault="00BB5209" w:rsidP="00252301">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7B63F4D5" w:rsidR="00BB5209" w:rsidRPr="00A90C72" w:rsidRDefault="00BB5209" w:rsidP="00252301">
                <w:pPr>
                  <w:tabs>
                    <w:tab w:val="right" w:pos="8838"/>
                  </w:tabs>
                  <w:ind w:left="-74" w:right="-105"/>
                  <w:rPr>
                    <w:rFonts w:eastAsia="Calibri" w:cs="Tahoma"/>
                    <w:szCs w:val="22"/>
                    <w:lang w:eastAsia="en-US"/>
                  </w:rPr>
                </w:pPr>
                <w:r>
                  <w:rPr>
                    <w:rFonts w:eastAsia="Calibri" w:cs="Tahoma"/>
                    <w:szCs w:val="22"/>
                    <w:lang w:eastAsia="en-US"/>
                  </w:rPr>
                  <w:t>07062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BB5209" w:rsidRDefault="00BB5209" w:rsidP="00252301">
                <w:pPr>
                  <w:tabs>
                    <w:tab w:val="right" w:pos="8838"/>
                  </w:tabs>
                  <w:ind w:left="-74" w:right="-105"/>
                  <w:rPr>
                    <w:rFonts w:eastAsia="Calibri" w:cs="Tahoma"/>
                    <w:szCs w:val="22"/>
                    <w:lang w:eastAsia="en-US"/>
                  </w:rPr>
                </w:pPr>
              </w:p>
            </w:tc>
          </w:tr>
          <w:tr w:rsidR="00BB5209" w:rsidRPr="00330DA7" w14:paraId="05C58951" w14:textId="77777777" w:rsidTr="00252301">
            <w:trPr>
              <w:trHeight w:val="144"/>
            </w:trPr>
            <w:tc>
              <w:tcPr>
                <w:tcW w:w="2727" w:type="dxa"/>
              </w:tcPr>
              <w:p w14:paraId="642B9610" w14:textId="77777777" w:rsidR="00BB5209" w:rsidRPr="00330DA7" w:rsidRDefault="00BB5209" w:rsidP="00252301">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72452EC7" w:rsidR="00BB5209" w:rsidRPr="005F19B1" w:rsidRDefault="00BB5209" w:rsidP="00252301">
                <w:pPr>
                  <w:tabs>
                    <w:tab w:val="left" w:pos="3122"/>
                    <w:tab w:val="right" w:pos="8838"/>
                  </w:tabs>
                  <w:ind w:left="-105" w:right="-105"/>
                  <w:rPr>
                    <w:rFonts w:eastAsia="Calibri" w:cs="Tahoma"/>
                    <w:szCs w:val="22"/>
                    <w:lang w:eastAsia="en-US"/>
                  </w:rPr>
                </w:pPr>
              </w:p>
            </w:tc>
            <w:tc>
              <w:tcPr>
                <w:tcW w:w="3402" w:type="dxa"/>
              </w:tcPr>
              <w:p w14:paraId="73F47F53" w14:textId="77777777" w:rsidR="00BB5209" w:rsidRPr="005F19B1" w:rsidRDefault="00BB5209" w:rsidP="00252301">
                <w:pPr>
                  <w:tabs>
                    <w:tab w:val="left" w:pos="3122"/>
                    <w:tab w:val="right" w:pos="8838"/>
                  </w:tabs>
                  <w:ind w:left="-105" w:right="-105"/>
                  <w:rPr>
                    <w:rFonts w:eastAsia="Calibri" w:cs="Tahoma"/>
                    <w:szCs w:val="22"/>
                    <w:lang w:eastAsia="en-US"/>
                  </w:rPr>
                </w:pPr>
              </w:p>
            </w:tc>
          </w:tr>
          <w:bookmarkEnd w:id="2"/>
          <w:tr w:rsidR="00BB5209" w:rsidRPr="00330DA7" w14:paraId="00E6CDC1" w14:textId="77777777" w:rsidTr="00252301">
            <w:trPr>
              <w:trHeight w:val="283"/>
            </w:trPr>
            <w:tc>
              <w:tcPr>
                <w:tcW w:w="2727" w:type="dxa"/>
              </w:tcPr>
              <w:p w14:paraId="0631AD24" w14:textId="77777777" w:rsidR="00BB5209" w:rsidRPr="00330DA7" w:rsidRDefault="00BB5209" w:rsidP="0025230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B2975DE" w:rsidR="00BB5209" w:rsidRPr="00952DD0" w:rsidRDefault="00BB5209" w:rsidP="00252301">
                <w:pPr>
                  <w:tabs>
                    <w:tab w:val="left" w:pos="2834"/>
                    <w:tab w:val="right" w:pos="8838"/>
                  </w:tabs>
                  <w:ind w:left="-108" w:right="-105"/>
                  <w:rPr>
                    <w:rFonts w:eastAsia="Calibri" w:cs="Tahoma"/>
                    <w:szCs w:val="22"/>
                    <w:lang w:eastAsia="en-US"/>
                  </w:rPr>
                </w:pPr>
                <w:r w:rsidRPr="00252301">
                  <w:rPr>
                    <w:rFonts w:eastAsia="Calibri" w:cs="Tahoma"/>
                    <w:szCs w:val="22"/>
                    <w:lang w:eastAsia="en-US"/>
                  </w:rPr>
                  <w:t>Secretaría de Movilidad</w:t>
                </w:r>
              </w:p>
            </w:tc>
            <w:tc>
              <w:tcPr>
                <w:tcW w:w="3402" w:type="dxa"/>
              </w:tcPr>
              <w:p w14:paraId="3A7DA319" w14:textId="77777777" w:rsidR="00BB5209" w:rsidRPr="00A90C72" w:rsidRDefault="00BB5209" w:rsidP="00252301">
                <w:pPr>
                  <w:tabs>
                    <w:tab w:val="left" w:pos="2834"/>
                    <w:tab w:val="right" w:pos="8838"/>
                  </w:tabs>
                  <w:ind w:left="-108" w:right="-105"/>
                  <w:rPr>
                    <w:rFonts w:eastAsia="Calibri" w:cs="Tahoma"/>
                    <w:szCs w:val="22"/>
                    <w:lang w:eastAsia="en-US"/>
                  </w:rPr>
                </w:pPr>
              </w:p>
            </w:tc>
          </w:tr>
          <w:tr w:rsidR="00BB5209" w:rsidRPr="00330DA7" w14:paraId="0F6CD8D2" w14:textId="77777777" w:rsidTr="00252301">
            <w:trPr>
              <w:trHeight w:val="283"/>
            </w:trPr>
            <w:tc>
              <w:tcPr>
                <w:tcW w:w="2727" w:type="dxa"/>
              </w:tcPr>
              <w:p w14:paraId="31700628" w14:textId="385332FF" w:rsidR="00BB5209" w:rsidRPr="00330DA7" w:rsidRDefault="00BB5209" w:rsidP="00252301">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B5209" w:rsidRPr="00EA66FC" w:rsidRDefault="00BB5209" w:rsidP="0025230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B5209" w:rsidRPr="00330DA7" w:rsidRDefault="00BB5209" w:rsidP="00252301">
                <w:pPr>
                  <w:tabs>
                    <w:tab w:val="right" w:pos="8838"/>
                  </w:tabs>
                  <w:ind w:left="-108" w:right="-105"/>
                  <w:rPr>
                    <w:rFonts w:eastAsia="Calibri" w:cs="Tahoma"/>
                    <w:szCs w:val="22"/>
                    <w:lang w:eastAsia="en-US"/>
                  </w:rPr>
                </w:pPr>
              </w:p>
            </w:tc>
          </w:tr>
        </w:tbl>
        <w:p w14:paraId="5DC6AC61" w14:textId="77777777" w:rsidR="00BB5209" w:rsidRPr="00330DA7" w:rsidRDefault="00BB5209" w:rsidP="00252301">
          <w:pPr>
            <w:tabs>
              <w:tab w:val="right" w:pos="8838"/>
            </w:tabs>
            <w:ind w:left="-28"/>
            <w:rPr>
              <w:rFonts w:ascii="Arial" w:eastAsia="Calibri" w:hAnsi="Arial" w:cs="Arial"/>
              <w:b/>
              <w:szCs w:val="22"/>
              <w:lang w:eastAsia="en-US"/>
            </w:rPr>
          </w:pPr>
        </w:p>
      </w:tc>
    </w:tr>
  </w:tbl>
  <w:p w14:paraId="2A906731" w14:textId="77777777" w:rsidR="00BB5209" w:rsidRPr="00765661" w:rsidRDefault="00113117" w:rsidP="0025230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E65AD9"/>
    <w:multiLevelType w:val="hybridMultilevel"/>
    <w:tmpl w:val="08645E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BA60E1"/>
    <w:multiLevelType w:val="hybridMultilevel"/>
    <w:tmpl w:val="D80AB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8651D4"/>
    <w:multiLevelType w:val="hybridMultilevel"/>
    <w:tmpl w:val="E4E84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9871CD"/>
    <w:multiLevelType w:val="hybridMultilevel"/>
    <w:tmpl w:val="3942ED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A4F4F67"/>
    <w:multiLevelType w:val="hybridMultilevel"/>
    <w:tmpl w:val="C1E4BCE6"/>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0"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2" w15:restartNumberingAfterBreak="0">
    <w:nsid w:val="34317490"/>
    <w:multiLevelType w:val="hybridMultilevel"/>
    <w:tmpl w:val="66DA59C0"/>
    <w:lvl w:ilvl="0" w:tplc="F5C4018E">
      <w:start w:val="1"/>
      <w:numFmt w:val="decimal"/>
      <w:lvlText w:val="%1."/>
      <w:lvlJc w:val="left"/>
      <w:pPr>
        <w:ind w:left="502"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353660"/>
    <w:multiLevelType w:val="hybridMultilevel"/>
    <w:tmpl w:val="8A6E0B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E41C06"/>
    <w:multiLevelType w:val="hybridMultilevel"/>
    <w:tmpl w:val="C340F37A"/>
    <w:lvl w:ilvl="0" w:tplc="FFFFFFFF">
      <w:start w:val="1"/>
      <w:numFmt w:val="decimal"/>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3DF5ABD"/>
    <w:multiLevelType w:val="hybridMultilevel"/>
    <w:tmpl w:val="C12422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72405C"/>
    <w:multiLevelType w:val="hybridMultilevel"/>
    <w:tmpl w:val="8A6E0B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2976642"/>
    <w:multiLevelType w:val="hybridMultilevel"/>
    <w:tmpl w:val="8A6E0B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8"/>
  </w:num>
  <w:num w:numId="3">
    <w:abstractNumId w:val="21"/>
  </w:num>
  <w:num w:numId="4">
    <w:abstractNumId w:val="6"/>
  </w:num>
  <w:num w:numId="5">
    <w:abstractNumId w:val="2"/>
  </w:num>
  <w:num w:numId="6">
    <w:abstractNumId w:val="23"/>
  </w:num>
  <w:num w:numId="7">
    <w:abstractNumId w:val="16"/>
  </w:num>
  <w:num w:numId="8">
    <w:abstractNumId w:val="4"/>
  </w:num>
  <w:num w:numId="9">
    <w:abstractNumId w:val="15"/>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10"/>
  </w:num>
  <w:num w:numId="13">
    <w:abstractNumId w:val="0"/>
  </w:num>
  <w:num w:numId="14">
    <w:abstractNumId w:val="3"/>
  </w:num>
  <w:num w:numId="15">
    <w:abstractNumId w:val="17"/>
  </w:num>
  <w:num w:numId="16">
    <w:abstractNumId w:val="9"/>
  </w:num>
  <w:num w:numId="17">
    <w:abstractNumId w:val="5"/>
  </w:num>
  <w:num w:numId="18">
    <w:abstractNumId w:val="19"/>
  </w:num>
  <w:num w:numId="19">
    <w:abstractNumId w:val="22"/>
  </w:num>
  <w:num w:numId="20">
    <w:abstractNumId w:val="8"/>
  </w:num>
  <w:num w:numId="21">
    <w:abstractNumId w:val="13"/>
  </w:num>
  <w:num w:numId="22">
    <w:abstractNumId w:val="20"/>
  </w:num>
  <w:num w:numId="23">
    <w:abstractNumId w:val="7"/>
  </w:num>
  <w:num w:numId="24">
    <w:abstractNumId w:val="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4446F"/>
    <w:rsid w:val="00045D3A"/>
    <w:rsid w:val="00057B2D"/>
    <w:rsid w:val="00080071"/>
    <w:rsid w:val="000A5265"/>
    <w:rsid w:val="000C2C2B"/>
    <w:rsid w:val="000D0D67"/>
    <w:rsid w:val="000E09C4"/>
    <w:rsid w:val="00113117"/>
    <w:rsid w:val="0011350D"/>
    <w:rsid w:val="00141876"/>
    <w:rsid w:val="0014207B"/>
    <w:rsid w:val="00150C49"/>
    <w:rsid w:val="00163D12"/>
    <w:rsid w:val="00192F50"/>
    <w:rsid w:val="001A58B3"/>
    <w:rsid w:val="001C7688"/>
    <w:rsid w:val="001D30FA"/>
    <w:rsid w:val="001F3515"/>
    <w:rsid w:val="001F5C8C"/>
    <w:rsid w:val="002104DC"/>
    <w:rsid w:val="00233005"/>
    <w:rsid w:val="00233F17"/>
    <w:rsid w:val="00252301"/>
    <w:rsid w:val="0025234D"/>
    <w:rsid w:val="0028012B"/>
    <w:rsid w:val="002A3601"/>
    <w:rsid w:val="002B7C6F"/>
    <w:rsid w:val="002D09E0"/>
    <w:rsid w:val="002D111C"/>
    <w:rsid w:val="002D5CB9"/>
    <w:rsid w:val="002F4BBA"/>
    <w:rsid w:val="00301C62"/>
    <w:rsid w:val="00302476"/>
    <w:rsid w:val="00316182"/>
    <w:rsid w:val="00331F35"/>
    <w:rsid w:val="00335CDF"/>
    <w:rsid w:val="00337F4D"/>
    <w:rsid w:val="00362A11"/>
    <w:rsid w:val="003A40C1"/>
    <w:rsid w:val="003B5D3E"/>
    <w:rsid w:val="003E4F98"/>
    <w:rsid w:val="003F35FD"/>
    <w:rsid w:val="003F6FBF"/>
    <w:rsid w:val="0041385B"/>
    <w:rsid w:val="00441BFA"/>
    <w:rsid w:val="00442068"/>
    <w:rsid w:val="00454FBD"/>
    <w:rsid w:val="004B49D1"/>
    <w:rsid w:val="004C3E58"/>
    <w:rsid w:val="004D7CD8"/>
    <w:rsid w:val="004E5068"/>
    <w:rsid w:val="004F7A00"/>
    <w:rsid w:val="00523F48"/>
    <w:rsid w:val="005365FA"/>
    <w:rsid w:val="0056254E"/>
    <w:rsid w:val="005723CB"/>
    <w:rsid w:val="00575400"/>
    <w:rsid w:val="005A0427"/>
    <w:rsid w:val="005A6CF2"/>
    <w:rsid w:val="005B18AF"/>
    <w:rsid w:val="005B3C80"/>
    <w:rsid w:val="005D5A50"/>
    <w:rsid w:val="005F2D5D"/>
    <w:rsid w:val="005F5301"/>
    <w:rsid w:val="005F65B7"/>
    <w:rsid w:val="006067C7"/>
    <w:rsid w:val="00606A65"/>
    <w:rsid w:val="006159AD"/>
    <w:rsid w:val="00646436"/>
    <w:rsid w:val="00664420"/>
    <w:rsid w:val="006A646A"/>
    <w:rsid w:val="006B10B0"/>
    <w:rsid w:val="006E25BC"/>
    <w:rsid w:val="006E6BBC"/>
    <w:rsid w:val="006F7768"/>
    <w:rsid w:val="00717E59"/>
    <w:rsid w:val="00775BFC"/>
    <w:rsid w:val="00777CE9"/>
    <w:rsid w:val="007A3459"/>
    <w:rsid w:val="007B6074"/>
    <w:rsid w:val="007D1C55"/>
    <w:rsid w:val="007D29D7"/>
    <w:rsid w:val="007D317F"/>
    <w:rsid w:val="007F5D06"/>
    <w:rsid w:val="007F7EDC"/>
    <w:rsid w:val="00805A6E"/>
    <w:rsid w:val="008336E7"/>
    <w:rsid w:val="0086479B"/>
    <w:rsid w:val="00864862"/>
    <w:rsid w:val="00865CF4"/>
    <w:rsid w:val="00876DBC"/>
    <w:rsid w:val="0088050B"/>
    <w:rsid w:val="008A6003"/>
    <w:rsid w:val="008A6F88"/>
    <w:rsid w:val="008B1E16"/>
    <w:rsid w:val="008B65D2"/>
    <w:rsid w:val="008C21E6"/>
    <w:rsid w:val="008E1316"/>
    <w:rsid w:val="008E1CA9"/>
    <w:rsid w:val="00902EE5"/>
    <w:rsid w:val="00910FD2"/>
    <w:rsid w:val="00914AF7"/>
    <w:rsid w:val="00931437"/>
    <w:rsid w:val="00953430"/>
    <w:rsid w:val="00970EB3"/>
    <w:rsid w:val="009718B6"/>
    <w:rsid w:val="00995AF9"/>
    <w:rsid w:val="009A0277"/>
    <w:rsid w:val="009A2D78"/>
    <w:rsid w:val="009A7C10"/>
    <w:rsid w:val="009B2945"/>
    <w:rsid w:val="009E2DEE"/>
    <w:rsid w:val="009E4934"/>
    <w:rsid w:val="009F4E20"/>
    <w:rsid w:val="009F797C"/>
    <w:rsid w:val="00A131AC"/>
    <w:rsid w:val="00A16D85"/>
    <w:rsid w:val="00A21A20"/>
    <w:rsid w:val="00A36A99"/>
    <w:rsid w:val="00A53315"/>
    <w:rsid w:val="00A70EF0"/>
    <w:rsid w:val="00A734A6"/>
    <w:rsid w:val="00A9208D"/>
    <w:rsid w:val="00AA6EA9"/>
    <w:rsid w:val="00AC2DB8"/>
    <w:rsid w:val="00AC3CA0"/>
    <w:rsid w:val="00AE3DA7"/>
    <w:rsid w:val="00AF03C4"/>
    <w:rsid w:val="00AF6A29"/>
    <w:rsid w:val="00B0366C"/>
    <w:rsid w:val="00B22A80"/>
    <w:rsid w:val="00B341AD"/>
    <w:rsid w:val="00B77B52"/>
    <w:rsid w:val="00B94487"/>
    <w:rsid w:val="00BA55A8"/>
    <w:rsid w:val="00BA7B9C"/>
    <w:rsid w:val="00BB2ABF"/>
    <w:rsid w:val="00BB5209"/>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A06A1"/>
    <w:rsid w:val="00CB7E9A"/>
    <w:rsid w:val="00CC1D4B"/>
    <w:rsid w:val="00CD0B92"/>
    <w:rsid w:val="00CE29D3"/>
    <w:rsid w:val="00CF2D8B"/>
    <w:rsid w:val="00CF378F"/>
    <w:rsid w:val="00CF5D32"/>
    <w:rsid w:val="00CF7586"/>
    <w:rsid w:val="00D036D3"/>
    <w:rsid w:val="00D05B17"/>
    <w:rsid w:val="00D2790D"/>
    <w:rsid w:val="00D51ECD"/>
    <w:rsid w:val="00D6170E"/>
    <w:rsid w:val="00D8275E"/>
    <w:rsid w:val="00D91CB4"/>
    <w:rsid w:val="00DB1C09"/>
    <w:rsid w:val="00DC2048"/>
    <w:rsid w:val="00DE1133"/>
    <w:rsid w:val="00E16BF5"/>
    <w:rsid w:val="00E37A3F"/>
    <w:rsid w:val="00E37D3C"/>
    <w:rsid w:val="00E40A98"/>
    <w:rsid w:val="00E62E6A"/>
    <w:rsid w:val="00E83EF5"/>
    <w:rsid w:val="00E90C82"/>
    <w:rsid w:val="00E9335C"/>
    <w:rsid w:val="00ED1C1E"/>
    <w:rsid w:val="00EE2AF2"/>
    <w:rsid w:val="00EF165E"/>
    <w:rsid w:val="00F07EE6"/>
    <w:rsid w:val="00F33CC8"/>
    <w:rsid w:val="00F4481C"/>
    <w:rsid w:val="00F75D23"/>
    <w:rsid w:val="00FA35AF"/>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styleId="Textoennegrita">
    <w:name w:val="Strong"/>
    <w:uiPriority w:val="22"/>
    <w:qFormat/>
    <w:rsid w:val="00995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0177">
      <w:bodyDiv w:val="1"/>
      <w:marLeft w:val="0"/>
      <w:marRight w:val="0"/>
      <w:marTop w:val="0"/>
      <w:marBottom w:val="0"/>
      <w:divBdr>
        <w:top w:val="none" w:sz="0" w:space="0" w:color="auto"/>
        <w:left w:val="none" w:sz="0" w:space="0" w:color="auto"/>
        <w:bottom w:val="none" w:sz="0" w:space="0" w:color="auto"/>
        <w:right w:val="none" w:sz="0" w:space="0" w:color="auto"/>
      </w:divBdr>
    </w:div>
    <w:div w:id="462237007">
      <w:bodyDiv w:val="1"/>
      <w:marLeft w:val="0"/>
      <w:marRight w:val="0"/>
      <w:marTop w:val="0"/>
      <w:marBottom w:val="0"/>
      <w:divBdr>
        <w:top w:val="none" w:sz="0" w:space="0" w:color="auto"/>
        <w:left w:val="none" w:sz="0" w:space="0" w:color="auto"/>
        <w:bottom w:val="none" w:sz="0" w:space="0" w:color="auto"/>
        <w:right w:val="none" w:sz="0" w:space="0" w:color="auto"/>
      </w:divBdr>
    </w:div>
    <w:div w:id="1264799000">
      <w:bodyDiv w:val="1"/>
      <w:marLeft w:val="0"/>
      <w:marRight w:val="0"/>
      <w:marTop w:val="0"/>
      <w:marBottom w:val="0"/>
      <w:divBdr>
        <w:top w:val="none" w:sz="0" w:space="0" w:color="auto"/>
        <w:left w:val="none" w:sz="0" w:space="0" w:color="auto"/>
        <w:bottom w:val="none" w:sz="0" w:space="0" w:color="auto"/>
        <w:right w:val="none" w:sz="0" w:space="0" w:color="auto"/>
      </w:divBdr>
    </w:div>
    <w:div w:id="170540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omawww.sat.gob.mx/factura/Paginas/solicita_requisitos.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18CFCD43-7EE8-4276-BEAD-9CF309EE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11627</Words>
  <Characters>63949</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2024-12-06T16:08:00Z</cp:lastPrinted>
  <dcterms:created xsi:type="dcterms:W3CDTF">2024-12-03T19:15:00Z</dcterms:created>
  <dcterms:modified xsi:type="dcterms:W3CDTF">2024-12-06T16:08:00Z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