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3E68" w:rsidRDefault="00453E68">
      <w:pPr>
        <w:widowControl w:val="0"/>
        <w:pBdr>
          <w:top w:val="nil"/>
          <w:left w:val="nil"/>
          <w:bottom w:val="nil"/>
          <w:right w:val="nil"/>
          <w:between w:val="nil"/>
        </w:pBdr>
        <w:spacing w:line="276" w:lineRule="auto"/>
      </w:pPr>
    </w:p>
    <w:p w:rsidR="00453E68" w:rsidRPr="00820CD7" w:rsidRDefault="00FB3022">
      <w:pPr>
        <w:spacing w:before="240" w:after="240" w:line="360" w:lineRule="auto"/>
        <w:jc w:val="both"/>
        <w:rPr>
          <w:rFonts w:ascii="Palatino Linotype" w:eastAsia="Palatino Linotype" w:hAnsi="Palatino Linotype" w:cs="Palatino Linotype"/>
          <w:b/>
        </w:rPr>
      </w:pPr>
      <w:r w:rsidRPr="00820CD7">
        <w:rPr>
          <w:rFonts w:ascii="Palatino Linotype" w:eastAsia="Palatino Linotype" w:hAnsi="Palatino Linotype" w:cs="Palatino Linotype"/>
        </w:rPr>
        <w:t xml:space="preserve">Resolución del Pleno del Instituto de Transparencia, Acceso a la Información Pública y Protección de Datos Personales del Estado de México y Municipios, con domicilio en Metepec, Estado de México; de fecha </w:t>
      </w:r>
      <w:r w:rsidR="001C4904" w:rsidRPr="00820CD7">
        <w:rPr>
          <w:rFonts w:ascii="Palatino Linotype" w:eastAsia="Palatino Linotype" w:hAnsi="Palatino Linotype" w:cs="Palatino Linotype"/>
        </w:rPr>
        <w:t xml:space="preserve">veintisiete </w:t>
      </w:r>
      <w:r w:rsidR="00DF513A" w:rsidRPr="00820CD7">
        <w:rPr>
          <w:rFonts w:ascii="Palatino Linotype" w:eastAsia="Palatino Linotype" w:hAnsi="Palatino Linotype" w:cs="Palatino Linotype"/>
        </w:rPr>
        <w:t xml:space="preserve">(27) </w:t>
      </w:r>
      <w:r w:rsidR="001C4904" w:rsidRPr="00820CD7">
        <w:rPr>
          <w:rFonts w:ascii="Palatino Linotype" w:eastAsia="Palatino Linotype" w:hAnsi="Palatino Linotype" w:cs="Palatino Linotype"/>
        </w:rPr>
        <w:t>de noviembre</w:t>
      </w:r>
      <w:r w:rsidRPr="00820CD7">
        <w:rPr>
          <w:rFonts w:ascii="Palatino Linotype" w:eastAsia="Palatino Linotype" w:hAnsi="Palatino Linotype" w:cs="Palatino Linotype"/>
        </w:rPr>
        <w:t xml:space="preserve"> de dos mil veinticuatro</w:t>
      </w:r>
      <w:r w:rsidRPr="00820CD7">
        <w:rPr>
          <w:rFonts w:ascii="Palatino Linotype" w:eastAsia="Palatino Linotype" w:hAnsi="Palatino Linotype" w:cs="Palatino Linotype"/>
          <w:b/>
        </w:rPr>
        <w:t>.</w:t>
      </w:r>
    </w:p>
    <w:p w:rsidR="00453E68" w:rsidRPr="00820CD7" w:rsidRDefault="00FB3022">
      <w:pPr>
        <w:spacing w:before="240" w:after="240" w:line="360" w:lineRule="auto"/>
        <w:jc w:val="both"/>
        <w:rPr>
          <w:rFonts w:ascii="Palatino Linotype" w:eastAsia="Palatino Linotype" w:hAnsi="Palatino Linotype" w:cs="Palatino Linotype"/>
        </w:rPr>
      </w:pPr>
      <w:r w:rsidRPr="00820CD7">
        <w:rPr>
          <w:rFonts w:ascii="Palatino Linotype" w:eastAsia="Palatino Linotype" w:hAnsi="Palatino Linotype" w:cs="Palatino Linotype"/>
          <w:b/>
        </w:rPr>
        <w:t xml:space="preserve">VISTOS </w:t>
      </w:r>
      <w:r w:rsidRPr="00820CD7">
        <w:rPr>
          <w:rFonts w:ascii="Palatino Linotype" w:eastAsia="Palatino Linotype" w:hAnsi="Palatino Linotype" w:cs="Palatino Linotype"/>
        </w:rPr>
        <w:t xml:space="preserve">el expediente electrónico formado con motivo del recurso de revisión </w:t>
      </w:r>
      <w:r w:rsidR="001C4904" w:rsidRPr="00820CD7">
        <w:rPr>
          <w:rFonts w:ascii="Palatino Linotype" w:eastAsia="Palatino Linotype" w:hAnsi="Palatino Linotype" w:cs="Palatino Linotype"/>
          <w:b/>
          <w:bCs/>
        </w:rPr>
        <w:t>06503/INFOEM/IP/RR/2024</w:t>
      </w:r>
      <w:r w:rsidRPr="00820CD7">
        <w:rPr>
          <w:rFonts w:ascii="Palatino Linotype" w:eastAsia="Palatino Linotype" w:hAnsi="Palatino Linotype" w:cs="Palatino Linotype"/>
        </w:rPr>
        <w:t xml:space="preserve">, promovido por </w:t>
      </w:r>
      <w:r w:rsidR="00820CD7" w:rsidRPr="00820CD7">
        <w:rPr>
          <w:rFonts w:ascii="Palatino Linotype" w:eastAsia="Palatino Linotype" w:hAnsi="Palatino Linotype" w:cs="Palatino Linotype"/>
          <w:b/>
          <w:bCs/>
        </w:rPr>
        <w:t>XXXXXXXXXXXXX</w:t>
      </w:r>
      <w:r w:rsidRPr="00820CD7">
        <w:rPr>
          <w:rFonts w:ascii="Palatino Linotype" w:eastAsia="Palatino Linotype" w:hAnsi="Palatino Linotype" w:cs="Palatino Linotype"/>
        </w:rPr>
        <w:t>, en adelante</w:t>
      </w:r>
      <w:r w:rsidRPr="00820CD7">
        <w:rPr>
          <w:rFonts w:ascii="Palatino Linotype" w:eastAsia="Palatino Linotype" w:hAnsi="Palatino Linotype" w:cs="Palatino Linotype"/>
          <w:b/>
        </w:rPr>
        <w:t xml:space="preserve"> LA RECURRENTE, </w:t>
      </w:r>
      <w:r w:rsidRPr="00820CD7">
        <w:rPr>
          <w:rFonts w:ascii="Palatino Linotype" w:eastAsia="Palatino Linotype" w:hAnsi="Palatino Linotype" w:cs="Palatino Linotype"/>
        </w:rPr>
        <w:t>en contra de la respuesta</w:t>
      </w:r>
      <w:r w:rsidR="001C4904" w:rsidRPr="00820CD7">
        <w:rPr>
          <w:rFonts w:ascii="Palatino Linotype" w:eastAsia="Palatino Linotype" w:hAnsi="Palatino Linotype" w:cs="Palatino Linotype"/>
        </w:rPr>
        <w:t xml:space="preserve"> de la </w:t>
      </w:r>
      <w:r w:rsidR="001C4904" w:rsidRPr="00820CD7">
        <w:rPr>
          <w:rFonts w:ascii="Palatino Linotype" w:eastAsia="Palatino Linotype" w:hAnsi="Palatino Linotype" w:cs="Palatino Linotype"/>
          <w:b/>
        </w:rPr>
        <w:t>Secretaría de Finanzas</w:t>
      </w:r>
      <w:r w:rsidRPr="00820CD7">
        <w:rPr>
          <w:rFonts w:ascii="Palatino Linotype" w:eastAsia="Palatino Linotype" w:hAnsi="Palatino Linotype" w:cs="Palatino Linotype"/>
          <w:b/>
        </w:rPr>
        <w:t xml:space="preserve">, </w:t>
      </w:r>
      <w:r w:rsidRPr="00820CD7">
        <w:rPr>
          <w:rFonts w:ascii="Palatino Linotype" w:eastAsia="Palatino Linotype" w:hAnsi="Palatino Linotype" w:cs="Palatino Linotype"/>
        </w:rPr>
        <w:t xml:space="preserve">en lo sucesivo el </w:t>
      </w:r>
      <w:r w:rsidRPr="00820CD7">
        <w:rPr>
          <w:rFonts w:ascii="Palatino Linotype" w:eastAsia="Palatino Linotype" w:hAnsi="Palatino Linotype" w:cs="Palatino Linotype"/>
          <w:b/>
        </w:rPr>
        <w:t xml:space="preserve">SUJETO OBLIGADO, </w:t>
      </w:r>
      <w:r w:rsidRPr="00820CD7">
        <w:rPr>
          <w:rFonts w:ascii="Palatino Linotype" w:eastAsia="Palatino Linotype" w:hAnsi="Palatino Linotype" w:cs="Palatino Linotype"/>
        </w:rPr>
        <w:t>se procede a dictar la presente resolución, con base en los siguientes:</w:t>
      </w:r>
    </w:p>
    <w:p w:rsidR="00453E68" w:rsidRPr="00820CD7" w:rsidRDefault="00FB3022">
      <w:pPr>
        <w:pStyle w:val="Ttulo1"/>
        <w:jc w:val="center"/>
      </w:pPr>
      <w:bookmarkStart w:id="0" w:name="_heading=h.gjdgxs" w:colFirst="0" w:colLast="0"/>
      <w:bookmarkEnd w:id="0"/>
      <w:r w:rsidRPr="00820CD7">
        <w:t>A N T E C E D E N T E S</w:t>
      </w:r>
    </w:p>
    <w:p w:rsidR="00453E68" w:rsidRPr="00820CD7" w:rsidRDefault="00453E68"/>
    <w:p w:rsidR="00453E68" w:rsidRPr="00820CD7" w:rsidRDefault="00FB3022">
      <w:pPr>
        <w:numPr>
          <w:ilvl w:val="0"/>
          <w:numId w:val="8"/>
        </w:numPr>
        <w:pBdr>
          <w:top w:val="nil"/>
          <w:left w:val="nil"/>
          <w:bottom w:val="nil"/>
          <w:right w:val="nil"/>
          <w:between w:val="nil"/>
        </w:pBdr>
        <w:tabs>
          <w:tab w:val="left" w:pos="426"/>
        </w:tabs>
        <w:spacing w:before="240" w:after="240" w:line="360" w:lineRule="auto"/>
        <w:ind w:left="0" w:firstLine="0"/>
        <w:jc w:val="both"/>
        <w:rPr>
          <w:color w:val="000000"/>
        </w:rPr>
      </w:pPr>
      <w:r w:rsidRPr="00820CD7">
        <w:rPr>
          <w:rFonts w:ascii="Palatino Linotype" w:eastAsia="Palatino Linotype" w:hAnsi="Palatino Linotype" w:cs="Palatino Linotype"/>
          <w:color w:val="000000"/>
        </w:rPr>
        <w:t xml:space="preserve">El </w:t>
      </w:r>
      <w:r w:rsidR="001C4904" w:rsidRPr="00820CD7">
        <w:rPr>
          <w:rFonts w:ascii="Palatino Linotype" w:eastAsia="Palatino Linotype" w:hAnsi="Palatino Linotype" w:cs="Palatino Linotype"/>
          <w:b/>
          <w:color w:val="000000"/>
        </w:rPr>
        <w:t>veinticuatro de septiembre de dos mil veinticuatro</w:t>
      </w:r>
      <w:r w:rsidR="001C4904" w:rsidRPr="00820CD7">
        <w:rPr>
          <w:rFonts w:ascii="Palatino Linotype" w:eastAsia="Palatino Linotype" w:hAnsi="Palatino Linotype" w:cs="Palatino Linotype"/>
          <w:color w:val="000000"/>
        </w:rPr>
        <w:t>, la</w:t>
      </w:r>
      <w:r w:rsidRPr="00820CD7">
        <w:rPr>
          <w:rFonts w:ascii="Palatino Linotype" w:eastAsia="Palatino Linotype" w:hAnsi="Palatino Linotype" w:cs="Palatino Linotype"/>
          <w:color w:val="000000"/>
        </w:rPr>
        <w:t xml:space="preserve"> </w:t>
      </w:r>
      <w:r w:rsidRPr="00820CD7">
        <w:rPr>
          <w:rFonts w:ascii="Palatino Linotype" w:eastAsia="Palatino Linotype" w:hAnsi="Palatino Linotype" w:cs="Palatino Linotype"/>
          <w:b/>
          <w:color w:val="000000"/>
        </w:rPr>
        <w:t>PARTICULAR</w:t>
      </w:r>
      <w:r w:rsidRPr="00820CD7">
        <w:rPr>
          <w:rFonts w:ascii="Palatino Linotype" w:eastAsia="Palatino Linotype" w:hAnsi="Palatino Linotype" w:cs="Palatino Linotype"/>
          <w:color w:val="000000"/>
        </w:rPr>
        <w:t xml:space="preserve"> presentó</w:t>
      </w:r>
      <w:r w:rsidRPr="00820CD7">
        <w:rPr>
          <w:rFonts w:ascii="Palatino Linotype" w:eastAsia="Palatino Linotype" w:hAnsi="Palatino Linotype" w:cs="Palatino Linotype"/>
          <w:b/>
          <w:color w:val="000000"/>
        </w:rPr>
        <w:t xml:space="preserve"> </w:t>
      </w:r>
      <w:r w:rsidRPr="00820CD7">
        <w:rPr>
          <w:rFonts w:ascii="Palatino Linotype" w:eastAsia="Palatino Linotype" w:hAnsi="Palatino Linotype" w:cs="Palatino Linotype"/>
          <w:color w:val="000000"/>
        </w:rPr>
        <w:t>a través del Sistema de Acceso a la Información Mexiquense (SAIMEX),</w:t>
      </w:r>
      <w:r w:rsidRPr="00820CD7">
        <w:rPr>
          <w:rFonts w:ascii="Palatino Linotype" w:eastAsia="Palatino Linotype" w:hAnsi="Palatino Linotype" w:cs="Palatino Linotype"/>
          <w:b/>
          <w:color w:val="000000"/>
        </w:rPr>
        <w:t xml:space="preserve"> </w:t>
      </w:r>
      <w:r w:rsidRPr="00820CD7">
        <w:rPr>
          <w:rFonts w:ascii="Palatino Linotype" w:eastAsia="Palatino Linotype" w:hAnsi="Palatino Linotype" w:cs="Palatino Linotype"/>
          <w:color w:val="000000"/>
        </w:rPr>
        <w:t xml:space="preserve">la solicitud de información pública registrada con el número </w:t>
      </w:r>
      <w:r w:rsidR="001C4904" w:rsidRPr="00820CD7">
        <w:rPr>
          <w:rFonts w:ascii="Palatino Linotype" w:eastAsia="Palatino Linotype" w:hAnsi="Palatino Linotype" w:cs="Palatino Linotype"/>
          <w:b/>
          <w:bCs/>
          <w:color w:val="000000"/>
        </w:rPr>
        <w:t> 00702/SF/IP/2024</w:t>
      </w:r>
      <w:r w:rsidRPr="00820CD7">
        <w:rPr>
          <w:rFonts w:ascii="Palatino Linotype" w:eastAsia="Palatino Linotype" w:hAnsi="Palatino Linotype" w:cs="Palatino Linotype"/>
          <w:b/>
          <w:color w:val="000000"/>
        </w:rPr>
        <w:t>,</w:t>
      </w:r>
      <w:r w:rsidRPr="00820CD7">
        <w:rPr>
          <w:rFonts w:ascii="Palatino Linotype" w:eastAsia="Palatino Linotype" w:hAnsi="Palatino Linotype" w:cs="Palatino Linotype"/>
          <w:color w:val="000000"/>
        </w:rPr>
        <w:t xml:space="preserve"> en la que requirió:</w:t>
      </w:r>
    </w:p>
    <w:p w:rsidR="00453E68" w:rsidRPr="00820CD7" w:rsidRDefault="00FB3022" w:rsidP="001C4904">
      <w:pPr>
        <w:spacing w:line="276" w:lineRule="auto"/>
        <w:ind w:left="567" w:right="567"/>
        <w:jc w:val="both"/>
        <w:rPr>
          <w:rFonts w:ascii="Palatino Linotype" w:eastAsia="Palatino Linotype" w:hAnsi="Palatino Linotype" w:cs="Palatino Linotype"/>
          <w:i/>
          <w:color w:val="000000"/>
        </w:rPr>
      </w:pPr>
      <w:r w:rsidRPr="00820CD7">
        <w:rPr>
          <w:rFonts w:ascii="Palatino Linotype" w:eastAsia="Palatino Linotype" w:hAnsi="Palatino Linotype" w:cs="Palatino Linotype"/>
          <w:i/>
          <w:color w:val="000000"/>
        </w:rPr>
        <w:t>“</w:t>
      </w:r>
      <w:r w:rsidR="001C4904" w:rsidRPr="00820CD7">
        <w:rPr>
          <w:rFonts w:ascii="Palatino Linotype" w:eastAsia="Palatino Linotype" w:hAnsi="Palatino Linotype" w:cs="Palatino Linotype"/>
          <w:i/>
          <w:color w:val="000000"/>
        </w:rPr>
        <w:t xml:space="preserve">Se solicitan las actividades enlistadas con horario desde su nuevo ingreso hasta la fecha de la C. Luz María Cuero Hernández, de conformidad con las funciones establecidas en el Manual General de Organización de la Secretaría de Finanzas, validadas por </w:t>
      </w:r>
      <w:proofErr w:type="spellStart"/>
      <w:r w:rsidR="001C4904" w:rsidRPr="00820CD7">
        <w:rPr>
          <w:rFonts w:ascii="Palatino Linotype" w:eastAsia="Palatino Linotype" w:hAnsi="Palatino Linotype" w:cs="Palatino Linotype"/>
          <w:i/>
          <w:color w:val="000000"/>
        </w:rPr>
        <w:t>le</w:t>
      </w:r>
      <w:proofErr w:type="spellEnd"/>
      <w:r w:rsidR="001C4904" w:rsidRPr="00820CD7">
        <w:rPr>
          <w:rFonts w:ascii="Palatino Linotype" w:eastAsia="Palatino Linotype" w:hAnsi="Palatino Linotype" w:cs="Palatino Linotype"/>
          <w:i/>
          <w:color w:val="000000"/>
        </w:rPr>
        <w:t xml:space="preserve"> Director General de Evaluación del Desempeño Institucional.”</w:t>
      </w:r>
      <w:r w:rsidRPr="00820CD7">
        <w:rPr>
          <w:rFonts w:ascii="Palatino Linotype" w:eastAsia="Palatino Linotype" w:hAnsi="Palatino Linotype" w:cs="Palatino Linotype"/>
          <w:color w:val="000000"/>
        </w:rPr>
        <w:t>(Sic).</w:t>
      </w:r>
    </w:p>
    <w:p w:rsidR="00453E68" w:rsidRPr="00820CD7" w:rsidRDefault="00453E68">
      <w:pPr>
        <w:pBdr>
          <w:top w:val="nil"/>
          <w:left w:val="nil"/>
          <w:bottom w:val="nil"/>
          <w:right w:val="nil"/>
          <w:between w:val="nil"/>
        </w:pBdr>
        <w:spacing w:line="360" w:lineRule="auto"/>
        <w:ind w:right="567"/>
        <w:rPr>
          <w:rFonts w:ascii="Palatino Linotype" w:eastAsia="Palatino Linotype" w:hAnsi="Palatino Linotype" w:cs="Palatino Linotype"/>
          <w:i/>
          <w:color w:val="000000"/>
        </w:rPr>
      </w:pPr>
    </w:p>
    <w:p w:rsidR="00453E68" w:rsidRPr="00820CD7" w:rsidRDefault="00FB3022">
      <w:pPr>
        <w:numPr>
          <w:ilvl w:val="0"/>
          <w:numId w:val="1"/>
        </w:numPr>
        <w:pBdr>
          <w:top w:val="nil"/>
          <w:left w:val="nil"/>
          <w:bottom w:val="nil"/>
          <w:right w:val="nil"/>
          <w:between w:val="nil"/>
        </w:pBdr>
        <w:tabs>
          <w:tab w:val="left" w:pos="426"/>
          <w:tab w:val="left" w:pos="567"/>
        </w:tabs>
        <w:spacing w:line="360" w:lineRule="auto"/>
        <w:jc w:val="both"/>
        <w:rPr>
          <w:rFonts w:ascii="Palatino Linotype" w:eastAsia="Palatino Linotype" w:hAnsi="Palatino Linotype" w:cs="Palatino Linotype"/>
          <w:color w:val="000000"/>
        </w:rPr>
      </w:pPr>
      <w:r w:rsidRPr="00820CD7">
        <w:rPr>
          <w:rFonts w:ascii="Palatino Linotype" w:eastAsia="Palatino Linotype" w:hAnsi="Palatino Linotype" w:cs="Palatino Linotype"/>
          <w:color w:val="000000"/>
        </w:rPr>
        <w:t>Se señaló como modalidad de entrega de la información</w:t>
      </w:r>
      <w:r w:rsidRPr="00820CD7">
        <w:rPr>
          <w:rFonts w:ascii="Palatino Linotype" w:eastAsia="Palatino Linotype" w:hAnsi="Palatino Linotype" w:cs="Palatino Linotype"/>
          <w:b/>
          <w:color w:val="000000"/>
        </w:rPr>
        <w:t>:</w:t>
      </w:r>
      <w:r w:rsidRPr="00820CD7">
        <w:rPr>
          <w:rFonts w:ascii="Palatino Linotype" w:eastAsia="Palatino Linotype" w:hAnsi="Palatino Linotype" w:cs="Palatino Linotype"/>
          <w:color w:val="000000"/>
        </w:rPr>
        <w:t xml:space="preserve"> </w:t>
      </w:r>
      <w:r w:rsidRPr="00820CD7">
        <w:rPr>
          <w:rFonts w:ascii="Palatino Linotype" w:eastAsia="Palatino Linotype" w:hAnsi="Palatino Linotype" w:cs="Palatino Linotype"/>
          <w:b/>
          <w:color w:val="000000"/>
        </w:rPr>
        <w:t>A través del SAIMEX.</w:t>
      </w:r>
    </w:p>
    <w:p w:rsidR="00453E68" w:rsidRPr="00820CD7" w:rsidRDefault="00453E68">
      <w:pPr>
        <w:pBdr>
          <w:top w:val="nil"/>
          <w:left w:val="nil"/>
          <w:bottom w:val="nil"/>
          <w:right w:val="nil"/>
          <w:between w:val="nil"/>
        </w:pBdr>
        <w:tabs>
          <w:tab w:val="left" w:pos="426"/>
          <w:tab w:val="left" w:pos="567"/>
        </w:tabs>
        <w:spacing w:line="360" w:lineRule="auto"/>
        <w:ind w:left="720"/>
        <w:jc w:val="both"/>
        <w:rPr>
          <w:rFonts w:ascii="Palatino Linotype" w:eastAsia="Palatino Linotype" w:hAnsi="Palatino Linotype" w:cs="Palatino Linotype"/>
          <w:color w:val="000000"/>
        </w:rPr>
      </w:pPr>
    </w:p>
    <w:p w:rsidR="001C4904" w:rsidRPr="00820CD7" w:rsidRDefault="00FB3022" w:rsidP="001C4904">
      <w:pPr>
        <w:numPr>
          <w:ilvl w:val="0"/>
          <w:numId w:val="8"/>
        </w:numPr>
        <w:pBdr>
          <w:top w:val="nil"/>
          <w:left w:val="nil"/>
          <w:bottom w:val="nil"/>
          <w:right w:val="nil"/>
          <w:between w:val="nil"/>
        </w:pBdr>
        <w:tabs>
          <w:tab w:val="left" w:pos="426"/>
        </w:tabs>
        <w:spacing w:line="360" w:lineRule="auto"/>
        <w:ind w:left="0" w:firstLine="0"/>
        <w:jc w:val="both"/>
        <w:rPr>
          <w:rFonts w:ascii="Palatino Linotype" w:eastAsia="Palatino Linotype" w:hAnsi="Palatino Linotype" w:cs="Palatino Linotype"/>
          <w:sz w:val="22"/>
          <w:szCs w:val="22"/>
        </w:rPr>
      </w:pPr>
      <w:r w:rsidRPr="00820CD7">
        <w:rPr>
          <w:rFonts w:ascii="Palatino Linotype" w:eastAsia="Palatino Linotype" w:hAnsi="Palatino Linotype" w:cs="Palatino Linotype"/>
          <w:color w:val="000000"/>
        </w:rPr>
        <w:t xml:space="preserve">El </w:t>
      </w:r>
      <w:r w:rsidR="001C4904" w:rsidRPr="00820CD7">
        <w:rPr>
          <w:rFonts w:ascii="Palatino Linotype" w:eastAsia="Palatino Linotype" w:hAnsi="Palatino Linotype" w:cs="Palatino Linotype"/>
          <w:b/>
          <w:color w:val="000000"/>
        </w:rPr>
        <w:t>nueve de octubre de dos mil veinticuatro</w:t>
      </w:r>
      <w:r w:rsidRPr="00820CD7">
        <w:rPr>
          <w:rFonts w:ascii="Palatino Linotype" w:eastAsia="Palatino Linotype" w:hAnsi="Palatino Linotype" w:cs="Palatino Linotype"/>
          <w:b/>
          <w:color w:val="000000"/>
        </w:rPr>
        <w:t xml:space="preserve">, </w:t>
      </w:r>
      <w:r w:rsidRPr="00820CD7">
        <w:rPr>
          <w:rFonts w:ascii="Palatino Linotype" w:eastAsia="Palatino Linotype" w:hAnsi="Palatino Linotype" w:cs="Palatino Linotype"/>
          <w:color w:val="000000"/>
        </w:rPr>
        <w:t xml:space="preserve">el </w:t>
      </w:r>
      <w:r w:rsidRPr="00820CD7">
        <w:rPr>
          <w:rFonts w:ascii="Palatino Linotype" w:eastAsia="Palatino Linotype" w:hAnsi="Palatino Linotype" w:cs="Palatino Linotype"/>
          <w:b/>
          <w:color w:val="000000"/>
        </w:rPr>
        <w:t>SUJETO OBLIGADO,</w:t>
      </w:r>
      <w:r w:rsidRPr="00820CD7">
        <w:rPr>
          <w:rFonts w:ascii="Palatino Linotype" w:eastAsia="Palatino Linotype" w:hAnsi="Palatino Linotype" w:cs="Palatino Linotype"/>
          <w:color w:val="000000"/>
        </w:rPr>
        <w:t xml:space="preserve"> dio respuesta a la solicitud de i</w:t>
      </w:r>
      <w:r w:rsidR="001C4904" w:rsidRPr="00820CD7">
        <w:rPr>
          <w:rFonts w:ascii="Palatino Linotype" w:eastAsia="Palatino Linotype" w:hAnsi="Palatino Linotype" w:cs="Palatino Linotype"/>
          <w:color w:val="000000"/>
        </w:rPr>
        <w:t>nformación a través del archivos siguientes:</w:t>
      </w:r>
    </w:p>
    <w:p w:rsidR="001C4904" w:rsidRPr="00820CD7" w:rsidRDefault="001C4904" w:rsidP="001C4904">
      <w:pPr>
        <w:pBdr>
          <w:top w:val="nil"/>
          <w:left w:val="nil"/>
          <w:bottom w:val="nil"/>
          <w:right w:val="nil"/>
          <w:between w:val="nil"/>
        </w:pBdr>
        <w:tabs>
          <w:tab w:val="left" w:pos="426"/>
        </w:tabs>
        <w:spacing w:line="360" w:lineRule="auto"/>
        <w:jc w:val="both"/>
        <w:rPr>
          <w:rFonts w:ascii="Palatino Linotype" w:eastAsia="Palatino Linotype" w:hAnsi="Palatino Linotype" w:cs="Palatino Linotype"/>
          <w:color w:val="000000"/>
        </w:rPr>
      </w:pPr>
    </w:p>
    <w:p w:rsidR="001C4904" w:rsidRPr="00820CD7" w:rsidRDefault="00AF69CC" w:rsidP="001C4904">
      <w:pPr>
        <w:pStyle w:val="Prrafodelista"/>
        <w:numPr>
          <w:ilvl w:val="0"/>
          <w:numId w:val="9"/>
        </w:numPr>
        <w:pBdr>
          <w:top w:val="nil"/>
          <w:left w:val="nil"/>
          <w:bottom w:val="nil"/>
          <w:right w:val="nil"/>
          <w:between w:val="nil"/>
        </w:pBdr>
        <w:tabs>
          <w:tab w:val="left" w:pos="426"/>
        </w:tabs>
        <w:spacing w:line="360" w:lineRule="auto"/>
        <w:jc w:val="both"/>
        <w:rPr>
          <w:rFonts w:ascii="Palatino Linotype" w:eastAsia="Palatino Linotype" w:hAnsi="Palatino Linotype" w:cs="Palatino Linotype"/>
        </w:rPr>
      </w:pPr>
      <w:hyperlink r:id="rId8" w:tgtFrame="_blank" w:history="1">
        <w:r w:rsidR="001C4904" w:rsidRPr="00820CD7">
          <w:rPr>
            <w:rStyle w:val="Hipervnculo"/>
            <w:rFonts w:ascii="Palatino Linotype" w:eastAsia="Palatino Linotype" w:hAnsi="Palatino Linotype" w:cs="Palatino Linotype"/>
            <w:b/>
            <w:bCs/>
            <w:color w:val="auto"/>
            <w:u w:val="none"/>
          </w:rPr>
          <w:t>LIGA SOLICITUD 702.docx</w:t>
        </w:r>
      </w:hyperlink>
    </w:p>
    <w:p w:rsidR="001C4904" w:rsidRPr="00820CD7" w:rsidRDefault="00123A4D" w:rsidP="00FB3022">
      <w:pPr>
        <w:pBdr>
          <w:top w:val="nil"/>
          <w:left w:val="nil"/>
          <w:bottom w:val="nil"/>
          <w:right w:val="nil"/>
          <w:between w:val="nil"/>
        </w:pBdr>
        <w:tabs>
          <w:tab w:val="left" w:pos="426"/>
        </w:tabs>
        <w:spacing w:line="276" w:lineRule="auto"/>
        <w:jc w:val="both"/>
        <w:rPr>
          <w:rFonts w:ascii="Palatino Linotype" w:eastAsia="Palatino Linotype" w:hAnsi="Palatino Linotype" w:cs="Palatino Linotype"/>
        </w:rPr>
      </w:pPr>
      <w:r w:rsidRPr="00820CD7">
        <w:rPr>
          <w:rFonts w:ascii="Palatino Linotype" w:eastAsia="Palatino Linotype" w:hAnsi="Palatino Linotype" w:cs="Palatino Linotype"/>
        </w:rPr>
        <w:t xml:space="preserve">Documento en formato Word, del que se desprende la liga </w:t>
      </w:r>
      <w:hyperlink r:id="rId9" w:history="1">
        <w:r w:rsidRPr="00820CD7">
          <w:rPr>
            <w:rStyle w:val="Hipervnculo"/>
            <w:rFonts w:ascii="Palatino Linotype" w:eastAsia="Palatino Linotype" w:hAnsi="Palatino Linotype" w:cs="Palatino Linotype"/>
            <w:lang w:val="es-MX"/>
          </w:rPr>
          <w:t>https://legislacion.edomex.gob.mx/sites/legislacion.edomex.gob.mx/files/files/pdf/gct/2021/mar261.pdf</w:t>
        </w:r>
      </w:hyperlink>
    </w:p>
    <w:p w:rsidR="00FB3022" w:rsidRPr="00820CD7" w:rsidRDefault="00FB3022" w:rsidP="00FB3022">
      <w:pPr>
        <w:pBdr>
          <w:top w:val="nil"/>
          <w:left w:val="nil"/>
          <w:bottom w:val="nil"/>
          <w:right w:val="nil"/>
          <w:between w:val="nil"/>
        </w:pBdr>
        <w:tabs>
          <w:tab w:val="left" w:pos="426"/>
        </w:tabs>
        <w:spacing w:line="276" w:lineRule="auto"/>
        <w:jc w:val="both"/>
        <w:rPr>
          <w:rFonts w:ascii="Palatino Linotype" w:eastAsia="Palatino Linotype" w:hAnsi="Palatino Linotype" w:cs="Palatino Linotype"/>
          <w:u w:val="single"/>
          <w:lang w:val="es-MX"/>
        </w:rPr>
      </w:pPr>
    </w:p>
    <w:p w:rsidR="001C4904" w:rsidRPr="00820CD7" w:rsidRDefault="00AF69CC" w:rsidP="001C4904">
      <w:pPr>
        <w:pStyle w:val="Prrafodelista"/>
        <w:numPr>
          <w:ilvl w:val="0"/>
          <w:numId w:val="9"/>
        </w:numPr>
        <w:pBdr>
          <w:top w:val="nil"/>
          <w:left w:val="nil"/>
          <w:bottom w:val="nil"/>
          <w:right w:val="nil"/>
          <w:between w:val="nil"/>
        </w:pBdr>
        <w:tabs>
          <w:tab w:val="left" w:pos="426"/>
        </w:tabs>
        <w:spacing w:line="360" w:lineRule="auto"/>
        <w:jc w:val="both"/>
        <w:rPr>
          <w:rFonts w:ascii="Palatino Linotype" w:eastAsia="Palatino Linotype" w:hAnsi="Palatino Linotype" w:cs="Palatino Linotype"/>
        </w:rPr>
      </w:pPr>
      <w:hyperlink r:id="rId10" w:tgtFrame="_blank" w:history="1">
        <w:r w:rsidR="001C4904" w:rsidRPr="00820CD7">
          <w:rPr>
            <w:rStyle w:val="Hipervnculo"/>
            <w:rFonts w:ascii="Palatino Linotype" w:eastAsia="Palatino Linotype" w:hAnsi="Palatino Linotype" w:cs="Palatino Linotype"/>
            <w:b/>
            <w:bCs/>
            <w:color w:val="auto"/>
            <w:u w:val="none"/>
          </w:rPr>
          <w:t>00702 SSPYP.pdf</w:t>
        </w:r>
      </w:hyperlink>
    </w:p>
    <w:p w:rsidR="00123A4D" w:rsidRPr="00820CD7" w:rsidRDefault="00123A4D" w:rsidP="00FB3022">
      <w:pPr>
        <w:pBdr>
          <w:top w:val="nil"/>
          <w:left w:val="nil"/>
          <w:bottom w:val="nil"/>
          <w:right w:val="nil"/>
          <w:between w:val="nil"/>
        </w:pBdr>
        <w:tabs>
          <w:tab w:val="left" w:pos="426"/>
        </w:tabs>
        <w:spacing w:line="276" w:lineRule="auto"/>
        <w:jc w:val="both"/>
        <w:rPr>
          <w:rFonts w:ascii="Palatino Linotype" w:eastAsia="Palatino Linotype" w:hAnsi="Palatino Linotype" w:cs="Palatino Linotype"/>
        </w:rPr>
      </w:pPr>
      <w:r w:rsidRPr="00820CD7">
        <w:rPr>
          <w:rFonts w:ascii="Palatino Linotype" w:eastAsia="Palatino Linotype" w:hAnsi="Palatino Linotype" w:cs="Palatino Linotype"/>
        </w:rPr>
        <w:t>Oficio de cuatro de octubre de dos mil veinticuatro, firmado por el Servidor Público Habilitado Suplente de la Subsecretaría de Planeación y Presupuesto en donde informó lo siguiente:</w:t>
      </w:r>
    </w:p>
    <w:p w:rsidR="00FB3022" w:rsidRPr="00820CD7" w:rsidRDefault="00FB3022" w:rsidP="00FB3022">
      <w:pPr>
        <w:pBdr>
          <w:top w:val="nil"/>
          <w:left w:val="nil"/>
          <w:bottom w:val="nil"/>
          <w:right w:val="nil"/>
          <w:between w:val="nil"/>
        </w:pBdr>
        <w:tabs>
          <w:tab w:val="left" w:pos="426"/>
        </w:tabs>
        <w:spacing w:line="276" w:lineRule="auto"/>
        <w:jc w:val="both"/>
        <w:rPr>
          <w:rFonts w:ascii="Palatino Linotype" w:eastAsia="Palatino Linotype" w:hAnsi="Palatino Linotype" w:cs="Palatino Linotype"/>
        </w:rPr>
      </w:pPr>
    </w:p>
    <w:p w:rsidR="00123A4D" w:rsidRPr="00820CD7" w:rsidRDefault="00123A4D" w:rsidP="00FB3022">
      <w:pPr>
        <w:pBdr>
          <w:top w:val="nil"/>
          <w:left w:val="nil"/>
          <w:bottom w:val="nil"/>
          <w:right w:val="nil"/>
          <w:between w:val="nil"/>
        </w:pBdr>
        <w:tabs>
          <w:tab w:val="left" w:pos="426"/>
        </w:tabs>
        <w:spacing w:line="276" w:lineRule="auto"/>
        <w:jc w:val="both"/>
        <w:rPr>
          <w:rFonts w:ascii="Palatino Linotype" w:eastAsia="Palatino Linotype" w:hAnsi="Palatino Linotype" w:cs="Palatino Linotype"/>
          <w:i/>
        </w:rPr>
      </w:pPr>
      <w:r w:rsidRPr="00820CD7">
        <w:rPr>
          <w:rFonts w:ascii="Palatino Linotype" w:eastAsia="Palatino Linotype" w:hAnsi="Palatino Linotype" w:cs="Palatino Linotype"/>
        </w:rPr>
        <w:t>“…</w:t>
      </w:r>
      <w:r w:rsidRPr="00820CD7">
        <w:rPr>
          <w:rFonts w:ascii="Palatino Linotype" w:eastAsia="Palatino Linotype" w:hAnsi="Palatino Linotype" w:cs="Palatino Linotype"/>
          <w:i/>
        </w:rPr>
        <w:t xml:space="preserve">las funciones con las que cuenta la persona al frente de la </w:t>
      </w:r>
      <w:r w:rsidR="00FB3022" w:rsidRPr="00820CD7">
        <w:rPr>
          <w:rFonts w:ascii="Palatino Linotype" w:eastAsia="Palatino Linotype" w:hAnsi="Palatino Linotype" w:cs="Palatino Linotype"/>
          <w:i/>
        </w:rPr>
        <w:t>Dirección</w:t>
      </w:r>
      <w:r w:rsidRPr="00820CD7">
        <w:rPr>
          <w:rFonts w:ascii="Palatino Linotype" w:eastAsia="Palatino Linotype" w:hAnsi="Palatino Linotype" w:cs="Palatino Linotype"/>
          <w:i/>
        </w:rPr>
        <w:t xml:space="preserve"> de Monitoreo y </w:t>
      </w:r>
      <w:r w:rsidR="00FB3022" w:rsidRPr="00820CD7">
        <w:rPr>
          <w:rFonts w:ascii="Palatino Linotype" w:eastAsia="Palatino Linotype" w:hAnsi="Palatino Linotype" w:cs="Palatino Linotype"/>
          <w:i/>
        </w:rPr>
        <w:t>Evaluación</w:t>
      </w:r>
      <w:r w:rsidRPr="00820CD7">
        <w:rPr>
          <w:rFonts w:ascii="Palatino Linotype" w:eastAsia="Palatino Linotype" w:hAnsi="Palatino Linotype" w:cs="Palatino Linotype"/>
          <w:i/>
        </w:rPr>
        <w:t xml:space="preserve"> se encuentran contenidas en el Manual General de Organización de la Secretar</w:t>
      </w:r>
      <w:r w:rsidR="00FB3022" w:rsidRPr="00820CD7">
        <w:rPr>
          <w:rFonts w:ascii="Palatino Linotype" w:eastAsia="Palatino Linotype" w:hAnsi="Palatino Linotype" w:cs="Palatino Linotype"/>
          <w:i/>
        </w:rPr>
        <w:t>í</w:t>
      </w:r>
      <w:r w:rsidRPr="00820CD7">
        <w:rPr>
          <w:rFonts w:ascii="Palatino Linotype" w:eastAsia="Palatino Linotype" w:hAnsi="Palatino Linotype" w:cs="Palatino Linotype"/>
          <w:i/>
        </w:rPr>
        <w:t>a de Finanzas</w:t>
      </w:r>
      <w:r w:rsidR="00FB3022" w:rsidRPr="00820CD7">
        <w:rPr>
          <w:rFonts w:ascii="Palatino Linotype" w:eastAsia="Palatino Linotype" w:hAnsi="Palatino Linotype" w:cs="Palatino Linotype"/>
          <w:i/>
        </w:rPr>
        <w:t xml:space="preserve"> mismo que puede consultarse en la siguiente liga electrónica: </w:t>
      </w:r>
    </w:p>
    <w:p w:rsidR="001C4904" w:rsidRPr="00820CD7" w:rsidRDefault="00FB3022" w:rsidP="00FB3022">
      <w:pPr>
        <w:jc w:val="both"/>
        <w:rPr>
          <w:rFonts w:ascii="Palatino Linotype" w:eastAsia="Palatino Linotype" w:hAnsi="Palatino Linotype" w:cs="Palatino Linotype"/>
        </w:rPr>
      </w:pPr>
      <w:r w:rsidRPr="00820CD7">
        <w:rPr>
          <w:rFonts w:eastAsia="Palatino Linotype"/>
          <w:noProof/>
          <w:lang w:val="es-MX" w:eastAsia="es-MX"/>
        </w:rPr>
        <w:drawing>
          <wp:inline distT="0" distB="0" distL="0" distR="0" wp14:anchorId="144CF997" wp14:editId="433C5CC4">
            <wp:extent cx="5581015" cy="321310"/>
            <wp:effectExtent l="0" t="0" r="635" b="254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581015" cy="321310"/>
                    </a:xfrm>
                    <a:prstGeom prst="rect">
                      <a:avLst/>
                    </a:prstGeom>
                  </pic:spPr>
                </pic:pic>
              </a:graphicData>
            </a:graphic>
          </wp:inline>
        </w:drawing>
      </w:r>
    </w:p>
    <w:p w:rsidR="001C4904" w:rsidRPr="00820CD7" w:rsidRDefault="001C4904" w:rsidP="001C4904">
      <w:pPr>
        <w:pStyle w:val="Prrafodelista"/>
        <w:pBdr>
          <w:top w:val="nil"/>
          <w:left w:val="nil"/>
          <w:bottom w:val="nil"/>
          <w:right w:val="nil"/>
          <w:between w:val="nil"/>
        </w:pBdr>
        <w:tabs>
          <w:tab w:val="left" w:pos="426"/>
        </w:tabs>
        <w:spacing w:line="360" w:lineRule="auto"/>
        <w:jc w:val="both"/>
        <w:rPr>
          <w:rFonts w:ascii="Palatino Linotype" w:eastAsia="Palatino Linotype" w:hAnsi="Palatino Linotype" w:cs="Palatino Linotype"/>
        </w:rPr>
      </w:pPr>
    </w:p>
    <w:p w:rsidR="001C4904" w:rsidRPr="00820CD7" w:rsidRDefault="00AF69CC" w:rsidP="001C4904">
      <w:pPr>
        <w:pStyle w:val="Prrafodelista"/>
        <w:numPr>
          <w:ilvl w:val="0"/>
          <w:numId w:val="9"/>
        </w:numPr>
        <w:pBdr>
          <w:top w:val="nil"/>
          <w:left w:val="nil"/>
          <w:bottom w:val="nil"/>
          <w:right w:val="nil"/>
          <w:between w:val="nil"/>
        </w:pBdr>
        <w:tabs>
          <w:tab w:val="left" w:pos="426"/>
        </w:tabs>
        <w:spacing w:line="360" w:lineRule="auto"/>
        <w:jc w:val="both"/>
        <w:rPr>
          <w:rFonts w:ascii="Palatino Linotype" w:eastAsia="Palatino Linotype" w:hAnsi="Palatino Linotype" w:cs="Palatino Linotype"/>
        </w:rPr>
      </w:pPr>
      <w:hyperlink r:id="rId12" w:tgtFrame="_blank" w:history="1">
        <w:r w:rsidR="001C4904" w:rsidRPr="00820CD7">
          <w:rPr>
            <w:rStyle w:val="Hipervnculo"/>
            <w:rFonts w:ascii="Palatino Linotype" w:eastAsia="Palatino Linotype" w:hAnsi="Palatino Linotype" w:cs="Palatino Linotype"/>
            <w:b/>
            <w:bCs/>
            <w:color w:val="auto"/>
            <w:u w:val="none"/>
          </w:rPr>
          <w:t>00702 SOLICITANTE.pdf</w:t>
        </w:r>
      </w:hyperlink>
    </w:p>
    <w:p w:rsidR="001C4904" w:rsidRPr="00820CD7" w:rsidRDefault="00FB3022" w:rsidP="00FB3022">
      <w:pPr>
        <w:pBdr>
          <w:top w:val="nil"/>
          <w:left w:val="nil"/>
          <w:bottom w:val="nil"/>
          <w:right w:val="nil"/>
          <w:between w:val="nil"/>
        </w:pBdr>
        <w:tabs>
          <w:tab w:val="left" w:pos="426"/>
        </w:tabs>
        <w:spacing w:line="276" w:lineRule="auto"/>
        <w:jc w:val="both"/>
        <w:rPr>
          <w:rFonts w:ascii="Palatino Linotype" w:eastAsia="Palatino Linotype" w:hAnsi="Palatino Linotype" w:cs="Palatino Linotype"/>
          <w:color w:val="000000"/>
        </w:rPr>
      </w:pPr>
      <w:r w:rsidRPr="00820CD7">
        <w:rPr>
          <w:rFonts w:ascii="Palatino Linotype" w:eastAsia="Palatino Linotype" w:hAnsi="Palatino Linotype" w:cs="Palatino Linotype"/>
          <w:color w:val="000000"/>
        </w:rPr>
        <w:tab/>
        <w:t>Oficio de ocho de octubre de dos mil veinticuatro, firmado por el Jefe de la UIPPE y Titular de la Unidad de Transparencia de la Secretaría de Finanzas, por medio del cual informó que adjunta la respuesta proporcionada por el Servidor Público Habilitado Suplente de la Subsecretaría de Planeación y Presupuesto.</w:t>
      </w:r>
    </w:p>
    <w:p w:rsidR="001C4904" w:rsidRPr="00820CD7" w:rsidRDefault="001C4904" w:rsidP="001C4904">
      <w:pPr>
        <w:pBdr>
          <w:top w:val="nil"/>
          <w:left w:val="nil"/>
          <w:bottom w:val="nil"/>
          <w:right w:val="nil"/>
          <w:between w:val="nil"/>
        </w:pBdr>
        <w:tabs>
          <w:tab w:val="left" w:pos="426"/>
        </w:tabs>
        <w:spacing w:line="360" w:lineRule="auto"/>
        <w:jc w:val="both"/>
        <w:rPr>
          <w:rFonts w:ascii="Palatino Linotype" w:eastAsia="Palatino Linotype" w:hAnsi="Palatino Linotype" w:cs="Palatino Linotype"/>
          <w:color w:val="000000"/>
        </w:rPr>
      </w:pPr>
    </w:p>
    <w:p w:rsidR="001C4904" w:rsidRPr="00820CD7" w:rsidRDefault="001C4904" w:rsidP="001C4904">
      <w:pPr>
        <w:pBdr>
          <w:top w:val="nil"/>
          <w:left w:val="nil"/>
          <w:bottom w:val="nil"/>
          <w:right w:val="nil"/>
          <w:between w:val="nil"/>
        </w:pBdr>
        <w:tabs>
          <w:tab w:val="left" w:pos="426"/>
        </w:tabs>
        <w:spacing w:line="360" w:lineRule="auto"/>
        <w:jc w:val="both"/>
        <w:rPr>
          <w:rFonts w:ascii="Palatino Linotype" w:eastAsia="Palatino Linotype" w:hAnsi="Palatino Linotype" w:cs="Palatino Linotype"/>
          <w:sz w:val="22"/>
          <w:szCs w:val="22"/>
        </w:rPr>
      </w:pPr>
    </w:p>
    <w:p w:rsidR="00453E68" w:rsidRPr="00820CD7" w:rsidRDefault="00FB3022">
      <w:pPr>
        <w:numPr>
          <w:ilvl w:val="0"/>
          <w:numId w:val="8"/>
        </w:numPr>
        <w:tabs>
          <w:tab w:val="left" w:pos="426"/>
        </w:tabs>
        <w:spacing w:line="360" w:lineRule="auto"/>
        <w:ind w:left="0" w:firstLine="0"/>
        <w:jc w:val="both"/>
        <w:rPr>
          <w:rFonts w:ascii="Palatino Linotype" w:eastAsia="Palatino Linotype" w:hAnsi="Palatino Linotype" w:cs="Palatino Linotype"/>
          <w:b/>
        </w:rPr>
      </w:pPr>
      <w:r w:rsidRPr="00820CD7">
        <w:rPr>
          <w:rFonts w:ascii="Palatino Linotype" w:eastAsia="Palatino Linotype" w:hAnsi="Palatino Linotype" w:cs="Palatino Linotype"/>
        </w:rPr>
        <w:lastRenderedPageBreak/>
        <w:t xml:space="preserve">El </w:t>
      </w:r>
      <w:r w:rsidRPr="00820CD7">
        <w:rPr>
          <w:rFonts w:ascii="Palatino Linotype" w:eastAsia="Palatino Linotype" w:hAnsi="Palatino Linotype" w:cs="Palatino Linotype"/>
          <w:b/>
        </w:rPr>
        <w:t>veintiuno de octubre de dos mil veinticuatro</w:t>
      </w:r>
      <w:r w:rsidRPr="00820CD7">
        <w:rPr>
          <w:rFonts w:ascii="Palatino Linotype" w:eastAsia="Palatino Linotype" w:hAnsi="Palatino Linotype" w:cs="Palatino Linotype"/>
        </w:rPr>
        <w:t xml:space="preserve">, la </w:t>
      </w:r>
      <w:r w:rsidRPr="00820CD7">
        <w:rPr>
          <w:rFonts w:ascii="Palatino Linotype" w:eastAsia="Palatino Linotype" w:hAnsi="Palatino Linotype" w:cs="Palatino Linotype"/>
          <w:b/>
        </w:rPr>
        <w:t xml:space="preserve">PARTICULAR </w:t>
      </w:r>
      <w:r w:rsidRPr="00820CD7">
        <w:rPr>
          <w:rFonts w:ascii="Palatino Linotype" w:eastAsia="Palatino Linotype" w:hAnsi="Palatino Linotype" w:cs="Palatino Linotype"/>
        </w:rPr>
        <w:t xml:space="preserve">interpuso recurso de revisión, el cual recayó bajo el número </w:t>
      </w:r>
      <w:r w:rsidRPr="00820CD7">
        <w:rPr>
          <w:rFonts w:ascii="Palatino Linotype" w:eastAsia="Palatino Linotype" w:hAnsi="Palatino Linotype" w:cs="Palatino Linotype"/>
          <w:b/>
        </w:rPr>
        <w:t>06503/INFOEM/IP/RR/2024</w:t>
      </w:r>
      <w:r w:rsidRPr="00820CD7">
        <w:rPr>
          <w:rFonts w:ascii="Palatino Linotype" w:eastAsia="Palatino Linotype" w:hAnsi="Palatino Linotype" w:cs="Palatino Linotype"/>
        </w:rPr>
        <w:t>, en el que señaló como:</w:t>
      </w:r>
    </w:p>
    <w:p w:rsidR="00453E68" w:rsidRPr="00820CD7" w:rsidRDefault="00FB3022" w:rsidP="00FB3022">
      <w:pPr>
        <w:numPr>
          <w:ilvl w:val="0"/>
          <w:numId w:val="3"/>
        </w:numPr>
        <w:tabs>
          <w:tab w:val="left" w:pos="1418"/>
        </w:tabs>
        <w:spacing w:line="276" w:lineRule="auto"/>
        <w:ind w:right="738"/>
        <w:jc w:val="both"/>
        <w:rPr>
          <w:rFonts w:ascii="Palatino Linotype" w:eastAsia="Palatino Linotype" w:hAnsi="Palatino Linotype" w:cs="Palatino Linotype"/>
          <w:i/>
        </w:rPr>
      </w:pPr>
      <w:r w:rsidRPr="00820CD7">
        <w:rPr>
          <w:rFonts w:ascii="Palatino Linotype" w:eastAsia="Palatino Linotype" w:hAnsi="Palatino Linotype" w:cs="Palatino Linotype"/>
          <w:b/>
        </w:rPr>
        <w:t>Acto impugnado:</w:t>
      </w:r>
      <w:r w:rsidRPr="00820CD7">
        <w:rPr>
          <w:rFonts w:ascii="Palatino Linotype" w:eastAsia="Palatino Linotype" w:hAnsi="Palatino Linotype" w:cs="Palatino Linotype"/>
        </w:rPr>
        <w:t xml:space="preserve"> </w:t>
      </w:r>
      <w:r w:rsidRPr="00820CD7">
        <w:rPr>
          <w:rFonts w:ascii="Palatino Linotype" w:eastAsia="Palatino Linotype" w:hAnsi="Palatino Linotype" w:cs="Palatino Linotype"/>
          <w:i/>
        </w:rPr>
        <w:t>“¿Cuál es el papel que desempeña el organismo garante nacional INAI para que las instituciones privadas garanticen el derecho a la protección de datos personales a la ciudadanía?“ (Sic)</w:t>
      </w:r>
    </w:p>
    <w:p w:rsidR="00453E68" w:rsidRPr="00820CD7" w:rsidRDefault="00FB3022" w:rsidP="00FB3022">
      <w:pPr>
        <w:numPr>
          <w:ilvl w:val="0"/>
          <w:numId w:val="3"/>
        </w:numPr>
        <w:tabs>
          <w:tab w:val="left" w:pos="426"/>
          <w:tab w:val="left" w:pos="993"/>
          <w:tab w:val="left" w:pos="1418"/>
        </w:tabs>
        <w:spacing w:line="276" w:lineRule="auto"/>
        <w:ind w:right="738"/>
        <w:jc w:val="both"/>
        <w:rPr>
          <w:rFonts w:ascii="Palatino Linotype" w:eastAsia="Palatino Linotype" w:hAnsi="Palatino Linotype" w:cs="Palatino Linotype"/>
        </w:rPr>
      </w:pPr>
      <w:r w:rsidRPr="00820CD7">
        <w:rPr>
          <w:rFonts w:ascii="Palatino Linotype" w:eastAsia="Palatino Linotype" w:hAnsi="Palatino Linotype" w:cs="Palatino Linotype"/>
          <w:b/>
        </w:rPr>
        <w:t>Razones o motivos de inconformidad:</w:t>
      </w:r>
      <w:r w:rsidRPr="00820CD7">
        <w:rPr>
          <w:rFonts w:ascii="Palatino Linotype" w:eastAsia="Palatino Linotype" w:hAnsi="Palatino Linotype" w:cs="Palatino Linotype"/>
        </w:rPr>
        <w:t xml:space="preserve"> </w:t>
      </w:r>
      <w:r w:rsidRPr="00820CD7">
        <w:rPr>
          <w:rFonts w:ascii="Palatino Linotype" w:eastAsia="Palatino Linotype" w:hAnsi="Palatino Linotype" w:cs="Palatino Linotype"/>
          <w:i/>
        </w:rPr>
        <w:t>“¿Cuál es el papel que desempeña el organismo garante nacional INAI para que las instituciones privadas garanticen el derecho a la protección de datos personales a la ciudadanía?” (Sic)</w:t>
      </w:r>
    </w:p>
    <w:p w:rsidR="00453E68" w:rsidRPr="00820CD7" w:rsidRDefault="00453E68">
      <w:pPr>
        <w:tabs>
          <w:tab w:val="left" w:pos="0"/>
        </w:tabs>
        <w:spacing w:line="360" w:lineRule="auto"/>
        <w:ind w:right="616"/>
        <w:jc w:val="both"/>
        <w:rPr>
          <w:rFonts w:ascii="Palatino Linotype" w:eastAsia="Palatino Linotype" w:hAnsi="Palatino Linotype" w:cs="Palatino Linotype"/>
          <w:color w:val="000000"/>
        </w:rPr>
      </w:pP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 xml:space="preserve">Se registró el recurso de revisión bajo el número de expediente al rubro indicado, asimismo, con fundamento en lo dispuesto por el artículo 185, fracción I, de la Ley de Transparencia y Acceso a la Información Pública del Estado de México y Municipios se </w:t>
      </w:r>
      <w:r w:rsidRPr="00820CD7">
        <w:rPr>
          <w:rFonts w:ascii="Palatino Linotype" w:eastAsia="Palatino Linotype" w:hAnsi="Palatino Linotype" w:cs="Palatino Linotype"/>
        </w:rPr>
        <w:t>turna</w:t>
      </w:r>
      <w:r w:rsidRPr="00820CD7">
        <w:rPr>
          <w:rFonts w:ascii="Palatino Linotype" w:eastAsia="Palatino Linotype" w:hAnsi="Palatino Linotype" w:cs="Palatino Linotype"/>
          <w:color w:val="000000"/>
        </w:rPr>
        <w:t xml:space="preserve"> a la </w:t>
      </w:r>
      <w:r w:rsidRPr="00820CD7">
        <w:rPr>
          <w:rFonts w:ascii="Palatino Linotype" w:eastAsia="Palatino Linotype" w:hAnsi="Palatino Linotype" w:cs="Palatino Linotype"/>
          <w:b/>
          <w:color w:val="000000"/>
        </w:rPr>
        <w:t xml:space="preserve">Comisionada María del Rosario Mejía Ayala, </w:t>
      </w:r>
      <w:r w:rsidRPr="00820CD7">
        <w:rPr>
          <w:rFonts w:ascii="Palatino Linotype" w:eastAsia="Palatino Linotype" w:hAnsi="Palatino Linotype" w:cs="Palatino Linotype"/>
          <w:color w:val="000000"/>
        </w:rPr>
        <w:t>para su análisis.</w:t>
      </w:r>
    </w:p>
    <w:p w:rsidR="00453E68" w:rsidRPr="00820CD7" w:rsidRDefault="00453E68">
      <w:pPr>
        <w:tabs>
          <w:tab w:val="left" w:pos="426"/>
        </w:tabs>
        <w:spacing w:line="360" w:lineRule="auto"/>
        <w:jc w:val="both"/>
        <w:rPr>
          <w:rFonts w:ascii="Palatino Linotype" w:eastAsia="Palatino Linotype" w:hAnsi="Palatino Linotype" w:cs="Palatino Linotype"/>
          <w:color w:val="000000"/>
        </w:rPr>
      </w:pP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 xml:space="preserve">La Comisionada Ponente, con fundamento en lo dispuesto por el artículo 185 fracción II de la ley de la materia, a través del acuerdo de admisión notificado el </w:t>
      </w:r>
      <w:r w:rsidRPr="00820CD7">
        <w:rPr>
          <w:rFonts w:ascii="Palatino Linotype" w:eastAsia="Palatino Linotype" w:hAnsi="Palatino Linotype" w:cs="Palatino Linotype"/>
          <w:b/>
          <w:color w:val="000000"/>
        </w:rPr>
        <w:t>veintitrés de octubre de dos mil veinticuatro</w:t>
      </w:r>
      <w:r w:rsidRPr="00820CD7">
        <w:rPr>
          <w:rFonts w:ascii="Palatino Linotype" w:eastAsia="Palatino Linotype" w:hAnsi="Palatino Linotype" w:cs="Palatino Linotype"/>
          <w:color w:val="000000"/>
        </w:rPr>
        <w:t xml:space="preserve">, puso a disposición de las partes el expediente electrónico vía Sistema de Acceso a la Información Mexiquense a efecto de que en un plazo máximo de siete días </w:t>
      </w:r>
      <w:r w:rsidRPr="00820CD7">
        <w:rPr>
          <w:rFonts w:ascii="Palatino Linotype" w:eastAsia="Palatino Linotype" w:hAnsi="Palatino Linotype" w:cs="Palatino Linotype"/>
        </w:rPr>
        <w:t>manifestara</w:t>
      </w:r>
      <w:r w:rsidRPr="00820CD7">
        <w:rPr>
          <w:rFonts w:ascii="Palatino Linotype" w:eastAsia="Palatino Linotype" w:hAnsi="Palatino Linotype" w:cs="Palatino Linotype"/>
          <w:color w:val="000000"/>
        </w:rPr>
        <w:t xml:space="preserve"> lo que a su derecho </w:t>
      </w:r>
      <w:r w:rsidRPr="00820CD7">
        <w:rPr>
          <w:rFonts w:ascii="Palatino Linotype" w:eastAsia="Palatino Linotype" w:hAnsi="Palatino Linotype" w:cs="Palatino Linotype"/>
        </w:rPr>
        <w:t>conviniera</w:t>
      </w:r>
      <w:r w:rsidRPr="00820CD7">
        <w:rPr>
          <w:rFonts w:ascii="Palatino Linotype" w:eastAsia="Palatino Linotype" w:hAnsi="Palatino Linotype" w:cs="Palatino Linotype"/>
          <w:color w:val="000000"/>
        </w:rPr>
        <w:t xml:space="preserve">, </w:t>
      </w:r>
      <w:r w:rsidRPr="00820CD7">
        <w:rPr>
          <w:rFonts w:ascii="Palatino Linotype" w:eastAsia="Palatino Linotype" w:hAnsi="Palatino Linotype" w:cs="Palatino Linotype"/>
        </w:rPr>
        <w:t>ofreciera</w:t>
      </w:r>
      <w:r w:rsidRPr="00820CD7">
        <w:rPr>
          <w:rFonts w:ascii="Palatino Linotype" w:eastAsia="Palatino Linotype" w:hAnsi="Palatino Linotype" w:cs="Palatino Linotype"/>
          <w:color w:val="000000"/>
        </w:rPr>
        <w:t xml:space="preserve"> pruebas y alegatos según corresponda a los casos concretos, de esta forma para que el </w:t>
      </w:r>
      <w:r w:rsidRPr="00820CD7">
        <w:rPr>
          <w:rFonts w:ascii="Palatino Linotype" w:eastAsia="Palatino Linotype" w:hAnsi="Palatino Linotype" w:cs="Palatino Linotype"/>
          <w:b/>
          <w:color w:val="000000"/>
        </w:rPr>
        <w:t>SUJETO OBLIGADO</w:t>
      </w:r>
      <w:r w:rsidRPr="00820CD7">
        <w:rPr>
          <w:rFonts w:ascii="Palatino Linotype" w:eastAsia="Palatino Linotype" w:hAnsi="Palatino Linotype" w:cs="Palatino Linotype"/>
          <w:color w:val="000000"/>
        </w:rPr>
        <w:t xml:space="preserve"> </w:t>
      </w:r>
      <w:r w:rsidRPr="00820CD7">
        <w:rPr>
          <w:rFonts w:ascii="Palatino Linotype" w:eastAsia="Palatino Linotype" w:hAnsi="Palatino Linotype" w:cs="Palatino Linotype"/>
        </w:rPr>
        <w:t>presentará</w:t>
      </w:r>
      <w:r w:rsidRPr="00820CD7">
        <w:rPr>
          <w:rFonts w:ascii="Palatino Linotype" w:eastAsia="Palatino Linotype" w:hAnsi="Palatino Linotype" w:cs="Palatino Linotype"/>
          <w:color w:val="000000"/>
        </w:rPr>
        <w:t xml:space="preserve"> el informe justificado procedente.</w:t>
      </w:r>
    </w:p>
    <w:p w:rsidR="00453E68" w:rsidRPr="00820CD7" w:rsidRDefault="00453E68">
      <w:pPr>
        <w:pBdr>
          <w:top w:val="nil"/>
          <w:left w:val="nil"/>
          <w:bottom w:val="nil"/>
          <w:right w:val="nil"/>
          <w:between w:val="nil"/>
        </w:pBdr>
        <w:ind w:left="720"/>
        <w:rPr>
          <w:rFonts w:ascii="Palatino Linotype" w:eastAsia="Palatino Linotype" w:hAnsi="Palatino Linotype" w:cs="Palatino Linotype"/>
          <w:color w:val="000000"/>
        </w:rPr>
      </w:pPr>
    </w:p>
    <w:p w:rsidR="00453E68" w:rsidRPr="00820CD7" w:rsidRDefault="00FB3022" w:rsidP="00FB3022">
      <w:pPr>
        <w:numPr>
          <w:ilvl w:val="0"/>
          <w:numId w:val="8"/>
        </w:numPr>
        <w:pBdr>
          <w:top w:val="nil"/>
          <w:left w:val="nil"/>
          <w:bottom w:val="nil"/>
          <w:right w:val="nil"/>
          <w:between w:val="nil"/>
        </w:pBdr>
        <w:tabs>
          <w:tab w:val="left" w:pos="426"/>
        </w:tabs>
        <w:spacing w:line="360" w:lineRule="auto"/>
        <w:ind w:left="0" w:firstLine="0"/>
        <w:jc w:val="both"/>
        <w:rPr>
          <w:rFonts w:ascii="Palatino Linotype" w:eastAsia="Palatino Linotype" w:hAnsi="Palatino Linotype" w:cs="Palatino Linotype"/>
          <w:sz w:val="22"/>
          <w:szCs w:val="22"/>
        </w:rPr>
      </w:pPr>
      <w:r w:rsidRPr="00820CD7">
        <w:rPr>
          <w:rFonts w:ascii="Palatino Linotype" w:eastAsia="Palatino Linotype" w:hAnsi="Palatino Linotype" w:cs="Palatino Linotype"/>
          <w:color w:val="000000"/>
        </w:rPr>
        <w:t xml:space="preserve">De las constancias que obran en el expediente electrónico del SAIMEX se aprecia que la </w:t>
      </w:r>
      <w:r w:rsidRPr="00820CD7">
        <w:rPr>
          <w:rFonts w:ascii="Palatino Linotype" w:eastAsia="Palatino Linotype" w:hAnsi="Palatino Linotype" w:cs="Palatino Linotype"/>
          <w:b/>
          <w:color w:val="000000"/>
        </w:rPr>
        <w:t>RECURRENTE</w:t>
      </w:r>
      <w:r w:rsidRPr="00820CD7">
        <w:rPr>
          <w:rFonts w:ascii="Palatino Linotype" w:eastAsia="Palatino Linotype" w:hAnsi="Palatino Linotype" w:cs="Palatino Linotype"/>
          <w:color w:val="000000"/>
        </w:rPr>
        <w:t xml:space="preserve"> no </w:t>
      </w:r>
      <w:r w:rsidRPr="00820CD7">
        <w:rPr>
          <w:rFonts w:ascii="Palatino Linotype" w:eastAsia="Palatino Linotype" w:hAnsi="Palatino Linotype" w:cs="Palatino Linotype"/>
        </w:rPr>
        <w:t>realizó</w:t>
      </w:r>
      <w:r w:rsidRPr="00820CD7">
        <w:rPr>
          <w:rFonts w:ascii="Palatino Linotype" w:eastAsia="Palatino Linotype" w:hAnsi="Palatino Linotype" w:cs="Palatino Linotype"/>
          <w:color w:val="000000"/>
        </w:rPr>
        <w:t xml:space="preserve"> manifestaciones conforme a su derecho </w:t>
      </w:r>
      <w:r w:rsidRPr="00820CD7">
        <w:rPr>
          <w:rFonts w:ascii="Palatino Linotype" w:eastAsia="Palatino Linotype" w:hAnsi="Palatino Linotype" w:cs="Palatino Linotype"/>
          <w:color w:val="000000"/>
        </w:rPr>
        <w:lastRenderedPageBreak/>
        <w:t xml:space="preserve">conviniera, en tanto, el </w:t>
      </w:r>
      <w:r w:rsidRPr="00820CD7">
        <w:rPr>
          <w:rFonts w:ascii="Palatino Linotype" w:eastAsia="Palatino Linotype" w:hAnsi="Palatino Linotype" w:cs="Palatino Linotype"/>
          <w:b/>
          <w:color w:val="000000"/>
        </w:rPr>
        <w:t>SUJETO OBLIGADO</w:t>
      </w:r>
      <w:r w:rsidRPr="00820CD7">
        <w:rPr>
          <w:rFonts w:ascii="Palatino Linotype" w:eastAsia="Palatino Linotype" w:hAnsi="Palatino Linotype" w:cs="Palatino Linotype"/>
          <w:color w:val="000000"/>
        </w:rPr>
        <w:t xml:space="preserve"> el </w:t>
      </w:r>
      <w:r w:rsidRPr="00820CD7">
        <w:rPr>
          <w:rFonts w:ascii="Palatino Linotype" w:eastAsia="Palatino Linotype" w:hAnsi="Palatino Linotype" w:cs="Palatino Linotype"/>
          <w:b/>
          <w:color w:val="000000"/>
        </w:rPr>
        <w:t>treinta de octubre de dos mil veinticuatro</w:t>
      </w:r>
      <w:r w:rsidRPr="00820CD7">
        <w:rPr>
          <w:rFonts w:ascii="Palatino Linotype" w:eastAsia="Palatino Linotype" w:hAnsi="Palatino Linotype" w:cs="Palatino Linotype"/>
          <w:color w:val="000000"/>
        </w:rPr>
        <w:t xml:space="preserve">, mismos que fueron puestos a la vista el </w:t>
      </w:r>
      <w:r w:rsidRPr="00820CD7">
        <w:rPr>
          <w:rFonts w:ascii="Palatino Linotype" w:eastAsia="Palatino Linotype" w:hAnsi="Palatino Linotype" w:cs="Palatino Linotype"/>
          <w:b/>
          <w:color w:val="000000"/>
        </w:rPr>
        <w:t xml:space="preserve">diecinueve de noviembre de dos mil veinticuatro, </w:t>
      </w:r>
      <w:r w:rsidRPr="00820CD7">
        <w:rPr>
          <w:rFonts w:ascii="Palatino Linotype" w:eastAsia="Palatino Linotype" w:hAnsi="Palatino Linotype" w:cs="Palatino Linotype"/>
          <w:color w:val="000000"/>
        </w:rPr>
        <w:t>rindió su informe justificado a través de los archivos siguientes:</w:t>
      </w:r>
    </w:p>
    <w:p w:rsidR="00FB3022" w:rsidRPr="00820CD7" w:rsidRDefault="00FB3022" w:rsidP="00FB3022">
      <w:pPr>
        <w:pBdr>
          <w:top w:val="nil"/>
          <w:left w:val="nil"/>
          <w:bottom w:val="nil"/>
          <w:right w:val="nil"/>
          <w:between w:val="nil"/>
        </w:pBdr>
        <w:tabs>
          <w:tab w:val="left" w:pos="426"/>
        </w:tabs>
        <w:spacing w:line="360" w:lineRule="auto"/>
        <w:jc w:val="both"/>
        <w:rPr>
          <w:rFonts w:ascii="Palatino Linotype" w:eastAsia="Palatino Linotype" w:hAnsi="Palatino Linotype" w:cs="Palatino Linotype"/>
          <w:sz w:val="22"/>
          <w:szCs w:val="22"/>
        </w:rPr>
      </w:pPr>
    </w:p>
    <w:p w:rsidR="00FB3022" w:rsidRPr="00820CD7" w:rsidRDefault="00FB3022" w:rsidP="007B0376">
      <w:pPr>
        <w:pStyle w:val="Prrafodelista"/>
        <w:numPr>
          <w:ilvl w:val="0"/>
          <w:numId w:val="10"/>
        </w:numPr>
        <w:pBdr>
          <w:top w:val="nil"/>
          <w:left w:val="nil"/>
          <w:bottom w:val="nil"/>
          <w:right w:val="nil"/>
          <w:between w:val="nil"/>
        </w:pBdr>
        <w:tabs>
          <w:tab w:val="left" w:pos="426"/>
        </w:tabs>
        <w:spacing w:line="276" w:lineRule="auto"/>
        <w:jc w:val="both"/>
        <w:rPr>
          <w:rFonts w:ascii="Palatino Linotype" w:eastAsia="Palatino Linotype" w:hAnsi="Palatino Linotype" w:cs="Palatino Linotype"/>
          <w:b/>
          <w:color w:val="000000"/>
        </w:rPr>
      </w:pPr>
      <w:r w:rsidRPr="00820CD7">
        <w:rPr>
          <w:rFonts w:ascii="Palatino Linotype" w:eastAsia="Palatino Linotype" w:hAnsi="Palatino Linotype" w:cs="Palatino Linotype"/>
          <w:b/>
          <w:color w:val="000000"/>
        </w:rPr>
        <w:t>06503 INFOEM IP RR SSPYP.pdf</w:t>
      </w:r>
    </w:p>
    <w:p w:rsidR="007B0376" w:rsidRPr="00820CD7" w:rsidRDefault="00FB3022" w:rsidP="007B0376">
      <w:pPr>
        <w:pBdr>
          <w:top w:val="nil"/>
          <w:left w:val="nil"/>
          <w:bottom w:val="nil"/>
          <w:right w:val="nil"/>
          <w:between w:val="nil"/>
        </w:pBdr>
        <w:tabs>
          <w:tab w:val="left" w:pos="426"/>
        </w:tabs>
        <w:spacing w:line="276" w:lineRule="auto"/>
        <w:jc w:val="both"/>
        <w:rPr>
          <w:rFonts w:ascii="Palatino Linotype" w:eastAsia="Palatino Linotype" w:hAnsi="Palatino Linotype" w:cs="Palatino Linotype"/>
          <w:color w:val="000000"/>
        </w:rPr>
      </w:pPr>
      <w:r w:rsidRPr="00820CD7">
        <w:rPr>
          <w:rFonts w:ascii="Palatino Linotype" w:eastAsia="Palatino Linotype" w:hAnsi="Palatino Linotype" w:cs="Palatino Linotype"/>
          <w:color w:val="000000"/>
        </w:rPr>
        <w:t xml:space="preserve">Oficio de veinticuatro e octubre de dos mil veinticuatro, firmado por el Servidor Público Habilitado Suplente de la Subsecretaría de Planeación y Presupuesto, </w:t>
      </w:r>
      <w:r w:rsidR="007B0376" w:rsidRPr="00820CD7">
        <w:rPr>
          <w:rFonts w:ascii="Palatino Linotype" w:eastAsia="Palatino Linotype" w:hAnsi="Palatino Linotype" w:cs="Palatino Linotype"/>
          <w:color w:val="000000"/>
        </w:rPr>
        <w:t xml:space="preserve">en el que medularmente ratifica su respuesta primigenia. </w:t>
      </w:r>
    </w:p>
    <w:p w:rsidR="007B0376" w:rsidRPr="00820CD7" w:rsidRDefault="007B0376" w:rsidP="007B0376">
      <w:pPr>
        <w:pBdr>
          <w:top w:val="nil"/>
          <w:left w:val="nil"/>
          <w:bottom w:val="nil"/>
          <w:right w:val="nil"/>
          <w:between w:val="nil"/>
        </w:pBdr>
        <w:tabs>
          <w:tab w:val="left" w:pos="426"/>
        </w:tabs>
        <w:spacing w:line="276" w:lineRule="auto"/>
        <w:jc w:val="both"/>
        <w:rPr>
          <w:rFonts w:ascii="Palatino Linotype" w:eastAsia="Palatino Linotype" w:hAnsi="Palatino Linotype" w:cs="Palatino Linotype"/>
          <w:color w:val="000000"/>
        </w:rPr>
      </w:pPr>
    </w:p>
    <w:p w:rsidR="00FB3022" w:rsidRPr="00820CD7" w:rsidRDefault="00FB3022" w:rsidP="007B0376">
      <w:pPr>
        <w:pStyle w:val="Prrafodelista"/>
        <w:numPr>
          <w:ilvl w:val="0"/>
          <w:numId w:val="10"/>
        </w:numPr>
        <w:pBdr>
          <w:top w:val="nil"/>
          <w:left w:val="nil"/>
          <w:bottom w:val="nil"/>
          <w:right w:val="nil"/>
          <w:between w:val="nil"/>
        </w:pBdr>
        <w:tabs>
          <w:tab w:val="left" w:pos="426"/>
        </w:tabs>
        <w:spacing w:line="276" w:lineRule="auto"/>
        <w:jc w:val="both"/>
        <w:rPr>
          <w:rFonts w:ascii="Palatino Linotype" w:eastAsia="Palatino Linotype" w:hAnsi="Palatino Linotype" w:cs="Palatino Linotype"/>
          <w:b/>
          <w:color w:val="000000"/>
        </w:rPr>
      </w:pPr>
      <w:r w:rsidRPr="00820CD7">
        <w:rPr>
          <w:rFonts w:ascii="Palatino Linotype" w:eastAsia="Palatino Linotype" w:hAnsi="Palatino Linotype" w:cs="Palatino Linotype"/>
          <w:b/>
          <w:color w:val="000000"/>
        </w:rPr>
        <w:t>LIGA RR6503.docx</w:t>
      </w:r>
    </w:p>
    <w:p w:rsidR="007B0376" w:rsidRPr="00820CD7" w:rsidRDefault="007B0376" w:rsidP="007B0376">
      <w:pPr>
        <w:pBdr>
          <w:top w:val="nil"/>
          <w:left w:val="nil"/>
          <w:bottom w:val="nil"/>
          <w:right w:val="nil"/>
          <w:between w:val="nil"/>
        </w:pBdr>
        <w:tabs>
          <w:tab w:val="left" w:pos="426"/>
        </w:tabs>
        <w:spacing w:line="276" w:lineRule="auto"/>
        <w:jc w:val="both"/>
        <w:rPr>
          <w:rFonts w:ascii="Palatino Linotype" w:eastAsia="Palatino Linotype" w:hAnsi="Palatino Linotype" w:cs="Palatino Linotype"/>
          <w:color w:val="000000"/>
        </w:rPr>
      </w:pPr>
      <w:r w:rsidRPr="00820CD7">
        <w:rPr>
          <w:rFonts w:ascii="Palatino Linotype" w:eastAsia="Palatino Linotype" w:hAnsi="Palatino Linotype" w:cs="Palatino Linotype"/>
          <w:color w:val="000000"/>
        </w:rPr>
        <w:t>Documento que corresponde al archivo en formato Word remitido en respuesta.</w:t>
      </w:r>
    </w:p>
    <w:p w:rsidR="007B0376" w:rsidRPr="00820CD7" w:rsidRDefault="007B0376" w:rsidP="007B0376">
      <w:pPr>
        <w:pBdr>
          <w:top w:val="nil"/>
          <w:left w:val="nil"/>
          <w:bottom w:val="nil"/>
          <w:right w:val="nil"/>
          <w:between w:val="nil"/>
        </w:pBdr>
        <w:tabs>
          <w:tab w:val="left" w:pos="426"/>
        </w:tabs>
        <w:spacing w:line="276" w:lineRule="auto"/>
        <w:jc w:val="both"/>
        <w:rPr>
          <w:rFonts w:ascii="Palatino Linotype" w:eastAsia="Palatino Linotype" w:hAnsi="Palatino Linotype" w:cs="Palatino Linotype"/>
          <w:color w:val="000000"/>
        </w:rPr>
      </w:pPr>
    </w:p>
    <w:p w:rsidR="00FB3022" w:rsidRPr="00820CD7" w:rsidRDefault="00FB3022" w:rsidP="007B0376">
      <w:pPr>
        <w:pStyle w:val="Prrafodelista"/>
        <w:numPr>
          <w:ilvl w:val="0"/>
          <w:numId w:val="10"/>
        </w:numPr>
        <w:pBdr>
          <w:top w:val="nil"/>
          <w:left w:val="nil"/>
          <w:bottom w:val="nil"/>
          <w:right w:val="nil"/>
          <w:between w:val="nil"/>
        </w:pBdr>
        <w:tabs>
          <w:tab w:val="left" w:pos="426"/>
        </w:tabs>
        <w:spacing w:line="276" w:lineRule="auto"/>
        <w:jc w:val="both"/>
        <w:rPr>
          <w:rFonts w:ascii="Palatino Linotype" w:eastAsia="Palatino Linotype" w:hAnsi="Palatino Linotype" w:cs="Palatino Linotype"/>
          <w:b/>
          <w:color w:val="000000"/>
        </w:rPr>
      </w:pPr>
      <w:r w:rsidRPr="00820CD7">
        <w:rPr>
          <w:rFonts w:ascii="Palatino Linotype" w:eastAsia="Palatino Linotype" w:hAnsi="Palatino Linotype" w:cs="Palatino Linotype"/>
          <w:b/>
          <w:color w:val="000000"/>
        </w:rPr>
        <w:t>RR 06503-2024 INFORME JUSTIFICADO.pdf</w:t>
      </w:r>
    </w:p>
    <w:p w:rsidR="00FB3022" w:rsidRPr="00820CD7" w:rsidRDefault="007B0376" w:rsidP="007B0376">
      <w:pPr>
        <w:pBdr>
          <w:top w:val="nil"/>
          <w:left w:val="nil"/>
          <w:bottom w:val="nil"/>
          <w:right w:val="nil"/>
          <w:between w:val="nil"/>
        </w:pBdr>
        <w:tabs>
          <w:tab w:val="left" w:pos="426"/>
        </w:tabs>
        <w:spacing w:line="276" w:lineRule="auto"/>
        <w:jc w:val="both"/>
        <w:rPr>
          <w:rFonts w:ascii="Palatino Linotype" w:eastAsia="Palatino Linotype" w:hAnsi="Palatino Linotype" w:cs="Palatino Linotype"/>
          <w:color w:val="000000"/>
        </w:rPr>
      </w:pPr>
      <w:r w:rsidRPr="00820CD7">
        <w:rPr>
          <w:rFonts w:ascii="Palatino Linotype" w:eastAsia="Palatino Linotype" w:hAnsi="Palatino Linotype" w:cs="Palatino Linotype"/>
          <w:color w:val="000000"/>
        </w:rPr>
        <w:t>Informe Justificado firmado por el Jefe de la UIPPE y Titular de la Unidad de Transparencia de la Secretaría de Finanzas, en el que medularmente ratifica su respuesta primigenia.</w:t>
      </w:r>
    </w:p>
    <w:p w:rsidR="00453E68" w:rsidRPr="00820CD7" w:rsidRDefault="00453E68">
      <w:pPr>
        <w:pBdr>
          <w:top w:val="nil"/>
          <w:left w:val="nil"/>
          <w:bottom w:val="nil"/>
          <w:right w:val="nil"/>
          <w:between w:val="nil"/>
        </w:pBdr>
        <w:ind w:left="720"/>
        <w:rPr>
          <w:rFonts w:ascii="Palatino Linotype" w:eastAsia="Palatino Linotype" w:hAnsi="Palatino Linotype" w:cs="Palatino Linotype"/>
          <w:color w:val="000000"/>
        </w:rPr>
      </w:pP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rFonts w:ascii="Palatino Linotype" w:eastAsia="Palatino Linotype" w:hAnsi="Palatino Linotype" w:cs="Palatino Linotype"/>
          <w:b/>
          <w:color w:val="000000"/>
        </w:rPr>
      </w:pPr>
      <w:r w:rsidRPr="00820CD7">
        <w:rPr>
          <w:rFonts w:ascii="Palatino Linotype" w:eastAsia="Palatino Linotype" w:hAnsi="Palatino Linotype" w:cs="Palatino Linotype"/>
          <w:color w:val="000000"/>
        </w:rPr>
        <w:t xml:space="preserve">El </w:t>
      </w:r>
      <w:r w:rsidR="007B0376" w:rsidRPr="00820CD7">
        <w:rPr>
          <w:rFonts w:ascii="Palatino Linotype" w:eastAsia="Palatino Linotype" w:hAnsi="Palatino Linotype" w:cs="Palatino Linotype"/>
          <w:b/>
          <w:color w:val="000000"/>
        </w:rPr>
        <w:t xml:space="preserve">veinticinco de noviembre </w:t>
      </w:r>
      <w:r w:rsidRPr="00820CD7">
        <w:rPr>
          <w:rFonts w:ascii="Palatino Linotype" w:eastAsia="Palatino Linotype" w:hAnsi="Palatino Linotype" w:cs="Palatino Linotype"/>
          <w:b/>
          <w:color w:val="000000"/>
        </w:rPr>
        <w:t>de dos mil veinticuatro</w:t>
      </w:r>
      <w:r w:rsidRPr="00820CD7">
        <w:rPr>
          <w:rFonts w:ascii="Palatino Linotype" w:eastAsia="Palatino Linotype" w:hAnsi="Palatino Linotype" w:cs="Palatino Linotype"/>
          <w:color w:val="000000"/>
        </w:rPr>
        <w:t>, se  decretó el cierre de instrucción, por lo que no habiendo más que hacer constar, y------------------------------------------------------------------------------------------------------------</w:t>
      </w:r>
      <w:r w:rsidR="007B0376" w:rsidRPr="00820CD7">
        <w:rPr>
          <w:rFonts w:ascii="Palatino Linotype" w:eastAsia="Palatino Linotype" w:hAnsi="Palatino Linotype" w:cs="Palatino Linotype"/>
          <w:color w:val="000000"/>
        </w:rPr>
        <w:t>------------------------------</w:t>
      </w:r>
    </w:p>
    <w:p w:rsidR="00453E68" w:rsidRPr="00820CD7" w:rsidRDefault="00453E68">
      <w:pPr>
        <w:pBdr>
          <w:top w:val="nil"/>
          <w:left w:val="nil"/>
          <w:bottom w:val="nil"/>
          <w:right w:val="nil"/>
          <w:between w:val="nil"/>
        </w:pBdr>
        <w:tabs>
          <w:tab w:val="left" w:pos="426"/>
        </w:tabs>
        <w:spacing w:line="360" w:lineRule="auto"/>
        <w:ind w:left="3510"/>
        <w:jc w:val="both"/>
        <w:rPr>
          <w:rFonts w:ascii="Palatino Linotype" w:eastAsia="Palatino Linotype" w:hAnsi="Palatino Linotype" w:cs="Palatino Linotype"/>
        </w:rPr>
      </w:pPr>
    </w:p>
    <w:p w:rsidR="00453E68" w:rsidRPr="00820CD7" w:rsidRDefault="00FB3022">
      <w:pPr>
        <w:pStyle w:val="Ttulo1"/>
        <w:jc w:val="center"/>
      </w:pPr>
      <w:bookmarkStart w:id="1" w:name="_heading=h.30j0zll" w:colFirst="0" w:colLast="0"/>
      <w:bookmarkEnd w:id="1"/>
      <w:r w:rsidRPr="00820CD7">
        <w:t>C O N S I D E R A N D O</w:t>
      </w:r>
    </w:p>
    <w:p w:rsidR="00453E68" w:rsidRPr="00820CD7" w:rsidRDefault="00FB3022">
      <w:pPr>
        <w:pStyle w:val="Ttulo1"/>
        <w:jc w:val="center"/>
        <w:rPr>
          <w:b w:val="0"/>
        </w:rPr>
      </w:pPr>
      <w:bookmarkStart w:id="2" w:name="_heading=h.t8fsgysims5d" w:colFirst="0" w:colLast="0"/>
      <w:bookmarkEnd w:id="2"/>
      <w:r w:rsidRPr="00820CD7">
        <w:t xml:space="preserve"> </w:t>
      </w:r>
    </w:p>
    <w:p w:rsidR="00453E68" w:rsidRPr="00820CD7" w:rsidRDefault="00FB3022">
      <w:pPr>
        <w:pStyle w:val="Ttulo2"/>
        <w:rPr>
          <w:rFonts w:ascii="Palatino Linotype" w:eastAsia="Palatino Linotype" w:hAnsi="Palatino Linotype" w:cs="Palatino Linotype"/>
          <w:b/>
          <w:color w:val="000000"/>
          <w:sz w:val="24"/>
          <w:szCs w:val="24"/>
        </w:rPr>
      </w:pPr>
      <w:bookmarkStart w:id="3" w:name="_heading=h.1fob9te" w:colFirst="0" w:colLast="0"/>
      <w:bookmarkEnd w:id="3"/>
      <w:r w:rsidRPr="00820CD7">
        <w:rPr>
          <w:rFonts w:ascii="Palatino Linotype" w:eastAsia="Palatino Linotype" w:hAnsi="Palatino Linotype" w:cs="Palatino Linotype"/>
          <w:b/>
          <w:color w:val="000000"/>
          <w:sz w:val="24"/>
          <w:szCs w:val="24"/>
        </w:rPr>
        <w:t>PRIMERO. De la competencia</w:t>
      </w: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 xml:space="preserve">Este Instituto de Transparencia, Acceso a la Información Pública y Protección de Datos Personales del Estado de México y Municipios, es competente para conocer y resolver del presente recurso de conformidad con el artículo: 6, apartado </w:t>
      </w:r>
      <w:r w:rsidRPr="00820CD7">
        <w:rPr>
          <w:rFonts w:ascii="Palatino Linotype" w:eastAsia="Palatino Linotype" w:hAnsi="Palatino Linotype" w:cs="Palatino Linotype"/>
          <w:color w:val="000000"/>
        </w:rPr>
        <w:lastRenderedPageBreak/>
        <w:t xml:space="preserve">A, fracción IV de la </w:t>
      </w:r>
      <w:r w:rsidRPr="00820CD7">
        <w:rPr>
          <w:rFonts w:ascii="Palatino Linotype" w:eastAsia="Palatino Linotype" w:hAnsi="Palatino Linotype" w:cs="Palatino Linotype"/>
          <w:b/>
          <w:color w:val="000000"/>
        </w:rPr>
        <w:t>Constitución Política de los Estados Unidos Mexicanos</w:t>
      </w:r>
      <w:r w:rsidRPr="00820CD7">
        <w:rPr>
          <w:rFonts w:ascii="Palatino Linotype" w:eastAsia="Palatino Linotype" w:hAnsi="Palatino Linotype" w:cs="Palatino Linotype"/>
          <w:color w:val="000000"/>
        </w:rPr>
        <w:t xml:space="preserve">; 5, párrafos </w:t>
      </w:r>
      <w:r w:rsidRPr="00820CD7">
        <w:rPr>
          <w:rFonts w:ascii="Palatino Linotype" w:eastAsia="Palatino Linotype" w:hAnsi="Palatino Linotype" w:cs="Palatino Linotype"/>
          <w:color w:val="222222"/>
        </w:rPr>
        <w:t>vigésimo noveno, trigésimo y trigésimo primero fracciones</w:t>
      </w:r>
      <w:r w:rsidRPr="00820CD7">
        <w:rPr>
          <w:rFonts w:ascii="Palatino Linotype" w:eastAsia="Palatino Linotype" w:hAnsi="Palatino Linotype" w:cs="Palatino Linotype"/>
          <w:color w:val="000000"/>
        </w:rPr>
        <w:t xml:space="preserve"> IV y V de la </w:t>
      </w:r>
      <w:r w:rsidRPr="00820CD7">
        <w:rPr>
          <w:rFonts w:ascii="Palatino Linotype" w:eastAsia="Palatino Linotype" w:hAnsi="Palatino Linotype" w:cs="Palatino Linotype"/>
          <w:b/>
          <w:color w:val="000000"/>
        </w:rPr>
        <w:t>Constitución Política del Estado Libre y Soberano de México</w:t>
      </w:r>
      <w:r w:rsidRPr="00820CD7">
        <w:rPr>
          <w:rFonts w:ascii="Palatino Linotype" w:eastAsia="Palatino Linotype" w:hAnsi="Palatino Linotype" w:cs="Palatino Linotype"/>
          <w:color w:val="000000"/>
        </w:rPr>
        <w:t xml:space="preserve">; artículos 1, 2 fracción II, 13, 29, 36 fracciones I y II, 176, 178, 179, 181 párrafo tercero y 185 de la </w:t>
      </w:r>
      <w:r w:rsidRPr="00820CD7">
        <w:rPr>
          <w:rFonts w:ascii="Palatino Linotype" w:eastAsia="Palatino Linotype" w:hAnsi="Palatino Linotype" w:cs="Palatino Linotype"/>
          <w:b/>
          <w:color w:val="000000"/>
        </w:rPr>
        <w:t>Ley de Transparencia y Acceso a la Información Pública del Estado de México y Municipios</w:t>
      </w:r>
      <w:r w:rsidRPr="00820CD7">
        <w:rPr>
          <w:rFonts w:ascii="Palatino Linotype" w:eastAsia="Palatino Linotype" w:hAnsi="Palatino Linotype" w:cs="Palatino Linotype"/>
          <w:color w:val="000000"/>
        </w:rPr>
        <w:t xml:space="preserve">; y 7, 9 fracciones I y XXIV, y 11 del </w:t>
      </w:r>
      <w:r w:rsidRPr="00820CD7">
        <w:rPr>
          <w:rFonts w:ascii="Palatino Linotype" w:eastAsia="Palatino Linotype" w:hAnsi="Palatino Linotype" w:cs="Palatino Linotype"/>
          <w:b/>
          <w:color w:val="000000"/>
        </w:rPr>
        <w:t>Reglamento Interior del Instituto de Transparencia, Acceso a la Información Pública y Protección de Datos Personales del Estado de México y Municipios</w:t>
      </w:r>
      <w:r w:rsidRPr="00820CD7">
        <w:rPr>
          <w:rFonts w:ascii="Palatino Linotype" w:eastAsia="Palatino Linotype" w:hAnsi="Palatino Linotype" w:cs="Palatino Linotype"/>
          <w:color w:val="000000"/>
        </w:rPr>
        <w:t>.</w:t>
      </w:r>
    </w:p>
    <w:p w:rsidR="00453E68" w:rsidRPr="00820CD7" w:rsidRDefault="00453E68">
      <w:pPr>
        <w:pBdr>
          <w:top w:val="nil"/>
          <w:left w:val="nil"/>
          <w:bottom w:val="nil"/>
          <w:right w:val="nil"/>
          <w:between w:val="nil"/>
        </w:pBdr>
        <w:spacing w:after="240" w:line="360" w:lineRule="auto"/>
        <w:jc w:val="both"/>
        <w:rPr>
          <w:rFonts w:ascii="Palatino Linotype" w:eastAsia="Palatino Linotype" w:hAnsi="Palatino Linotype" w:cs="Palatino Linotype"/>
          <w:color w:val="000000"/>
        </w:rPr>
      </w:pPr>
    </w:p>
    <w:p w:rsidR="00453E68" w:rsidRPr="00820CD7" w:rsidRDefault="00FB3022">
      <w:pPr>
        <w:pStyle w:val="Ttulo2"/>
        <w:rPr>
          <w:rFonts w:ascii="Palatino Linotype" w:eastAsia="Palatino Linotype" w:hAnsi="Palatino Linotype" w:cs="Palatino Linotype"/>
          <w:b/>
          <w:color w:val="000000"/>
          <w:sz w:val="24"/>
          <w:szCs w:val="24"/>
        </w:rPr>
      </w:pPr>
      <w:bookmarkStart w:id="4" w:name="_heading=h.3znysh7" w:colFirst="0" w:colLast="0"/>
      <w:bookmarkEnd w:id="4"/>
      <w:r w:rsidRPr="00820CD7">
        <w:rPr>
          <w:rFonts w:ascii="Palatino Linotype" w:eastAsia="Palatino Linotype" w:hAnsi="Palatino Linotype" w:cs="Palatino Linotype"/>
          <w:b/>
          <w:color w:val="000000"/>
          <w:sz w:val="24"/>
          <w:szCs w:val="24"/>
        </w:rPr>
        <w:t>SEGUNDO. De la oportunidad y procedencia.</w:t>
      </w: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 xml:space="preserve">Los medios de impugnación fueron presentados a través del </w:t>
      </w:r>
      <w:r w:rsidRPr="00820CD7">
        <w:rPr>
          <w:rFonts w:ascii="Palatino Linotype" w:eastAsia="Palatino Linotype" w:hAnsi="Palatino Linotype" w:cs="Palatino Linotype"/>
          <w:b/>
          <w:color w:val="000000"/>
        </w:rPr>
        <w:t>SAIMEX,</w:t>
      </w:r>
      <w:r w:rsidRPr="00820CD7">
        <w:rPr>
          <w:rFonts w:ascii="Palatino Linotype" w:eastAsia="Palatino Linotype" w:hAnsi="Palatino Linotype" w:cs="Palatino Linotype"/>
          <w:color w:val="000000"/>
        </w:rPr>
        <w:t xml:space="preserve"> en el formato previamente aprobado para tal efecto y dentro del plazo legal de quince días hábiles otorgados; siendo así que el </w:t>
      </w:r>
      <w:r w:rsidRPr="00820CD7">
        <w:rPr>
          <w:rFonts w:ascii="Palatino Linotype" w:eastAsia="Palatino Linotype" w:hAnsi="Palatino Linotype" w:cs="Palatino Linotype"/>
          <w:b/>
          <w:color w:val="000000"/>
        </w:rPr>
        <w:t>SUJETO OBLIGADO</w:t>
      </w:r>
      <w:r w:rsidRPr="00820CD7">
        <w:rPr>
          <w:rFonts w:ascii="Palatino Linotype" w:eastAsia="Palatino Linotype" w:hAnsi="Palatino Linotype" w:cs="Palatino Linotype"/>
          <w:color w:val="000000"/>
        </w:rPr>
        <w:t xml:space="preserve"> entregó su respuesta a la solicitud de información el </w:t>
      </w:r>
      <w:r w:rsidR="007B0376" w:rsidRPr="00820CD7">
        <w:rPr>
          <w:rFonts w:ascii="Palatino Linotype" w:eastAsia="Palatino Linotype" w:hAnsi="Palatino Linotype" w:cs="Palatino Linotype"/>
          <w:b/>
          <w:color w:val="000000"/>
        </w:rPr>
        <w:t>nueve de octubre de dos mil veinticuatro</w:t>
      </w:r>
      <w:r w:rsidRPr="00820CD7">
        <w:rPr>
          <w:rFonts w:ascii="Palatino Linotype" w:eastAsia="Palatino Linotype" w:hAnsi="Palatino Linotype" w:cs="Palatino Linotype"/>
          <w:color w:val="000000"/>
        </w:rPr>
        <w:t xml:space="preserve">, de tal forma que el plazo para interponer el presente recurso de revisión transcurrió del día </w:t>
      </w:r>
      <w:r w:rsidR="007B0376" w:rsidRPr="00820CD7">
        <w:rPr>
          <w:rFonts w:ascii="Palatino Linotype" w:eastAsia="Palatino Linotype" w:hAnsi="Palatino Linotype" w:cs="Palatino Linotype"/>
          <w:b/>
          <w:color w:val="000000"/>
        </w:rPr>
        <w:t>diez de octubre al treinta de octubre de dos mil veinticuatro</w:t>
      </w:r>
      <w:r w:rsidR="007B0376" w:rsidRPr="00820CD7">
        <w:rPr>
          <w:rFonts w:ascii="Palatino Linotype" w:eastAsia="Palatino Linotype" w:hAnsi="Palatino Linotype" w:cs="Palatino Linotype"/>
          <w:color w:val="000000"/>
        </w:rPr>
        <w:t xml:space="preserve">, en consecuencia, presentó el recurso que nos ocupa el </w:t>
      </w:r>
      <w:r w:rsidR="007B0376" w:rsidRPr="00820CD7">
        <w:rPr>
          <w:rFonts w:ascii="Palatino Linotype" w:eastAsia="Palatino Linotype" w:hAnsi="Palatino Linotype" w:cs="Palatino Linotype"/>
          <w:b/>
          <w:color w:val="000000"/>
        </w:rPr>
        <w:t>veintiuno de octubre de dos mil veinticuatro</w:t>
      </w:r>
      <w:r w:rsidRPr="00820CD7">
        <w:rPr>
          <w:rFonts w:ascii="Palatino Linotype" w:eastAsia="Palatino Linotype" w:hAnsi="Palatino Linotype" w:cs="Palatino Linotype"/>
          <w:color w:val="000000"/>
        </w:rPr>
        <w:t xml:space="preserve">, por lo que se encuentra dentro de los márgenes temporales previstos en el artículo 178 de la </w:t>
      </w:r>
      <w:r w:rsidRPr="00820CD7">
        <w:rPr>
          <w:rFonts w:ascii="Palatino Linotype" w:eastAsia="Palatino Linotype" w:hAnsi="Palatino Linotype" w:cs="Palatino Linotype"/>
          <w:b/>
          <w:color w:val="000000"/>
        </w:rPr>
        <w:t>Ley de Transparencia y Acceso a la Información Pública del Estado de México y Municipios vigente.</w:t>
      </w:r>
    </w:p>
    <w:p w:rsidR="00453E68" w:rsidRPr="00820CD7" w:rsidRDefault="00453E68">
      <w:pPr>
        <w:pBdr>
          <w:top w:val="nil"/>
          <w:left w:val="nil"/>
          <w:bottom w:val="nil"/>
          <w:right w:val="nil"/>
          <w:between w:val="nil"/>
        </w:pBdr>
        <w:tabs>
          <w:tab w:val="left" w:pos="426"/>
        </w:tabs>
        <w:spacing w:line="360" w:lineRule="auto"/>
        <w:jc w:val="both"/>
        <w:rPr>
          <w:rFonts w:ascii="Palatino Linotype" w:eastAsia="Palatino Linotype" w:hAnsi="Palatino Linotype" w:cs="Palatino Linotype"/>
          <w:color w:val="000000"/>
        </w:rPr>
      </w:pP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 xml:space="preserve">Por otro lado, los escritos contienen las formalidades previstas por el artículo 180 último párrafo de la Ley de la materia actual, por lo que es procedente que este Instituto de Transparencia, Acceso a la Información Pública y Protección de Datos </w:t>
      </w:r>
      <w:r w:rsidRPr="00820CD7">
        <w:rPr>
          <w:rFonts w:ascii="Palatino Linotype" w:eastAsia="Palatino Linotype" w:hAnsi="Palatino Linotype" w:cs="Palatino Linotype"/>
          <w:color w:val="000000"/>
        </w:rPr>
        <w:lastRenderedPageBreak/>
        <w:t>Personales del Estado de México y Municipios, conozca y resuelva el presente recurso.</w:t>
      </w:r>
    </w:p>
    <w:p w:rsidR="00453E68" w:rsidRPr="00820CD7" w:rsidRDefault="00453E68">
      <w:pPr>
        <w:pBdr>
          <w:top w:val="nil"/>
          <w:left w:val="nil"/>
          <w:bottom w:val="nil"/>
          <w:right w:val="nil"/>
          <w:between w:val="nil"/>
        </w:pBdr>
        <w:ind w:left="720"/>
        <w:rPr>
          <w:rFonts w:ascii="Palatino Linotype" w:eastAsia="Palatino Linotype" w:hAnsi="Palatino Linotype" w:cs="Palatino Linotype"/>
          <w:color w:val="000000"/>
        </w:rPr>
      </w:pPr>
    </w:p>
    <w:p w:rsidR="00453E68" w:rsidRPr="00820CD7" w:rsidRDefault="00FB3022">
      <w:pPr>
        <w:keepNext/>
        <w:keepLines/>
        <w:spacing w:before="240" w:line="360" w:lineRule="auto"/>
        <w:rPr>
          <w:rFonts w:ascii="Palatino Linotype" w:eastAsia="Palatino Linotype" w:hAnsi="Palatino Linotype" w:cs="Palatino Linotype"/>
          <w:b/>
        </w:rPr>
      </w:pPr>
      <w:bookmarkStart w:id="5" w:name="_heading=h.2et92p0" w:colFirst="0" w:colLast="0"/>
      <w:bookmarkEnd w:id="5"/>
      <w:r w:rsidRPr="00820CD7">
        <w:rPr>
          <w:rFonts w:ascii="Palatino Linotype" w:eastAsia="Palatino Linotype" w:hAnsi="Palatino Linotype" w:cs="Palatino Linotype"/>
          <w:b/>
        </w:rPr>
        <w:t>TERCERO. De las causales del sobreseimiento.</w:t>
      </w: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 xml:space="preserve">El recurso revisión tiene como finalidad reparar cualquier posible afectación al Derecho de Acceso a la Información Pública en términos del Título Octavo de la Ley de Transparencia, Acceso a la Información Pública del Estado de México y Municipios, y determinar la confirmación; revocación o modificación; </w:t>
      </w:r>
      <w:proofErr w:type="spellStart"/>
      <w:r w:rsidRPr="00820CD7">
        <w:rPr>
          <w:rFonts w:ascii="Palatino Linotype" w:eastAsia="Palatino Linotype" w:hAnsi="Palatino Linotype" w:cs="Palatino Linotype"/>
          <w:color w:val="000000"/>
        </w:rPr>
        <w:t>desechamiento</w:t>
      </w:r>
      <w:proofErr w:type="spellEnd"/>
      <w:r w:rsidRPr="00820CD7">
        <w:rPr>
          <w:rFonts w:ascii="Palatino Linotype" w:eastAsia="Palatino Linotype" w:hAnsi="Palatino Linotype" w:cs="Palatino Linotype"/>
          <w:color w:val="000000"/>
        </w:rPr>
        <w:t xml:space="preserve"> o </w:t>
      </w:r>
      <w:r w:rsidRPr="00820CD7">
        <w:rPr>
          <w:rFonts w:ascii="Palatino Linotype" w:eastAsia="Palatino Linotype" w:hAnsi="Palatino Linotype" w:cs="Palatino Linotype"/>
          <w:b/>
          <w:color w:val="000000"/>
          <w:u w:val="single"/>
        </w:rPr>
        <w:t>sobreseimiento</w:t>
      </w:r>
      <w:r w:rsidRPr="00820CD7">
        <w:rPr>
          <w:rFonts w:ascii="Palatino Linotype" w:eastAsia="Palatino Linotype" w:hAnsi="Palatino Linotype" w:cs="Palatino Linotype"/>
          <w:color w:val="000000"/>
        </w:rPr>
        <w:t xml:space="preserve">; y, en su caso, ordenar la entrega de la información respecto a la falta de respuesta por parte del </w:t>
      </w:r>
      <w:r w:rsidRPr="00820CD7">
        <w:rPr>
          <w:rFonts w:ascii="Palatino Linotype" w:eastAsia="Palatino Linotype" w:hAnsi="Palatino Linotype" w:cs="Palatino Linotype"/>
          <w:b/>
          <w:color w:val="000000"/>
        </w:rPr>
        <w:t>SUJETO</w:t>
      </w:r>
      <w:r w:rsidRPr="00820CD7">
        <w:rPr>
          <w:rFonts w:ascii="Palatino Linotype" w:eastAsia="Palatino Linotype" w:hAnsi="Palatino Linotype" w:cs="Palatino Linotype"/>
          <w:color w:val="000000"/>
        </w:rPr>
        <w:t xml:space="preserve"> </w:t>
      </w:r>
      <w:r w:rsidRPr="00820CD7">
        <w:rPr>
          <w:rFonts w:ascii="Palatino Linotype" w:eastAsia="Palatino Linotype" w:hAnsi="Palatino Linotype" w:cs="Palatino Linotype"/>
          <w:b/>
          <w:color w:val="000000"/>
        </w:rPr>
        <w:t>OBLIGADO</w:t>
      </w:r>
      <w:r w:rsidRPr="00820CD7">
        <w:rPr>
          <w:rFonts w:ascii="Palatino Linotype" w:eastAsia="Palatino Linotype" w:hAnsi="Palatino Linotype" w:cs="Palatino Linotype"/>
          <w:color w:val="000000"/>
        </w:rPr>
        <w:t>.</w:t>
      </w:r>
    </w:p>
    <w:p w:rsidR="00453E68" w:rsidRPr="00820CD7" w:rsidRDefault="00453E68">
      <w:pPr>
        <w:pBdr>
          <w:top w:val="nil"/>
          <w:left w:val="nil"/>
          <w:bottom w:val="nil"/>
          <w:right w:val="nil"/>
          <w:between w:val="nil"/>
        </w:pBdr>
        <w:tabs>
          <w:tab w:val="left" w:pos="426"/>
        </w:tabs>
        <w:spacing w:line="360" w:lineRule="auto"/>
        <w:jc w:val="both"/>
        <w:rPr>
          <w:rFonts w:ascii="Palatino Linotype" w:eastAsia="Palatino Linotype" w:hAnsi="Palatino Linotype" w:cs="Palatino Linotype"/>
          <w:color w:val="000000"/>
        </w:rPr>
      </w:pPr>
    </w:p>
    <w:p w:rsidR="007B0376"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rFonts w:ascii="Palatino Linotype" w:hAnsi="Palatino Linotype"/>
          <w:color w:val="000000"/>
        </w:rPr>
      </w:pPr>
      <w:r w:rsidRPr="00820CD7">
        <w:rPr>
          <w:rFonts w:ascii="Palatino Linotype" w:eastAsia="Palatino Linotype" w:hAnsi="Palatino Linotype" w:cs="Palatino Linotype"/>
          <w:color w:val="000000"/>
        </w:rPr>
        <w:t>Ahora bien, en el presente caso el recurrente solicitó</w:t>
      </w:r>
      <w:r w:rsidR="007B0376" w:rsidRPr="00820CD7">
        <w:rPr>
          <w:rFonts w:ascii="Palatino Linotype" w:eastAsia="Palatino Linotype" w:hAnsi="Palatino Linotype" w:cs="Palatino Linotype"/>
          <w:color w:val="000000"/>
        </w:rPr>
        <w:t xml:space="preserve"> la información que a continuación se desagrega:</w:t>
      </w:r>
    </w:p>
    <w:p w:rsidR="00EF68D9" w:rsidRPr="00820CD7" w:rsidRDefault="007B0376" w:rsidP="00EF68D9">
      <w:pPr>
        <w:pBdr>
          <w:top w:val="nil"/>
          <w:left w:val="nil"/>
          <w:bottom w:val="nil"/>
          <w:right w:val="nil"/>
          <w:between w:val="nil"/>
        </w:pBdr>
        <w:tabs>
          <w:tab w:val="left" w:pos="426"/>
        </w:tabs>
        <w:ind w:left="709" w:right="567"/>
        <w:jc w:val="both"/>
        <w:rPr>
          <w:rFonts w:ascii="Palatino Linotype" w:eastAsia="Palatino Linotype" w:hAnsi="Palatino Linotype" w:cs="Palatino Linotype"/>
          <w:color w:val="000000"/>
        </w:rPr>
      </w:pPr>
      <w:r w:rsidRPr="00820CD7">
        <w:rPr>
          <w:rFonts w:ascii="Palatino Linotype" w:eastAsia="Palatino Linotype" w:hAnsi="Palatino Linotype" w:cs="Palatino Linotype"/>
          <w:color w:val="000000"/>
        </w:rPr>
        <w:t>De la C. Luz María Cuero Hernández</w:t>
      </w:r>
      <w:r w:rsidR="00EF68D9" w:rsidRPr="00820CD7">
        <w:rPr>
          <w:rFonts w:ascii="Palatino Linotype" w:eastAsia="Palatino Linotype" w:hAnsi="Palatino Linotype" w:cs="Palatino Linotype"/>
          <w:color w:val="000000"/>
        </w:rPr>
        <w:t>:</w:t>
      </w:r>
    </w:p>
    <w:p w:rsidR="00EF68D9" w:rsidRPr="00820CD7" w:rsidRDefault="00EF68D9" w:rsidP="00EF68D9">
      <w:pPr>
        <w:pBdr>
          <w:top w:val="nil"/>
          <w:left w:val="nil"/>
          <w:bottom w:val="nil"/>
          <w:right w:val="nil"/>
          <w:between w:val="nil"/>
        </w:pBdr>
        <w:tabs>
          <w:tab w:val="left" w:pos="426"/>
        </w:tabs>
        <w:ind w:left="709" w:right="567"/>
        <w:jc w:val="both"/>
        <w:rPr>
          <w:rFonts w:ascii="Palatino Linotype" w:eastAsia="Palatino Linotype" w:hAnsi="Palatino Linotype" w:cs="Palatino Linotype"/>
          <w:color w:val="000000"/>
        </w:rPr>
      </w:pPr>
    </w:p>
    <w:p w:rsidR="00453E68" w:rsidRPr="00820CD7" w:rsidRDefault="00EF68D9" w:rsidP="00EF68D9">
      <w:pPr>
        <w:pStyle w:val="Prrafodelista"/>
        <w:numPr>
          <w:ilvl w:val="0"/>
          <w:numId w:val="10"/>
        </w:numPr>
        <w:pBdr>
          <w:top w:val="nil"/>
          <w:left w:val="nil"/>
          <w:bottom w:val="nil"/>
          <w:right w:val="nil"/>
          <w:between w:val="nil"/>
        </w:pBdr>
        <w:tabs>
          <w:tab w:val="left" w:pos="426"/>
        </w:tabs>
        <w:ind w:right="567"/>
        <w:jc w:val="both"/>
        <w:rPr>
          <w:rFonts w:ascii="Palatino Linotype" w:hAnsi="Palatino Linotype"/>
          <w:color w:val="000000"/>
        </w:rPr>
      </w:pPr>
      <w:r w:rsidRPr="00820CD7">
        <w:rPr>
          <w:rFonts w:ascii="Palatino Linotype" w:eastAsia="Palatino Linotype" w:hAnsi="Palatino Linotype" w:cs="Palatino Linotype"/>
          <w:color w:val="000000"/>
        </w:rPr>
        <w:t>Actividades</w:t>
      </w:r>
      <w:r w:rsidR="007B0376" w:rsidRPr="00820CD7">
        <w:rPr>
          <w:rFonts w:ascii="Palatino Linotype" w:eastAsia="Palatino Linotype" w:hAnsi="Palatino Linotype" w:cs="Palatino Linotype"/>
          <w:color w:val="000000"/>
        </w:rPr>
        <w:t xml:space="preserve"> enlistadas con horar</w:t>
      </w:r>
      <w:r w:rsidRPr="00820CD7">
        <w:rPr>
          <w:rFonts w:ascii="Palatino Linotype" w:eastAsia="Palatino Linotype" w:hAnsi="Palatino Linotype" w:cs="Palatino Linotype"/>
          <w:color w:val="000000"/>
        </w:rPr>
        <w:t>io desde su nuevo ingreso al veinticuatro de septiembre de dos mil veinticuatro.</w:t>
      </w:r>
    </w:p>
    <w:p w:rsidR="00453E68" w:rsidRPr="00820CD7" w:rsidRDefault="00453E68">
      <w:pPr>
        <w:pBdr>
          <w:top w:val="nil"/>
          <w:left w:val="nil"/>
          <w:bottom w:val="nil"/>
          <w:right w:val="nil"/>
          <w:between w:val="nil"/>
        </w:pBdr>
        <w:ind w:left="720"/>
        <w:rPr>
          <w:rFonts w:ascii="Palatino Linotype" w:eastAsia="Palatino Linotype" w:hAnsi="Palatino Linotype" w:cs="Palatino Linotype"/>
          <w:color w:val="000000"/>
        </w:rPr>
      </w:pPr>
    </w:p>
    <w:p w:rsidR="00EF68D9"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 xml:space="preserve">A lo anterior, el </w:t>
      </w:r>
      <w:r w:rsidRPr="00820CD7">
        <w:rPr>
          <w:rFonts w:ascii="Palatino Linotype" w:eastAsia="Palatino Linotype" w:hAnsi="Palatino Linotype" w:cs="Palatino Linotype"/>
          <w:b/>
          <w:color w:val="000000"/>
        </w:rPr>
        <w:t xml:space="preserve">SUJETO OBLIGADO </w:t>
      </w:r>
      <w:r w:rsidRPr="00820CD7">
        <w:rPr>
          <w:rFonts w:ascii="Palatino Linotype" w:eastAsia="Palatino Linotype" w:hAnsi="Palatino Linotype" w:cs="Palatino Linotype"/>
          <w:color w:val="000000"/>
        </w:rPr>
        <w:t xml:space="preserve">dio respuesta como ya ha quedado referido en el </w:t>
      </w:r>
      <w:r w:rsidR="00EF68D9" w:rsidRPr="00820CD7">
        <w:rPr>
          <w:rFonts w:ascii="Palatino Linotype" w:eastAsia="Palatino Linotype" w:hAnsi="Palatino Linotype" w:cs="Palatino Linotype"/>
          <w:color w:val="000000"/>
        </w:rPr>
        <w:t>numeral 2 del presente recurso.</w:t>
      </w:r>
    </w:p>
    <w:p w:rsidR="00EF68D9" w:rsidRPr="00820CD7" w:rsidRDefault="00EF68D9">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 xml:space="preserve">Inconforme con la respuesta proporcionada, la </w:t>
      </w:r>
      <w:r w:rsidRPr="00820CD7">
        <w:rPr>
          <w:rFonts w:ascii="Palatino Linotype" w:eastAsia="Palatino Linotype" w:hAnsi="Palatino Linotype" w:cs="Palatino Linotype"/>
          <w:b/>
          <w:color w:val="000000"/>
        </w:rPr>
        <w:t xml:space="preserve">PARTICULAR </w:t>
      </w:r>
      <w:r w:rsidRPr="00820CD7">
        <w:rPr>
          <w:rFonts w:ascii="Palatino Linotype" w:eastAsia="Palatino Linotype" w:hAnsi="Palatino Linotype" w:cs="Palatino Linotype"/>
          <w:color w:val="000000"/>
        </w:rPr>
        <w:t>interpuso el presente recuso, sin embargo,</w:t>
      </w:r>
      <w:r w:rsidR="00FB3022" w:rsidRPr="00820CD7">
        <w:rPr>
          <w:rFonts w:ascii="Palatino Linotype" w:eastAsia="Palatino Linotype" w:hAnsi="Palatino Linotype" w:cs="Palatino Linotype"/>
          <w:color w:val="000000"/>
        </w:rPr>
        <w:t xml:space="preserve"> se advierte que los motivos o razones de inconformidad no guardan relación con la solicitud de acceso a la información, ni con la respuesta emitida por el Sujeto Obligado, pues el </w:t>
      </w:r>
      <w:r w:rsidR="00FB3022" w:rsidRPr="00820CD7">
        <w:rPr>
          <w:rFonts w:ascii="Palatino Linotype" w:eastAsia="Palatino Linotype" w:hAnsi="Palatino Linotype" w:cs="Palatino Linotype"/>
          <w:b/>
          <w:color w:val="000000"/>
        </w:rPr>
        <w:t xml:space="preserve">RECURRENTE </w:t>
      </w:r>
      <w:r w:rsidRPr="00820CD7">
        <w:rPr>
          <w:rFonts w:ascii="Palatino Linotype" w:eastAsia="Palatino Linotype" w:hAnsi="Palatino Linotype" w:cs="Palatino Linotype"/>
          <w:color w:val="000000"/>
        </w:rPr>
        <w:t>se inconformo arguyendo como acto impugnado y razones o motivos de inconformidad, ¿</w:t>
      </w:r>
      <w:r w:rsidRPr="00820CD7">
        <w:rPr>
          <w:rFonts w:ascii="Palatino Linotype" w:eastAsia="Palatino Linotype" w:hAnsi="Palatino Linotype" w:cs="Palatino Linotype"/>
          <w:i/>
          <w:color w:val="000000"/>
        </w:rPr>
        <w:t xml:space="preserve">Cuál es el papel que desempeña el organismo garante nacional INAI para </w:t>
      </w:r>
      <w:r w:rsidRPr="00820CD7">
        <w:rPr>
          <w:rFonts w:ascii="Palatino Linotype" w:eastAsia="Palatino Linotype" w:hAnsi="Palatino Linotype" w:cs="Palatino Linotype"/>
          <w:i/>
          <w:color w:val="000000"/>
        </w:rPr>
        <w:lastRenderedPageBreak/>
        <w:t>que las instituciones privadas garanticen el derecho a la protección de datos personales a la ciudadanía?</w:t>
      </w:r>
      <w:r w:rsidR="00FB3022" w:rsidRPr="00820CD7">
        <w:rPr>
          <w:rFonts w:ascii="Palatino Linotype" w:eastAsia="Palatino Linotype" w:hAnsi="Palatino Linotype" w:cs="Palatino Linotype"/>
          <w:i/>
          <w:color w:val="000000"/>
        </w:rPr>
        <w:t>,</w:t>
      </w:r>
      <w:r w:rsidR="00FB3022" w:rsidRPr="00820CD7">
        <w:rPr>
          <w:rFonts w:ascii="Palatino Linotype" w:eastAsia="Palatino Linotype" w:hAnsi="Palatino Linotype" w:cs="Palatino Linotype"/>
          <w:color w:val="000000"/>
        </w:rPr>
        <w:t xml:space="preserve"> </w:t>
      </w:r>
      <w:r w:rsidRPr="00820CD7">
        <w:rPr>
          <w:rFonts w:ascii="Palatino Linotype" w:eastAsia="Palatino Linotype" w:hAnsi="Palatino Linotype" w:cs="Palatino Linotype"/>
          <w:color w:val="000000"/>
        </w:rPr>
        <w:t>de lo que se advierte que utiliza el recurso para solicitar información diversa que no guarda relación con las actividades de la servidora pública referida en la solicitud de información.</w:t>
      </w:r>
    </w:p>
    <w:p w:rsidR="00EF68D9" w:rsidRPr="00820CD7" w:rsidRDefault="00EF68D9" w:rsidP="00EF68D9">
      <w:pPr>
        <w:pBdr>
          <w:top w:val="nil"/>
          <w:left w:val="nil"/>
          <w:bottom w:val="nil"/>
          <w:right w:val="nil"/>
          <w:between w:val="nil"/>
        </w:pBdr>
        <w:tabs>
          <w:tab w:val="left" w:pos="426"/>
        </w:tabs>
        <w:spacing w:line="360" w:lineRule="auto"/>
        <w:jc w:val="both"/>
        <w:rPr>
          <w:color w:val="000000"/>
        </w:rPr>
      </w:pPr>
    </w:p>
    <w:p w:rsidR="00453E68" w:rsidRPr="00820CD7" w:rsidRDefault="00EF68D9" w:rsidP="00EF68D9">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Al respecto de lo anterior, resulta necesario pre precisar que,</w:t>
      </w:r>
      <w:r w:rsidR="00FB3022" w:rsidRPr="00820CD7">
        <w:rPr>
          <w:rFonts w:ascii="Palatino Linotype" w:eastAsia="Palatino Linotype" w:hAnsi="Palatino Linotype" w:cs="Palatino Linotype"/>
          <w:color w:val="000000"/>
        </w:rPr>
        <w:t xml:space="preserve"> para la interposición del recurso de revisión, los motivos de inconformidad deben tener relación con la solicitud </w:t>
      </w:r>
      <w:r w:rsidRPr="00820CD7">
        <w:rPr>
          <w:rFonts w:ascii="Palatino Linotype" w:eastAsia="Palatino Linotype" w:hAnsi="Palatino Linotype" w:cs="Palatino Linotype"/>
          <w:color w:val="000000"/>
        </w:rPr>
        <w:t xml:space="preserve">de información </w:t>
      </w:r>
      <w:r w:rsidR="00FB3022" w:rsidRPr="00820CD7">
        <w:rPr>
          <w:rFonts w:ascii="Palatino Linotype" w:eastAsia="Palatino Linotype" w:hAnsi="Palatino Linotype" w:cs="Palatino Linotype"/>
          <w:color w:val="000000"/>
        </w:rPr>
        <w:t>o bien</w:t>
      </w:r>
      <w:r w:rsidRPr="00820CD7">
        <w:rPr>
          <w:rFonts w:ascii="Palatino Linotype" w:eastAsia="Palatino Linotype" w:hAnsi="Palatino Linotype" w:cs="Palatino Linotype"/>
          <w:color w:val="000000"/>
        </w:rPr>
        <w:t xml:space="preserve"> con la respuesta proporcionada, requisito necesario </w:t>
      </w:r>
      <w:r w:rsidR="00FB3022" w:rsidRPr="00820CD7">
        <w:rPr>
          <w:rFonts w:ascii="Palatino Linotype" w:eastAsia="Palatino Linotype" w:hAnsi="Palatino Linotype" w:cs="Palatino Linotype"/>
          <w:color w:val="000000"/>
        </w:rPr>
        <w:t>para que se actualice alguna causal de procede</w:t>
      </w:r>
      <w:r w:rsidRPr="00820CD7">
        <w:rPr>
          <w:rFonts w:ascii="Palatino Linotype" w:eastAsia="Palatino Linotype" w:hAnsi="Palatino Linotype" w:cs="Palatino Linotype"/>
          <w:color w:val="000000"/>
        </w:rPr>
        <w:t>ncia</w:t>
      </w:r>
    </w:p>
    <w:p w:rsidR="00453E68" w:rsidRPr="00820CD7" w:rsidRDefault="00453E68">
      <w:pPr>
        <w:pBdr>
          <w:top w:val="nil"/>
          <w:left w:val="nil"/>
          <w:bottom w:val="nil"/>
          <w:right w:val="nil"/>
          <w:between w:val="nil"/>
        </w:pBdr>
        <w:ind w:left="720"/>
        <w:rPr>
          <w:rFonts w:ascii="Palatino Linotype" w:eastAsia="Palatino Linotype" w:hAnsi="Palatino Linotype" w:cs="Palatino Linotype"/>
          <w:color w:val="000000"/>
        </w:rPr>
      </w:pP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 xml:space="preserve">Sirve de sustento la Jurisprudencia No. 29 visible a foja 19 del Apéndice al Semanario Judicial de la Federación 1917-1995, </w:t>
      </w:r>
      <w:r w:rsidRPr="00820CD7">
        <w:rPr>
          <w:rFonts w:ascii="Palatino Linotype" w:eastAsia="Palatino Linotype" w:hAnsi="Palatino Linotype" w:cs="Palatino Linotype"/>
        </w:rPr>
        <w:t>Tomo</w:t>
      </w:r>
      <w:r w:rsidRPr="00820CD7">
        <w:rPr>
          <w:rFonts w:ascii="Palatino Linotype" w:eastAsia="Palatino Linotype" w:hAnsi="Palatino Linotype" w:cs="Palatino Linotype"/>
          <w:color w:val="000000"/>
        </w:rPr>
        <w:t xml:space="preserve"> VI, Materia Común, Primera Parte, Tesis de la Suprema Corte de Justicia, que contiene:</w:t>
      </w:r>
    </w:p>
    <w:p w:rsidR="00EF68D9" w:rsidRPr="00820CD7" w:rsidRDefault="00EF68D9" w:rsidP="00EF68D9">
      <w:pPr>
        <w:pBdr>
          <w:top w:val="nil"/>
          <w:left w:val="nil"/>
          <w:bottom w:val="nil"/>
          <w:right w:val="nil"/>
          <w:between w:val="nil"/>
        </w:pBdr>
        <w:tabs>
          <w:tab w:val="left" w:pos="426"/>
        </w:tabs>
        <w:spacing w:line="360" w:lineRule="auto"/>
        <w:jc w:val="both"/>
        <w:rPr>
          <w:color w:val="000000"/>
        </w:rPr>
      </w:pPr>
    </w:p>
    <w:p w:rsidR="00453E68" w:rsidRPr="00820CD7" w:rsidRDefault="00FB3022" w:rsidP="004814EC">
      <w:pPr>
        <w:shd w:val="clear" w:color="auto" w:fill="FFFFFF"/>
        <w:spacing w:after="240" w:line="360" w:lineRule="auto"/>
        <w:ind w:left="851" w:right="822"/>
        <w:jc w:val="both"/>
        <w:rPr>
          <w:rFonts w:ascii="Palatino Linotype" w:eastAsia="Palatino Linotype" w:hAnsi="Palatino Linotype" w:cs="Palatino Linotype"/>
          <w:i/>
          <w:color w:val="000000"/>
          <w:sz w:val="22"/>
          <w:szCs w:val="22"/>
        </w:rPr>
      </w:pPr>
      <w:r w:rsidRPr="00820CD7">
        <w:rPr>
          <w:rFonts w:ascii="Palatino Linotype" w:eastAsia="Palatino Linotype" w:hAnsi="Palatino Linotype" w:cs="Palatino Linotype"/>
          <w:b/>
          <w:i/>
          <w:color w:val="000000"/>
          <w:sz w:val="22"/>
          <w:szCs w:val="22"/>
        </w:rPr>
        <w:t>AGRAVIOS EN LA REVISION. DEBEN ESTAR EN RELACION DIRECTA CON LOS FUNDAMENTOS Y CONSIDERACIONES DE LA SENTENCIA</w:t>
      </w:r>
      <w:r w:rsidRPr="00820CD7">
        <w:rPr>
          <w:rFonts w:ascii="Palatino Linotype" w:eastAsia="Palatino Linotype" w:hAnsi="Palatino Linotype" w:cs="Palatino Linotype"/>
          <w:i/>
          <w:color w:val="000000"/>
          <w:sz w:val="22"/>
          <w:szCs w:val="22"/>
        </w:rPr>
        <w:t xml:space="preserve">.- Los agravios deben estar en relación directa e inmediata con los fundamentos contenidos en la sentencia que se recurre, y forzosamente deben contener, no sólo la cita de las disposiciones legales que se estimen infringidas y su concepto, sino también la concordancia entre aquellas, este y las consideraciones que fundamenten esa propia sentencia, pues de adoptar lo contrario, resultaría la introducción de nuevas cuestiones en la revisión, que no constituyen su materia, toda vez que esta se limita al estudio integral del fallo que se combate, con vista de los motivos de inconformidad que plantean los recurrentes. </w:t>
      </w: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lastRenderedPageBreak/>
        <w:t xml:space="preserve">Luego entonces, al no guardar relación los motivos de inconformidad hechos valer por el </w:t>
      </w:r>
      <w:r w:rsidRPr="00820CD7">
        <w:rPr>
          <w:rFonts w:ascii="Palatino Linotype" w:eastAsia="Palatino Linotype" w:hAnsi="Palatino Linotype" w:cs="Palatino Linotype"/>
          <w:b/>
          <w:color w:val="000000"/>
        </w:rPr>
        <w:t xml:space="preserve">RECURRENTE </w:t>
      </w:r>
      <w:r w:rsidRPr="00820CD7">
        <w:rPr>
          <w:rFonts w:ascii="Palatino Linotype" w:eastAsia="Palatino Linotype" w:hAnsi="Palatino Linotype" w:cs="Palatino Linotype"/>
          <w:color w:val="000000"/>
        </w:rPr>
        <w:t xml:space="preserve">con la solicitud o bien, con la respuesta, no se configura causal de procedencia alguna, trayendo consigo que el recurso de revisión sea desechado por improcedente, de acuerdo a lo estipulado en el artículo 191 fracción III en relación con el 192 fracción IV de la citada  ley que refieren lo siguiente: </w:t>
      </w:r>
    </w:p>
    <w:p w:rsidR="004814EC" w:rsidRPr="00820CD7" w:rsidRDefault="004814EC" w:rsidP="004814EC">
      <w:pPr>
        <w:pBdr>
          <w:top w:val="nil"/>
          <w:left w:val="nil"/>
          <w:bottom w:val="nil"/>
          <w:right w:val="nil"/>
          <w:between w:val="nil"/>
        </w:pBdr>
        <w:tabs>
          <w:tab w:val="left" w:pos="426"/>
        </w:tabs>
        <w:spacing w:line="360" w:lineRule="auto"/>
        <w:jc w:val="both"/>
        <w:rPr>
          <w:color w:val="000000"/>
        </w:rPr>
      </w:pP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b/>
          <w:i/>
          <w:color w:val="000000"/>
          <w:sz w:val="22"/>
          <w:szCs w:val="22"/>
        </w:rPr>
      </w:pPr>
      <w:r w:rsidRPr="00820CD7">
        <w:rPr>
          <w:rFonts w:ascii="Palatino Linotype" w:eastAsia="Palatino Linotype" w:hAnsi="Palatino Linotype" w:cs="Palatino Linotype"/>
          <w:b/>
          <w:i/>
          <w:color w:val="000000"/>
          <w:sz w:val="22"/>
          <w:szCs w:val="22"/>
        </w:rPr>
        <w:t>Artículo 191. El recurso será desechado por improcedente cuando:</w:t>
      </w:r>
    </w:p>
    <w:p w:rsidR="00453E68" w:rsidRPr="00820CD7" w:rsidRDefault="00453E68">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i/>
          <w:color w:val="000000"/>
          <w:sz w:val="22"/>
          <w:szCs w:val="22"/>
        </w:rPr>
      </w:pP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i/>
          <w:color w:val="000000"/>
          <w:sz w:val="22"/>
          <w:szCs w:val="22"/>
        </w:rPr>
      </w:pPr>
      <w:r w:rsidRPr="00820CD7">
        <w:rPr>
          <w:rFonts w:ascii="Palatino Linotype" w:eastAsia="Palatino Linotype" w:hAnsi="Palatino Linotype" w:cs="Palatino Linotype"/>
          <w:i/>
          <w:color w:val="000000"/>
          <w:sz w:val="22"/>
          <w:szCs w:val="22"/>
        </w:rPr>
        <w:t xml:space="preserve">I. Sea extemporáneo por haber transcurrido el plazo establecido en la presente Ley, a partir de la respuesta; </w:t>
      </w: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i/>
          <w:color w:val="000000"/>
          <w:sz w:val="22"/>
          <w:szCs w:val="22"/>
        </w:rPr>
      </w:pPr>
      <w:r w:rsidRPr="00820CD7">
        <w:rPr>
          <w:rFonts w:ascii="Palatino Linotype" w:eastAsia="Palatino Linotype" w:hAnsi="Palatino Linotype" w:cs="Palatino Linotype"/>
          <w:i/>
          <w:color w:val="000000"/>
          <w:sz w:val="22"/>
          <w:szCs w:val="22"/>
        </w:rPr>
        <w:t xml:space="preserve">II. Se esté tramitando ante el Poder Judicial de la Federación algún recurso o medio de defensa interpuesto por el recurrente; </w:t>
      </w: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b/>
          <w:i/>
          <w:color w:val="000000"/>
          <w:sz w:val="22"/>
          <w:szCs w:val="22"/>
        </w:rPr>
      </w:pPr>
      <w:r w:rsidRPr="00820CD7">
        <w:rPr>
          <w:rFonts w:ascii="Palatino Linotype" w:eastAsia="Palatino Linotype" w:hAnsi="Palatino Linotype" w:cs="Palatino Linotype"/>
          <w:b/>
          <w:i/>
          <w:color w:val="000000"/>
          <w:sz w:val="22"/>
          <w:szCs w:val="22"/>
        </w:rPr>
        <w:t xml:space="preserve">III. No actualice alguno de los supuestos previstos en la presente Ley; </w:t>
      </w: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i/>
          <w:color w:val="000000"/>
          <w:sz w:val="22"/>
          <w:szCs w:val="22"/>
        </w:rPr>
      </w:pPr>
      <w:r w:rsidRPr="00820CD7">
        <w:rPr>
          <w:rFonts w:ascii="Palatino Linotype" w:eastAsia="Palatino Linotype" w:hAnsi="Palatino Linotype" w:cs="Palatino Linotype"/>
          <w:i/>
          <w:color w:val="000000"/>
          <w:sz w:val="22"/>
          <w:szCs w:val="22"/>
        </w:rPr>
        <w:t xml:space="preserve">IV. No se haya desahogado la prevención en los términos establecidos en la presente Ley; </w:t>
      </w: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i/>
          <w:color w:val="000000"/>
          <w:sz w:val="22"/>
          <w:szCs w:val="22"/>
        </w:rPr>
      </w:pPr>
      <w:r w:rsidRPr="00820CD7">
        <w:rPr>
          <w:rFonts w:ascii="Palatino Linotype" w:eastAsia="Palatino Linotype" w:hAnsi="Palatino Linotype" w:cs="Palatino Linotype"/>
          <w:i/>
          <w:color w:val="000000"/>
          <w:sz w:val="22"/>
          <w:szCs w:val="22"/>
        </w:rPr>
        <w:t xml:space="preserve">V. Se impugne la veracidad de la información proporcionada; </w:t>
      </w: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i/>
          <w:color w:val="000000"/>
          <w:sz w:val="22"/>
          <w:szCs w:val="22"/>
        </w:rPr>
      </w:pPr>
      <w:r w:rsidRPr="00820CD7">
        <w:rPr>
          <w:rFonts w:ascii="Palatino Linotype" w:eastAsia="Palatino Linotype" w:hAnsi="Palatino Linotype" w:cs="Palatino Linotype"/>
          <w:i/>
          <w:color w:val="000000"/>
          <w:sz w:val="22"/>
          <w:szCs w:val="22"/>
        </w:rPr>
        <w:t xml:space="preserve">VI. Se trate de una consulta, o trámite en específico; y </w:t>
      </w: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i/>
          <w:color w:val="000000"/>
          <w:sz w:val="22"/>
          <w:szCs w:val="22"/>
        </w:rPr>
      </w:pPr>
      <w:r w:rsidRPr="00820CD7">
        <w:rPr>
          <w:rFonts w:ascii="Palatino Linotype" w:eastAsia="Palatino Linotype" w:hAnsi="Palatino Linotype" w:cs="Palatino Linotype"/>
          <w:i/>
          <w:color w:val="000000"/>
          <w:sz w:val="22"/>
          <w:szCs w:val="22"/>
        </w:rPr>
        <w:t>VII. El recurrente amplíe su solicitud en el recurso de revisión, únicamente respecto de los nuevos contenidos.</w:t>
      </w:r>
    </w:p>
    <w:p w:rsidR="00453E68" w:rsidRPr="00820CD7" w:rsidRDefault="00453E68">
      <w:pPr>
        <w:pBdr>
          <w:top w:val="nil"/>
          <w:left w:val="nil"/>
          <w:bottom w:val="nil"/>
          <w:right w:val="nil"/>
          <w:between w:val="nil"/>
        </w:pBdr>
        <w:tabs>
          <w:tab w:val="left" w:pos="567"/>
        </w:tabs>
        <w:spacing w:line="360" w:lineRule="auto"/>
        <w:jc w:val="both"/>
        <w:rPr>
          <w:rFonts w:ascii="Palatino Linotype" w:eastAsia="Palatino Linotype" w:hAnsi="Palatino Linotype" w:cs="Palatino Linotype"/>
          <w:color w:val="000000"/>
          <w:sz w:val="22"/>
          <w:szCs w:val="22"/>
        </w:rPr>
      </w:pP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b/>
          <w:i/>
          <w:color w:val="000000"/>
          <w:sz w:val="22"/>
          <w:szCs w:val="22"/>
        </w:rPr>
      </w:pPr>
      <w:r w:rsidRPr="00820CD7">
        <w:rPr>
          <w:rFonts w:ascii="Palatino Linotype" w:eastAsia="Palatino Linotype" w:hAnsi="Palatino Linotype" w:cs="Palatino Linotype"/>
          <w:b/>
          <w:i/>
          <w:color w:val="000000"/>
          <w:sz w:val="22"/>
          <w:szCs w:val="22"/>
        </w:rPr>
        <w:t>Artículo 192. El recurso será sobreseído, en todo o en parte, cuando una vez admitido, se actualicen alguno de los siguientes supuestos:</w:t>
      </w: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i/>
          <w:color w:val="000000"/>
          <w:sz w:val="22"/>
          <w:szCs w:val="22"/>
        </w:rPr>
      </w:pPr>
      <w:r w:rsidRPr="00820CD7">
        <w:rPr>
          <w:rFonts w:ascii="Palatino Linotype" w:eastAsia="Palatino Linotype" w:hAnsi="Palatino Linotype" w:cs="Palatino Linotype"/>
          <w:i/>
          <w:color w:val="000000"/>
          <w:sz w:val="22"/>
          <w:szCs w:val="22"/>
        </w:rPr>
        <w:t xml:space="preserve">I. El recurrente se desista expresamente del recurso; </w:t>
      </w: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i/>
          <w:color w:val="000000"/>
          <w:sz w:val="22"/>
          <w:szCs w:val="22"/>
        </w:rPr>
      </w:pPr>
      <w:r w:rsidRPr="00820CD7">
        <w:rPr>
          <w:rFonts w:ascii="Palatino Linotype" w:eastAsia="Palatino Linotype" w:hAnsi="Palatino Linotype" w:cs="Palatino Linotype"/>
          <w:i/>
          <w:color w:val="000000"/>
          <w:sz w:val="22"/>
          <w:szCs w:val="22"/>
        </w:rPr>
        <w:t xml:space="preserve">II. El recurrente fallezca o, tratándose de personas jurídicas colectivas, se disuelva; </w:t>
      </w: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i/>
          <w:color w:val="000000"/>
          <w:sz w:val="22"/>
          <w:szCs w:val="22"/>
        </w:rPr>
      </w:pPr>
      <w:r w:rsidRPr="00820CD7">
        <w:rPr>
          <w:rFonts w:ascii="Palatino Linotype" w:eastAsia="Palatino Linotype" w:hAnsi="Palatino Linotype" w:cs="Palatino Linotype"/>
          <w:i/>
          <w:color w:val="000000"/>
          <w:sz w:val="22"/>
          <w:szCs w:val="22"/>
        </w:rPr>
        <w:t xml:space="preserve">III. El sujeto obligado responsable del acto lo modifique o revoque de tal manera que el recurso de revisión quede sin materia; </w:t>
      </w: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b/>
          <w:i/>
          <w:color w:val="000000"/>
          <w:sz w:val="22"/>
          <w:szCs w:val="22"/>
        </w:rPr>
      </w:pPr>
      <w:r w:rsidRPr="00820CD7">
        <w:rPr>
          <w:rFonts w:ascii="Palatino Linotype" w:eastAsia="Palatino Linotype" w:hAnsi="Palatino Linotype" w:cs="Palatino Linotype"/>
          <w:b/>
          <w:i/>
          <w:color w:val="000000"/>
          <w:sz w:val="22"/>
          <w:szCs w:val="22"/>
        </w:rPr>
        <w:lastRenderedPageBreak/>
        <w:t xml:space="preserve">IV. Admitido el recurso de revisión, aparezca alguna causal de improcedencia en los términos de la presente Ley; y </w:t>
      </w:r>
    </w:p>
    <w:p w:rsidR="00453E68" w:rsidRPr="00820CD7" w:rsidRDefault="00FB3022">
      <w:pPr>
        <w:pBdr>
          <w:top w:val="nil"/>
          <w:left w:val="nil"/>
          <w:bottom w:val="nil"/>
          <w:right w:val="nil"/>
          <w:between w:val="nil"/>
        </w:pBdr>
        <w:tabs>
          <w:tab w:val="left" w:pos="567"/>
        </w:tabs>
        <w:spacing w:line="360" w:lineRule="auto"/>
        <w:ind w:left="567" w:right="822"/>
        <w:jc w:val="both"/>
        <w:rPr>
          <w:rFonts w:ascii="Palatino Linotype" w:eastAsia="Palatino Linotype" w:hAnsi="Palatino Linotype" w:cs="Palatino Linotype"/>
          <w:i/>
          <w:color w:val="000000"/>
          <w:sz w:val="22"/>
          <w:szCs w:val="22"/>
        </w:rPr>
      </w:pPr>
      <w:r w:rsidRPr="00820CD7">
        <w:rPr>
          <w:rFonts w:ascii="Palatino Linotype" w:eastAsia="Palatino Linotype" w:hAnsi="Palatino Linotype" w:cs="Palatino Linotype"/>
          <w:i/>
          <w:color w:val="000000"/>
          <w:sz w:val="22"/>
          <w:szCs w:val="22"/>
        </w:rPr>
        <w:t>V. Cuando por cualquier motivo quede sin materia el recurso.</w:t>
      </w:r>
    </w:p>
    <w:p w:rsidR="00453E68" w:rsidRPr="00820CD7" w:rsidRDefault="00453E68">
      <w:pPr>
        <w:pBdr>
          <w:top w:val="nil"/>
          <w:left w:val="nil"/>
          <w:bottom w:val="nil"/>
          <w:right w:val="nil"/>
          <w:between w:val="nil"/>
        </w:pBdr>
        <w:tabs>
          <w:tab w:val="left" w:pos="567"/>
        </w:tabs>
        <w:spacing w:line="360" w:lineRule="auto"/>
        <w:jc w:val="both"/>
        <w:rPr>
          <w:rFonts w:ascii="Palatino Linotype" w:eastAsia="Palatino Linotype" w:hAnsi="Palatino Linotype" w:cs="Palatino Linotype"/>
          <w:color w:val="000000"/>
        </w:rPr>
      </w:pP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Es así que, el presente recurso de revisión actualiza la causal de sobreseimiento establecida en el artículo 192, fracción IV, en relación con el artículo 191 fracción III, de la Ley de Transparencia y Acceso a la Información Pública del Estado de México y Municipios.</w:t>
      </w:r>
    </w:p>
    <w:p w:rsidR="00453E68" w:rsidRPr="00820CD7" w:rsidRDefault="00453E68">
      <w:pPr>
        <w:pBdr>
          <w:top w:val="nil"/>
          <w:left w:val="nil"/>
          <w:bottom w:val="nil"/>
          <w:right w:val="nil"/>
          <w:between w:val="nil"/>
        </w:pBdr>
        <w:tabs>
          <w:tab w:val="left" w:pos="426"/>
        </w:tabs>
        <w:spacing w:line="360" w:lineRule="auto"/>
        <w:jc w:val="both"/>
        <w:rPr>
          <w:rFonts w:ascii="Palatino Linotype" w:eastAsia="Palatino Linotype" w:hAnsi="Palatino Linotype" w:cs="Palatino Linotype"/>
          <w:color w:val="000000"/>
        </w:rPr>
      </w:pP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bookmarkStart w:id="6" w:name="_heading=h.tyjcwt" w:colFirst="0" w:colLast="0"/>
      <w:bookmarkEnd w:id="6"/>
      <w:r w:rsidRPr="00820CD7">
        <w:rPr>
          <w:rFonts w:ascii="Palatino Linotype" w:eastAsia="Palatino Linotype" w:hAnsi="Palatino Linotype" w:cs="Palatino Linotype"/>
          <w:color w:val="000000"/>
        </w:rPr>
        <w:t xml:space="preserve">Finalmente, no pasa desapercibido que el </w:t>
      </w:r>
      <w:r w:rsidRPr="00820CD7">
        <w:rPr>
          <w:rFonts w:ascii="Palatino Linotype" w:eastAsia="Palatino Linotype" w:hAnsi="Palatino Linotype" w:cs="Palatino Linotype"/>
          <w:b/>
          <w:color w:val="000000"/>
        </w:rPr>
        <w:t xml:space="preserve">SUJETO OBLIGADO, </w:t>
      </w:r>
      <w:r w:rsidRPr="00820CD7">
        <w:rPr>
          <w:rFonts w:ascii="Palatino Linotype" w:eastAsia="Palatino Linotype" w:hAnsi="Palatino Linotype" w:cs="Palatino Linotype"/>
          <w:color w:val="000000"/>
        </w:rPr>
        <w:t xml:space="preserve">vía informe justificado </w:t>
      </w:r>
      <w:r w:rsidR="004814EC" w:rsidRPr="00820CD7">
        <w:rPr>
          <w:rFonts w:ascii="Palatino Linotype" w:eastAsia="Palatino Linotype" w:hAnsi="Palatino Linotype" w:cs="Palatino Linotype"/>
          <w:color w:val="000000"/>
        </w:rPr>
        <w:t>tendiente a confirmar su respuesta primigenia</w:t>
      </w:r>
      <w:r w:rsidRPr="00820CD7">
        <w:rPr>
          <w:rFonts w:ascii="Palatino Linotype" w:eastAsia="Palatino Linotype" w:hAnsi="Palatino Linotype" w:cs="Palatino Linotype"/>
          <w:color w:val="000000"/>
        </w:rPr>
        <w:t>, sin embargo, este resulta inatendible al haberse configurado el sobreseimiento del presente recurso, lo que impide entrar al estudio del asunto</w:t>
      </w:r>
    </w:p>
    <w:p w:rsidR="00453E68" w:rsidRPr="00820CD7" w:rsidRDefault="00453E68">
      <w:pPr>
        <w:pBdr>
          <w:top w:val="nil"/>
          <w:left w:val="nil"/>
          <w:bottom w:val="nil"/>
          <w:right w:val="nil"/>
          <w:between w:val="nil"/>
        </w:pBdr>
        <w:tabs>
          <w:tab w:val="left" w:pos="567"/>
        </w:tabs>
        <w:spacing w:line="360" w:lineRule="auto"/>
        <w:jc w:val="both"/>
        <w:rPr>
          <w:rFonts w:ascii="Palatino Linotype" w:eastAsia="Palatino Linotype" w:hAnsi="Palatino Linotype" w:cs="Palatino Linotype"/>
          <w:color w:val="000000"/>
        </w:rPr>
      </w:pP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000000"/>
        </w:rPr>
        <w:t>No obstante, a efecto de no vulnerar los derechos del particular, este Órgano Garante deja a salvo sus derechos para que, si así lo desea, presente una nueva solicitud de acceso a la información requiriendo información que sea de su interés.</w:t>
      </w:r>
    </w:p>
    <w:p w:rsidR="00453E68" w:rsidRPr="00820CD7" w:rsidRDefault="00453E68">
      <w:pPr>
        <w:pBdr>
          <w:top w:val="nil"/>
          <w:left w:val="nil"/>
          <w:bottom w:val="nil"/>
          <w:right w:val="nil"/>
          <w:between w:val="nil"/>
        </w:pBdr>
        <w:ind w:left="720"/>
        <w:rPr>
          <w:rFonts w:ascii="Palatino Linotype" w:eastAsia="Palatino Linotype" w:hAnsi="Palatino Linotype" w:cs="Palatino Linotype"/>
          <w:color w:val="222222"/>
        </w:rPr>
      </w:pPr>
    </w:p>
    <w:p w:rsidR="00453E68" w:rsidRPr="00820CD7" w:rsidRDefault="00FB3022">
      <w:pPr>
        <w:numPr>
          <w:ilvl w:val="0"/>
          <w:numId w:val="8"/>
        </w:numPr>
        <w:pBdr>
          <w:top w:val="nil"/>
          <w:left w:val="nil"/>
          <w:bottom w:val="nil"/>
          <w:right w:val="nil"/>
          <w:between w:val="nil"/>
        </w:pBdr>
        <w:tabs>
          <w:tab w:val="left" w:pos="426"/>
        </w:tabs>
        <w:spacing w:line="360" w:lineRule="auto"/>
        <w:ind w:left="0" w:firstLine="0"/>
        <w:jc w:val="both"/>
        <w:rPr>
          <w:color w:val="000000"/>
        </w:rPr>
      </w:pPr>
      <w:r w:rsidRPr="00820CD7">
        <w:rPr>
          <w:rFonts w:ascii="Palatino Linotype" w:eastAsia="Palatino Linotype" w:hAnsi="Palatino Linotype" w:cs="Palatino Linotype"/>
          <w:color w:val="222222"/>
        </w:rPr>
        <w:t xml:space="preserve">Por lo anteriormente expuesto y fundado, este </w:t>
      </w:r>
      <w:r w:rsidRPr="00820CD7">
        <w:rPr>
          <w:rFonts w:ascii="Palatino Linotype" w:eastAsia="Palatino Linotype" w:hAnsi="Palatino Linotype" w:cs="Palatino Linotype"/>
          <w:b/>
          <w:color w:val="222222"/>
        </w:rPr>
        <w:t>ÓRGANO GARANTE</w:t>
      </w:r>
      <w:r w:rsidRPr="00820CD7">
        <w:rPr>
          <w:rFonts w:ascii="Palatino Linotype" w:eastAsia="Palatino Linotype" w:hAnsi="Palatino Linotype" w:cs="Palatino Linotype"/>
          <w:color w:val="222222"/>
        </w:rPr>
        <w:t xml:space="preserve"> emite los siguientes:</w:t>
      </w:r>
    </w:p>
    <w:p w:rsidR="00453E68" w:rsidRPr="00820CD7" w:rsidRDefault="00453E68">
      <w:pPr>
        <w:pBdr>
          <w:top w:val="nil"/>
          <w:left w:val="nil"/>
          <w:bottom w:val="nil"/>
          <w:right w:val="nil"/>
          <w:between w:val="nil"/>
        </w:pBdr>
        <w:tabs>
          <w:tab w:val="left" w:pos="426"/>
        </w:tabs>
        <w:spacing w:after="240" w:line="360" w:lineRule="auto"/>
        <w:ind w:right="49"/>
        <w:jc w:val="both"/>
        <w:rPr>
          <w:rFonts w:ascii="Palatino Linotype" w:eastAsia="Palatino Linotype" w:hAnsi="Palatino Linotype" w:cs="Palatino Linotype"/>
          <w:color w:val="000000"/>
        </w:rPr>
      </w:pPr>
    </w:p>
    <w:p w:rsidR="00453E68" w:rsidRPr="00820CD7" w:rsidRDefault="00FB3022">
      <w:pPr>
        <w:pStyle w:val="Ttulo1"/>
        <w:spacing w:line="360" w:lineRule="auto"/>
        <w:jc w:val="center"/>
        <w:rPr>
          <w:b w:val="0"/>
          <w:color w:val="000000"/>
        </w:rPr>
      </w:pPr>
      <w:bookmarkStart w:id="7" w:name="_heading=h.3dy6vkm" w:colFirst="0" w:colLast="0"/>
      <w:bookmarkEnd w:id="7"/>
      <w:r w:rsidRPr="00820CD7">
        <w:rPr>
          <w:color w:val="000000"/>
        </w:rPr>
        <w:t>R E S O L U T I V O S</w:t>
      </w:r>
    </w:p>
    <w:p w:rsidR="00453E68" w:rsidRPr="00820CD7" w:rsidRDefault="00453E68"/>
    <w:p w:rsidR="00453E68" w:rsidRPr="00820CD7" w:rsidRDefault="00FB3022">
      <w:pPr>
        <w:spacing w:after="240" w:line="360" w:lineRule="auto"/>
        <w:jc w:val="both"/>
        <w:rPr>
          <w:rFonts w:ascii="Palatino Linotype" w:eastAsia="Palatino Linotype" w:hAnsi="Palatino Linotype" w:cs="Palatino Linotype"/>
        </w:rPr>
      </w:pPr>
      <w:r w:rsidRPr="00820CD7">
        <w:rPr>
          <w:rFonts w:ascii="Palatino Linotype" w:eastAsia="Palatino Linotype" w:hAnsi="Palatino Linotype" w:cs="Palatino Linotype"/>
          <w:b/>
        </w:rPr>
        <w:t>PRIMERO.</w:t>
      </w:r>
      <w:r w:rsidRPr="00820CD7">
        <w:rPr>
          <w:rFonts w:ascii="Palatino Linotype" w:eastAsia="Palatino Linotype" w:hAnsi="Palatino Linotype" w:cs="Palatino Linotype"/>
        </w:rPr>
        <w:t xml:space="preserve"> Se </w:t>
      </w:r>
      <w:r w:rsidRPr="00820CD7">
        <w:rPr>
          <w:rFonts w:ascii="Palatino Linotype" w:eastAsia="Palatino Linotype" w:hAnsi="Palatino Linotype" w:cs="Palatino Linotype"/>
          <w:b/>
        </w:rPr>
        <w:t xml:space="preserve">SOBRESEE </w:t>
      </w:r>
      <w:r w:rsidRPr="00820CD7">
        <w:rPr>
          <w:rFonts w:ascii="Palatino Linotype" w:eastAsia="Palatino Linotype" w:hAnsi="Palatino Linotype" w:cs="Palatino Linotype"/>
        </w:rPr>
        <w:t>el</w:t>
      </w:r>
      <w:r w:rsidRPr="00820CD7">
        <w:rPr>
          <w:rFonts w:ascii="Palatino Linotype" w:eastAsia="Palatino Linotype" w:hAnsi="Palatino Linotype" w:cs="Palatino Linotype"/>
          <w:b/>
        </w:rPr>
        <w:t xml:space="preserve"> </w:t>
      </w:r>
      <w:r w:rsidR="004814EC" w:rsidRPr="00820CD7">
        <w:rPr>
          <w:rFonts w:ascii="Palatino Linotype" w:eastAsia="Palatino Linotype" w:hAnsi="Palatino Linotype" w:cs="Palatino Linotype"/>
        </w:rPr>
        <w:t>recurso de revisión número</w:t>
      </w:r>
      <w:r w:rsidR="004814EC" w:rsidRPr="00820CD7">
        <w:rPr>
          <w:rFonts w:ascii="Palatino Linotype" w:eastAsia="Palatino Linotype" w:hAnsi="Palatino Linotype" w:cs="Palatino Linotype"/>
          <w:b/>
          <w:bCs/>
        </w:rPr>
        <w:t> 06503/INFOEM/IP/RR/2024</w:t>
      </w:r>
      <w:r w:rsidRPr="00820CD7">
        <w:rPr>
          <w:rFonts w:ascii="Palatino Linotype" w:eastAsia="Palatino Linotype" w:hAnsi="Palatino Linotype" w:cs="Palatino Linotype"/>
        </w:rPr>
        <w:t xml:space="preserve">, conforme al artículo </w:t>
      </w:r>
      <w:r w:rsidRPr="00820CD7">
        <w:rPr>
          <w:rFonts w:ascii="Palatino Linotype" w:eastAsia="Palatino Linotype" w:hAnsi="Palatino Linotype" w:cs="Palatino Linotype"/>
          <w:b/>
        </w:rPr>
        <w:t>192</w:t>
      </w:r>
      <w:r w:rsidR="00426929" w:rsidRPr="00820CD7">
        <w:rPr>
          <w:rFonts w:ascii="Palatino Linotype" w:eastAsia="Palatino Linotype" w:hAnsi="Palatino Linotype" w:cs="Palatino Linotype"/>
          <w:b/>
        </w:rPr>
        <w:t>,</w:t>
      </w:r>
      <w:r w:rsidRPr="00820CD7">
        <w:rPr>
          <w:rFonts w:ascii="Palatino Linotype" w:eastAsia="Palatino Linotype" w:hAnsi="Palatino Linotype" w:cs="Palatino Linotype"/>
          <w:b/>
        </w:rPr>
        <w:t xml:space="preserve"> fracción IV</w:t>
      </w:r>
      <w:r w:rsidRPr="00820CD7">
        <w:rPr>
          <w:rFonts w:ascii="Palatino Linotype" w:eastAsia="Palatino Linotype" w:hAnsi="Palatino Linotype" w:cs="Palatino Linotype"/>
        </w:rPr>
        <w:t xml:space="preserve">, en </w:t>
      </w:r>
      <w:r w:rsidRPr="00820CD7">
        <w:rPr>
          <w:rFonts w:ascii="Palatino Linotype" w:eastAsia="Palatino Linotype" w:hAnsi="Palatino Linotype" w:cs="Palatino Linotype"/>
        </w:rPr>
        <w:lastRenderedPageBreak/>
        <w:t xml:space="preserve">relación a la </w:t>
      </w:r>
      <w:r w:rsidRPr="00820CD7">
        <w:rPr>
          <w:rFonts w:ascii="Palatino Linotype" w:eastAsia="Palatino Linotype" w:hAnsi="Palatino Linotype" w:cs="Palatino Linotype"/>
          <w:b/>
        </w:rPr>
        <w:t>fracción III</w:t>
      </w:r>
      <w:r w:rsidR="00426929" w:rsidRPr="00820CD7">
        <w:rPr>
          <w:rFonts w:ascii="Palatino Linotype" w:eastAsia="Palatino Linotype" w:hAnsi="Palatino Linotype" w:cs="Palatino Linotype"/>
          <w:b/>
        </w:rPr>
        <w:t>,</w:t>
      </w:r>
      <w:r w:rsidRPr="00820CD7">
        <w:rPr>
          <w:rFonts w:ascii="Palatino Linotype" w:eastAsia="Palatino Linotype" w:hAnsi="Palatino Linotype" w:cs="Palatino Linotype"/>
        </w:rPr>
        <w:t xml:space="preserve"> del artículo </w:t>
      </w:r>
      <w:r w:rsidRPr="00820CD7">
        <w:rPr>
          <w:rFonts w:ascii="Palatino Linotype" w:eastAsia="Palatino Linotype" w:hAnsi="Palatino Linotype" w:cs="Palatino Linotype"/>
          <w:b/>
        </w:rPr>
        <w:t>191</w:t>
      </w:r>
      <w:r w:rsidRPr="00820CD7">
        <w:rPr>
          <w:rFonts w:ascii="Palatino Linotype" w:eastAsia="Palatino Linotype" w:hAnsi="Palatino Linotype" w:cs="Palatino Linotype"/>
        </w:rPr>
        <w:t xml:space="preserve">, de la Ley de Transparencia y Acceso a la Información Pública del Estado de México y Municipios, en términos del </w:t>
      </w:r>
      <w:r w:rsidRPr="00820CD7">
        <w:rPr>
          <w:rFonts w:ascii="Palatino Linotype" w:eastAsia="Palatino Linotype" w:hAnsi="Palatino Linotype" w:cs="Palatino Linotype"/>
          <w:b/>
        </w:rPr>
        <w:t>Considerando TERCERO</w:t>
      </w:r>
      <w:r w:rsidRPr="00820CD7">
        <w:rPr>
          <w:rFonts w:ascii="Palatino Linotype" w:eastAsia="Palatino Linotype" w:hAnsi="Palatino Linotype" w:cs="Palatino Linotype"/>
        </w:rPr>
        <w:t xml:space="preserve"> de la presente resolución.</w:t>
      </w:r>
    </w:p>
    <w:p w:rsidR="00426929" w:rsidRPr="00820CD7" w:rsidRDefault="00426929">
      <w:pPr>
        <w:spacing w:after="240" w:line="360" w:lineRule="auto"/>
        <w:jc w:val="both"/>
        <w:rPr>
          <w:rFonts w:ascii="Palatino Linotype" w:eastAsia="Palatino Linotype" w:hAnsi="Palatino Linotype" w:cs="Palatino Linotype"/>
        </w:rPr>
      </w:pPr>
    </w:p>
    <w:p w:rsidR="00453E68" w:rsidRPr="00820CD7" w:rsidRDefault="00426929">
      <w:pPr>
        <w:pBdr>
          <w:top w:val="nil"/>
          <w:left w:val="nil"/>
          <w:bottom w:val="nil"/>
          <w:right w:val="nil"/>
          <w:between w:val="nil"/>
        </w:pBdr>
        <w:spacing w:after="240" w:line="360" w:lineRule="auto"/>
        <w:jc w:val="both"/>
        <w:rPr>
          <w:rFonts w:ascii="Palatino Linotype" w:eastAsia="Palatino Linotype" w:hAnsi="Palatino Linotype" w:cs="Palatino Linotype"/>
          <w:b/>
          <w:color w:val="000000"/>
        </w:rPr>
      </w:pPr>
      <w:r w:rsidRPr="00820CD7">
        <w:rPr>
          <w:rFonts w:ascii="Palatino Linotype" w:eastAsia="Palatino Linotype" w:hAnsi="Palatino Linotype" w:cs="Palatino Linotype"/>
          <w:b/>
          <w:color w:val="000000"/>
        </w:rPr>
        <w:t>SEGUNDO. Notifíquese</w:t>
      </w:r>
      <w:r w:rsidR="00FB3022" w:rsidRPr="00820CD7">
        <w:rPr>
          <w:rFonts w:ascii="Palatino Linotype" w:eastAsia="Palatino Linotype" w:hAnsi="Palatino Linotype" w:cs="Palatino Linotype"/>
          <w:b/>
          <w:color w:val="000000"/>
        </w:rPr>
        <w:t xml:space="preserve"> </w:t>
      </w:r>
      <w:r w:rsidR="00FB3022" w:rsidRPr="00820CD7">
        <w:rPr>
          <w:rFonts w:ascii="Palatino Linotype" w:eastAsia="Palatino Linotype" w:hAnsi="Palatino Linotype" w:cs="Palatino Linotype"/>
          <w:color w:val="000000"/>
        </w:rPr>
        <w:t xml:space="preserve">a través del Sistema de Acceso a la Información Mexiquense </w:t>
      </w:r>
      <w:r w:rsidR="00FB3022" w:rsidRPr="00820CD7">
        <w:rPr>
          <w:rFonts w:ascii="Palatino Linotype" w:eastAsia="Palatino Linotype" w:hAnsi="Palatino Linotype" w:cs="Palatino Linotype"/>
          <w:b/>
          <w:color w:val="000000"/>
        </w:rPr>
        <w:t xml:space="preserve">(SAIMEX) </w:t>
      </w:r>
      <w:r w:rsidR="00FB3022" w:rsidRPr="00820CD7">
        <w:rPr>
          <w:rFonts w:ascii="Palatino Linotype" w:eastAsia="Palatino Linotype" w:hAnsi="Palatino Linotype" w:cs="Palatino Linotype"/>
          <w:color w:val="000000"/>
        </w:rPr>
        <w:t>la presente resolución al Titular de la Unidad de Transparencia del</w:t>
      </w:r>
      <w:r w:rsidR="00FB3022" w:rsidRPr="00820CD7">
        <w:rPr>
          <w:rFonts w:ascii="Palatino Linotype" w:eastAsia="Palatino Linotype" w:hAnsi="Palatino Linotype" w:cs="Palatino Linotype"/>
          <w:b/>
          <w:color w:val="000000"/>
        </w:rPr>
        <w:t xml:space="preserve"> SUJETO OBLIGADO. </w:t>
      </w:r>
    </w:p>
    <w:p w:rsidR="00426929" w:rsidRPr="00820CD7" w:rsidRDefault="00426929">
      <w:pPr>
        <w:pBdr>
          <w:top w:val="nil"/>
          <w:left w:val="nil"/>
          <w:bottom w:val="nil"/>
          <w:right w:val="nil"/>
          <w:between w:val="nil"/>
        </w:pBdr>
        <w:spacing w:after="240" w:line="360" w:lineRule="auto"/>
        <w:jc w:val="both"/>
        <w:rPr>
          <w:rFonts w:ascii="Palatino Linotype" w:eastAsia="Palatino Linotype" w:hAnsi="Palatino Linotype" w:cs="Palatino Linotype"/>
          <w:b/>
          <w:color w:val="000000"/>
        </w:rPr>
      </w:pPr>
    </w:p>
    <w:p w:rsidR="00453E68" w:rsidRPr="00820CD7" w:rsidRDefault="00FB3022">
      <w:pPr>
        <w:pBdr>
          <w:top w:val="nil"/>
          <w:left w:val="nil"/>
          <w:bottom w:val="nil"/>
          <w:right w:val="nil"/>
          <w:between w:val="nil"/>
        </w:pBdr>
        <w:spacing w:after="240" w:line="360" w:lineRule="auto"/>
        <w:jc w:val="both"/>
        <w:rPr>
          <w:rFonts w:ascii="Palatino Linotype" w:eastAsia="Palatino Linotype" w:hAnsi="Palatino Linotype" w:cs="Palatino Linotype"/>
          <w:color w:val="222222"/>
        </w:rPr>
      </w:pPr>
      <w:r w:rsidRPr="00820CD7">
        <w:rPr>
          <w:rFonts w:ascii="Palatino Linotype" w:eastAsia="Palatino Linotype" w:hAnsi="Palatino Linotype" w:cs="Palatino Linotype"/>
          <w:b/>
          <w:color w:val="000000"/>
        </w:rPr>
        <w:t>TER</w:t>
      </w:r>
      <w:r w:rsidR="004814EC" w:rsidRPr="00820CD7">
        <w:rPr>
          <w:rFonts w:ascii="Palatino Linotype" w:eastAsia="Palatino Linotype" w:hAnsi="Palatino Linotype" w:cs="Palatino Linotype"/>
          <w:b/>
          <w:color w:val="000000"/>
        </w:rPr>
        <w:t xml:space="preserve">CERO. Notifíquese al RECURRENTE, vía SAIMEX </w:t>
      </w:r>
      <w:r w:rsidRPr="00820CD7">
        <w:rPr>
          <w:rFonts w:ascii="Palatino Linotype" w:eastAsia="Palatino Linotype" w:hAnsi="Palatino Linotype" w:cs="Palatino Linotype"/>
          <w:color w:val="222222"/>
        </w:rPr>
        <w:t>la presente resolución.</w:t>
      </w:r>
    </w:p>
    <w:p w:rsidR="00426929" w:rsidRPr="00820CD7" w:rsidRDefault="00426929">
      <w:pPr>
        <w:pBdr>
          <w:top w:val="nil"/>
          <w:left w:val="nil"/>
          <w:bottom w:val="nil"/>
          <w:right w:val="nil"/>
          <w:between w:val="nil"/>
        </w:pBdr>
        <w:spacing w:after="240" w:line="360" w:lineRule="auto"/>
        <w:jc w:val="both"/>
        <w:rPr>
          <w:rFonts w:ascii="Palatino Linotype" w:eastAsia="Palatino Linotype" w:hAnsi="Palatino Linotype" w:cs="Palatino Linotype"/>
          <w:color w:val="222222"/>
        </w:rPr>
      </w:pPr>
    </w:p>
    <w:p w:rsidR="00453E68" w:rsidRPr="00820CD7" w:rsidRDefault="00FB3022" w:rsidP="004814EC">
      <w:pPr>
        <w:pBdr>
          <w:top w:val="nil"/>
          <w:left w:val="nil"/>
          <w:bottom w:val="nil"/>
          <w:right w:val="nil"/>
          <w:between w:val="nil"/>
        </w:pBdr>
        <w:spacing w:after="240" w:line="360" w:lineRule="auto"/>
        <w:jc w:val="both"/>
        <w:rPr>
          <w:rFonts w:ascii="Palatino Linotype" w:eastAsia="Palatino Linotype" w:hAnsi="Palatino Linotype" w:cs="Palatino Linotype"/>
          <w:color w:val="000000"/>
        </w:rPr>
      </w:pPr>
      <w:r w:rsidRPr="00820CD7">
        <w:rPr>
          <w:rFonts w:ascii="Palatino Linotype" w:eastAsia="Palatino Linotype" w:hAnsi="Palatino Linotype" w:cs="Palatino Linotype"/>
          <w:b/>
          <w:color w:val="000000"/>
        </w:rPr>
        <w:t>CUARTO.</w:t>
      </w:r>
      <w:r w:rsidRPr="00820CD7">
        <w:rPr>
          <w:rFonts w:ascii="Palatino Linotype" w:eastAsia="Palatino Linotype" w:hAnsi="Palatino Linotype" w:cs="Palatino Linotype"/>
          <w:color w:val="000000"/>
        </w:rPr>
        <w:t xml:space="preserve"> Se hace del conocimiento del </w:t>
      </w:r>
      <w:r w:rsidRPr="00820CD7">
        <w:rPr>
          <w:rFonts w:ascii="Palatino Linotype" w:eastAsia="Palatino Linotype" w:hAnsi="Palatino Linotype" w:cs="Palatino Linotype"/>
          <w:b/>
          <w:color w:val="000000"/>
        </w:rPr>
        <w:t xml:space="preserve">RECURRENTE </w:t>
      </w:r>
      <w:r w:rsidRPr="00820CD7">
        <w:rPr>
          <w:rFonts w:ascii="Palatino Linotype" w:eastAsia="Palatino Linotype" w:hAnsi="Palatino Linotype" w:cs="Palatino Linotype"/>
          <w:color w:val="000000"/>
        </w:rPr>
        <w:t xml:space="preserve">que, de conformidad con lo establecido en el artículo 196 de la Ley de Transparencia y Acceso a la Información Pública del Estado de México y Municipios, en caso de que considere que la resolución le cause algún perjuicio podrá </w:t>
      </w:r>
      <w:r w:rsidRPr="00820CD7">
        <w:rPr>
          <w:rFonts w:ascii="Palatino Linotype" w:eastAsia="Palatino Linotype" w:hAnsi="Palatino Linotype" w:cs="Palatino Linotype"/>
        </w:rPr>
        <w:t>impugnar vía</w:t>
      </w:r>
      <w:r w:rsidRPr="00820CD7">
        <w:rPr>
          <w:rFonts w:ascii="Palatino Linotype" w:eastAsia="Palatino Linotype" w:hAnsi="Palatino Linotype" w:cs="Palatino Linotype"/>
          <w:color w:val="000000"/>
        </w:rPr>
        <w:t xml:space="preserve"> juicio de amparo en los términos de las leyes aplicables.</w:t>
      </w:r>
    </w:p>
    <w:p w:rsidR="00426929" w:rsidRPr="00820CD7" w:rsidRDefault="00426929" w:rsidP="00426929">
      <w:pPr>
        <w:spacing w:line="360" w:lineRule="auto"/>
        <w:ind w:left="-142" w:right="-234" w:firstLine="1"/>
        <w:jc w:val="both"/>
        <w:rPr>
          <w:rFonts w:ascii="Palatino Linotype" w:hAnsi="Palatino Linotype"/>
        </w:rPr>
      </w:pPr>
      <w:r w:rsidRPr="00820CD7">
        <w:rPr>
          <w:rFonts w:ascii="Palatino Linotype" w:hAnsi="Palatino Linotype"/>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Pr="00820CD7">
        <w:rPr>
          <w:rFonts w:ascii="Palatino Linotype" w:hAnsi="Palatino Linotype"/>
        </w:rPr>
        <w:lastRenderedPageBreak/>
        <w:t xml:space="preserve">CUADRAGÉSIMA PRIMERA SESIÓN ORDINARIA CELEBRADA EL VEINTISIETE (27) DE NOVIEMBRE DE DOS MIL VEINTICUATRO, ANTE EL SECRETARIO TÉCNICO DEL PLENO ALEXIS TAPIA RAMÍREZ. </w:t>
      </w:r>
    </w:p>
    <w:p w:rsidR="00426929" w:rsidRPr="00820CD7" w:rsidRDefault="00426929" w:rsidP="00426929">
      <w:pPr>
        <w:widowControl w:val="0"/>
        <w:autoSpaceDE w:val="0"/>
        <w:autoSpaceDN w:val="0"/>
        <w:adjustRightInd w:val="0"/>
        <w:spacing w:after="200" w:line="276" w:lineRule="auto"/>
        <w:ind w:left="-142" w:right="-234"/>
      </w:pPr>
    </w:p>
    <w:p w:rsidR="00426929" w:rsidRPr="00820CD7" w:rsidRDefault="00426929" w:rsidP="00426929">
      <w:pPr>
        <w:spacing w:before="240" w:after="240" w:line="360" w:lineRule="auto"/>
        <w:ind w:firstLine="1"/>
        <w:jc w:val="both"/>
        <w:rPr>
          <w:rFonts w:ascii="Palatino Linotype" w:hAnsi="Palatino Linotype"/>
        </w:rPr>
      </w:pPr>
      <w:bookmarkStart w:id="8" w:name="_Hlk96506827"/>
    </w:p>
    <w:bookmarkEnd w:id="8"/>
    <w:p w:rsidR="00426929" w:rsidRPr="00820CD7" w:rsidRDefault="00426929" w:rsidP="00426929">
      <w:pPr>
        <w:spacing w:before="240" w:after="240" w:line="360" w:lineRule="auto"/>
        <w:ind w:firstLine="1"/>
        <w:jc w:val="both"/>
        <w:rPr>
          <w:rFonts w:ascii="Palatino Linotype" w:hAnsi="Palatino Linotype"/>
        </w:rPr>
      </w:pPr>
    </w:p>
    <w:p w:rsidR="00453E68" w:rsidRPr="00820CD7" w:rsidRDefault="00453E68">
      <w:pPr>
        <w:spacing w:line="360" w:lineRule="auto"/>
        <w:jc w:val="both"/>
        <w:rPr>
          <w:rFonts w:ascii="Palatino Linotype" w:eastAsia="Palatino Linotype" w:hAnsi="Palatino Linotype" w:cs="Palatino Linotype"/>
          <w:color w:val="000000"/>
        </w:rPr>
      </w:pPr>
      <w:bookmarkStart w:id="9" w:name="_GoBack"/>
      <w:bookmarkEnd w:id="9"/>
    </w:p>
    <w:sectPr w:rsidR="00453E68" w:rsidRPr="00820CD7">
      <w:headerReference w:type="even" r:id="rId13"/>
      <w:headerReference w:type="default" r:id="rId14"/>
      <w:footerReference w:type="default" r:id="rId15"/>
      <w:headerReference w:type="first" r:id="rId16"/>
      <w:footerReference w:type="first" r:id="rId17"/>
      <w:pgSz w:w="12240" w:h="15840"/>
      <w:pgMar w:top="1417" w:right="1750" w:bottom="1417" w:left="1701" w:header="708" w:footer="708"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69CC" w:rsidRDefault="00AF69CC">
      <w:r>
        <w:separator/>
      </w:r>
    </w:p>
  </w:endnote>
  <w:endnote w:type="continuationSeparator" w:id="0">
    <w:p w:rsidR="00AF69CC" w:rsidRDefault="00AF69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Merriweather">
    <w:charset w:val="00"/>
    <w:family w:val="auto"/>
    <w:pitch w:val="default"/>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68D9" w:rsidRDefault="00EF68D9">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Página </w:t>
    </w:r>
    <w:r>
      <w:rPr>
        <w:rFonts w:ascii="Palatino Linotype" w:eastAsia="Palatino Linotype" w:hAnsi="Palatino Linotype" w:cs="Palatino Linotype"/>
        <w:b/>
        <w:color w:val="000000"/>
      </w:rPr>
      <w:fldChar w:fldCharType="begin"/>
    </w:r>
    <w:r>
      <w:rPr>
        <w:rFonts w:ascii="Palatino Linotype" w:eastAsia="Palatino Linotype" w:hAnsi="Palatino Linotype" w:cs="Palatino Linotype"/>
        <w:b/>
        <w:color w:val="000000"/>
      </w:rPr>
      <w:instrText>PAGE</w:instrText>
    </w:r>
    <w:r>
      <w:rPr>
        <w:rFonts w:ascii="Palatino Linotype" w:eastAsia="Palatino Linotype" w:hAnsi="Palatino Linotype" w:cs="Palatino Linotype"/>
        <w:b/>
        <w:color w:val="000000"/>
      </w:rPr>
      <w:fldChar w:fldCharType="separate"/>
    </w:r>
    <w:r w:rsidR="00820CD7">
      <w:rPr>
        <w:rFonts w:ascii="Palatino Linotype" w:eastAsia="Palatino Linotype" w:hAnsi="Palatino Linotype" w:cs="Palatino Linotype"/>
        <w:b/>
        <w:noProof/>
        <w:color w:val="000000"/>
      </w:rPr>
      <w:t>10</w:t>
    </w:r>
    <w:r>
      <w:rPr>
        <w:rFonts w:ascii="Palatino Linotype" w:eastAsia="Palatino Linotype" w:hAnsi="Palatino Linotype" w:cs="Palatino Linotype"/>
        <w:b/>
        <w:color w:val="000000"/>
      </w:rPr>
      <w:fldChar w:fldCharType="end"/>
    </w:r>
    <w:r>
      <w:rPr>
        <w:rFonts w:ascii="Palatino Linotype" w:eastAsia="Palatino Linotype" w:hAnsi="Palatino Linotype" w:cs="Palatino Linotype"/>
        <w:color w:val="000000"/>
      </w:rPr>
      <w:t xml:space="preserve"> de </w:t>
    </w:r>
    <w:r>
      <w:rPr>
        <w:rFonts w:ascii="Palatino Linotype" w:eastAsia="Palatino Linotype" w:hAnsi="Palatino Linotype" w:cs="Palatino Linotype"/>
        <w:b/>
        <w:color w:val="000000"/>
      </w:rPr>
      <w:fldChar w:fldCharType="begin"/>
    </w:r>
    <w:r>
      <w:rPr>
        <w:rFonts w:ascii="Palatino Linotype" w:eastAsia="Palatino Linotype" w:hAnsi="Palatino Linotype" w:cs="Palatino Linotype"/>
        <w:b/>
        <w:color w:val="000000"/>
      </w:rPr>
      <w:instrText>NUMPAGES</w:instrText>
    </w:r>
    <w:r>
      <w:rPr>
        <w:rFonts w:ascii="Palatino Linotype" w:eastAsia="Palatino Linotype" w:hAnsi="Palatino Linotype" w:cs="Palatino Linotype"/>
        <w:b/>
        <w:color w:val="000000"/>
      </w:rPr>
      <w:fldChar w:fldCharType="separate"/>
    </w:r>
    <w:r w:rsidR="00820CD7">
      <w:rPr>
        <w:rFonts w:ascii="Palatino Linotype" w:eastAsia="Palatino Linotype" w:hAnsi="Palatino Linotype" w:cs="Palatino Linotype"/>
        <w:b/>
        <w:noProof/>
        <w:color w:val="000000"/>
      </w:rPr>
      <w:t>11</w:t>
    </w:r>
    <w:r>
      <w:rPr>
        <w:rFonts w:ascii="Palatino Linotype" w:eastAsia="Palatino Linotype" w:hAnsi="Palatino Linotype" w:cs="Palatino Linotype"/>
        <w:b/>
        <w:color w:val="000000"/>
      </w:rPr>
      <w:fldChar w:fldCharType="end"/>
    </w:r>
  </w:p>
  <w:p w:rsidR="00EF68D9" w:rsidRDefault="00EF68D9">
    <w:pPr>
      <w:pBdr>
        <w:top w:val="nil"/>
        <w:left w:val="nil"/>
        <w:bottom w:val="nil"/>
        <w:right w:val="nil"/>
        <w:between w:val="nil"/>
      </w:pBdr>
      <w:tabs>
        <w:tab w:val="center" w:pos="4252"/>
        <w:tab w:val="right" w:pos="8504"/>
      </w:tabs>
      <w:rPr>
        <w:rFonts w:eastAsia="Calibri"/>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68D9" w:rsidRDefault="00EF68D9">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 xml:space="preserve">Página </w:t>
    </w:r>
    <w:r>
      <w:rPr>
        <w:rFonts w:ascii="Palatino Linotype" w:eastAsia="Palatino Linotype" w:hAnsi="Palatino Linotype" w:cs="Palatino Linotype"/>
        <w:color w:val="000000"/>
        <w:sz w:val="22"/>
        <w:szCs w:val="22"/>
      </w:rPr>
      <w:fldChar w:fldCharType="begin"/>
    </w:r>
    <w:r>
      <w:rPr>
        <w:rFonts w:ascii="Palatino Linotype" w:eastAsia="Palatino Linotype" w:hAnsi="Palatino Linotype" w:cs="Palatino Linotype"/>
        <w:color w:val="000000"/>
        <w:sz w:val="22"/>
        <w:szCs w:val="22"/>
      </w:rPr>
      <w:instrText>PAGE</w:instrText>
    </w:r>
    <w:r>
      <w:rPr>
        <w:rFonts w:ascii="Palatino Linotype" w:eastAsia="Palatino Linotype" w:hAnsi="Palatino Linotype" w:cs="Palatino Linotype"/>
        <w:color w:val="000000"/>
        <w:sz w:val="22"/>
        <w:szCs w:val="22"/>
      </w:rPr>
      <w:fldChar w:fldCharType="separate"/>
    </w:r>
    <w:r w:rsidR="00820CD7">
      <w:rPr>
        <w:rFonts w:ascii="Palatino Linotype" w:eastAsia="Palatino Linotype" w:hAnsi="Palatino Linotype" w:cs="Palatino Linotype"/>
        <w:noProof/>
        <w:color w:val="000000"/>
        <w:sz w:val="22"/>
        <w:szCs w:val="22"/>
      </w:rPr>
      <w:t>1</w:t>
    </w:r>
    <w:r>
      <w:rPr>
        <w:rFonts w:ascii="Palatino Linotype" w:eastAsia="Palatino Linotype" w:hAnsi="Palatino Linotype" w:cs="Palatino Linotype"/>
        <w:color w:val="000000"/>
        <w:sz w:val="22"/>
        <w:szCs w:val="22"/>
      </w:rPr>
      <w:fldChar w:fldCharType="end"/>
    </w:r>
    <w:r>
      <w:rPr>
        <w:rFonts w:ascii="Palatino Linotype" w:eastAsia="Palatino Linotype" w:hAnsi="Palatino Linotype" w:cs="Palatino Linotype"/>
        <w:color w:val="000000"/>
        <w:sz w:val="22"/>
        <w:szCs w:val="22"/>
      </w:rPr>
      <w:t xml:space="preserve"> de </w:t>
    </w:r>
    <w:r>
      <w:rPr>
        <w:rFonts w:ascii="Palatino Linotype" w:eastAsia="Palatino Linotype" w:hAnsi="Palatino Linotype" w:cs="Palatino Linotype"/>
        <w:color w:val="000000"/>
        <w:sz w:val="22"/>
        <w:szCs w:val="22"/>
      </w:rPr>
      <w:fldChar w:fldCharType="begin"/>
    </w:r>
    <w:r>
      <w:rPr>
        <w:rFonts w:ascii="Palatino Linotype" w:eastAsia="Palatino Linotype" w:hAnsi="Palatino Linotype" w:cs="Palatino Linotype"/>
        <w:color w:val="000000"/>
        <w:sz w:val="22"/>
        <w:szCs w:val="22"/>
      </w:rPr>
      <w:instrText>NUMPAGES</w:instrText>
    </w:r>
    <w:r>
      <w:rPr>
        <w:rFonts w:ascii="Palatino Linotype" w:eastAsia="Palatino Linotype" w:hAnsi="Palatino Linotype" w:cs="Palatino Linotype"/>
        <w:color w:val="000000"/>
        <w:sz w:val="22"/>
        <w:szCs w:val="22"/>
      </w:rPr>
      <w:fldChar w:fldCharType="separate"/>
    </w:r>
    <w:r w:rsidR="00820CD7">
      <w:rPr>
        <w:rFonts w:ascii="Palatino Linotype" w:eastAsia="Palatino Linotype" w:hAnsi="Palatino Linotype" w:cs="Palatino Linotype"/>
        <w:noProof/>
        <w:color w:val="000000"/>
        <w:sz w:val="22"/>
        <w:szCs w:val="22"/>
      </w:rPr>
      <w:t>11</w:t>
    </w:r>
    <w:r>
      <w:rPr>
        <w:rFonts w:ascii="Palatino Linotype" w:eastAsia="Palatino Linotype" w:hAnsi="Palatino Linotype" w:cs="Palatino Linotype"/>
        <w:color w:val="000000"/>
        <w:sz w:val="22"/>
        <w:szCs w:val="22"/>
      </w:rPr>
      <w:fldChar w:fldCharType="end"/>
    </w:r>
  </w:p>
  <w:p w:rsidR="00EF68D9" w:rsidRDefault="00EF68D9">
    <w:pPr>
      <w:pBdr>
        <w:top w:val="nil"/>
        <w:left w:val="nil"/>
        <w:bottom w:val="nil"/>
        <w:right w:val="nil"/>
        <w:between w:val="nil"/>
      </w:pBdr>
      <w:tabs>
        <w:tab w:val="center" w:pos="4252"/>
        <w:tab w:val="right" w:pos="8504"/>
      </w:tabs>
      <w:rPr>
        <w:rFonts w:ascii="Palatino Linotype" w:eastAsia="Palatino Linotype" w:hAnsi="Palatino Linotype" w:cs="Palatino Linotype"/>
        <w:color w:val="000000"/>
        <w:sz w:val="22"/>
        <w:szCs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69CC" w:rsidRDefault="00AF69CC">
      <w:r>
        <w:separator/>
      </w:r>
    </w:p>
  </w:footnote>
  <w:footnote w:type="continuationSeparator" w:id="0">
    <w:p w:rsidR="00AF69CC" w:rsidRDefault="00AF69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68D9" w:rsidRDefault="00AF69CC">
    <w:pPr>
      <w:pBdr>
        <w:top w:val="nil"/>
        <w:left w:val="nil"/>
        <w:bottom w:val="nil"/>
        <w:right w:val="nil"/>
        <w:between w:val="nil"/>
      </w:pBdr>
      <w:tabs>
        <w:tab w:val="center" w:pos="4252"/>
        <w:tab w:val="right" w:pos="8504"/>
      </w:tabs>
      <w:rPr>
        <w:rFonts w:eastAsia="Calibri"/>
        <w:color w:val="000000"/>
      </w:rPr>
    </w:pPr>
    <w:r>
      <w:rPr>
        <w:rFonts w:eastAsia="Calibri"/>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49" type="#_x0000_t75" alt="" style="position:absolute;margin-left:0;margin-top:0;width:609.4pt;height:793.75pt;z-index:-251657728;mso-position-horizontal:center;mso-position-horizontal-relative:margin;mso-position-vertical:center;mso-position-vertical-relative:margin">
          <v:imagedata r:id="rId1" o:title="image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68D9" w:rsidRDefault="00EF68D9">
    <w:pPr>
      <w:widowControl w:val="0"/>
      <w:pBdr>
        <w:top w:val="nil"/>
        <w:left w:val="nil"/>
        <w:bottom w:val="nil"/>
        <w:right w:val="nil"/>
        <w:between w:val="nil"/>
      </w:pBdr>
      <w:spacing w:line="276" w:lineRule="auto"/>
      <w:rPr>
        <w:rFonts w:eastAsia="Calibri"/>
        <w:color w:val="000000"/>
      </w:rPr>
    </w:pPr>
  </w:p>
  <w:tbl>
    <w:tblPr>
      <w:tblStyle w:val="a"/>
      <w:tblW w:w="6495" w:type="dxa"/>
      <w:tblInd w:w="2400" w:type="dxa"/>
      <w:tblBorders>
        <w:top w:val="nil"/>
        <w:left w:val="nil"/>
        <w:bottom w:val="nil"/>
        <w:right w:val="nil"/>
        <w:insideH w:val="nil"/>
        <w:insideV w:val="nil"/>
      </w:tblBorders>
      <w:tblLayout w:type="fixed"/>
      <w:tblLook w:val="0400" w:firstRow="0" w:lastRow="0" w:firstColumn="0" w:lastColumn="0" w:noHBand="0" w:noVBand="1"/>
    </w:tblPr>
    <w:tblGrid>
      <w:gridCol w:w="2550"/>
      <w:gridCol w:w="3945"/>
    </w:tblGrid>
    <w:tr w:rsidR="00EF68D9">
      <w:trPr>
        <w:trHeight w:val="138"/>
      </w:trPr>
      <w:tc>
        <w:tcPr>
          <w:tcW w:w="2550" w:type="dxa"/>
          <w:vAlign w:val="center"/>
        </w:tcPr>
        <w:p w:rsidR="00EF68D9" w:rsidRDefault="00EF68D9">
          <w:pPr>
            <w:ind w:left="425" w:right="-494"/>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945" w:type="dxa"/>
          <w:vAlign w:val="center"/>
        </w:tcPr>
        <w:p w:rsidR="00EF68D9" w:rsidRDefault="00EF68D9">
          <w:pPr>
            <w:pBdr>
              <w:top w:val="nil"/>
              <w:left w:val="nil"/>
              <w:bottom w:val="nil"/>
              <w:right w:val="nil"/>
              <w:between w:val="nil"/>
            </w:pBdr>
            <w:tabs>
              <w:tab w:val="center" w:pos="4252"/>
              <w:tab w:val="right" w:pos="8504"/>
            </w:tabs>
            <w:ind w:left="425" w:right="-494"/>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06503/INFOEM/IP/RR/2024</w:t>
          </w:r>
        </w:p>
      </w:tc>
    </w:tr>
    <w:tr w:rsidR="00EF68D9">
      <w:trPr>
        <w:trHeight w:val="321"/>
      </w:trPr>
      <w:tc>
        <w:tcPr>
          <w:tcW w:w="2550" w:type="dxa"/>
          <w:vAlign w:val="center"/>
        </w:tcPr>
        <w:p w:rsidR="00EF68D9" w:rsidRDefault="00EF68D9">
          <w:pPr>
            <w:ind w:left="425" w:right="-494"/>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945" w:type="dxa"/>
          <w:vAlign w:val="center"/>
        </w:tcPr>
        <w:p w:rsidR="00EF68D9" w:rsidRDefault="00EF68D9">
          <w:pPr>
            <w:pBdr>
              <w:top w:val="nil"/>
              <w:left w:val="nil"/>
              <w:bottom w:val="nil"/>
              <w:right w:val="nil"/>
              <w:between w:val="nil"/>
            </w:pBdr>
            <w:tabs>
              <w:tab w:val="center" w:pos="4252"/>
              <w:tab w:val="right" w:pos="8504"/>
            </w:tabs>
            <w:ind w:left="425" w:right="-494"/>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Secretaría de Finanzas</w:t>
          </w:r>
        </w:p>
      </w:tc>
    </w:tr>
    <w:tr w:rsidR="00EF68D9">
      <w:trPr>
        <w:trHeight w:val="321"/>
      </w:trPr>
      <w:tc>
        <w:tcPr>
          <w:tcW w:w="2550" w:type="dxa"/>
          <w:vAlign w:val="center"/>
        </w:tcPr>
        <w:p w:rsidR="00EF68D9" w:rsidRDefault="00EF68D9">
          <w:pPr>
            <w:ind w:left="425" w:right="-494"/>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945" w:type="dxa"/>
          <w:vAlign w:val="center"/>
        </w:tcPr>
        <w:p w:rsidR="00EF68D9" w:rsidRDefault="00EF68D9">
          <w:pPr>
            <w:pBdr>
              <w:top w:val="nil"/>
              <w:left w:val="nil"/>
              <w:bottom w:val="nil"/>
              <w:right w:val="nil"/>
              <w:between w:val="nil"/>
            </w:pBdr>
            <w:tabs>
              <w:tab w:val="center" w:pos="4252"/>
              <w:tab w:val="right" w:pos="8504"/>
            </w:tabs>
            <w:ind w:left="425" w:right="-494"/>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tc>
    </w:tr>
  </w:tbl>
  <w:p w:rsidR="00EF68D9" w:rsidRDefault="00AF69CC">
    <w:pPr>
      <w:pBdr>
        <w:top w:val="nil"/>
        <w:left w:val="nil"/>
        <w:bottom w:val="nil"/>
        <w:right w:val="nil"/>
        <w:between w:val="nil"/>
      </w:pBdr>
      <w:tabs>
        <w:tab w:val="center" w:pos="4252"/>
        <w:tab w:val="right" w:pos="8504"/>
      </w:tabs>
      <w:rPr>
        <w:rFonts w:eastAsia="Calibri"/>
        <w:color w:val="000000"/>
      </w:rPr>
    </w:pPr>
    <w:r>
      <w:rPr>
        <w:rFonts w:eastAsia="Calibri"/>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1" type="#_x0000_t75" alt="" style="position:absolute;margin-left:-88.05pt;margin-top:-123.6pt;width:609.4pt;height:793.75pt;z-index:-251659776;mso-position-horizontal:absolute;mso-position-horizontal-relative:margin;mso-position-vertical:absolute;mso-position-vertical-relative:margin">
          <v:imagedata r:id="rId1" o:title="image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68D9" w:rsidRDefault="00EF68D9">
    <w:pPr>
      <w:widowControl w:val="0"/>
      <w:pBdr>
        <w:top w:val="nil"/>
        <w:left w:val="nil"/>
        <w:bottom w:val="nil"/>
        <w:right w:val="nil"/>
        <w:between w:val="nil"/>
      </w:pBdr>
      <w:spacing w:line="276" w:lineRule="auto"/>
      <w:rPr>
        <w:rFonts w:eastAsia="Calibri"/>
        <w:color w:val="000000"/>
      </w:rPr>
    </w:pPr>
  </w:p>
  <w:tbl>
    <w:tblPr>
      <w:tblStyle w:val="a0"/>
      <w:tblW w:w="12465" w:type="dxa"/>
      <w:tblInd w:w="279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2595"/>
      <w:gridCol w:w="3960"/>
      <w:gridCol w:w="2400"/>
      <w:gridCol w:w="255"/>
      <w:gridCol w:w="3255"/>
    </w:tblGrid>
    <w:tr w:rsidR="00EF68D9">
      <w:trPr>
        <w:trHeight w:val="138"/>
      </w:trPr>
      <w:tc>
        <w:tcPr>
          <w:tcW w:w="2595" w:type="dxa"/>
          <w:vAlign w:val="center"/>
        </w:tcPr>
        <w:p w:rsidR="00EF68D9" w:rsidRDefault="00EF68D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960" w:type="dxa"/>
          <w:vAlign w:val="center"/>
        </w:tcPr>
        <w:p w:rsidR="00EF68D9" w:rsidRDefault="00EF68D9" w:rsidP="001C4904">
          <w:pPr>
            <w:pBdr>
              <w:top w:val="nil"/>
              <w:left w:val="nil"/>
              <w:bottom w:val="nil"/>
              <w:right w:val="nil"/>
              <w:between w:val="nil"/>
            </w:pBdr>
            <w:tabs>
              <w:tab w:val="center" w:pos="3954"/>
              <w:tab w:val="right" w:pos="8504"/>
            </w:tabs>
            <w:ind w:left="141" w:right="-1143"/>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06503/INFOEM/IP/RR/2024</w:t>
          </w:r>
        </w:p>
      </w:tc>
      <w:tc>
        <w:tcPr>
          <w:tcW w:w="2400" w:type="dxa"/>
          <w:vAlign w:val="center"/>
        </w:tcPr>
        <w:p w:rsidR="00EF68D9" w:rsidRDefault="00EF68D9">
          <w:pPr>
            <w:rPr>
              <w:rFonts w:ascii="Palatino Linotype" w:eastAsia="Palatino Linotype" w:hAnsi="Palatino Linotype" w:cs="Palatino Linotype"/>
              <w:b/>
              <w:sz w:val="22"/>
              <w:szCs w:val="22"/>
            </w:rPr>
          </w:pPr>
        </w:p>
      </w:tc>
      <w:tc>
        <w:tcPr>
          <w:tcW w:w="255" w:type="dxa"/>
          <w:vAlign w:val="center"/>
        </w:tcPr>
        <w:p w:rsidR="00EF68D9" w:rsidRDefault="00EF68D9">
          <w:pPr>
            <w:pBdr>
              <w:top w:val="nil"/>
              <w:left w:val="nil"/>
              <w:bottom w:val="nil"/>
              <w:right w:val="nil"/>
              <w:between w:val="nil"/>
            </w:pBdr>
            <w:tabs>
              <w:tab w:val="center" w:pos="4252"/>
              <w:tab w:val="right" w:pos="8504"/>
            </w:tabs>
            <w:jc w:val="center"/>
            <w:rPr>
              <w:rFonts w:ascii="Palatino Linotype" w:eastAsia="Palatino Linotype" w:hAnsi="Palatino Linotype" w:cs="Palatino Linotype"/>
              <w:b/>
              <w:sz w:val="22"/>
              <w:szCs w:val="22"/>
            </w:rPr>
          </w:pPr>
        </w:p>
      </w:tc>
      <w:tc>
        <w:tcPr>
          <w:tcW w:w="3255" w:type="dxa"/>
          <w:vAlign w:val="center"/>
        </w:tcPr>
        <w:p w:rsidR="00EF68D9" w:rsidRDefault="00EF68D9">
          <w:pPr>
            <w:pBdr>
              <w:top w:val="nil"/>
              <w:left w:val="nil"/>
              <w:bottom w:val="nil"/>
              <w:right w:val="nil"/>
              <w:between w:val="nil"/>
            </w:pBdr>
            <w:tabs>
              <w:tab w:val="center" w:pos="4252"/>
              <w:tab w:val="right" w:pos="8504"/>
            </w:tabs>
            <w:rPr>
              <w:rFonts w:ascii="Palatino Linotype" w:eastAsia="Palatino Linotype" w:hAnsi="Palatino Linotype" w:cs="Palatino Linotype"/>
              <w:b/>
              <w:sz w:val="22"/>
              <w:szCs w:val="22"/>
            </w:rPr>
          </w:pPr>
        </w:p>
      </w:tc>
    </w:tr>
    <w:tr w:rsidR="00EF68D9">
      <w:trPr>
        <w:trHeight w:val="227"/>
      </w:trPr>
      <w:tc>
        <w:tcPr>
          <w:tcW w:w="2595" w:type="dxa"/>
          <w:vAlign w:val="center"/>
        </w:tcPr>
        <w:p w:rsidR="00EF68D9" w:rsidRDefault="00EF68D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960" w:type="dxa"/>
          <w:vAlign w:val="center"/>
        </w:tcPr>
        <w:p w:rsidR="00EF68D9" w:rsidRDefault="00820CD7">
          <w:pPr>
            <w:pBdr>
              <w:top w:val="nil"/>
              <w:left w:val="nil"/>
              <w:bottom w:val="nil"/>
              <w:right w:val="nil"/>
              <w:between w:val="nil"/>
            </w:pBdr>
            <w:tabs>
              <w:tab w:val="center" w:pos="3954"/>
              <w:tab w:val="right" w:pos="8504"/>
            </w:tabs>
            <w:ind w:left="141" w:right="-1143"/>
            <w:rPr>
              <w:rFonts w:ascii="Palatino Linotype" w:eastAsia="Palatino Linotype" w:hAnsi="Palatino Linotype" w:cs="Palatino Linotype"/>
              <w:sz w:val="22"/>
              <w:szCs w:val="22"/>
            </w:rPr>
          </w:pPr>
          <w:r>
            <w:rPr>
              <w:rFonts w:ascii="Palatino Linotype" w:eastAsia="Palatino Linotype" w:hAnsi="Palatino Linotype" w:cs="Palatino Linotype"/>
              <w:b/>
              <w:bCs/>
              <w:sz w:val="22"/>
              <w:szCs w:val="22"/>
            </w:rPr>
            <w:t>XXXXXXXXXX</w:t>
          </w:r>
        </w:p>
      </w:tc>
      <w:tc>
        <w:tcPr>
          <w:tcW w:w="2400" w:type="dxa"/>
          <w:vAlign w:val="center"/>
        </w:tcPr>
        <w:p w:rsidR="00EF68D9" w:rsidRDefault="00EF68D9">
          <w:pPr>
            <w:rPr>
              <w:rFonts w:ascii="Palatino Linotype" w:eastAsia="Palatino Linotype" w:hAnsi="Palatino Linotype" w:cs="Palatino Linotype"/>
              <w:b/>
              <w:sz w:val="22"/>
              <w:szCs w:val="22"/>
            </w:rPr>
          </w:pPr>
        </w:p>
      </w:tc>
      <w:tc>
        <w:tcPr>
          <w:tcW w:w="255" w:type="dxa"/>
          <w:vAlign w:val="center"/>
        </w:tcPr>
        <w:p w:rsidR="00EF68D9" w:rsidRDefault="00EF68D9">
          <w:pPr>
            <w:pBdr>
              <w:top w:val="nil"/>
              <w:left w:val="nil"/>
              <w:bottom w:val="nil"/>
              <w:right w:val="nil"/>
              <w:between w:val="nil"/>
            </w:pBdr>
            <w:tabs>
              <w:tab w:val="center" w:pos="4252"/>
              <w:tab w:val="right" w:pos="8504"/>
            </w:tabs>
            <w:jc w:val="center"/>
            <w:rPr>
              <w:rFonts w:ascii="Palatino Linotype" w:eastAsia="Palatino Linotype" w:hAnsi="Palatino Linotype" w:cs="Palatino Linotype"/>
              <w:b/>
              <w:sz w:val="22"/>
              <w:szCs w:val="22"/>
            </w:rPr>
          </w:pPr>
        </w:p>
      </w:tc>
      <w:tc>
        <w:tcPr>
          <w:tcW w:w="3255" w:type="dxa"/>
          <w:vAlign w:val="center"/>
        </w:tcPr>
        <w:p w:rsidR="00EF68D9" w:rsidRDefault="00EF68D9">
          <w:pPr>
            <w:pBdr>
              <w:top w:val="nil"/>
              <w:left w:val="nil"/>
              <w:bottom w:val="nil"/>
              <w:right w:val="nil"/>
              <w:between w:val="nil"/>
            </w:pBdr>
            <w:tabs>
              <w:tab w:val="center" w:pos="4252"/>
              <w:tab w:val="right" w:pos="8504"/>
            </w:tabs>
            <w:rPr>
              <w:rFonts w:ascii="Palatino Linotype" w:eastAsia="Palatino Linotype" w:hAnsi="Palatino Linotype" w:cs="Palatino Linotype"/>
              <w:b/>
              <w:sz w:val="22"/>
              <w:szCs w:val="22"/>
            </w:rPr>
          </w:pPr>
        </w:p>
      </w:tc>
    </w:tr>
    <w:tr w:rsidR="00EF68D9">
      <w:trPr>
        <w:trHeight w:val="232"/>
      </w:trPr>
      <w:tc>
        <w:tcPr>
          <w:tcW w:w="2595" w:type="dxa"/>
          <w:vAlign w:val="center"/>
        </w:tcPr>
        <w:p w:rsidR="00EF68D9" w:rsidRDefault="00EF68D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960" w:type="dxa"/>
          <w:vAlign w:val="center"/>
        </w:tcPr>
        <w:p w:rsidR="00EF68D9" w:rsidRDefault="00EF68D9" w:rsidP="001C4904">
          <w:pPr>
            <w:pBdr>
              <w:top w:val="nil"/>
              <w:left w:val="nil"/>
              <w:bottom w:val="nil"/>
              <w:right w:val="nil"/>
              <w:between w:val="nil"/>
            </w:pBdr>
            <w:tabs>
              <w:tab w:val="center" w:pos="3954"/>
              <w:tab w:val="right" w:pos="8504"/>
            </w:tabs>
            <w:ind w:right="-1143"/>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   Secretaría de Finanzas</w:t>
          </w:r>
        </w:p>
      </w:tc>
      <w:tc>
        <w:tcPr>
          <w:tcW w:w="2400" w:type="dxa"/>
          <w:vAlign w:val="center"/>
        </w:tcPr>
        <w:p w:rsidR="00EF68D9" w:rsidRDefault="00EF68D9">
          <w:pPr>
            <w:rPr>
              <w:rFonts w:ascii="Palatino Linotype" w:eastAsia="Palatino Linotype" w:hAnsi="Palatino Linotype" w:cs="Palatino Linotype"/>
              <w:b/>
              <w:sz w:val="22"/>
              <w:szCs w:val="22"/>
            </w:rPr>
          </w:pPr>
        </w:p>
      </w:tc>
      <w:tc>
        <w:tcPr>
          <w:tcW w:w="255" w:type="dxa"/>
          <w:vAlign w:val="center"/>
        </w:tcPr>
        <w:p w:rsidR="00EF68D9" w:rsidRDefault="00EF68D9">
          <w:pPr>
            <w:pBdr>
              <w:top w:val="nil"/>
              <w:left w:val="nil"/>
              <w:bottom w:val="nil"/>
              <w:right w:val="nil"/>
              <w:between w:val="nil"/>
            </w:pBdr>
            <w:tabs>
              <w:tab w:val="center" w:pos="4252"/>
              <w:tab w:val="right" w:pos="8504"/>
            </w:tabs>
            <w:jc w:val="center"/>
            <w:rPr>
              <w:rFonts w:ascii="Palatino Linotype" w:eastAsia="Palatino Linotype" w:hAnsi="Palatino Linotype" w:cs="Palatino Linotype"/>
              <w:b/>
              <w:sz w:val="22"/>
              <w:szCs w:val="22"/>
            </w:rPr>
          </w:pPr>
        </w:p>
      </w:tc>
      <w:tc>
        <w:tcPr>
          <w:tcW w:w="3255" w:type="dxa"/>
          <w:vAlign w:val="center"/>
        </w:tcPr>
        <w:p w:rsidR="00EF68D9" w:rsidRDefault="00EF68D9">
          <w:pPr>
            <w:pBdr>
              <w:top w:val="nil"/>
              <w:left w:val="nil"/>
              <w:bottom w:val="nil"/>
              <w:right w:val="nil"/>
              <w:between w:val="nil"/>
            </w:pBdr>
            <w:tabs>
              <w:tab w:val="center" w:pos="4252"/>
              <w:tab w:val="right" w:pos="8504"/>
            </w:tabs>
            <w:rPr>
              <w:rFonts w:ascii="Palatino Linotype" w:eastAsia="Palatino Linotype" w:hAnsi="Palatino Linotype" w:cs="Palatino Linotype"/>
              <w:b/>
              <w:sz w:val="22"/>
              <w:szCs w:val="22"/>
            </w:rPr>
          </w:pPr>
        </w:p>
      </w:tc>
    </w:tr>
    <w:tr w:rsidR="00EF68D9">
      <w:trPr>
        <w:trHeight w:val="320"/>
      </w:trPr>
      <w:tc>
        <w:tcPr>
          <w:tcW w:w="2595" w:type="dxa"/>
          <w:vAlign w:val="center"/>
        </w:tcPr>
        <w:p w:rsidR="00EF68D9" w:rsidRDefault="00EF68D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Comisionado ponente:</w:t>
          </w:r>
        </w:p>
      </w:tc>
      <w:tc>
        <w:tcPr>
          <w:tcW w:w="3960" w:type="dxa"/>
          <w:vAlign w:val="center"/>
        </w:tcPr>
        <w:p w:rsidR="00EF68D9" w:rsidRDefault="00EF68D9">
          <w:pPr>
            <w:pBdr>
              <w:top w:val="nil"/>
              <w:left w:val="nil"/>
              <w:bottom w:val="nil"/>
              <w:right w:val="nil"/>
              <w:between w:val="nil"/>
            </w:pBdr>
            <w:tabs>
              <w:tab w:val="center" w:pos="3954"/>
              <w:tab w:val="right" w:pos="8504"/>
            </w:tabs>
            <w:ind w:left="141" w:right="-1143"/>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tc>
      <w:tc>
        <w:tcPr>
          <w:tcW w:w="2400" w:type="dxa"/>
          <w:vAlign w:val="center"/>
        </w:tcPr>
        <w:p w:rsidR="00EF68D9" w:rsidRDefault="00EF68D9">
          <w:pPr>
            <w:rPr>
              <w:rFonts w:ascii="Palatino Linotype" w:eastAsia="Palatino Linotype" w:hAnsi="Palatino Linotype" w:cs="Palatino Linotype"/>
              <w:b/>
              <w:sz w:val="22"/>
              <w:szCs w:val="22"/>
            </w:rPr>
          </w:pPr>
        </w:p>
      </w:tc>
      <w:tc>
        <w:tcPr>
          <w:tcW w:w="255" w:type="dxa"/>
          <w:vAlign w:val="center"/>
        </w:tcPr>
        <w:p w:rsidR="00EF68D9" w:rsidRDefault="00EF68D9">
          <w:pPr>
            <w:pBdr>
              <w:top w:val="nil"/>
              <w:left w:val="nil"/>
              <w:bottom w:val="nil"/>
              <w:right w:val="nil"/>
              <w:between w:val="nil"/>
            </w:pBdr>
            <w:tabs>
              <w:tab w:val="center" w:pos="4252"/>
              <w:tab w:val="right" w:pos="8504"/>
            </w:tabs>
            <w:jc w:val="center"/>
            <w:rPr>
              <w:rFonts w:ascii="Palatino Linotype" w:eastAsia="Palatino Linotype" w:hAnsi="Palatino Linotype" w:cs="Palatino Linotype"/>
              <w:b/>
              <w:sz w:val="22"/>
              <w:szCs w:val="22"/>
            </w:rPr>
          </w:pPr>
        </w:p>
      </w:tc>
      <w:tc>
        <w:tcPr>
          <w:tcW w:w="3255" w:type="dxa"/>
          <w:vAlign w:val="center"/>
        </w:tcPr>
        <w:p w:rsidR="00EF68D9" w:rsidRDefault="00EF68D9">
          <w:pPr>
            <w:pBdr>
              <w:top w:val="nil"/>
              <w:left w:val="nil"/>
              <w:bottom w:val="nil"/>
              <w:right w:val="nil"/>
              <w:between w:val="nil"/>
            </w:pBdr>
            <w:tabs>
              <w:tab w:val="center" w:pos="4252"/>
              <w:tab w:val="right" w:pos="8504"/>
            </w:tabs>
            <w:rPr>
              <w:rFonts w:ascii="Palatino Linotype" w:eastAsia="Palatino Linotype" w:hAnsi="Palatino Linotype" w:cs="Palatino Linotype"/>
              <w:b/>
              <w:sz w:val="22"/>
              <w:szCs w:val="22"/>
            </w:rPr>
          </w:pPr>
        </w:p>
      </w:tc>
    </w:tr>
  </w:tbl>
  <w:p w:rsidR="00EF68D9" w:rsidRDefault="00AF69CC">
    <w:pPr>
      <w:pBdr>
        <w:top w:val="nil"/>
        <w:left w:val="nil"/>
        <w:bottom w:val="nil"/>
        <w:right w:val="nil"/>
        <w:between w:val="nil"/>
      </w:pBdr>
      <w:tabs>
        <w:tab w:val="center" w:pos="4252"/>
        <w:tab w:val="right" w:pos="8504"/>
      </w:tabs>
      <w:rPr>
        <w:rFonts w:eastAsia="Calibri"/>
        <w:color w:val="000000"/>
      </w:rPr>
    </w:pPr>
    <w:r>
      <w:rPr>
        <w:rFonts w:eastAsia="Calibri"/>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alt="" style="position:absolute;margin-left:0;margin-top:0;width:609.4pt;height:793.75pt;z-index:-251658752;mso-position-horizontal:center;mso-position-horizontal-relative:margin;mso-position-vertical:center;mso-position-vertical-relative:margin">
          <v:imagedata r:id="rId1" o:title="image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C64609"/>
    <w:multiLevelType w:val="multilevel"/>
    <w:tmpl w:val="0F80068E"/>
    <w:lvl w:ilvl="0">
      <w:start w:val="1"/>
      <w:numFmt w:val="lowerLetter"/>
      <w:lvlText w:val="%1)"/>
      <w:lvlJc w:val="left"/>
      <w:pPr>
        <w:ind w:left="927" w:hanging="360"/>
      </w:pPr>
      <w:rPr>
        <w:b/>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15:restartNumberingAfterBreak="0">
    <w:nsid w:val="1EBF4A53"/>
    <w:multiLevelType w:val="multilevel"/>
    <w:tmpl w:val="50C056DE"/>
    <w:lvl w:ilvl="0">
      <w:start w:val="1"/>
      <w:numFmt w:val="bullet"/>
      <w:lvlText w:val="-"/>
      <w:lvlJc w:val="left"/>
      <w:pPr>
        <w:ind w:left="720" w:hanging="360"/>
      </w:pPr>
      <w:rPr>
        <w:rFonts w:ascii="Merriweather" w:eastAsia="Merriweather" w:hAnsi="Merriweather" w:cs="Merriweather"/>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FFA3D7E"/>
    <w:multiLevelType w:val="multilevel"/>
    <w:tmpl w:val="B4E8DE9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7C119BC"/>
    <w:multiLevelType w:val="hybridMultilevel"/>
    <w:tmpl w:val="AB0C9F90"/>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9069F7"/>
    <w:multiLevelType w:val="multilevel"/>
    <w:tmpl w:val="EE04AA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B30531C"/>
    <w:multiLevelType w:val="hybridMultilevel"/>
    <w:tmpl w:val="25AA65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0A718C3"/>
    <w:multiLevelType w:val="multilevel"/>
    <w:tmpl w:val="611A8F46"/>
    <w:lvl w:ilvl="0">
      <w:start w:val="1"/>
      <w:numFmt w:val="bullet"/>
      <w:lvlText w:val="-"/>
      <w:lvlJc w:val="left"/>
      <w:pPr>
        <w:ind w:left="720" w:hanging="360"/>
      </w:pPr>
      <w:rPr>
        <w:rFonts w:ascii="Merriweather" w:eastAsia="Merriweather" w:hAnsi="Merriweather" w:cs="Merriweather"/>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47944916"/>
    <w:multiLevelType w:val="multilevel"/>
    <w:tmpl w:val="36C6C9A6"/>
    <w:lvl w:ilvl="0">
      <w:start w:val="1"/>
      <w:numFmt w:val="bullet"/>
      <w:lvlText w:val="-"/>
      <w:lvlJc w:val="left"/>
      <w:pPr>
        <w:ind w:left="720" w:hanging="360"/>
      </w:pPr>
      <w:rPr>
        <w:rFonts w:ascii="Merriweather" w:eastAsia="Merriweather" w:hAnsi="Merriweather" w:cs="Merriweather"/>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16748BF"/>
    <w:multiLevelType w:val="multilevel"/>
    <w:tmpl w:val="1A42BC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A113C66"/>
    <w:multiLevelType w:val="multilevel"/>
    <w:tmpl w:val="B19C4FA4"/>
    <w:lvl w:ilvl="0">
      <w:start w:val="1"/>
      <w:numFmt w:val="decimal"/>
      <w:lvlText w:val="%1."/>
      <w:lvlJc w:val="left"/>
      <w:pPr>
        <w:ind w:left="3510" w:hanging="360"/>
      </w:pPr>
      <w:rPr>
        <w:rFonts w:ascii="Palatino Linotype" w:eastAsia="Palatino Linotype" w:hAnsi="Palatino Linotype" w:cs="Palatino Linotype"/>
        <w:b/>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1"/>
  </w:num>
  <w:num w:numId="3">
    <w:abstractNumId w:val="8"/>
  </w:num>
  <w:num w:numId="4">
    <w:abstractNumId w:val="7"/>
  </w:num>
  <w:num w:numId="5">
    <w:abstractNumId w:val="2"/>
  </w:num>
  <w:num w:numId="6">
    <w:abstractNumId w:val="6"/>
  </w:num>
  <w:num w:numId="7">
    <w:abstractNumId w:val="0"/>
  </w:num>
  <w:num w:numId="8">
    <w:abstractNumId w:val="9"/>
  </w:num>
  <w:num w:numId="9">
    <w:abstractNumId w:val="5"/>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3E68"/>
    <w:rsid w:val="00123A4D"/>
    <w:rsid w:val="0017573E"/>
    <w:rsid w:val="001C4904"/>
    <w:rsid w:val="003528D0"/>
    <w:rsid w:val="00426929"/>
    <w:rsid w:val="00453E68"/>
    <w:rsid w:val="004814EC"/>
    <w:rsid w:val="00711453"/>
    <w:rsid w:val="007B0376"/>
    <w:rsid w:val="00820CD7"/>
    <w:rsid w:val="00AF69CC"/>
    <w:rsid w:val="00DF513A"/>
    <w:rsid w:val="00EF68D9"/>
    <w:rsid w:val="00FB302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66F637B6-7D53-42D8-890A-96048EEBA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4"/>
        <w:szCs w:val="24"/>
        <w:lang w:val="es-ES_tradnl"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0A98"/>
    <w:rPr>
      <w:rFonts w:eastAsiaTheme="minorEastAsia"/>
      <w:lang w:eastAsia="es-ES"/>
    </w:rPr>
  </w:style>
  <w:style w:type="paragraph" w:styleId="Ttulo1">
    <w:name w:val="heading 1"/>
    <w:basedOn w:val="Normal"/>
    <w:next w:val="Normal"/>
    <w:link w:val="Ttulo1Car"/>
    <w:uiPriority w:val="9"/>
    <w:qFormat/>
    <w:rsid w:val="002A5BA4"/>
    <w:pPr>
      <w:keepNext/>
      <w:keepLines/>
      <w:spacing w:before="240" w:line="259" w:lineRule="auto"/>
      <w:outlineLvl w:val="0"/>
    </w:pPr>
    <w:rPr>
      <w:rFonts w:ascii="Palatino Linotype" w:eastAsiaTheme="majorEastAsia" w:hAnsi="Palatino Linotype" w:cstheme="majorBidi"/>
      <w:b/>
      <w:szCs w:val="32"/>
      <w:lang w:val="es-MX" w:eastAsia="en-US"/>
    </w:rPr>
  </w:style>
  <w:style w:type="paragraph" w:styleId="Ttulo2">
    <w:name w:val="heading 2"/>
    <w:basedOn w:val="Normal"/>
    <w:next w:val="Normal"/>
    <w:link w:val="Ttulo2Car"/>
    <w:uiPriority w:val="9"/>
    <w:unhideWhenUsed/>
    <w:qFormat/>
    <w:rsid w:val="002A5BA4"/>
    <w:pPr>
      <w:keepNext/>
      <w:keepLines/>
      <w:spacing w:before="40" w:line="259" w:lineRule="auto"/>
      <w:outlineLvl w:val="1"/>
    </w:pPr>
    <w:rPr>
      <w:rFonts w:asciiTheme="majorHAnsi" w:eastAsiaTheme="majorEastAsia" w:hAnsiTheme="majorHAnsi" w:cstheme="majorBidi"/>
      <w:color w:val="2E74B5" w:themeColor="accent1" w:themeShade="BF"/>
      <w:sz w:val="26"/>
      <w:szCs w:val="26"/>
      <w:lang w:val="es-MX" w:eastAsia="en-US"/>
    </w:rPr>
  </w:style>
  <w:style w:type="paragraph" w:styleId="Ttulo3">
    <w:name w:val="heading 3"/>
    <w:basedOn w:val="Normal"/>
    <w:next w:val="Normal"/>
    <w:link w:val="Ttulo3Car"/>
    <w:uiPriority w:val="9"/>
    <w:unhideWhenUsed/>
    <w:qFormat/>
    <w:rsid w:val="00E81879"/>
    <w:pPr>
      <w:keepNext/>
      <w:keepLines/>
      <w:spacing w:before="40"/>
      <w:outlineLvl w:val="2"/>
    </w:pPr>
    <w:rPr>
      <w:rFonts w:asciiTheme="majorHAnsi" w:eastAsiaTheme="majorEastAsia" w:hAnsiTheme="majorHAnsi" w:cstheme="majorBidi"/>
      <w:color w:val="1F4D78" w:themeColor="accent1" w:themeShade="7F"/>
    </w:rPr>
  </w:style>
  <w:style w:type="paragraph" w:styleId="Ttulo4">
    <w:name w:val="heading 4"/>
    <w:basedOn w:val="Normal"/>
    <w:next w:val="Normal"/>
    <w:link w:val="Ttulo4Car"/>
    <w:uiPriority w:val="9"/>
    <w:unhideWhenUsed/>
    <w:qFormat/>
    <w:rsid w:val="001E69EF"/>
    <w:pPr>
      <w:keepNext/>
      <w:keepLines/>
      <w:spacing w:before="4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character" w:customStyle="1" w:styleId="Ttulo1Car">
    <w:name w:val="Título 1 Car"/>
    <w:basedOn w:val="Fuentedeprrafopredeter"/>
    <w:link w:val="Ttulo1"/>
    <w:uiPriority w:val="9"/>
    <w:rsid w:val="002A5BA4"/>
    <w:rPr>
      <w:rFonts w:ascii="Palatino Linotype" w:eastAsiaTheme="majorEastAsia" w:hAnsi="Palatino Linotype" w:cstheme="majorBidi"/>
      <w:b/>
      <w:sz w:val="24"/>
      <w:szCs w:val="32"/>
    </w:rPr>
  </w:style>
  <w:style w:type="character" w:customStyle="1" w:styleId="Ttulo2Car">
    <w:name w:val="Título 2 Car"/>
    <w:basedOn w:val="Fuentedeprrafopredeter"/>
    <w:link w:val="Ttulo2"/>
    <w:uiPriority w:val="9"/>
    <w:rsid w:val="002A5BA4"/>
    <w:rPr>
      <w:rFonts w:asciiTheme="majorHAnsi" w:eastAsiaTheme="majorEastAsia" w:hAnsiTheme="majorHAnsi" w:cstheme="majorBidi"/>
      <w:color w:val="2E74B5" w:themeColor="accent1" w:themeShade="BF"/>
      <w:sz w:val="26"/>
      <w:szCs w:val="26"/>
    </w:rPr>
  </w:style>
  <w:style w:type="paragraph" w:styleId="Encabezado">
    <w:name w:val="header"/>
    <w:basedOn w:val="Normal"/>
    <w:link w:val="EncabezadoCar"/>
    <w:uiPriority w:val="99"/>
    <w:unhideWhenUsed/>
    <w:rsid w:val="002A5BA4"/>
    <w:pPr>
      <w:tabs>
        <w:tab w:val="center" w:pos="4252"/>
        <w:tab w:val="right" w:pos="8504"/>
      </w:tabs>
    </w:pPr>
  </w:style>
  <w:style w:type="character" w:customStyle="1" w:styleId="EncabezadoCar">
    <w:name w:val="Encabezado Car"/>
    <w:basedOn w:val="Fuentedeprrafopredeter"/>
    <w:link w:val="Encabezado"/>
    <w:uiPriority w:val="99"/>
    <w:rsid w:val="002A5BA4"/>
    <w:rPr>
      <w:rFonts w:eastAsiaTheme="minorEastAsia"/>
      <w:sz w:val="24"/>
      <w:szCs w:val="24"/>
      <w:lang w:val="es-ES_tradnl" w:eastAsia="es-ES"/>
    </w:rPr>
  </w:style>
  <w:style w:type="paragraph" w:styleId="Piedepgina">
    <w:name w:val="footer"/>
    <w:basedOn w:val="Normal"/>
    <w:link w:val="PiedepginaCar"/>
    <w:uiPriority w:val="99"/>
    <w:unhideWhenUsed/>
    <w:rsid w:val="002A5BA4"/>
    <w:pPr>
      <w:tabs>
        <w:tab w:val="center" w:pos="4252"/>
        <w:tab w:val="right" w:pos="8504"/>
      </w:tabs>
    </w:pPr>
  </w:style>
  <w:style w:type="character" w:customStyle="1" w:styleId="PiedepginaCar">
    <w:name w:val="Pie de página Car"/>
    <w:basedOn w:val="Fuentedeprrafopredeter"/>
    <w:link w:val="Piedepgina"/>
    <w:uiPriority w:val="99"/>
    <w:rsid w:val="002A5BA4"/>
    <w:rPr>
      <w:rFonts w:eastAsiaTheme="minorEastAsia"/>
      <w:sz w:val="24"/>
      <w:szCs w:val="24"/>
      <w:lang w:val="es-ES_tradnl" w:eastAsia="es-ES"/>
    </w:rPr>
  </w:style>
  <w:style w:type="table" w:styleId="Tablaconcuadrcula">
    <w:name w:val="Table Grid"/>
    <w:basedOn w:val="Tablanormal"/>
    <w:uiPriority w:val="39"/>
    <w:rsid w:val="002A5BA4"/>
    <w:rPr>
      <w:rFonts w:eastAsiaTheme="minorEastAsia"/>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2A5BA4"/>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2A5BA4"/>
    <w:rPr>
      <w:rFonts w:eastAsiaTheme="minorEastAsia"/>
      <w:sz w:val="24"/>
      <w:szCs w:val="24"/>
      <w:lang w:val="es-ES_tradnl" w:eastAsia="es-ES"/>
    </w:rPr>
  </w:style>
  <w:style w:type="character" w:styleId="Hipervnculo">
    <w:name w:val="Hyperlink"/>
    <w:aliases w:val="Hipervínculo1,Hipervínculo11,Hipervínculo12,Hipervínculo13,Hipervínculo14,Hipervínculo15"/>
    <w:basedOn w:val="Fuentedeprrafopredeter"/>
    <w:uiPriority w:val="99"/>
    <w:unhideWhenUsed/>
    <w:qFormat/>
    <w:rsid w:val="002A5BA4"/>
    <w:rPr>
      <w:color w:val="0563C1" w:themeColor="hyperlink"/>
      <w:u w:val="single"/>
    </w:rPr>
  </w:style>
  <w:style w:type="paragraph" w:styleId="TDC1">
    <w:name w:val="toc 1"/>
    <w:basedOn w:val="Normal"/>
    <w:next w:val="Normal"/>
    <w:autoRedefine/>
    <w:uiPriority w:val="39"/>
    <w:unhideWhenUsed/>
    <w:rsid w:val="002A5BA4"/>
    <w:pPr>
      <w:spacing w:after="100"/>
    </w:pPr>
  </w:style>
  <w:style w:type="paragraph" w:styleId="TDC2">
    <w:name w:val="toc 2"/>
    <w:basedOn w:val="Normal"/>
    <w:next w:val="Normal"/>
    <w:autoRedefine/>
    <w:uiPriority w:val="39"/>
    <w:unhideWhenUsed/>
    <w:rsid w:val="00701E94"/>
    <w:pPr>
      <w:tabs>
        <w:tab w:val="left" w:pos="567"/>
        <w:tab w:val="right" w:leader="dot" w:pos="8779"/>
      </w:tabs>
      <w:spacing w:after="100"/>
      <w:ind w:left="142"/>
    </w:pPr>
  </w:style>
  <w:style w:type="table" w:customStyle="1" w:styleId="Tablaconcuadrcula1">
    <w:name w:val="Tabla con cuadrícula1"/>
    <w:basedOn w:val="Tablanormal"/>
    <w:next w:val="Tablaconcuadrcula"/>
    <w:uiPriority w:val="59"/>
    <w:rsid w:val="002A5BA4"/>
    <w:rPr>
      <w:rFonts w:eastAsia="Times New Roman"/>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deTDC">
    <w:name w:val="TOC Heading"/>
    <w:basedOn w:val="Ttulo1"/>
    <w:next w:val="Normal"/>
    <w:uiPriority w:val="39"/>
    <w:unhideWhenUsed/>
    <w:qFormat/>
    <w:rsid w:val="002A5BA4"/>
    <w:pPr>
      <w:outlineLvl w:val="9"/>
    </w:pPr>
    <w:rPr>
      <w:lang w:eastAsia="es-MX"/>
    </w:rPr>
  </w:style>
  <w:style w:type="paragraph" w:styleId="Textoindependiente2">
    <w:name w:val="Body Text 2"/>
    <w:basedOn w:val="Normal"/>
    <w:link w:val="Textoindependiente2Car"/>
    <w:uiPriority w:val="99"/>
    <w:semiHidden/>
    <w:unhideWhenUsed/>
    <w:rsid w:val="002A5BA4"/>
    <w:pPr>
      <w:spacing w:after="120" w:line="480" w:lineRule="auto"/>
    </w:pPr>
  </w:style>
  <w:style w:type="character" w:customStyle="1" w:styleId="Textoindependiente2Car">
    <w:name w:val="Texto independiente 2 Car"/>
    <w:basedOn w:val="Fuentedeprrafopredeter"/>
    <w:link w:val="Textoindependiente2"/>
    <w:uiPriority w:val="99"/>
    <w:semiHidden/>
    <w:rsid w:val="002A5BA4"/>
    <w:rPr>
      <w:rFonts w:eastAsiaTheme="minorEastAsia"/>
      <w:sz w:val="24"/>
      <w:szCs w:val="24"/>
      <w:lang w:val="es-ES_tradnl" w:eastAsia="es-ES"/>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f"/>
    <w:basedOn w:val="Fuentedeprrafopredeter"/>
    <w:uiPriority w:val="99"/>
    <w:unhideWhenUsed/>
    <w:qFormat/>
    <w:rsid w:val="00500D9A"/>
    <w:rPr>
      <w:vertAlign w:val="superscript"/>
    </w:rPr>
  </w:style>
  <w:style w:type="paragraph" w:customStyle="1" w:styleId="Textonotapie1">
    <w:name w:val="Texto nota pie1"/>
    <w:basedOn w:val="Normal"/>
    <w:next w:val="Textonotapie"/>
    <w:unhideWhenUsed/>
    <w:rsid w:val="00500D9A"/>
    <w:rPr>
      <w:rFonts w:eastAsia="Cambria"/>
      <w:sz w:val="20"/>
      <w:szCs w:val="20"/>
      <w:lang w:val="es-MX" w:eastAsia="en-US"/>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500D9A"/>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500D9A"/>
    <w:rPr>
      <w:rFonts w:eastAsiaTheme="minorEastAsia"/>
      <w:sz w:val="20"/>
      <w:szCs w:val="20"/>
      <w:lang w:val="es-ES_tradnl" w:eastAsia="es-ES"/>
    </w:rPr>
  </w:style>
  <w:style w:type="paragraph" w:customStyle="1" w:styleId="Default">
    <w:name w:val="Default"/>
    <w:rsid w:val="00FA204E"/>
    <w:pPr>
      <w:autoSpaceDE w:val="0"/>
      <w:autoSpaceDN w:val="0"/>
      <w:adjustRightInd w:val="0"/>
    </w:pPr>
    <w:rPr>
      <w:rFonts w:ascii="Times New Roman" w:hAnsi="Times New Roman" w:cs="Times New Roman"/>
      <w:color w:val="000000"/>
    </w:rPr>
  </w:style>
  <w:style w:type="character" w:customStyle="1" w:styleId="Ttulo3Car">
    <w:name w:val="Título 3 Car"/>
    <w:basedOn w:val="Fuentedeprrafopredeter"/>
    <w:link w:val="Ttulo3"/>
    <w:uiPriority w:val="9"/>
    <w:rsid w:val="00E81879"/>
    <w:rPr>
      <w:rFonts w:asciiTheme="majorHAnsi" w:eastAsiaTheme="majorEastAsia" w:hAnsiTheme="majorHAnsi" w:cstheme="majorBidi"/>
      <w:color w:val="1F4D78" w:themeColor="accent1" w:themeShade="7F"/>
      <w:sz w:val="24"/>
      <w:szCs w:val="24"/>
      <w:lang w:val="es-ES_tradnl" w:eastAsia="es-ES"/>
    </w:rPr>
  </w:style>
  <w:style w:type="paragraph" w:styleId="TDC3">
    <w:name w:val="toc 3"/>
    <w:basedOn w:val="Normal"/>
    <w:next w:val="Normal"/>
    <w:autoRedefine/>
    <w:uiPriority w:val="39"/>
    <w:unhideWhenUsed/>
    <w:rsid w:val="00646380"/>
    <w:pPr>
      <w:spacing w:after="100"/>
      <w:ind w:left="480"/>
    </w:pPr>
  </w:style>
  <w:style w:type="paragraph" w:customStyle="1" w:styleId="m1609377113336227858gmail-msonormal">
    <w:name w:val="m_1609377113336227858gmail-msonormal"/>
    <w:basedOn w:val="Normal"/>
    <w:rsid w:val="002D2177"/>
    <w:pPr>
      <w:spacing w:before="100" w:beforeAutospacing="1" w:after="100" w:afterAutospacing="1"/>
    </w:pPr>
    <w:rPr>
      <w:rFonts w:ascii="Times New Roman" w:eastAsia="Times New Roman" w:hAnsi="Times New Roman" w:cs="Times New Roman"/>
      <w:lang w:val="es-ES"/>
    </w:rPr>
  </w:style>
  <w:style w:type="character" w:customStyle="1" w:styleId="apple-converted-space">
    <w:name w:val="apple-converted-space"/>
    <w:basedOn w:val="Fuentedeprrafopredeter"/>
    <w:rsid w:val="00843D41"/>
  </w:style>
  <w:style w:type="paragraph" w:styleId="Sinespaciado">
    <w:name w:val="No Spacing"/>
    <w:aliases w:val="Francesa,INAI"/>
    <w:link w:val="SinespaciadoCar"/>
    <w:uiPriority w:val="1"/>
    <w:qFormat/>
    <w:rsid w:val="000471A3"/>
    <w:rPr>
      <w:rFonts w:eastAsiaTheme="minorEastAsia"/>
      <w:lang w:eastAsia="es-ES"/>
    </w:rPr>
  </w:style>
  <w:style w:type="character" w:customStyle="1" w:styleId="SinespaciadoCar">
    <w:name w:val="Sin espaciado Car"/>
    <w:aliases w:val="Francesa Car,INAI Car"/>
    <w:link w:val="Sinespaciado"/>
    <w:uiPriority w:val="1"/>
    <w:locked/>
    <w:rsid w:val="000471A3"/>
    <w:rPr>
      <w:rFonts w:eastAsiaTheme="minorEastAsia"/>
      <w:sz w:val="24"/>
      <w:szCs w:val="24"/>
      <w:lang w:val="es-ES_tradnl" w:eastAsia="es-ES"/>
    </w:rPr>
  </w:style>
  <w:style w:type="paragraph" w:customStyle="1" w:styleId="m3527742037047551335gmail-msolistparagraph">
    <w:name w:val="m_3527742037047551335gmail-msolistparagraph"/>
    <w:basedOn w:val="Normal"/>
    <w:rsid w:val="00490A69"/>
    <w:pPr>
      <w:spacing w:before="100" w:beforeAutospacing="1" w:after="100" w:afterAutospacing="1"/>
    </w:pPr>
    <w:rPr>
      <w:rFonts w:ascii="Times New Roman" w:eastAsia="Times New Roman" w:hAnsi="Times New Roman" w:cs="Times New Roman"/>
      <w:lang w:val="es-MX" w:eastAsia="es-MX"/>
    </w:rPr>
  </w:style>
  <w:style w:type="character" w:customStyle="1" w:styleId="Ttulo4Car">
    <w:name w:val="Título 4 Car"/>
    <w:basedOn w:val="Fuentedeprrafopredeter"/>
    <w:link w:val="Ttulo4"/>
    <w:uiPriority w:val="9"/>
    <w:rsid w:val="001E69EF"/>
    <w:rPr>
      <w:rFonts w:asciiTheme="majorHAnsi" w:eastAsiaTheme="majorEastAsia" w:hAnsiTheme="majorHAnsi" w:cstheme="majorBidi"/>
      <w:i/>
      <w:iCs/>
      <w:color w:val="2E74B5" w:themeColor="accent1" w:themeShade="BF"/>
      <w:sz w:val="24"/>
      <w:szCs w:val="24"/>
      <w:lang w:val="es-ES_tradnl" w:eastAsia="es-ES"/>
    </w:rPr>
  </w:style>
  <w:style w:type="paragraph" w:customStyle="1" w:styleId="m-698976158124685028gmail-msolistparagraph">
    <w:name w:val="m_-698976158124685028gmail-msolistparagraph"/>
    <w:basedOn w:val="Normal"/>
    <w:rsid w:val="005E6EC8"/>
    <w:pPr>
      <w:spacing w:before="100" w:beforeAutospacing="1" w:after="100" w:afterAutospacing="1"/>
    </w:pPr>
    <w:rPr>
      <w:rFonts w:ascii="Times New Roman" w:eastAsia="Times New Roman" w:hAnsi="Times New Roman" w:cs="Times New Roman"/>
      <w:lang w:val="es-MX" w:eastAsia="es-MX"/>
    </w:rPr>
  </w:style>
  <w:style w:type="paragraph" w:customStyle="1" w:styleId="m-698976158124685028gmail-default">
    <w:name w:val="m_-698976158124685028gmail-default"/>
    <w:basedOn w:val="Normal"/>
    <w:rsid w:val="005E6EC8"/>
    <w:pPr>
      <w:spacing w:before="100" w:beforeAutospacing="1" w:after="100" w:afterAutospacing="1"/>
    </w:pPr>
    <w:rPr>
      <w:rFonts w:ascii="Times New Roman" w:eastAsia="Times New Roman" w:hAnsi="Times New Roman" w:cs="Times New Roman"/>
      <w:lang w:val="es-MX" w:eastAsia="es-MX"/>
    </w:rPr>
  </w:style>
  <w:style w:type="paragraph" w:customStyle="1" w:styleId="m-698976158124685028gmail-m483811427706604298gmail-msolistparagraph">
    <w:name w:val="m_-698976158124685028gmail-m483811427706604298gmail-msolistparagraph"/>
    <w:basedOn w:val="Normal"/>
    <w:rsid w:val="005E6EC8"/>
    <w:pPr>
      <w:spacing w:before="100" w:beforeAutospacing="1" w:after="100" w:afterAutospacing="1"/>
    </w:pPr>
    <w:rPr>
      <w:rFonts w:ascii="Times New Roman" w:eastAsia="Times New Roman" w:hAnsi="Times New Roman" w:cs="Times New Roman"/>
      <w:lang w:val="es-MX" w:eastAsia="es-MX"/>
    </w:rPr>
  </w:style>
  <w:style w:type="paragraph" w:customStyle="1" w:styleId="m-698976158124685028gmail-msonormal">
    <w:name w:val="m_-698976158124685028gmail-msonormal"/>
    <w:basedOn w:val="Normal"/>
    <w:rsid w:val="005E6EC8"/>
    <w:pPr>
      <w:spacing w:before="100" w:beforeAutospacing="1" w:after="100" w:afterAutospacing="1"/>
    </w:pPr>
    <w:rPr>
      <w:rFonts w:ascii="Times New Roman" w:eastAsia="Times New Roman" w:hAnsi="Times New Roman" w:cs="Times New Roman"/>
      <w:lang w:val="es-MX" w:eastAsia="es-MX"/>
    </w:rPr>
  </w:style>
  <w:style w:type="character" w:customStyle="1" w:styleId="m-698976158124685028gmail-apple-converted-space">
    <w:name w:val="m_-698976158124685028gmail-apple-converted-space"/>
    <w:basedOn w:val="Fuentedeprrafopredeter"/>
    <w:rsid w:val="005E6EC8"/>
  </w:style>
  <w:style w:type="character" w:customStyle="1" w:styleId="apple-style-span">
    <w:name w:val="apple-style-span"/>
    <w:rsid w:val="005855B3"/>
  </w:style>
  <w:style w:type="paragraph" w:styleId="Textodeglobo">
    <w:name w:val="Balloon Text"/>
    <w:basedOn w:val="Normal"/>
    <w:link w:val="TextodegloboCar"/>
    <w:uiPriority w:val="99"/>
    <w:semiHidden/>
    <w:unhideWhenUsed/>
    <w:rsid w:val="00BF2E59"/>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F2E59"/>
    <w:rPr>
      <w:rFonts w:ascii="Segoe UI" w:eastAsiaTheme="minorEastAsia" w:hAnsi="Segoe UI" w:cs="Segoe UI"/>
      <w:sz w:val="18"/>
      <w:szCs w:val="18"/>
      <w:lang w:val="es-ES_tradnl" w:eastAsia="es-ES"/>
    </w:rPr>
  </w:style>
  <w:style w:type="table" w:customStyle="1" w:styleId="Tablaconcuadrcula2">
    <w:name w:val="Tabla con cuadrícula2"/>
    <w:basedOn w:val="Tablanormal"/>
    <w:next w:val="Tablaconcuadrcula"/>
    <w:uiPriority w:val="39"/>
    <w:rsid w:val="005E22B0"/>
    <w:rPr>
      <w:rFonts w:eastAsiaTheme="minorEastAsia"/>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normal11">
    <w:name w:val="Tabla normal 11"/>
    <w:basedOn w:val="Tablanormal"/>
    <w:next w:val="Tablanormal1"/>
    <w:uiPriority w:val="41"/>
    <w:rsid w:val="005E22B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normal1">
    <w:name w:val="Plain Table 1"/>
    <w:basedOn w:val="Tablanormal"/>
    <w:uiPriority w:val="41"/>
    <w:rsid w:val="005E22B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rmalWeb">
    <w:name w:val="Normal (Web)"/>
    <w:basedOn w:val="Normal"/>
    <w:uiPriority w:val="99"/>
    <w:semiHidden/>
    <w:unhideWhenUsed/>
    <w:rsid w:val="00550DA9"/>
    <w:pPr>
      <w:spacing w:before="100" w:beforeAutospacing="1" w:after="100" w:afterAutospacing="1"/>
    </w:pPr>
    <w:rPr>
      <w:rFonts w:ascii="Times New Roman" w:eastAsia="Times New Roman" w:hAnsi="Times New Roman" w:cs="Times New Roman"/>
      <w:lang w:val="es-MX" w:eastAsia="es-MX"/>
    </w:rPr>
  </w:style>
  <w:style w:type="table" w:styleId="Tabladecuadrcula6concolores">
    <w:name w:val="Grid Table 6 Colorful"/>
    <w:basedOn w:val="Tablanormal"/>
    <w:uiPriority w:val="51"/>
    <w:rsid w:val="00DF3A22"/>
    <w:rPr>
      <w:rFonts w:eastAsiaTheme="minorEastAsia"/>
      <w:color w:val="000000" w:themeColor="text1"/>
      <w:lang w:eastAsia="es-E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ADB1">
    <w:name w:val="ADB1"/>
    <w:basedOn w:val="Normal"/>
    <w:next w:val="Textonotapie"/>
    <w:uiPriority w:val="99"/>
    <w:unhideWhenUsed/>
    <w:qFormat/>
    <w:rsid w:val="00850444"/>
    <w:rPr>
      <w:rFonts w:eastAsia="Cambria"/>
      <w:sz w:val="20"/>
      <w:szCs w:val="20"/>
      <w:lang w:val="es-MX" w:eastAsia="en-US"/>
    </w:rPr>
  </w:style>
  <w:style w:type="character" w:customStyle="1" w:styleId="Mencinsinresolver1">
    <w:name w:val="Mención sin resolver1"/>
    <w:basedOn w:val="Fuentedeprrafopredeter"/>
    <w:uiPriority w:val="99"/>
    <w:semiHidden/>
    <w:unhideWhenUsed/>
    <w:rsid w:val="004F2918"/>
    <w:rPr>
      <w:color w:val="605E5C"/>
      <w:shd w:val="clear" w:color="auto" w:fill="E1DFDD"/>
    </w:rPr>
  </w:style>
  <w:style w:type="character" w:customStyle="1" w:styleId="Mencinsinresolver2">
    <w:name w:val="Mención sin resolver2"/>
    <w:basedOn w:val="Fuentedeprrafopredeter"/>
    <w:uiPriority w:val="99"/>
    <w:semiHidden/>
    <w:unhideWhenUsed/>
    <w:rsid w:val="00C051BE"/>
    <w:rPr>
      <w:color w:val="605E5C"/>
      <w:shd w:val="clear" w:color="auto" w:fill="E1DFDD"/>
    </w:rPr>
  </w:style>
  <w:style w:type="paragraph" w:customStyle="1" w:styleId="Texto">
    <w:name w:val="Texto"/>
    <w:basedOn w:val="Normal"/>
    <w:link w:val="TextoCar"/>
    <w:rsid w:val="00F22841"/>
    <w:pPr>
      <w:spacing w:after="101" w:line="216" w:lineRule="exact"/>
      <w:ind w:firstLine="288"/>
      <w:jc w:val="both"/>
    </w:pPr>
    <w:rPr>
      <w:rFonts w:ascii="Arial" w:eastAsia="Times New Roman" w:hAnsi="Arial" w:cs="Arial"/>
      <w:sz w:val="18"/>
      <w:szCs w:val="18"/>
      <w:lang w:val="es-MX"/>
    </w:rPr>
  </w:style>
  <w:style w:type="character" w:customStyle="1" w:styleId="TextoCar">
    <w:name w:val="Texto Car"/>
    <w:link w:val="Texto"/>
    <w:locked/>
    <w:rsid w:val="00F22841"/>
    <w:rPr>
      <w:rFonts w:ascii="Arial" w:eastAsia="Times New Roman" w:hAnsi="Arial" w:cs="Arial"/>
      <w:sz w:val="18"/>
      <w:szCs w:val="18"/>
      <w:lang w:eastAsia="es-ES"/>
    </w:rPr>
  </w:style>
  <w:style w:type="paragraph" w:styleId="Textosinformato">
    <w:name w:val="Plain Text"/>
    <w:basedOn w:val="Normal"/>
    <w:link w:val="TextosinformatoCar"/>
    <w:rsid w:val="00F22841"/>
    <w:rPr>
      <w:rFonts w:ascii="Courier New" w:eastAsia="Times New Roman" w:hAnsi="Courier New" w:cs="Times New Roman"/>
      <w:sz w:val="20"/>
      <w:szCs w:val="20"/>
      <w:lang w:val="es-ES"/>
    </w:rPr>
  </w:style>
  <w:style w:type="character" w:customStyle="1" w:styleId="TextosinformatoCar">
    <w:name w:val="Texto sin formato Car"/>
    <w:basedOn w:val="Fuentedeprrafopredeter"/>
    <w:link w:val="Textosinformato"/>
    <w:rsid w:val="00F22841"/>
    <w:rPr>
      <w:rFonts w:ascii="Courier New" w:eastAsia="Times New Roman" w:hAnsi="Courier New" w:cs="Times New Roman"/>
      <w:sz w:val="20"/>
      <w:szCs w:val="20"/>
      <w:lang w:val="es-ES" w:eastAsia="es-ES"/>
    </w:rPr>
  </w:style>
  <w:style w:type="paragraph" w:styleId="Sangradetextonormal">
    <w:name w:val="Body Text Indent"/>
    <w:basedOn w:val="Normal"/>
    <w:link w:val="SangradetextonormalCar"/>
    <w:uiPriority w:val="99"/>
    <w:unhideWhenUsed/>
    <w:qFormat/>
    <w:rsid w:val="00A61D0E"/>
    <w:pPr>
      <w:spacing w:after="120"/>
      <w:ind w:left="283"/>
    </w:pPr>
    <w:rPr>
      <w:rFonts w:ascii="Times New Roman" w:eastAsia="Times New Roman" w:hAnsi="Times New Roman" w:cs="Times New Roman"/>
      <w:sz w:val="20"/>
      <w:szCs w:val="20"/>
      <w:lang w:val="es-MX"/>
    </w:rPr>
  </w:style>
  <w:style w:type="character" w:customStyle="1" w:styleId="SangradetextonormalCar">
    <w:name w:val="Sangría de texto normal Car"/>
    <w:basedOn w:val="Fuentedeprrafopredeter"/>
    <w:link w:val="Sangradetextonormal"/>
    <w:uiPriority w:val="99"/>
    <w:qFormat/>
    <w:rsid w:val="00A61D0E"/>
    <w:rPr>
      <w:rFonts w:ascii="Times New Roman" w:eastAsia="Times New Roman" w:hAnsi="Times New Roman" w:cs="Times New Roman"/>
      <w:sz w:val="20"/>
      <w:szCs w:val="20"/>
      <w:lang w:eastAsia="es-ES"/>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rPr>
      <w:color w:val="000000"/>
    </w:rPr>
    <w:tblPr>
      <w:tblStyleRowBandSize w:val="1"/>
      <w:tblStyleColBandSize w:val="1"/>
      <w:tblCellMar>
        <w:left w:w="108" w:type="dxa"/>
        <w:right w:w="108" w:type="dxa"/>
      </w:tblCellMar>
    </w:tblPr>
  </w:style>
  <w:style w:type="table" w:customStyle="1" w:styleId="a0">
    <w:basedOn w:val="TableNormal"/>
    <w:rPr>
      <w:color w:val="000000"/>
    </w:r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8066644">
      <w:bodyDiv w:val="1"/>
      <w:marLeft w:val="0"/>
      <w:marRight w:val="0"/>
      <w:marTop w:val="0"/>
      <w:marBottom w:val="0"/>
      <w:divBdr>
        <w:top w:val="none" w:sz="0" w:space="0" w:color="auto"/>
        <w:left w:val="none" w:sz="0" w:space="0" w:color="auto"/>
        <w:bottom w:val="none" w:sz="0" w:space="0" w:color="auto"/>
        <w:right w:val="none" w:sz="0" w:space="0" w:color="auto"/>
      </w:divBdr>
    </w:div>
    <w:div w:id="15161874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saimex.org.mx/saimex/solicitud/downloadAttach/2243323.page" TargetMode="Externa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aimex.org.mx/saimex/solicitud/downloadAttach/2243330.pag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saimex.org.mx/saimex/solicitud/downloadAttach/2243324.page"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legislacion.edomex.gob.mx/sites/legislacion.edomex.gob.mx/files/files/pdf/gct/2021/mar261.pdf"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oTiyZonSjEECIQR8Cj5HvZ2hRw==">CgMxLjAyCGguZ2pkZ3hzMgloLjMwajB6bGwyDmgudDhmc2d5c2ltczVkMgloLjFmb2I5dGUyCWguM3pueXNoNzIJaC4yZXQ5MnAwMghoLnR5amN3dDIJaC4zZHk2dmttOAByITFEeVdpT216NHUyZi04U1hrNUExOEJUcDUyZnluVjk2Tw==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11</Pages>
  <Words>2219</Words>
  <Characters>12209</Characters>
  <Application>Microsoft Office Word</Application>
  <DocSecurity>0</DocSecurity>
  <Lines>101</Lines>
  <Paragraphs>28</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14400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INFOEM403</cp:lastModifiedBy>
  <cp:revision>7</cp:revision>
  <dcterms:created xsi:type="dcterms:W3CDTF">2024-11-19T20:57:00Z</dcterms:created>
  <dcterms:modified xsi:type="dcterms:W3CDTF">2025-01-21T16:40:00Z</dcterms:modified>
</cp:coreProperties>
</file>