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5FF3E" w14:textId="77777777" w:rsidR="008072E4" w:rsidRPr="001B2E5E" w:rsidRDefault="003F6F28">
      <w:pPr>
        <w:spacing w:line="360" w:lineRule="auto"/>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nueve de octubre de dos mil veinticuatro. </w:t>
      </w:r>
    </w:p>
    <w:p w14:paraId="71BDE82E" w14:textId="77777777" w:rsidR="008072E4" w:rsidRPr="001B2E5E" w:rsidRDefault="008072E4">
      <w:pPr>
        <w:spacing w:line="360" w:lineRule="auto"/>
        <w:jc w:val="both"/>
        <w:rPr>
          <w:rFonts w:ascii="Palatino Linotype" w:eastAsia="Palatino Linotype" w:hAnsi="Palatino Linotype" w:cs="Palatino Linotype"/>
          <w:sz w:val="22"/>
          <w:szCs w:val="22"/>
        </w:rPr>
      </w:pPr>
    </w:p>
    <w:p w14:paraId="1D8113D1" w14:textId="77777777" w:rsidR="008072E4" w:rsidRPr="001B2E5E" w:rsidRDefault="003F6F28">
      <w:pPr>
        <w:spacing w:line="360" w:lineRule="auto"/>
        <w:jc w:val="both"/>
        <w:rPr>
          <w:rFonts w:ascii="Palatino Linotype" w:eastAsia="Palatino Linotype" w:hAnsi="Palatino Linotype" w:cs="Palatino Linotype"/>
          <w:b/>
          <w:sz w:val="22"/>
          <w:szCs w:val="22"/>
        </w:rPr>
      </w:pPr>
      <w:r w:rsidRPr="001B2E5E">
        <w:rPr>
          <w:rFonts w:ascii="Palatino Linotype" w:eastAsia="Palatino Linotype" w:hAnsi="Palatino Linotype" w:cs="Palatino Linotype"/>
          <w:b/>
          <w:sz w:val="22"/>
          <w:szCs w:val="22"/>
        </w:rPr>
        <w:t>Visto</w:t>
      </w:r>
      <w:r w:rsidRPr="001B2E5E">
        <w:rPr>
          <w:rFonts w:ascii="Palatino Linotype" w:eastAsia="Palatino Linotype" w:hAnsi="Palatino Linotype" w:cs="Palatino Linotype"/>
          <w:sz w:val="22"/>
          <w:szCs w:val="22"/>
        </w:rPr>
        <w:t xml:space="preserve"> el expediente relativo al recurso de revisión </w:t>
      </w:r>
      <w:r w:rsidRPr="001B2E5E">
        <w:rPr>
          <w:rFonts w:ascii="Palatino Linotype" w:eastAsia="Palatino Linotype" w:hAnsi="Palatino Linotype" w:cs="Palatino Linotype"/>
          <w:b/>
          <w:sz w:val="22"/>
          <w:szCs w:val="22"/>
        </w:rPr>
        <w:t>04574/INFOEM/IP/RR/2024</w:t>
      </w:r>
      <w:r w:rsidRPr="001B2E5E">
        <w:rPr>
          <w:rFonts w:ascii="Palatino Linotype" w:eastAsia="Palatino Linotype" w:hAnsi="Palatino Linotype" w:cs="Palatino Linotype"/>
          <w:sz w:val="22"/>
          <w:szCs w:val="22"/>
        </w:rPr>
        <w:t>, interpuesto por un Usuario del Sistema de Acceso a la Información Mexiquense (SAIMEX) que no proporcionó su nombre, en lo sucesivo se le denominará la parte</w:t>
      </w:r>
      <w:r w:rsidRPr="001B2E5E">
        <w:rPr>
          <w:rFonts w:ascii="Palatino Linotype" w:eastAsia="Palatino Linotype" w:hAnsi="Palatino Linotype" w:cs="Palatino Linotype"/>
          <w:b/>
          <w:sz w:val="22"/>
          <w:szCs w:val="22"/>
        </w:rPr>
        <w:t xml:space="preserve"> RECURRENTE</w:t>
      </w:r>
      <w:r w:rsidRPr="001B2E5E">
        <w:rPr>
          <w:rFonts w:ascii="Palatino Linotype" w:eastAsia="Palatino Linotype" w:hAnsi="Palatino Linotype" w:cs="Palatino Linotype"/>
          <w:sz w:val="22"/>
          <w:szCs w:val="22"/>
        </w:rPr>
        <w:t>, en contra de la respuesta a su solicitud de información con número de folio</w:t>
      </w:r>
      <w:r w:rsidRPr="001B2E5E">
        <w:rPr>
          <w:rFonts w:ascii="Palatino Linotype" w:eastAsia="Palatino Linotype" w:hAnsi="Palatino Linotype" w:cs="Palatino Linotype"/>
          <w:b/>
          <w:sz w:val="22"/>
          <w:szCs w:val="22"/>
        </w:rPr>
        <w:t xml:space="preserve"> 00188/TECAMAC/IP/2024</w:t>
      </w:r>
      <w:r w:rsidRPr="001B2E5E">
        <w:rPr>
          <w:rFonts w:ascii="Palatino Linotype" w:eastAsia="Palatino Linotype" w:hAnsi="Palatino Linotype" w:cs="Palatino Linotype"/>
          <w:sz w:val="22"/>
          <w:szCs w:val="22"/>
        </w:rPr>
        <w:t xml:space="preserve">, por parte </w:t>
      </w:r>
      <w:r w:rsidRPr="001B2E5E">
        <w:rPr>
          <w:rFonts w:ascii="Palatino Linotype" w:eastAsia="Palatino Linotype" w:hAnsi="Palatino Linotype" w:cs="Palatino Linotype"/>
          <w:b/>
          <w:sz w:val="22"/>
          <w:szCs w:val="22"/>
        </w:rPr>
        <w:t xml:space="preserve">Ayuntamiento de Tecámac </w:t>
      </w:r>
      <w:r w:rsidRPr="001B2E5E">
        <w:rPr>
          <w:rFonts w:ascii="Palatino Linotype" w:eastAsia="Palatino Linotype" w:hAnsi="Palatino Linotype" w:cs="Palatino Linotype"/>
          <w:sz w:val="22"/>
          <w:szCs w:val="22"/>
        </w:rPr>
        <w:t xml:space="preserve">en lo sucesivo el </w:t>
      </w:r>
      <w:r w:rsidRPr="001B2E5E">
        <w:rPr>
          <w:rFonts w:ascii="Palatino Linotype" w:eastAsia="Palatino Linotype" w:hAnsi="Palatino Linotype" w:cs="Palatino Linotype"/>
          <w:b/>
          <w:sz w:val="22"/>
          <w:szCs w:val="22"/>
        </w:rPr>
        <w:t>SUJETO OBLIGADO</w:t>
      </w:r>
      <w:r w:rsidRPr="001B2E5E">
        <w:rPr>
          <w:rFonts w:ascii="Palatino Linotype" w:eastAsia="Palatino Linotype" w:hAnsi="Palatino Linotype" w:cs="Palatino Linotype"/>
          <w:sz w:val="22"/>
          <w:szCs w:val="22"/>
        </w:rPr>
        <w:t>;</w:t>
      </w:r>
      <w:r w:rsidRPr="001B2E5E">
        <w:rPr>
          <w:rFonts w:ascii="Palatino Linotype" w:eastAsia="Palatino Linotype" w:hAnsi="Palatino Linotype" w:cs="Palatino Linotype"/>
          <w:b/>
          <w:sz w:val="22"/>
          <w:szCs w:val="22"/>
        </w:rPr>
        <w:t xml:space="preserve"> </w:t>
      </w:r>
      <w:r w:rsidRPr="001B2E5E">
        <w:rPr>
          <w:rFonts w:ascii="Palatino Linotype" w:eastAsia="Palatino Linotype" w:hAnsi="Palatino Linotype" w:cs="Palatino Linotype"/>
          <w:sz w:val="22"/>
          <w:szCs w:val="22"/>
        </w:rPr>
        <w:t>se procede a dictar la presente resolución, con base en los siguientes:</w:t>
      </w:r>
    </w:p>
    <w:p w14:paraId="7BE1EA00" w14:textId="77777777" w:rsidR="008072E4" w:rsidRPr="001B2E5E" w:rsidRDefault="008072E4">
      <w:pPr>
        <w:spacing w:line="360" w:lineRule="auto"/>
        <w:jc w:val="both"/>
        <w:rPr>
          <w:rFonts w:ascii="Palatino Linotype" w:eastAsia="Palatino Linotype" w:hAnsi="Palatino Linotype" w:cs="Palatino Linotype"/>
          <w:sz w:val="22"/>
          <w:szCs w:val="22"/>
        </w:rPr>
      </w:pPr>
    </w:p>
    <w:p w14:paraId="24DB013B" w14:textId="77777777" w:rsidR="008072E4" w:rsidRPr="001B2E5E" w:rsidRDefault="003F6F28">
      <w:pPr>
        <w:numPr>
          <w:ilvl w:val="0"/>
          <w:numId w:val="2"/>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1B2E5E">
        <w:rPr>
          <w:rFonts w:ascii="Palatino Linotype" w:eastAsia="Palatino Linotype" w:hAnsi="Palatino Linotype" w:cs="Palatino Linotype"/>
          <w:b/>
          <w:sz w:val="22"/>
          <w:szCs w:val="22"/>
        </w:rPr>
        <w:t>A N T E C E D E N T E S:</w:t>
      </w:r>
    </w:p>
    <w:p w14:paraId="00CAF866" w14:textId="77777777" w:rsidR="008072E4" w:rsidRPr="001B2E5E" w:rsidRDefault="008072E4">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05A80ADE" w14:textId="77777777" w:rsidR="008072E4" w:rsidRPr="001B2E5E" w:rsidRDefault="003F6F28">
      <w:pPr>
        <w:numPr>
          <w:ilvl w:val="1"/>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1B2E5E">
        <w:rPr>
          <w:rFonts w:ascii="Palatino Linotype" w:eastAsia="Palatino Linotype" w:hAnsi="Palatino Linotype" w:cs="Palatino Linotype"/>
          <w:b/>
          <w:sz w:val="22"/>
          <w:szCs w:val="22"/>
        </w:rPr>
        <w:t xml:space="preserve">Solicitud de acceso a la información. </w:t>
      </w:r>
      <w:r w:rsidRPr="001B2E5E">
        <w:rPr>
          <w:rFonts w:ascii="Palatino Linotype" w:eastAsia="Palatino Linotype" w:hAnsi="Palatino Linotype" w:cs="Palatino Linotype"/>
          <w:sz w:val="22"/>
          <w:szCs w:val="22"/>
        </w:rPr>
        <w:t xml:space="preserve">Con fecha </w:t>
      </w:r>
      <w:r w:rsidRPr="001B2E5E">
        <w:rPr>
          <w:rFonts w:ascii="Palatino Linotype" w:eastAsia="Palatino Linotype" w:hAnsi="Palatino Linotype" w:cs="Palatino Linotype"/>
          <w:b/>
          <w:sz w:val="22"/>
          <w:szCs w:val="22"/>
        </w:rPr>
        <w:t>veinte de junio de dos mil veinticuatro</w:t>
      </w:r>
      <w:r w:rsidRPr="001B2E5E">
        <w:rPr>
          <w:rFonts w:ascii="Palatino Linotype" w:eastAsia="Palatino Linotype" w:hAnsi="Palatino Linotype" w:cs="Palatino Linotype"/>
          <w:sz w:val="22"/>
          <w:szCs w:val="22"/>
        </w:rPr>
        <w:t xml:space="preserve">, la parte </w:t>
      </w:r>
      <w:r w:rsidRPr="001B2E5E">
        <w:rPr>
          <w:rFonts w:ascii="Palatino Linotype" w:eastAsia="Palatino Linotype" w:hAnsi="Palatino Linotype" w:cs="Palatino Linotype"/>
          <w:b/>
          <w:sz w:val="22"/>
          <w:szCs w:val="22"/>
        </w:rPr>
        <w:t>RECURRENTE</w:t>
      </w:r>
      <w:r w:rsidRPr="001B2E5E">
        <w:rPr>
          <w:rFonts w:ascii="Palatino Linotype" w:eastAsia="Palatino Linotype" w:hAnsi="Palatino Linotype" w:cs="Palatino Linotype"/>
          <w:sz w:val="22"/>
          <w:szCs w:val="22"/>
        </w:rPr>
        <w:t xml:space="preserve"> formuló solicitud de acceso a información pública al </w:t>
      </w:r>
      <w:r w:rsidRPr="001B2E5E">
        <w:rPr>
          <w:rFonts w:ascii="Palatino Linotype" w:eastAsia="Palatino Linotype" w:hAnsi="Palatino Linotype" w:cs="Palatino Linotype"/>
          <w:b/>
          <w:sz w:val="22"/>
          <w:szCs w:val="22"/>
        </w:rPr>
        <w:t>SUJETO OBLIGADO</w:t>
      </w:r>
      <w:r w:rsidRPr="001B2E5E">
        <w:rPr>
          <w:rFonts w:ascii="Palatino Linotype" w:eastAsia="Palatino Linotype" w:hAnsi="Palatino Linotype" w:cs="Palatino Linotype"/>
          <w:sz w:val="22"/>
          <w:szCs w:val="22"/>
        </w:rPr>
        <w:t xml:space="preserve"> a través de la Plataforma Nacional de Transparencia </w:t>
      </w:r>
      <w:r w:rsidRPr="001B2E5E">
        <w:rPr>
          <w:rFonts w:ascii="Palatino Linotype" w:eastAsia="Palatino Linotype" w:hAnsi="Palatino Linotype" w:cs="Palatino Linotype"/>
          <w:b/>
          <w:sz w:val="22"/>
          <w:szCs w:val="22"/>
        </w:rPr>
        <w:t>(PNT)</w:t>
      </w:r>
      <w:r w:rsidRPr="001B2E5E">
        <w:rPr>
          <w:rFonts w:ascii="Palatino Linotype" w:eastAsia="Palatino Linotype" w:hAnsi="Palatino Linotype" w:cs="Palatino Linotype"/>
          <w:sz w:val="22"/>
          <w:szCs w:val="22"/>
        </w:rPr>
        <w:t xml:space="preserve"> vinculada al Sistema de Acceso a la Información Mexiquense, en adelante </w:t>
      </w:r>
      <w:r w:rsidRPr="001B2E5E">
        <w:rPr>
          <w:rFonts w:ascii="Palatino Linotype" w:eastAsia="Palatino Linotype" w:hAnsi="Palatino Linotype" w:cs="Palatino Linotype"/>
          <w:b/>
          <w:sz w:val="22"/>
          <w:szCs w:val="22"/>
        </w:rPr>
        <w:t>SAIMEX</w:t>
      </w:r>
      <w:r w:rsidRPr="001B2E5E">
        <w:rPr>
          <w:rFonts w:ascii="Palatino Linotype" w:eastAsia="Palatino Linotype" w:hAnsi="Palatino Linotype" w:cs="Palatino Linotype"/>
          <w:sz w:val="22"/>
          <w:szCs w:val="22"/>
        </w:rPr>
        <w:t>, requiriéndole lo siguiente:</w:t>
      </w:r>
    </w:p>
    <w:p w14:paraId="1AB5A7C4" w14:textId="77777777" w:rsidR="008072E4" w:rsidRPr="001B2E5E" w:rsidRDefault="008072E4">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45F1C342" w14:textId="77777777" w:rsidR="008072E4" w:rsidRPr="001B2E5E" w:rsidRDefault="003F6F28">
      <w:pPr>
        <w:spacing w:line="360" w:lineRule="auto"/>
        <w:ind w:left="567" w:right="616"/>
        <w:jc w:val="both"/>
        <w:rPr>
          <w:rFonts w:ascii="Palatino Linotype" w:eastAsia="Palatino Linotype" w:hAnsi="Palatino Linotype" w:cs="Palatino Linotype"/>
          <w:i/>
          <w:sz w:val="22"/>
          <w:szCs w:val="22"/>
        </w:rPr>
      </w:pPr>
      <w:bookmarkStart w:id="0" w:name="_heading=h.2et92p0" w:colFirst="0" w:colLast="0"/>
      <w:bookmarkEnd w:id="0"/>
      <w:r w:rsidRPr="001B2E5E">
        <w:rPr>
          <w:rFonts w:ascii="Palatino Linotype" w:eastAsia="Palatino Linotype" w:hAnsi="Palatino Linotype" w:cs="Palatino Linotype"/>
          <w:i/>
          <w:sz w:val="22"/>
          <w:szCs w:val="22"/>
        </w:rPr>
        <w:t xml:space="preserve">“Solicitamos información de la oficial de policía Judith Jaqueline </w:t>
      </w:r>
      <w:proofErr w:type="spellStart"/>
      <w:r w:rsidRPr="001B2E5E">
        <w:rPr>
          <w:rFonts w:ascii="Palatino Linotype" w:eastAsia="Palatino Linotype" w:hAnsi="Palatino Linotype" w:cs="Palatino Linotype"/>
          <w:i/>
          <w:sz w:val="22"/>
          <w:szCs w:val="22"/>
        </w:rPr>
        <w:t>Espindola</w:t>
      </w:r>
      <w:proofErr w:type="spellEnd"/>
      <w:r w:rsidRPr="001B2E5E">
        <w:rPr>
          <w:rFonts w:ascii="Palatino Linotype" w:eastAsia="Palatino Linotype" w:hAnsi="Palatino Linotype" w:cs="Palatino Linotype"/>
          <w:i/>
          <w:sz w:val="22"/>
          <w:szCs w:val="22"/>
        </w:rPr>
        <w:t xml:space="preserve"> Paredes, que actualmente labora como servidor público en el área de la Policía Municipal Preventiva, lo siguiente: Solicitamos saber si los días 6, 7 de junio, 24 de agosto de 2023, se encontraba en funciones y si es así, en qué sector se encontraba o si presto auxilio en el sector de Tecámac centro. Solicitamos saber la tasa de incidencia de todas las actividades delictivas en el municipio de Tecámac, por el periodo comprendido de enero a diciembre de 2023, que permite la comparación de datos y mide la efectividad de las políticas </w:t>
      </w:r>
      <w:r w:rsidRPr="001B2E5E">
        <w:rPr>
          <w:rFonts w:ascii="Palatino Linotype" w:eastAsia="Palatino Linotype" w:hAnsi="Palatino Linotype" w:cs="Palatino Linotype"/>
          <w:i/>
          <w:sz w:val="22"/>
          <w:szCs w:val="22"/>
        </w:rPr>
        <w:lastRenderedPageBreak/>
        <w:t xml:space="preserve">públicas de seguridad en el municipio de Tecámac. </w:t>
      </w:r>
      <w:r w:rsidRPr="001B2E5E">
        <w:rPr>
          <w:rFonts w:ascii="Palatino Linotype" w:eastAsia="Palatino Linotype" w:hAnsi="Palatino Linotype" w:cs="Palatino Linotype"/>
          <w:b/>
          <w:i/>
          <w:sz w:val="22"/>
          <w:szCs w:val="22"/>
        </w:rPr>
        <w:t>Solicitamos información acerca del número de eventos individuales de victimización delictiva reportados</w:t>
      </w:r>
      <w:r w:rsidRPr="001B2E5E">
        <w:rPr>
          <w:rFonts w:ascii="Palatino Linotype" w:eastAsia="Palatino Linotype" w:hAnsi="Palatino Linotype" w:cs="Palatino Linotype"/>
          <w:i/>
          <w:sz w:val="22"/>
          <w:szCs w:val="22"/>
        </w:rPr>
        <w:t>, por el periodo comprendido de enero a diciembre de 2023. Por lo que, no cabe la negativa por ser reservada o confidencial la información, ya que es de recordar que la vida privada debe entenderse lo que se refiere a las actividades del individuo como particular, en contraposición a la vida pública, que comprende los actos del funcionario o empleado, en el desempeño de su cargo; de modo que para determinar si un acto corresponde a la vida privada, hay que atender al carácter con que se verificó.”</w:t>
      </w:r>
    </w:p>
    <w:p w14:paraId="66DC863D" w14:textId="77777777" w:rsidR="008072E4" w:rsidRPr="001B2E5E" w:rsidRDefault="008072E4">
      <w:pPr>
        <w:spacing w:line="360" w:lineRule="auto"/>
        <w:ind w:left="709" w:right="900"/>
        <w:jc w:val="both"/>
        <w:rPr>
          <w:rFonts w:ascii="Palatino Linotype" w:eastAsia="Palatino Linotype" w:hAnsi="Palatino Linotype" w:cs="Palatino Linotype"/>
          <w:b/>
          <w:i/>
          <w:sz w:val="22"/>
          <w:szCs w:val="22"/>
        </w:rPr>
      </w:pPr>
    </w:p>
    <w:p w14:paraId="3516D0CA" w14:textId="77777777" w:rsidR="008072E4" w:rsidRPr="001B2E5E" w:rsidRDefault="003F6F28">
      <w:pPr>
        <w:spacing w:line="360" w:lineRule="auto"/>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b/>
          <w:sz w:val="22"/>
          <w:szCs w:val="22"/>
        </w:rPr>
        <w:t xml:space="preserve">Modalidad elegida para la entrega de la información: </w:t>
      </w:r>
      <w:r w:rsidRPr="001B2E5E">
        <w:rPr>
          <w:rFonts w:ascii="Palatino Linotype" w:eastAsia="Palatino Linotype" w:hAnsi="Palatino Linotype" w:cs="Palatino Linotype"/>
          <w:sz w:val="22"/>
          <w:szCs w:val="22"/>
        </w:rPr>
        <w:t xml:space="preserve">a través del Sistema de Acceso a la Información Mexiquense. </w:t>
      </w:r>
    </w:p>
    <w:p w14:paraId="4754AE2C" w14:textId="77777777" w:rsidR="008072E4" w:rsidRPr="001B2E5E" w:rsidRDefault="008072E4">
      <w:pPr>
        <w:spacing w:line="360" w:lineRule="auto"/>
        <w:jc w:val="both"/>
        <w:rPr>
          <w:rFonts w:ascii="Palatino Linotype" w:eastAsia="Palatino Linotype" w:hAnsi="Palatino Linotype" w:cs="Palatino Linotype"/>
          <w:sz w:val="22"/>
          <w:szCs w:val="22"/>
        </w:rPr>
      </w:pPr>
    </w:p>
    <w:p w14:paraId="16AAB131" w14:textId="77777777" w:rsidR="008072E4" w:rsidRPr="001B2E5E" w:rsidRDefault="003F6F28">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1B2E5E">
        <w:rPr>
          <w:rFonts w:ascii="Palatino Linotype" w:eastAsia="Palatino Linotype" w:hAnsi="Palatino Linotype" w:cs="Palatino Linotype"/>
          <w:b/>
          <w:sz w:val="22"/>
          <w:szCs w:val="22"/>
        </w:rPr>
        <w:t xml:space="preserve">Respuesta. </w:t>
      </w:r>
      <w:r w:rsidRPr="001B2E5E">
        <w:rPr>
          <w:rFonts w:ascii="Palatino Linotype" w:eastAsia="Palatino Linotype" w:hAnsi="Palatino Linotype" w:cs="Palatino Linotype"/>
          <w:sz w:val="22"/>
          <w:szCs w:val="22"/>
        </w:rPr>
        <w:t xml:space="preserve">En fecha </w:t>
      </w:r>
      <w:r w:rsidRPr="001B2E5E">
        <w:rPr>
          <w:rFonts w:ascii="Palatino Linotype" w:eastAsia="Palatino Linotype" w:hAnsi="Palatino Linotype" w:cs="Palatino Linotype"/>
          <w:b/>
          <w:sz w:val="22"/>
          <w:szCs w:val="22"/>
        </w:rPr>
        <w:t xml:space="preserve">ocho de julio de dos mil veinticuatro </w:t>
      </w:r>
      <w:r w:rsidRPr="001B2E5E">
        <w:rPr>
          <w:rFonts w:ascii="Palatino Linotype" w:eastAsia="Palatino Linotype" w:hAnsi="Palatino Linotype" w:cs="Palatino Linotype"/>
          <w:sz w:val="22"/>
          <w:szCs w:val="22"/>
        </w:rPr>
        <w:t xml:space="preserve">el </w:t>
      </w:r>
      <w:r w:rsidRPr="001B2E5E">
        <w:rPr>
          <w:rFonts w:ascii="Palatino Linotype" w:eastAsia="Palatino Linotype" w:hAnsi="Palatino Linotype" w:cs="Palatino Linotype"/>
          <w:b/>
          <w:sz w:val="22"/>
          <w:szCs w:val="22"/>
        </w:rPr>
        <w:t xml:space="preserve">SUJETO OBLIGADO </w:t>
      </w:r>
      <w:r w:rsidRPr="001B2E5E">
        <w:rPr>
          <w:rFonts w:ascii="Palatino Linotype" w:eastAsia="Palatino Linotype" w:hAnsi="Palatino Linotype" w:cs="Palatino Linotype"/>
          <w:sz w:val="22"/>
          <w:szCs w:val="22"/>
        </w:rPr>
        <w:t>proporcionó respuesta al tenor de lo siguiente:</w:t>
      </w:r>
    </w:p>
    <w:p w14:paraId="2D5C6B29" w14:textId="77777777" w:rsidR="008072E4" w:rsidRPr="001B2E5E" w:rsidRDefault="008072E4">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4D87CCE0" w14:textId="77777777" w:rsidR="008072E4" w:rsidRPr="001B2E5E" w:rsidRDefault="003F6F2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DCB8411" w14:textId="77777777" w:rsidR="008072E4" w:rsidRPr="001B2E5E" w:rsidRDefault="003F6F2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bookmarkStart w:id="1" w:name="_heading=h.tyjcwt" w:colFirst="0" w:colLast="0"/>
      <w:bookmarkEnd w:id="1"/>
      <w:r w:rsidRPr="001B2E5E">
        <w:rPr>
          <w:rFonts w:ascii="Palatino Linotype" w:eastAsia="Palatino Linotype" w:hAnsi="Palatino Linotype" w:cs="Palatino Linotype"/>
          <w:i/>
          <w:sz w:val="22"/>
          <w:szCs w:val="22"/>
        </w:rPr>
        <w:t xml:space="preserve">Con relación a los datos que se requieren de la oficial la C. JUDITH JAQUELINE ESPÍNDOLA PAREDES, es importante mencionar que los sujetos obligados son responsables de todos los datos personales en su posesión de los elementos adscritos a la Guardia Civil de Tecámac, no se pueden difundir distribuir o comercializar, los datos personales o laborales contenidos en los sistemas de información, desarrollados en el ejercicio de sus funciones, salvo que haya mediado consentimiento expreso, por escrito o por un medio de autenticación similar, de los elementos a los que se haga referencia la información de acuerdo a la normatividad aplicable lo anterior, sin perjuicio a lo establecido por la ley en materia, en los casos de interés público. Toda información de </w:t>
      </w:r>
      <w:r w:rsidRPr="001B2E5E">
        <w:rPr>
          <w:rFonts w:ascii="Palatino Linotype" w:eastAsia="Palatino Linotype" w:hAnsi="Palatino Linotype" w:cs="Palatino Linotype"/>
          <w:i/>
          <w:sz w:val="22"/>
          <w:szCs w:val="22"/>
        </w:rPr>
        <w:lastRenderedPageBreak/>
        <w:t xml:space="preserve">seguridad pública generada en poder de instituciones de seguridad pública, o de cualquier instancia del poder estatal, debe, registrarse, tratarse y clasificarse como reservada de acuerdo a las disposiciones aplicables la información relativa de los servidores públicos integrantes de las instituciones de seguridad pública cuya revelación pueda poner en riesgo su vida o integridad física con motivo de sus funciones. Con relación a la incidencia delictiva, hago de su conocimiento, que es una facultad exclusiva del ministerio público, toda vez que el </w:t>
      </w:r>
      <w:proofErr w:type="spellStart"/>
      <w:r w:rsidRPr="001B2E5E">
        <w:rPr>
          <w:rFonts w:ascii="Palatino Linotype" w:eastAsia="Palatino Linotype" w:hAnsi="Palatino Linotype" w:cs="Palatino Linotype"/>
          <w:i/>
          <w:sz w:val="22"/>
          <w:szCs w:val="22"/>
        </w:rPr>
        <w:t>cet</w:t>
      </w:r>
      <w:proofErr w:type="spellEnd"/>
      <w:r w:rsidRPr="001B2E5E">
        <w:rPr>
          <w:rFonts w:ascii="Palatino Linotype" w:eastAsia="Palatino Linotype" w:hAnsi="Palatino Linotype" w:cs="Palatino Linotype"/>
          <w:i/>
          <w:sz w:val="22"/>
          <w:szCs w:val="22"/>
        </w:rPr>
        <w:t xml:space="preserve"> </w:t>
      </w:r>
      <w:proofErr w:type="spellStart"/>
      <w:r w:rsidRPr="001B2E5E">
        <w:rPr>
          <w:rFonts w:ascii="Palatino Linotype" w:eastAsia="Palatino Linotype" w:hAnsi="Palatino Linotype" w:cs="Palatino Linotype"/>
          <w:i/>
          <w:sz w:val="22"/>
          <w:szCs w:val="22"/>
        </w:rPr>
        <w:t>unicamente</w:t>
      </w:r>
      <w:proofErr w:type="spellEnd"/>
      <w:r w:rsidRPr="001B2E5E">
        <w:rPr>
          <w:rFonts w:ascii="Palatino Linotype" w:eastAsia="Palatino Linotype" w:hAnsi="Palatino Linotype" w:cs="Palatino Linotype"/>
          <w:i/>
          <w:sz w:val="22"/>
          <w:szCs w:val="22"/>
        </w:rPr>
        <w:t xml:space="preserve"> recibe llamadas de auxilio, no necesariamente puede establecerse como incidencia delictiva, motivo por el cual la Guardia Civil de Tecámac, esta imposibilitada en proporcionar la respuesta a dicha petición. Hago de su conocimiento que, realizando una búsqueda en los archivos físicos y digitales de esta Guardia Civil de Tecámac, no se desprende registro alguno referente al número de eventos individuales de victimización </w:t>
      </w:r>
      <w:proofErr w:type="gramStart"/>
      <w:r w:rsidRPr="001B2E5E">
        <w:rPr>
          <w:rFonts w:ascii="Palatino Linotype" w:eastAsia="Palatino Linotype" w:hAnsi="Palatino Linotype" w:cs="Palatino Linotype"/>
          <w:i/>
          <w:sz w:val="22"/>
          <w:szCs w:val="22"/>
        </w:rPr>
        <w:t>delictiva..</w:t>
      </w:r>
      <w:proofErr w:type="gramEnd"/>
    </w:p>
    <w:p w14:paraId="33966016" w14:textId="77777777" w:rsidR="008072E4" w:rsidRPr="001B2E5E" w:rsidRDefault="008072E4">
      <w:pPr>
        <w:pBdr>
          <w:top w:val="nil"/>
          <w:left w:val="nil"/>
          <w:bottom w:val="nil"/>
          <w:right w:val="nil"/>
          <w:between w:val="nil"/>
        </w:pBdr>
        <w:spacing w:line="360" w:lineRule="auto"/>
        <w:ind w:right="49"/>
        <w:rPr>
          <w:rFonts w:ascii="Palatino Linotype" w:eastAsia="Palatino Linotype" w:hAnsi="Palatino Linotype" w:cs="Palatino Linotype"/>
          <w:sz w:val="22"/>
          <w:szCs w:val="22"/>
        </w:rPr>
      </w:pPr>
    </w:p>
    <w:p w14:paraId="2AF0F2A7" w14:textId="77777777" w:rsidR="008072E4" w:rsidRPr="001B2E5E" w:rsidRDefault="003F6F28">
      <w:pPr>
        <w:pBdr>
          <w:top w:val="nil"/>
          <w:left w:val="nil"/>
          <w:bottom w:val="nil"/>
          <w:right w:val="nil"/>
          <w:between w:val="nil"/>
        </w:pBdr>
        <w:spacing w:line="360" w:lineRule="auto"/>
        <w:ind w:right="49"/>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t xml:space="preserve">Asimismo, adjuntó el documento electrónico </w:t>
      </w:r>
      <w:r w:rsidRPr="001B2E5E">
        <w:rPr>
          <w:rFonts w:ascii="Palatino Linotype" w:eastAsia="Palatino Linotype" w:hAnsi="Palatino Linotype" w:cs="Palatino Linotype"/>
          <w:b/>
          <w:sz w:val="22"/>
          <w:szCs w:val="22"/>
        </w:rPr>
        <w:t>SOLICITUD 00188.pdf,</w:t>
      </w:r>
      <w:r w:rsidRPr="001B2E5E">
        <w:rPr>
          <w:rFonts w:ascii="Palatino Linotype" w:eastAsia="Palatino Linotype" w:hAnsi="Palatino Linotype" w:cs="Palatino Linotype"/>
          <w:sz w:val="22"/>
          <w:szCs w:val="22"/>
        </w:rPr>
        <w:t xml:space="preserve"> que se describe a continuación:</w:t>
      </w:r>
    </w:p>
    <w:p w14:paraId="7899AF28" w14:textId="77777777" w:rsidR="008072E4" w:rsidRPr="001B2E5E" w:rsidRDefault="008072E4">
      <w:pPr>
        <w:pBdr>
          <w:top w:val="nil"/>
          <w:left w:val="nil"/>
          <w:bottom w:val="nil"/>
          <w:right w:val="nil"/>
          <w:between w:val="nil"/>
        </w:pBdr>
        <w:spacing w:line="360" w:lineRule="auto"/>
        <w:ind w:right="49"/>
        <w:rPr>
          <w:rFonts w:ascii="Palatino Linotype" w:eastAsia="Palatino Linotype" w:hAnsi="Palatino Linotype" w:cs="Palatino Linotype"/>
          <w:sz w:val="22"/>
          <w:szCs w:val="22"/>
        </w:rPr>
      </w:pPr>
    </w:p>
    <w:p w14:paraId="3AE17E1A" w14:textId="77777777" w:rsidR="008072E4" w:rsidRPr="001B2E5E" w:rsidRDefault="003F6F28">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t xml:space="preserve">Oficio UTAIP/01/0379/2024, suscrito por la Comisionada de la Guardia Civil de Tecámac en el que indica: </w:t>
      </w:r>
    </w:p>
    <w:p w14:paraId="77AF8CED" w14:textId="77777777" w:rsidR="008072E4" w:rsidRPr="001B2E5E" w:rsidRDefault="003F6F28">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t>No se pueden difundir, distribuir o comercializar los datos personales o laborales contenidos en los sistemas de información, desarrollados en el ejercicio de sus funciones salvo que haya mediado consentimiento expreso, por escrito o medio de autenticación similar de los elementos a los que hace referencia la información. Toda la información de seguridad pública, o de cualquier instancia del sistema estatal debe registrarse, tratarse y clasificarse como reservada, pues su revelación pone en riesgo su vida o integridad física con motivo de sus funciones.</w:t>
      </w:r>
    </w:p>
    <w:p w14:paraId="24BE4601" w14:textId="77777777" w:rsidR="008072E4" w:rsidRPr="001B2E5E" w:rsidRDefault="003F6F28">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lastRenderedPageBreak/>
        <w:t xml:space="preserve">En relación a la incidencia delictiva se informa que es una facultad exclusiva del ministerio público, toda vez que el </w:t>
      </w:r>
      <w:proofErr w:type="spellStart"/>
      <w:r w:rsidRPr="001B2E5E">
        <w:rPr>
          <w:rFonts w:ascii="Palatino Linotype" w:eastAsia="Palatino Linotype" w:hAnsi="Palatino Linotype" w:cs="Palatino Linotype"/>
          <w:sz w:val="22"/>
          <w:szCs w:val="22"/>
        </w:rPr>
        <w:t>Cet</w:t>
      </w:r>
      <w:proofErr w:type="spellEnd"/>
      <w:r w:rsidRPr="001B2E5E">
        <w:rPr>
          <w:rFonts w:ascii="Palatino Linotype" w:eastAsia="Palatino Linotype" w:hAnsi="Palatino Linotype" w:cs="Palatino Linotype"/>
          <w:sz w:val="22"/>
          <w:szCs w:val="22"/>
        </w:rPr>
        <w:t xml:space="preserve"> únicamente recibe llamadas de auxilio, no necesariamente puede establecerse como incidencia delictiva, motivo por el cual la Guardia Civil de Tecámac está imposibilitada en proporcionar respuesta a dicha petición.</w:t>
      </w:r>
    </w:p>
    <w:p w14:paraId="3290490A" w14:textId="77777777" w:rsidR="008072E4" w:rsidRPr="001B2E5E" w:rsidRDefault="003F6F28">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t>Después de una búsqueda en los archivos físicos o digitales no se desprende dato alguno referente al número de eventos individuales de victimización delictiva.</w:t>
      </w:r>
    </w:p>
    <w:p w14:paraId="644ED2B5" w14:textId="77777777" w:rsidR="008072E4" w:rsidRPr="001B2E5E" w:rsidRDefault="003F6F28">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t>Oficio UTAIP signado por el Titular de la Unidad de Transparencia Municipal en el que indica al Servidor Público Habilitado que el dos de julio de dos mil veinticuatro es la fecha límite para presentar el acuerdo de clasificación y versión pública.</w:t>
      </w:r>
    </w:p>
    <w:p w14:paraId="3EF64DEF" w14:textId="77777777" w:rsidR="008072E4" w:rsidRPr="001B2E5E" w:rsidRDefault="008072E4">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0A189E0C" w14:textId="77777777" w:rsidR="008072E4" w:rsidRPr="001B2E5E" w:rsidRDefault="003F6F28">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t>Contiene el acuse de la solicitud de acceso a la información pública que formuló el Recurrente.</w:t>
      </w:r>
    </w:p>
    <w:p w14:paraId="6D73EC20" w14:textId="77777777" w:rsidR="008072E4" w:rsidRPr="001B2E5E" w:rsidRDefault="008072E4">
      <w:pPr>
        <w:pBdr>
          <w:top w:val="nil"/>
          <w:left w:val="nil"/>
          <w:bottom w:val="nil"/>
          <w:right w:val="nil"/>
          <w:between w:val="nil"/>
        </w:pBdr>
        <w:spacing w:line="360" w:lineRule="auto"/>
        <w:ind w:left="708"/>
        <w:rPr>
          <w:rFonts w:ascii="Palatino Linotype" w:eastAsia="Palatino Linotype" w:hAnsi="Palatino Linotype" w:cs="Palatino Linotype"/>
          <w:sz w:val="22"/>
          <w:szCs w:val="22"/>
        </w:rPr>
      </w:pPr>
    </w:p>
    <w:p w14:paraId="1336898E" w14:textId="77777777" w:rsidR="008072E4" w:rsidRPr="001B2E5E" w:rsidRDefault="003F6F28">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b/>
          <w:sz w:val="22"/>
          <w:szCs w:val="22"/>
        </w:rPr>
        <w:t xml:space="preserve">Interposición del recurso de revisión. </w:t>
      </w:r>
      <w:r w:rsidRPr="001B2E5E">
        <w:rPr>
          <w:rFonts w:ascii="Palatino Linotype" w:eastAsia="Palatino Linotype" w:hAnsi="Palatino Linotype" w:cs="Palatino Linotype"/>
          <w:sz w:val="22"/>
          <w:szCs w:val="22"/>
        </w:rPr>
        <w:t xml:space="preserve">Inconforme con la respuesta del </w:t>
      </w:r>
      <w:r w:rsidRPr="001B2E5E">
        <w:rPr>
          <w:rFonts w:ascii="Palatino Linotype" w:eastAsia="Palatino Linotype" w:hAnsi="Palatino Linotype" w:cs="Palatino Linotype"/>
          <w:b/>
          <w:sz w:val="22"/>
          <w:szCs w:val="22"/>
        </w:rPr>
        <w:t>SUJETO OBLIGADO el ahora RECURRENTE</w:t>
      </w:r>
      <w:r w:rsidRPr="001B2E5E">
        <w:rPr>
          <w:rFonts w:ascii="Palatino Linotype" w:eastAsia="Palatino Linotype" w:hAnsi="Palatino Linotype" w:cs="Palatino Linotype"/>
          <w:sz w:val="22"/>
          <w:szCs w:val="22"/>
        </w:rPr>
        <w:t xml:space="preserve"> interpuso recurso de revisión a través del SAIMEX en fecha </w:t>
      </w:r>
      <w:r w:rsidRPr="001B2E5E">
        <w:rPr>
          <w:rFonts w:ascii="Palatino Linotype" w:eastAsia="Palatino Linotype" w:hAnsi="Palatino Linotype" w:cs="Palatino Linotype"/>
          <w:b/>
          <w:sz w:val="22"/>
          <w:szCs w:val="22"/>
        </w:rPr>
        <w:t>diecisiete de julio de dos mil veinticuatro</w:t>
      </w:r>
      <w:r w:rsidRPr="001B2E5E">
        <w:rPr>
          <w:rFonts w:ascii="Palatino Linotype" w:eastAsia="Palatino Linotype" w:hAnsi="Palatino Linotype" w:cs="Palatino Linotype"/>
          <w:sz w:val="22"/>
          <w:szCs w:val="22"/>
        </w:rPr>
        <w:t>, a través del cual expresó lo siguiente:</w:t>
      </w:r>
    </w:p>
    <w:p w14:paraId="2E47BEDD" w14:textId="77777777" w:rsidR="008072E4" w:rsidRPr="001B2E5E" w:rsidRDefault="008072E4">
      <w:pPr>
        <w:spacing w:line="360" w:lineRule="auto"/>
        <w:ind w:right="49"/>
        <w:jc w:val="both"/>
        <w:rPr>
          <w:rFonts w:ascii="Palatino Linotype" w:eastAsia="Palatino Linotype" w:hAnsi="Palatino Linotype" w:cs="Palatino Linotype"/>
          <w:sz w:val="22"/>
          <w:szCs w:val="22"/>
        </w:rPr>
      </w:pPr>
    </w:p>
    <w:p w14:paraId="1171F98F" w14:textId="77777777" w:rsidR="008072E4" w:rsidRPr="001B2E5E" w:rsidRDefault="003F6F28">
      <w:pPr>
        <w:spacing w:line="360" w:lineRule="auto"/>
        <w:ind w:left="567" w:right="900"/>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b/>
          <w:sz w:val="22"/>
          <w:szCs w:val="22"/>
        </w:rPr>
        <w:t xml:space="preserve">Acto impugnado. </w:t>
      </w:r>
      <w:r w:rsidRPr="001B2E5E">
        <w:rPr>
          <w:rFonts w:ascii="Palatino Linotype" w:eastAsia="Palatino Linotype" w:hAnsi="Palatino Linotype" w:cs="Palatino Linotype"/>
          <w:i/>
          <w:sz w:val="22"/>
          <w:szCs w:val="22"/>
        </w:rPr>
        <w:t>“De la respuesta a mi solicitud se concibe, que en su escrito se visualiza una falta, deficiencia o insuficiencia de la fundamentación y/o motivación en la respuesta, ya que de manera vaga da respuesta, me envía que yo busque la información y no sé encuentran fundamentos jurídicos donde motive su acción y porque tengo que buscar yo lo solicitado, c</w:t>
      </w:r>
      <w:r w:rsidRPr="001B2E5E">
        <w:rPr>
          <w:rFonts w:ascii="Palatino Linotype" w:eastAsia="Palatino Linotype" w:hAnsi="Palatino Linotype" w:cs="Palatino Linotype"/>
          <w:b/>
          <w:i/>
          <w:sz w:val="22"/>
          <w:szCs w:val="22"/>
        </w:rPr>
        <w:t>onsideró que deben de tener una base de datos de las incidencias y registro de los acontecimientos que suceden en el Municipio de Tecámac, o acaso no llevan un control y no saben ni siquiera que casos han sido remitidos a la Agencia del Ministerio Público.</w:t>
      </w:r>
      <w:r w:rsidRPr="001B2E5E">
        <w:rPr>
          <w:rFonts w:ascii="Palatino Linotype" w:eastAsia="Palatino Linotype" w:hAnsi="Palatino Linotype" w:cs="Palatino Linotype"/>
          <w:i/>
          <w:sz w:val="22"/>
          <w:szCs w:val="22"/>
        </w:rPr>
        <w:t xml:space="preserve"> La violación </w:t>
      </w:r>
      <w:r w:rsidRPr="001B2E5E">
        <w:rPr>
          <w:rFonts w:ascii="Palatino Linotype" w:eastAsia="Palatino Linotype" w:hAnsi="Palatino Linotype" w:cs="Palatino Linotype"/>
          <w:i/>
          <w:sz w:val="22"/>
          <w:szCs w:val="22"/>
        </w:rPr>
        <w:lastRenderedPageBreak/>
        <w:t xml:space="preserve">incurrida viola mis derechos humanos de legalidad y seguridad jurídica, derechos que exijo se cumplan y ello porque estos derechos son aplicables para que el Estado me garantice que se me permita el acceso a la información y yo pueda exigir que se me proporcione lo que solicito y además que se me respeten mis derechos fundamentales de acceso a la información y de petición. Ya que el sujeto pasivo u obligado por tal derecho es el Estado, que está constreñido a garantizar que se permita o proporcione dicha información, sin más limitante que la propia Constitución y las que se establezcan en las leyes, dicha Ley General de Transparencia y Acceso a la Información Pública, se creó con la finalidad de garantizar el derecho de acceso a la Información Pública en posesión de cualquier sujeto obligado, por lo que toda dependencia u organismo está obligada a poner la información en los medios más óptimos para la consulta de la ciudadanía de esta información.”. </w:t>
      </w:r>
    </w:p>
    <w:p w14:paraId="5C7F8B2F" w14:textId="77777777" w:rsidR="008072E4" w:rsidRPr="001B2E5E" w:rsidRDefault="008072E4">
      <w:pPr>
        <w:spacing w:line="360" w:lineRule="auto"/>
        <w:ind w:left="567" w:right="900"/>
        <w:jc w:val="both"/>
        <w:rPr>
          <w:rFonts w:ascii="Palatino Linotype" w:eastAsia="Palatino Linotype" w:hAnsi="Palatino Linotype" w:cs="Palatino Linotype"/>
          <w:b/>
          <w:sz w:val="22"/>
          <w:szCs w:val="22"/>
        </w:rPr>
      </w:pPr>
    </w:p>
    <w:p w14:paraId="240B78AC" w14:textId="77777777" w:rsidR="008072E4" w:rsidRPr="001B2E5E" w:rsidRDefault="003F6F28">
      <w:pPr>
        <w:spacing w:line="360" w:lineRule="auto"/>
        <w:ind w:left="567" w:right="900"/>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b/>
          <w:sz w:val="22"/>
          <w:szCs w:val="22"/>
        </w:rPr>
        <w:t xml:space="preserve">Motivos de inconformidad. </w:t>
      </w:r>
      <w:r w:rsidRPr="001B2E5E">
        <w:rPr>
          <w:rFonts w:ascii="Palatino Linotype" w:eastAsia="Palatino Linotype" w:hAnsi="Palatino Linotype" w:cs="Palatino Linotype"/>
          <w:b/>
          <w:i/>
          <w:sz w:val="22"/>
          <w:szCs w:val="22"/>
          <w:u w:val="single"/>
        </w:rPr>
        <w:t>“…</w:t>
      </w:r>
      <w:r w:rsidRPr="001B2E5E">
        <w:rPr>
          <w:rFonts w:ascii="Palatino Linotype" w:eastAsia="Palatino Linotype" w:hAnsi="Palatino Linotype" w:cs="Palatino Linotype"/>
          <w:b/>
          <w:i/>
          <w:sz w:val="22"/>
          <w:szCs w:val="22"/>
        </w:rPr>
        <w:t>”</w:t>
      </w:r>
      <w:r w:rsidRPr="001B2E5E">
        <w:rPr>
          <w:rFonts w:ascii="Palatino Linotype" w:eastAsia="Palatino Linotype" w:hAnsi="Palatino Linotype" w:cs="Palatino Linotype"/>
          <w:i/>
          <w:sz w:val="22"/>
          <w:szCs w:val="22"/>
        </w:rPr>
        <w:t>.</w:t>
      </w:r>
    </w:p>
    <w:p w14:paraId="672115DB" w14:textId="77777777" w:rsidR="008072E4" w:rsidRPr="001B2E5E" w:rsidRDefault="008072E4">
      <w:pPr>
        <w:spacing w:line="360" w:lineRule="auto"/>
        <w:ind w:left="567" w:right="900"/>
        <w:jc w:val="both"/>
        <w:rPr>
          <w:rFonts w:ascii="Palatino Linotype" w:eastAsia="Palatino Linotype" w:hAnsi="Palatino Linotype" w:cs="Palatino Linotype"/>
          <w:i/>
          <w:sz w:val="22"/>
          <w:szCs w:val="22"/>
        </w:rPr>
      </w:pPr>
    </w:p>
    <w:p w14:paraId="7B505550" w14:textId="77777777" w:rsidR="008072E4" w:rsidRPr="001B2E5E" w:rsidRDefault="003F6F28">
      <w:pPr>
        <w:numPr>
          <w:ilvl w:val="0"/>
          <w:numId w:val="5"/>
        </w:numPr>
        <w:pBdr>
          <w:top w:val="nil"/>
          <w:left w:val="nil"/>
          <w:bottom w:val="nil"/>
          <w:right w:val="nil"/>
          <w:between w:val="nil"/>
        </w:pBdr>
        <w:spacing w:line="360" w:lineRule="auto"/>
        <w:ind w:left="567" w:right="900"/>
        <w:jc w:val="both"/>
        <w:rPr>
          <w:rFonts w:ascii="Palatino Linotype" w:eastAsia="Palatino Linotype" w:hAnsi="Palatino Linotype" w:cs="Palatino Linotype"/>
          <w:b/>
          <w:sz w:val="22"/>
          <w:szCs w:val="22"/>
        </w:rPr>
      </w:pPr>
      <w:r w:rsidRPr="001B2E5E">
        <w:rPr>
          <w:rFonts w:ascii="Palatino Linotype" w:eastAsia="Palatino Linotype" w:hAnsi="Palatino Linotype" w:cs="Palatino Linotype"/>
          <w:sz w:val="22"/>
          <w:szCs w:val="22"/>
        </w:rPr>
        <w:t xml:space="preserve">El Recurrente adjuntó el documento electrónico </w:t>
      </w:r>
      <w:r w:rsidRPr="001B2E5E">
        <w:rPr>
          <w:rFonts w:ascii="Palatino Linotype" w:eastAsia="Palatino Linotype" w:hAnsi="Palatino Linotype" w:cs="Palatino Linotype"/>
          <w:b/>
          <w:sz w:val="22"/>
          <w:szCs w:val="22"/>
        </w:rPr>
        <w:t xml:space="preserve">Archivo1721235104445null </w:t>
      </w:r>
      <w:r w:rsidRPr="001B2E5E">
        <w:rPr>
          <w:rFonts w:ascii="Palatino Linotype" w:eastAsia="Palatino Linotype" w:hAnsi="Palatino Linotype" w:cs="Palatino Linotype"/>
          <w:sz w:val="22"/>
          <w:szCs w:val="22"/>
        </w:rPr>
        <w:t>cuyo contenido no puede ser visualizado.</w:t>
      </w:r>
    </w:p>
    <w:p w14:paraId="53E5C756" w14:textId="77777777" w:rsidR="008072E4" w:rsidRPr="001B2E5E" w:rsidRDefault="008072E4">
      <w:pPr>
        <w:spacing w:line="360" w:lineRule="auto"/>
        <w:ind w:left="567" w:right="900"/>
        <w:jc w:val="both"/>
        <w:rPr>
          <w:rFonts w:ascii="Palatino Linotype" w:eastAsia="Palatino Linotype" w:hAnsi="Palatino Linotype" w:cs="Palatino Linotype"/>
          <w:b/>
          <w:i/>
          <w:sz w:val="22"/>
          <w:szCs w:val="22"/>
        </w:rPr>
      </w:pPr>
    </w:p>
    <w:p w14:paraId="311D1006" w14:textId="77777777" w:rsidR="008072E4" w:rsidRPr="001B2E5E" w:rsidRDefault="003F6F28">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b/>
          <w:sz w:val="22"/>
          <w:szCs w:val="22"/>
        </w:rPr>
        <w:t xml:space="preserve">Turno. </w:t>
      </w:r>
      <w:r w:rsidRPr="001B2E5E">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Pr="001B2E5E">
        <w:rPr>
          <w:rFonts w:ascii="Palatino Linotype" w:eastAsia="Palatino Linotype" w:hAnsi="Palatino Linotype" w:cs="Palatino Linotype"/>
          <w:b/>
          <w:sz w:val="22"/>
          <w:szCs w:val="22"/>
        </w:rPr>
        <w:t>04574/INFOEM/IP/RR/2024</w:t>
      </w:r>
      <w:r w:rsidRPr="001B2E5E">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1B2E5E">
        <w:rPr>
          <w:rFonts w:ascii="Palatino Linotype" w:eastAsia="Palatino Linotype" w:hAnsi="Palatino Linotype" w:cs="Palatino Linotype"/>
          <w:b/>
          <w:sz w:val="22"/>
          <w:szCs w:val="22"/>
        </w:rPr>
        <w:t>Guadalupe Ramírez Peña</w:t>
      </w:r>
      <w:r w:rsidRPr="001B2E5E">
        <w:rPr>
          <w:rFonts w:ascii="Palatino Linotype" w:eastAsia="Palatino Linotype" w:hAnsi="Palatino Linotype" w:cs="Palatino Linotype"/>
          <w:sz w:val="22"/>
          <w:szCs w:val="22"/>
        </w:rPr>
        <w:t>, para su análisis, estudio, elaboración del proyecto y presentación ante el Pleno de este Instituto.</w:t>
      </w:r>
    </w:p>
    <w:p w14:paraId="42FC9198" w14:textId="77777777" w:rsidR="008072E4" w:rsidRPr="001B2E5E" w:rsidRDefault="008072E4">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6E6A3EC5" w14:textId="77777777" w:rsidR="008072E4" w:rsidRPr="001B2E5E" w:rsidRDefault="003F6F28">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2" w:name="_heading=h.gjdgxs" w:colFirst="0" w:colLast="0"/>
      <w:bookmarkEnd w:id="2"/>
      <w:r w:rsidRPr="001B2E5E">
        <w:rPr>
          <w:rFonts w:ascii="Palatino Linotype" w:eastAsia="Palatino Linotype" w:hAnsi="Palatino Linotype" w:cs="Palatino Linotype"/>
          <w:b/>
          <w:sz w:val="22"/>
          <w:szCs w:val="22"/>
        </w:rPr>
        <w:t xml:space="preserve">Admisión del recurso de revisión: </w:t>
      </w:r>
      <w:r w:rsidRPr="001B2E5E">
        <w:rPr>
          <w:rFonts w:ascii="Palatino Linotype" w:eastAsia="Palatino Linotype" w:hAnsi="Palatino Linotype" w:cs="Palatino Linotype"/>
          <w:sz w:val="22"/>
          <w:szCs w:val="22"/>
        </w:rPr>
        <w:t xml:space="preserve">En fecha </w:t>
      </w:r>
      <w:r w:rsidRPr="001B2E5E">
        <w:rPr>
          <w:rFonts w:ascii="Palatino Linotype" w:eastAsia="Palatino Linotype" w:hAnsi="Palatino Linotype" w:cs="Palatino Linotype"/>
          <w:b/>
          <w:sz w:val="22"/>
          <w:szCs w:val="22"/>
        </w:rPr>
        <w:t>cinco de agosto de dos mil veinticuatro</w:t>
      </w:r>
      <w:r w:rsidRPr="001B2E5E">
        <w:rPr>
          <w:rFonts w:ascii="Palatino Linotype" w:eastAsia="Palatino Linotype" w:hAnsi="Palatino Linotype" w:cs="Palatino Linotype"/>
          <w:sz w:val="22"/>
          <w:szCs w:val="22"/>
        </w:rPr>
        <w:t xml:space="preserve">, la Comisionada Ponente admitió a trámite el recurso de revisión que ahora se resuelve, dando </w:t>
      </w:r>
      <w:r w:rsidRPr="001B2E5E">
        <w:rPr>
          <w:rFonts w:ascii="Palatino Linotype" w:eastAsia="Palatino Linotype" w:hAnsi="Palatino Linotype" w:cs="Palatino Linotype"/>
          <w:sz w:val="22"/>
          <w:szCs w:val="22"/>
        </w:rPr>
        <w:lastRenderedPageBreak/>
        <w:t xml:space="preserve">un plazo máximo de siete días hábiles para que las partes manifestaran lo que a su derecho resultara conveniente, ofrecieran pruebas, formularan alegatos y el </w:t>
      </w:r>
      <w:r w:rsidRPr="001B2E5E">
        <w:rPr>
          <w:rFonts w:ascii="Palatino Linotype" w:eastAsia="Palatino Linotype" w:hAnsi="Palatino Linotype" w:cs="Palatino Linotype"/>
          <w:b/>
          <w:sz w:val="22"/>
          <w:szCs w:val="22"/>
        </w:rPr>
        <w:t>SUJETO OBLIGADO</w:t>
      </w:r>
      <w:r w:rsidRPr="001B2E5E">
        <w:rPr>
          <w:rFonts w:ascii="Palatino Linotype" w:eastAsia="Palatino Linotype" w:hAnsi="Palatino Linotype" w:cs="Palatino Linotype"/>
          <w:sz w:val="22"/>
          <w:szCs w:val="22"/>
        </w:rPr>
        <w:t xml:space="preserve"> presentara su informe justificado.</w:t>
      </w:r>
    </w:p>
    <w:p w14:paraId="7CF70180" w14:textId="77777777" w:rsidR="008072E4" w:rsidRPr="001B2E5E" w:rsidRDefault="008072E4">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2B01881B" w14:textId="77777777" w:rsidR="008072E4" w:rsidRPr="001B2E5E" w:rsidRDefault="003F6F28">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b/>
          <w:sz w:val="22"/>
          <w:szCs w:val="22"/>
        </w:rPr>
        <w:t>Manifestaciones</w:t>
      </w:r>
      <w:r w:rsidRPr="001B2E5E">
        <w:rPr>
          <w:rFonts w:ascii="Palatino Linotype" w:eastAsia="Palatino Linotype" w:hAnsi="Palatino Linotype" w:cs="Palatino Linotype"/>
          <w:sz w:val="22"/>
          <w:szCs w:val="22"/>
        </w:rPr>
        <w:t>: Las partes fueron omisas en rendir manifestaciones.</w:t>
      </w:r>
    </w:p>
    <w:p w14:paraId="74CF5058" w14:textId="77777777" w:rsidR="008072E4" w:rsidRPr="001B2E5E" w:rsidRDefault="003F6F28">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noProof/>
          <w:sz w:val="22"/>
          <w:szCs w:val="22"/>
          <w:lang w:val="es-MX" w:eastAsia="es-MX"/>
        </w:rPr>
        <w:drawing>
          <wp:inline distT="0" distB="0" distL="0" distR="0" wp14:anchorId="5E226D8B" wp14:editId="69D1490E">
            <wp:extent cx="5287671" cy="1685378"/>
            <wp:effectExtent l="0" t="0" r="0" b="0"/>
            <wp:docPr id="56396809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287671" cy="1685378"/>
                    </a:xfrm>
                    <a:prstGeom prst="rect">
                      <a:avLst/>
                    </a:prstGeom>
                    <a:ln/>
                  </pic:spPr>
                </pic:pic>
              </a:graphicData>
            </a:graphic>
          </wp:inline>
        </w:drawing>
      </w:r>
    </w:p>
    <w:p w14:paraId="504A2652" w14:textId="77777777" w:rsidR="008072E4" w:rsidRPr="001B2E5E" w:rsidRDefault="008072E4">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47ACF66C" w14:textId="77777777" w:rsidR="008072E4" w:rsidRPr="001B2E5E" w:rsidRDefault="003F6F28">
      <w:pPr>
        <w:numPr>
          <w:ilvl w:val="0"/>
          <w:numId w:val="1"/>
        </w:numPr>
        <w:pBdr>
          <w:top w:val="nil"/>
          <w:left w:val="nil"/>
          <w:bottom w:val="nil"/>
          <w:right w:val="nil"/>
          <w:between w:val="nil"/>
        </w:pBdr>
        <w:tabs>
          <w:tab w:val="left" w:pos="360"/>
        </w:tabs>
        <w:spacing w:line="360" w:lineRule="auto"/>
        <w:ind w:left="0" w:right="49" w:firstLine="0"/>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b/>
          <w:sz w:val="22"/>
          <w:szCs w:val="22"/>
        </w:rPr>
        <w:t xml:space="preserve">Cierre de instrucción. </w:t>
      </w:r>
      <w:r w:rsidRPr="001B2E5E">
        <w:rPr>
          <w:rFonts w:ascii="Palatino Linotype" w:eastAsia="Palatino Linotype" w:hAnsi="Palatino Linotype" w:cs="Palatino Linotype"/>
          <w:sz w:val="22"/>
          <w:szCs w:val="22"/>
        </w:rPr>
        <w:t xml:space="preserve">El </w:t>
      </w:r>
      <w:r w:rsidRPr="001B2E5E">
        <w:rPr>
          <w:rFonts w:ascii="Palatino Linotype" w:eastAsia="Palatino Linotype" w:hAnsi="Palatino Linotype" w:cs="Palatino Linotype"/>
          <w:b/>
          <w:sz w:val="22"/>
          <w:szCs w:val="22"/>
        </w:rPr>
        <w:t>diecisiete de septiembre de dos mil veinticuatro</w:t>
      </w:r>
      <w:r w:rsidRPr="001B2E5E">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517676E2" w14:textId="77777777" w:rsidR="008072E4" w:rsidRPr="001B2E5E" w:rsidRDefault="008072E4">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48BB9A49" w14:textId="77777777" w:rsidR="008072E4" w:rsidRPr="001B2E5E" w:rsidRDefault="003F6F28">
      <w:pPr>
        <w:numPr>
          <w:ilvl w:val="0"/>
          <w:numId w:val="1"/>
        </w:numPr>
        <w:pBdr>
          <w:top w:val="nil"/>
          <w:left w:val="nil"/>
          <w:bottom w:val="nil"/>
          <w:right w:val="nil"/>
          <w:between w:val="nil"/>
        </w:pBdr>
        <w:tabs>
          <w:tab w:val="left" w:pos="360"/>
        </w:tabs>
        <w:spacing w:line="360" w:lineRule="auto"/>
        <w:ind w:left="0" w:right="49" w:firstLine="0"/>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b/>
          <w:sz w:val="22"/>
          <w:szCs w:val="22"/>
        </w:rPr>
        <w:t>Ampliación de plazo:</w:t>
      </w:r>
      <w:r w:rsidRPr="001B2E5E">
        <w:rPr>
          <w:rFonts w:ascii="Palatino Linotype" w:eastAsia="Palatino Linotype" w:hAnsi="Palatino Linotype" w:cs="Palatino Linotype"/>
          <w:sz w:val="22"/>
          <w:szCs w:val="22"/>
        </w:rPr>
        <w:t xml:space="preserve"> El </w:t>
      </w:r>
      <w:r w:rsidRPr="001B2E5E">
        <w:rPr>
          <w:rFonts w:ascii="Palatino Linotype" w:eastAsia="Palatino Linotype" w:hAnsi="Palatino Linotype" w:cs="Palatino Linotype"/>
          <w:b/>
          <w:sz w:val="22"/>
          <w:szCs w:val="22"/>
        </w:rPr>
        <w:t>dos de octubre de dos mil veinticuatro</w:t>
      </w:r>
      <w:r w:rsidRPr="001B2E5E">
        <w:rPr>
          <w:rFonts w:ascii="Palatino Linotype" w:eastAsia="Palatino Linotype" w:hAnsi="Palatino Linotype" w:cs="Palatino Linotype"/>
          <w:sz w:val="22"/>
          <w:szCs w:val="22"/>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601AC8B8" w14:textId="77777777" w:rsidR="008072E4" w:rsidRPr="001B2E5E" w:rsidRDefault="008072E4">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7E9331C0" w14:textId="77777777" w:rsidR="008072E4" w:rsidRPr="001B2E5E" w:rsidRDefault="003F6F28">
      <w:pPr>
        <w:spacing w:line="360" w:lineRule="auto"/>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6FE89D11" w14:textId="77777777" w:rsidR="008072E4" w:rsidRPr="001B2E5E" w:rsidRDefault="008072E4">
      <w:pPr>
        <w:spacing w:line="360" w:lineRule="auto"/>
        <w:jc w:val="both"/>
        <w:rPr>
          <w:rFonts w:ascii="Palatino Linotype" w:eastAsia="Palatino Linotype" w:hAnsi="Palatino Linotype" w:cs="Palatino Linotype"/>
          <w:sz w:val="22"/>
          <w:szCs w:val="22"/>
        </w:rPr>
      </w:pPr>
    </w:p>
    <w:p w14:paraId="49DE7B01" w14:textId="77777777" w:rsidR="008072E4" w:rsidRPr="001B2E5E" w:rsidRDefault="003F6F28">
      <w:pPr>
        <w:numPr>
          <w:ilvl w:val="0"/>
          <w:numId w:val="2"/>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3" w:name="_heading=h.30j0zll" w:colFirst="0" w:colLast="0"/>
      <w:bookmarkEnd w:id="3"/>
      <w:r w:rsidRPr="001B2E5E">
        <w:rPr>
          <w:rFonts w:ascii="Palatino Linotype" w:eastAsia="Palatino Linotype" w:hAnsi="Palatino Linotype" w:cs="Palatino Linotype"/>
          <w:b/>
          <w:sz w:val="22"/>
          <w:szCs w:val="22"/>
        </w:rPr>
        <w:lastRenderedPageBreak/>
        <w:t>C O N S I D E R A N D O:</w:t>
      </w:r>
    </w:p>
    <w:p w14:paraId="7721A981" w14:textId="77777777" w:rsidR="008072E4" w:rsidRPr="001B2E5E" w:rsidRDefault="008072E4">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6170B964" w14:textId="77777777" w:rsidR="008072E4" w:rsidRPr="001B2E5E" w:rsidRDefault="003F6F28">
      <w:pPr>
        <w:spacing w:line="360" w:lineRule="auto"/>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b/>
          <w:sz w:val="22"/>
          <w:szCs w:val="22"/>
        </w:rPr>
        <w:t xml:space="preserve">Primero. Competencia. </w:t>
      </w:r>
      <w:r w:rsidRPr="001B2E5E">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C851129" w14:textId="77777777" w:rsidR="008072E4" w:rsidRPr="001B2E5E" w:rsidRDefault="008072E4">
      <w:pPr>
        <w:spacing w:line="360" w:lineRule="auto"/>
        <w:jc w:val="both"/>
        <w:rPr>
          <w:rFonts w:ascii="Palatino Linotype" w:eastAsia="Palatino Linotype" w:hAnsi="Palatino Linotype" w:cs="Palatino Linotype"/>
          <w:b/>
          <w:sz w:val="22"/>
          <w:szCs w:val="22"/>
        </w:rPr>
      </w:pPr>
    </w:p>
    <w:p w14:paraId="57F037F2" w14:textId="77777777" w:rsidR="008072E4" w:rsidRPr="001B2E5E" w:rsidRDefault="003F6F28">
      <w:pPr>
        <w:spacing w:line="360" w:lineRule="auto"/>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b/>
          <w:sz w:val="22"/>
          <w:szCs w:val="22"/>
        </w:rPr>
        <w:t>Segundo. Oportunidad y Procedibilidad del Recurso de Revisión</w:t>
      </w:r>
      <w:r w:rsidRPr="001B2E5E">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359F27E4" w14:textId="77777777" w:rsidR="008072E4" w:rsidRPr="001B2E5E" w:rsidRDefault="008072E4">
      <w:pPr>
        <w:spacing w:line="360" w:lineRule="auto"/>
        <w:jc w:val="both"/>
        <w:rPr>
          <w:rFonts w:ascii="Palatino Linotype" w:eastAsia="Palatino Linotype" w:hAnsi="Palatino Linotype" w:cs="Palatino Linotype"/>
          <w:sz w:val="22"/>
          <w:szCs w:val="22"/>
        </w:rPr>
      </w:pPr>
    </w:p>
    <w:p w14:paraId="35CA1BAA" w14:textId="77777777" w:rsidR="008072E4" w:rsidRPr="001B2E5E" w:rsidRDefault="003F6F28">
      <w:pPr>
        <w:spacing w:line="360" w:lineRule="auto"/>
        <w:ind w:right="49"/>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1B2E5E">
        <w:rPr>
          <w:rFonts w:ascii="Palatino Linotype" w:eastAsia="Palatino Linotype" w:hAnsi="Palatino Linotype" w:cs="Palatino Linotype"/>
          <w:b/>
          <w:sz w:val="22"/>
          <w:szCs w:val="22"/>
        </w:rPr>
        <w:t>SUJETO OBLIGADO</w:t>
      </w:r>
      <w:r w:rsidRPr="001B2E5E">
        <w:rPr>
          <w:rFonts w:ascii="Palatino Linotype" w:eastAsia="Palatino Linotype" w:hAnsi="Palatino Linotype" w:cs="Palatino Linotype"/>
          <w:sz w:val="22"/>
          <w:szCs w:val="22"/>
        </w:rPr>
        <w:t xml:space="preserve"> proporcionó su respuesta a la solicitud de información el </w:t>
      </w:r>
      <w:r w:rsidRPr="001B2E5E">
        <w:rPr>
          <w:rFonts w:ascii="Palatino Linotype" w:eastAsia="Palatino Linotype" w:hAnsi="Palatino Linotype" w:cs="Palatino Linotype"/>
          <w:b/>
          <w:sz w:val="22"/>
          <w:szCs w:val="22"/>
        </w:rPr>
        <w:t>ocho de julio de dos mil veinticuatro</w:t>
      </w:r>
      <w:r w:rsidRPr="001B2E5E">
        <w:rPr>
          <w:rFonts w:ascii="Palatino Linotype" w:eastAsia="Palatino Linotype" w:hAnsi="Palatino Linotype" w:cs="Palatino Linotype"/>
          <w:sz w:val="22"/>
          <w:szCs w:val="22"/>
        </w:rPr>
        <w:t xml:space="preserve">, y la parte </w:t>
      </w:r>
      <w:r w:rsidRPr="001B2E5E">
        <w:rPr>
          <w:rFonts w:ascii="Palatino Linotype" w:eastAsia="Palatino Linotype" w:hAnsi="Palatino Linotype" w:cs="Palatino Linotype"/>
          <w:b/>
          <w:sz w:val="22"/>
          <w:szCs w:val="22"/>
        </w:rPr>
        <w:t>RECURRENTE</w:t>
      </w:r>
      <w:r w:rsidRPr="001B2E5E">
        <w:rPr>
          <w:rFonts w:ascii="Palatino Linotype" w:eastAsia="Palatino Linotype" w:hAnsi="Palatino Linotype" w:cs="Palatino Linotype"/>
          <w:sz w:val="22"/>
          <w:szCs w:val="22"/>
        </w:rPr>
        <w:t xml:space="preserve"> presentó su recurso de revisión el </w:t>
      </w:r>
      <w:r w:rsidRPr="001B2E5E">
        <w:rPr>
          <w:rFonts w:ascii="Palatino Linotype" w:eastAsia="Palatino Linotype" w:hAnsi="Palatino Linotype" w:cs="Palatino Linotype"/>
          <w:b/>
          <w:sz w:val="22"/>
          <w:szCs w:val="22"/>
        </w:rPr>
        <w:t>diecisiete de julio de dos mil veinticuatro</w:t>
      </w:r>
      <w:r w:rsidRPr="001B2E5E">
        <w:rPr>
          <w:rFonts w:ascii="Palatino Linotype" w:eastAsia="Palatino Linotype" w:hAnsi="Palatino Linotype" w:cs="Palatino Linotype"/>
          <w:sz w:val="22"/>
          <w:szCs w:val="22"/>
        </w:rPr>
        <w:t xml:space="preserve">, por lo que se encuentra dentro de los márgenes temporales previstos para tal efecto. </w:t>
      </w:r>
    </w:p>
    <w:p w14:paraId="25940753" w14:textId="77777777" w:rsidR="008072E4" w:rsidRPr="001B2E5E" w:rsidRDefault="008072E4">
      <w:pPr>
        <w:spacing w:line="360" w:lineRule="auto"/>
        <w:ind w:right="49"/>
        <w:jc w:val="both"/>
        <w:rPr>
          <w:rFonts w:ascii="Palatino Linotype" w:eastAsia="Palatino Linotype" w:hAnsi="Palatino Linotype" w:cs="Palatino Linotype"/>
          <w:sz w:val="22"/>
          <w:szCs w:val="22"/>
        </w:rPr>
      </w:pPr>
    </w:p>
    <w:p w14:paraId="3AE9C854" w14:textId="77777777" w:rsidR="008072E4" w:rsidRPr="001B2E5E" w:rsidRDefault="003F6F28">
      <w:pPr>
        <w:spacing w:line="360" w:lineRule="auto"/>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t xml:space="preserve">Al mismo tiempo, tras la revisión del formato de interposición del recurso, se concluye en la acreditación plena de todos y cada uno de los elementos formales exigidos por el artículo </w:t>
      </w:r>
      <w:r w:rsidRPr="001B2E5E">
        <w:rPr>
          <w:rFonts w:ascii="Palatino Linotype" w:eastAsia="Palatino Linotype" w:hAnsi="Palatino Linotype" w:cs="Palatino Linotype"/>
          <w:sz w:val="22"/>
          <w:szCs w:val="22"/>
        </w:rPr>
        <w:lastRenderedPageBreak/>
        <w:t>180 de la Ley de Transparencia y Acceso a la Información Pública del Estado de México y Municipios, toda vez que fue ingresado a través del SAIMEX.</w:t>
      </w:r>
    </w:p>
    <w:p w14:paraId="35B71BCD" w14:textId="77777777" w:rsidR="008072E4" w:rsidRPr="001B2E5E" w:rsidRDefault="003F6F28">
      <w:pPr>
        <w:spacing w:before="240" w:after="240" w:line="360" w:lineRule="auto"/>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t>A efecto de sustentar lo anterior, es de suma importancia mencionar que si bien la persona solicitante</w:t>
      </w:r>
      <w:r w:rsidRPr="001B2E5E">
        <w:rPr>
          <w:rFonts w:ascii="Palatino Linotype" w:eastAsia="Palatino Linotype" w:hAnsi="Palatino Linotype" w:cs="Palatino Linotype"/>
          <w:b/>
          <w:sz w:val="22"/>
          <w:szCs w:val="22"/>
        </w:rPr>
        <w:t xml:space="preserve"> no proporcionó nombre, </w:t>
      </w:r>
      <w:r w:rsidRPr="001B2E5E">
        <w:rPr>
          <w:rFonts w:ascii="Palatino Linotype" w:eastAsia="Palatino Linotype" w:hAnsi="Palatino Linotype" w:cs="Palatino Linotype"/>
          <w:sz w:val="22"/>
          <w:szCs w:val="22"/>
        </w:rPr>
        <w:t>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CB266C8" w14:textId="77777777" w:rsidR="008072E4" w:rsidRPr="001B2E5E" w:rsidRDefault="003F6F28">
      <w:pPr>
        <w:spacing w:before="120" w:after="120"/>
        <w:ind w:left="851" w:right="902"/>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i/>
          <w:sz w:val="22"/>
          <w:szCs w:val="22"/>
        </w:rPr>
        <w:t>"</w:t>
      </w:r>
      <w:r w:rsidRPr="001B2E5E">
        <w:rPr>
          <w:rFonts w:ascii="Palatino Linotype" w:eastAsia="Palatino Linotype" w:hAnsi="Palatino Linotype" w:cs="Palatino Linotype"/>
          <w:b/>
          <w:i/>
          <w:sz w:val="22"/>
          <w:szCs w:val="22"/>
        </w:rPr>
        <w:t>Las solicitudes anónimas</w:t>
      </w:r>
      <w:r w:rsidRPr="001B2E5E">
        <w:rPr>
          <w:rFonts w:ascii="Palatino Linotype" w:eastAsia="Palatino Linotype" w:hAnsi="Palatino Linotype" w:cs="Palatino Linotype"/>
          <w:i/>
          <w:sz w:val="22"/>
          <w:szCs w:val="22"/>
        </w:rPr>
        <w:t xml:space="preserve">, con nombre incompleto o seudónimo </w:t>
      </w:r>
      <w:r w:rsidRPr="001B2E5E">
        <w:rPr>
          <w:rFonts w:ascii="Palatino Linotype" w:eastAsia="Palatino Linotype" w:hAnsi="Palatino Linotype" w:cs="Palatino Linotype"/>
          <w:b/>
          <w:i/>
          <w:sz w:val="22"/>
          <w:szCs w:val="22"/>
        </w:rPr>
        <w:t>serán procedentes para su trámite por parte del sujeto obligado ante quien se presente</w:t>
      </w:r>
      <w:r w:rsidRPr="001B2E5E">
        <w:rPr>
          <w:rFonts w:ascii="Palatino Linotype" w:eastAsia="Palatino Linotype" w:hAnsi="Palatino Linotype" w:cs="Palatino Linotype"/>
          <w:i/>
          <w:sz w:val="22"/>
          <w:szCs w:val="22"/>
        </w:rPr>
        <w:t>. No podrá requerirse información adicional con motivo del nombre proporcionado por el solicitante."</w:t>
      </w:r>
    </w:p>
    <w:p w14:paraId="731DE24A" w14:textId="77777777" w:rsidR="008072E4" w:rsidRPr="001B2E5E" w:rsidRDefault="003F6F28">
      <w:pPr>
        <w:spacing w:before="240" w:after="240" w:line="360" w:lineRule="auto"/>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t xml:space="preserve">En el mismo tenor, el propio artículo 180 de la Ley de Transparencia local citado, en su último párrafo establece que cuando el recurso se interponga de manera electrónica, no será indispensable que contenga determinados requisitos, entre ellos, el nombre de la parte </w:t>
      </w:r>
      <w:r w:rsidRPr="001B2E5E">
        <w:rPr>
          <w:rFonts w:ascii="Palatino Linotype" w:eastAsia="Palatino Linotype" w:hAnsi="Palatino Linotype" w:cs="Palatino Linotype"/>
          <w:b/>
          <w:sz w:val="22"/>
          <w:szCs w:val="22"/>
        </w:rPr>
        <w:t>Recurrente</w:t>
      </w:r>
      <w:r w:rsidRPr="001B2E5E">
        <w:rPr>
          <w:rFonts w:ascii="Palatino Linotype" w:eastAsia="Palatino Linotype" w:hAnsi="Palatino Linotype" w:cs="Palatino Linotype"/>
          <w:sz w:val="22"/>
          <w:szCs w:val="22"/>
        </w:rPr>
        <w:t>, por lo que, en el presente caso, al haber sido presentado el recurso de revisión de forma electrónica, dicho requisito no resulta indispensable.</w:t>
      </w:r>
    </w:p>
    <w:p w14:paraId="5C7F36B4" w14:textId="77777777" w:rsidR="008072E4" w:rsidRPr="001B2E5E" w:rsidRDefault="003F6F28">
      <w:pPr>
        <w:spacing w:line="360" w:lineRule="auto"/>
        <w:jc w:val="both"/>
        <w:rPr>
          <w:rFonts w:ascii="Palatino Linotype" w:eastAsia="Palatino Linotype" w:hAnsi="Palatino Linotype" w:cs="Palatino Linotype"/>
          <w:sz w:val="22"/>
          <w:szCs w:val="22"/>
        </w:rPr>
      </w:pPr>
      <w:bookmarkStart w:id="4" w:name="_heading=h.1fob9te" w:colFirst="0" w:colLast="0"/>
      <w:bookmarkEnd w:id="4"/>
      <w:r w:rsidRPr="001B2E5E">
        <w:rPr>
          <w:rFonts w:ascii="Palatino Linotype" w:eastAsia="Palatino Linotype" w:hAnsi="Palatino Linotype" w:cs="Palatino Linotype"/>
          <w:sz w:val="22"/>
          <w:szCs w:val="22"/>
        </w:rPr>
        <w:t>En ese sentido, resulta procedente la interposición del recurso de revisión al rubro anotado, toda vez que se actualiza la hipótesis prevista en el artículo 179, fracción V de la ley de la materia, que a la letra dice:</w:t>
      </w:r>
    </w:p>
    <w:p w14:paraId="1762811E" w14:textId="77777777" w:rsidR="008072E4" w:rsidRPr="001B2E5E" w:rsidRDefault="008072E4">
      <w:pPr>
        <w:spacing w:line="360" w:lineRule="auto"/>
        <w:jc w:val="both"/>
        <w:rPr>
          <w:rFonts w:ascii="Palatino Linotype" w:eastAsia="Palatino Linotype" w:hAnsi="Palatino Linotype" w:cs="Palatino Linotype"/>
          <w:sz w:val="22"/>
          <w:szCs w:val="22"/>
        </w:rPr>
      </w:pPr>
    </w:p>
    <w:p w14:paraId="39001AB0" w14:textId="77777777" w:rsidR="008072E4" w:rsidRPr="001B2E5E" w:rsidRDefault="003F6F28">
      <w:pPr>
        <w:spacing w:line="360" w:lineRule="auto"/>
        <w:ind w:left="567" w:right="616"/>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w:t>
      </w:r>
      <w:r w:rsidRPr="001B2E5E">
        <w:rPr>
          <w:rFonts w:ascii="Palatino Linotype" w:eastAsia="Palatino Linotype" w:hAnsi="Palatino Linotype" w:cs="Palatino Linotype"/>
          <w:b/>
          <w:i/>
          <w:sz w:val="22"/>
          <w:szCs w:val="22"/>
        </w:rPr>
        <w:t xml:space="preserve">Artículo 179. </w:t>
      </w:r>
      <w:r w:rsidRPr="001B2E5E">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540CB405" w14:textId="77777777" w:rsidR="008072E4" w:rsidRPr="001B2E5E" w:rsidRDefault="003F6F28">
      <w:pPr>
        <w:spacing w:line="360" w:lineRule="auto"/>
        <w:ind w:left="567" w:right="616"/>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w:t>
      </w:r>
    </w:p>
    <w:p w14:paraId="0662F4BE" w14:textId="77777777" w:rsidR="008072E4" w:rsidRPr="001B2E5E" w:rsidRDefault="003F6F28">
      <w:pPr>
        <w:spacing w:line="360" w:lineRule="auto"/>
        <w:ind w:left="567" w:right="616"/>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V. La entrega de información incompleta;</w:t>
      </w:r>
    </w:p>
    <w:p w14:paraId="1D53D718" w14:textId="77777777" w:rsidR="008072E4" w:rsidRPr="001B2E5E" w:rsidRDefault="003F6F28">
      <w:pPr>
        <w:spacing w:line="360" w:lineRule="auto"/>
        <w:ind w:left="567" w:right="616"/>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lastRenderedPageBreak/>
        <w:t>…</w:t>
      </w:r>
    </w:p>
    <w:p w14:paraId="346F84CB" w14:textId="77777777" w:rsidR="008072E4" w:rsidRPr="001B2E5E" w:rsidRDefault="003F6F28">
      <w:pPr>
        <w:spacing w:line="360" w:lineRule="auto"/>
        <w:ind w:left="567" w:right="616"/>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XIII. La falta, deficiencia o insuficiencia de la fundamentación y/o motivación en la respuesta; y</w:t>
      </w:r>
    </w:p>
    <w:p w14:paraId="354627C1" w14:textId="77777777" w:rsidR="008072E4" w:rsidRPr="001B2E5E" w:rsidRDefault="003F6F28">
      <w:pPr>
        <w:spacing w:before="240" w:after="240" w:line="360" w:lineRule="auto"/>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b/>
          <w:sz w:val="22"/>
          <w:szCs w:val="22"/>
        </w:rPr>
        <w:t xml:space="preserve">Tercero. Materia de la revisión. </w:t>
      </w:r>
      <w:r w:rsidRPr="001B2E5E">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1B2E5E">
        <w:rPr>
          <w:rFonts w:ascii="Palatino Linotype" w:eastAsia="Palatino Linotype" w:hAnsi="Palatino Linotype" w:cs="Palatino Linotype"/>
          <w:b/>
          <w:sz w:val="22"/>
          <w:szCs w:val="22"/>
        </w:rPr>
        <w:t xml:space="preserve">verificar si la respuesta otorgada por el Sujeto Obligado es adecuada y suficiente para satisfacer el derecho de acceso a la información pública </w:t>
      </w:r>
      <w:r w:rsidRPr="001B2E5E">
        <w:rPr>
          <w:rFonts w:ascii="Palatino Linotype" w:eastAsia="Palatino Linotype" w:hAnsi="Palatino Linotype" w:cs="Palatino Linotype"/>
          <w:sz w:val="22"/>
          <w:szCs w:val="22"/>
        </w:rPr>
        <w:t xml:space="preserve">de la parte </w:t>
      </w:r>
      <w:r w:rsidRPr="001B2E5E">
        <w:rPr>
          <w:rFonts w:ascii="Palatino Linotype" w:eastAsia="Palatino Linotype" w:hAnsi="Palatino Linotype" w:cs="Palatino Linotype"/>
          <w:b/>
          <w:sz w:val="22"/>
          <w:szCs w:val="22"/>
        </w:rPr>
        <w:t>Recurrente</w:t>
      </w:r>
      <w:r w:rsidRPr="001B2E5E">
        <w:rPr>
          <w:rFonts w:ascii="Palatino Linotype" w:eastAsia="Palatino Linotype" w:hAnsi="Palatino Linotype" w:cs="Palatino Linotype"/>
          <w:sz w:val="22"/>
          <w:szCs w:val="22"/>
        </w:rPr>
        <w:t>, o en su defecto, en caso de ser procedente, ordenar la entrega de información.</w:t>
      </w:r>
    </w:p>
    <w:p w14:paraId="5F6FDFF1" w14:textId="77777777" w:rsidR="008072E4" w:rsidRPr="001B2E5E" w:rsidRDefault="003F6F28">
      <w:pPr>
        <w:spacing w:line="360" w:lineRule="auto"/>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b/>
          <w:sz w:val="22"/>
          <w:szCs w:val="22"/>
        </w:rPr>
        <w:t xml:space="preserve">Cuarto. Estudio del asunto. </w:t>
      </w:r>
      <w:r w:rsidRPr="001B2E5E">
        <w:rPr>
          <w:rFonts w:ascii="Palatino Linotype" w:eastAsia="Palatino Linotype" w:hAnsi="Palatino Linotype" w:cs="Palatino Linotype"/>
          <w:sz w:val="22"/>
          <w:szCs w:val="22"/>
        </w:rPr>
        <w:t xml:space="preserve">En principio, es conveniente analizar si la respuesta del </w:t>
      </w:r>
      <w:r w:rsidRPr="001B2E5E">
        <w:rPr>
          <w:rFonts w:ascii="Palatino Linotype" w:eastAsia="Palatino Linotype" w:hAnsi="Palatino Linotype" w:cs="Palatino Linotype"/>
          <w:b/>
          <w:sz w:val="22"/>
          <w:szCs w:val="22"/>
        </w:rPr>
        <w:t>SUJETO OBLIGADO</w:t>
      </w:r>
      <w:r w:rsidRPr="001B2E5E">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61EF0FAB" w14:textId="77777777" w:rsidR="008072E4" w:rsidRPr="001B2E5E" w:rsidRDefault="008072E4">
      <w:pPr>
        <w:spacing w:line="360" w:lineRule="auto"/>
        <w:jc w:val="both"/>
        <w:rPr>
          <w:rFonts w:ascii="Palatino Linotype" w:eastAsia="Palatino Linotype" w:hAnsi="Palatino Linotype" w:cs="Palatino Linotype"/>
          <w:sz w:val="22"/>
          <w:szCs w:val="22"/>
        </w:rPr>
      </w:pPr>
    </w:p>
    <w:p w14:paraId="2B38FB46" w14:textId="77777777" w:rsidR="008072E4" w:rsidRPr="001B2E5E" w:rsidRDefault="003F6F28">
      <w:pPr>
        <w:spacing w:line="360" w:lineRule="auto"/>
        <w:ind w:left="567" w:right="616"/>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w:t>
      </w:r>
      <w:r w:rsidRPr="001B2E5E">
        <w:rPr>
          <w:rFonts w:ascii="Palatino Linotype" w:eastAsia="Palatino Linotype" w:hAnsi="Palatino Linotype" w:cs="Palatino Linotype"/>
          <w:b/>
          <w:i/>
          <w:sz w:val="22"/>
          <w:szCs w:val="22"/>
        </w:rPr>
        <w:t>Artículo 4</w:t>
      </w:r>
      <w:r w:rsidRPr="001B2E5E">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40C7256" w14:textId="77777777" w:rsidR="008072E4" w:rsidRPr="001B2E5E" w:rsidRDefault="003F6F28">
      <w:pPr>
        <w:spacing w:line="360" w:lineRule="auto"/>
        <w:ind w:left="567" w:right="616"/>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1B2E5E">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la Ley General, la presente Ley y demás disposiciones de la materia, privilegiando el </w:t>
      </w:r>
      <w:r w:rsidRPr="001B2E5E">
        <w:rPr>
          <w:rFonts w:ascii="Palatino Linotype" w:eastAsia="Palatino Linotype" w:hAnsi="Palatino Linotype" w:cs="Palatino Linotype"/>
          <w:i/>
          <w:sz w:val="22"/>
          <w:szCs w:val="22"/>
        </w:rPr>
        <w:lastRenderedPageBreak/>
        <w:t>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C8B3924" w14:textId="77777777" w:rsidR="008072E4" w:rsidRPr="001B2E5E" w:rsidRDefault="003F6F28">
      <w:pPr>
        <w:spacing w:line="360" w:lineRule="auto"/>
        <w:ind w:left="567" w:right="616"/>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1B2E5E">
        <w:rPr>
          <w:rFonts w:ascii="Palatino Linotype" w:eastAsia="Palatino Linotype" w:hAnsi="Palatino Linotype" w:cs="Palatino Linotype"/>
          <w:i/>
          <w:sz w:val="22"/>
          <w:szCs w:val="22"/>
        </w:rPr>
        <w:t>.”</w:t>
      </w:r>
    </w:p>
    <w:p w14:paraId="741BE321" w14:textId="77777777" w:rsidR="008072E4" w:rsidRPr="001B2E5E" w:rsidRDefault="008072E4">
      <w:pPr>
        <w:spacing w:line="360" w:lineRule="auto"/>
        <w:jc w:val="both"/>
        <w:rPr>
          <w:rFonts w:ascii="Palatino Linotype" w:eastAsia="Palatino Linotype" w:hAnsi="Palatino Linotype" w:cs="Palatino Linotype"/>
          <w:sz w:val="22"/>
          <w:szCs w:val="22"/>
        </w:rPr>
      </w:pPr>
    </w:p>
    <w:p w14:paraId="6CE56D02" w14:textId="77777777" w:rsidR="008072E4" w:rsidRPr="001B2E5E" w:rsidRDefault="003F6F28">
      <w:pPr>
        <w:spacing w:line="360" w:lineRule="auto"/>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3893E807" w14:textId="77777777" w:rsidR="008072E4" w:rsidRPr="001B2E5E" w:rsidRDefault="008072E4">
      <w:pPr>
        <w:spacing w:line="360" w:lineRule="auto"/>
        <w:jc w:val="both"/>
        <w:rPr>
          <w:rFonts w:ascii="Palatino Linotype" w:eastAsia="Palatino Linotype" w:hAnsi="Palatino Linotype" w:cs="Palatino Linotype"/>
          <w:sz w:val="22"/>
          <w:szCs w:val="22"/>
        </w:rPr>
      </w:pPr>
    </w:p>
    <w:p w14:paraId="1D392997" w14:textId="77777777" w:rsidR="008072E4" w:rsidRPr="001B2E5E" w:rsidRDefault="003F6F28">
      <w:pPr>
        <w:spacing w:line="360" w:lineRule="auto"/>
        <w:ind w:left="567" w:right="616"/>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b/>
          <w:i/>
          <w:sz w:val="22"/>
          <w:szCs w:val="22"/>
        </w:rPr>
        <w:t>“Artículo 12.-</w:t>
      </w:r>
      <w:r w:rsidRPr="001B2E5E">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34FD3F8D" w14:textId="77777777" w:rsidR="008072E4" w:rsidRPr="001B2E5E" w:rsidRDefault="008072E4">
      <w:pPr>
        <w:spacing w:line="360" w:lineRule="auto"/>
        <w:ind w:left="567" w:right="616"/>
        <w:jc w:val="both"/>
        <w:rPr>
          <w:rFonts w:ascii="Palatino Linotype" w:eastAsia="Palatino Linotype" w:hAnsi="Palatino Linotype" w:cs="Palatino Linotype"/>
          <w:i/>
          <w:sz w:val="22"/>
          <w:szCs w:val="22"/>
        </w:rPr>
      </w:pPr>
    </w:p>
    <w:p w14:paraId="727BD8D0" w14:textId="77777777" w:rsidR="008072E4" w:rsidRPr="001B2E5E" w:rsidRDefault="003F6F28">
      <w:pPr>
        <w:spacing w:line="360" w:lineRule="auto"/>
        <w:ind w:left="567" w:right="616"/>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1B2E5E">
        <w:rPr>
          <w:rFonts w:ascii="Palatino Linotype" w:eastAsia="Palatino Linotype" w:hAnsi="Palatino Linotype" w:cs="Palatino Linotype"/>
          <w:i/>
          <w:sz w:val="22"/>
          <w:szCs w:val="22"/>
        </w:rPr>
        <w:t xml:space="preserve">. </w:t>
      </w:r>
      <w:r w:rsidRPr="001B2E5E">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1439A68A" w14:textId="77777777" w:rsidR="008072E4" w:rsidRPr="001B2E5E" w:rsidRDefault="008072E4">
      <w:pPr>
        <w:spacing w:line="360" w:lineRule="auto"/>
        <w:ind w:right="-93"/>
        <w:jc w:val="both"/>
        <w:rPr>
          <w:rFonts w:ascii="Palatino Linotype" w:eastAsia="Palatino Linotype" w:hAnsi="Palatino Linotype" w:cs="Palatino Linotype"/>
          <w:sz w:val="22"/>
          <w:szCs w:val="22"/>
        </w:rPr>
      </w:pPr>
    </w:p>
    <w:p w14:paraId="02B6C318" w14:textId="77777777" w:rsidR="008072E4" w:rsidRPr="001B2E5E" w:rsidRDefault="003F6F28">
      <w:pPr>
        <w:spacing w:line="360" w:lineRule="auto"/>
        <w:ind w:right="-93"/>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386723B8" w14:textId="77777777" w:rsidR="008072E4" w:rsidRPr="001B2E5E" w:rsidRDefault="008072E4">
      <w:pPr>
        <w:spacing w:line="360" w:lineRule="auto"/>
        <w:ind w:right="-93"/>
        <w:jc w:val="both"/>
        <w:rPr>
          <w:rFonts w:ascii="Palatino Linotype" w:eastAsia="Palatino Linotype" w:hAnsi="Palatino Linotype" w:cs="Palatino Linotype"/>
          <w:sz w:val="22"/>
          <w:szCs w:val="22"/>
        </w:rPr>
      </w:pPr>
    </w:p>
    <w:p w14:paraId="67D225EE" w14:textId="77777777" w:rsidR="008072E4" w:rsidRPr="001B2E5E" w:rsidRDefault="003F6F28">
      <w:pPr>
        <w:spacing w:line="360" w:lineRule="auto"/>
        <w:ind w:right="-93"/>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1B2E5E">
        <w:rPr>
          <w:rFonts w:ascii="Palatino Linotype" w:eastAsia="Palatino Linotype" w:hAnsi="Palatino Linotype" w:cs="Palatino Linotype"/>
          <w:b/>
          <w:sz w:val="22"/>
          <w:szCs w:val="22"/>
        </w:rPr>
        <w:t xml:space="preserve"> </w:t>
      </w:r>
    </w:p>
    <w:p w14:paraId="04061560" w14:textId="77777777" w:rsidR="008072E4" w:rsidRPr="001B2E5E" w:rsidRDefault="008072E4">
      <w:pPr>
        <w:spacing w:line="360" w:lineRule="auto"/>
        <w:jc w:val="both"/>
        <w:rPr>
          <w:rFonts w:ascii="Palatino Linotype" w:eastAsia="Palatino Linotype" w:hAnsi="Palatino Linotype" w:cs="Palatino Linotype"/>
          <w:b/>
          <w:sz w:val="22"/>
          <w:szCs w:val="22"/>
        </w:rPr>
      </w:pPr>
    </w:p>
    <w:p w14:paraId="786EA54A" w14:textId="77777777" w:rsidR="008072E4" w:rsidRPr="001B2E5E" w:rsidRDefault="003F6F28">
      <w:pPr>
        <w:spacing w:line="360" w:lineRule="auto"/>
        <w:ind w:left="567" w:right="616"/>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w:t>
      </w:r>
      <w:r w:rsidRPr="001B2E5E">
        <w:rPr>
          <w:rFonts w:ascii="Palatino Linotype" w:eastAsia="Palatino Linotype" w:hAnsi="Palatino Linotype" w:cs="Palatino Linotype"/>
          <w:b/>
          <w:i/>
          <w:sz w:val="22"/>
          <w:szCs w:val="22"/>
        </w:rPr>
        <w:t>No existe obligación de elaborar documentos ad hoc para atender las solicitudes de acceso a la información.</w:t>
      </w:r>
      <w:r w:rsidRPr="001B2E5E">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47C80889" w14:textId="77777777" w:rsidR="008072E4" w:rsidRPr="001B2E5E" w:rsidRDefault="008072E4">
      <w:pPr>
        <w:spacing w:line="360" w:lineRule="auto"/>
        <w:ind w:right="-93"/>
        <w:jc w:val="both"/>
        <w:rPr>
          <w:rFonts w:ascii="Palatino Linotype" w:eastAsia="Palatino Linotype" w:hAnsi="Palatino Linotype" w:cs="Palatino Linotype"/>
          <w:sz w:val="22"/>
          <w:szCs w:val="22"/>
        </w:rPr>
      </w:pPr>
    </w:p>
    <w:p w14:paraId="5FFC44F6" w14:textId="77777777" w:rsidR="008072E4" w:rsidRPr="001B2E5E" w:rsidRDefault="003F6F28">
      <w:pPr>
        <w:spacing w:line="360" w:lineRule="auto"/>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w:t>
      </w:r>
      <w:r w:rsidRPr="001B2E5E">
        <w:rPr>
          <w:rFonts w:ascii="Palatino Linotype" w:eastAsia="Palatino Linotype" w:hAnsi="Palatino Linotype" w:cs="Palatino Linotype"/>
          <w:sz w:val="22"/>
          <w:szCs w:val="22"/>
        </w:rPr>
        <w:lastRenderedPageBreak/>
        <w:t>encuentra a disposición de cualquier persona, lo que implica que es deber de los Sujetos Obligados, garantizar el Derecho de Acceso a la Información Pública.</w:t>
      </w:r>
    </w:p>
    <w:p w14:paraId="6BEE7F5C" w14:textId="77777777" w:rsidR="008072E4" w:rsidRPr="001B2E5E" w:rsidRDefault="008072E4">
      <w:pPr>
        <w:spacing w:line="360" w:lineRule="auto"/>
        <w:jc w:val="both"/>
        <w:rPr>
          <w:rFonts w:ascii="Palatino Linotype" w:eastAsia="Palatino Linotype" w:hAnsi="Palatino Linotype" w:cs="Palatino Linotype"/>
          <w:sz w:val="22"/>
          <w:szCs w:val="22"/>
        </w:rPr>
      </w:pPr>
    </w:p>
    <w:p w14:paraId="3798DF23" w14:textId="77777777" w:rsidR="008072E4" w:rsidRPr="001B2E5E" w:rsidRDefault="003F6F28">
      <w:pPr>
        <w:spacing w:line="360" w:lineRule="auto"/>
        <w:ind w:right="49"/>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EB51F26" w14:textId="77777777" w:rsidR="008072E4" w:rsidRPr="001B2E5E" w:rsidRDefault="008072E4">
      <w:pPr>
        <w:spacing w:line="360" w:lineRule="auto"/>
        <w:ind w:right="49"/>
        <w:jc w:val="both"/>
        <w:rPr>
          <w:rFonts w:ascii="Palatino Linotype" w:eastAsia="Palatino Linotype" w:hAnsi="Palatino Linotype" w:cs="Palatino Linotype"/>
          <w:sz w:val="22"/>
          <w:szCs w:val="22"/>
        </w:rPr>
      </w:pPr>
    </w:p>
    <w:p w14:paraId="0578E20E" w14:textId="77777777" w:rsidR="008072E4" w:rsidRPr="001B2E5E" w:rsidRDefault="003F6F28">
      <w:pPr>
        <w:spacing w:line="360" w:lineRule="auto"/>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984E045" w14:textId="77777777" w:rsidR="008072E4" w:rsidRPr="001B2E5E" w:rsidRDefault="008072E4">
      <w:pPr>
        <w:spacing w:line="360" w:lineRule="auto"/>
        <w:ind w:left="567" w:right="616"/>
        <w:jc w:val="both"/>
        <w:rPr>
          <w:rFonts w:ascii="Palatino Linotype" w:eastAsia="Palatino Linotype" w:hAnsi="Palatino Linotype" w:cs="Palatino Linotype"/>
          <w:i/>
          <w:sz w:val="22"/>
          <w:szCs w:val="22"/>
        </w:rPr>
      </w:pPr>
    </w:p>
    <w:p w14:paraId="499C7ED9" w14:textId="77777777" w:rsidR="008072E4" w:rsidRPr="001B2E5E" w:rsidRDefault="003F6F28">
      <w:pPr>
        <w:spacing w:line="360" w:lineRule="auto"/>
        <w:ind w:left="567" w:right="616"/>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w:t>
      </w:r>
      <w:r w:rsidRPr="001B2E5E">
        <w:rPr>
          <w:rFonts w:ascii="Palatino Linotype" w:eastAsia="Palatino Linotype" w:hAnsi="Palatino Linotype" w:cs="Palatino Linotype"/>
          <w:b/>
          <w:i/>
          <w:sz w:val="22"/>
          <w:szCs w:val="22"/>
        </w:rPr>
        <w:t xml:space="preserve">Artículo 3. </w:t>
      </w:r>
      <w:r w:rsidRPr="001B2E5E">
        <w:rPr>
          <w:rFonts w:ascii="Palatino Linotype" w:eastAsia="Palatino Linotype" w:hAnsi="Palatino Linotype" w:cs="Palatino Linotype"/>
          <w:i/>
          <w:sz w:val="22"/>
          <w:szCs w:val="22"/>
        </w:rPr>
        <w:t>Para los efectos de la presente Ley se entenderá por:</w:t>
      </w:r>
    </w:p>
    <w:p w14:paraId="13BB2520" w14:textId="77777777" w:rsidR="008072E4" w:rsidRPr="001B2E5E" w:rsidRDefault="003F6F28">
      <w:pPr>
        <w:spacing w:line="360" w:lineRule="auto"/>
        <w:ind w:left="567" w:right="616"/>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w:t>
      </w:r>
    </w:p>
    <w:p w14:paraId="0D8BEB62" w14:textId="77777777" w:rsidR="008072E4" w:rsidRPr="001B2E5E" w:rsidRDefault="003F6F28">
      <w:pPr>
        <w:spacing w:line="360" w:lineRule="auto"/>
        <w:ind w:left="567" w:right="616"/>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b/>
          <w:i/>
          <w:sz w:val="22"/>
          <w:szCs w:val="22"/>
        </w:rPr>
        <w:t>XI. Documento:</w:t>
      </w:r>
      <w:r w:rsidRPr="001B2E5E">
        <w:rPr>
          <w:rFonts w:ascii="Palatino Linotype" w:eastAsia="Palatino Linotype" w:hAnsi="Palatino Linotype" w:cs="Palatino Linotype"/>
          <w:i/>
          <w:sz w:val="22"/>
          <w:szCs w:val="22"/>
        </w:rPr>
        <w:t xml:space="preserve"> Los expedientes, reportes, estudios, actas</w:t>
      </w:r>
      <w:r w:rsidRPr="001B2E5E">
        <w:rPr>
          <w:rFonts w:ascii="Palatino Linotype" w:eastAsia="Palatino Linotype" w:hAnsi="Palatino Linotype" w:cs="Palatino Linotype"/>
          <w:b/>
          <w:i/>
          <w:sz w:val="22"/>
          <w:szCs w:val="22"/>
        </w:rPr>
        <w:t>,</w:t>
      </w:r>
      <w:r w:rsidRPr="001B2E5E">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w:t>
      </w:r>
      <w:r w:rsidRPr="001B2E5E">
        <w:rPr>
          <w:rFonts w:ascii="Palatino Linotype" w:eastAsia="Palatino Linotype" w:hAnsi="Palatino Linotype" w:cs="Palatino Linotype"/>
          <w:i/>
          <w:sz w:val="22"/>
          <w:szCs w:val="22"/>
        </w:rPr>
        <w:lastRenderedPageBreak/>
        <w:t xml:space="preserve">elaboración. Los documentos podrán estar en cualquier medio, sea escrito, impreso, sonoro, visual, electrónico, informático u holográfico…” </w:t>
      </w:r>
    </w:p>
    <w:p w14:paraId="4BD1CF44" w14:textId="77777777" w:rsidR="008072E4" w:rsidRPr="001B2E5E" w:rsidRDefault="008072E4">
      <w:pPr>
        <w:spacing w:line="360" w:lineRule="auto"/>
        <w:ind w:left="851" w:right="899"/>
        <w:jc w:val="both"/>
        <w:rPr>
          <w:rFonts w:ascii="Palatino Linotype" w:eastAsia="Palatino Linotype" w:hAnsi="Palatino Linotype" w:cs="Palatino Linotype"/>
          <w:sz w:val="22"/>
          <w:szCs w:val="22"/>
        </w:rPr>
      </w:pPr>
    </w:p>
    <w:p w14:paraId="4B09342D" w14:textId="77777777" w:rsidR="008072E4" w:rsidRPr="001B2E5E" w:rsidRDefault="003F6F28">
      <w:pPr>
        <w:spacing w:line="360" w:lineRule="auto"/>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B237F56" w14:textId="77777777" w:rsidR="008072E4" w:rsidRPr="001B2E5E" w:rsidRDefault="008072E4">
      <w:pPr>
        <w:spacing w:line="360" w:lineRule="auto"/>
        <w:jc w:val="both"/>
        <w:rPr>
          <w:rFonts w:ascii="Palatino Linotype" w:eastAsia="Palatino Linotype" w:hAnsi="Palatino Linotype" w:cs="Palatino Linotype"/>
          <w:sz w:val="22"/>
          <w:szCs w:val="22"/>
        </w:rPr>
      </w:pPr>
    </w:p>
    <w:p w14:paraId="5BD8C9AD" w14:textId="77777777" w:rsidR="008072E4" w:rsidRPr="001B2E5E" w:rsidRDefault="003F6F28">
      <w:pPr>
        <w:spacing w:line="360" w:lineRule="auto"/>
        <w:ind w:left="567" w:right="616"/>
        <w:jc w:val="both"/>
        <w:rPr>
          <w:rFonts w:ascii="Palatino Linotype" w:eastAsia="Palatino Linotype" w:hAnsi="Palatino Linotype" w:cs="Palatino Linotype"/>
          <w:b/>
          <w:i/>
          <w:sz w:val="22"/>
          <w:szCs w:val="22"/>
        </w:rPr>
      </w:pPr>
      <w:r w:rsidRPr="001B2E5E">
        <w:rPr>
          <w:rFonts w:ascii="Palatino Linotype" w:eastAsia="Palatino Linotype" w:hAnsi="Palatino Linotype" w:cs="Palatino Linotype"/>
          <w:b/>
          <w:sz w:val="22"/>
          <w:szCs w:val="22"/>
        </w:rPr>
        <w:t>“</w:t>
      </w:r>
      <w:r w:rsidRPr="001B2E5E">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1B2E5E">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6BDDDF9" w14:textId="77777777" w:rsidR="008072E4" w:rsidRPr="001B2E5E" w:rsidRDefault="003F6F28">
      <w:pPr>
        <w:spacing w:line="360" w:lineRule="auto"/>
        <w:ind w:left="567" w:right="616"/>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5CF9510D" w14:textId="77777777" w:rsidR="008072E4" w:rsidRPr="001B2E5E" w:rsidRDefault="003F6F28">
      <w:pPr>
        <w:spacing w:line="360" w:lineRule="auto"/>
        <w:ind w:left="567" w:right="616"/>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63A75762" w14:textId="77777777" w:rsidR="008072E4" w:rsidRPr="001B2E5E" w:rsidRDefault="003F6F28">
      <w:pPr>
        <w:spacing w:line="360" w:lineRule="auto"/>
        <w:ind w:left="567" w:right="616"/>
        <w:jc w:val="both"/>
        <w:rPr>
          <w:rFonts w:ascii="Palatino Linotype" w:eastAsia="Palatino Linotype" w:hAnsi="Palatino Linotype" w:cs="Palatino Linotype"/>
          <w:b/>
          <w:i/>
          <w:sz w:val="22"/>
          <w:szCs w:val="22"/>
        </w:rPr>
      </w:pPr>
      <w:r w:rsidRPr="001B2E5E">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25D02784" w14:textId="77777777" w:rsidR="008072E4" w:rsidRPr="001B2E5E" w:rsidRDefault="003F6F28">
      <w:pPr>
        <w:spacing w:line="360" w:lineRule="auto"/>
        <w:ind w:left="567" w:right="616"/>
        <w:jc w:val="both"/>
        <w:rPr>
          <w:rFonts w:ascii="Palatino Linotype" w:eastAsia="Palatino Linotype" w:hAnsi="Palatino Linotype" w:cs="Palatino Linotype"/>
          <w:b/>
          <w:i/>
          <w:sz w:val="22"/>
          <w:szCs w:val="22"/>
        </w:rPr>
      </w:pPr>
      <w:r w:rsidRPr="001B2E5E">
        <w:rPr>
          <w:rFonts w:ascii="Palatino Linotype" w:eastAsia="Palatino Linotype" w:hAnsi="Palatino Linotype" w:cs="Palatino Linotype"/>
          <w:b/>
          <w:i/>
          <w:sz w:val="22"/>
          <w:szCs w:val="22"/>
        </w:rPr>
        <w:t xml:space="preserve">3) Que se trate de información registrada en cualquier soporte documental, que en ejercicio de las atribuciones conferidas, se encuentre en posesión de los Sujetos Obligados.” </w:t>
      </w:r>
    </w:p>
    <w:p w14:paraId="3D88AF6C" w14:textId="77777777" w:rsidR="008072E4" w:rsidRPr="001B2E5E" w:rsidRDefault="008072E4">
      <w:pPr>
        <w:spacing w:line="360" w:lineRule="auto"/>
        <w:ind w:right="-93"/>
        <w:jc w:val="both"/>
        <w:rPr>
          <w:rFonts w:ascii="Palatino Linotype" w:eastAsia="Palatino Linotype" w:hAnsi="Palatino Linotype" w:cs="Palatino Linotype"/>
          <w:sz w:val="22"/>
          <w:szCs w:val="22"/>
        </w:rPr>
      </w:pPr>
    </w:p>
    <w:p w14:paraId="3FBE8C1D" w14:textId="77777777" w:rsidR="008072E4" w:rsidRPr="001B2E5E" w:rsidRDefault="003F6F28">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bookmarkStart w:id="5" w:name="_heading=h.1t3h5sf" w:colFirst="0" w:colLast="0"/>
      <w:bookmarkEnd w:id="5"/>
      <w:r w:rsidRPr="001B2E5E">
        <w:rPr>
          <w:rFonts w:ascii="Palatino Linotype" w:eastAsia="Palatino Linotype" w:hAnsi="Palatino Linotype" w:cs="Palatino Linotype"/>
          <w:sz w:val="22"/>
          <w:szCs w:val="22"/>
        </w:rPr>
        <w:t>Dicho lo anterior, se procede al análisis de los agravios hechos valer por la parte Recurrente que actualizan la causal de procedencia prevista en la fracción V y XIII del artículo 179 de la Ley de Transparencia y Acceso a la Información del Estado de México y Municipios, relativa a la entrega de información incompleta y la falta, deficiencia o insuficiencia de la fundamentación y/o motivación de la respuesta.</w:t>
      </w:r>
    </w:p>
    <w:p w14:paraId="0C121220" w14:textId="77777777" w:rsidR="008072E4" w:rsidRPr="001B2E5E" w:rsidRDefault="008072E4">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2C4E0415" w14:textId="77777777" w:rsidR="008072E4" w:rsidRPr="001B2E5E" w:rsidRDefault="003F6F28">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t>En principio, resulta conveniente recordar que la pretensión de la parte Recurrente es obtener la siguiente información:</w:t>
      </w:r>
    </w:p>
    <w:p w14:paraId="47FF64C8" w14:textId="77777777" w:rsidR="008072E4" w:rsidRPr="001B2E5E" w:rsidRDefault="008072E4">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2BCA2D9D" w14:textId="77777777" w:rsidR="008072E4" w:rsidRPr="001B2E5E" w:rsidRDefault="003F6F28">
      <w:pPr>
        <w:numPr>
          <w:ilvl w:val="0"/>
          <w:numId w:val="5"/>
        </w:numPr>
        <w:pBdr>
          <w:top w:val="nil"/>
          <w:left w:val="nil"/>
          <w:bottom w:val="nil"/>
          <w:right w:val="nil"/>
          <w:between w:val="nil"/>
        </w:pBdr>
        <w:spacing w:line="360" w:lineRule="auto"/>
        <w:ind w:left="426" w:right="-150"/>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t>De un oficial de la Policía preventiva, saber si los días 6, 7 de junio, 24 de agosto de 2023, se encontraba en funciones y si es así, en qué sector se encontraba o si prestó auxilio en el sector de Tecámac centro;</w:t>
      </w:r>
    </w:p>
    <w:p w14:paraId="0644BB87" w14:textId="77777777" w:rsidR="008072E4" w:rsidRPr="001B2E5E" w:rsidRDefault="003F6F28">
      <w:pPr>
        <w:numPr>
          <w:ilvl w:val="0"/>
          <w:numId w:val="5"/>
        </w:numPr>
        <w:pBdr>
          <w:top w:val="nil"/>
          <w:left w:val="nil"/>
          <w:bottom w:val="nil"/>
          <w:right w:val="nil"/>
          <w:between w:val="nil"/>
        </w:pBdr>
        <w:spacing w:line="360" w:lineRule="auto"/>
        <w:ind w:left="426" w:right="-150"/>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t>Tasa de incidencia de todas las actividades delictivas en el municipio de Tecámac, por el periodo comprendido de enero a diciembre de 2023; y,</w:t>
      </w:r>
    </w:p>
    <w:p w14:paraId="15DAD534" w14:textId="77777777" w:rsidR="008072E4" w:rsidRPr="001B2E5E" w:rsidRDefault="003F6F28">
      <w:pPr>
        <w:numPr>
          <w:ilvl w:val="0"/>
          <w:numId w:val="5"/>
        </w:numPr>
        <w:pBdr>
          <w:top w:val="nil"/>
          <w:left w:val="nil"/>
          <w:bottom w:val="nil"/>
          <w:right w:val="nil"/>
          <w:between w:val="nil"/>
        </w:pBdr>
        <w:spacing w:line="360" w:lineRule="auto"/>
        <w:ind w:left="426" w:right="-150"/>
        <w:jc w:val="both"/>
        <w:rPr>
          <w:rFonts w:ascii="Verdana" w:eastAsia="Verdana" w:hAnsi="Verdana" w:cs="Verdana"/>
          <w:sz w:val="22"/>
          <w:szCs w:val="22"/>
        </w:rPr>
      </w:pPr>
      <w:r w:rsidRPr="001B2E5E">
        <w:rPr>
          <w:rFonts w:ascii="Palatino Linotype" w:eastAsia="Palatino Linotype" w:hAnsi="Palatino Linotype" w:cs="Palatino Linotype"/>
          <w:sz w:val="22"/>
          <w:szCs w:val="22"/>
        </w:rPr>
        <w:t>Número de eventos individuales de victimización delictiva reportados, por el periodo comprendido de enero a diciembre de 2023</w:t>
      </w:r>
      <w:r w:rsidRPr="001B2E5E">
        <w:rPr>
          <w:rFonts w:ascii="Verdana" w:eastAsia="Verdana" w:hAnsi="Verdana" w:cs="Verdana"/>
          <w:sz w:val="22"/>
          <w:szCs w:val="22"/>
        </w:rPr>
        <w:t xml:space="preserve">. </w:t>
      </w:r>
    </w:p>
    <w:p w14:paraId="0731F759" w14:textId="77777777" w:rsidR="008072E4" w:rsidRPr="001B2E5E" w:rsidRDefault="008072E4">
      <w:pPr>
        <w:pBdr>
          <w:top w:val="nil"/>
          <w:left w:val="nil"/>
          <w:bottom w:val="nil"/>
          <w:right w:val="nil"/>
          <w:between w:val="nil"/>
        </w:pBdr>
        <w:spacing w:line="360" w:lineRule="auto"/>
        <w:ind w:right="-150"/>
        <w:jc w:val="both"/>
        <w:rPr>
          <w:rFonts w:ascii="Verdana" w:eastAsia="Verdana" w:hAnsi="Verdana" w:cs="Verdana"/>
          <w:sz w:val="22"/>
          <w:szCs w:val="22"/>
        </w:rPr>
      </w:pPr>
    </w:p>
    <w:p w14:paraId="22EAC170" w14:textId="77777777" w:rsidR="008072E4" w:rsidRPr="001B2E5E" w:rsidRDefault="003F6F2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t xml:space="preserve">En respuesta, el Sujeto Obligado manifestó, a través de la Comisionada de la Guardia Civil de Tecámac que la información solicitada tiene el carácter de reservada, por lo que no se puede entregar ya que su revelación pone en riesgo la vida o integridad de una persona física. </w:t>
      </w:r>
    </w:p>
    <w:p w14:paraId="230BB0B1" w14:textId="77777777" w:rsidR="008072E4" w:rsidRPr="001B2E5E" w:rsidRDefault="008072E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12864953" w14:textId="77777777" w:rsidR="008072E4" w:rsidRPr="001B2E5E" w:rsidRDefault="003F6F2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t>Por lo que corresponde a la incidencia delictiva, es una atribución del ministerio público, indicando que el “</w:t>
      </w:r>
      <w:proofErr w:type="spellStart"/>
      <w:r w:rsidRPr="001B2E5E">
        <w:rPr>
          <w:rFonts w:ascii="Palatino Linotype" w:eastAsia="Palatino Linotype" w:hAnsi="Palatino Linotype" w:cs="Palatino Linotype"/>
          <w:sz w:val="22"/>
          <w:szCs w:val="22"/>
        </w:rPr>
        <w:t>Cet</w:t>
      </w:r>
      <w:proofErr w:type="spellEnd"/>
      <w:r w:rsidRPr="001B2E5E">
        <w:rPr>
          <w:rFonts w:ascii="Palatino Linotype" w:eastAsia="Palatino Linotype" w:hAnsi="Palatino Linotype" w:cs="Palatino Linotype"/>
          <w:sz w:val="22"/>
          <w:szCs w:val="22"/>
        </w:rPr>
        <w:t>” únicamente recibe llamadas de auxilio, no necesariamente se establece como una incidencia delictiva; y, por último, no se localizó ningún dato referente a eventos individuales de victimización delictiva.</w:t>
      </w:r>
    </w:p>
    <w:p w14:paraId="44B7B285" w14:textId="77777777" w:rsidR="008072E4" w:rsidRPr="001B2E5E" w:rsidRDefault="008072E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56486917" w14:textId="77777777" w:rsidR="008072E4" w:rsidRPr="001B2E5E" w:rsidRDefault="003F6F2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t xml:space="preserve">Por su parte, el Recurrente se inconforma únicamente porque considera que el Sujeto Obligado debe de tener una base de datos de las incidencias y registro de los acontecimientos que suceden en el Municipio de Tecámac y, añadió </w:t>
      </w:r>
      <w:r w:rsidRPr="001B2E5E">
        <w:rPr>
          <w:rFonts w:ascii="Palatino Linotype" w:eastAsia="Palatino Linotype" w:hAnsi="Palatino Linotype" w:cs="Palatino Linotype"/>
          <w:i/>
          <w:sz w:val="22"/>
          <w:szCs w:val="22"/>
        </w:rPr>
        <w:t xml:space="preserve">“acaso no llevan un control y no saben ni siquiera que casos han sido remitidos a la Agencia del Ministerio Público.” </w:t>
      </w:r>
      <w:r w:rsidRPr="001B2E5E">
        <w:rPr>
          <w:rFonts w:ascii="Palatino Linotype" w:eastAsia="Palatino Linotype" w:hAnsi="Palatino Linotype" w:cs="Palatino Linotype"/>
          <w:sz w:val="22"/>
          <w:szCs w:val="22"/>
        </w:rPr>
        <w:t>Por consiguiente, del agravio del particular, se aprecia que no se inconforma por el requerimiento relativo a la oficial de la Policía Municipal Preventiva, así como tampoco lo relativo al número de eventos individuales de victimización delictiva reportados, por lo que dichos requerimientos deben declararse atendidos, pues se entiende que la parte Recurrente ésta conforme con la información proporcionada al no contravenir la misma. Sirve de Apoyo a lo anterior, por analogía la Tesis Jurisprudencial Número 3ª./J.7/91, Publicada en el Semanario Judicial de la Federación y su Gaceta bajo el número de registro 174,177, que establece lo siguiente:</w:t>
      </w:r>
    </w:p>
    <w:p w14:paraId="32F469DA" w14:textId="77777777" w:rsidR="008072E4" w:rsidRPr="001B2E5E" w:rsidRDefault="003F6F28">
      <w:pPr>
        <w:spacing w:before="240" w:after="360" w:line="360" w:lineRule="auto"/>
        <w:ind w:left="851" w:right="900"/>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b/>
          <w:i/>
          <w:sz w:val="22"/>
          <w:szCs w:val="22"/>
        </w:rPr>
        <w:t xml:space="preserve">“REVISIÓN EN AMPARO. LOS RESOLUTIVOS NO COMBATIDOS DEBEN DECLARARSE FIRMES. </w:t>
      </w:r>
      <w:r w:rsidRPr="001B2E5E">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658DA982" w14:textId="77777777" w:rsidR="008072E4" w:rsidRPr="001B2E5E" w:rsidRDefault="003F6F28">
      <w:pPr>
        <w:pBdr>
          <w:top w:val="nil"/>
          <w:left w:val="nil"/>
          <w:bottom w:val="nil"/>
          <w:right w:val="nil"/>
          <w:between w:val="nil"/>
        </w:pBdr>
        <w:spacing w:before="240" w:line="360" w:lineRule="auto"/>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t xml:space="preserve">Consecuentemente, se reitera, que la parte de la respuesta que no fue impugnada debe declararse consentida por la parte Recurrente, toda vez que no se realizaron manifestaciones de inconformidad, por lo que no pueden producirse efectos jurídicos tendentes a revocar, </w:t>
      </w:r>
      <w:r w:rsidRPr="001B2E5E">
        <w:rPr>
          <w:rFonts w:ascii="Palatino Linotype" w:eastAsia="Palatino Linotype" w:hAnsi="Palatino Linotype" w:cs="Palatino Linotype"/>
          <w:sz w:val="22"/>
          <w:szCs w:val="22"/>
        </w:rPr>
        <w:lastRenderedPageBreak/>
        <w:t xml:space="preserve">confirmar o modificar el acto reclamado ya que se infiere un consentimiento ante la falta de impugnación eficaz. </w:t>
      </w:r>
    </w:p>
    <w:p w14:paraId="06ACCDDA" w14:textId="77777777" w:rsidR="008072E4" w:rsidRPr="001B2E5E" w:rsidRDefault="008072E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E61CDB5" w14:textId="77777777" w:rsidR="008072E4" w:rsidRPr="001B2E5E" w:rsidRDefault="003F6F2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t>Sirve de sustento a lo anterior por analogía la tesis jurisprudencial número VI.3o.C. J/60, publicada en el Semanario Judicial de la Federación y su Gaceta bajo el número de registro 176,608 que a la letra dice:</w:t>
      </w:r>
    </w:p>
    <w:p w14:paraId="791D645A" w14:textId="77777777" w:rsidR="008072E4" w:rsidRPr="001B2E5E" w:rsidRDefault="008072E4">
      <w:pPr>
        <w:pBdr>
          <w:top w:val="nil"/>
          <w:left w:val="nil"/>
          <w:bottom w:val="nil"/>
          <w:right w:val="nil"/>
          <w:between w:val="nil"/>
        </w:pBdr>
        <w:spacing w:line="360" w:lineRule="auto"/>
        <w:ind w:left="708"/>
        <w:rPr>
          <w:rFonts w:ascii="Palatino Linotype" w:eastAsia="Palatino Linotype" w:hAnsi="Palatino Linotype" w:cs="Palatino Linotype"/>
          <w:sz w:val="22"/>
          <w:szCs w:val="22"/>
        </w:rPr>
      </w:pPr>
    </w:p>
    <w:p w14:paraId="779FDB76" w14:textId="77777777" w:rsidR="008072E4" w:rsidRPr="001B2E5E" w:rsidRDefault="003F6F2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b/>
          <w:i/>
          <w:smallCaps/>
          <w:sz w:val="22"/>
          <w:szCs w:val="22"/>
        </w:rPr>
        <w:t xml:space="preserve">“ACTOS CONSENTIDOS. SON LOS QUE NO SE IMPUGNAN MEDIANTE EL RECURSO IDÓNEO. </w:t>
      </w:r>
      <w:r w:rsidRPr="001B2E5E">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AB326FE" w14:textId="77777777" w:rsidR="008072E4" w:rsidRPr="001B2E5E" w:rsidRDefault="008072E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5EBB21E" w14:textId="77777777" w:rsidR="008072E4" w:rsidRPr="001B2E5E" w:rsidRDefault="003F6F2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t>Por lo expuesto, se determina que el asunto en cuestión se ceñirá a analizar los puntos controvertidos por el Recurrente, es decir, a la información relativa a la tasa de incidencia de todas las actividades delictivas en el Municipio de Tecámac del uno de enero al treinta y uno de diciembre de dos mil veintitrés.</w:t>
      </w:r>
    </w:p>
    <w:p w14:paraId="4E1D0C8D" w14:textId="77777777" w:rsidR="008072E4" w:rsidRPr="001B2E5E" w:rsidRDefault="008072E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B776D64" w14:textId="77777777" w:rsidR="008072E4" w:rsidRPr="001B2E5E" w:rsidRDefault="003F6F28">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trike/>
          <w:sz w:val="22"/>
          <w:szCs w:val="22"/>
        </w:rPr>
      </w:pPr>
      <w:r w:rsidRPr="001B2E5E">
        <w:rPr>
          <w:rFonts w:ascii="Palatino Linotype" w:eastAsia="Palatino Linotype" w:hAnsi="Palatino Linotype" w:cs="Palatino Linotype"/>
          <w:sz w:val="22"/>
          <w:szCs w:val="22"/>
        </w:rPr>
        <w:t xml:space="preserve">Por lo que hace a esta parte de la solicitud, no pasa desapercibido para este Órgano Garante que, si bien la información proporcionada en respuesta, fue remitida por la Comisionada de la Guardia Civil del Ayuntamiento de Tecámac, mediante la cual, refirió que es una facultad exclusiva de los Ministerios Públicos, indicando que sólo se reciben llamadas de auxilio y no necesariamente se establece como una incidencia delictiva. </w:t>
      </w:r>
    </w:p>
    <w:p w14:paraId="3FAC6BF2" w14:textId="77777777" w:rsidR="008072E4" w:rsidRPr="001B2E5E" w:rsidRDefault="008072E4">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p>
    <w:p w14:paraId="54B5FBDA" w14:textId="77777777" w:rsidR="008072E4" w:rsidRPr="001B2E5E" w:rsidRDefault="003F6F28">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t xml:space="preserve">Derivado de la naturaleza de la información solicitada, es oportuno traer a colación los artículos 5, fracción II, XVII, 7, fracción IX, 19, fracción I, 39, inciso b), fracción VI y XI, 118 </w:t>
      </w:r>
      <w:r w:rsidRPr="001B2E5E">
        <w:rPr>
          <w:rFonts w:ascii="Palatino Linotype" w:eastAsia="Palatino Linotype" w:hAnsi="Palatino Linotype" w:cs="Palatino Linotype"/>
          <w:sz w:val="22"/>
          <w:szCs w:val="22"/>
        </w:rPr>
        <w:lastRenderedPageBreak/>
        <w:t xml:space="preserve">de la Ley General del Sistema Nacional de Seguridad Pública, los numerales 125, fracción VIII y 142 de la Ley Orgánica Municipal del Estado de México; disposiciones legales que disponen a la literalidad lo siguiente:  </w:t>
      </w:r>
    </w:p>
    <w:p w14:paraId="648BCB56" w14:textId="77777777" w:rsidR="008072E4" w:rsidRPr="001B2E5E" w:rsidRDefault="008072E4">
      <w:pPr>
        <w:spacing w:line="360" w:lineRule="auto"/>
        <w:jc w:val="both"/>
        <w:rPr>
          <w:rFonts w:ascii="Palatino Linotype" w:eastAsia="Palatino Linotype" w:hAnsi="Palatino Linotype" w:cs="Palatino Linotype"/>
          <w:sz w:val="22"/>
          <w:szCs w:val="22"/>
        </w:rPr>
      </w:pPr>
    </w:p>
    <w:p w14:paraId="620486B8" w14:textId="77777777" w:rsidR="008072E4" w:rsidRPr="001B2E5E" w:rsidRDefault="003F6F28">
      <w:pPr>
        <w:spacing w:line="360" w:lineRule="auto"/>
        <w:ind w:left="850" w:right="899"/>
        <w:jc w:val="both"/>
        <w:rPr>
          <w:rFonts w:ascii="Palatino Linotype" w:eastAsia="Palatino Linotype" w:hAnsi="Palatino Linotype" w:cs="Palatino Linotype"/>
          <w:b/>
          <w:i/>
          <w:sz w:val="22"/>
          <w:szCs w:val="22"/>
        </w:rPr>
      </w:pPr>
      <w:r w:rsidRPr="001B2E5E">
        <w:rPr>
          <w:rFonts w:ascii="Palatino Linotype" w:eastAsia="Palatino Linotype" w:hAnsi="Palatino Linotype" w:cs="Palatino Linotype"/>
          <w:b/>
          <w:i/>
          <w:sz w:val="22"/>
          <w:szCs w:val="22"/>
        </w:rPr>
        <w:t>Ley General del Sistema Nacional de Seguridad Pública</w:t>
      </w:r>
    </w:p>
    <w:p w14:paraId="62B130EF" w14:textId="77777777" w:rsidR="008072E4" w:rsidRPr="001B2E5E" w:rsidRDefault="003F6F28">
      <w:pPr>
        <w:spacing w:line="360" w:lineRule="auto"/>
        <w:ind w:left="850" w:right="899"/>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b/>
          <w:i/>
          <w:sz w:val="22"/>
          <w:szCs w:val="22"/>
        </w:rPr>
        <w:t>“Artículo 5</w:t>
      </w:r>
      <w:r w:rsidRPr="001B2E5E">
        <w:rPr>
          <w:rFonts w:ascii="Palatino Linotype" w:eastAsia="Palatino Linotype" w:hAnsi="Palatino Linotype" w:cs="Palatino Linotype"/>
          <w:i/>
          <w:sz w:val="22"/>
          <w:szCs w:val="22"/>
        </w:rPr>
        <w:t>.- Para los efectos de esta Ley, se entenderá por:</w:t>
      </w:r>
    </w:p>
    <w:p w14:paraId="42AF36D6" w14:textId="77777777" w:rsidR="008072E4" w:rsidRPr="001B2E5E" w:rsidRDefault="003F6F28">
      <w:pPr>
        <w:spacing w:line="360" w:lineRule="auto"/>
        <w:ind w:left="850" w:right="899"/>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I…</w:t>
      </w:r>
    </w:p>
    <w:p w14:paraId="56D78CCD" w14:textId="77777777" w:rsidR="008072E4" w:rsidRPr="001B2E5E" w:rsidRDefault="003F6F28">
      <w:pPr>
        <w:spacing w:line="360" w:lineRule="auto"/>
        <w:ind w:left="850" w:right="899"/>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b/>
          <w:i/>
          <w:sz w:val="22"/>
          <w:szCs w:val="22"/>
        </w:rPr>
        <w:t>II. Bases de Datos</w:t>
      </w:r>
      <w:r w:rsidRPr="001B2E5E">
        <w:rPr>
          <w:rFonts w:ascii="Palatino Linotype" w:eastAsia="Palatino Linotype" w:hAnsi="Palatino Linotype" w:cs="Palatino Linotype"/>
          <w:i/>
          <w:sz w:val="22"/>
          <w:szCs w:val="22"/>
        </w:rPr>
        <w:t>: Las bases de datos que constituyen subconjuntos sistematizados de la información contenida en Registros Nacionales en materias relativas a detenciones, armamento, equipo y personal de seguridad pública, medidas cautelares, soluciones alternas y formas de terminación anticipada, así como las bases de datos del Ministerio Público y las instituciones policiales de los tres órdenes de gobierno relativas a la información criminalística, huellas dactilares de personas sujetas a un proceso o investigación penal, teléfonos celulares, personas sentenciadas y servicios de seguridad privada, así como las demás necesarias para la prevención, investigación y persecución de los delitos. El conjunto de bases de datos conformará el Sistema Nacional de Información;</w:t>
      </w:r>
    </w:p>
    <w:p w14:paraId="2641853E" w14:textId="77777777" w:rsidR="008072E4" w:rsidRPr="001B2E5E" w:rsidRDefault="003F6F28">
      <w:pPr>
        <w:spacing w:line="360" w:lineRule="auto"/>
        <w:ind w:left="850" w:right="899"/>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III a XVI…</w:t>
      </w:r>
    </w:p>
    <w:p w14:paraId="3AA15D29" w14:textId="77777777" w:rsidR="008072E4" w:rsidRPr="001B2E5E" w:rsidRDefault="003F6F28">
      <w:pPr>
        <w:spacing w:line="360" w:lineRule="auto"/>
        <w:ind w:left="850" w:right="899"/>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b/>
          <w:i/>
          <w:sz w:val="22"/>
          <w:szCs w:val="22"/>
        </w:rPr>
        <w:t>XVII. Sistema Nacional de Información</w:t>
      </w:r>
      <w:r w:rsidRPr="001B2E5E">
        <w:rPr>
          <w:rFonts w:ascii="Palatino Linotype" w:eastAsia="Palatino Linotype" w:hAnsi="Palatino Linotype" w:cs="Palatino Linotype"/>
          <w:i/>
          <w:sz w:val="22"/>
          <w:szCs w:val="22"/>
        </w:rPr>
        <w:t>: al Sistema Nacional de Información en Seguridad Pública, el cual constituye el conjunto integrado, organizado y sistematizado de las Bases de Datos. Está integrado por elementos metodológicos y procedimentales que permiten a las Instituciones de Seguridad Pública su consulta e interconexión para el desempeño de sus funciones.</w:t>
      </w:r>
    </w:p>
    <w:p w14:paraId="5B7FCC3A" w14:textId="77777777" w:rsidR="008072E4" w:rsidRPr="001B2E5E" w:rsidRDefault="008072E4">
      <w:pPr>
        <w:spacing w:line="360" w:lineRule="auto"/>
        <w:ind w:left="850" w:right="899"/>
        <w:jc w:val="both"/>
        <w:rPr>
          <w:rFonts w:ascii="Palatino Linotype" w:eastAsia="Palatino Linotype" w:hAnsi="Palatino Linotype" w:cs="Palatino Linotype"/>
          <w:i/>
          <w:sz w:val="22"/>
          <w:szCs w:val="22"/>
        </w:rPr>
      </w:pPr>
    </w:p>
    <w:p w14:paraId="50CAC135" w14:textId="77777777" w:rsidR="008072E4" w:rsidRPr="001B2E5E" w:rsidRDefault="003F6F28">
      <w:pPr>
        <w:spacing w:line="360" w:lineRule="auto"/>
        <w:ind w:left="850" w:right="899"/>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b/>
          <w:i/>
          <w:sz w:val="22"/>
          <w:szCs w:val="22"/>
        </w:rPr>
        <w:t>Artículo 7.-</w:t>
      </w:r>
      <w:r w:rsidRPr="001B2E5E">
        <w:rPr>
          <w:rFonts w:ascii="Palatino Linotype" w:eastAsia="Palatino Linotype" w:hAnsi="Palatino Linotype" w:cs="Palatino Linotype"/>
          <w:i/>
          <w:sz w:val="22"/>
          <w:szCs w:val="22"/>
        </w:rPr>
        <w:t xml:space="preserve"> Conforme a las bases que establece el artículo 21 de la Constitución Política de los Estados Unidos Mexicanos, las Instituciones de Seguridad Pública </w:t>
      </w:r>
      <w:r w:rsidRPr="001B2E5E">
        <w:rPr>
          <w:rFonts w:ascii="Palatino Linotype" w:eastAsia="Palatino Linotype" w:hAnsi="Palatino Linotype" w:cs="Palatino Linotype"/>
          <w:i/>
          <w:sz w:val="22"/>
          <w:szCs w:val="22"/>
        </w:rPr>
        <w:lastRenderedPageBreak/>
        <w:t>de la Federación, las entidades federativas y los Municipios, en el ámbito de su competencia y en los términos de esta Ley, deberán coordinarse para:</w:t>
      </w:r>
    </w:p>
    <w:p w14:paraId="0D62FCED" w14:textId="77777777" w:rsidR="008072E4" w:rsidRPr="001B2E5E" w:rsidRDefault="003F6F28">
      <w:pPr>
        <w:spacing w:line="360" w:lineRule="auto"/>
        <w:ind w:left="850" w:right="899"/>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I a VIII…</w:t>
      </w:r>
    </w:p>
    <w:p w14:paraId="298DCE71" w14:textId="77777777" w:rsidR="008072E4" w:rsidRPr="001B2E5E" w:rsidRDefault="003F6F28">
      <w:pPr>
        <w:spacing w:line="360" w:lineRule="auto"/>
        <w:ind w:left="850" w:right="899"/>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 xml:space="preserve">IX. Generar, compartir, intercambiar, ingresar, almacenar y proveer información, archivos y contenidos a las Bases de Datos que integran el Sistema Nacional de Información, de conformidad con lo dispuesto en la legislación en la materia. </w:t>
      </w:r>
    </w:p>
    <w:p w14:paraId="40357D52" w14:textId="77777777" w:rsidR="008072E4" w:rsidRPr="001B2E5E" w:rsidRDefault="003F6F28">
      <w:pPr>
        <w:spacing w:line="360" w:lineRule="auto"/>
        <w:ind w:left="850" w:right="899"/>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Tratándose de manejo de datos que provengan del Registro Nacional de Detenciones se atendrá a lo dispuesto en la Ley Nacional del Registro de Detenciones;</w:t>
      </w:r>
    </w:p>
    <w:p w14:paraId="5F159C70" w14:textId="77777777" w:rsidR="008072E4" w:rsidRPr="001B2E5E" w:rsidRDefault="003F6F28">
      <w:pPr>
        <w:spacing w:line="360" w:lineRule="auto"/>
        <w:ind w:left="850" w:right="899"/>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X a XVI…</w:t>
      </w:r>
    </w:p>
    <w:p w14:paraId="5B1F52DF" w14:textId="77777777" w:rsidR="008072E4" w:rsidRPr="001B2E5E" w:rsidRDefault="008072E4">
      <w:pPr>
        <w:spacing w:line="360" w:lineRule="auto"/>
        <w:ind w:left="850" w:right="899"/>
        <w:jc w:val="both"/>
        <w:rPr>
          <w:rFonts w:ascii="Palatino Linotype" w:eastAsia="Palatino Linotype" w:hAnsi="Palatino Linotype" w:cs="Palatino Linotype"/>
          <w:i/>
          <w:sz w:val="22"/>
          <w:szCs w:val="22"/>
        </w:rPr>
      </w:pPr>
    </w:p>
    <w:p w14:paraId="5BBB1B36" w14:textId="77777777" w:rsidR="008072E4" w:rsidRPr="001B2E5E" w:rsidRDefault="003F6F28">
      <w:pPr>
        <w:spacing w:line="360" w:lineRule="auto"/>
        <w:ind w:left="850" w:right="899"/>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b/>
          <w:i/>
          <w:sz w:val="22"/>
          <w:szCs w:val="22"/>
        </w:rPr>
        <w:t>Artículo 19.-</w:t>
      </w:r>
      <w:r w:rsidRPr="001B2E5E">
        <w:rPr>
          <w:rFonts w:ascii="Palatino Linotype" w:eastAsia="Palatino Linotype" w:hAnsi="Palatino Linotype" w:cs="Palatino Linotype"/>
          <w:i/>
          <w:sz w:val="22"/>
          <w:szCs w:val="22"/>
        </w:rPr>
        <w:t xml:space="preserve"> El Centro Nacional de Información será el responsable de regular el Sistema Nacional de Información y tendrá, entre otras, las siguientes atribuciones: </w:t>
      </w:r>
    </w:p>
    <w:p w14:paraId="340FDD88" w14:textId="77777777" w:rsidR="008072E4" w:rsidRPr="001B2E5E" w:rsidRDefault="003F6F28">
      <w:pPr>
        <w:spacing w:line="360" w:lineRule="auto"/>
        <w:ind w:left="850" w:right="899"/>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I. Determinar los criterios técnicos y de homologación de las Bases de Datos que conforman el Sistema Nacional de Información;</w:t>
      </w:r>
    </w:p>
    <w:p w14:paraId="5FB267FF" w14:textId="77777777" w:rsidR="008072E4" w:rsidRPr="001B2E5E" w:rsidRDefault="003F6F28">
      <w:pPr>
        <w:spacing w:line="360" w:lineRule="auto"/>
        <w:ind w:left="850" w:right="899"/>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II a VI…</w:t>
      </w:r>
    </w:p>
    <w:p w14:paraId="5A4C8750" w14:textId="77777777" w:rsidR="008072E4" w:rsidRPr="001B2E5E" w:rsidRDefault="008072E4">
      <w:pPr>
        <w:spacing w:line="360" w:lineRule="auto"/>
        <w:ind w:left="850" w:right="899"/>
        <w:jc w:val="both"/>
        <w:rPr>
          <w:rFonts w:ascii="Palatino Linotype" w:eastAsia="Palatino Linotype" w:hAnsi="Palatino Linotype" w:cs="Palatino Linotype"/>
          <w:i/>
          <w:sz w:val="22"/>
          <w:szCs w:val="22"/>
        </w:rPr>
      </w:pPr>
    </w:p>
    <w:p w14:paraId="44EFF48F" w14:textId="77777777" w:rsidR="008072E4" w:rsidRPr="001B2E5E" w:rsidRDefault="003F6F28">
      <w:pPr>
        <w:spacing w:line="360" w:lineRule="auto"/>
        <w:ind w:left="850" w:right="899"/>
        <w:jc w:val="both"/>
        <w:rPr>
          <w:rFonts w:ascii="Palatino Linotype" w:eastAsia="Palatino Linotype" w:hAnsi="Palatino Linotype" w:cs="Palatino Linotype"/>
          <w:b/>
          <w:i/>
          <w:sz w:val="22"/>
          <w:szCs w:val="22"/>
          <w:u w:val="single"/>
        </w:rPr>
      </w:pPr>
      <w:r w:rsidRPr="001B2E5E">
        <w:rPr>
          <w:rFonts w:ascii="Palatino Linotype" w:eastAsia="Palatino Linotype" w:hAnsi="Palatino Linotype" w:cs="Palatino Linotype"/>
          <w:b/>
          <w:i/>
          <w:sz w:val="22"/>
          <w:szCs w:val="22"/>
          <w:u w:val="single"/>
        </w:rPr>
        <w:t>Artículo 39.- La concurrencia de facultades entre la Federación, las entidades federativas y los Municipios, quedará distribuida conforme a lo siguiente:</w:t>
      </w:r>
    </w:p>
    <w:p w14:paraId="4485EC63" w14:textId="77777777" w:rsidR="008072E4" w:rsidRPr="001B2E5E" w:rsidRDefault="003F6F28">
      <w:pPr>
        <w:spacing w:line="360" w:lineRule="auto"/>
        <w:ind w:left="850" w:right="899"/>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A…</w:t>
      </w:r>
    </w:p>
    <w:p w14:paraId="60CA7505" w14:textId="77777777" w:rsidR="008072E4" w:rsidRPr="001B2E5E" w:rsidRDefault="003F6F28">
      <w:pPr>
        <w:spacing w:line="360" w:lineRule="auto"/>
        <w:ind w:left="850" w:right="899"/>
        <w:jc w:val="both"/>
        <w:rPr>
          <w:rFonts w:ascii="Palatino Linotype" w:eastAsia="Palatino Linotype" w:hAnsi="Palatino Linotype" w:cs="Palatino Linotype"/>
          <w:b/>
          <w:i/>
          <w:sz w:val="22"/>
          <w:szCs w:val="22"/>
          <w:u w:val="single"/>
        </w:rPr>
      </w:pPr>
      <w:r w:rsidRPr="001B2E5E">
        <w:rPr>
          <w:rFonts w:ascii="Palatino Linotype" w:eastAsia="Palatino Linotype" w:hAnsi="Palatino Linotype" w:cs="Palatino Linotype"/>
          <w:b/>
          <w:i/>
          <w:sz w:val="22"/>
          <w:szCs w:val="22"/>
          <w:u w:val="single"/>
        </w:rPr>
        <w:t>B. Corresponde a la Federación, a las entidades federativas y a los Municipios, en el ámbito de sus respectivas competencias:</w:t>
      </w:r>
    </w:p>
    <w:p w14:paraId="51F81F9A" w14:textId="77777777" w:rsidR="008072E4" w:rsidRPr="001B2E5E" w:rsidRDefault="003F6F28">
      <w:pPr>
        <w:spacing w:line="360" w:lineRule="auto"/>
        <w:ind w:left="850" w:right="899"/>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I a V…</w:t>
      </w:r>
    </w:p>
    <w:p w14:paraId="36E1282B" w14:textId="77777777" w:rsidR="008072E4" w:rsidRPr="001B2E5E" w:rsidRDefault="003F6F28">
      <w:pPr>
        <w:spacing w:line="360" w:lineRule="auto"/>
        <w:ind w:left="850" w:right="899"/>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lastRenderedPageBreak/>
        <w:t>VI. Designar a un responsable del control, suministro y adecuado manejo de la información a que se refiere esta Ley;</w:t>
      </w:r>
    </w:p>
    <w:p w14:paraId="76CECF90" w14:textId="77777777" w:rsidR="008072E4" w:rsidRPr="001B2E5E" w:rsidRDefault="003F6F28">
      <w:pPr>
        <w:spacing w:line="360" w:lineRule="auto"/>
        <w:ind w:left="850" w:right="899"/>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XII a X…</w:t>
      </w:r>
    </w:p>
    <w:p w14:paraId="76FDAE43" w14:textId="77777777" w:rsidR="008072E4" w:rsidRPr="001B2E5E" w:rsidRDefault="003F6F28">
      <w:pPr>
        <w:spacing w:line="360" w:lineRule="auto"/>
        <w:ind w:left="850" w:right="899"/>
        <w:jc w:val="both"/>
        <w:rPr>
          <w:rFonts w:ascii="Palatino Linotype" w:eastAsia="Palatino Linotype" w:hAnsi="Palatino Linotype" w:cs="Palatino Linotype"/>
          <w:b/>
          <w:i/>
          <w:sz w:val="22"/>
          <w:szCs w:val="22"/>
          <w:u w:val="single"/>
        </w:rPr>
      </w:pPr>
      <w:r w:rsidRPr="001B2E5E">
        <w:rPr>
          <w:rFonts w:ascii="Palatino Linotype" w:eastAsia="Palatino Linotype" w:hAnsi="Palatino Linotype" w:cs="Palatino Linotype"/>
          <w:b/>
          <w:i/>
          <w:sz w:val="22"/>
          <w:szCs w:val="22"/>
          <w:u w:val="single"/>
        </w:rPr>
        <w:t xml:space="preserve">XI. Integrar y consultar la información relativa a la operación y Desarrollo Policial para el registro y seguimiento en el Sistema Nacional de Información; </w:t>
      </w:r>
    </w:p>
    <w:p w14:paraId="7D13305B" w14:textId="77777777" w:rsidR="008072E4" w:rsidRPr="001B2E5E" w:rsidRDefault="003F6F28">
      <w:pPr>
        <w:spacing w:line="360" w:lineRule="auto"/>
        <w:ind w:left="850" w:right="899"/>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XII a XV…</w:t>
      </w:r>
    </w:p>
    <w:p w14:paraId="6433022D" w14:textId="77777777" w:rsidR="008072E4" w:rsidRPr="001B2E5E" w:rsidRDefault="008072E4">
      <w:pPr>
        <w:spacing w:line="360" w:lineRule="auto"/>
        <w:ind w:left="850" w:right="899"/>
        <w:jc w:val="both"/>
        <w:rPr>
          <w:rFonts w:ascii="Palatino Linotype" w:eastAsia="Palatino Linotype" w:hAnsi="Palatino Linotype" w:cs="Palatino Linotype"/>
          <w:i/>
          <w:sz w:val="22"/>
          <w:szCs w:val="22"/>
        </w:rPr>
      </w:pPr>
    </w:p>
    <w:p w14:paraId="13E76093" w14:textId="77777777" w:rsidR="008072E4" w:rsidRPr="001B2E5E" w:rsidRDefault="003F6F28">
      <w:pPr>
        <w:spacing w:line="360" w:lineRule="auto"/>
        <w:ind w:left="850" w:right="899"/>
        <w:jc w:val="both"/>
        <w:rPr>
          <w:rFonts w:ascii="Palatino Linotype" w:eastAsia="Palatino Linotype" w:hAnsi="Palatino Linotype" w:cs="Palatino Linotype"/>
          <w:b/>
          <w:i/>
          <w:sz w:val="22"/>
          <w:szCs w:val="22"/>
        </w:rPr>
      </w:pPr>
      <w:r w:rsidRPr="001B2E5E">
        <w:rPr>
          <w:rFonts w:ascii="Palatino Linotype" w:eastAsia="Palatino Linotype" w:hAnsi="Palatino Linotype" w:cs="Palatino Linotype"/>
          <w:b/>
          <w:i/>
          <w:sz w:val="22"/>
          <w:szCs w:val="22"/>
        </w:rPr>
        <w:t>Artículo 43.-</w:t>
      </w:r>
      <w:r w:rsidRPr="001B2E5E">
        <w:rPr>
          <w:rFonts w:ascii="Palatino Linotype" w:eastAsia="Palatino Linotype" w:hAnsi="Palatino Linotype" w:cs="Palatino Linotype"/>
          <w:i/>
          <w:sz w:val="22"/>
          <w:szCs w:val="22"/>
        </w:rPr>
        <w:t xml:space="preserve"> La Federación y las entidades federativas establecerán en las disposiciones legales correspondientes que </w:t>
      </w:r>
      <w:r w:rsidRPr="001B2E5E">
        <w:rPr>
          <w:rFonts w:ascii="Palatino Linotype" w:eastAsia="Palatino Linotype" w:hAnsi="Palatino Linotype" w:cs="Palatino Linotype"/>
          <w:b/>
          <w:i/>
          <w:sz w:val="22"/>
          <w:szCs w:val="22"/>
        </w:rPr>
        <w:t>los integrantes de las Instituciones Policiales deberán llenar un Informe Policial Homologado que contendrá, cuando menos, los siguientes datos:</w:t>
      </w:r>
    </w:p>
    <w:p w14:paraId="2E70B448" w14:textId="77777777" w:rsidR="008072E4" w:rsidRPr="001B2E5E" w:rsidRDefault="003F6F28">
      <w:pPr>
        <w:spacing w:line="360" w:lineRule="auto"/>
        <w:ind w:left="850" w:right="899"/>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I. El área que lo emite;</w:t>
      </w:r>
    </w:p>
    <w:p w14:paraId="34C0EF92" w14:textId="77777777" w:rsidR="008072E4" w:rsidRPr="001B2E5E" w:rsidRDefault="003F6F28">
      <w:pPr>
        <w:spacing w:line="360" w:lineRule="auto"/>
        <w:ind w:left="850" w:right="899"/>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II. El usuario capturista;</w:t>
      </w:r>
    </w:p>
    <w:p w14:paraId="68B37D77" w14:textId="77777777" w:rsidR="008072E4" w:rsidRPr="001B2E5E" w:rsidRDefault="003F6F28">
      <w:pPr>
        <w:spacing w:line="360" w:lineRule="auto"/>
        <w:ind w:left="850" w:right="899"/>
        <w:jc w:val="both"/>
        <w:rPr>
          <w:rFonts w:ascii="Palatino Linotype" w:eastAsia="Palatino Linotype" w:hAnsi="Palatino Linotype" w:cs="Palatino Linotype"/>
          <w:b/>
          <w:i/>
          <w:sz w:val="22"/>
          <w:szCs w:val="22"/>
        </w:rPr>
      </w:pPr>
      <w:r w:rsidRPr="001B2E5E">
        <w:rPr>
          <w:rFonts w:ascii="Palatino Linotype" w:eastAsia="Palatino Linotype" w:hAnsi="Palatino Linotype" w:cs="Palatino Linotype"/>
          <w:b/>
          <w:i/>
          <w:sz w:val="22"/>
          <w:szCs w:val="22"/>
        </w:rPr>
        <w:t>III. Los Datos Generales de registro;</w:t>
      </w:r>
    </w:p>
    <w:p w14:paraId="48E13EBB" w14:textId="77777777" w:rsidR="008072E4" w:rsidRPr="001B2E5E" w:rsidRDefault="003F6F28">
      <w:pPr>
        <w:spacing w:line="360" w:lineRule="auto"/>
        <w:ind w:left="850" w:right="899"/>
        <w:jc w:val="both"/>
        <w:rPr>
          <w:rFonts w:ascii="Palatino Linotype" w:eastAsia="Palatino Linotype" w:hAnsi="Palatino Linotype" w:cs="Palatino Linotype"/>
          <w:b/>
          <w:i/>
          <w:sz w:val="22"/>
          <w:szCs w:val="22"/>
        </w:rPr>
      </w:pPr>
      <w:r w:rsidRPr="001B2E5E">
        <w:rPr>
          <w:rFonts w:ascii="Palatino Linotype" w:eastAsia="Palatino Linotype" w:hAnsi="Palatino Linotype" w:cs="Palatino Linotype"/>
          <w:b/>
          <w:i/>
          <w:sz w:val="22"/>
          <w:szCs w:val="22"/>
        </w:rPr>
        <w:t>IV. Motivo, que se clasifica en;</w:t>
      </w:r>
    </w:p>
    <w:p w14:paraId="0430797C" w14:textId="77777777" w:rsidR="008072E4" w:rsidRPr="001B2E5E" w:rsidRDefault="003F6F28">
      <w:pPr>
        <w:spacing w:line="360" w:lineRule="auto"/>
        <w:ind w:left="850" w:right="899"/>
        <w:jc w:val="both"/>
        <w:rPr>
          <w:rFonts w:ascii="Palatino Linotype" w:eastAsia="Palatino Linotype" w:hAnsi="Palatino Linotype" w:cs="Palatino Linotype"/>
          <w:b/>
          <w:i/>
          <w:sz w:val="22"/>
          <w:szCs w:val="22"/>
        </w:rPr>
      </w:pPr>
      <w:r w:rsidRPr="001B2E5E">
        <w:rPr>
          <w:rFonts w:ascii="Palatino Linotype" w:eastAsia="Palatino Linotype" w:hAnsi="Palatino Linotype" w:cs="Palatino Linotype"/>
          <w:b/>
          <w:i/>
          <w:sz w:val="22"/>
          <w:szCs w:val="22"/>
        </w:rPr>
        <w:t>a) Tipo de evento, y</w:t>
      </w:r>
    </w:p>
    <w:p w14:paraId="52B12C97" w14:textId="77777777" w:rsidR="008072E4" w:rsidRPr="001B2E5E" w:rsidRDefault="003F6F28">
      <w:pPr>
        <w:spacing w:line="360" w:lineRule="auto"/>
        <w:ind w:left="850" w:right="899"/>
        <w:jc w:val="both"/>
        <w:rPr>
          <w:rFonts w:ascii="Palatino Linotype" w:eastAsia="Palatino Linotype" w:hAnsi="Palatino Linotype" w:cs="Palatino Linotype"/>
          <w:b/>
          <w:i/>
          <w:sz w:val="22"/>
          <w:szCs w:val="22"/>
        </w:rPr>
      </w:pPr>
      <w:r w:rsidRPr="001B2E5E">
        <w:rPr>
          <w:rFonts w:ascii="Palatino Linotype" w:eastAsia="Palatino Linotype" w:hAnsi="Palatino Linotype" w:cs="Palatino Linotype"/>
          <w:b/>
          <w:i/>
          <w:sz w:val="22"/>
          <w:szCs w:val="22"/>
        </w:rPr>
        <w:t>b) Subtipo de evento.</w:t>
      </w:r>
    </w:p>
    <w:p w14:paraId="72086C94" w14:textId="77777777" w:rsidR="008072E4" w:rsidRPr="001B2E5E" w:rsidRDefault="003F6F28">
      <w:pPr>
        <w:spacing w:line="360" w:lineRule="auto"/>
        <w:ind w:left="850" w:right="899"/>
        <w:jc w:val="both"/>
        <w:rPr>
          <w:rFonts w:ascii="Palatino Linotype" w:eastAsia="Palatino Linotype" w:hAnsi="Palatino Linotype" w:cs="Palatino Linotype"/>
          <w:b/>
          <w:i/>
          <w:sz w:val="22"/>
          <w:szCs w:val="22"/>
        </w:rPr>
      </w:pPr>
      <w:r w:rsidRPr="001B2E5E">
        <w:rPr>
          <w:rFonts w:ascii="Palatino Linotype" w:eastAsia="Palatino Linotype" w:hAnsi="Palatino Linotype" w:cs="Palatino Linotype"/>
          <w:b/>
          <w:i/>
          <w:sz w:val="22"/>
          <w:szCs w:val="22"/>
        </w:rPr>
        <w:t>V. La ubicación del evento y en su caso, los caminos;</w:t>
      </w:r>
    </w:p>
    <w:p w14:paraId="483A4DCB" w14:textId="77777777" w:rsidR="008072E4" w:rsidRPr="001B2E5E" w:rsidRDefault="003F6F28">
      <w:pPr>
        <w:spacing w:line="360" w:lineRule="auto"/>
        <w:ind w:left="850" w:right="899"/>
        <w:jc w:val="both"/>
        <w:rPr>
          <w:rFonts w:ascii="Palatino Linotype" w:eastAsia="Palatino Linotype" w:hAnsi="Palatino Linotype" w:cs="Palatino Linotype"/>
          <w:b/>
          <w:i/>
          <w:sz w:val="22"/>
          <w:szCs w:val="22"/>
        </w:rPr>
      </w:pPr>
      <w:r w:rsidRPr="001B2E5E">
        <w:rPr>
          <w:rFonts w:ascii="Palatino Linotype" w:eastAsia="Palatino Linotype" w:hAnsi="Palatino Linotype" w:cs="Palatino Linotype"/>
          <w:b/>
          <w:i/>
          <w:sz w:val="22"/>
          <w:szCs w:val="22"/>
        </w:rPr>
        <w:t>VI. La descripción de hechos, que deberá detallar modo, tiempo y lugar, entre otros datos.</w:t>
      </w:r>
    </w:p>
    <w:p w14:paraId="7FC75177" w14:textId="77777777" w:rsidR="008072E4" w:rsidRPr="001B2E5E" w:rsidRDefault="003F6F28">
      <w:pPr>
        <w:spacing w:line="360" w:lineRule="auto"/>
        <w:ind w:left="850" w:right="899"/>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VII. Entrevistas realizadas, y</w:t>
      </w:r>
    </w:p>
    <w:p w14:paraId="1C8D3194" w14:textId="77777777" w:rsidR="008072E4" w:rsidRPr="001B2E5E" w:rsidRDefault="003F6F28">
      <w:pPr>
        <w:spacing w:line="360" w:lineRule="auto"/>
        <w:ind w:left="850" w:right="899"/>
        <w:jc w:val="both"/>
        <w:rPr>
          <w:rFonts w:ascii="Palatino Linotype" w:eastAsia="Palatino Linotype" w:hAnsi="Palatino Linotype" w:cs="Palatino Linotype"/>
          <w:b/>
          <w:i/>
          <w:sz w:val="22"/>
          <w:szCs w:val="22"/>
        </w:rPr>
      </w:pPr>
      <w:r w:rsidRPr="001B2E5E">
        <w:rPr>
          <w:rFonts w:ascii="Palatino Linotype" w:eastAsia="Palatino Linotype" w:hAnsi="Palatino Linotype" w:cs="Palatino Linotype"/>
          <w:b/>
          <w:i/>
          <w:sz w:val="22"/>
          <w:szCs w:val="22"/>
        </w:rPr>
        <w:t>VIII. En caso de detenciones:</w:t>
      </w:r>
    </w:p>
    <w:p w14:paraId="6FB3AB3E" w14:textId="77777777" w:rsidR="008072E4" w:rsidRPr="001B2E5E" w:rsidRDefault="003F6F28">
      <w:pPr>
        <w:spacing w:line="360" w:lineRule="auto"/>
        <w:ind w:left="850" w:right="899"/>
        <w:jc w:val="both"/>
        <w:rPr>
          <w:rFonts w:ascii="Palatino Linotype" w:eastAsia="Palatino Linotype" w:hAnsi="Palatino Linotype" w:cs="Palatino Linotype"/>
          <w:b/>
          <w:i/>
          <w:sz w:val="22"/>
          <w:szCs w:val="22"/>
        </w:rPr>
      </w:pPr>
      <w:r w:rsidRPr="001B2E5E">
        <w:rPr>
          <w:rFonts w:ascii="Palatino Linotype" w:eastAsia="Palatino Linotype" w:hAnsi="Palatino Linotype" w:cs="Palatino Linotype"/>
          <w:b/>
          <w:i/>
          <w:sz w:val="22"/>
          <w:szCs w:val="22"/>
        </w:rPr>
        <w:t>a) Señalar los motivos de la detención;</w:t>
      </w:r>
    </w:p>
    <w:p w14:paraId="5ABD575E" w14:textId="77777777" w:rsidR="008072E4" w:rsidRPr="001B2E5E" w:rsidRDefault="003F6F28">
      <w:pPr>
        <w:spacing w:line="360" w:lineRule="auto"/>
        <w:ind w:left="850" w:right="899"/>
        <w:jc w:val="both"/>
        <w:rPr>
          <w:rFonts w:ascii="Palatino Linotype" w:eastAsia="Palatino Linotype" w:hAnsi="Palatino Linotype" w:cs="Palatino Linotype"/>
          <w:b/>
          <w:i/>
          <w:sz w:val="22"/>
          <w:szCs w:val="22"/>
        </w:rPr>
      </w:pPr>
      <w:r w:rsidRPr="001B2E5E">
        <w:rPr>
          <w:rFonts w:ascii="Palatino Linotype" w:eastAsia="Palatino Linotype" w:hAnsi="Palatino Linotype" w:cs="Palatino Linotype"/>
          <w:b/>
          <w:i/>
          <w:sz w:val="22"/>
          <w:szCs w:val="22"/>
        </w:rPr>
        <w:t>b) Descripción de la persona;</w:t>
      </w:r>
    </w:p>
    <w:p w14:paraId="2CCD9614" w14:textId="77777777" w:rsidR="008072E4" w:rsidRPr="001B2E5E" w:rsidRDefault="003F6F28">
      <w:pPr>
        <w:spacing w:line="360" w:lineRule="auto"/>
        <w:ind w:left="850" w:right="899"/>
        <w:jc w:val="both"/>
        <w:rPr>
          <w:rFonts w:ascii="Palatino Linotype" w:eastAsia="Palatino Linotype" w:hAnsi="Palatino Linotype" w:cs="Palatino Linotype"/>
          <w:b/>
          <w:i/>
          <w:sz w:val="22"/>
          <w:szCs w:val="22"/>
        </w:rPr>
      </w:pPr>
      <w:r w:rsidRPr="001B2E5E">
        <w:rPr>
          <w:rFonts w:ascii="Palatino Linotype" w:eastAsia="Palatino Linotype" w:hAnsi="Palatino Linotype" w:cs="Palatino Linotype"/>
          <w:b/>
          <w:i/>
          <w:sz w:val="22"/>
          <w:szCs w:val="22"/>
        </w:rPr>
        <w:t>c) El nombre del detenido y apodo, en su caso;</w:t>
      </w:r>
    </w:p>
    <w:p w14:paraId="66034A71" w14:textId="77777777" w:rsidR="008072E4" w:rsidRPr="001B2E5E" w:rsidRDefault="003F6F28">
      <w:pPr>
        <w:spacing w:line="360" w:lineRule="auto"/>
        <w:ind w:left="850" w:right="899"/>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d) Descripción de estado físico aparente;</w:t>
      </w:r>
    </w:p>
    <w:p w14:paraId="274BAE57" w14:textId="77777777" w:rsidR="008072E4" w:rsidRPr="001B2E5E" w:rsidRDefault="003F6F28">
      <w:pPr>
        <w:spacing w:line="360" w:lineRule="auto"/>
        <w:ind w:left="850" w:right="899"/>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lastRenderedPageBreak/>
        <w:t>e) Objetos que le fueron encontrados;</w:t>
      </w:r>
    </w:p>
    <w:p w14:paraId="1D6BF88E" w14:textId="77777777" w:rsidR="008072E4" w:rsidRPr="001B2E5E" w:rsidRDefault="003F6F28">
      <w:pPr>
        <w:spacing w:line="360" w:lineRule="auto"/>
        <w:ind w:left="850" w:right="899"/>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f) Autoridad a la que fue puesto a disposición, y</w:t>
      </w:r>
    </w:p>
    <w:p w14:paraId="522B14DC" w14:textId="77777777" w:rsidR="008072E4" w:rsidRPr="001B2E5E" w:rsidRDefault="003F6F28">
      <w:pPr>
        <w:spacing w:line="360" w:lineRule="auto"/>
        <w:ind w:left="850" w:right="899"/>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g) Lugar en el que fue puesto a disposición.</w:t>
      </w:r>
    </w:p>
    <w:p w14:paraId="59CC1B61" w14:textId="77777777" w:rsidR="008072E4" w:rsidRPr="001B2E5E" w:rsidRDefault="003F6F28">
      <w:pPr>
        <w:spacing w:line="360" w:lineRule="auto"/>
        <w:ind w:left="850" w:right="899"/>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El informe debe ser completo, los hechos deben describirse con continuidad, cronológicamente y resaltando lo importante; no deberá contener afirmaciones sin el soporte de datos o hechos reales, por lo que deberá evitar información de oídas, conjeturas o conclusiones ajenas a la investigación.</w:t>
      </w:r>
    </w:p>
    <w:p w14:paraId="064341D1" w14:textId="77777777" w:rsidR="008072E4" w:rsidRPr="001B2E5E" w:rsidRDefault="008072E4">
      <w:pPr>
        <w:spacing w:line="360" w:lineRule="auto"/>
        <w:ind w:right="899"/>
        <w:jc w:val="both"/>
        <w:rPr>
          <w:rFonts w:ascii="Palatino Linotype" w:eastAsia="Palatino Linotype" w:hAnsi="Palatino Linotype" w:cs="Palatino Linotype"/>
          <w:i/>
          <w:sz w:val="22"/>
          <w:szCs w:val="22"/>
        </w:rPr>
      </w:pPr>
    </w:p>
    <w:p w14:paraId="5D409FC7" w14:textId="77777777" w:rsidR="008072E4" w:rsidRPr="001B2E5E" w:rsidRDefault="003F6F28">
      <w:pPr>
        <w:spacing w:line="360" w:lineRule="auto"/>
        <w:ind w:left="850" w:right="899"/>
        <w:jc w:val="both"/>
        <w:rPr>
          <w:rFonts w:ascii="Palatino Linotype" w:eastAsia="Palatino Linotype" w:hAnsi="Palatino Linotype" w:cs="Palatino Linotype"/>
          <w:b/>
          <w:i/>
          <w:sz w:val="22"/>
          <w:szCs w:val="22"/>
        </w:rPr>
      </w:pPr>
      <w:r w:rsidRPr="001B2E5E">
        <w:rPr>
          <w:rFonts w:ascii="Palatino Linotype" w:eastAsia="Palatino Linotype" w:hAnsi="Palatino Linotype" w:cs="Palatino Linotype"/>
          <w:b/>
          <w:i/>
          <w:sz w:val="22"/>
          <w:szCs w:val="22"/>
        </w:rPr>
        <w:t xml:space="preserve">Artículo 118.- Las Bases de Datos que integran el Sistema Nacional de Información se actualizarán permanentemente y serán de consulta obligatoria para garantizar la efectividad en las actividades de Seguridad Pública. </w:t>
      </w:r>
    </w:p>
    <w:p w14:paraId="133E7F9F" w14:textId="77777777" w:rsidR="008072E4" w:rsidRPr="001B2E5E" w:rsidRDefault="003F6F28">
      <w:pPr>
        <w:spacing w:line="360" w:lineRule="auto"/>
        <w:ind w:left="850" w:right="899"/>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Las Bases de Datos criminalísticas se conformarán de la información que aporten las instituciones de procuración de justicia y del sistema penitenciario, relativa a las investigaciones, órdenes de detención y aprehensión, procesos penales, sentencias o ejecución de penas.</w:t>
      </w:r>
    </w:p>
    <w:p w14:paraId="5FB2A092" w14:textId="77777777" w:rsidR="008072E4" w:rsidRPr="001B2E5E" w:rsidRDefault="003F6F28">
      <w:pPr>
        <w:spacing w:line="360" w:lineRule="auto"/>
        <w:ind w:left="850" w:right="899"/>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El Registro Nacional de Detenciones se vinculará con las Bases de Datos a que se refiere el presente artículo, mediante el número de identificación al que hace referencia la ley de la materia.</w:t>
      </w:r>
    </w:p>
    <w:p w14:paraId="62C6E883" w14:textId="77777777" w:rsidR="008072E4" w:rsidRPr="001B2E5E" w:rsidRDefault="008072E4">
      <w:pPr>
        <w:spacing w:line="360" w:lineRule="auto"/>
        <w:ind w:left="850" w:right="899"/>
        <w:jc w:val="both"/>
        <w:rPr>
          <w:rFonts w:ascii="Palatino Linotype" w:eastAsia="Palatino Linotype" w:hAnsi="Palatino Linotype" w:cs="Palatino Linotype"/>
          <w:i/>
          <w:sz w:val="22"/>
          <w:szCs w:val="22"/>
        </w:rPr>
      </w:pPr>
    </w:p>
    <w:p w14:paraId="03D2E3E0" w14:textId="77777777" w:rsidR="008072E4" w:rsidRPr="001B2E5E" w:rsidRDefault="003F6F2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t>Cabe mencionar que la Ley General del Sistema Nacional de Seguridad Pública</w:t>
      </w:r>
      <w:r w:rsidRPr="001B2E5E">
        <w:rPr>
          <w:rFonts w:ascii="Palatino Linotype" w:eastAsia="Palatino Linotype" w:hAnsi="Palatino Linotype" w:cs="Palatino Linotype"/>
          <w:sz w:val="22"/>
          <w:szCs w:val="22"/>
          <w:vertAlign w:val="superscript"/>
        </w:rPr>
        <w:footnoteReference w:id="1"/>
      </w:r>
      <w:r w:rsidRPr="001B2E5E">
        <w:rPr>
          <w:rFonts w:ascii="Palatino Linotype" w:eastAsia="Palatino Linotype" w:hAnsi="Palatino Linotype" w:cs="Palatino Linotype"/>
          <w:sz w:val="22"/>
          <w:szCs w:val="22"/>
        </w:rPr>
        <w:t xml:space="preserve">, publicada en el Diario Oficial de la Federación el dos de enero de dos mil diecinueve, vigente a partir del día siguiente de su publicación; por lo tanto, dada la temporalidad de la solicitud practicada por el particular, dichos fragmentos normativos resultan aplicables al asunto que </w:t>
      </w:r>
      <w:r w:rsidRPr="001B2E5E">
        <w:rPr>
          <w:rFonts w:ascii="Palatino Linotype" w:eastAsia="Palatino Linotype" w:hAnsi="Palatino Linotype" w:cs="Palatino Linotype"/>
          <w:sz w:val="22"/>
          <w:szCs w:val="22"/>
        </w:rPr>
        <w:lastRenderedPageBreak/>
        <w:t>nos ocupa. Por su parte, la Ley Orgánica Municipal del Estado de México establece lo siguiente:</w:t>
      </w:r>
    </w:p>
    <w:p w14:paraId="4C7CCCA2" w14:textId="77777777" w:rsidR="008072E4" w:rsidRPr="001B2E5E" w:rsidRDefault="003F6F28">
      <w:pPr>
        <w:spacing w:line="276" w:lineRule="auto"/>
        <w:ind w:left="850" w:right="899"/>
        <w:jc w:val="both"/>
        <w:rPr>
          <w:rFonts w:ascii="Palatino Linotype" w:eastAsia="Palatino Linotype" w:hAnsi="Palatino Linotype" w:cs="Palatino Linotype"/>
          <w:b/>
          <w:i/>
          <w:sz w:val="22"/>
          <w:szCs w:val="22"/>
        </w:rPr>
      </w:pPr>
      <w:r w:rsidRPr="001B2E5E">
        <w:rPr>
          <w:rFonts w:ascii="Palatino Linotype" w:eastAsia="Palatino Linotype" w:hAnsi="Palatino Linotype" w:cs="Palatino Linotype"/>
          <w:b/>
          <w:i/>
          <w:sz w:val="22"/>
          <w:szCs w:val="22"/>
        </w:rPr>
        <w:t>Ley Orgánica Municipal del Estado de México</w:t>
      </w:r>
    </w:p>
    <w:p w14:paraId="6AC34EE5" w14:textId="77777777" w:rsidR="008072E4" w:rsidRPr="001B2E5E" w:rsidRDefault="003F6F28">
      <w:pPr>
        <w:spacing w:line="276" w:lineRule="auto"/>
        <w:ind w:left="850" w:right="899"/>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b/>
          <w:i/>
          <w:sz w:val="22"/>
          <w:szCs w:val="22"/>
        </w:rPr>
        <w:t>Artículo 125</w:t>
      </w:r>
      <w:r w:rsidRPr="001B2E5E">
        <w:rPr>
          <w:rFonts w:ascii="Palatino Linotype" w:eastAsia="Palatino Linotype" w:hAnsi="Palatino Linotype" w:cs="Palatino Linotype"/>
          <w:i/>
          <w:sz w:val="22"/>
          <w:szCs w:val="22"/>
        </w:rPr>
        <w:t>.- Los municipios tendrán a su cargo la prestación, explotación, administración y conservación de los servicios públicos municipales, considerándose enunciativa y no limitativamente, los siguientes:</w:t>
      </w:r>
    </w:p>
    <w:p w14:paraId="61B6A48B" w14:textId="77777777" w:rsidR="008072E4" w:rsidRPr="001B2E5E" w:rsidRDefault="003F6F28">
      <w:pPr>
        <w:spacing w:line="276" w:lineRule="auto"/>
        <w:ind w:left="850" w:right="899"/>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I a VII…</w:t>
      </w:r>
    </w:p>
    <w:p w14:paraId="36D36447" w14:textId="77777777" w:rsidR="008072E4" w:rsidRPr="001B2E5E" w:rsidRDefault="003F6F28">
      <w:pPr>
        <w:spacing w:line="276" w:lineRule="auto"/>
        <w:ind w:left="850" w:right="899"/>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VIII. Seguridad pública y tránsito;</w:t>
      </w:r>
    </w:p>
    <w:p w14:paraId="66BAD454" w14:textId="77777777" w:rsidR="008072E4" w:rsidRPr="001B2E5E" w:rsidRDefault="003F6F28">
      <w:pPr>
        <w:spacing w:line="276" w:lineRule="auto"/>
        <w:ind w:left="850" w:right="899"/>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IX a XI…</w:t>
      </w:r>
    </w:p>
    <w:p w14:paraId="287080DF" w14:textId="77777777" w:rsidR="008072E4" w:rsidRPr="001B2E5E" w:rsidRDefault="008072E4">
      <w:pPr>
        <w:spacing w:line="276" w:lineRule="auto"/>
        <w:ind w:left="850" w:right="899"/>
        <w:jc w:val="both"/>
        <w:rPr>
          <w:rFonts w:ascii="Palatino Linotype" w:eastAsia="Palatino Linotype" w:hAnsi="Palatino Linotype" w:cs="Palatino Linotype"/>
          <w:i/>
          <w:sz w:val="22"/>
          <w:szCs w:val="22"/>
        </w:rPr>
      </w:pPr>
    </w:p>
    <w:p w14:paraId="7F0CA321" w14:textId="77777777" w:rsidR="008072E4" w:rsidRPr="001B2E5E" w:rsidRDefault="003F6F28">
      <w:pPr>
        <w:spacing w:line="276" w:lineRule="auto"/>
        <w:ind w:left="850" w:right="899"/>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b/>
          <w:i/>
          <w:sz w:val="22"/>
          <w:szCs w:val="22"/>
        </w:rPr>
        <w:t>Artículo 142</w:t>
      </w:r>
      <w:r w:rsidRPr="001B2E5E">
        <w:rPr>
          <w:rFonts w:ascii="Palatino Linotype" w:eastAsia="Palatino Linotype" w:hAnsi="Palatino Linotype" w:cs="Palatino Linotype"/>
          <w:i/>
          <w:sz w:val="22"/>
          <w:szCs w:val="22"/>
        </w:rPr>
        <w:t>.- Las funciones de seguridad pública del municipio en su respectivo ámbito de competencia, estarán a cargo de un Director de Seguridad Pública Municipal o su equivalente, el cual deberá ser nombrado en los términos y requisitos establecidos en la Ley de Seguridad del Estado de México.</w:t>
      </w:r>
    </w:p>
    <w:p w14:paraId="22DB2B11" w14:textId="77777777" w:rsidR="008072E4" w:rsidRPr="001B2E5E" w:rsidRDefault="003F6F28">
      <w:pPr>
        <w:spacing w:line="276" w:lineRule="auto"/>
        <w:ind w:left="850" w:right="899"/>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 xml:space="preserve"> En cada municipio se deberán integrar cuerpos de seguridad pública, de bomberos y, en su caso, de tránsito, estos servidores públicos preferentemente serán vecinos del municipio, de los cuales el presidente municipal será el jefe inmediato”</w:t>
      </w:r>
    </w:p>
    <w:p w14:paraId="4D0FEB3D" w14:textId="77777777" w:rsidR="008072E4" w:rsidRPr="001B2E5E" w:rsidRDefault="003F6F28">
      <w:pPr>
        <w:spacing w:line="276" w:lineRule="auto"/>
        <w:ind w:left="850" w:right="899"/>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(Énfasis añadido)</w:t>
      </w:r>
    </w:p>
    <w:p w14:paraId="76C0689C" w14:textId="77777777" w:rsidR="008072E4" w:rsidRPr="001B2E5E" w:rsidRDefault="008072E4">
      <w:pPr>
        <w:spacing w:line="360" w:lineRule="auto"/>
        <w:ind w:left="850" w:right="899"/>
        <w:jc w:val="both"/>
        <w:rPr>
          <w:rFonts w:ascii="Palatino Linotype" w:eastAsia="Palatino Linotype" w:hAnsi="Palatino Linotype" w:cs="Palatino Linotype"/>
          <w:i/>
          <w:sz w:val="22"/>
          <w:szCs w:val="22"/>
        </w:rPr>
      </w:pPr>
    </w:p>
    <w:p w14:paraId="4E7A26A0" w14:textId="77777777" w:rsidR="008072E4" w:rsidRPr="001B2E5E" w:rsidRDefault="003F6F28">
      <w:pPr>
        <w:spacing w:line="360" w:lineRule="auto"/>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t>De ahí que deba arribarse a la premisa de que la Ley General del Sistema Nacional de Seguridad Pública prevé un esquema de distribución de competencias entre la Federación, los Estados y los Municipios. Destacando con relación a estos últimos la integración y actualización de diversas Bases de Datos relacionadas con el actuar de los cuerpos policiales institucionales de los tres niveles de gobierno. Así las cosas, de la información requerida estriba dentro de las fronteras conceptuales del interés general y el alcance público, robustece lo anterior los artículos 24, fracción XII y 92, fracción XXXIV de la Ley de Transparencia y Acceso a la Información Pública del Estado de México y Municipios, normatividad invocada cuyo contenido literal es el siguiente:</w:t>
      </w:r>
    </w:p>
    <w:p w14:paraId="3F28AF00" w14:textId="77777777" w:rsidR="008072E4" w:rsidRPr="001B2E5E" w:rsidRDefault="008072E4">
      <w:pPr>
        <w:spacing w:line="360" w:lineRule="auto"/>
        <w:jc w:val="both"/>
        <w:rPr>
          <w:rFonts w:ascii="Palatino Linotype" w:eastAsia="Palatino Linotype" w:hAnsi="Palatino Linotype" w:cs="Palatino Linotype"/>
          <w:sz w:val="22"/>
          <w:szCs w:val="22"/>
        </w:rPr>
      </w:pPr>
    </w:p>
    <w:p w14:paraId="16CE7BE7" w14:textId="77777777" w:rsidR="008072E4" w:rsidRPr="001B2E5E" w:rsidRDefault="003F6F28">
      <w:pPr>
        <w:spacing w:line="276" w:lineRule="auto"/>
        <w:ind w:left="1134" w:right="900"/>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b/>
          <w:i/>
          <w:sz w:val="22"/>
          <w:szCs w:val="22"/>
        </w:rPr>
        <w:lastRenderedPageBreak/>
        <w:t>“Artículo 24</w:t>
      </w:r>
      <w:r w:rsidRPr="001B2E5E">
        <w:rPr>
          <w:rFonts w:ascii="Palatino Linotype" w:eastAsia="Palatino Linotype" w:hAnsi="Palatino Linotype" w:cs="Palatino Linotype"/>
          <w:i/>
          <w:sz w:val="22"/>
          <w:szCs w:val="22"/>
        </w:rPr>
        <w:t>. Para el cumplimiento de los objetivos de esta Ley, los sujetos obligados deberán cumplir con las siguientes obligaciones, según corresponda, de acuerdo a su naturaleza:</w:t>
      </w:r>
    </w:p>
    <w:p w14:paraId="0A740BC9" w14:textId="77777777" w:rsidR="008072E4" w:rsidRPr="001B2E5E" w:rsidRDefault="003F6F28">
      <w:pPr>
        <w:spacing w:line="276" w:lineRule="auto"/>
        <w:ind w:left="1134" w:right="900"/>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I a XI…</w:t>
      </w:r>
    </w:p>
    <w:p w14:paraId="20F4E0B5" w14:textId="77777777" w:rsidR="008072E4" w:rsidRPr="001B2E5E" w:rsidRDefault="003F6F28">
      <w:pPr>
        <w:spacing w:line="276" w:lineRule="auto"/>
        <w:ind w:left="1134" w:right="900"/>
        <w:jc w:val="both"/>
        <w:rPr>
          <w:rFonts w:ascii="Palatino Linotype" w:eastAsia="Palatino Linotype" w:hAnsi="Palatino Linotype" w:cs="Palatino Linotype"/>
          <w:b/>
          <w:i/>
          <w:sz w:val="22"/>
          <w:szCs w:val="22"/>
        </w:rPr>
      </w:pPr>
      <w:r w:rsidRPr="001B2E5E">
        <w:rPr>
          <w:rFonts w:ascii="Palatino Linotype" w:eastAsia="Palatino Linotype" w:hAnsi="Palatino Linotype" w:cs="Palatino Linotype"/>
          <w:b/>
          <w:i/>
          <w:sz w:val="22"/>
          <w:szCs w:val="22"/>
        </w:rPr>
        <w:t>XII. Publicar y mantener actualizada la información relativa a las obligaciones generales de transparencia previstas en la presente Ley o determinadas así por el Instituto, y en general aquella que sea de interés público;</w:t>
      </w:r>
    </w:p>
    <w:p w14:paraId="6D5D4C8E" w14:textId="77777777" w:rsidR="008072E4" w:rsidRPr="001B2E5E" w:rsidRDefault="003F6F28">
      <w:pPr>
        <w:spacing w:line="276" w:lineRule="auto"/>
        <w:ind w:left="1134" w:right="900"/>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XIII a XXV…</w:t>
      </w:r>
    </w:p>
    <w:p w14:paraId="2F4EC465" w14:textId="77777777" w:rsidR="008072E4" w:rsidRPr="001B2E5E" w:rsidRDefault="003F6F28">
      <w:pPr>
        <w:spacing w:line="276" w:lineRule="auto"/>
        <w:ind w:left="1134" w:right="900"/>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b/>
          <w:i/>
          <w:sz w:val="22"/>
          <w:szCs w:val="22"/>
        </w:rPr>
        <w:t>Artículo 92.</w:t>
      </w:r>
      <w:r w:rsidRPr="001B2E5E">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BD1243D" w14:textId="77777777" w:rsidR="008072E4" w:rsidRPr="001B2E5E" w:rsidRDefault="003F6F28">
      <w:pPr>
        <w:spacing w:line="276" w:lineRule="auto"/>
        <w:ind w:left="1134" w:right="900"/>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I a XXXIII…</w:t>
      </w:r>
    </w:p>
    <w:p w14:paraId="2168384A" w14:textId="77777777" w:rsidR="008072E4" w:rsidRPr="001B2E5E" w:rsidRDefault="003F6F28">
      <w:pPr>
        <w:spacing w:line="276" w:lineRule="auto"/>
        <w:ind w:left="1134" w:right="900"/>
        <w:jc w:val="both"/>
        <w:rPr>
          <w:rFonts w:ascii="Palatino Linotype" w:eastAsia="Palatino Linotype" w:hAnsi="Palatino Linotype" w:cs="Palatino Linotype"/>
          <w:b/>
          <w:i/>
          <w:sz w:val="22"/>
          <w:szCs w:val="22"/>
        </w:rPr>
      </w:pPr>
      <w:r w:rsidRPr="001B2E5E">
        <w:rPr>
          <w:rFonts w:ascii="Palatino Linotype" w:eastAsia="Palatino Linotype" w:hAnsi="Palatino Linotype" w:cs="Palatino Linotype"/>
          <w:b/>
          <w:i/>
          <w:sz w:val="22"/>
          <w:szCs w:val="22"/>
        </w:rPr>
        <w:t>XXXIV. Las estadísticas que generen en cumplimiento de sus facultades, competencias o funciones con la mayor desagregación posible</w:t>
      </w:r>
    </w:p>
    <w:p w14:paraId="364439BD" w14:textId="77777777" w:rsidR="008072E4" w:rsidRPr="001B2E5E" w:rsidRDefault="003F6F28">
      <w:pPr>
        <w:spacing w:line="276" w:lineRule="auto"/>
        <w:ind w:left="1134" w:right="900"/>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XXXV a LII…”</w:t>
      </w:r>
    </w:p>
    <w:p w14:paraId="7267CCBE" w14:textId="77777777" w:rsidR="008072E4" w:rsidRPr="001B2E5E" w:rsidRDefault="008072E4">
      <w:pPr>
        <w:spacing w:line="276" w:lineRule="auto"/>
        <w:ind w:left="1134" w:right="900"/>
        <w:jc w:val="both"/>
        <w:rPr>
          <w:rFonts w:ascii="Palatino Linotype" w:eastAsia="Palatino Linotype" w:hAnsi="Palatino Linotype" w:cs="Palatino Linotype"/>
          <w:i/>
          <w:sz w:val="22"/>
          <w:szCs w:val="22"/>
        </w:rPr>
      </w:pPr>
    </w:p>
    <w:p w14:paraId="13268100" w14:textId="77777777" w:rsidR="008072E4" w:rsidRPr="001B2E5E" w:rsidRDefault="003F6F28">
      <w:pPr>
        <w:spacing w:line="360" w:lineRule="auto"/>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t>De forma complementaria, resulta de nuestro particular interés el criterio 11/09 emitido por el hoy Instituto Nacional de Transparencia, Acceso a la Información y Protección de Datos Personales, que a la letra dispone lo siguiente:</w:t>
      </w:r>
    </w:p>
    <w:p w14:paraId="472F86BC" w14:textId="77777777" w:rsidR="008072E4" w:rsidRPr="001B2E5E" w:rsidRDefault="008072E4">
      <w:pPr>
        <w:spacing w:line="360" w:lineRule="auto"/>
        <w:jc w:val="both"/>
        <w:rPr>
          <w:rFonts w:ascii="Palatino Linotype" w:eastAsia="Palatino Linotype" w:hAnsi="Palatino Linotype" w:cs="Palatino Linotype"/>
          <w:sz w:val="22"/>
          <w:szCs w:val="22"/>
        </w:rPr>
      </w:pPr>
    </w:p>
    <w:p w14:paraId="0550BACF" w14:textId="77777777" w:rsidR="008072E4" w:rsidRPr="001B2E5E" w:rsidRDefault="003F6F28">
      <w:pPr>
        <w:spacing w:line="276" w:lineRule="auto"/>
        <w:ind w:left="1134" w:right="900"/>
        <w:jc w:val="both"/>
        <w:rPr>
          <w:rFonts w:ascii="Palatino Linotype" w:eastAsia="Palatino Linotype" w:hAnsi="Palatino Linotype" w:cs="Palatino Linotype"/>
          <w:b/>
          <w:i/>
          <w:sz w:val="22"/>
          <w:szCs w:val="22"/>
        </w:rPr>
      </w:pPr>
      <w:r w:rsidRPr="001B2E5E">
        <w:rPr>
          <w:rFonts w:ascii="Palatino Linotype" w:eastAsia="Palatino Linotype" w:hAnsi="Palatino Linotype" w:cs="Palatino Linotype"/>
          <w:b/>
          <w:i/>
          <w:sz w:val="22"/>
          <w:szCs w:val="22"/>
        </w:rPr>
        <w:t>“LA INFORMACIÓN ESTADÍSTICA ES DE NATURALEZA PÚBLICA, INDEPENDIENTEMENTE DE LA MATERIA CON LA QUE SE ENCUENTRE VINCULADA.</w:t>
      </w:r>
    </w:p>
    <w:p w14:paraId="051B48E1" w14:textId="77777777" w:rsidR="008072E4" w:rsidRPr="001B2E5E" w:rsidRDefault="003F6F28">
      <w:pPr>
        <w:spacing w:line="276" w:lineRule="auto"/>
        <w:ind w:left="1134" w:right="900"/>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 xml:space="preserve"> 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w:t>
      </w:r>
      <w:r w:rsidRPr="001B2E5E">
        <w:rPr>
          <w:rFonts w:ascii="Palatino Linotype" w:eastAsia="Palatino Linotype" w:hAnsi="Palatino Linotype" w:cs="Palatino Linotype"/>
          <w:i/>
          <w:sz w:val="22"/>
          <w:szCs w:val="22"/>
        </w:rPr>
        <w:lastRenderedPageBreak/>
        <w:t>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w:t>
      </w:r>
    </w:p>
    <w:p w14:paraId="02C7A3A1" w14:textId="77777777" w:rsidR="008072E4" w:rsidRPr="001B2E5E" w:rsidRDefault="008072E4">
      <w:pPr>
        <w:spacing w:line="360" w:lineRule="auto"/>
        <w:jc w:val="both"/>
        <w:rPr>
          <w:rFonts w:ascii="Palatino Linotype" w:eastAsia="Palatino Linotype" w:hAnsi="Palatino Linotype" w:cs="Palatino Linotype"/>
          <w:sz w:val="22"/>
          <w:szCs w:val="22"/>
        </w:rPr>
      </w:pPr>
    </w:p>
    <w:p w14:paraId="3FDCFA55" w14:textId="77777777" w:rsidR="008072E4" w:rsidRPr="001B2E5E" w:rsidRDefault="003F6F28">
      <w:pPr>
        <w:spacing w:line="360" w:lineRule="auto"/>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t>Así las cosas, se atrae al estudio los Lineamientos para el Llenado, Entrega, Recepción, Registro, Resguardo y Consulta del Informe Policial Homologado del que, se inserta lo siguiente:</w:t>
      </w:r>
    </w:p>
    <w:p w14:paraId="1B7C541E" w14:textId="77777777" w:rsidR="008072E4" w:rsidRPr="001B2E5E" w:rsidRDefault="008072E4">
      <w:pPr>
        <w:spacing w:line="360" w:lineRule="auto"/>
        <w:jc w:val="both"/>
        <w:rPr>
          <w:rFonts w:ascii="Palatino Linotype" w:eastAsia="Palatino Linotype" w:hAnsi="Palatino Linotype" w:cs="Palatino Linotype"/>
          <w:sz w:val="22"/>
          <w:szCs w:val="22"/>
        </w:rPr>
      </w:pPr>
    </w:p>
    <w:p w14:paraId="0BB3C716" w14:textId="77777777" w:rsidR="008072E4" w:rsidRPr="001B2E5E" w:rsidRDefault="003F6F28">
      <w:pPr>
        <w:spacing w:line="276" w:lineRule="auto"/>
        <w:ind w:left="1134" w:right="900"/>
        <w:jc w:val="both"/>
        <w:rPr>
          <w:rFonts w:ascii="Palatino Linotype" w:eastAsia="Palatino Linotype" w:hAnsi="Palatino Linotype" w:cs="Palatino Linotype"/>
          <w:b/>
          <w:i/>
          <w:sz w:val="22"/>
          <w:szCs w:val="22"/>
        </w:rPr>
      </w:pPr>
      <w:r w:rsidRPr="001B2E5E">
        <w:rPr>
          <w:rFonts w:ascii="Palatino Linotype" w:eastAsia="Palatino Linotype" w:hAnsi="Palatino Linotype" w:cs="Palatino Linotype"/>
          <w:b/>
          <w:i/>
          <w:sz w:val="22"/>
          <w:szCs w:val="22"/>
        </w:rPr>
        <w:t>PRIMERO. OBJETO Y ÁMBITO DE APLICACIÓN.</w:t>
      </w:r>
    </w:p>
    <w:p w14:paraId="0AE955B6" w14:textId="77777777" w:rsidR="008072E4" w:rsidRPr="001B2E5E" w:rsidRDefault="003F6F28">
      <w:pPr>
        <w:spacing w:line="276" w:lineRule="auto"/>
        <w:ind w:left="1134" w:right="900"/>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 xml:space="preserve">El Informe Policial Homologado es el medio a través del cual </w:t>
      </w:r>
      <w:r w:rsidRPr="001B2E5E">
        <w:rPr>
          <w:rFonts w:ascii="Palatino Linotype" w:eastAsia="Palatino Linotype" w:hAnsi="Palatino Linotype" w:cs="Palatino Linotype"/>
          <w:b/>
          <w:i/>
          <w:sz w:val="22"/>
          <w:szCs w:val="22"/>
        </w:rPr>
        <w:t>los integrantes de las instituciones policiales documentan la información relacionada con las puestas a disposición de personas y/o de objetos derivados de su intervención</w:t>
      </w:r>
      <w:r w:rsidRPr="001B2E5E">
        <w:rPr>
          <w:rFonts w:ascii="Palatino Linotype" w:eastAsia="Palatino Linotype" w:hAnsi="Palatino Linotype" w:cs="Palatino Linotype"/>
          <w:i/>
          <w:sz w:val="22"/>
          <w:szCs w:val="22"/>
        </w:rPr>
        <w:t>, a las autoridades competentes.</w:t>
      </w:r>
    </w:p>
    <w:p w14:paraId="3489DBDE" w14:textId="77777777" w:rsidR="008072E4" w:rsidRPr="001B2E5E" w:rsidRDefault="008072E4">
      <w:pPr>
        <w:spacing w:line="276" w:lineRule="auto"/>
        <w:ind w:left="1134" w:right="900"/>
        <w:jc w:val="both"/>
        <w:rPr>
          <w:rFonts w:ascii="Palatino Linotype" w:eastAsia="Palatino Linotype" w:hAnsi="Palatino Linotype" w:cs="Palatino Linotype"/>
          <w:i/>
          <w:sz w:val="22"/>
          <w:szCs w:val="22"/>
        </w:rPr>
      </w:pPr>
    </w:p>
    <w:p w14:paraId="27C4A8B2" w14:textId="77777777" w:rsidR="008072E4" w:rsidRPr="001B2E5E" w:rsidRDefault="003F6F28">
      <w:pPr>
        <w:spacing w:line="276" w:lineRule="auto"/>
        <w:ind w:left="1134" w:right="900"/>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 xml:space="preserve">El Informe Policial Homologado tiene como objeto </w:t>
      </w:r>
      <w:proofErr w:type="spellStart"/>
      <w:r w:rsidRPr="001B2E5E">
        <w:rPr>
          <w:rFonts w:ascii="Palatino Linotype" w:eastAsia="Palatino Linotype" w:hAnsi="Palatino Linotype" w:cs="Palatino Linotype"/>
          <w:i/>
          <w:sz w:val="22"/>
          <w:szCs w:val="22"/>
        </w:rPr>
        <w:t>eficientar</w:t>
      </w:r>
      <w:proofErr w:type="spellEnd"/>
      <w:r w:rsidRPr="001B2E5E">
        <w:rPr>
          <w:rFonts w:ascii="Palatino Linotype" w:eastAsia="Palatino Linotype" w:hAnsi="Palatino Linotype" w:cs="Palatino Linotype"/>
          <w:i/>
          <w:sz w:val="22"/>
          <w:szCs w:val="22"/>
        </w:rPr>
        <w:t xml:space="preserve"> las puestas a disposición, garantizar el debido proceso, y fomentar el uso de la información para acciones de inteligencia.</w:t>
      </w:r>
    </w:p>
    <w:p w14:paraId="3E886E5C" w14:textId="77777777" w:rsidR="008072E4" w:rsidRPr="001B2E5E" w:rsidRDefault="003F6F28">
      <w:pPr>
        <w:spacing w:line="276" w:lineRule="auto"/>
        <w:ind w:left="1134" w:right="900"/>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Los presentes Lineamientos tienen como objeto señalar los criterios respecto a lo siguiente:</w:t>
      </w:r>
    </w:p>
    <w:p w14:paraId="12FE9405" w14:textId="77777777" w:rsidR="008072E4" w:rsidRPr="001B2E5E" w:rsidRDefault="003F6F28">
      <w:pPr>
        <w:spacing w:line="276" w:lineRule="auto"/>
        <w:ind w:left="1134" w:right="900"/>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I a V …</w:t>
      </w:r>
    </w:p>
    <w:p w14:paraId="4B813A10" w14:textId="77777777" w:rsidR="008072E4" w:rsidRPr="001B2E5E" w:rsidRDefault="003F6F28">
      <w:pPr>
        <w:spacing w:line="276" w:lineRule="auto"/>
        <w:ind w:left="1134" w:right="900"/>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VI.   Resguardo de la base de datos del IPH en el Sistema Nacional de Información en Seguridad Pública;</w:t>
      </w:r>
    </w:p>
    <w:p w14:paraId="379D6522" w14:textId="77777777" w:rsidR="008072E4" w:rsidRPr="001B2E5E" w:rsidRDefault="003F6F28">
      <w:pPr>
        <w:spacing w:line="276" w:lineRule="auto"/>
        <w:ind w:left="1134" w:right="900"/>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VII a IX…</w:t>
      </w:r>
    </w:p>
    <w:p w14:paraId="2C3DA3B7" w14:textId="77777777" w:rsidR="008072E4" w:rsidRPr="001B2E5E" w:rsidRDefault="008072E4">
      <w:pPr>
        <w:spacing w:line="276" w:lineRule="auto"/>
        <w:ind w:left="1134" w:right="900"/>
        <w:jc w:val="both"/>
        <w:rPr>
          <w:rFonts w:ascii="Palatino Linotype" w:eastAsia="Palatino Linotype" w:hAnsi="Palatino Linotype" w:cs="Palatino Linotype"/>
          <w:i/>
          <w:sz w:val="22"/>
          <w:szCs w:val="22"/>
        </w:rPr>
      </w:pPr>
    </w:p>
    <w:p w14:paraId="53BE7F91" w14:textId="77777777" w:rsidR="008072E4" w:rsidRPr="001B2E5E" w:rsidRDefault="003F6F28">
      <w:pPr>
        <w:spacing w:line="276" w:lineRule="auto"/>
        <w:ind w:left="1134" w:right="900"/>
        <w:jc w:val="both"/>
        <w:rPr>
          <w:rFonts w:ascii="Palatino Linotype" w:eastAsia="Palatino Linotype" w:hAnsi="Palatino Linotype" w:cs="Palatino Linotype"/>
          <w:b/>
          <w:i/>
          <w:sz w:val="22"/>
          <w:szCs w:val="22"/>
        </w:rPr>
      </w:pPr>
      <w:r w:rsidRPr="001B2E5E">
        <w:rPr>
          <w:rFonts w:ascii="Palatino Linotype" w:eastAsia="Palatino Linotype" w:hAnsi="Palatino Linotype" w:cs="Palatino Linotype"/>
          <w:b/>
          <w:i/>
          <w:sz w:val="22"/>
          <w:szCs w:val="22"/>
        </w:rPr>
        <w:t>SEGUNDO. GLOSARIO DE TÉRMINOS.</w:t>
      </w:r>
    </w:p>
    <w:p w14:paraId="4E30C095" w14:textId="77777777" w:rsidR="008072E4" w:rsidRPr="001B2E5E" w:rsidRDefault="003F6F28">
      <w:pPr>
        <w:spacing w:line="276" w:lineRule="auto"/>
        <w:ind w:left="1134" w:right="900"/>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I a IX…</w:t>
      </w:r>
    </w:p>
    <w:p w14:paraId="3F58E4FA" w14:textId="77777777" w:rsidR="008072E4" w:rsidRPr="001B2E5E" w:rsidRDefault="003F6F28">
      <w:pPr>
        <w:spacing w:line="276" w:lineRule="auto"/>
        <w:ind w:left="1134" w:right="900"/>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X. IPH: El Informe Policial Homologado de hechos probablemente delictivos o de infracciones administrativas, mismo que puede ser en versión impresa o electrónica.</w:t>
      </w:r>
    </w:p>
    <w:p w14:paraId="50552449" w14:textId="77777777" w:rsidR="008072E4" w:rsidRPr="001B2E5E" w:rsidRDefault="008072E4">
      <w:pPr>
        <w:spacing w:line="276" w:lineRule="auto"/>
        <w:ind w:left="1134" w:right="900"/>
        <w:jc w:val="both"/>
        <w:rPr>
          <w:rFonts w:ascii="Palatino Linotype" w:eastAsia="Palatino Linotype" w:hAnsi="Palatino Linotype" w:cs="Palatino Linotype"/>
          <w:i/>
          <w:sz w:val="22"/>
          <w:szCs w:val="22"/>
        </w:rPr>
      </w:pPr>
    </w:p>
    <w:p w14:paraId="6D5DD9B6" w14:textId="77777777" w:rsidR="008072E4" w:rsidRPr="001B2E5E" w:rsidRDefault="003F6F28">
      <w:pPr>
        <w:spacing w:line="276" w:lineRule="auto"/>
        <w:ind w:left="1134" w:right="900"/>
        <w:jc w:val="both"/>
        <w:rPr>
          <w:rFonts w:ascii="Palatino Linotype" w:eastAsia="Palatino Linotype" w:hAnsi="Palatino Linotype" w:cs="Palatino Linotype"/>
          <w:b/>
          <w:i/>
          <w:sz w:val="22"/>
          <w:szCs w:val="22"/>
        </w:rPr>
      </w:pPr>
      <w:r w:rsidRPr="001B2E5E">
        <w:rPr>
          <w:rFonts w:ascii="Palatino Linotype" w:eastAsia="Palatino Linotype" w:hAnsi="Palatino Linotype" w:cs="Palatino Linotype"/>
          <w:b/>
          <w:i/>
          <w:sz w:val="22"/>
          <w:szCs w:val="22"/>
        </w:rPr>
        <w:t>DÉCIMO TERCERO. ENTREGA Y RECEPCIÓN DEL IPH.</w:t>
      </w:r>
    </w:p>
    <w:p w14:paraId="4476091D" w14:textId="77777777" w:rsidR="008072E4" w:rsidRPr="001B2E5E" w:rsidRDefault="003F6F28">
      <w:pPr>
        <w:spacing w:line="276" w:lineRule="auto"/>
        <w:ind w:left="1134" w:right="900"/>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 xml:space="preserve">Los integrantes de las instituciones policiales de los tres órdenes de gobierno que realicen el llenado del IPH, </w:t>
      </w:r>
      <w:r w:rsidRPr="001B2E5E">
        <w:rPr>
          <w:rFonts w:ascii="Palatino Linotype" w:eastAsia="Palatino Linotype" w:hAnsi="Palatino Linotype" w:cs="Palatino Linotype"/>
          <w:b/>
          <w:i/>
          <w:sz w:val="22"/>
          <w:szCs w:val="22"/>
        </w:rPr>
        <w:t>deberán entregarlo junto con las personas detenidas y/o arrestadas y/o los objetos asegurados a la autoridad competente</w:t>
      </w:r>
      <w:r w:rsidRPr="001B2E5E">
        <w:rPr>
          <w:rFonts w:ascii="Palatino Linotype" w:eastAsia="Palatino Linotype" w:hAnsi="Palatino Linotype" w:cs="Palatino Linotype"/>
          <w:i/>
          <w:sz w:val="22"/>
          <w:szCs w:val="22"/>
        </w:rPr>
        <w:t>, según se trate de un hecho probablemente delictivo o una infracción administrativa.</w:t>
      </w:r>
    </w:p>
    <w:p w14:paraId="7F4869E2" w14:textId="77777777" w:rsidR="008072E4" w:rsidRPr="001B2E5E" w:rsidRDefault="003F6F28">
      <w:pPr>
        <w:spacing w:line="276" w:lineRule="auto"/>
        <w:ind w:left="1134" w:right="900"/>
        <w:jc w:val="both"/>
        <w:rPr>
          <w:rFonts w:ascii="Palatino Linotype" w:eastAsia="Palatino Linotype" w:hAnsi="Palatino Linotype" w:cs="Palatino Linotype"/>
          <w:b/>
          <w:i/>
          <w:sz w:val="22"/>
          <w:szCs w:val="22"/>
        </w:rPr>
      </w:pPr>
      <w:r w:rsidRPr="001B2E5E">
        <w:rPr>
          <w:rFonts w:ascii="Palatino Linotype" w:eastAsia="Palatino Linotype" w:hAnsi="Palatino Linotype" w:cs="Palatino Linotype"/>
          <w:b/>
          <w:i/>
          <w:sz w:val="22"/>
          <w:szCs w:val="22"/>
        </w:rPr>
        <w:t>La autoridad competente estará obligada a recibir el IPH junto con las personas detenidas y/o arrestadas y/o los objetos asegurados, en un término máximo de dos horas contadas a partir del arribo a sus oficinas de las instituciones policiales que realizan la puesta a disposición.</w:t>
      </w:r>
    </w:p>
    <w:p w14:paraId="181306D4" w14:textId="77777777" w:rsidR="008072E4" w:rsidRPr="001B2E5E" w:rsidRDefault="003F6F28">
      <w:pPr>
        <w:spacing w:line="276" w:lineRule="auto"/>
        <w:ind w:left="1134" w:right="900"/>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(Énfasis añadido)</w:t>
      </w:r>
    </w:p>
    <w:p w14:paraId="2CF9B315" w14:textId="77777777" w:rsidR="008072E4" w:rsidRPr="001B2E5E" w:rsidRDefault="008072E4">
      <w:pPr>
        <w:spacing w:line="360" w:lineRule="auto"/>
        <w:ind w:left="1134" w:right="900"/>
        <w:jc w:val="both"/>
        <w:rPr>
          <w:rFonts w:ascii="Palatino Linotype" w:eastAsia="Palatino Linotype" w:hAnsi="Palatino Linotype" w:cs="Palatino Linotype"/>
          <w:i/>
          <w:sz w:val="22"/>
          <w:szCs w:val="22"/>
        </w:rPr>
      </w:pPr>
    </w:p>
    <w:p w14:paraId="0257EBB9" w14:textId="77777777" w:rsidR="008072E4" w:rsidRPr="001B2E5E" w:rsidRDefault="003F6F28">
      <w:pPr>
        <w:spacing w:line="360" w:lineRule="auto"/>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t xml:space="preserve">De lo anterior, se deduce que los integrantes de las instituciones de seguridad de los tres niveles de gobierno son los primeros respondientes ante cualquier eventualidad que se suscite y del que tengan conocimiento, por lo tanto, es su obligación, generar un informe policial homologado, con el fin de documentar la información relacionada con las puestas a disposición de personas y/u objetos derivados de su intervención, para con ello, deben hacer más eficiente el debido proceso y fomentar el uso de la información para acciones de inteligencia; </w:t>
      </w:r>
      <w:r w:rsidRPr="001B2E5E">
        <w:rPr>
          <w:rFonts w:ascii="Palatino Linotype" w:eastAsia="Palatino Linotype" w:hAnsi="Palatino Linotype" w:cs="Palatino Linotype"/>
          <w:b/>
          <w:sz w:val="22"/>
          <w:szCs w:val="22"/>
        </w:rPr>
        <w:t xml:space="preserve">por lo tanto, dicho informe únicamente es entregado junto con la persona detenida o bien, con los objetos que fueron asegurados en el hecho y/o acto probablemente constitutivo de delito. </w:t>
      </w:r>
      <w:r w:rsidRPr="001B2E5E">
        <w:rPr>
          <w:rFonts w:ascii="Palatino Linotype" w:eastAsia="Palatino Linotype" w:hAnsi="Palatino Linotype" w:cs="Palatino Linotype"/>
          <w:sz w:val="22"/>
          <w:szCs w:val="22"/>
        </w:rPr>
        <w:t>Es importante señalar que si bien, es información que obra en dichos documentos, se solicita únicamente información estadística.</w:t>
      </w:r>
    </w:p>
    <w:p w14:paraId="01FAC970" w14:textId="77777777" w:rsidR="008072E4" w:rsidRPr="001B2E5E" w:rsidRDefault="008072E4">
      <w:pPr>
        <w:spacing w:line="360" w:lineRule="auto"/>
        <w:jc w:val="both"/>
        <w:rPr>
          <w:rFonts w:ascii="Palatino Linotype" w:eastAsia="Palatino Linotype" w:hAnsi="Palatino Linotype" w:cs="Palatino Linotype"/>
          <w:sz w:val="22"/>
          <w:szCs w:val="22"/>
        </w:rPr>
      </w:pPr>
    </w:p>
    <w:p w14:paraId="0D0E8E22" w14:textId="77777777" w:rsidR="008072E4" w:rsidRPr="001B2E5E" w:rsidRDefault="003F6F28">
      <w:pPr>
        <w:spacing w:line="360" w:lineRule="auto"/>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t xml:space="preserve">En este orden de ideas, es evidente que el Informe Policial Homologado se entrega en el momento que un elemento policial pone a disposición a una persona u objetos recabados del lugar en el que ocurrieron los hechos delictivos y/o faltas administrativas; por lo tanto, </w:t>
      </w:r>
      <w:r w:rsidRPr="001B2E5E">
        <w:rPr>
          <w:rFonts w:ascii="Palatino Linotype" w:eastAsia="Palatino Linotype" w:hAnsi="Palatino Linotype" w:cs="Palatino Linotype"/>
          <w:b/>
          <w:sz w:val="22"/>
          <w:szCs w:val="22"/>
        </w:rPr>
        <w:t>es claro que no en todos los casos en que se conoce de una conducta delictiva y se inicia una carpeta de investigación, o se agrega un informe policial homologado</w:t>
      </w:r>
      <w:r w:rsidRPr="001B2E5E">
        <w:rPr>
          <w:rFonts w:ascii="Palatino Linotype" w:eastAsia="Palatino Linotype" w:hAnsi="Palatino Linotype" w:cs="Palatino Linotype"/>
          <w:sz w:val="22"/>
          <w:szCs w:val="22"/>
        </w:rPr>
        <w:t xml:space="preserve">, pues es </w:t>
      </w:r>
      <w:r w:rsidRPr="001B2E5E">
        <w:rPr>
          <w:rFonts w:ascii="Palatino Linotype" w:eastAsia="Palatino Linotype" w:hAnsi="Palatino Linotype" w:cs="Palatino Linotype"/>
          <w:sz w:val="22"/>
          <w:szCs w:val="22"/>
        </w:rPr>
        <w:lastRenderedPageBreak/>
        <w:t xml:space="preserve">evidente que existen diversos tipos de delitos que se pueden configurar sin que se genere el informe en comento, tal como de manera enunciativa más no limitativa, es el caso de la </w:t>
      </w:r>
      <w:r w:rsidRPr="001B2E5E">
        <w:rPr>
          <w:rFonts w:ascii="Palatino Linotype" w:eastAsia="Palatino Linotype" w:hAnsi="Palatino Linotype" w:cs="Palatino Linotype"/>
          <w:b/>
          <w:sz w:val="22"/>
          <w:szCs w:val="22"/>
        </w:rPr>
        <w:t>extorsión</w:t>
      </w:r>
      <w:r w:rsidRPr="001B2E5E">
        <w:rPr>
          <w:rFonts w:ascii="Palatino Linotype" w:eastAsia="Palatino Linotype" w:hAnsi="Palatino Linotype" w:cs="Palatino Linotype"/>
          <w:sz w:val="22"/>
          <w:szCs w:val="22"/>
        </w:rPr>
        <w:t xml:space="preserve"> ya que, a través de la comunicación vía telefónica, los delincuentes plantean supuestos escenarios que incluyen situaciones de riesgo o peligro para la posible víctima y/o familiares, tales como amenaza de daño físico o patrimonial, secuestros, detenciones de familiares a causa de un delito, así como actividades de organizaciones delictivas que “vendían” seguridad, entre otras, esto, con la finalidad de obtener una cifra económica a cambio de la solución del conflicto.</w:t>
      </w:r>
    </w:p>
    <w:p w14:paraId="026F5A8F" w14:textId="77777777" w:rsidR="008072E4" w:rsidRPr="001B2E5E" w:rsidRDefault="008072E4">
      <w:pPr>
        <w:spacing w:line="360" w:lineRule="auto"/>
        <w:jc w:val="both"/>
        <w:rPr>
          <w:rFonts w:ascii="Palatino Linotype" w:eastAsia="Palatino Linotype" w:hAnsi="Palatino Linotype" w:cs="Palatino Linotype"/>
          <w:sz w:val="22"/>
          <w:szCs w:val="22"/>
        </w:rPr>
      </w:pPr>
    </w:p>
    <w:p w14:paraId="04F1D240" w14:textId="77777777" w:rsidR="008072E4" w:rsidRPr="001B2E5E" w:rsidRDefault="003F6F28">
      <w:pPr>
        <w:spacing w:line="360" w:lineRule="auto"/>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t xml:space="preserve">De lo anterior, al momento de interponer la denuncia correspondiente, es claro que no intervienen elementos policiales que puedan generar el informe policial homologado, toda vez que difícilmente se pone a una persona a disposición o bien, se presentan elementos recabados en el acto, ya que, </w:t>
      </w:r>
      <w:r w:rsidRPr="001B2E5E">
        <w:rPr>
          <w:rFonts w:ascii="Palatino Linotype" w:eastAsia="Palatino Linotype" w:hAnsi="Palatino Linotype" w:cs="Palatino Linotype"/>
          <w:b/>
          <w:sz w:val="22"/>
          <w:szCs w:val="22"/>
        </w:rPr>
        <w:t>es tema de conocimiento público, que muchas de esas llamadas provienen de centros penitenciarios establecidos en diversas Entidades Federativas,</w:t>
      </w:r>
      <w:r w:rsidRPr="001B2E5E">
        <w:rPr>
          <w:rFonts w:ascii="Palatino Linotype" w:eastAsia="Palatino Linotype" w:hAnsi="Palatino Linotype" w:cs="Palatino Linotype"/>
          <w:sz w:val="22"/>
          <w:szCs w:val="22"/>
        </w:rPr>
        <w:t xml:space="preserve"> y como se precisó anteriormente, al consumarse la extorsión, el dinero obtenido de dicha actividad se triangula a través de cuentas bancarias que en ocasiones terminan sin un rastro específico, por lo que, no existe persona y/u objetos que presentar, siendo el relato de la persona afectada, el único elemento con el que se cuenta y así, procede asentarlo en la estadística de incidencia delictiva generada. </w:t>
      </w:r>
    </w:p>
    <w:p w14:paraId="4C1B884F" w14:textId="77777777" w:rsidR="008072E4" w:rsidRPr="001B2E5E" w:rsidRDefault="008072E4">
      <w:pPr>
        <w:spacing w:line="360" w:lineRule="auto"/>
        <w:jc w:val="both"/>
        <w:rPr>
          <w:rFonts w:ascii="Palatino Linotype" w:eastAsia="Palatino Linotype" w:hAnsi="Palatino Linotype" w:cs="Palatino Linotype"/>
          <w:sz w:val="22"/>
          <w:szCs w:val="22"/>
        </w:rPr>
      </w:pPr>
    </w:p>
    <w:p w14:paraId="574919AC" w14:textId="77777777" w:rsidR="008072E4" w:rsidRPr="001B2E5E" w:rsidRDefault="003F6F28">
      <w:pPr>
        <w:spacing w:line="360" w:lineRule="auto"/>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t xml:space="preserve">En congruencia con lo expuesto, no se deja lado que si bien, existen delitos que por su naturaleza si intervienen elementos policiales y derivado de ello se recaban objetos además de presentar a los probables responsables ante el Ministerio Público, datos que deben ser reproducidos en el informe policial homologado, no obstante, </w:t>
      </w:r>
      <w:r w:rsidRPr="001B2E5E">
        <w:rPr>
          <w:rFonts w:ascii="Palatino Linotype" w:eastAsia="Palatino Linotype" w:hAnsi="Palatino Linotype" w:cs="Palatino Linotype"/>
          <w:b/>
          <w:sz w:val="22"/>
          <w:szCs w:val="22"/>
        </w:rPr>
        <w:t xml:space="preserve">es preciso reiterar que el Particular solicitó información estadística de la incidencia delictiva y el número de eventos individuales de victimización delictiva reportados, </w:t>
      </w:r>
      <w:r w:rsidRPr="001B2E5E">
        <w:rPr>
          <w:rFonts w:ascii="Palatino Linotype" w:eastAsia="Palatino Linotype" w:hAnsi="Palatino Linotype" w:cs="Palatino Linotype"/>
          <w:sz w:val="22"/>
          <w:szCs w:val="22"/>
        </w:rPr>
        <w:t xml:space="preserve">lo cual, </w:t>
      </w:r>
      <w:r w:rsidRPr="001B2E5E">
        <w:rPr>
          <w:rFonts w:ascii="Palatino Linotype" w:eastAsia="Palatino Linotype" w:hAnsi="Palatino Linotype" w:cs="Palatino Linotype"/>
          <w:b/>
          <w:sz w:val="22"/>
          <w:szCs w:val="22"/>
        </w:rPr>
        <w:t>corresponde únicamente al número de hechos y/o actos de los que se tuvo conocimiento</w:t>
      </w:r>
      <w:r w:rsidRPr="001B2E5E">
        <w:rPr>
          <w:rFonts w:ascii="Palatino Linotype" w:eastAsia="Palatino Linotype" w:hAnsi="Palatino Linotype" w:cs="Palatino Linotype"/>
          <w:sz w:val="22"/>
          <w:szCs w:val="22"/>
        </w:rPr>
        <w:t xml:space="preserve"> y con base en </w:t>
      </w:r>
      <w:r w:rsidRPr="001B2E5E">
        <w:rPr>
          <w:rFonts w:ascii="Palatino Linotype" w:eastAsia="Palatino Linotype" w:hAnsi="Palatino Linotype" w:cs="Palatino Linotype"/>
          <w:sz w:val="22"/>
          <w:szCs w:val="22"/>
        </w:rPr>
        <w:lastRenderedPageBreak/>
        <w:t xml:space="preserve">ello, el </w:t>
      </w:r>
      <w:r w:rsidRPr="001B2E5E">
        <w:rPr>
          <w:rFonts w:ascii="Palatino Linotype" w:eastAsia="Palatino Linotype" w:hAnsi="Palatino Linotype" w:cs="Palatino Linotype"/>
          <w:b/>
          <w:sz w:val="22"/>
          <w:szCs w:val="22"/>
        </w:rPr>
        <w:t>SUJETO OBLIGADO</w:t>
      </w:r>
      <w:r w:rsidRPr="001B2E5E">
        <w:rPr>
          <w:rFonts w:ascii="Palatino Linotype" w:eastAsia="Palatino Linotype" w:hAnsi="Palatino Linotype" w:cs="Palatino Linotype"/>
          <w:sz w:val="22"/>
          <w:szCs w:val="22"/>
        </w:rPr>
        <w:t xml:space="preserve"> no se encuentra constreñido para buscar en el expediente formado si existe o no, el informe policial homologado, esto, en virtud del artículo 12 de la Ley de Transparencia y Acceso a la Información Pública del Estado de México y Municipios, mismo que a la letra estipula lo siguiente:</w:t>
      </w:r>
    </w:p>
    <w:p w14:paraId="2A6AB1E1" w14:textId="77777777" w:rsidR="008072E4" w:rsidRPr="001B2E5E" w:rsidRDefault="008072E4">
      <w:pPr>
        <w:spacing w:line="360" w:lineRule="auto"/>
        <w:jc w:val="both"/>
        <w:rPr>
          <w:rFonts w:ascii="Palatino Linotype" w:eastAsia="Palatino Linotype" w:hAnsi="Palatino Linotype" w:cs="Palatino Linotype"/>
          <w:i/>
          <w:sz w:val="22"/>
          <w:szCs w:val="22"/>
        </w:rPr>
      </w:pPr>
    </w:p>
    <w:p w14:paraId="5A36C8C6" w14:textId="77777777" w:rsidR="008072E4" w:rsidRPr="001B2E5E" w:rsidRDefault="003F6F28">
      <w:pPr>
        <w:tabs>
          <w:tab w:val="left" w:pos="7938"/>
        </w:tabs>
        <w:spacing w:line="276" w:lineRule="auto"/>
        <w:ind w:left="1134" w:right="900"/>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 xml:space="preserve">Artículo 12. Quienes generen, recopilen, administren, manejen, procesen, archiven o conserven información pública serán responsables de la misma en los términos de las disposiciones jurídicas aplicables. </w:t>
      </w:r>
    </w:p>
    <w:p w14:paraId="02C12B13" w14:textId="77777777" w:rsidR="008072E4" w:rsidRPr="001B2E5E" w:rsidRDefault="003F6F28">
      <w:pPr>
        <w:tabs>
          <w:tab w:val="left" w:pos="7938"/>
        </w:tabs>
        <w:spacing w:line="276" w:lineRule="auto"/>
        <w:ind w:left="1134" w:right="900"/>
        <w:jc w:val="both"/>
        <w:rPr>
          <w:rFonts w:ascii="Palatino Linotype" w:eastAsia="Palatino Linotype" w:hAnsi="Palatino Linotype" w:cs="Palatino Linotype"/>
          <w:b/>
          <w:i/>
          <w:sz w:val="22"/>
          <w:szCs w:val="22"/>
        </w:rPr>
      </w:pPr>
      <w:r w:rsidRPr="001B2E5E">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479E34E5" w14:textId="77777777" w:rsidR="008072E4" w:rsidRPr="001B2E5E" w:rsidRDefault="008072E4">
      <w:pPr>
        <w:spacing w:line="276" w:lineRule="auto"/>
        <w:jc w:val="both"/>
        <w:rPr>
          <w:rFonts w:ascii="Palatino Linotype" w:eastAsia="Palatino Linotype" w:hAnsi="Palatino Linotype" w:cs="Palatino Linotype"/>
          <w:sz w:val="22"/>
          <w:szCs w:val="22"/>
        </w:rPr>
      </w:pPr>
    </w:p>
    <w:p w14:paraId="1B60097E" w14:textId="77777777" w:rsidR="008072E4" w:rsidRPr="001B2E5E" w:rsidRDefault="003F6F28">
      <w:pPr>
        <w:spacing w:line="360" w:lineRule="auto"/>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t>Asimismo, es necesario señalar que la pretensión del Recurrente es acceder a la tasa de incidencia delictiva de modo que permita la comparación de datos y mida la efectividad de las políticas públicas de seguridad del Ayuntamiento, entendiéndose esto que el Recurrente desea obtener un documento a cierto nivel de desagregación o bien, en un formato específico conforme a sus intereses.</w:t>
      </w:r>
    </w:p>
    <w:p w14:paraId="4E58D827" w14:textId="77777777" w:rsidR="008072E4" w:rsidRPr="001B2E5E" w:rsidRDefault="008072E4">
      <w:pPr>
        <w:spacing w:line="360" w:lineRule="auto"/>
        <w:jc w:val="both"/>
        <w:rPr>
          <w:rFonts w:ascii="Palatino Linotype" w:eastAsia="Palatino Linotype" w:hAnsi="Palatino Linotype" w:cs="Palatino Linotype"/>
          <w:sz w:val="22"/>
          <w:szCs w:val="22"/>
        </w:rPr>
      </w:pPr>
    </w:p>
    <w:p w14:paraId="41691E8B" w14:textId="77777777" w:rsidR="008072E4" w:rsidRPr="001B2E5E" w:rsidRDefault="003F6F28">
      <w:pPr>
        <w:spacing w:line="360" w:lineRule="auto"/>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t xml:space="preserve">En esta tesitura, es claro que la manifestación del Recurrente, confiere al </w:t>
      </w:r>
      <w:r w:rsidRPr="001B2E5E">
        <w:rPr>
          <w:rFonts w:ascii="Palatino Linotype" w:eastAsia="Palatino Linotype" w:hAnsi="Palatino Linotype" w:cs="Palatino Linotype"/>
          <w:b/>
          <w:sz w:val="22"/>
          <w:szCs w:val="22"/>
        </w:rPr>
        <w:t>SUJETO OBLIGADO</w:t>
      </w:r>
      <w:r w:rsidRPr="001B2E5E">
        <w:rPr>
          <w:rFonts w:ascii="Palatino Linotype" w:eastAsia="Palatino Linotype" w:hAnsi="Palatino Linotype" w:cs="Palatino Linotype"/>
          <w:sz w:val="22"/>
          <w:szCs w:val="22"/>
        </w:rPr>
        <w:t xml:space="preserve"> a practicar una investigación o procesar la información existente para la realización de un pronunciamiento </w:t>
      </w:r>
      <w:r w:rsidRPr="001B2E5E">
        <w:rPr>
          <w:rFonts w:ascii="Palatino Linotype" w:eastAsia="Palatino Linotype" w:hAnsi="Palatino Linotype" w:cs="Palatino Linotype"/>
          <w:i/>
          <w:sz w:val="22"/>
          <w:szCs w:val="22"/>
        </w:rPr>
        <w:t>ad hoc</w:t>
      </w:r>
      <w:r w:rsidRPr="001B2E5E">
        <w:rPr>
          <w:rFonts w:ascii="Palatino Linotype" w:eastAsia="Palatino Linotype" w:hAnsi="Palatino Linotype" w:cs="Palatino Linotype"/>
          <w:sz w:val="22"/>
          <w:szCs w:val="22"/>
        </w:rPr>
        <w:t xml:space="preserve"> a los intereses del Particular, situación que como fue precisado, va en contra del criterio número 03/17 emitido por el Pleno del Instituto Nacional de Transparencia, Acceso a la Información y Protección de Datos Personales, que por rubro y texto, dispone lo siguiente:</w:t>
      </w:r>
    </w:p>
    <w:p w14:paraId="78C5942F" w14:textId="77777777" w:rsidR="008072E4" w:rsidRPr="001B2E5E" w:rsidRDefault="008072E4">
      <w:pPr>
        <w:spacing w:line="360" w:lineRule="auto"/>
        <w:jc w:val="both"/>
        <w:rPr>
          <w:rFonts w:ascii="Palatino Linotype" w:eastAsia="Palatino Linotype" w:hAnsi="Palatino Linotype" w:cs="Palatino Linotype"/>
          <w:sz w:val="22"/>
          <w:szCs w:val="22"/>
        </w:rPr>
      </w:pPr>
    </w:p>
    <w:p w14:paraId="4ED2B92C" w14:textId="77777777" w:rsidR="008072E4" w:rsidRPr="001B2E5E" w:rsidRDefault="003F6F28">
      <w:pPr>
        <w:spacing w:line="360" w:lineRule="auto"/>
        <w:ind w:left="1134" w:right="900"/>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b/>
          <w:i/>
          <w:sz w:val="22"/>
          <w:szCs w:val="22"/>
        </w:rPr>
        <w:lastRenderedPageBreak/>
        <w:t xml:space="preserve">No existe obligación de elaborar documentos ad hoc para atender las solicitudes de acceso a la información. </w:t>
      </w:r>
      <w:r w:rsidRPr="001B2E5E">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516AE9F" w14:textId="77777777" w:rsidR="008072E4" w:rsidRPr="001B2E5E" w:rsidRDefault="008072E4">
      <w:pPr>
        <w:spacing w:line="360" w:lineRule="auto"/>
        <w:ind w:left="567"/>
        <w:jc w:val="both"/>
        <w:rPr>
          <w:rFonts w:ascii="Palatino Linotype" w:eastAsia="Palatino Linotype" w:hAnsi="Palatino Linotype" w:cs="Palatino Linotype"/>
          <w:i/>
          <w:sz w:val="22"/>
          <w:szCs w:val="22"/>
        </w:rPr>
      </w:pPr>
    </w:p>
    <w:p w14:paraId="5235B0E0" w14:textId="77777777" w:rsidR="008072E4" w:rsidRPr="001B2E5E" w:rsidRDefault="003F6F28">
      <w:pPr>
        <w:spacing w:line="360" w:lineRule="auto"/>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t xml:space="preserve">Por tales circunstancias para el caso en particular, este Instituto no encuentra sustento legal que permita ordenar la entrega de la información conforme los intereses del Particular; no obstante, es procedente determinar las atribuciones del </w:t>
      </w:r>
      <w:r w:rsidRPr="001B2E5E">
        <w:rPr>
          <w:rFonts w:ascii="Palatino Linotype" w:eastAsia="Palatino Linotype" w:hAnsi="Palatino Linotype" w:cs="Palatino Linotype"/>
          <w:b/>
          <w:sz w:val="22"/>
          <w:szCs w:val="22"/>
        </w:rPr>
        <w:t>SUJETO OBLIGADO</w:t>
      </w:r>
      <w:r w:rsidRPr="001B2E5E">
        <w:rPr>
          <w:rFonts w:ascii="Palatino Linotype" w:eastAsia="Palatino Linotype" w:hAnsi="Palatino Linotype" w:cs="Palatino Linotype"/>
          <w:sz w:val="22"/>
          <w:szCs w:val="22"/>
        </w:rPr>
        <w:t xml:space="preserve"> para que, de ser el caso, en aras del principio de máxima publicidad, se ordene la entrega de la información conforme obre en sus archivos al mayor grado de desagregación posible respecto a la incidencia delictiva del Municipio de Tecámac, correspondiente del primero de enero al treinta y uno de diciembre de dos mil veintitrés.</w:t>
      </w:r>
    </w:p>
    <w:p w14:paraId="70CF542B" w14:textId="77777777" w:rsidR="008072E4" w:rsidRPr="001B2E5E" w:rsidRDefault="008072E4">
      <w:pPr>
        <w:spacing w:line="360" w:lineRule="auto"/>
        <w:jc w:val="both"/>
        <w:rPr>
          <w:rFonts w:ascii="Palatino Linotype" w:eastAsia="Palatino Linotype" w:hAnsi="Palatino Linotype" w:cs="Palatino Linotype"/>
          <w:sz w:val="22"/>
          <w:szCs w:val="22"/>
        </w:rPr>
      </w:pPr>
    </w:p>
    <w:p w14:paraId="5CDCEACF" w14:textId="77777777" w:rsidR="008072E4" w:rsidRPr="001B2E5E" w:rsidRDefault="003F6F28">
      <w:pPr>
        <w:spacing w:line="360" w:lineRule="auto"/>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t>Ahora bien, de ser el caso de que la información que se ordena entregar contenga información susceptible de ser clasificada, el Sujeto Obligado estará a lo dispuesto en el siguiente Considerando.</w:t>
      </w:r>
    </w:p>
    <w:p w14:paraId="2228E456" w14:textId="77777777" w:rsidR="008072E4" w:rsidRPr="001B2E5E" w:rsidRDefault="008072E4">
      <w:pPr>
        <w:spacing w:line="360" w:lineRule="auto"/>
        <w:jc w:val="both"/>
        <w:rPr>
          <w:rFonts w:ascii="Palatino Linotype" w:eastAsia="Palatino Linotype" w:hAnsi="Palatino Linotype" w:cs="Palatino Linotype"/>
          <w:sz w:val="22"/>
          <w:szCs w:val="22"/>
        </w:rPr>
      </w:pPr>
    </w:p>
    <w:p w14:paraId="15CC889E" w14:textId="77777777" w:rsidR="008072E4" w:rsidRPr="001B2E5E" w:rsidRDefault="008072E4">
      <w:pPr>
        <w:spacing w:line="360" w:lineRule="auto"/>
        <w:jc w:val="both"/>
        <w:rPr>
          <w:rFonts w:ascii="Palatino Linotype" w:eastAsia="Palatino Linotype" w:hAnsi="Palatino Linotype" w:cs="Palatino Linotype"/>
          <w:b/>
          <w:sz w:val="22"/>
          <w:szCs w:val="22"/>
        </w:rPr>
      </w:pPr>
    </w:p>
    <w:p w14:paraId="62A1D2EA" w14:textId="77777777" w:rsidR="008072E4" w:rsidRPr="001B2E5E" w:rsidRDefault="003F6F28">
      <w:pPr>
        <w:spacing w:before="240" w:after="240" w:line="360" w:lineRule="auto"/>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b/>
          <w:sz w:val="22"/>
          <w:szCs w:val="22"/>
        </w:rPr>
        <w:lastRenderedPageBreak/>
        <w:t>Quinto. Versión Pública.</w:t>
      </w:r>
      <w:r w:rsidRPr="001B2E5E">
        <w:rPr>
          <w:rFonts w:ascii="Palatino Linotype" w:eastAsia="Palatino Linotype" w:hAnsi="Palatino Linotype" w:cs="Palatino Linotype"/>
          <w:sz w:val="22"/>
          <w:szCs w:val="22"/>
        </w:rPr>
        <w:t xml:space="preserve"> Finalmente, debe señalarse que de ser el caso en que los documentos que vayan a ser entregados para dar cumplimiento a la presente resolución, contengan datos que deban ser clasificados, el </w:t>
      </w:r>
      <w:r w:rsidRPr="001B2E5E">
        <w:rPr>
          <w:rFonts w:ascii="Palatino Linotype" w:eastAsia="Palatino Linotype" w:hAnsi="Palatino Linotype" w:cs="Palatino Linotype"/>
          <w:b/>
          <w:sz w:val="22"/>
          <w:szCs w:val="22"/>
        </w:rPr>
        <w:t>Sujeto Obligado</w:t>
      </w:r>
      <w:r w:rsidRPr="001B2E5E">
        <w:rPr>
          <w:rFonts w:ascii="Palatino Linotype" w:eastAsia="Palatino Linotype" w:hAnsi="Palatino Linotype" w:cs="Palatino Linotype"/>
          <w:sz w:val="22"/>
          <w:szCs w:val="22"/>
        </w:rPr>
        <w:t xml:space="preserve"> deberá hacer la elaboración de la versión pública de los mismos a fin de satisfacer el derecho de acceso a la información pública de la parte </w:t>
      </w:r>
      <w:r w:rsidRPr="001B2E5E">
        <w:rPr>
          <w:rFonts w:ascii="Palatino Linotype" w:eastAsia="Palatino Linotype" w:hAnsi="Palatino Linotype" w:cs="Palatino Linotype"/>
          <w:b/>
          <w:sz w:val="22"/>
          <w:szCs w:val="22"/>
        </w:rPr>
        <w:t>Recurrente</w:t>
      </w:r>
      <w:r w:rsidRPr="001B2E5E">
        <w:rPr>
          <w:rFonts w:ascii="Palatino Linotype" w:eastAsia="Palatino Linotype" w:hAnsi="Palatino Linotype" w:cs="Palatino Linotype"/>
          <w:sz w:val="22"/>
          <w:szCs w:val="22"/>
        </w:rPr>
        <w:t xml:space="preserve"> sin menoscabo al derecho a la protección de los datos personales de terceros.</w:t>
      </w:r>
    </w:p>
    <w:p w14:paraId="752539B7" w14:textId="77777777" w:rsidR="008072E4" w:rsidRPr="001B2E5E" w:rsidRDefault="003F6F28">
      <w:pPr>
        <w:spacing w:before="240" w:after="240" w:line="360" w:lineRule="auto"/>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t>Para efectos de la elaboración de la versión pública se deberá observar lo dispuesto por los artículos 3 fracciones IX, XX, XXI y XLV, 91, 132 fracciones II y III, y 143 fracción I de la Ley de Transparencia y Acceso a la Información Pública del Estado de México y Municipios que establecen:</w:t>
      </w:r>
    </w:p>
    <w:p w14:paraId="30241219" w14:textId="77777777" w:rsidR="008072E4" w:rsidRPr="001B2E5E" w:rsidRDefault="003F6F28">
      <w:pPr>
        <w:spacing w:before="120" w:after="120"/>
        <w:ind w:left="851" w:right="902"/>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w:t>
      </w:r>
      <w:r w:rsidRPr="001B2E5E">
        <w:rPr>
          <w:rFonts w:ascii="Palatino Linotype" w:eastAsia="Palatino Linotype" w:hAnsi="Palatino Linotype" w:cs="Palatino Linotype"/>
          <w:b/>
          <w:i/>
          <w:sz w:val="22"/>
          <w:szCs w:val="22"/>
        </w:rPr>
        <w:t>Artículo 3</w:t>
      </w:r>
      <w:r w:rsidRPr="001B2E5E">
        <w:rPr>
          <w:rFonts w:ascii="Palatino Linotype" w:eastAsia="Palatino Linotype" w:hAnsi="Palatino Linotype" w:cs="Palatino Linotype"/>
          <w:i/>
          <w:sz w:val="22"/>
          <w:szCs w:val="22"/>
        </w:rPr>
        <w:t>. Para los efectos de la presente Ley se entenderá por:</w:t>
      </w:r>
    </w:p>
    <w:p w14:paraId="72D72338" w14:textId="77777777" w:rsidR="008072E4" w:rsidRPr="001B2E5E" w:rsidRDefault="003F6F28">
      <w:pPr>
        <w:spacing w:before="120" w:after="120"/>
        <w:ind w:left="1134" w:right="902"/>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w:t>
      </w:r>
    </w:p>
    <w:p w14:paraId="426F08E4" w14:textId="77777777" w:rsidR="008072E4" w:rsidRPr="001B2E5E" w:rsidRDefault="003F6F28">
      <w:pPr>
        <w:spacing w:before="120" w:after="120"/>
        <w:ind w:left="1134" w:right="902"/>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b/>
          <w:i/>
          <w:sz w:val="22"/>
          <w:szCs w:val="22"/>
        </w:rPr>
        <w:t>IX. Datos personales</w:t>
      </w:r>
      <w:r w:rsidRPr="001B2E5E">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38B4DBE2" w14:textId="77777777" w:rsidR="008072E4" w:rsidRPr="001B2E5E" w:rsidRDefault="003F6F28">
      <w:pPr>
        <w:spacing w:before="120" w:after="120"/>
        <w:ind w:left="1134" w:right="902"/>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b/>
          <w:i/>
          <w:sz w:val="22"/>
          <w:szCs w:val="22"/>
        </w:rPr>
        <w:t>XX. Información clasificada</w:t>
      </w:r>
      <w:r w:rsidRPr="001B2E5E">
        <w:rPr>
          <w:rFonts w:ascii="Palatino Linotype" w:eastAsia="Palatino Linotype" w:hAnsi="Palatino Linotype" w:cs="Palatino Linotype"/>
          <w:i/>
          <w:sz w:val="22"/>
          <w:szCs w:val="22"/>
        </w:rPr>
        <w:t>: Aquella considerada por la presente Ley como reservada o confidencial;</w:t>
      </w:r>
    </w:p>
    <w:p w14:paraId="0D644AC4" w14:textId="77777777" w:rsidR="008072E4" w:rsidRPr="001B2E5E" w:rsidRDefault="003F6F28">
      <w:pPr>
        <w:spacing w:before="120" w:after="120"/>
        <w:ind w:left="1134" w:right="902"/>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b/>
          <w:i/>
          <w:sz w:val="22"/>
          <w:szCs w:val="22"/>
        </w:rPr>
        <w:t>XXI. Información confidencial</w:t>
      </w:r>
      <w:r w:rsidRPr="001B2E5E">
        <w:rPr>
          <w:rFonts w:ascii="Palatino Linotype" w:eastAsia="Palatino Linotype" w:hAnsi="Palatino Linotype" w:cs="Palatino Linotype"/>
          <w:i/>
          <w:sz w:val="22"/>
          <w:szCs w:val="22"/>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B94F6A0" w14:textId="77777777" w:rsidR="008072E4" w:rsidRPr="001B2E5E" w:rsidRDefault="003F6F28">
      <w:pPr>
        <w:spacing w:before="120" w:after="120"/>
        <w:ind w:left="1134" w:right="902"/>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b/>
          <w:i/>
          <w:sz w:val="22"/>
          <w:szCs w:val="22"/>
        </w:rPr>
        <w:t>XLV. Versión pública</w:t>
      </w:r>
      <w:r w:rsidRPr="001B2E5E">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7CC64584" w14:textId="77777777" w:rsidR="008072E4" w:rsidRPr="001B2E5E" w:rsidRDefault="003F6F28">
      <w:pPr>
        <w:spacing w:before="120" w:after="120"/>
        <w:ind w:left="851" w:right="902"/>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w:t>
      </w:r>
    </w:p>
    <w:p w14:paraId="5D65E0A6" w14:textId="77777777" w:rsidR="008072E4" w:rsidRPr="001B2E5E" w:rsidRDefault="003F6F28">
      <w:pPr>
        <w:spacing w:before="120" w:after="120"/>
        <w:ind w:left="851" w:right="902"/>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b/>
          <w:i/>
          <w:sz w:val="22"/>
          <w:szCs w:val="22"/>
        </w:rPr>
        <w:t>Artículo 91.</w:t>
      </w:r>
      <w:r w:rsidRPr="001B2E5E">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28681859" w14:textId="77777777" w:rsidR="008072E4" w:rsidRPr="001B2E5E" w:rsidRDefault="003F6F28">
      <w:pPr>
        <w:spacing w:before="120" w:after="120"/>
        <w:ind w:left="851" w:right="902"/>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b/>
          <w:i/>
          <w:sz w:val="22"/>
          <w:szCs w:val="22"/>
        </w:rPr>
        <w:t>Artículo 132</w:t>
      </w:r>
      <w:r w:rsidRPr="001B2E5E">
        <w:rPr>
          <w:rFonts w:ascii="Palatino Linotype" w:eastAsia="Palatino Linotype" w:hAnsi="Palatino Linotype" w:cs="Palatino Linotype"/>
          <w:i/>
          <w:sz w:val="22"/>
          <w:szCs w:val="22"/>
        </w:rPr>
        <w:t>. La clasificación de la información se llevará a cabo en el momento en que:</w:t>
      </w:r>
    </w:p>
    <w:p w14:paraId="3C7AD238" w14:textId="77777777" w:rsidR="008072E4" w:rsidRPr="001B2E5E" w:rsidRDefault="003F6F28">
      <w:pPr>
        <w:spacing w:before="120" w:after="120"/>
        <w:ind w:left="1134" w:right="902"/>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b/>
          <w:i/>
          <w:sz w:val="22"/>
          <w:szCs w:val="22"/>
        </w:rPr>
        <w:lastRenderedPageBreak/>
        <w:t>I.</w:t>
      </w:r>
      <w:r w:rsidRPr="001B2E5E">
        <w:rPr>
          <w:rFonts w:ascii="Palatino Linotype" w:eastAsia="Palatino Linotype" w:hAnsi="Palatino Linotype" w:cs="Palatino Linotype"/>
          <w:i/>
          <w:sz w:val="22"/>
          <w:szCs w:val="22"/>
        </w:rPr>
        <w:t xml:space="preserve"> Se reciba una solicitud de acceso a la información;</w:t>
      </w:r>
    </w:p>
    <w:p w14:paraId="4EDF778C" w14:textId="77777777" w:rsidR="008072E4" w:rsidRPr="001B2E5E" w:rsidRDefault="003F6F28">
      <w:pPr>
        <w:spacing w:before="120" w:after="120"/>
        <w:ind w:left="1134" w:right="902"/>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b/>
          <w:i/>
          <w:sz w:val="22"/>
          <w:szCs w:val="22"/>
        </w:rPr>
        <w:t>II.</w:t>
      </w:r>
      <w:r w:rsidRPr="001B2E5E">
        <w:rPr>
          <w:rFonts w:ascii="Palatino Linotype" w:eastAsia="Palatino Linotype" w:hAnsi="Palatino Linotype" w:cs="Palatino Linotype"/>
          <w:i/>
          <w:sz w:val="22"/>
          <w:szCs w:val="22"/>
        </w:rPr>
        <w:t xml:space="preserve"> Se determine mediante resolución de autoridad competente; o</w:t>
      </w:r>
    </w:p>
    <w:p w14:paraId="6DFA2174" w14:textId="77777777" w:rsidR="008072E4" w:rsidRPr="001B2E5E" w:rsidRDefault="003F6F28">
      <w:pPr>
        <w:spacing w:before="120" w:after="120"/>
        <w:ind w:left="1134" w:right="902"/>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b/>
          <w:i/>
          <w:sz w:val="22"/>
          <w:szCs w:val="22"/>
        </w:rPr>
        <w:t>III.</w:t>
      </w:r>
      <w:r w:rsidRPr="001B2E5E">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2FE2590D" w14:textId="77777777" w:rsidR="008072E4" w:rsidRPr="001B2E5E" w:rsidRDefault="003F6F28">
      <w:pPr>
        <w:spacing w:before="120" w:after="120"/>
        <w:ind w:left="851" w:right="902"/>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w:t>
      </w:r>
    </w:p>
    <w:p w14:paraId="197F0F95" w14:textId="77777777" w:rsidR="008072E4" w:rsidRPr="001B2E5E" w:rsidRDefault="003F6F28">
      <w:pPr>
        <w:spacing w:before="120" w:after="120"/>
        <w:ind w:left="851" w:right="902"/>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b/>
          <w:i/>
          <w:sz w:val="22"/>
          <w:szCs w:val="22"/>
        </w:rPr>
        <w:t>Artículo 143.</w:t>
      </w:r>
      <w:r w:rsidRPr="001B2E5E">
        <w:rPr>
          <w:rFonts w:ascii="Palatino Linotype" w:eastAsia="Palatino Linotype" w:hAnsi="Palatino Linotype" w:cs="Palatino Linotype"/>
          <w:i/>
          <w:sz w:val="22"/>
          <w:szCs w:val="22"/>
        </w:rPr>
        <w:t xml:space="preserve"> Para los efectos de esta Ley se considera información confidencial, la clasificada como tal, de manera permanente, por su naturaleza, cuando:</w:t>
      </w:r>
    </w:p>
    <w:p w14:paraId="3A858206" w14:textId="77777777" w:rsidR="008072E4" w:rsidRPr="001B2E5E" w:rsidRDefault="003F6F28">
      <w:pPr>
        <w:spacing w:before="120" w:after="120"/>
        <w:ind w:left="1134" w:right="902"/>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b/>
          <w:i/>
          <w:sz w:val="22"/>
          <w:szCs w:val="22"/>
        </w:rPr>
        <w:t>I.</w:t>
      </w:r>
      <w:r w:rsidRPr="001B2E5E">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2ED9F12E" w14:textId="77777777" w:rsidR="008072E4" w:rsidRPr="001B2E5E" w:rsidRDefault="003F6F28">
      <w:pPr>
        <w:spacing w:before="120" w:after="120"/>
        <w:ind w:left="1134" w:right="902"/>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b/>
          <w:i/>
          <w:sz w:val="22"/>
          <w:szCs w:val="22"/>
        </w:rPr>
        <w:t>II.</w:t>
      </w:r>
      <w:r w:rsidRPr="001B2E5E">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7A0632BF" w14:textId="77777777" w:rsidR="008072E4" w:rsidRPr="001B2E5E" w:rsidRDefault="003F6F28">
      <w:pPr>
        <w:spacing w:before="120" w:after="120"/>
        <w:ind w:left="1134" w:right="902"/>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b/>
          <w:i/>
          <w:sz w:val="22"/>
          <w:szCs w:val="22"/>
        </w:rPr>
        <w:t>III.</w:t>
      </w:r>
      <w:r w:rsidRPr="001B2E5E">
        <w:rPr>
          <w:rFonts w:ascii="Palatino Linotype" w:eastAsia="Palatino Linotype" w:hAnsi="Palatino Linotype" w:cs="Palatino Linotype"/>
          <w:i/>
          <w:sz w:val="22"/>
          <w:szCs w:val="22"/>
        </w:rPr>
        <w:t xml:space="preserve"> La que presenten los particulares a los sujetos obligados, de conformidad con lo dispuesto por las leyes o los tratados internacionales.</w:t>
      </w:r>
    </w:p>
    <w:p w14:paraId="5AD5BCB3" w14:textId="77777777" w:rsidR="008072E4" w:rsidRPr="001B2E5E" w:rsidRDefault="003F6F28">
      <w:pPr>
        <w:spacing w:before="120" w:after="120"/>
        <w:ind w:left="851" w:right="902"/>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54B50DD8" w14:textId="77777777" w:rsidR="008072E4" w:rsidRPr="001B2E5E" w:rsidRDefault="003F6F28">
      <w:pPr>
        <w:spacing w:before="120" w:after="120"/>
        <w:ind w:left="851" w:right="902"/>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40E10A1C" w14:textId="77777777" w:rsidR="008072E4" w:rsidRPr="001B2E5E" w:rsidRDefault="003F6F28">
      <w:pPr>
        <w:spacing w:before="240" w:after="240" w:line="360" w:lineRule="auto"/>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144DAA91" w14:textId="77777777" w:rsidR="008072E4" w:rsidRPr="001B2E5E" w:rsidRDefault="003F6F28">
      <w:pPr>
        <w:spacing w:before="240" w:after="240" w:line="360" w:lineRule="auto"/>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lastRenderedPageBreak/>
        <w:t>Entorno a lo que aquí nos interesa, los Lineamientos Quincuagésimo sexto, Quincuagésimo séptimo y Quincuagésimo octavo, establecen lo siguiente:</w:t>
      </w:r>
    </w:p>
    <w:p w14:paraId="029540B7" w14:textId="77777777" w:rsidR="008072E4" w:rsidRPr="001B2E5E" w:rsidRDefault="003F6F28">
      <w:pPr>
        <w:spacing w:before="120" w:after="120"/>
        <w:ind w:left="851" w:right="902"/>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w:t>
      </w:r>
      <w:r w:rsidRPr="001B2E5E">
        <w:rPr>
          <w:rFonts w:ascii="Palatino Linotype" w:eastAsia="Palatino Linotype" w:hAnsi="Palatino Linotype" w:cs="Palatino Linotype"/>
          <w:b/>
          <w:i/>
          <w:sz w:val="22"/>
          <w:szCs w:val="22"/>
        </w:rPr>
        <w:t>Quincuagésimo sexto.</w:t>
      </w:r>
      <w:r w:rsidRPr="001B2E5E">
        <w:rPr>
          <w:rFonts w:ascii="Palatino Linotype" w:eastAsia="Palatino Linotype" w:hAnsi="Palatino Linotype" w:cs="Palatino Linotype"/>
          <w:i/>
          <w:sz w:val="22"/>
          <w:szCs w:val="22"/>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32E05D43" w14:textId="77777777" w:rsidR="008072E4" w:rsidRPr="001B2E5E" w:rsidRDefault="003F6F28">
      <w:pPr>
        <w:spacing w:before="120" w:after="120"/>
        <w:ind w:left="851" w:right="902"/>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b/>
          <w:i/>
          <w:sz w:val="22"/>
          <w:szCs w:val="22"/>
        </w:rPr>
        <w:t>Quincuagésimo séptimo.</w:t>
      </w:r>
      <w:r w:rsidRPr="001B2E5E">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64669055" w14:textId="77777777" w:rsidR="008072E4" w:rsidRPr="001B2E5E" w:rsidRDefault="003F6F28">
      <w:pPr>
        <w:spacing w:before="120" w:after="120"/>
        <w:ind w:left="1134" w:right="902"/>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b/>
          <w:i/>
          <w:sz w:val="22"/>
          <w:szCs w:val="22"/>
        </w:rPr>
        <w:t>I.</w:t>
      </w:r>
      <w:r w:rsidRPr="001B2E5E">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4DBBF82D" w14:textId="77777777" w:rsidR="008072E4" w:rsidRPr="001B2E5E" w:rsidRDefault="003F6F28">
      <w:pPr>
        <w:spacing w:before="120" w:after="120"/>
        <w:ind w:left="1134" w:right="902"/>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b/>
          <w:i/>
          <w:sz w:val="22"/>
          <w:szCs w:val="22"/>
        </w:rPr>
        <w:t>II.</w:t>
      </w:r>
      <w:r w:rsidRPr="001B2E5E">
        <w:rPr>
          <w:rFonts w:ascii="Palatino Linotype" w:eastAsia="Palatino Linotype" w:hAnsi="Palatino Linotype" w:cs="Palatino Linotype"/>
          <w:i/>
          <w:sz w:val="22"/>
          <w:szCs w:val="22"/>
        </w:rPr>
        <w:t xml:space="preserve"> El nombre de los servidores públicos en los documentos, y sus firmas autógrafas, cuando sean utilizados en el ejercicio de las facultades conferidas para el desempeño del servicio público, y </w:t>
      </w:r>
    </w:p>
    <w:p w14:paraId="3F2CB462" w14:textId="77777777" w:rsidR="008072E4" w:rsidRPr="001B2E5E" w:rsidRDefault="003F6F28">
      <w:pPr>
        <w:spacing w:before="120" w:after="120"/>
        <w:ind w:left="1134" w:right="902"/>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b/>
          <w:i/>
          <w:sz w:val="22"/>
          <w:szCs w:val="22"/>
        </w:rPr>
        <w:t>III.</w:t>
      </w:r>
      <w:r w:rsidRPr="001B2E5E">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w:t>
      </w:r>
    </w:p>
    <w:p w14:paraId="3110EBDE" w14:textId="77777777" w:rsidR="008072E4" w:rsidRPr="001B2E5E" w:rsidRDefault="003F6F28">
      <w:pPr>
        <w:spacing w:before="120" w:after="120"/>
        <w:ind w:left="851" w:right="902"/>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internaciones suscritos por el Estado mexicano. </w:t>
      </w:r>
    </w:p>
    <w:p w14:paraId="71357C70" w14:textId="77777777" w:rsidR="008072E4" w:rsidRPr="001B2E5E" w:rsidRDefault="003F6F28">
      <w:pPr>
        <w:spacing w:before="120" w:after="120"/>
        <w:ind w:left="851" w:right="902"/>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b/>
          <w:i/>
          <w:sz w:val="22"/>
          <w:szCs w:val="22"/>
        </w:rPr>
        <w:t>Quincuagésimo octavo</w:t>
      </w:r>
      <w:r w:rsidRPr="001B2E5E">
        <w:rPr>
          <w:rFonts w:ascii="Palatino Linotype" w:eastAsia="Palatino Linotype" w:hAnsi="Palatino Linotype" w:cs="Palatino Linotype"/>
          <w:i/>
          <w:sz w:val="22"/>
          <w:szCs w:val="22"/>
        </w:rPr>
        <w:t>. Los sujetos obligados garantizarán que los sistemas o medios empleados para eliminar la información en las versiones públicas no permitan la recuperación o visualización de la misma.”</w:t>
      </w:r>
    </w:p>
    <w:p w14:paraId="2BF3B7E5" w14:textId="77777777" w:rsidR="008072E4" w:rsidRPr="001B2E5E" w:rsidRDefault="003F6F28">
      <w:pPr>
        <w:spacing w:before="240" w:after="240" w:line="360" w:lineRule="auto"/>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t>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w:t>
      </w:r>
    </w:p>
    <w:p w14:paraId="3FE2928D" w14:textId="77777777" w:rsidR="008072E4" w:rsidRPr="001B2E5E" w:rsidRDefault="003F6F28">
      <w:pPr>
        <w:spacing w:before="240" w:after="240" w:line="360" w:lineRule="auto"/>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lastRenderedPageBreak/>
        <w:t xml:space="preserve">Asimismo, se destaca que la versión pública que elabore el </w:t>
      </w:r>
      <w:r w:rsidRPr="001B2E5E">
        <w:rPr>
          <w:rFonts w:ascii="Palatino Linotype" w:eastAsia="Palatino Linotype" w:hAnsi="Palatino Linotype" w:cs="Palatino Linotype"/>
          <w:b/>
          <w:sz w:val="22"/>
          <w:szCs w:val="22"/>
        </w:rPr>
        <w:t>Sujeto Obligado</w:t>
      </w:r>
      <w:r w:rsidRPr="001B2E5E">
        <w:rPr>
          <w:rFonts w:ascii="Palatino Linotype" w:eastAsia="Palatino Linotype" w:hAnsi="Palatino Linotype" w:cs="Palatino Linotype"/>
          <w:sz w:val="22"/>
          <w:szCs w:val="22"/>
        </w:rPr>
        <w:t xml:space="preserve"> debe cumplir con las formalidades exigidas en la Ley, por lo que para tal efecto emitirá el Acuerdo del Comité de Transparencia en el que se expongan los fundamentos y razonamientos que le llevaron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1B2E5E">
        <w:rPr>
          <w:rFonts w:ascii="Palatino Linotype" w:eastAsia="Palatino Linotype" w:hAnsi="Palatino Linotype" w:cs="Palatino Linotype"/>
          <w:b/>
          <w:sz w:val="22"/>
          <w:szCs w:val="22"/>
        </w:rPr>
        <w:t>Recurrente</w:t>
      </w:r>
      <w:r w:rsidRPr="001B2E5E">
        <w:rPr>
          <w:rFonts w:ascii="Palatino Linotype" w:eastAsia="Palatino Linotype" w:hAnsi="Palatino Linotype" w:cs="Palatino Linotype"/>
          <w:sz w:val="22"/>
          <w:szCs w:val="22"/>
        </w:rPr>
        <w:t>.</w:t>
      </w:r>
    </w:p>
    <w:p w14:paraId="721CF433" w14:textId="77777777" w:rsidR="008072E4" w:rsidRPr="001B2E5E" w:rsidRDefault="003F6F28">
      <w:pPr>
        <w:spacing w:before="240" w:after="240" w:line="360" w:lineRule="auto"/>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t xml:space="preserve">De este modo, la versión pública que elabore el </w:t>
      </w:r>
      <w:r w:rsidRPr="001B2E5E">
        <w:rPr>
          <w:rFonts w:ascii="Palatino Linotype" w:eastAsia="Palatino Linotype" w:hAnsi="Palatino Linotype" w:cs="Palatino Linotype"/>
          <w:b/>
          <w:sz w:val="22"/>
          <w:szCs w:val="22"/>
        </w:rPr>
        <w:t xml:space="preserve">Sujeto Obligado </w:t>
      </w:r>
      <w:r w:rsidRPr="001B2E5E">
        <w:rPr>
          <w:rFonts w:ascii="Palatino Linotype" w:eastAsia="Palatino Linotype" w:hAnsi="Palatino Linotype" w:cs="Palatino Linotype"/>
          <w:sz w:val="22"/>
          <w:szCs w:val="22"/>
        </w:rPr>
        <w:t>debe acompañarse del</w:t>
      </w:r>
      <w:r w:rsidRPr="001B2E5E">
        <w:rPr>
          <w:rFonts w:ascii="Palatino Linotype" w:eastAsia="Palatino Linotype" w:hAnsi="Palatino Linotype" w:cs="Palatino Linotype"/>
          <w:b/>
          <w:sz w:val="22"/>
          <w:szCs w:val="22"/>
        </w:rPr>
        <w:t xml:space="preserve"> </w:t>
      </w:r>
      <w:r w:rsidRPr="001B2E5E">
        <w:rPr>
          <w:rFonts w:ascii="Palatino Linotype" w:eastAsia="Palatino Linotype" w:hAnsi="Palatino Linotype" w:cs="Palatino Linotype"/>
          <w:sz w:val="22"/>
          <w:szCs w:val="22"/>
        </w:rPr>
        <w:t xml:space="preserve">Acuerdo de Clasificación que emita el Comité de Transparencia, para lo cual se deberá observar lo dispuesto en la Ley de Transparencia y Acceso a la Información Pública del Estado de México y Municipios, y en los Lineamientos Generales en Materia de Clasificación y Desclasificación de la Información, así como para la elaboración de Versiones Públicas, publicados en el Diario Oficial de la Federación en fecha quince de abril de la presente anualidad, mediante ACUERDO del Consejo Nacional del Sistema Nacional de Transparencia, Acceso a la Información Pública y Protección de Datos Personales, motivando la referida clasificación al señalar las </w:t>
      </w:r>
      <w:r w:rsidRPr="001B2E5E">
        <w:rPr>
          <w:rFonts w:ascii="Palatino Linotype" w:eastAsia="Palatino Linotype" w:hAnsi="Palatino Linotype" w:cs="Palatino Linotype"/>
          <w:b/>
          <w:sz w:val="22"/>
          <w:szCs w:val="22"/>
          <w:u w:val="single"/>
        </w:rPr>
        <w:t>razones, motivos o circunstancias especiales</w:t>
      </w:r>
      <w:r w:rsidRPr="001B2E5E">
        <w:rPr>
          <w:rFonts w:ascii="Palatino Linotype" w:eastAsia="Palatino Linotype" w:hAnsi="Palatino Linotype" w:cs="Palatino Linotype"/>
          <w:sz w:val="22"/>
          <w:szCs w:val="22"/>
        </w:rPr>
        <w:t xml:space="preserve"> que lo llevaron a concluir que el caso concreto, se ajustó a los supuestos previstos en la normatividad legal invocada como fundamento.</w:t>
      </w:r>
    </w:p>
    <w:p w14:paraId="5BD14595" w14:textId="77777777" w:rsidR="008072E4" w:rsidRPr="001B2E5E" w:rsidRDefault="003F6F28">
      <w:pPr>
        <w:spacing w:before="240" w:after="240" w:line="360" w:lineRule="auto"/>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t>Entorno a lo que aquí nos interesa, el Lineamiento Quincuagésimo segundo de los Lineamientos Generales en Materia de Clasificación y Desclasificación de la Información, así como para la Elaboración de Versiones Públicas, establece lo siguiente:</w:t>
      </w:r>
    </w:p>
    <w:p w14:paraId="0667451E" w14:textId="77777777" w:rsidR="008072E4" w:rsidRPr="001B2E5E" w:rsidRDefault="003F6F28">
      <w:pPr>
        <w:spacing w:before="120" w:after="120"/>
        <w:ind w:left="851" w:right="900"/>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b/>
          <w:i/>
          <w:sz w:val="22"/>
          <w:szCs w:val="22"/>
        </w:rPr>
        <w:lastRenderedPageBreak/>
        <w:t>“Quincuagésimo segundo</w:t>
      </w:r>
      <w:r w:rsidRPr="001B2E5E">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42D33729" w14:textId="77777777" w:rsidR="008072E4" w:rsidRPr="001B2E5E" w:rsidRDefault="003F6F28">
      <w:pPr>
        <w:spacing w:before="120" w:after="120"/>
        <w:ind w:left="851" w:right="900"/>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 xml:space="preserve">En el caso </w:t>
      </w:r>
      <w:proofErr w:type="spellStart"/>
      <w:r w:rsidRPr="001B2E5E">
        <w:rPr>
          <w:rFonts w:ascii="Palatino Linotype" w:eastAsia="Palatino Linotype" w:hAnsi="Palatino Linotype" w:cs="Palatino Linotype"/>
          <w:i/>
          <w:sz w:val="22"/>
          <w:szCs w:val="22"/>
        </w:rPr>
        <w:t>especifico</w:t>
      </w:r>
      <w:proofErr w:type="spellEnd"/>
      <w:r w:rsidRPr="001B2E5E">
        <w:rPr>
          <w:rFonts w:ascii="Palatino Linotype" w:eastAsia="Palatino Linotype" w:hAnsi="Palatino Linotype" w:cs="Palatino Linotype"/>
          <w:i/>
          <w:sz w:val="22"/>
          <w:szCs w:val="22"/>
        </w:rPr>
        <w:t xml:space="preserve"> de la clasificación y elaboración de versiones públicas de documentos que contengan información confidencial, las áreas de los sujetos obligados deberán: </w:t>
      </w:r>
    </w:p>
    <w:p w14:paraId="3BF800A1" w14:textId="77777777" w:rsidR="008072E4" w:rsidRPr="001B2E5E" w:rsidRDefault="003F6F28">
      <w:pPr>
        <w:spacing w:before="120" w:after="120"/>
        <w:ind w:left="1134" w:right="900"/>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b/>
          <w:i/>
          <w:sz w:val="22"/>
          <w:szCs w:val="22"/>
        </w:rPr>
        <w:t>I.</w:t>
      </w:r>
      <w:r w:rsidRPr="001B2E5E">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343CE712" w14:textId="77777777" w:rsidR="008072E4" w:rsidRPr="001B2E5E" w:rsidRDefault="003F6F28">
      <w:pPr>
        <w:spacing w:before="120" w:after="120"/>
        <w:ind w:left="1134" w:right="900"/>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b/>
          <w:i/>
          <w:sz w:val="22"/>
          <w:szCs w:val="22"/>
        </w:rPr>
        <w:t>II.</w:t>
      </w:r>
      <w:r w:rsidRPr="001B2E5E">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1F797B6D" w14:textId="77777777" w:rsidR="008072E4" w:rsidRPr="001B2E5E" w:rsidRDefault="003F6F28">
      <w:pPr>
        <w:spacing w:before="120" w:after="120"/>
        <w:ind w:left="1134" w:right="900"/>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b/>
          <w:i/>
          <w:sz w:val="22"/>
          <w:szCs w:val="22"/>
        </w:rPr>
        <w:t>III.</w:t>
      </w:r>
      <w:r w:rsidRPr="001B2E5E">
        <w:rPr>
          <w:rFonts w:ascii="Palatino Linotype" w:eastAsia="Palatino Linotype" w:hAnsi="Palatino Linotype" w:cs="Palatino Linotype"/>
          <w:i/>
          <w:sz w:val="22"/>
          <w:szCs w:val="22"/>
        </w:rPr>
        <w:t xml:space="preserve"> Señalar las personas o instancias autorizadas a acceder a la información clasificada.</w:t>
      </w:r>
    </w:p>
    <w:p w14:paraId="1280CEEE" w14:textId="77777777" w:rsidR="008072E4" w:rsidRPr="001B2E5E" w:rsidRDefault="003F6F28">
      <w:pPr>
        <w:spacing w:before="120" w:after="120"/>
        <w:ind w:left="851" w:right="900"/>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728F3B21" w14:textId="77777777" w:rsidR="008072E4" w:rsidRPr="001B2E5E" w:rsidRDefault="003F6F28">
      <w:pPr>
        <w:spacing w:before="240" w:after="240" w:line="360" w:lineRule="auto"/>
        <w:ind w:right="50"/>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t xml:space="preserve">Deberá observar el Lineamiento Quincuagésimo tercero de los Lineamientos Generales en Materia de Clasificación y Desclasificación de la Información </w:t>
      </w:r>
      <w:proofErr w:type="spellStart"/>
      <w:r w:rsidRPr="001B2E5E">
        <w:rPr>
          <w:rFonts w:ascii="Palatino Linotype" w:eastAsia="Palatino Linotype" w:hAnsi="Palatino Linotype" w:cs="Palatino Linotype"/>
          <w:sz w:val="22"/>
          <w:szCs w:val="22"/>
        </w:rPr>
        <w:t>supraindicados</w:t>
      </w:r>
      <w:proofErr w:type="spellEnd"/>
      <w:r w:rsidRPr="001B2E5E">
        <w:rPr>
          <w:rFonts w:ascii="Palatino Linotype" w:eastAsia="Palatino Linotype" w:hAnsi="Palatino Linotype" w:cs="Palatino Linotype"/>
          <w:sz w:val="22"/>
          <w:szCs w:val="22"/>
        </w:rPr>
        <w:t xml:space="preserve">, que establece los formatos para la clasificación de los documentos, conforme a lo siguiente: </w:t>
      </w:r>
    </w:p>
    <w:p w14:paraId="7BDC4371" w14:textId="77777777" w:rsidR="008072E4" w:rsidRPr="001B2E5E" w:rsidRDefault="003F6F28">
      <w:pPr>
        <w:ind w:left="851" w:right="900"/>
        <w:jc w:val="center"/>
        <w:rPr>
          <w:rFonts w:ascii="Palatino Linotype" w:eastAsia="Palatino Linotype" w:hAnsi="Palatino Linotype" w:cs="Palatino Linotype"/>
          <w:b/>
          <w:i/>
          <w:sz w:val="22"/>
          <w:szCs w:val="22"/>
        </w:rPr>
      </w:pPr>
      <w:r w:rsidRPr="001B2E5E">
        <w:rPr>
          <w:rFonts w:ascii="Palatino Linotype" w:eastAsia="Palatino Linotype" w:hAnsi="Palatino Linotype" w:cs="Palatino Linotype"/>
          <w:b/>
          <w:i/>
          <w:sz w:val="22"/>
          <w:szCs w:val="22"/>
        </w:rPr>
        <w:t>CAPÍTULO VIII</w:t>
      </w:r>
    </w:p>
    <w:p w14:paraId="4C1439F7" w14:textId="77777777" w:rsidR="008072E4" w:rsidRPr="001B2E5E" w:rsidRDefault="003F6F28">
      <w:pPr>
        <w:ind w:left="851" w:right="900"/>
        <w:jc w:val="center"/>
        <w:rPr>
          <w:rFonts w:ascii="Palatino Linotype" w:eastAsia="Palatino Linotype" w:hAnsi="Palatino Linotype" w:cs="Palatino Linotype"/>
          <w:b/>
          <w:i/>
          <w:sz w:val="22"/>
          <w:szCs w:val="22"/>
        </w:rPr>
      </w:pPr>
      <w:r w:rsidRPr="001B2E5E">
        <w:rPr>
          <w:rFonts w:ascii="Palatino Linotype" w:eastAsia="Palatino Linotype" w:hAnsi="Palatino Linotype" w:cs="Palatino Linotype"/>
          <w:b/>
          <w:i/>
          <w:sz w:val="22"/>
          <w:szCs w:val="22"/>
        </w:rPr>
        <w:t xml:space="preserve">DE LOS ELEMENTOS PARA LA CLASIFICACIÓN </w:t>
      </w:r>
    </w:p>
    <w:p w14:paraId="3F009292" w14:textId="77777777" w:rsidR="008072E4" w:rsidRPr="001B2E5E" w:rsidRDefault="003F6F28">
      <w:pPr>
        <w:ind w:left="851" w:right="900"/>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w:t>
      </w:r>
    </w:p>
    <w:p w14:paraId="1403BCB7" w14:textId="77777777" w:rsidR="008072E4" w:rsidRPr="001B2E5E" w:rsidRDefault="003F6F28">
      <w:pPr>
        <w:spacing w:before="120" w:after="120"/>
        <w:ind w:left="851" w:right="902"/>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b/>
          <w:i/>
          <w:sz w:val="22"/>
          <w:szCs w:val="22"/>
        </w:rPr>
        <w:t xml:space="preserve">Quincuagésimo tercero. </w:t>
      </w:r>
      <w:r w:rsidRPr="001B2E5E">
        <w:rPr>
          <w:rFonts w:ascii="Palatino Linotype" w:eastAsia="Palatino Linotype" w:hAnsi="Palatino Linotype" w:cs="Palatino Linotype"/>
          <w:b/>
          <w:i/>
          <w:sz w:val="22"/>
          <w:szCs w:val="22"/>
          <w:u w:val="single"/>
        </w:rPr>
        <w:t>El formato para señalar la clasificación de un documento o expediente que contenga información reservada</w:t>
      </w:r>
      <w:r w:rsidRPr="001B2E5E">
        <w:rPr>
          <w:rFonts w:ascii="Palatino Linotype" w:eastAsia="Palatino Linotype" w:hAnsi="Palatino Linotype" w:cs="Palatino Linotype"/>
          <w:b/>
          <w:i/>
          <w:sz w:val="22"/>
          <w:szCs w:val="22"/>
        </w:rPr>
        <w:t xml:space="preserve">, </w:t>
      </w:r>
      <w:r w:rsidRPr="001B2E5E">
        <w:rPr>
          <w:rFonts w:ascii="Palatino Linotype" w:eastAsia="Palatino Linotype" w:hAnsi="Palatino Linotype" w:cs="Palatino Linotype"/>
          <w:i/>
          <w:sz w:val="22"/>
          <w:szCs w:val="22"/>
        </w:rPr>
        <w:t xml:space="preserve">es el siguiente: </w:t>
      </w:r>
    </w:p>
    <w:p w14:paraId="6E6B6B81" w14:textId="77777777" w:rsidR="008072E4" w:rsidRPr="001B2E5E" w:rsidRDefault="003F6F28">
      <w:pPr>
        <w:spacing w:before="120" w:after="120"/>
        <w:ind w:left="851" w:right="902"/>
        <w:jc w:val="both"/>
        <w:rPr>
          <w:rFonts w:ascii="Palatino Linotype" w:eastAsia="Palatino Linotype" w:hAnsi="Palatino Linotype" w:cs="Palatino Linotype"/>
          <w:b/>
          <w:i/>
          <w:sz w:val="22"/>
          <w:szCs w:val="22"/>
        </w:rPr>
      </w:pPr>
      <w:r w:rsidRPr="001B2E5E">
        <w:rPr>
          <w:rFonts w:ascii="Palatino Linotype" w:eastAsia="Palatino Linotype" w:hAnsi="Palatino Linotype" w:cs="Palatino Linotype"/>
          <w:b/>
          <w:i/>
          <w:noProof/>
          <w:sz w:val="22"/>
          <w:szCs w:val="22"/>
          <w:lang w:val="es-MX" w:eastAsia="es-MX"/>
        </w:rPr>
        <w:drawing>
          <wp:inline distT="0" distB="0" distL="0" distR="0" wp14:anchorId="1CEC9CF1" wp14:editId="3C4D90E2">
            <wp:extent cx="4295775" cy="295275"/>
            <wp:effectExtent l="0" t="0" r="0" b="0"/>
            <wp:docPr id="56396809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b="95731"/>
                    <a:stretch>
                      <a:fillRect/>
                    </a:stretch>
                  </pic:blipFill>
                  <pic:spPr>
                    <a:xfrm>
                      <a:off x="0" y="0"/>
                      <a:ext cx="4295775" cy="295275"/>
                    </a:xfrm>
                    <a:prstGeom prst="rect">
                      <a:avLst/>
                    </a:prstGeom>
                    <a:ln/>
                  </pic:spPr>
                </pic:pic>
              </a:graphicData>
            </a:graphic>
          </wp:inline>
        </w:drawing>
      </w:r>
    </w:p>
    <w:p w14:paraId="2A082874" w14:textId="77777777" w:rsidR="008072E4" w:rsidRPr="001B2E5E" w:rsidRDefault="003F6F28">
      <w:pPr>
        <w:spacing w:before="120" w:after="120"/>
        <w:ind w:left="851" w:right="902"/>
        <w:jc w:val="both"/>
        <w:rPr>
          <w:rFonts w:ascii="Palatino Linotype" w:eastAsia="Palatino Linotype" w:hAnsi="Palatino Linotype" w:cs="Palatino Linotype"/>
          <w:b/>
          <w:i/>
          <w:sz w:val="22"/>
          <w:szCs w:val="22"/>
        </w:rPr>
      </w:pPr>
      <w:r w:rsidRPr="001B2E5E">
        <w:rPr>
          <w:rFonts w:ascii="Palatino Linotype" w:eastAsia="Palatino Linotype" w:hAnsi="Palatino Linotype" w:cs="Palatino Linotype"/>
          <w:b/>
          <w:i/>
          <w:noProof/>
          <w:sz w:val="22"/>
          <w:szCs w:val="22"/>
          <w:lang w:val="es-MX" w:eastAsia="es-MX"/>
        </w:rPr>
        <w:drawing>
          <wp:inline distT="0" distB="0" distL="0" distR="0" wp14:anchorId="06BC04F3" wp14:editId="76167F65">
            <wp:extent cx="4333875" cy="775252"/>
            <wp:effectExtent l="0" t="0" r="0" b="0"/>
            <wp:docPr id="56396809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t="30906" b="57867"/>
                    <a:stretch>
                      <a:fillRect/>
                    </a:stretch>
                  </pic:blipFill>
                  <pic:spPr>
                    <a:xfrm>
                      <a:off x="0" y="0"/>
                      <a:ext cx="4333875" cy="775252"/>
                    </a:xfrm>
                    <a:prstGeom prst="rect">
                      <a:avLst/>
                    </a:prstGeom>
                    <a:ln/>
                  </pic:spPr>
                </pic:pic>
              </a:graphicData>
            </a:graphic>
          </wp:inline>
        </w:drawing>
      </w:r>
    </w:p>
    <w:p w14:paraId="1604B5E5" w14:textId="77777777" w:rsidR="008072E4" w:rsidRPr="001B2E5E" w:rsidRDefault="003F6F28">
      <w:pPr>
        <w:spacing w:before="120" w:after="120"/>
        <w:ind w:left="851" w:right="902"/>
        <w:jc w:val="both"/>
        <w:rPr>
          <w:rFonts w:ascii="Palatino Linotype" w:eastAsia="Palatino Linotype" w:hAnsi="Palatino Linotype" w:cs="Palatino Linotype"/>
          <w:b/>
          <w:i/>
          <w:sz w:val="22"/>
          <w:szCs w:val="22"/>
        </w:rPr>
      </w:pPr>
      <w:r w:rsidRPr="001B2E5E">
        <w:rPr>
          <w:rFonts w:ascii="Palatino Linotype" w:eastAsia="Palatino Linotype" w:hAnsi="Palatino Linotype" w:cs="Palatino Linotype"/>
          <w:b/>
          <w:i/>
          <w:noProof/>
          <w:sz w:val="22"/>
          <w:szCs w:val="22"/>
          <w:lang w:val="es-MX" w:eastAsia="es-MX"/>
        </w:rPr>
        <w:lastRenderedPageBreak/>
        <w:drawing>
          <wp:inline distT="0" distB="0" distL="0" distR="0" wp14:anchorId="58222A78" wp14:editId="31C42346">
            <wp:extent cx="4333875" cy="3968523"/>
            <wp:effectExtent l="0" t="0" r="0" b="0"/>
            <wp:docPr id="56396809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t="41711" b="832"/>
                    <a:stretch>
                      <a:fillRect/>
                    </a:stretch>
                  </pic:blipFill>
                  <pic:spPr>
                    <a:xfrm>
                      <a:off x="0" y="0"/>
                      <a:ext cx="4333875" cy="3968523"/>
                    </a:xfrm>
                    <a:prstGeom prst="rect">
                      <a:avLst/>
                    </a:prstGeom>
                    <a:ln/>
                  </pic:spPr>
                </pic:pic>
              </a:graphicData>
            </a:graphic>
          </wp:inline>
        </w:drawing>
      </w:r>
    </w:p>
    <w:p w14:paraId="4DC2DE2B" w14:textId="77777777" w:rsidR="008072E4" w:rsidRPr="001B2E5E" w:rsidRDefault="003F6F28">
      <w:pPr>
        <w:spacing w:before="120" w:after="120"/>
        <w:ind w:left="851" w:right="902"/>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Los documentos que integren un expediente reservado en su totalidad no deberán marcarse en lo individual.</w:t>
      </w:r>
    </w:p>
    <w:p w14:paraId="47D1F881" w14:textId="77777777" w:rsidR="008072E4" w:rsidRPr="001B2E5E" w:rsidRDefault="003F6F28">
      <w:pPr>
        <w:spacing w:before="120" w:after="120"/>
        <w:ind w:left="851" w:right="902"/>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Una vez desclasificados los expedientes, si existieren documentos que tuvieran el carácter de reservados deberán permanecer o ser marcados.”</w:t>
      </w:r>
    </w:p>
    <w:p w14:paraId="5D374162" w14:textId="77777777" w:rsidR="008072E4" w:rsidRPr="001B2E5E" w:rsidRDefault="003F6F28">
      <w:pPr>
        <w:spacing w:before="240" w:after="240" w:line="360" w:lineRule="auto"/>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t>Asimismo, deberá observar los Lineamientos Quincuagésimo sexto, Quincuagésimo séptimo y Quincuagésimo octavo, establecen lo siguiente:</w:t>
      </w:r>
    </w:p>
    <w:p w14:paraId="2BD4223F" w14:textId="77777777" w:rsidR="008072E4" w:rsidRPr="001B2E5E" w:rsidRDefault="003F6F28">
      <w:pPr>
        <w:spacing w:before="120" w:after="120"/>
        <w:ind w:left="851" w:right="902"/>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w:t>
      </w:r>
      <w:r w:rsidRPr="001B2E5E">
        <w:rPr>
          <w:rFonts w:ascii="Palatino Linotype" w:eastAsia="Palatino Linotype" w:hAnsi="Palatino Linotype" w:cs="Palatino Linotype"/>
          <w:b/>
          <w:i/>
          <w:sz w:val="22"/>
          <w:szCs w:val="22"/>
        </w:rPr>
        <w:t>Quincuagésimo sexto</w:t>
      </w:r>
      <w:r w:rsidRPr="001B2E5E">
        <w:rPr>
          <w:rFonts w:ascii="Palatino Linotype" w:eastAsia="Palatino Linotype" w:hAnsi="Palatino Linotype" w:cs="Palatino Linotype"/>
          <w:i/>
          <w:sz w:val="22"/>
          <w:szCs w:val="22"/>
        </w:rPr>
        <w:t>.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043295F8" w14:textId="77777777" w:rsidR="008072E4" w:rsidRPr="001B2E5E" w:rsidRDefault="003F6F28">
      <w:pPr>
        <w:spacing w:before="120" w:after="120"/>
        <w:ind w:left="851" w:right="902"/>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b/>
          <w:i/>
          <w:sz w:val="22"/>
          <w:szCs w:val="22"/>
        </w:rPr>
        <w:t>Quincuagésimo séptimo</w:t>
      </w:r>
      <w:r w:rsidRPr="001B2E5E">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23AFFEB9" w14:textId="77777777" w:rsidR="008072E4" w:rsidRPr="001B2E5E" w:rsidRDefault="003F6F28">
      <w:pPr>
        <w:spacing w:before="120" w:after="120"/>
        <w:ind w:left="1134" w:right="902"/>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b/>
          <w:i/>
          <w:sz w:val="22"/>
          <w:szCs w:val="22"/>
        </w:rPr>
        <w:lastRenderedPageBreak/>
        <w:t>I</w:t>
      </w:r>
      <w:r w:rsidRPr="001B2E5E">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31CBB874" w14:textId="77777777" w:rsidR="008072E4" w:rsidRPr="001B2E5E" w:rsidRDefault="003F6F28">
      <w:pPr>
        <w:spacing w:before="120" w:after="120"/>
        <w:ind w:left="1134" w:right="902"/>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b/>
          <w:i/>
          <w:sz w:val="22"/>
          <w:szCs w:val="22"/>
        </w:rPr>
        <w:t>II.</w:t>
      </w:r>
      <w:r w:rsidRPr="001B2E5E">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6F700B49" w14:textId="77777777" w:rsidR="008072E4" w:rsidRPr="001B2E5E" w:rsidRDefault="003F6F28">
      <w:pPr>
        <w:spacing w:before="120" w:after="120"/>
        <w:ind w:left="1134" w:right="902"/>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b/>
          <w:i/>
          <w:sz w:val="22"/>
          <w:szCs w:val="22"/>
        </w:rPr>
        <w:t>III</w:t>
      </w:r>
      <w:r w:rsidRPr="001B2E5E">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386DE4DC" w14:textId="77777777" w:rsidR="008072E4" w:rsidRPr="001B2E5E" w:rsidRDefault="003F6F28">
      <w:pPr>
        <w:spacing w:before="120" w:after="120"/>
        <w:ind w:left="851" w:right="902"/>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6AF190C7" w14:textId="77777777" w:rsidR="008072E4" w:rsidRPr="001B2E5E" w:rsidRDefault="003F6F28">
      <w:pPr>
        <w:spacing w:before="120" w:after="120"/>
        <w:ind w:left="851" w:right="902"/>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b/>
          <w:i/>
          <w:sz w:val="22"/>
          <w:szCs w:val="22"/>
        </w:rPr>
        <w:t>Quincuagésimo octavo</w:t>
      </w:r>
      <w:r w:rsidRPr="001B2E5E">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504C1FB9" w14:textId="77777777" w:rsidR="008072E4" w:rsidRPr="001B2E5E" w:rsidRDefault="003F6F28">
      <w:pPr>
        <w:spacing w:before="240" w:after="240" w:line="360" w:lineRule="auto"/>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1B2E5E">
        <w:rPr>
          <w:rFonts w:ascii="Palatino Linotype" w:eastAsia="Palatino Linotype" w:hAnsi="Palatino Linotype" w:cs="Palatino Linotype"/>
          <w:b/>
          <w:sz w:val="22"/>
          <w:szCs w:val="22"/>
        </w:rPr>
        <w:t>Sujeto Obligado</w:t>
      </w:r>
      <w:r w:rsidRPr="001B2E5E">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1369D8BF" w14:textId="77777777" w:rsidR="008072E4" w:rsidRPr="001B2E5E" w:rsidRDefault="008072E4">
      <w:pPr>
        <w:rPr>
          <w:sz w:val="22"/>
          <w:szCs w:val="22"/>
        </w:rPr>
      </w:pPr>
    </w:p>
    <w:p w14:paraId="5EACD760" w14:textId="77777777" w:rsidR="008072E4" w:rsidRPr="001B2E5E" w:rsidRDefault="008072E4">
      <w:pPr>
        <w:spacing w:line="360" w:lineRule="auto"/>
        <w:jc w:val="both"/>
        <w:rPr>
          <w:rFonts w:ascii="Palatino Linotype" w:eastAsia="Palatino Linotype" w:hAnsi="Palatino Linotype" w:cs="Palatino Linotype"/>
          <w:b/>
          <w:sz w:val="22"/>
          <w:szCs w:val="22"/>
        </w:rPr>
      </w:pPr>
    </w:p>
    <w:p w14:paraId="27CF5C5D" w14:textId="77777777" w:rsidR="008072E4" w:rsidRPr="001B2E5E" w:rsidRDefault="008072E4">
      <w:pPr>
        <w:spacing w:line="360" w:lineRule="auto"/>
        <w:jc w:val="both"/>
        <w:rPr>
          <w:rFonts w:ascii="Palatino Linotype" w:eastAsia="Palatino Linotype" w:hAnsi="Palatino Linotype" w:cs="Palatino Linotype"/>
          <w:b/>
          <w:sz w:val="22"/>
          <w:szCs w:val="22"/>
        </w:rPr>
      </w:pPr>
    </w:p>
    <w:p w14:paraId="59171122" w14:textId="77777777" w:rsidR="008072E4" w:rsidRPr="001B2E5E" w:rsidRDefault="003F6F28">
      <w:pPr>
        <w:spacing w:line="360" w:lineRule="auto"/>
        <w:ind w:right="49"/>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lastRenderedPageBreak/>
        <w:t xml:space="preserve">Es así como, en mérito de lo expuesto en líneas anteriores, resultan parcialmente fundadas las razones o motivos de inconformidad hechos valer por la parte </w:t>
      </w:r>
      <w:r w:rsidRPr="001B2E5E">
        <w:rPr>
          <w:rFonts w:ascii="Palatino Linotype" w:eastAsia="Palatino Linotype" w:hAnsi="Palatino Linotype" w:cs="Palatino Linotype"/>
          <w:b/>
          <w:sz w:val="22"/>
          <w:szCs w:val="22"/>
        </w:rPr>
        <w:t>RECURRENTE</w:t>
      </w:r>
      <w:r w:rsidRPr="001B2E5E">
        <w:rPr>
          <w:rFonts w:ascii="Palatino Linotype" w:eastAsia="Palatino Linotype" w:hAnsi="Palatino Linotype" w:cs="Palatino Linotype"/>
          <w:sz w:val="22"/>
          <w:szCs w:val="22"/>
        </w:rPr>
        <w:t xml:space="preserve"> dentro del recurso de revisión </w:t>
      </w:r>
      <w:r w:rsidRPr="001B2E5E">
        <w:rPr>
          <w:rFonts w:ascii="Palatino Linotype" w:eastAsia="Palatino Linotype" w:hAnsi="Palatino Linotype" w:cs="Palatino Linotype"/>
          <w:b/>
          <w:sz w:val="22"/>
          <w:szCs w:val="22"/>
        </w:rPr>
        <w:t>04574/INFOEM/IP/RR/2024</w:t>
      </w:r>
      <w:r w:rsidRPr="001B2E5E">
        <w:rPr>
          <w:rFonts w:ascii="Palatino Linotype" w:eastAsia="Palatino Linotype" w:hAnsi="Palatino Linotype" w:cs="Palatino Linotype"/>
          <w:sz w:val="22"/>
          <w:szCs w:val="22"/>
        </w:rPr>
        <w:t xml:space="preserve">; por ello, y con fundamento en la fracción IV del numeral 186 de la Ley de Transparencia y Acceso a la Información Pública del Estado de México y Municipios, por lo que se </w:t>
      </w:r>
      <w:r w:rsidRPr="001B2E5E">
        <w:rPr>
          <w:rFonts w:ascii="Palatino Linotype" w:eastAsia="Palatino Linotype" w:hAnsi="Palatino Linotype" w:cs="Palatino Linotype"/>
          <w:b/>
          <w:sz w:val="22"/>
          <w:szCs w:val="22"/>
        </w:rPr>
        <w:t xml:space="preserve">MODIFICA </w:t>
      </w:r>
      <w:r w:rsidRPr="001B2E5E">
        <w:rPr>
          <w:rFonts w:ascii="Palatino Linotype" w:eastAsia="Palatino Linotype" w:hAnsi="Palatino Linotype" w:cs="Palatino Linotype"/>
          <w:sz w:val="22"/>
          <w:szCs w:val="22"/>
        </w:rPr>
        <w:t xml:space="preserve">la respuesta del </w:t>
      </w:r>
      <w:r w:rsidRPr="001B2E5E">
        <w:rPr>
          <w:rFonts w:ascii="Palatino Linotype" w:eastAsia="Palatino Linotype" w:hAnsi="Palatino Linotype" w:cs="Palatino Linotype"/>
          <w:b/>
          <w:sz w:val="22"/>
          <w:szCs w:val="22"/>
        </w:rPr>
        <w:t xml:space="preserve">SUJETO OBLIGADO </w:t>
      </w:r>
      <w:r w:rsidRPr="001B2E5E">
        <w:rPr>
          <w:rFonts w:ascii="Palatino Linotype" w:eastAsia="Palatino Linotype" w:hAnsi="Palatino Linotype" w:cs="Palatino Linotype"/>
          <w:sz w:val="22"/>
          <w:szCs w:val="22"/>
        </w:rPr>
        <w:t xml:space="preserve">a la solicitud de información </w:t>
      </w:r>
      <w:r w:rsidRPr="001B2E5E">
        <w:rPr>
          <w:rFonts w:ascii="Palatino Linotype" w:eastAsia="Palatino Linotype" w:hAnsi="Palatino Linotype" w:cs="Palatino Linotype"/>
          <w:b/>
          <w:sz w:val="22"/>
          <w:szCs w:val="22"/>
        </w:rPr>
        <w:t>00188/TECAMAC/IP/2024.</w:t>
      </w:r>
      <w:r w:rsidRPr="001B2E5E">
        <w:rPr>
          <w:rFonts w:ascii="Palatino Linotype" w:eastAsia="Palatino Linotype" w:hAnsi="Palatino Linotype" w:cs="Palatino Linotype"/>
          <w:sz w:val="22"/>
          <w:szCs w:val="22"/>
        </w:rPr>
        <w:t xml:space="preserve">  </w:t>
      </w:r>
    </w:p>
    <w:p w14:paraId="64F92BC7" w14:textId="77777777" w:rsidR="008072E4" w:rsidRPr="001B2E5E" w:rsidRDefault="008072E4">
      <w:pPr>
        <w:spacing w:line="360" w:lineRule="auto"/>
        <w:ind w:right="49"/>
        <w:jc w:val="both"/>
        <w:rPr>
          <w:rFonts w:ascii="Palatino Linotype" w:eastAsia="Palatino Linotype" w:hAnsi="Palatino Linotype" w:cs="Palatino Linotype"/>
          <w:sz w:val="22"/>
          <w:szCs w:val="22"/>
        </w:rPr>
      </w:pPr>
    </w:p>
    <w:p w14:paraId="461156BF" w14:textId="77777777" w:rsidR="008072E4" w:rsidRPr="001B2E5E" w:rsidRDefault="003F6F28">
      <w:pPr>
        <w:spacing w:line="360" w:lineRule="auto"/>
        <w:ind w:right="49"/>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2239B4FB" w14:textId="77777777" w:rsidR="008072E4" w:rsidRPr="001B2E5E" w:rsidRDefault="003F6F28">
      <w:pPr>
        <w:spacing w:line="360" w:lineRule="auto"/>
        <w:jc w:val="center"/>
        <w:rPr>
          <w:rFonts w:ascii="Palatino Linotype" w:eastAsia="Palatino Linotype" w:hAnsi="Palatino Linotype" w:cs="Palatino Linotype"/>
          <w:b/>
          <w:sz w:val="22"/>
          <w:szCs w:val="22"/>
        </w:rPr>
      </w:pPr>
      <w:r w:rsidRPr="001B2E5E">
        <w:rPr>
          <w:rFonts w:ascii="Palatino Linotype" w:eastAsia="Palatino Linotype" w:hAnsi="Palatino Linotype" w:cs="Palatino Linotype"/>
          <w:b/>
          <w:sz w:val="22"/>
          <w:szCs w:val="22"/>
        </w:rPr>
        <w:t>R E S U E L V E:</w:t>
      </w:r>
    </w:p>
    <w:p w14:paraId="1AE0C1A0" w14:textId="77777777" w:rsidR="008072E4" w:rsidRPr="001B2E5E" w:rsidRDefault="008072E4">
      <w:pPr>
        <w:spacing w:line="360" w:lineRule="auto"/>
        <w:rPr>
          <w:rFonts w:ascii="Palatino Linotype" w:eastAsia="Palatino Linotype" w:hAnsi="Palatino Linotype" w:cs="Palatino Linotype"/>
          <w:b/>
          <w:sz w:val="22"/>
          <w:szCs w:val="22"/>
        </w:rPr>
      </w:pPr>
    </w:p>
    <w:p w14:paraId="3B70D2B2" w14:textId="77777777" w:rsidR="008072E4" w:rsidRPr="001B2E5E" w:rsidRDefault="003F6F28">
      <w:pPr>
        <w:spacing w:line="360" w:lineRule="auto"/>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b/>
          <w:sz w:val="22"/>
          <w:szCs w:val="22"/>
        </w:rPr>
        <w:t xml:space="preserve">Primero. </w:t>
      </w:r>
      <w:r w:rsidRPr="001B2E5E">
        <w:rPr>
          <w:rFonts w:ascii="Palatino Linotype" w:eastAsia="Palatino Linotype" w:hAnsi="Palatino Linotype" w:cs="Palatino Linotype"/>
          <w:sz w:val="22"/>
          <w:szCs w:val="22"/>
        </w:rPr>
        <w:t>Se</w:t>
      </w:r>
      <w:r w:rsidRPr="001B2E5E">
        <w:rPr>
          <w:sz w:val="22"/>
          <w:szCs w:val="22"/>
        </w:rPr>
        <w:t xml:space="preserve"> </w:t>
      </w:r>
      <w:r w:rsidRPr="001B2E5E">
        <w:rPr>
          <w:rFonts w:ascii="Palatino Linotype" w:eastAsia="Palatino Linotype" w:hAnsi="Palatino Linotype" w:cs="Palatino Linotype"/>
          <w:b/>
          <w:sz w:val="22"/>
          <w:szCs w:val="22"/>
        </w:rPr>
        <w:t xml:space="preserve">MODIFICA </w:t>
      </w:r>
      <w:r w:rsidRPr="001B2E5E">
        <w:rPr>
          <w:rFonts w:ascii="Palatino Linotype" w:eastAsia="Palatino Linotype" w:hAnsi="Palatino Linotype" w:cs="Palatino Linotype"/>
          <w:sz w:val="22"/>
          <w:szCs w:val="22"/>
        </w:rPr>
        <w:t xml:space="preserve">la respuesta entregada por </w:t>
      </w:r>
      <w:r w:rsidRPr="001B2E5E">
        <w:rPr>
          <w:rFonts w:ascii="Palatino Linotype" w:eastAsia="Palatino Linotype" w:hAnsi="Palatino Linotype" w:cs="Palatino Linotype"/>
          <w:b/>
          <w:sz w:val="22"/>
          <w:szCs w:val="22"/>
        </w:rPr>
        <w:t xml:space="preserve">EL SUJETO OBLIGADO </w:t>
      </w:r>
      <w:r w:rsidRPr="001B2E5E">
        <w:rPr>
          <w:rFonts w:ascii="Palatino Linotype" w:eastAsia="Palatino Linotype" w:hAnsi="Palatino Linotype" w:cs="Palatino Linotype"/>
          <w:sz w:val="22"/>
          <w:szCs w:val="22"/>
        </w:rPr>
        <w:t xml:space="preserve">a la solicitud de información </w:t>
      </w:r>
      <w:r w:rsidRPr="001B2E5E">
        <w:rPr>
          <w:rFonts w:ascii="Palatino Linotype" w:eastAsia="Palatino Linotype" w:hAnsi="Palatino Linotype" w:cs="Palatino Linotype"/>
          <w:b/>
          <w:sz w:val="22"/>
          <w:szCs w:val="22"/>
        </w:rPr>
        <w:t>00188/TECAMAC/IP/2024</w:t>
      </w:r>
      <w:r w:rsidRPr="001B2E5E">
        <w:rPr>
          <w:rFonts w:ascii="Palatino Linotype" w:eastAsia="Palatino Linotype" w:hAnsi="Palatino Linotype" w:cs="Palatino Linotype"/>
          <w:sz w:val="22"/>
          <w:szCs w:val="22"/>
        </w:rPr>
        <w:t xml:space="preserve">, por resultar fundadas las razones o motivos de inconformidad hechos valer por la parte </w:t>
      </w:r>
      <w:r w:rsidRPr="001B2E5E">
        <w:rPr>
          <w:rFonts w:ascii="Palatino Linotype" w:eastAsia="Palatino Linotype" w:hAnsi="Palatino Linotype" w:cs="Palatino Linotype"/>
          <w:b/>
          <w:sz w:val="22"/>
          <w:szCs w:val="22"/>
        </w:rPr>
        <w:t xml:space="preserve">RECURRENTE, </w:t>
      </w:r>
      <w:r w:rsidRPr="001B2E5E">
        <w:rPr>
          <w:rFonts w:ascii="Palatino Linotype" w:eastAsia="Palatino Linotype" w:hAnsi="Palatino Linotype" w:cs="Palatino Linotype"/>
          <w:sz w:val="22"/>
          <w:szCs w:val="22"/>
        </w:rPr>
        <w:t xml:space="preserve">en el Recurso de Revisión </w:t>
      </w:r>
      <w:r w:rsidRPr="001B2E5E">
        <w:rPr>
          <w:rFonts w:ascii="Palatino Linotype" w:eastAsia="Palatino Linotype" w:hAnsi="Palatino Linotype" w:cs="Palatino Linotype"/>
          <w:b/>
          <w:sz w:val="22"/>
          <w:szCs w:val="22"/>
        </w:rPr>
        <w:t>04574/INFOEM/IP/RR/2024,</w:t>
      </w:r>
      <w:r w:rsidRPr="001B2E5E">
        <w:rPr>
          <w:rFonts w:ascii="Palatino Linotype" w:eastAsia="Palatino Linotype" w:hAnsi="Palatino Linotype" w:cs="Palatino Linotype"/>
          <w:sz w:val="22"/>
          <w:szCs w:val="22"/>
        </w:rPr>
        <w:t xml:space="preserve"> en términos del considerando </w:t>
      </w:r>
      <w:r w:rsidRPr="001B2E5E">
        <w:rPr>
          <w:rFonts w:ascii="Palatino Linotype" w:eastAsia="Palatino Linotype" w:hAnsi="Palatino Linotype" w:cs="Palatino Linotype"/>
          <w:b/>
          <w:sz w:val="22"/>
          <w:szCs w:val="22"/>
        </w:rPr>
        <w:t>Cuarto</w:t>
      </w:r>
      <w:r w:rsidRPr="001B2E5E">
        <w:rPr>
          <w:rFonts w:ascii="Palatino Linotype" w:eastAsia="Palatino Linotype" w:hAnsi="Palatino Linotype" w:cs="Palatino Linotype"/>
          <w:sz w:val="22"/>
          <w:szCs w:val="22"/>
        </w:rPr>
        <w:t xml:space="preserve"> de la presente Resolución.</w:t>
      </w:r>
    </w:p>
    <w:p w14:paraId="724FB9A6" w14:textId="77777777" w:rsidR="008072E4" w:rsidRPr="001B2E5E" w:rsidRDefault="008072E4">
      <w:pPr>
        <w:spacing w:line="360" w:lineRule="auto"/>
        <w:ind w:right="49"/>
        <w:jc w:val="both"/>
        <w:rPr>
          <w:rFonts w:ascii="Palatino Linotype" w:eastAsia="Palatino Linotype" w:hAnsi="Palatino Linotype" w:cs="Palatino Linotype"/>
          <w:sz w:val="22"/>
          <w:szCs w:val="22"/>
        </w:rPr>
      </w:pPr>
    </w:p>
    <w:p w14:paraId="7791FDFA" w14:textId="77777777" w:rsidR="008072E4" w:rsidRPr="001B2E5E" w:rsidRDefault="003F6F28">
      <w:pPr>
        <w:spacing w:line="360" w:lineRule="auto"/>
        <w:jc w:val="both"/>
        <w:rPr>
          <w:rFonts w:ascii="Palatino Linotype" w:eastAsia="Palatino Linotype" w:hAnsi="Palatino Linotype" w:cs="Palatino Linotype"/>
          <w:sz w:val="22"/>
          <w:szCs w:val="22"/>
        </w:rPr>
      </w:pPr>
      <w:bookmarkStart w:id="6" w:name="_heading=h.3dy6vkm" w:colFirst="0" w:colLast="0"/>
      <w:bookmarkEnd w:id="6"/>
      <w:r w:rsidRPr="001B2E5E">
        <w:rPr>
          <w:rFonts w:ascii="Palatino Linotype" w:eastAsia="Palatino Linotype" w:hAnsi="Palatino Linotype" w:cs="Palatino Linotype"/>
          <w:b/>
          <w:sz w:val="22"/>
          <w:szCs w:val="22"/>
        </w:rPr>
        <w:t>Segundo.</w:t>
      </w:r>
      <w:r w:rsidRPr="001B2E5E">
        <w:rPr>
          <w:rFonts w:ascii="Palatino Linotype" w:eastAsia="Palatino Linotype" w:hAnsi="Palatino Linotype" w:cs="Palatino Linotype"/>
          <w:sz w:val="22"/>
          <w:szCs w:val="22"/>
        </w:rPr>
        <w:t xml:space="preserve"> Se</w:t>
      </w:r>
      <w:r w:rsidRPr="001B2E5E">
        <w:rPr>
          <w:rFonts w:ascii="Palatino Linotype" w:eastAsia="Palatino Linotype" w:hAnsi="Palatino Linotype" w:cs="Palatino Linotype"/>
          <w:b/>
          <w:sz w:val="22"/>
          <w:szCs w:val="22"/>
        </w:rPr>
        <w:t xml:space="preserve"> Ordena </w:t>
      </w:r>
      <w:r w:rsidRPr="001B2E5E">
        <w:rPr>
          <w:rFonts w:ascii="Palatino Linotype" w:eastAsia="Palatino Linotype" w:hAnsi="Palatino Linotype" w:cs="Palatino Linotype"/>
          <w:sz w:val="22"/>
          <w:szCs w:val="22"/>
        </w:rPr>
        <w:t xml:space="preserve">al </w:t>
      </w:r>
      <w:r w:rsidRPr="001B2E5E">
        <w:rPr>
          <w:rFonts w:ascii="Palatino Linotype" w:eastAsia="Palatino Linotype" w:hAnsi="Palatino Linotype" w:cs="Palatino Linotype"/>
          <w:b/>
          <w:sz w:val="22"/>
          <w:szCs w:val="22"/>
        </w:rPr>
        <w:t>Sujeto Obligado</w:t>
      </w:r>
      <w:r w:rsidRPr="001B2E5E">
        <w:rPr>
          <w:rFonts w:ascii="Palatino Linotype" w:eastAsia="Palatino Linotype" w:hAnsi="Palatino Linotype" w:cs="Palatino Linotype"/>
          <w:sz w:val="22"/>
          <w:szCs w:val="22"/>
        </w:rPr>
        <w:t xml:space="preserve">, haga entrega a la parte </w:t>
      </w:r>
      <w:r w:rsidRPr="001B2E5E">
        <w:rPr>
          <w:rFonts w:ascii="Palatino Linotype" w:eastAsia="Palatino Linotype" w:hAnsi="Palatino Linotype" w:cs="Palatino Linotype"/>
          <w:b/>
          <w:sz w:val="22"/>
          <w:szCs w:val="22"/>
        </w:rPr>
        <w:t xml:space="preserve">Recurrente </w:t>
      </w:r>
      <w:r w:rsidRPr="001B2E5E">
        <w:rPr>
          <w:rFonts w:ascii="Palatino Linotype" w:eastAsia="Palatino Linotype" w:hAnsi="Palatino Linotype" w:cs="Palatino Linotype"/>
          <w:sz w:val="22"/>
          <w:szCs w:val="22"/>
        </w:rPr>
        <w:t xml:space="preserve">en términos de los </w:t>
      </w:r>
      <w:r w:rsidRPr="001B2E5E">
        <w:rPr>
          <w:rFonts w:ascii="Palatino Linotype" w:eastAsia="Palatino Linotype" w:hAnsi="Palatino Linotype" w:cs="Palatino Linotype"/>
          <w:b/>
          <w:sz w:val="22"/>
          <w:szCs w:val="22"/>
        </w:rPr>
        <w:t>Considerandos Cuarto y Quinto</w:t>
      </w:r>
      <w:r w:rsidRPr="001B2E5E">
        <w:rPr>
          <w:rFonts w:ascii="Palatino Linotype" w:eastAsia="Palatino Linotype" w:hAnsi="Palatino Linotype" w:cs="Palatino Linotype"/>
          <w:sz w:val="22"/>
          <w:szCs w:val="22"/>
        </w:rPr>
        <w:t xml:space="preserve">, a través del Sistema de Acceso a la Información Mexiquense (SAIMEX), previa búsqueda exhaustiva y razonable de ser el caso en versión pública, el o los documentos donde conste la siguiente información: </w:t>
      </w:r>
    </w:p>
    <w:p w14:paraId="36C95695" w14:textId="77777777" w:rsidR="008072E4" w:rsidRPr="001B2E5E" w:rsidRDefault="008072E4">
      <w:pPr>
        <w:spacing w:line="360" w:lineRule="auto"/>
        <w:jc w:val="both"/>
        <w:rPr>
          <w:rFonts w:ascii="Palatino Linotype" w:eastAsia="Palatino Linotype" w:hAnsi="Palatino Linotype" w:cs="Palatino Linotype"/>
          <w:sz w:val="22"/>
          <w:szCs w:val="22"/>
        </w:rPr>
      </w:pPr>
    </w:p>
    <w:p w14:paraId="650B6838" w14:textId="77777777" w:rsidR="008072E4" w:rsidRPr="001B2E5E" w:rsidRDefault="003F6F28">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bookmarkStart w:id="7" w:name="_heading=h.kc4zj077h7pb" w:colFirst="0" w:colLast="0"/>
      <w:bookmarkEnd w:id="7"/>
      <w:r w:rsidRPr="001B2E5E">
        <w:rPr>
          <w:rFonts w:ascii="Palatino Linotype" w:eastAsia="Palatino Linotype" w:hAnsi="Palatino Linotype" w:cs="Palatino Linotype"/>
          <w:b/>
          <w:sz w:val="22"/>
          <w:szCs w:val="22"/>
        </w:rPr>
        <w:t>Tasa de incidencia delictiva a mayor grado de desagregación posible, del uno de enero al treinta y uno de diciembre de dos mil veintitrés.</w:t>
      </w:r>
    </w:p>
    <w:p w14:paraId="01AA213C" w14:textId="77777777" w:rsidR="008072E4" w:rsidRPr="001B2E5E" w:rsidRDefault="008072E4">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76C9BC0E" w14:textId="77777777" w:rsidR="008072E4" w:rsidRPr="001B2E5E" w:rsidRDefault="003F6F28">
      <w:pPr>
        <w:spacing w:line="360" w:lineRule="auto"/>
        <w:ind w:left="360" w:right="615"/>
        <w:jc w:val="both"/>
        <w:rPr>
          <w:rFonts w:ascii="Palatino Linotype" w:eastAsia="Palatino Linotype" w:hAnsi="Palatino Linotype" w:cs="Palatino Linotype"/>
          <w:i/>
          <w:sz w:val="22"/>
          <w:szCs w:val="22"/>
        </w:rPr>
      </w:pPr>
      <w:r w:rsidRPr="001B2E5E">
        <w:rPr>
          <w:rFonts w:ascii="Palatino Linotype" w:eastAsia="Palatino Linotype" w:hAnsi="Palatino Linotype" w:cs="Palatino Linotype"/>
          <w:i/>
          <w:sz w:val="22"/>
          <w:szCs w:val="22"/>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w:t>
      </w:r>
      <w:r w:rsidRPr="001B2E5E">
        <w:rPr>
          <w:rFonts w:ascii="Palatino Linotype" w:eastAsia="Palatino Linotype" w:hAnsi="Palatino Linotype" w:cs="Palatino Linotype"/>
          <w:b/>
          <w:i/>
          <w:sz w:val="22"/>
          <w:szCs w:val="22"/>
        </w:rPr>
        <w:t xml:space="preserve"> </w:t>
      </w:r>
      <w:r w:rsidRPr="001B2E5E">
        <w:rPr>
          <w:rFonts w:ascii="Palatino Linotype" w:eastAsia="Palatino Linotype" w:hAnsi="Palatino Linotype" w:cs="Palatino Linotype"/>
          <w:i/>
          <w:sz w:val="22"/>
          <w:szCs w:val="22"/>
        </w:rPr>
        <w:t>y  se ponga a disposición de la parte Recurrente, en términos de los artículos 49, fracción VIII,  de la Ley de Transparencia y Acceso a la Información Pública del Estado de México y Municipios.</w:t>
      </w:r>
    </w:p>
    <w:p w14:paraId="34406D4F" w14:textId="77777777" w:rsidR="008072E4" w:rsidRPr="001B2E5E" w:rsidRDefault="008072E4">
      <w:pPr>
        <w:spacing w:line="360" w:lineRule="auto"/>
        <w:ind w:left="360" w:right="49"/>
        <w:jc w:val="both"/>
        <w:rPr>
          <w:rFonts w:ascii="Palatino Linotype" w:eastAsia="Palatino Linotype" w:hAnsi="Palatino Linotype" w:cs="Palatino Linotype"/>
          <w:sz w:val="22"/>
          <w:szCs w:val="22"/>
        </w:rPr>
      </w:pPr>
    </w:p>
    <w:p w14:paraId="26AE3742" w14:textId="77777777" w:rsidR="008072E4" w:rsidRPr="001B2E5E" w:rsidRDefault="003F6F28">
      <w:pPr>
        <w:spacing w:line="360" w:lineRule="auto"/>
        <w:jc w:val="both"/>
        <w:rPr>
          <w:rFonts w:ascii="Palatino Linotype" w:eastAsia="Palatino Linotype" w:hAnsi="Palatino Linotype" w:cs="Palatino Linotype"/>
          <w:sz w:val="22"/>
          <w:szCs w:val="22"/>
        </w:rPr>
      </w:pPr>
      <w:bookmarkStart w:id="8" w:name="_heading=h.3znysh7" w:colFirst="0" w:colLast="0"/>
      <w:bookmarkEnd w:id="8"/>
      <w:r w:rsidRPr="001B2E5E">
        <w:rPr>
          <w:rFonts w:ascii="Palatino Linotype" w:eastAsia="Palatino Linotype" w:hAnsi="Palatino Linotype" w:cs="Palatino Linotype"/>
          <w:b/>
          <w:sz w:val="22"/>
          <w:szCs w:val="22"/>
        </w:rPr>
        <w:t xml:space="preserve">Tercero.  Notifíquese vía SAIMEX, </w:t>
      </w:r>
      <w:r w:rsidRPr="001B2E5E">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48AA45D" w14:textId="77777777" w:rsidR="008072E4" w:rsidRPr="001B2E5E" w:rsidRDefault="008072E4">
      <w:pPr>
        <w:spacing w:line="360" w:lineRule="auto"/>
        <w:jc w:val="both"/>
        <w:rPr>
          <w:rFonts w:ascii="Palatino Linotype" w:eastAsia="Palatino Linotype" w:hAnsi="Palatino Linotype" w:cs="Palatino Linotype"/>
          <w:sz w:val="22"/>
          <w:szCs w:val="22"/>
        </w:rPr>
      </w:pPr>
    </w:p>
    <w:p w14:paraId="55D03EE7" w14:textId="77777777" w:rsidR="008072E4" w:rsidRPr="001B2E5E" w:rsidRDefault="003F6F28">
      <w:pPr>
        <w:spacing w:line="360" w:lineRule="auto"/>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b/>
          <w:sz w:val="22"/>
          <w:szCs w:val="22"/>
        </w:rPr>
        <w:t>Cuarto. Notifíquese vía</w:t>
      </w:r>
      <w:r w:rsidRPr="001B2E5E">
        <w:rPr>
          <w:rFonts w:ascii="Palatino Linotype" w:eastAsia="Palatino Linotype" w:hAnsi="Palatino Linotype" w:cs="Palatino Linotype"/>
          <w:sz w:val="22"/>
          <w:szCs w:val="22"/>
        </w:rPr>
        <w:t xml:space="preserve"> </w:t>
      </w:r>
      <w:r w:rsidRPr="001B2E5E">
        <w:rPr>
          <w:rFonts w:ascii="Palatino Linotype" w:eastAsia="Palatino Linotype" w:hAnsi="Palatino Linotype" w:cs="Palatino Linotype"/>
          <w:b/>
          <w:sz w:val="22"/>
          <w:szCs w:val="22"/>
        </w:rPr>
        <w:t>SAIMEX</w:t>
      </w:r>
      <w:r w:rsidRPr="001B2E5E">
        <w:rPr>
          <w:rFonts w:ascii="Palatino Linotype" w:eastAsia="Palatino Linotype" w:hAnsi="Palatino Linotype" w:cs="Palatino Linotype"/>
          <w:sz w:val="22"/>
          <w:szCs w:val="22"/>
        </w:rPr>
        <w:t xml:space="preserve"> a la parte </w:t>
      </w:r>
      <w:r w:rsidRPr="001B2E5E">
        <w:rPr>
          <w:rFonts w:ascii="Palatino Linotype" w:eastAsia="Palatino Linotype" w:hAnsi="Palatino Linotype" w:cs="Palatino Linotype"/>
          <w:b/>
          <w:sz w:val="22"/>
          <w:szCs w:val="22"/>
        </w:rPr>
        <w:t xml:space="preserve">Recurrente </w:t>
      </w:r>
      <w:r w:rsidRPr="001B2E5E">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310A09D2" w14:textId="77777777" w:rsidR="008072E4" w:rsidRPr="001B2E5E" w:rsidRDefault="008072E4">
      <w:pPr>
        <w:spacing w:line="360" w:lineRule="auto"/>
        <w:jc w:val="both"/>
        <w:rPr>
          <w:rFonts w:ascii="Palatino Linotype" w:eastAsia="Palatino Linotype" w:hAnsi="Palatino Linotype" w:cs="Palatino Linotype"/>
          <w:sz w:val="22"/>
          <w:szCs w:val="22"/>
        </w:rPr>
      </w:pPr>
    </w:p>
    <w:p w14:paraId="69279853" w14:textId="77777777" w:rsidR="008072E4" w:rsidRPr="001B2E5E" w:rsidRDefault="003F6F28">
      <w:pPr>
        <w:spacing w:line="360" w:lineRule="auto"/>
        <w:ind w:right="49"/>
        <w:jc w:val="both"/>
        <w:rPr>
          <w:rFonts w:ascii="Palatino Linotype" w:eastAsia="Palatino Linotype" w:hAnsi="Palatino Linotype" w:cs="Palatino Linotype"/>
          <w:sz w:val="22"/>
          <w:szCs w:val="22"/>
        </w:rPr>
      </w:pPr>
      <w:r w:rsidRPr="001B2E5E">
        <w:rPr>
          <w:rFonts w:ascii="Palatino Linotype" w:eastAsia="Palatino Linotype" w:hAnsi="Palatino Linotype" w:cs="Palatino Linotype"/>
          <w:b/>
          <w:sz w:val="22"/>
          <w:szCs w:val="22"/>
        </w:rPr>
        <w:t>Quinto.</w:t>
      </w:r>
      <w:r w:rsidRPr="001B2E5E">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1B2E5E">
        <w:rPr>
          <w:rFonts w:ascii="Palatino Linotype" w:eastAsia="Palatino Linotype" w:hAnsi="Palatino Linotype" w:cs="Palatino Linotype"/>
          <w:b/>
          <w:sz w:val="22"/>
          <w:szCs w:val="22"/>
        </w:rPr>
        <w:lastRenderedPageBreak/>
        <w:t>SUJETO OBLIGADO</w:t>
      </w:r>
      <w:r w:rsidRPr="001B2E5E">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2F0B9C98" w14:textId="77777777" w:rsidR="008072E4" w:rsidRPr="001B2E5E" w:rsidRDefault="008072E4">
      <w:pPr>
        <w:spacing w:line="360" w:lineRule="auto"/>
        <w:jc w:val="both"/>
        <w:rPr>
          <w:rFonts w:ascii="Palatino Linotype" w:eastAsia="Palatino Linotype" w:hAnsi="Palatino Linotype" w:cs="Palatino Linotype"/>
          <w:sz w:val="22"/>
          <w:szCs w:val="22"/>
        </w:rPr>
      </w:pPr>
    </w:p>
    <w:p w14:paraId="6B833108" w14:textId="77777777" w:rsidR="008072E4" w:rsidRPr="001B2E5E" w:rsidRDefault="003F6F28">
      <w:pPr>
        <w:spacing w:line="360" w:lineRule="auto"/>
        <w:jc w:val="both"/>
        <w:rPr>
          <w:rFonts w:ascii="Palatino Linotype" w:eastAsia="Palatino Linotype" w:hAnsi="Palatino Linotype" w:cs="Palatino Linotype"/>
          <w:sz w:val="22"/>
          <w:szCs w:val="22"/>
        </w:rPr>
        <w:sectPr w:rsidR="008072E4" w:rsidRPr="001B2E5E">
          <w:headerReference w:type="default" r:id="rId10"/>
          <w:footerReference w:type="default" r:id="rId11"/>
          <w:headerReference w:type="first" r:id="rId12"/>
          <w:footerReference w:type="first" r:id="rId13"/>
          <w:pgSz w:w="12240" w:h="15840"/>
          <w:pgMar w:top="2041" w:right="1701" w:bottom="1701" w:left="1701" w:header="709" w:footer="709" w:gutter="0"/>
          <w:pgNumType w:start="1"/>
          <w:cols w:space="720"/>
          <w:titlePg/>
        </w:sectPr>
      </w:pPr>
      <w:r w:rsidRPr="001B2E5E">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SEXTA SESIÓN ORDINARIA CELEBRADA EL NUEVE DE OCTUBRE DE DOS MIL VEINTICUATRO ANTE EL SECRETARIO TÉCNICO DEL PLENO ALEXIS TAPIA RAMÍREZ.                             </w:t>
      </w:r>
    </w:p>
    <w:p w14:paraId="22FCFA7E" w14:textId="77777777" w:rsidR="008072E4" w:rsidRPr="001B2E5E" w:rsidRDefault="008072E4">
      <w:pPr>
        <w:spacing w:line="360" w:lineRule="auto"/>
        <w:jc w:val="both"/>
        <w:rPr>
          <w:rFonts w:ascii="Palatino Linotype" w:eastAsia="Palatino Linotype" w:hAnsi="Palatino Linotype" w:cs="Palatino Linotype"/>
          <w:sz w:val="22"/>
          <w:szCs w:val="22"/>
        </w:rPr>
      </w:pPr>
    </w:p>
    <w:sectPr w:rsidR="008072E4" w:rsidRPr="001B2E5E">
      <w:headerReference w:type="first" r:id="rId14"/>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36F6C" w14:textId="77777777" w:rsidR="003C1489" w:rsidRDefault="003C1489">
      <w:r>
        <w:separator/>
      </w:r>
    </w:p>
  </w:endnote>
  <w:endnote w:type="continuationSeparator" w:id="0">
    <w:p w14:paraId="1EE64954" w14:textId="77777777" w:rsidR="003C1489" w:rsidRDefault="003C1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9E33D" w14:textId="77777777" w:rsidR="008072E4" w:rsidRDefault="003F6F28">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BA0E32">
      <w:rPr>
        <w:rFonts w:ascii="Arial" w:eastAsia="Arial" w:hAnsi="Arial" w:cs="Arial"/>
        <w:b/>
        <w:noProof/>
        <w:color w:val="000000"/>
        <w:sz w:val="20"/>
        <w:szCs w:val="20"/>
      </w:rPr>
      <w:t>36</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BA0E32">
      <w:rPr>
        <w:rFonts w:ascii="Arial" w:eastAsia="Arial" w:hAnsi="Arial" w:cs="Arial"/>
        <w:b/>
        <w:noProof/>
        <w:color w:val="000000"/>
        <w:sz w:val="20"/>
        <w:szCs w:val="20"/>
      </w:rPr>
      <w:t>38</w:t>
    </w:r>
    <w:r>
      <w:rPr>
        <w:rFonts w:ascii="Arial" w:eastAsia="Arial" w:hAnsi="Arial" w:cs="Arial"/>
        <w:b/>
        <w:color w:val="000000"/>
        <w:sz w:val="20"/>
        <w:szCs w:val="20"/>
      </w:rPr>
      <w:fldChar w:fldCharType="end"/>
    </w:r>
  </w:p>
  <w:p w14:paraId="08AFA495" w14:textId="77777777" w:rsidR="008072E4" w:rsidRDefault="008072E4">
    <w:pPr>
      <w:pBdr>
        <w:top w:val="nil"/>
        <w:left w:val="nil"/>
        <w:bottom w:val="nil"/>
        <w:right w:val="nil"/>
        <w:between w:val="nil"/>
      </w:pBdr>
      <w:tabs>
        <w:tab w:val="center" w:pos="4252"/>
        <w:tab w:val="right" w:pos="8504"/>
      </w:tabs>
      <w:rPr>
        <w:color w:val="000000"/>
      </w:rPr>
    </w:pPr>
  </w:p>
  <w:p w14:paraId="5549A0B3" w14:textId="77777777" w:rsidR="008072E4" w:rsidRDefault="008072E4">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3A26" w14:textId="77777777" w:rsidR="008072E4" w:rsidRDefault="003F6F28">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BA0E32">
      <w:rPr>
        <w:rFonts w:ascii="Arial" w:eastAsia="Arial" w:hAnsi="Arial" w:cs="Arial"/>
        <w:b/>
        <w:noProof/>
        <w:color w:val="000000"/>
        <w:sz w:val="20"/>
        <w:szCs w:val="20"/>
      </w:rPr>
      <w:t>38</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BA0E32">
      <w:rPr>
        <w:rFonts w:ascii="Arial" w:eastAsia="Arial" w:hAnsi="Arial" w:cs="Arial"/>
        <w:b/>
        <w:noProof/>
        <w:color w:val="000000"/>
        <w:sz w:val="20"/>
        <w:szCs w:val="20"/>
      </w:rPr>
      <w:t>38</w:t>
    </w:r>
    <w:r>
      <w:rPr>
        <w:rFonts w:ascii="Arial" w:eastAsia="Arial" w:hAnsi="Arial" w:cs="Arial"/>
        <w:b/>
        <w:color w:val="000000"/>
        <w:sz w:val="20"/>
        <w:szCs w:val="20"/>
      </w:rPr>
      <w:fldChar w:fldCharType="end"/>
    </w:r>
  </w:p>
  <w:p w14:paraId="75419639" w14:textId="77777777" w:rsidR="008072E4" w:rsidRDefault="008072E4">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F0EC2" w14:textId="77777777" w:rsidR="003C1489" w:rsidRDefault="003C1489">
      <w:r>
        <w:separator/>
      </w:r>
    </w:p>
  </w:footnote>
  <w:footnote w:type="continuationSeparator" w:id="0">
    <w:p w14:paraId="600DAACA" w14:textId="77777777" w:rsidR="003C1489" w:rsidRDefault="003C1489">
      <w:r>
        <w:continuationSeparator/>
      </w:r>
    </w:p>
  </w:footnote>
  <w:footnote w:id="1">
    <w:p w14:paraId="04B9B9A1" w14:textId="77777777" w:rsidR="008072E4" w:rsidRDefault="003F6F28">
      <w:pPr>
        <w:pBdr>
          <w:top w:val="nil"/>
          <w:left w:val="nil"/>
          <w:bottom w:val="nil"/>
          <w:right w:val="nil"/>
          <w:between w:val="nil"/>
        </w:pBdr>
        <w:rPr>
          <w:rFonts w:ascii="Palatino Linotype" w:eastAsia="Palatino Linotype" w:hAnsi="Palatino Linotype" w:cs="Palatino Linotype"/>
          <w:color w:val="000000"/>
          <w:sz w:val="20"/>
          <w:szCs w:val="20"/>
        </w:rPr>
      </w:pPr>
      <w:r>
        <w:rPr>
          <w:vertAlign w:val="superscript"/>
        </w:rPr>
        <w:footnoteRef/>
      </w:r>
      <w:r>
        <w:rPr>
          <w:rFonts w:ascii="Calibri" w:eastAsia="Calibri" w:hAnsi="Calibri" w:cs="Calibri"/>
          <w:color w:val="000000"/>
          <w:sz w:val="20"/>
          <w:szCs w:val="20"/>
        </w:rPr>
        <w:t xml:space="preserve"> </w:t>
      </w:r>
      <w:r>
        <w:rPr>
          <w:rFonts w:ascii="Palatino Linotype" w:eastAsia="Palatino Linotype" w:hAnsi="Palatino Linotype" w:cs="Palatino Linotype"/>
          <w:color w:val="000000"/>
          <w:sz w:val="20"/>
          <w:szCs w:val="20"/>
        </w:rPr>
        <w:t xml:space="preserve">Ley General del Sistema Nacional de Seguridad Pública, para su consulta en línea: </w:t>
      </w:r>
      <w:hyperlink r:id="rId1">
        <w:r>
          <w:rPr>
            <w:rFonts w:ascii="Palatino Linotype" w:eastAsia="Palatino Linotype" w:hAnsi="Palatino Linotype" w:cs="Palatino Linotype"/>
            <w:color w:val="0563C1"/>
            <w:sz w:val="20"/>
            <w:szCs w:val="20"/>
            <w:u w:val="single"/>
          </w:rPr>
          <w:t>https://www.diputados.gob.mx/LeyesBiblio/pdf/LGSNSP.pdf</w:t>
        </w:r>
      </w:hyperlink>
    </w:p>
    <w:p w14:paraId="64130B0F" w14:textId="77777777" w:rsidR="008072E4" w:rsidRDefault="008072E4">
      <w:pPr>
        <w:pBdr>
          <w:top w:val="nil"/>
          <w:left w:val="nil"/>
          <w:bottom w:val="nil"/>
          <w:right w:val="nil"/>
          <w:between w:val="nil"/>
        </w:pBdr>
        <w:rPr>
          <w:rFonts w:ascii="Calibri" w:eastAsia="Calibri" w:hAnsi="Calibri" w:cs="Calibri"/>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A0BB" w14:textId="77777777" w:rsidR="008072E4" w:rsidRDefault="003F6F28">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42F155A4" wp14:editId="3F6F41D4">
          <wp:simplePos x="0" y="0"/>
          <wp:positionH relativeFrom="column">
            <wp:posOffset>-781048</wp:posOffset>
          </wp:positionH>
          <wp:positionV relativeFrom="paragraph">
            <wp:posOffset>-316863</wp:posOffset>
          </wp:positionV>
          <wp:extent cx="7809876" cy="10165823"/>
          <wp:effectExtent l="0" t="0" r="0" b="0"/>
          <wp:wrapNone/>
          <wp:docPr id="5639680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3"/>
      <w:tblW w:w="5528" w:type="dxa"/>
      <w:tblInd w:w="3261" w:type="dxa"/>
      <w:tblLayout w:type="fixed"/>
      <w:tblLook w:val="0400" w:firstRow="0" w:lastRow="0" w:firstColumn="0" w:lastColumn="0" w:noHBand="0" w:noVBand="1"/>
    </w:tblPr>
    <w:tblGrid>
      <w:gridCol w:w="2551"/>
      <w:gridCol w:w="2977"/>
    </w:tblGrid>
    <w:tr w:rsidR="008072E4" w14:paraId="3D35169F" w14:textId="77777777">
      <w:tc>
        <w:tcPr>
          <w:tcW w:w="2551" w:type="dxa"/>
          <w:vAlign w:val="center"/>
        </w:tcPr>
        <w:p w14:paraId="3975071E" w14:textId="77777777" w:rsidR="008072E4" w:rsidRDefault="003F6F2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599ED3ED" w14:textId="77777777" w:rsidR="008072E4" w:rsidRDefault="003F6F2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04574/INFOEM/IP/RR/2024</w:t>
          </w:r>
        </w:p>
      </w:tc>
    </w:tr>
    <w:tr w:rsidR="008072E4" w14:paraId="503BC424" w14:textId="77777777">
      <w:trPr>
        <w:trHeight w:val="228"/>
      </w:trPr>
      <w:tc>
        <w:tcPr>
          <w:tcW w:w="2551" w:type="dxa"/>
          <w:vAlign w:val="center"/>
        </w:tcPr>
        <w:p w14:paraId="38B19E57" w14:textId="77777777" w:rsidR="008072E4" w:rsidRDefault="003F6F2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11143B83" w14:textId="77777777" w:rsidR="008072E4" w:rsidRDefault="003F6F2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Tecámac</w:t>
          </w:r>
        </w:p>
      </w:tc>
    </w:tr>
    <w:tr w:rsidR="008072E4" w14:paraId="01D4A824" w14:textId="77777777">
      <w:tc>
        <w:tcPr>
          <w:tcW w:w="2551" w:type="dxa"/>
          <w:vAlign w:val="center"/>
        </w:tcPr>
        <w:p w14:paraId="1FE071B8" w14:textId="77777777" w:rsidR="008072E4" w:rsidRDefault="003F6F2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0077751E" w14:textId="77777777" w:rsidR="008072E4" w:rsidRDefault="003F6F28">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6430EF2" w14:textId="77777777" w:rsidR="008072E4" w:rsidRDefault="003F6F28">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A4924" w14:textId="77777777" w:rsidR="008072E4" w:rsidRDefault="003F6F28">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2A3D4645" wp14:editId="0BBDA042">
          <wp:simplePos x="0" y="0"/>
          <wp:positionH relativeFrom="column">
            <wp:posOffset>-798191</wp:posOffset>
          </wp:positionH>
          <wp:positionV relativeFrom="paragraph">
            <wp:posOffset>-399411</wp:posOffset>
          </wp:positionV>
          <wp:extent cx="7809876" cy="10165823"/>
          <wp:effectExtent l="0" t="0" r="0" b="0"/>
          <wp:wrapNone/>
          <wp:docPr id="5639680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4"/>
      <w:tblW w:w="5670" w:type="dxa"/>
      <w:tblInd w:w="3119" w:type="dxa"/>
      <w:tblLayout w:type="fixed"/>
      <w:tblLook w:val="0400" w:firstRow="0" w:lastRow="0" w:firstColumn="0" w:lastColumn="0" w:noHBand="0" w:noVBand="1"/>
    </w:tblPr>
    <w:tblGrid>
      <w:gridCol w:w="2551"/>
      <w:gridCol w:w="3119"/>
    </w:tblGrid>
    <w:tr w:rsidR="008072E4" w14:paraId="3A4A9D24" w14:textId="77777777">
      <w:tc>
        <w:tcPr>
          <w:tcW w:w="2551" w:type="dxa"/>
          <w:vAlign w:val="center"/>
        </w:tcPr>
        <w:p w14:paraId="6734AB6A" w14:textId="77777777" w:rsidR="008072E4" w:rsidRDefault="003F6F2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6AA0EA55" w14:textId="77777777" w:rsidR="008072E4" w:rsidRDefault="003F6F2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04574/INFOEM/IP/RR/2024 </w:t>
          </w:r>
        </w:p>
      </w:tc>
    </w:tr>
    <w:tr w:rsidR="008072E4" w14:paraId="03307329" w14:textId="77777777">
      <w:tc>
        <w:tcPr>
          <w:tcW w:w="2551" w:type="dxa"/>
          <w:vAlign w:val="center"/>
        </w:tcPr>
        <w:p w14:paraId="5B7B34E2" w14:textId="77777777" w:rsidR="008072E4" w:rsidRDefault="003F6F28">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20A8B4E5" w14:textId="77777777" w:rsidR="008072E4" w:rsidRDefault="008072E4">
          <w:pPr>
            <w:ind w:right="27"/>
            <w:jc w:val="both"/>
            <w:rPr>
              <w:rFonts w:ascii="Palatino Linotype" w:eastAsia="Palatino Linotype" w:hAnsi="Palatino Linotype" w:cs="Palatino Linotype"/>
              <w:b/>
              <w:sz w:val="22"/>
              <w:szCs w:val="22"/>
            </w:rPr>
          </w:pPr>
        </w:p>
      </w:tc>
    </w:tr>
    <w:tr w:rsidR="008072E4" w14:paraId="4E91D254" w14:textId="77777777">
      <w:trPr>
        <w:trHeight w:val="228"/>
      </w:trPr>
      <w:tc>
        <w:tcPr>
          <w:tcW w:w="2551" w:type="dxa"/>
          <w:vAlign w:val="center"/>
        </w:tcPr>
        <w:p w14:paraId="74BEA7AF" w14:textId="77777777" w:rsidR="008072E4" w:rsidRDefault="003F6F2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5133E2D4" w14:textId="77777777" w:rsidR="008072E4" w:rsidRDefault="003F6F28">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Tecámac</w:t>
          </w:r>
        </w:p>
      </w:tc>
    </w:tr>
    <w:tr w:rsidR="008072E4" w14:paraId="394C74D2" w14:textId="77777777">
      <w:tc>
        <w:tcPr>
          <w:tcW w:w="2551" w:type="dxa"/>
          <w:vAlign w:val="center"/>
        </w:tcPr>
        <w:p w14:paraId="4B3ECF42" w14:textId="77777777" w:rsidR="008072E4" w:rsidRDefault="003F6F2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43A202A6" w14:textId="77777777" w:rsidR="008072E4" w:rsidRDefault="003F6F28">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52A5FF3" w14:textId="77777777" w:rsidR="008072E4" w:rsidRDefault="008072E4">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3154" w14:textId="77777777" w:rsidR="008072E4" w:rsidRDefault="008072E4">
    <w:pPr>
      <w:pBdr>
        <w:top w:val="nil"/>
        <w:left w:val="nil"/>
        <w:bottom w:val="nil"/>
        <w:right w:val="nil"/>
        <w:between w:val="nil"/>
      </w:pBdr>
      <w:tabs>
        <w:tab w:val="center" w:pos="4252"/>
        <w:tab w:val="right" w:pos="8504"/>
      </w:tabs>
      <w:jc w:val="both"/>
      <w:rPr>
        <w:rFonts w:ascii="Calibri" w:eastAsia="Calibri" w:hAnsi="Calibri" w:cs="Calibri"/>
        <w:color w:val="000000"/>
      </w:rPr>
    </w:pPr>
  </w:p>
  <w:p w14:paraId="481D13B2" w14:textId="77777777" w:rsidR="008072E4" w:rsidRDefault="008072E4">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A76E3"/>
    <w:multiLevelType w:val="multilevel"/>
    <w:tmpl w:val="557E3468"/>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 w15:restartNumberingAfterBreak="0">
    <w:nsid w:val="38554FCC"/>
    <w:multiLevelType w:val="multilevel"/>
    <w:tmpl w:val="1346BD32"/>
    <w:lvl w:ilvl="0">
      <w:start w:val="1"/>
      <w:numFmt w:val="bullet"/>
      <w:lvlText w:val="●"/>
      <w:lvlJc w:val="left"/>
      <w:pPr>
        <w:ind w:left="1004" w:hanging="360"/>
      </w:pPr>
      <w:rPr>
        <w:rFonts w:ascii="Noto Sans Symbols" w:eastAsia="Noto Sans Symbols" w:hAnsi="Noto Sans Symbols" w:cs="Noto Sans Symbols"/>
        <w:sz w:val="20"/>
        <w:szCs w:val="20"/>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 w15:restartNumberingAfterBreak="0">
    <w:nsid w:val="4633552A"/>
    <w:multiLevelType w:val="multilevel"/>
    <w:tmpl w:val="F20A13F0"/>
    <w:lvl w:ilvl="0">
      <w:start w:val="3"/>
      <w:numFmt w:val="bullet"/>
      <w:pStyle w:val="Listaconvietas3"/>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CF83934"/>
    <w:multiLevelType w:val="multilevel"/>
    <w:tmpl w:val="7F8E0FB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E572FE4"/>
    <w:multiLevelType w:val="multilevel"/>
    <w:tmpl w:val="DD34BAB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2E4"/>
    <w:rsid w:val="001839DE"/>
    <w:rsid w:val="001B2E5E"/>
    <w:rsid w:val="001F6CEB"/>
    <w:rsid w:val="003C1489"/>
    <w:rsid w:val="003F6F28"/>
    <w:rsid w:val="008072E4"/>
    <w:rsid w:val="00BA0E32"/>
    <w:rsid w:val="00BB4E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B2619"/>
  <w15:docId w15:val="{3557676C-4604-4DA5-8137-0F564EEAF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64"/>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link w:val="Ttulo3Car"/>
    <w:uiPriority w:val="9"/>
    <w:semiHidden/>
    <w:unhideWhenUsed/>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AC3C6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4"/>
    <w:tblPr>
      <w:tblStyleRowBandSize w:val="1"/>
      <w:tblStyleColBandSize w:val="1"/>
      <w:tblCellMar>
        <w:left w:w="108" w:type="dxa"/>
        <w:right w:w="108" w:type="dxa"/>
      </w:tblCellMar>
    </w:tbl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left w:w="108" w:type="dxa"/>
        <w:right w:w="108" w:type="dxa"/>
      </w:tblCellMar>
    </w:tblPr>
  </w:style>
  <w:style w:type="table" w:customStyle="1" w:styleId="a5">
    <w:basedOn w:val="TableNormal4"/>
    <w:tblPr>
      <w:tblStyleRowBandSize w:val="1"/>
      <w:tblStyleColBandSize w:val="1"/>
      <w:tblCellMar>
        <w:left w:w="108" w:type="dxa"/>
        <w:right w:w="108" w:type="dxa"/>
      </w:tblCellMar>
    </w:tblPr>
  </w:style>
  <w:style w:type="table" w:customStyle="1" w:styleId="a6">
    <w:basedOn w:val="TableNormal4"/>
    <w:tblPr>
      <w:tblStyleRowBandSize w:val="1"/>
      <w:tblStyleColBandSize w:val="1"/>
      <w:tblCellMar>
        <w:left w:w="108" w:type="dxa"/>
        <w:right w:w="108" w:type="dxa"/>
      </w:tblCellMar>
    </w:tblPr>
  </w:style>
  <w:style w:type="table" w:customStyle="1" w:styleId="a7">
    <w:basedOn w:val="TableNormal4"/>
    <w:tblPr>
      <w:tblStyleRowBandSize w:val="1"/>
      <w:tblStyleColBandSize w:val="1"/>
      <w:tblCellMar>
        <w:left w:w="108" w:type="dxa"/>
        <w:right w:w="108" w:type="dxa"/>
      </w:tblCellMar>
    </w:tblPr>
  </w:style>
  <w:style w:type="table" w:customStyle="1" w:styleId="a8">
    <w:basedOn w:val="TableNormal4"/>
    <w:tblPr>
      <w:tblStyleRowBandSize w:val="1"/>
      <w:tblStyleColBandSize w:val="1"/>
      <w:tblCellMar>
        <w:left w:w="108" w:type="dxa"/>
        <w:right w:w="108" w:type="dxa"/>
      </w:tblCellMar>
    </w:tblPr>
  </w:style>
  <w:style w:type="table" w:customStyle="1" w:styleId="a9">
    <w:basedOn w:val="TableNormal4"/>
    <w:tblPr>
      <w:tblStyleRowBandSize w:val="1"/>
      <w:tblStyleColBandSize w:val="1"/>
      <w:tblCellMar>
        <w:left w:w="115" w:type="dxa"/>
        <w:right w:w="115" w:type="dxa"/>
      </w:tblCellMar>
    </w:tblPr>
  </w:style>
  <w:style w:type="table" w:customStyle="1" w:styleId="aa">
    <w:basedOn w:val="TableNormal4"/>
    <w:tblPr>
      <w:tblStyleRowBandSize w:val="1"/>
      <w:tblStyleColBandSize w:val="1"/>
      <w:tblCellMar>
        <w:left w:w="115" w:type="dxa"/>
        <w:right w:w="115" w:type="dxa"/>
      </w:tblCellMar>
    </w:tblPr>
  </w:style>
  <w:style w:type="table" w:customStyle="1" w:styleId="ab">
    <w:basedOn w:val="TableNormal4"/>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3"/>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character" w:customStyle="1" w:styleId="Mencinsinresolver3">
    <w:name w:val="Mención sin resolver3"/>
    <w:basedOn w:val="Fuentedeprrafopredeter"/>
    <w:uiPriority w:val="99"/>
    <w:semiHidden/>
    <w:unhideWhenUsed/>
    <w:rsid w:val="00D21E62"/>
    <w:rPr>
      <w:color w:val="605E5C"/>
      <w:shd w:val="clear" w:color="auto" w:fill="E1DFDD"/>
    </w:r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diputados.gob.mx/LeyesBiblio/pdf/LGSNS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9jbSIBlbEkqr1yzg9LIh3G+IA==">CgMxLjAyCWguMmV0OTJwMDIIaC50eWpjd3QyCGguZ2pkZ3hzMgloLjMwajB6bGwyCWguMWZvYjl0ZTIJaC4xdDNoNXNmMgloLjNkeTZ2a20yDmgua2M0emowNzdoN3BiMgloLjN6bnlzaDc4AHIhMUZGUXh4X2ZlbVZZc2s2cTdXcmVkMDBSRlhPOWZuamhT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9644</Words>
  <Characters>53044</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Maricela Villagómez Martínez</cp:lastModifiedBy>
  <cp:revision>2</cp:revision>
  <cp:lastPrinted>2024-10-11T16:47:00Z</cp:lastPrinted>
  <dcterms:created xsi:type="dcterms:W3CDTF">2024-10-23T23:55:00Z</dcterms:created>
  <dcterms:modified xsi:type="dcterms:W3CDTF">2024-10-23T23:55:00Z</dcterms:modified>
</cp:coreProperties>
</file>