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rPr>
      </w:pPr>
      <w:bookmarkStart w:colFirst="0" w:colLast="0" w:name="_heading=h.gjdgxs"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w:t>
      </w:r>
      <w:r w:rsidDel="00000000" w:rsidR="00000000" w:rsidRPr="00000000">
        <w:rPr>
          <w:rFonts w:ascii="Palatino Linotype" w:cs="Palatino Linotype" w:eastAsia="Palatino Linotype" w:hAnsi="Palatino Linotype"/>
          <w:b w:val="1"/>
          <w:rtl w:val="0"/>
        </w:rPr>
        <w:t xml:space="preserve">seis de noviembre de dos mil veinticuatro</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02">
      <w:pPr>
        <w:spacing w:after="0" w:line="360" w:lineRule="auto"/>
        <w:ind w:right="49"/>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Visto el expediente relativo al recurso de revisión </w:t>
      </w:r>
      <w:r w:rsidDel="00000000" w:rsidR="00000000" w:rsidRPr="00000000">
        <w:rPr>
          <w:rFonts w:ascii="Palatino Linotype" w:cs="Palatino Linotype" w:eastAsia="Palatino Linotype" w:hAnsi="Palatino Linotype"/>
          <w:b w:val="1"/>
          <w:rtl w:val="0"/>
        </w:rPr>
        <w:t xml:space="preserve">05669/INFOEM/IP/RR/2024</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05669/INFOEM/IP/RR/2024 </w:t>
      </w:r>
      <w:r w:rsidDel="00000000" w:rsidR="00000000" w:rsidRPr="00000000">
        <w:rPr>
          <w:rFonts w:ascii="Palatino Linotype" w:cs="Palatino Linotype" w:eastAsia="Palatino Linotype" w:hAnsi="Palatino Linotype"/>
          <w:rtl w:val="0"/>
        </w:rPr>
        <w:t xml:space="preserve">al cual en lo sucesivo se le denominará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de información identificada con número de folio </w:t>
      </w:r>
      <w:r w:rsidDel="00000000" w:rsidR="00000000" w:rsidRPr="00000000">
        <w:rPr>
          <w:rFonts w:ascii="Palatino Linotype" w:cs="Palatino Linotype" w:eastAsia="Palatino Linotype" w:hAnsi="Palatino Linotype"/>
          <w:b w:val="1"/>
          <w:rtl w:val="0"/>
        </w:rPr>
        <w:t xml:space="preserve">00186/OFICIALIA/IP/2024</w:t>
      </w:r>
      <w:r w:rsidDel="00000000" w:rsidR="00000000" w:rsidRPr="00000000">
        <w:rPr>
          <w:rFonts w:ascii="Palatino Linotype" w:cs="Palatino Linotype" w:eastAsia="Palatino Linotype" w:hAnsi="Palatino Linotype"/>
          <w:rtl w:val="0"/>
        </w:rPr>
        <w:t xml:space="preserve">, proporcionada por parte de la</w:t>
      </w:r>
      <w:r w:rsidDel="00000000" w:rsidR="00000000" w:rsidRPr="00000000">
        <w:rPr>
          <w:rFonts w:ascii="Palatino Linotype" w:cs="Palatino Linotype" w:eastAsia="Palatino Linotype" w:hAnsi="Palatino Linotype"/>
          <w:b w:val="1"/>
          <w:rtl w:val="0"/>
        </w:rPr>
        <w:t xml:space="preserve"> Oficialía Mayor</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procede a dictar la presente resolución, con base en los siguientes:</w:t>
      </w:r>
    </w:p>
    <w:p w:rsidR="00000000" w:rsidDel="00000000" w:rsidP="00000000" w:rsidRDefault="00000000" w:rsidRPr="00000000" w14:paraId="0000000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w:t>
        <w:tab/>
        <w:t xml:space="preserve">A N T E C E D E N T E S</w:t>
      </w:r>
    </w:p>
    <w:p w:rsidR="00000000" w:rsidDel="00000000" w:rsidP="00000000" w:rsidRDefault="00000000" w:rsidRPr="00000000" w14:paraId="0000000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7">
      <w:pPr>
        <w:numPr>
          <w:ilvl w:val="0"/>
          <w:numId w:val="5"/>
        </w:numPr>
        <w:pBdr>
          <w:top w:space="0" w:sz="0" w:val="nil"/>
          <w:left w:space="0" w:sz="0" w:val="nil"/>
          <w:bottom w:space="0" w:sz="0" w:val="nil"/>
          <w:right w:space="0" w:sz="0" w:val="nil"/>
          <w:between w:space="0" w:sz="0" w:val="nil"/>
        </w:pBdr>
        <w:tabs>
          <w:tab w:val="left" w:leader="none" w:pos="284"/>
        </w:tabs>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veintiocho de agosto de dos mil veinticuatro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SAIMEX, en la que requirió lo siguiente: </w:t>
      </w:r>
    </w:p>
    <w:p w:rsidR="00000000" w:rsidDel="00000000" w:rsidP="00000000" w:rsidRDefault="00000000" w:rsidRPr="00000000" w14:paraId="00000008">
      <w:pPr>
        <w:spacing w:after="0" w:line="360" w:lineRule="auto"/>
        <w:ind w:right="49"/>
        <w:jc w:val="both"/>
        <w:rPr>
          <w:rFonts w:ascii="Palatino Linotype" w:cs="Palatino Linotype" w:eastAsia="Palatino Linotype" w:hAnsi="Palatino Linotype"/>
          <w:sz w:val="8"/>
          <w:szCs w:val="8"/>
        </w:rPr>
      </w:pPr>
      <w:r w:rsidDel="00000000" w:rsidR="00000000" w:rsidRPr="00000000">
        <w:rPr>
          <w:rtl w:val="0"/>
        </w:rPr>
      </w:r>
    </w:p>
    <w:p w:rsidR="00000000" w:rsidDel="00000000" w:rsidP="00000000" w:rsidRDefault="00000000" w:rsidRPr="00000000" w14:paraId="00000009">
      <w:pPr>
        <w:spacing w:after="0" w:line="276" w:lineRule="auto"/>
        <w:ind w:left="567" w:right="560" w:firstLine="0"/>
        <w:jc w:val="both"/>
        <w:rPr>
          <w:rFonts w:ascii="Palatino Linotype" w:cs="Palatino Linotype" w:eastAsia="Palatino Linotype" w:hAnsi="Palatino Linotype"/>
          <w:i w:val="1"/>
        </w:rPr>
      </w:pPr>
      <w:bookmarkStart w:colFirst="0" w:colLast="0" w:name="_heading=h.30j0zll" w:id="1"/>
      <w:bookmarkEnd w:id="1"/>
      <w:r w:rsidDel="00000000" w:rsidR="00000000" w:rsidRPr="00000000">
        <w:rPr>
          <w:rFonts w:ascii="Palatino Linotype" w:cs="Palatino Linotype" w:eastAsia="Palatino Linotype" w:hAnsi="Palatino Linotype"/>
          <w:i w:val="1"/>
          <w:rtl w:val="0"/>
        </w:rPr>
        <w:t xml:space="preserve">“a la maestra maria trinidad franco arpero que ostenta el cargo de oficial mayor y a jaime noe hernandez bocanegra, director general de personal, se le solicita la siguiente información: Proporcionar la documentación bajo su poder relacionada al proceso escalafonario 2024. </w:t>
      </w:r>
      <w:r w:rsidDel="00000000" w:rsidR="00000000" w:rsidRPr="00000000">
        <w:rPr>
          <w:rFonts w:ascii="Palatino Linotype" w:cs="Palatino Linotype" w:eastAsia="Palatino Linotype" w:hAnsi="Palatino Linotype"/>
          <w:b w:val="1"/>
          <w:i w:val="1"/>
          <w:rtl w:val="0"/>
        </w:rPr>
        <w:t xml:space="preserve">Se solicita informen el estatus que guarda el proceso escalafonario para el ejercicio fiscal 2024</w:t>
      </w:r>
      <w:r w:rsidDel="00000000" w:rsidR="00000000" w:rsidRPr="00000000">
        <w:rPr>
          <w:rFonts w:ascii="Palatino Linotype" w:cs="Palatino Linotype" w:eastAsia="Palatino Linotype" w:hAnsi="Palatino Linotype"/>
          <w:i w:val="1"/>
          <w:rtl w:val="0"/>
        </w:rPr>
        <w:t xml:space="preserve"> Se solicita informen </w:t>
      </w:r>
      <w:r w:rsidDel="00000000" w:rsidR="00000000" w:rsidRPr="00000000">
        <w:rPr>
          <w:rFonts w:ascii="Palatino Linotype" w:cs="Palatino Linotype" w:eastAsia="Palatino Linotype" w:hAnsi="Palatino Linotype"/>
          <w:b w:val="1"/>
          <w:i w:val="1"/>
          <w:rtl w:val="0"/>
        </w:rPr>
        <w:t xml:space="preserve">los motivos administrativos y jurídicos por los cuales se ha retrasado el concurso escalafonario 2024</w:t>
      </w:r>
      <w:r w:rsidDel="00000000" w:rsidR="00000000" w:rsidRPr="00000000">
        <w:rPr>
          <w:rFonts w:ascii="Palatino Linotype" w:cs="Palatino Linotype" w:eastAsia="Palatino Linotype" w:hAnsi="Palatino Linotype"/>
          <w:i w:val="1"/>
          <w:rtl w:val="0"/>
        </w:rPr>
        <w:t xml:space="preserve">. Se solicita informar </w:t>
      </w:r>
      <w:r w:rsidDel="00000000" w:rsidR="00000000" w:rsidRPr="00000000">
        <w:rPr>
          <w:rFonts w:ascii="Palatino Linotype" w:cs="Palatino Linotype" w:eastAsia="Palatino Linotype" w:hAnsi="Palatino Linotype"/>
          <w:b w:val="1"/>
          <w:i w:val="1"/>
          <w:rtl w:val="0"/>
        </w:rPr>
        <w:t xml:space="preserve">la fecha en que se publicara la convocatoria del concurso escalafonario 2024.</w:t>
      </w:r>
      <w:r w:rsidDel="00000000" w:rsidR="00000000" w:rsidRPr="00000000">
        <w:rPr>
          <w:rFonts w:ascii="Palatino Linotype" w:cs="Palatino Linotype" w:eastAsia="Palatino Linotype" w:hAnsi="Palatino Linotype"/>
          <w:i w:val="1"/>
          <w:rtl w:val="0"/>
        </w:rPr>
        <w:t xml:space="preserve"> Es obligación de la comisión mixta de escalafón dar cumplimiento a la normatividad del proceso escalafonario, específicamente al reglamento del proceso escalafonario de las personas servidoras públicas generales del poder ejecutivo del estado de méxico, para así no violentar los derechos de los servidores públicos. La documentación e información solicitada deberá ser entregada en forma completa, imparcial, transparente y eficaz, a fin de no recurrir a instancias jurisdiccionales competentes.” (Sic)</w:t>
      </w:r>
    </w:p>
    <w:p w:rsidR="00000000" w:rsidDel="00000000" w:rsidP="00000000" w:rsidRDefault="00000000" w:rsidRPr="00000000" w14:paraId="0000000A">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w:t>
      </w:r>
      <w:r w:rsidDel="00000000" w:rsidR="00000000" w:rsidRPr="00000000">
        <w:rPr>
          <w:rFonts w:ascii="Palatino Linotype" w:cs="Palatino Linotype" w:eastAsia="Palatino Linotype" w:hAnsi="Palatino Linotype"/>
          <w:rtl w:val="0"/>
        </w:rPr>
        <w:t xml:space="preserve"> a través del Sistema de Acceso a la Información Mexiquense (SAIMEX). </w:t>
      </w:r>
    </w:p>
    <w:p w:rsidR="00000000" w:rsidDel="00000000" w:rsidP="00000000" w:rsidRDefault="00000000" w:rsidRPr="00000000" w14:paraId="0000000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D">
      <w:pPr>
        <w:numPr>
          <w:ilvl w:val="0"/>
          <w:numId w:val="5"/>
        </w:numPr>
        <w:pBdr>
          <w:top w:space="0" w:sz="0" w:val="nil"/>
          <w:left w:space="0" w:sz="0" w:val="nil"/>
          <w:bottom w:space="0" w:sz="0" w:val="nil"/>
          <w:right w:space="0" w:sz="0" w:val="nil"/>
          <w:between w:space="0" w:sz="0" w:val="nil"/>
        </w:pBdr>
        <w:tabs>
          <w:tab w:val="left" w:leader="none" w:pos="142"/>
          <w:tab w:val="left" w:leader="none" w:pos="284"/>
        </w:tabs>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Respuesta.</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cinco de septiembre de dos mil veinticuatro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envió su respuesta a la solicitud de acceso a la información a través del SAIMEX, la cual versa como sigue:</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F">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NOTIFICA RESPUESTA A LA SOLICITUD DE ACCESO” (Sic)</w:t>
      </w:r>
    </w:p>
    <w:p w:rsidR="00000000" w:rsidDel="00000000" w:rsidP="00000000" w:rsidRDefault="00000000" w:rsidRPr="00000000" w14:paraId="00000010">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1">
      <w:pPr>
        <w:spacing w:after="0" w:line="276" w:lineRule="auto"/>
        <w:ind w:right="84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adjuntó a su respuesta los archivos que se describen a continuación:</w:t>
      </w:r>
    </w:p>
    <w:p w:rsidR="00000000" w:rsidDel="00000000" w:rsidP="00000000" w:rsidRDefault="00000000" w:rsidRPr="00000000" w14:paraId="00000012">
      <w:pPr>
        <w:spacing w:after="0" w:line="276" w:lineRule="auto"/>
        <w:ind w:right="84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pacing w:after="0" w:line="276" w:lineRule="auto"/>
        <w:ind w:left="360" w:right="134" w:hanging="360"/>
        <w:jc w:val="both"/>
        <w:rPr>
          <w:rFonts w:ascii="Palatino Linotype" w:cs="Palatino Linotype" w:eastAsia="Palatino Linotype" w:hAnsi="Palatino Linotype"/>
          <w:b w:val="1"/>
          <w:i w:val="1"/>
          <w:color w:val="000000"/>
        </w:rPr>
      </w:pPr>
      <w:r w:rsidDel="00000000" w:rsidR="00000000" w:rsidRPr="00000000">
        <w:rPr>
          <w:rFonts w:ascii="Palatino Linotype" w:cs="Palatino Linotype" w:eastAsia="Palatino Linotype" w:hAnsi="Palatino Linotype"/>
          <w:b w:val="1"/>
          <w:i w:val="1"/>
          <w:color w:val="000000"/>
          <w:rtl w:val="0"/>
        </w:rPr>
        <w:t xml:space="preserve">ACUSE SOLIC. 186.pdf: </w:t>
      </w:r>
      <w:r w:rsidDel="00000000" w:rsidR="00000000" w:rsidRPr="00000000">
        <w:rPr>
          <w:rFonts w:ascii="Palatino Linotype" w:cs="Palatino Linotype" w:eastAsia="Palatino Linotype" w:hAnsi="Palatino Linotype"/>
          <w:color w:val="000000"/>
          <w:rtl w:val="0"/>
        </w:rPr>
        <w:t xml:space="preserve">Oficio 23400004000200S-128/2024 del 03 de septiembre de 2024, a través del cual el servidor público habilitado de la Dirección General de Personal informa que con relación a la solicitud; </w:t>
      </w:r>
      <w:r w:rsidDel="00000000" w:rsidR="00000000" w:rsidRPr="00000000">
        <w:rPr>
          <w:rFonts w:ascii="Palatino Linotype" w:cs="Palatino Linotype" w:eastAsia="Palatino Linotype" w:hAnsi="Palatino Linotype"/>
          <w:b w:val="1"/>
          <w:color w:val="000000"/>
          <w:rtl w:val="0"/>
        </w:rPr>
        <w:t xml:space="preserve">en primer lugar</w:t>
      </w:r>
      <w:r w:rsidDel="00000000" w:rsidR="00000000" w:rsidRPr="00000000">
        <w:rPr>
          <w:rFonts w:ascii="Palatino Linotype" w:cs="Palatino Linotype" w:eastAsia="Palatino Linotype" w:hAnsi="Palatino Linotype"/>
          <w:color w:val="000000"/>
          <w:rtl w:val="0"/>
        </w:rPr>
        <w:t xml:space="preserve">, que se hacía entrega de la información relacionada con el próximo proceso escalafonario consistente en las plazas vacantes por dependencia que serán ofertadas, la cual es puesta a disposición tal y cual obra en los archivos de la Subdirección de Proceso Escalafonario y Evaluación del Capital Humano; </w:t>
      </w:r>
      <w:r w:rsidDel="00000000" w:rsidR="00000000" w:rsidRPr="00000000">
        <w:rPr>
          <w:rFonts w:ascii="Palatino Linotype" w:cs="Palatino Linotype" w:eastAsia="Palatino Linotype" w:hAnsi="Palatino Linotype"/>
          <w:b w:val="1"/>
          <w:color w:val="000000"/>
          <w:u w:val="single"/>
          <w:rtl w:val="0"/>
        </w:rPr>
        <w:t xml:space="preserve">y, en segundo lugar</w:t>
      </w:r>
      <w:r w:rsidDel="00000000" w:rsidR="00000000" w:rsidRPr="00000000">
        <w:rPr>
          <w:rFonts w:ascii="Palatino Linotype" w:cs="Palatino Linotype" w:eastAsia="Palatino Linotype" w:hAnsi="Palatino Linotype"/>
          <w:color w:val="000000"/>
          <w:rtl w:val="0"/>
        </w:rPr>
        <w:t xml:space="preserve">, que en términos del artículo 55 del Reglamento del Proceso Escalafonario de las Personas Servidoras Públicas Generales del Poder Ejecutivo del Estado de México, </w:t>
      </w:r>
      <w:r w:rsidDel="00000000" w:rsidR="00000000" w:rsidRPr="00000000">
        <w:rPr>
          <w:rFonts w:ascii="Palatino Linotype" w:cs="Palatino Linotype" w:eastAsia="Palatino Linotype" w:hAnsi="Palatino Linotype"/>
          <w:b w:val="1"/>
          <w:color w:val="000000"/>
          <w:rtl w:val="0"/>
        </w:rPr>
        <w:t xml:space="preserve">no existe un calendario determinado para emitir la convocatoria al proceso escalafonario</w:t>
      </w:r>
      <w:r w:rsidDel="00000000" w:rsidR="00000000" w:rsidRPr="00000000">
        <w:rPr>
          <w:rFonts w:ascii="Palatino Linotype" w:cs="Palatino Linotype" w:eastAsia="Palatino Linotype" w:hAnsi="Palatino Linotype"/>
          <w:color w:val="000000"/>
          <w:rtl w:val="0"/>
        </w:rPr>
        <w:t xml:space="preserve">, sin embargo, se indica que ya se cuenta con fecha tentativa para el concurso escalafonario 2024 y que tan pronto se encuentre autorizada, será comunicada a través de las coordinaciones administrativas o equivalentes de las dependencias.</w:t>
      </w:r>
      <w:r w:rsidDel="00000000" w:rsidR="00000000" w:rsidRPr="00000000">
        <w:rPr>
          <w:rtl w:val="0"/>
        </w:rPr>
      </w:r>
    </w:p>
    <w:p w:rsidR="00000000" w:rsidDel="00000000" w:rsidP="00000000" w:rsidRDefault="00000000" w:rsidRPr="00000000" w14:paraId="00000014">
      <w:pPr>
        <w:spacing w:after="0" w:line="276" w:lineRule="auto"/>
        <w:ind w:right="134"/>
        <w:jc w:val="both"/>
        <w:rPr>
          <w:rFonts w:ascii="Palatino Linotype" w:cs="Palatino Linotype" w:eastAsia="Palatino Linotype" w:hAnsi="Palatino Linotype"/>
          <w:b w:val="1"/>
          <w:i w:val="1"/>
          <w:sz w:val="12"/>
          <w:szCs w:val="12"/>
        </w:rPr>
      </w:pPr>
      <w:r w:rsidDel="00000000" w:rsidR="00000000" w:rsidRPr="00000000">
        <w:rPr>
          <w:rtl w:val="0"/>
        </w:rPr>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pacing w:after="0" w:line="276" w:lineRule="auto"/>
        <w:ind w:left="360" w:right="134" w:hanging="360"/>
        <w:jc w:val="both"/>
        <w:rPr>
          <w:rFonts w:ascii="Palatino Linotype" w:cs="Palatino Linotype" w:eastAsia="Palatino Linotype" w:hAnsi="Palatino Linotype"/>
          <w:b w:val="1"/>
          <w:i w:val="1"/>
          <w:color w:val="000000"/>
        </w:rPr>
      </w:pPr>
      <w:r w:rsidDel="00000000" w:rsidR="00000000" w:rsidRPr="00000000">
        <w:rPr>
          <w:rFonts w:ascii="Palatino Linotype" w:cs="Palatino Linotype" w:eastAsia="Palatino Linotype" w:hAnsi="Palatino Linotype"/>
          <w:b w:val="1"/>
          <w:i w:val="1"/>
          <w:color w:val="000000"/>
          <w:rtl w:val="0"/>
        </w:rPr>
        <w:t xml:space="preserve">Anexo 00186.pdf: </w:t>
      </w:r>
      <w:r w:rsidDel="00000000" w:rsidR="00000000" w:rsidRPr="00000000">
        <w:rPr>
          <w:rFonts w:ascii="Palatino Linotype" w:cs="Palatino Linotype" w:eastAsia="Palatino Linotype" w:hAnsi="Palatino Linotype"/>
          <w:color w:val="000000"/>
          <w:rtl w:val="0"/>
        </w:rPr>
        <w:t xml:space="preserve">Documento que contiene información relativa a las plazas sujetas a concurso escalafonario de coordinaciones y secretarías de la Administración Pública del Estado de México, con datos como: Denominación del Puesto, Jornada Laboral, nivel salarial y rango, número de plaza, unidad administrativa de adscripción y ubicación del centro de trabajo.</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Rule="auto"/>
        <w:ind w:left="720" w:firstLine="0"/>
        <w:rPr>
          <w:rFonts w:ascii="Palatino Linotype" w:cs="Palatino Linotype" w:eastAsia="Palatino Linotype" w:hAnsi="Palatino Linotype"/>
          <w:b w:val="1"/>
          <w:i w:val="1"/>
          <w:color w:val="000000"/>
        </w:rPr>
      </w:pPr>
      <w:r w:rsidDel="00000000" w:rsidR="00000000" w:rsidRPr="00000000">
        <w:rPr>
          <w:rtl w:val="0"/>
        </w:rPr>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pacing w:after="0" w:line="276" w:lineRule="auto"/>
        <w:ind w:left="360" w:right="134" w:hanging="360"/>
        <w:jc w:val="both"/>
        <w:rPr>
          <w:rFonts w:ascii="Palatino Linotype" w:cs="Palatino Linotype" w:eastAsia="Palatino Linotype" w:hAnsi="Palatino Linotype"/>
          <w:b w:val="1"/>
          <w:i w:val="1"/>
          <w:color w:val="000000"/>
        </w:rPr>
      </w:pPr>
      <w:r w:rsidDel="00000000" w:rsidR="00000000" w:rsidRPr="00000000">
        <w:rPr>
          <w:rFonts w:ascii="Palatino Linotype" w:cs="Palatino Linotype" w:eastAsia="Palatino Linotype" w:hAnsi="Palatino Linotype"/>
          <w:b w:val="1"/>
          <w:i w:val="1"/>
          <w:color w:val="000000"/>
          <w:rtl w:val="0"/>
        </w:rPr>
        <w:t xml:space="preserve">Respuesta 186.pdf: </w:t>
      </w:r>
      <w:r w:rsidDel="00000000" w:rsidR="00000000" w:rsidRPr="00000000">
        <w:rPr>
          <w:rFonts w:ascii="Palatino Linotype" w:cs="Palatino Linotype" w:eastAsia="Palatino Linotype" w:hAnsi="Palatino Linotype"/>
          <w:color w:val="000000"/>
          <w:rtl w:val="0"/>
        </w:rPr>
        <w:t xml:space="preserve">Oficio 234A00000/UT-542-2024 del 04 de septiembre de 2024, a través del cual la Titular de la Unidad de Transparencia hizo del conocimiento a la persona solicitante que remitía contestación del servidor público habilitado de la Dirección General de Personal.</w:t>
      </w:r>
      <w:r w:rsidDel="00000000" w:rsidR="00000000" w:rsidRPr="00000000">
        <w:rPr>
          <w:rtl w:val="0"/>
        </w:rPr>
      </w:r>
    </w:p>
    <w:p w:rsidR="00000000" w:rsidDel="00000000" w:rsidP="00000000" w:rsidRDefault="00000000" w:rsidRPr="00000000" w14:paraId="00000018">
      <w:pPr>
        <w:spacing w:after="0" w:line="360" w:lineRule="auto"/>
        <w:ind w:right="84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9">
      <w:pPr>
        <w:numPr>
          <w:ilvl w:val="0"/>
          <w:numId w:val="5"/>
        </w:numPr>
        <w:pBdr>
          <w:top w:space="0" w:sz="0" w:val="nil"/>
          <w:left w:space="0" w:sz="0" w:val="nil"/>
          <w:bottom w:space="0" w:sz="0" w:val="nil"/>
          <w:right w:space="0" w:sz="0" w:val="nil"/>
          <w:between w:space="0" w:sz="0" w:val="nil"/>
        </w:pBdr>
        <w:tabs>
          <w:tab w:val="left" w:leader="none" w:pos="284"/>
        </w:tabs>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Interposición del Recurso de Revisión</w:t>
      </w:r>
      <w:r w:rsidDel="00000000" w:rsidR="00000000" w:rsidRPr="00000000">
        <w:rPr>
          <w:rFonts w:ascii="Palatino Linotype" w:cs="Palatino Linotype" w:eastAsia="Palatino Linotype" w:hAnsi="Palatino Linotype"/>
          <w:rtl w:val="0"/>
        </w:rPr>
        <w:t xml:space="preserve">. La parte Solicitante, derivado de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interpuso Recurso de Revisión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diecisiete de septiembre de dos mil veinticuatro</w:t>
      </w:r>
      <w:r w:rsidDel="00000000" w:rsidR="00000000" w:rsidRPr="00000000">
        <w:rPr>
          <w:rFonts w:ascii="Palatino Linotype" w:cs="Palatino Linotype" w:eastAsia="Palatino Linotype" w:hAnsi="Palatino Linotype"/>
          <w:rtl w:val="0"/>
        </w:rPr>
        <w:t xml:space="preserve">, a través del cual expresó lo siguiente:</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B">
      <w:pPr>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rtl w:val="0"/>
        </w:rPr>
        <w:t xml:space="preserve">Acto impugnado. </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i w:val="1"/>
          <w:u w:val="single"/>
          <w:rtl w:val="0"/>
        </w:rPr>
        <w:t xml:space="preserve">SE PROPORCIONA INFORMACIÓN CARENTE DE VERACIDAD. POR EJEMPLO</w:t>
      </w:r>
      <w:r w:rsidDel="00000000" w:rsidR="00000000" w:rsidRPr="00000000">
        <w:rPr>
          <w:rFonts w:ascii="Palatino Linotype" w:cs="Palatino Linotype" w:eastAsia="Palatino Linotype" w:hAnsi="Palatino Linotype"/>
          <w:b w:val="1"/>
          <w:i w:val="1"/>
          <w:rtl w:val="0"/>
        </w:rPr>
        <w:t xml:space="preserve">, EL ANEXO EN DONDE SE ENLISTAN LAS PLAZAS, EN LA PARTE INFERIOR SE NOTA EL AÑO 2023, DENOTANDO QUE DICHO LISTADO NO CORRESPONDE AL AÑO 2024</w:t>
      </w:r>
      <w:r w:rsidDel="00000000" w:rsidR="00000000" w:rsidRPr="00000000">
        <w:rPr>
          <w:rFonts w:ascii="Palatino Linotype" w:cs="Palatino Linotype" w:eastAsia="Palatino Linotype" w:hAnsi="Palatino Linotype"/>
          <w:i w:val="1"/>
          <w:rtl w:val="0"/>
        </w:rPr>
        <w:t xml:space="preserve">. ASIMIMOS, SE LES SOLICITÓ LA FECHA DE PUBLICACIÓN DEL CONCURSO ESCALAFONARIO 2024, INDICANDO EN SU RESPUESTA UNICAMENTE QUE SERÁ PROXIMAMENTE, RESPUESTA QUE RESULTA SER AMBIGUA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Sic</w:t>
      </w:r>
      <w:r w:rsidDel="00000000" w:rsidR="00000000" w:rsidRPr="00000000">
        <w:rPr>
          <w:rFonts w:ascii="Palatino Linotype" w:cs="Palatino Linotype" w:eastAsia="Palatino Linotype" w:hAnsi="Palatino Linotype"/>
          <w:rtl w:val="0"/>
        </w:rPr>
        <w:t xml:space="preserve">)</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1276"/>
        </w:tabs>
        <w:spacing w:after="0" w:line="276"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Razones o motivos de la inconformidad: </w:t>
      </w: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u w:val="single"/>
          <w:rtl w:val="0"/>
        </w:rPr>
        <w:t xml:space="preserve">SE PROPORCIONA INFORMACIÓN CARENTE DE VERACIDAD.</w:t>
      </w:r>
      <w:r w:rsidDel="00000000" w:rsidR="00000000" w:rsidRPr="00000000">
        <w:rPr>
          <w:rFonts w:ascii="Palatino Linotype" w:cs="Palatino Linotype" w:eastAsia="Palatino Linotype" w:hAnsi="Palatino Linotype"/>
          <w:b w:val="1"/>
          <w:i w:val="1"/>
          <w:rtl w:val="0"/>
        </w:rPr>
        <w:t xml:space="preserve"> POR EJEMPLO, EL ANEXO EN DONDE SE ENLISTAN LAS PLAZAS, EN LA PARTE INFERIOR SE NOTA EL AÑO 2023, DENOTANDO QUE DICHO LISTADO NO CORRESPONDE AL AÑO 2024</w:t>
      </w:r>
      <w:r w:rsidDel="00000000" w:rsidR="00000000" w:rsidRPr="00000000">
        <w:rPr>
          <w:rFonts w:ascii="Palatino Linotype" w:cs="Palatino Linotype" w:eastAsia="Palatino Linotype" w:hAnsi="Palatino Linotype"/>
          <w:i w:val="1"/>
          <w:rtl w:val="0"/>
        </w:rPr>
        <w:t xml:space="preserve">. ASIMIMOS, SE LES SOLICITÓ LA FECHA DE PUBLICACIÓN DEL CONCURSO ESCALAFONARIO 2024, INDICANDO EN SU RESPUESTA UNICAMENTE QUE SERÁ PROXIMAMENTE, RESPUESTA QUE RESULTA SER AMBIGUA.” </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i w:val="1"/>
          <w:rtl w:val="0"/>
        </w:rPr>
        <w:t xml:space="preserve">Sic</w:t>
      </w:r>
      <w:r w:rsidDel="00000000" w:rsidR="00000000" w:rsidRPr="00000000">
        <w:rPr>
          <w:rFonts w:ascii="Palatino Linotype" w:cs="Palatino Linotype" w:eastAsia="Palatino Linotype" w:hAnsi="Palatino Linotype"/>
          <w:rtl w:val="0"/>
        </w:rPr>
        <w:t xml:space="preserve">)</w:t>
      </w:r>
      <w:r w:rsidDel="00000000" w:rsidR="00000000" w:rsidRPr="00000000">
        <w:rPr>
          <w:rtl w:val="0"/>
        </w:rPr>
      </w:r>
    </w:p>
    <w:p w:rsidR="00000000" w:rsidDel="00000000" w:rsidP="00000000" w:rsidRDefault="00000000" w:rsidRPr="00000000" w14:paraId="0000001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E">
      <w:pPr>
        <w:numPr>
          <w:ilvl w:val="0"/>
          <w:numId w:val="5"/>
        </w:numPr>
        <w:pBdr>
          <w:top w:space="0" w:sz="0" w:val="nil"/>
          <w:left w:space="0" w:sz="0" w:val="nil"/>
          <w:bottom w:space="0" w:sz="0" w:val="nil"/>
          <w:right w:space="0" w:sz="0" w:val="nil"/>
          <w:between w:space="0" w:sz="0" w:val="nil"/>
        </w:pBdr>
        <w:tabs>
          <w:tab w:val="left" w:leader="none" w:pos="142"/>
          <w:tab w:val="left" w:leader="none" w:pos="284"/>
          <w:tab w:val="left" w:leader="none" w:pos="426"/>
        </w:tabs>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Turno.</w:t>
      </w:r>
      <w:r w:rsidDel="00000000" w:rsidR="00000000" w:rsidRPr="00000000">
        <w:rPr>
          <w:rFonts w:ascii="Palatino Linotype" w:cs="Palatino Linotype" w:eastAsia="Palatino Linotype" w:hAnsi="Palatino Linotype"/>
          <w:rtl w:val="0"/>
        </w:rPr>
        <w:t xml:space="preserve"> 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rtl w:val="0"/>
        </w:rPr>
        <w:t xml:space="preserve">05669/INFOEM/IP/RR/2024</w:t>
      </w:r>
      <w:r w:rsidDel="00000000" w:rsidR="00000000" w:rsidRPr="00000000">
        <w:rPr>
          <w:rFonts w:ascii="Palatino Linotype" w:cs="Palatino Linotype" w:eastAsia="Palatino Linotype" w:hAnsi="Palatino Linotype"/>
          <w:rtl w:val="0"/>
        </w:rPr>
        <w:t xml:space="preserve">,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0">
      <w:pPr>
        <w:numPr>
          <w:ilvl w:val="0"/>
          <w:numId w:val="5"/>
        </w:numPr>
        <w:pBdr>
          <w:top w:space="0" w:sz="0" w:val="nil"/>
          <w:left w:space="0" w:sz="0" w:val="nil"/>
          <w:bottom w:space="0" w:sz="0" w:val="nil"/>
          <w:right w:space="0" w:sz="0" w:val="nil"/>
          <w:between w:space="0" w:sz="0" w:val="nil"/>
        </w:pBdr>
        <w:tabs>
          <w:tab w:val="left" w:leader="none" w:pos="284"/>
        </w:tabs>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Admisión del recurso de revisión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veinte de septiembre de dos mil veinticuatro</w:t>
      </w:r>
      <w:r w:rsidDel="00000000" w:rsidR="00000000" w:rsidRPr="00000000">
        <w:rPr>
          <w:rFonts w:ascii="Palatino Linotype" w:cs="Palatino Linotype" w:eastAsia="Palatino Linotype" w:hAnsi="Palatino Linotype"/>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2">
      <w:pPr>
        <w:numPr>
          <w:ilvl w:val="0"/>
          <w:numId w:val="5"/>
        </w:numPr>
        <w:pBdr>
          <w:top w:space="0" w:sz="0" w:val="nil"/>
          <w:left w:space="0" w:sz="0" w:val="nil"/>
          <w:bottom w:space="0" w:sz="0" w:val="nil"/>
          <w:right w:space="0" w:sz="0" w:val="nil"/>
          <w:between w:space="0" w:sz="0" w:val="nil"/>
        </w:pBdr>
        <w:tabs>
          <w:tab w:val="left" w:leader="none" w:pos="284"/>
        </w:tabs>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Manifestaciones. </w:t>
      </w:r>
      <w:r w:rsidDel="00000000" w:rsidR="00000000" w:rsidRPr="00000000">
        <w:rPr>
          <w:rFonts w:ascii="Palatino Linotype" w:cs="Palatino Linotype" w:eastAsia="Palatino Linotype" w:hAnsi="Palatino Linotype"/>
          <w:rtl w:val="0"/>
        </w:rPr>
        <w:t xml:space="preserve">De las constancias que obran en el expediente electrónico aperturado con motivo del presente medio de impugnación, se advierte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rindió su informe justificado y alcance al mismo en fechas </w:t>
      </w:r>
      <w:r w:rsidDel="00000000" w:rsidR="00000000" w:rsidRPr="00000000">
        <w:rPr>
          <w:rFonts w:ascii="Palatino Linotype" w:cs="Palatino Linotype" w:eastAsia="Palatino Linotype" w:hAnsi="Palatino Linotype"/>
          <w:b w:val="1"/>
          <w:rtl w:val="0"/>
        </w:rPr>
        <w:t xml:space="preserve">treinta de septiembre y quince de octubre de dos mil veinticuatro</w:t>
      </w:r>
      <w:r w:rsidDel="00000000" w:rsidR="00000000" w:rsidRPr="00000000">
        <w:rPr>
          <w:rFonts w:ascii="Palatino Linotype" w:cs="Palatino Linotype" w:eastAsia="Palatino Linotype" w:hAnsi="Palatino Linotype"/>
          <w:rtl w:val="0"/>
        </w:rPr>
        <w:t xml:space="preserve">, a través de los archivos electrónicos que contienen la siguiente información:</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Rule="auto"/>
        <w:ind w:left="720" w:firstLine="0"/>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spacing w:after="0" w:line="360" w:lineRule="auto"/>
        <w:ind w:left="360" w:right="49" w:hanging="360"/>
        <w:jc w:val="both"/>
        <w:rPr>
          <w:rFonts w:ascii="Palatino Linotype" w:cs="Palatino Linotype" w:eastAsia="Palatino Linotype" w:hAnsi="Palatino Linotype"/>
          <w:b w:val="1"/>
          <w:i w:val="1"/>
          <w:color w:val="000000"/>
        </w:rPr>
      </w:pPr>
      <w:r w:rsidDel="00000000" w:rsidR="00000000" w:rsidRPr="00000000">
        <w:rPr>
          <w:rFonts w:ascii="Palatino Linotype" w:cs="Palatino Linotype" w:eastAsia="Palatino Linotype" w:hAnsi="Palatino Linotype"/>
          <w:b w:val="1"/>
          <w:i w:val="1"/>
          <w:color w:val="000000"/>
          <w:rtl w:val="0"/>
        </w:rPr>
        <w:t xml:space="preserve">Informe 5169.pdf: </w:t>
      </w:r>
      <w:r w:rsidDel="00000000" w:rsidR="00000000" w:rsidRPr="00000000">
        <w:rPr>
          <w:rFonts w:ascii="Palatino Linotype" w:cs="Palatino Linotype" w:eastAsia="Palatino Linotype" w:hAnsi="Palatino Linotype"/>
          <w:color w:val="000000"/>
          <w:rtl w:val="0"/>
        </w:rPr>
        <w:t xml:space="preserve">Contiene los siguientes documentos:</w:t>
      </w:r>
      <w:r w:rsidDel="00000000" w:rsidR="00000000" w:rsidRPr="00000000">
        <w:rPr>
          <w:rtl w:val="0"/>
        </w:rPr>
      </w:r>
    </w:p>
    <w:p w:rsidR="00000000" w:rsidDel="00000000" w:rsidP="00000000" w:rsidRDefault="00000000" w:rsidRPr="00000000" w14:paraId="00000025">
      <w:pPr>
        <w:numPr>
          <w:ilvl w:val="0"/>
          <w:numId w:val="2"/>
        </w:numPr>
        <w:pBdr>
          <w:top w:space="0" w:sz="0" w:val="nil"/>
          <w:left w:space="0" w:sz="0" w:val="nil"/>
          <w:bottom w:space="0" w:sz="0" w:val="nil"/>
          <w:right w:space="0" w:sz="0" w:val="nil"/>
          <w:between w:space="0" w:sz="0" w:val="nil"/>
        </w:pBdr>
        <w:spacing w:after="0" w:line="276" w:lineRule="auto"/>
        <w:ind w:left="720" w:right="49"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Oficio 23400004000200S-152/2024 del 25 de septiembre de 2024, a través del cual el servidor público habilitado de la Dirección General de Personal informa al Titular de la Unidad de Transparencia que, con relación al recurso de revisión, respecto a la leyenda que obra en la parte inferior del listado de las plazas entregado, en la que aparece el año 2023, se indica que este corresponde a los concursos escalafonarios del periodo Ordinario/003/2023, cuyos resultados fueron publicados el 01 de noviembre de 2023, aclarando que, estas plazas fueron las que quedaron vacantes de dichos concursos, mismas que serán publicadas en el próximo concurso escalafonario de tipo general; asimismo, que en cuanto a la fecha de la publicación del concurso escalafonario 2024, se reitera que lo indicado en respuesta.</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276" w:lineRule="auto"/>
        <w:ind w:left="720" w:right="49"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7">
      <w:pPr>
        <w:numPr>
          <w:ilvl w:val="0"/>
          <w:numId w:val="2"/>
        </w:numPr>
        <w:pBdr>
          <w:top w:space="0" w:sz="0" w:val="nil"/>
          <w:left w:space="0" w:sz="0" w:val="nil"/>
          <w:bottom w:space="0" w:sz="0" w:val="nil"/>
          <w:right w:space="0" w:sz="0" w:val="nil"/>
          <w:between w:space="0" w:sz="0" w:val="nil"/>
        </w:pBdr>
        <w:spacing w:after="0" w:line="276" w:lineRule="auto"/>
        <w:ind w:left="720" w:right="49" w:hanging="36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color w:val="000000"/>
          <w:rtl w:val="0"/>
        </w:rPr>
        <w:t xml:space="preserve">Oficio 234A00000/UT-613-2024 del 30 de septiembre de 2024, a través del cual el Titular de la Unidad de Transparencia rinde informe justificado en el que medularmente remite el pronunciamiento del servidor público habilitado de la Dirección General de Personal con motivo del recurso de revisión que nos ocupa en el sentido de que la respuesta se encuentra fundada y motivada, </w:t>
      </w:r>
      <w:r w:rsidDel="00000000" w:rsidR="00000000" w:rsidRPr="00000000">
        <w:rPr>
          <w:rFonts w:ascii="Palatino Linotype" w:cs="Palatino Linotype" w:eastAsia="Palatino Linotype" w:hAnsi="Palatino Linotype"/>
          <w:b w:val="1"/>
          <w:color w:val="000000"/>
          <w:rtl w:val="0"/>
        </w:rPr>
        <w:t xml:space="preserve">ya que no se dispone de una fecha determinada para que se realice el próximo proceso escalafonario, además de que el listado de plazas no carece de veracidad ya que si bien se lee una nomenclatura que corresponde al ejercicio 2023, ello atiende a que son plazas que quedaron disponibles por el concurso escalafonario realizado en dicho año, las cuales serán ofertadas en su momento.</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Rule="auto"/>
        <w:ind w:left="720" w:firstLine="0"/>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pacing w:after="0" w:line="276" w:lineRule="auto"/>
        <w:ind w:left="360" w:right="49"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i w:val="1"/>
          <w:color w:val="000000"/>
          <w:rtl w:val="0"/>
        </w:rPr>
        <w:t xml:space="preserve">5669 Alcance.pdf</w:t>
      </w:r>
      <w:r w:rsidDel="00000000" w:rsidR="00000000" w:rsidRPr="00000000">
        <w:rPr>
          <w:rFonts w:ascii="Palatino Linotype" w:cs="Palatino Linotype" w:eastAsia="Palatino Linotype" w:hAnsi="Palatino Linotype"/>
          <w:color w:val="000000"/>
          <w:rtl w:val="0"/>
        </w:rPr>
        <w:t xml:space="preserve">: Oficio 234A00000/UT-667-2024 del 15 de octubre de 2024, a través del cual el Titular de la Unidad de Transparencia informa que rinde alcance al informe justificado al medio de impugnación de nuestra atención, a través de un formato en pdf que contiene la Convocatoria para el Concurso Escalafonario General GEM/003/2024, emitida el 08 de octubre de 2024.</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276" w:lineRule="auto"/>
        <w:ind w:left="360" w:right="49"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tabs>
          <w:tab w:val="left" w:leader="none" w:pos="142"/>
        </w:tabs>
        <w:spacing w:after="0" w:line="276" w:lineRule="auto"/>
        <w:ind w:left="360" w:right="49"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ab/>
      </w:r>
      <w:r w:rsidDel="00000000" w:rsidR="00000000" w:rsidRPr="00000000">
        <w:rPr>
          <w:rFonts w:ascii="Palatino Linotype" w:cs="Palatino Linotype" w:eastAsia="Palatino Linotype" w:hAnsi="Palatino Linotype"/>
          <w:b w:val="1"/>
          <w:i w:val="1"/>
          <w:color w:val="000000"/>
          <w:rtl w:val="0"/>
        </w:rPr>
        <w:t xml:space="preserve">BASES-GEM003-2024.pdf</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color w:val="000000"/>
          <w:rtl w:val="0"/>
        </w:rPr>
        <w:t xml:space="preserve"> </w:t>
      </w:r>
      <w:r w:rsidDel="00000000" w:rsidR="00000000" w:rsidRPr="00000000">
        <w:rPr>
          <w:rFonts w:ascii="Palatino Linotype" w:cs="Palatino Linotype" w:eastAsia="Palatino Linotype" w:hAnsi="Palatino Linotype"/>
          <w:color w:val="000000"/>
          <w:rtl w:val="0"/>
        </w:rPr>
        <w:t xml:space="preserve">Convocatoria para el Concurso Escalafonario General GEM/003/2024, emitida el 08 de octubre de 2024, emitida por la Ma. Trinidad Franco Arpero, Presidenta de la Comisión Mixta de Escalafón de la Oficialía Mayor, Jaime Noé Hernández Bocanegra y Herminio Cahue Calderón, Vicepresidentes de dicha Comisión.  </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360" w:lineRule="auto"/>
        <w:ind w:left="360" w:right="49"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Documentos los anteriores que se hicieron del conocimiento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a fin de que rindiera manifestaciones o alegatos que conforme a derecho resultaran procedentes; no obstante, fue omisa en ejercer dicha prerrogativa.</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F">
      <w:pPr>
        <w:numPr>
          <w:ilvl w:val="0"/>
          <w:numId w:val="5"/>
        </w:numPr>
        <w:pBdr>
          <w:top w:space="0" w:sz="0" w:val="nil"/>
          <w:left w:space="0" w:sz="0" w:val="nil"/>
          <w:bottom w:space="0" w:sz="0" w:val="nil"/>
          <w:right w:space="0" w:sz="0" w:val="nil"/>
          <w:between w:space="0" w:sz="0" w:val="nil"/>
        </w:pBdr>
        <w:tabs>
          <w:tab w:val="left" w:leader="none" w:pos="284"/>
        </w:tabs>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Ampliación de plazo: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veintinueve de octubre de dos mil veinticuatro</w:t>
      </w:r>
      <w:r w:rsidDel="00000000" w:rsidR="00000000" w:rsidRPr="00000000">
        <w:rPr>
          <w:rFonts w:ascii="Palatino Linotype" w:cs="Palatino Linotype" w:eastAsia="Palatino Linotype" w:hAnsi="Palatino Linotype"/>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000000" w:rsidDel="00000000" w:rsidP="00000000" w:rsidRDefault="00000000" w:rsidRPr="00000000" w14:paraId="0000003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1">
      <w:pPr>
        <w:numPr>
          <w:ilvl w:val="0"/>
          <w:numId w:val="5"/>
        </w:numPr>
        <w:pBdr>
          <w:top w:space="0" w:sz="0" w:val="nil"/>
          <w:left w:space="0" w:sz="0" w:val="nil"/>
          <w:bottom w:space="0" w:sz="0" w:val="nil"/>
          <w:right w:space="0" w:sz="0" w:val="nil"/>
          <w:between w:space="0" w:sz="0" w:val="nil"/>
        </w:pBdr>
        <w:tabs>
          <w:tab w:val="left" w:leader="none" w:pos="284"/>
        </w:tabs>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Cierre de instrucción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cinco de noviembre de dos mil veinticuatro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3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Debido a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33">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w:t>
        <w:tab/>
        <w:t xml:space="preserve">C O N S I D E R A N D O:</w:t>
      </w:r>
    </w:p>
    <w:p w:rsidR="00000000" w:rsidDel="00000000" w:rsidP="00000000" w:rsidRDefault="00000000" w:rsidRPr="00000000" w14:paraId="0000003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3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rsidR="00000000" w:rsidDel="00000000" w:rsidP="00000000" w:rsidRDefault="00000000" w:rsidRPr="00000000" w14:paraId="0000003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previstos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la respuesta a la solicitud de información el </w:t>
      </w:r>
      <w:r w:rsidDel="00000000" w:rsidR="00000000" w:rsidRPr="00000000">
        <w:rPr>
          <w:rFonts w:ascii="Palatino Linotype" w:cs="Palatino Linotype" w:eastAsia="Palatino Linotype" w:hAnsi="Palatino Linotype"/>
          <w:b w:val="1"/>
          <w:rtl w:val="0"/>
        </w:rPr>
        <w:t xml:space="preserve">cinco de septiembre de dos mil veinticuatro</w:t>
      </w:r>
      <w:r w:rsidDel="00000000" w:rsidR="00000000" w:rsidRPr="00000000">
        <w:rPr>
          <w:rFonts w:ascii="Palatino Linotype" w:cs="Palatino Linotype" w:eastAsia="Palatino Linotype" w:hAnsi="Palatino Linotype"/>
          <w:rtl w:val="0"/>
        </w:rPr>
        <w:t xml:space="preserve">,  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se tuvo por presentado el </w:t>
      </w:r>
      <w:r w:rsidDel="00000000" w:rsidR="00000000" w:rsidRPr="00000000">
        <w:rPr>
          <w:rFonts w:ascii="Palatino Linotype" w:cs="Palatino Linotype" w:eastAsia="Palatino Linotype" w:hAnsi="Palatino Linotype"/>
          <w:b w:val="1"/>
          <w:rtl w:val="0"/>
        </w:rPr>
        <w:t xml:space="preserve">diecisiete de septiembre de dos mil veinticuatro</w:t>
      </w:r>
      <w:r w:rsidDel="00000000" w:rsidR="00000000" w:rsidRPr="00000000">
        <w:rPr>
          <w:rFonts w:ascii="Palatino Linotype" w:cs="Palatino Linotype" w:eastAsia="Palatino Linotype" w:hAnsi="Palatino Linotype"/>
          <w:rtl w:val="0"/>
        </w:rPr>
        <w:t xml:space="preserve">, esto es al séptimo día hábil en que se tuvo conocimiento de la respuesta.</w:t>
      </w:r>
    </w:p>
    <w:p w:rsidR="00000000" w:rsidDel="00000000" w:rsidP="00000000" w:rsidRDefault="00000000" w:rsidRPr="00000000" w14:paraId="0000003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se concluye que el presente recurso de revisión se encuentra dentro de los márgenes temporales previstos en las disposiciones legales referidas.</w:t>
      </w:r>
    </w:p>
    <w:p w:rsidR="00000000" w:rsidDel="00000000" w:rsidP="00000000" w:rsidRDefault="00000000" w:rsidRPr="00000000" w14:paraId="0000003C">
      <w:pPr>
        <w:spacing w:after="0" w:line="360" w:lineRule="auto"/>
        <w:ind w:right="49"/>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3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3E">
      <w:pPr>
        <w:spacing w:after="0" w:line="360" w:lineRule="auto"/>
        <w:ind w:right="49"/>
        <w:jc w:val="both"/>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3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Análisis de las causales de improcedencia y sobreseimiento del recurso de revisión.</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000000" w:rsidDel="00000000" w:rsidP="00000000" w:rsidRDefault="00000000" w:rsidRPr="00000000" w14:paraId="00000040">
      <w:pPr>
        <w:spacing w:after="0" w:line="360" w:lineRule="auto"/>
        <w:jc w:val="both"/>
        <w:rPr/>
      </w:pPr>
      <w:r w:rsidDel="00000000" w:rsidR="00000000" w:rsidRPr="00000000">
        <w:rPr>
          <w:rtl w:val="0"/>
        </w:rPr>
      </w:r>
    </w:p>
    <w:p w:rsidR="00000000" w:rsidDel="00000000" w:rsidP="00000000" w:rsidRDefault="00000000" w:rsidRPr="00000000" w14:paraId="0000004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rsidR="00000000" w:rsidDel="00000000" w:rsidP="00000000" w:rsidRDefault="00000000" w:rsidRPr="00000000" w14:paraId="00000042">
      <w:pPr>
        <w:spacing w:after="0" w:line="360" w:lineRule="auto"/>
        <w:jc w:val="both"/>
        <w:rPr/>
      </w:pPr>
      <w:r w:rsidDel="00000000" w:rsidR="00000000" w:rsidRPr="00000000">
        <w:rPr>
          <w:rtl w:val="0"/>
        </w:rPr>
      </w:r>
    </w:p>
    <w:p w:rsidR="00000000" w:rsidDel="00000000" w:rsidP="00000000" w:rsidRDefault="00000000" w:rsidRPr="00000000" w14:paraId="00000043">
      <w:pPr>
        <w:spacing w:after="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manera preliminar en el caso concreto conviene analizar si se actualiza alguna de las causales de sobreseimiento del recurso de revisión.</w:t>
      </w:r>
    </w:p>
    <w:p w:rsidR="00000000" w:rsidDel="00000000" w:rsidP="00000000" w:rsidRDefault="00000000" w:rsidRPr="00000000" w14:paraId="00000044">
      <w:pP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5">
      <w:pPr>
        <w:spacing w:after="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del análisis de la solicitud de información motivo del recurso de revisión que ahora se resuelve, se advierte que la parte Solicitante requirió al </w:t>
      </w:r>
      <w:r w:rsidDel="00000000" w:rsidR="00000000" w:rsidRPr="00000000">
        <w:rPr>
          <w:rFonts w:ascii="Palatino Linotype" w:cs="Palatino Linotype" w:eastAsia="Palatino Linotype" w:hAnsi="Palatino Linotype"/>
          <w:b w:val="1"/>
          <w:rtl w:val="0"/>
        </w:rPr>
        <w:t xml:space="preserve">Sujeto Obligado, con relación al proceso/concurso escalafonario 2024,</w:t>
      </w:r>
      <w:r w:rsidDel="00000000" w:rsidR="00000000" w:rsidRPr="00000000">
        <w:rPr>
          <w:rFonts w:ascii="Palatino Linotype" w:cs="Palatino Linotype" w:eastAsia="Palatino Linotype" w:hAnsi="Palatino Linotype"/>
          <w:rtl w:val="0"/>
        </w:rPr>
        <w:t xml:space="preserve"> le proporcione información consistente en lo siguiente:</w:t>
      </w:r>
    </w:p>
    <w:p w:rsidR="00000000" w:rsidDel="00000000" w:rsidP="00000000" w:rsidRDefault="00000000" w:rsidRPr="00000000" w14:paraId="0000004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7">
      <w:pPr>
        <w:numPr>
          <w:ilvl w:val="0"/>
          <w:numId w:val="3"/>
        </w:numPr>
        <w:pBdr>
          <w:top w:space="0" w:sz="0" w:val="nil"/>
          <w:left w:space="0" w:sz="0" w:val="nil"/>
          <w:bottom w:space="0" w:sz="0" w:val="nil"/>
          <w:right w:space="0" w:sz="0" w:val="nil"/>
          <w:between w:space="0" w:sz="0" w:val="nil"/>
        </w:pBdr>
        <w:spacing w:after="0" w:line="276" w:lineRule="auto"/>
        <w:ind w:left="360" w:right="134" w:hanging="36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La documentación relacionada al proceso escalafonario.</w:t>
      </w:r>
    </w:p>
    <w:p w:rsidR="00000000" w:rsidDel="00000000" w:rsidP="00000000" w:rsidRDefault="00000000" w:rsidRPr="00000000" w14:paraId="00000048">
      <w:pPr>
        <w:numPr>
          <w:ilvl w:val="0"/>
          <w:numId w:val="3"/>
        </w:numPr>
        <w:pBdr>
          <w:top w:space="0" w:sz="0" w:val="nil"/>
          <w:left w:space="0" w:sz="0" w:val="nil"/>
          <w:bottom w:space="0" w:sz="0" w:val="nil"/>
          <w:right w:space="0" w:sz="0" w:val="nil"/>
          <w:between w:space="0" w:sz="0" w:val="nil"/>
        </w:pBdr>
        <w:spacing w:after="0" w:line="276" w:lineRule="auto"/>
        <w:ind w:left="360" w:right="134" w:hanging="36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El estatus que guarda el proceso escalafonario.</w:t>
      </w:r>
    </w:p>
    <w:p w:rsidR="00000000" w:rsidDel="00000000" w:rsidP="00000000" w:rsidRDefault="00000000" w:rsidRPr="00000000" w14:paraId="00000049">
      <w:pPr>
        <w:numPr>
          <w:ilvl w:val="0"/>
          <w:numId w:val="3"/>
        </w:numPr>
        <w:pBdr>
          <w:top w:space="0" w:sz="0" w:val="nil"/>
          <w:left w:space="0" w:sz="0" w:val="nil"/>
          <w:bottom w:space="0" w:sz="0" w:val="nil"/>
          <w:right w:space="0" w:sz="0" w:val="nil"/>
          <w:between w:space="0" w:sz="0" w:val="nil"/>
        </w:pBdr>
        <w:spacing w:after="0" w:line="276" w:lineRule="auto"/>
        <w:ind w:left="360" w:right="134" w:hanging="36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Los motivos administrativos y jurídicos por los cuales se ha retrasado el concurso escalafonario.</w:t>
      </w:r>
    </w:p>
    <w:p w:rsidR="00000000" w:rsidDel="00000000" w:rsidP="00000000" w:rsidRDefault="00000000" w:rsidRPr="00000000" w14:paraId="0000004A">
      <w:pPr>
        <w:numPr>
          <w:ilvl w:val="0"/>
          <w:numId w:val="3"/>
        </w:numPr>
        <w:pBdr>
          <w:top w:space="0" w:sz="0" w:val="nil"/>
          <w:left w:space="0" w:sz="0" w:val="nil"/>
          <w:bottom w:space="0" w:sz="0" w:val="nil"/>
          <w:right w:space="0" w:sz="0" w:val="nil"/>
          <w:between w:space="0" w:sz="0" w:val="nil"/>
        </w:pBdr>
        <w:spacing w:after="0" w:line="276" w:lineRule="auto"/>
        <w:ind w:left="360" w:right="134" w:hanging="36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La fecha en que se publicara la convocatoria del concurso escalafonario.</w:t>
      </w:r>
    </w:p>
    <w:p w:rsidR="00000000" w:rsidDel="00000000" w:rsidP="00000000" w:rsidRDefault="00000000" w:rsidRPr="00000000" w14:paraId="0000004B">
      <w:pPr>
        <w:spacing w:after="0" w:line="360" w:lineRule="auto"/>
        <w:ind w:right="84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C">
      <w:pPr>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servidor público habilitado de la Dirección General de Personal hizo entrega de la información relacionada con el próximo proceso escalafonario consistente en un anexo con las plazas vacantes por dependencia que serían ofertadas, indicando que esta información es puesta a disposición tal y cual obra en los archivos de la Subdirección de Proceso Escalafonario y Evaluación del Capital Humano; asimismo, en términos del artículo 55 del Reglamento del Proceso Escalafonario de las Personas Servidoras Públicas Generales del Poder Ejecutivo del Estado de México, se indicó que no existe un calendario determinado para emitir la convocatoria al proceso escalafonario, sin embargo, se informó que ya se contaba con fecha tentativa para el concurso escalafonario 2024 y que tan pronto se encontrara autorizada, sería comunicada a través de las coordinaciones administrativas o equivalentes de las dependencias.</w:t>
      </w:r>
    </w:p>
    <w:p w:rsidR="00000000" w:rsidDel="00000000" w:rsidP="00000000" w:rsidRDefault="00000000" w:rsidRPr="00000000" w14:paraId="0000004D">
      <w:pPr>
        <w:spacing w:after="0" w:line="360" w:lineRule="auto"/>
        <w:ind w:right="84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ello, la parte Recurrente se inconformó medularmente por lo siguiente:</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0">
      <w:pPr>
        <w:spacing w:after="0" w:line="276" w:lineRule="auto"/>
        <w:ind w:left="567"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i w:val="1"/>
          <w:u w:val="single"/>
          <w:rtl w:val="0"/>
        </w:rPr>
        <w:t xml:space="preserve">SE PROPORCIONA INFORMACIÓN CARENTE DE VERACIDAD.</w:t>
      </w:r>
      <w:r w:rsidDel="00000000" w:rsidR="00000000" w:rsidRPr="00000000">
        <w:rPr>
          <w:rFonts w:ascii="Palatino Linotype" w:cs="Palatino Linotype" w:eastAsia="Palatino Linotype" w:hAnsi="Palatino Linotype"/>
          <w:i w:val="1"/>
          <w:rtl w:val="0"/>
        </w:rPr>
        <w:t xml:space="preserve"> POR EJEMPLO, EL ANEXO EN DONDE SE ENLISTAN LAS PLAZAS, EN LA PARTE INFERIOR SE NOTA EL AÑO 2023, DENOTANDO QUE DICHO LISTADO NO CORRESPONDE AL AÑO 2024. ASIMIMOS, SE LES SOLICITÓ LA FECHA DE PUBLICACIÓN DEL CONCURSO ESCALAFONARIO 2024, INDICANDO EN SU RESPUESTA UNICAMENTE QUE SERÁ PROXIMAMENTE, RESPUESTA QUE RESULTA SER AMBIGUA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Sic</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51">
      <w:pPr>
        <w:spacing w:after="0" w:line="276" w:lineRule="auto"/>
        <w:ind w:left="567" w:right="843"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ello,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vía informe justificado el servidor público habilitado de la Dirección General de Personal</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con relación al recurso de revisión, particularmente sobre los motivos de inconformidad señaló que, respecto a la leyenda que obra en la parte inferior del listado de las plazas entregado en respuesta, en la se lee una nomenclatura que corresponde al ejercicio 2023, no carece de veracidad ya que ello atiende a que son plazas que quedaron disponibles/vacantes por el concurso escalafonario realizado en dicho año, las cuales serán ofertadas</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en el próximo concurso escalafonario de tipo general; y, que en cuanto a la fecha de la publicación del concurso escalafonario 2024, se reiteraba lo indicado en respuesta en el sentido de que no se disponía una fecha determinada para que se realice el próximo proceso escalafonario.</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en alcance al informe justificado,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proporcionó la Convocatoria para el Concurso Escalafonario General GEM/003/2024, emitida el 08 de octubre de 2024, emitida por la Presidenta de la Comisión Mixta de Escalafón a cargo de la Oficialía Mayor, y dos Vicepresidentes de dicha Comisión.</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Por su lado,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fue omisa en rendir manifestaciones o alegatos con relación al informe justificado rendido por el </w:t>
      </w:r>
      <w:r w:rsidDel="00000000" w:rsidR="00000000" w:rsidRPr="00000000">
        <w:rPr>
          <w:rFonts w:ascii="Palatino Linotype" w:cs="Palatino Linotype" w:eastAsia="Palatino Linotype" w:hAnsi="Palatino Linotype"/>
          <w:b w:val="1"/>
          <w:rtl w:val="0"/>
        </w:rPr>
        <w:t xml:space="preserve">Sujeto Obligado.</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Expuestas las posturas de las partes, atendiendo que en el caso </w:t>
      </w:r>
      <w:r w:rsidDel="00000000" w:rsidR="00000000" w:rsidRPr="00000000">
        <w:rPr>
          <w:rFonts w:ascii="Palatino Linotype" w:cs="Palatino Linotype" w:eastAsia="Palatino Linotype" w:hAnsi="Palatino Linotype"/>
          <w:b w:val="1"/>
          <w:rtl w:val="0"/>
        </w:rPr>
        <w:t xml:space="preserve">los motivos de inconformidad no versan sobre la totalidad de la información requerida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u w:val="single"/>
          <w:rtl w:val="0"/>
        </w:rPr>
        <w:t xml:space="preserve">sino sólo respecto a la documentación relativa al proceso escalafonario 2024 y la fecha en que se publicará la convocatoria del concurso escalafonario</w:t>
      </w:r>
      <w:r w:rsidDel="00000000" w:rsidR="00000000" w:rsidRPr="00000000">
        <w:rPr>
          <w:rFonts w:ascii="Palatino Linotype" w:cs="Palatino Linotype" w:eastAsia="Palatino Linotype" w:hAnsi="Palatino Linotype"/>
          <w:rtl w:val="0"/>
        </w:rPr>
        <w:t xml:space="preserve">; en consecuencia, deben declararse consentidos los demás rubros de la solicitud, toda vez que, al no haberse realizado manifestaciones de inconformidad al respecto, no pueden producirse efectos jurídicos tendentes a revocar, confirmar o modificar el acto reclamado, ya que, en el caso concreto se infiere que la información proporcionada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satisface parte de la solicitud presentada.</w:t>
      </w:r>
    </w:p>
    <w:p w:rsidR="00000000" w:rsidDel="00000000" w:rsidP="00000000" w:rsidRDefault="00000000" w:rsidRPr="00000000" w14:paraId="0000005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así, debido a que cuando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impugna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este no expresa Razón o Motivo de Inconformidad en contra de todos los rubros solicitados, los rubros no impugnados deben declararse atendidos, pues se entiende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5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C">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rtl w:val="0"/>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00000" w:rsidDel="00000000" w:rsidP="00000000" w:rsidRDefault="00000000" w:rsidRPr="00000000" w14:paraId="0000005D">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Consecuentemente, se insiste, ante la falta de impugnación eficaz de todos los rubros solicitados,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se determina que los requerimientos relativos </w:t>
      </w:r>
      <w:r w:rsidDel="00000000" w:rsidR="00000000" w:rsidRPr="00000000">
        <w:rPr>
          <w:rFonts w:ascii="Palatino Linotype" w:cs="Palatino Linotype" w:eastAsia="Palatino Linotype" w:hAnsi="Palatino Linotype"/>
          <w:b w:val="1"/>
          <w:rtl w:val="0"/>
        </w:rPr>
        <w:t xml:space="preserve">al estatus que guarda el proceso escalafonario 2024, así como los motivos administrativos y jurídicos por los cuales se ha retrasado el concurso escalafonario de mérito fueron consentidos en el presente asunto.</w:t>
      </w:r>
      <w:r w:rsidDel="00000000" w:rsidR="00000000" w:rsidRPr="00000000">
        <w:rPr>
          <w:rtl w:val="0"/>
        </w:rPr>
      </w:r>
    </w:p>
    <w:p w:rsidR="00000000" w:rsidDel="00000000" w:rsidP="00000000" w:rsidRDefault="00000000" w:rsidRPr="00000000" w14:paraId="0000005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0">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se sustenta con lo plasmado en el criterio 01/20 emitido por el Instituto Nacional de Transparencia, Acceso a la Información, y Protección de Datos Personales, INAI, que lleva por rubro y texto los siguientes: </w:t>
      </w:r>
    </w:p>
    <w:p w:rsidR="00000000" w:rsidDel="00000000" w:rsidP="00000000" w:rsidRDefault="00000000" w:rsidRPr="00000000" w14:paraId="0000006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76" w:lineRule="auto"/>
        <w:ind w:left="567"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Actos consentidos tácitamente. Improcedencia de su análisis. </w:t>
      </w:r>
      <w:r w:rsidDel="00000000" w:rsidR="00000000" w:rsidRPr="00000000">
        <w:rPr>
          <w:rFonts w:ascii="Palatino Linotype" w:cs="Palatino Linotype" w:eastAsia="Palatino Linotype" w:hAnsi="Palatino Linotype"/>
          <w:i w:val="1"/>
          <w:rtl w:val="0"/>
        </w:rPr>
        <w:t xml:space="preserve">Si en su recurso de revisión, la persona recurrente no expresó inconformidad alguna con ciertas partes de la respuesta otorgada, se entienden tácitamente consentidas, por ende, no deben formar parte del estudio de fondo de la resolución que emite el Instituto.”</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360" w:lineRule="auto"/>
        <w:ind w:left="567"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resulta aplicable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65">
      <w:pPr>
        <w:spacing w:after="0" w:line="360" w:lineRule="auto"/>
        <w:ind w:left="851" w:right="900" w:firstLine="0"/>
        <w:jc w:val="both"/>
        <w:rPr>
          <w:rFonts w:ascii="Palatino Linotype" w:cs="Palatino Linotype" w:eastAsia="Palatino Linotype" w:hAnsi="Palatino Linotype"/>
          <w:b w:val="1"/>
          <w:i w:val="1"/>
          <w:smallCaps w:val="1"/>
        </w:rPr>
      </w:pPr>
      <w:r w:rsidDel="00000000" w:rsidR="00000000" w:rsidRPr="00000000">
        <w:rPr>
          <w:rtl w:val="0"/>
        </w:rPr>
      </w:r>
    </w:p>
    <w:p w:rsidR="00000000" w:rsidDel="00000000" w:rsidP="00000000" w:rsidRDefault="00000000" w:rsidRPr="00000000" w14:paraId="00000066">
      <w:pPr>
        <w:tabs>
          <w:tab w:val="left" w:leader="none" w:pos="851"/>
          <w:tab w:val="left" w:leader="none" w:pos="1276"/>
        </w:tabs>
        <w:spacing w:after="0" w:line="276" w:lineRule="auto"/>
        <w:ind w:left="567" w:righ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smallCaps w:val="1"/>
          <w:rtl w:val="0"/>
        </w:rPr>
        <w:t xml:space="preserve">“ACTOS CONSENTIDOS. SON LOS QUE NO SE IMPUGNAN MEDIANTE EL RECURSO IDÓNEO. </w:t>
      </w:r>
      <w:r w:rsidDel="00000000" w:rsidR="00000000" w:rsidRPr="00000000">
        <w:rPr>
          <w:rFonts w:ascii="Palatino Linotype" w:cs="Palatino Linotype" w:eastAsia="Palatino Linotype" w:hAnsi="Palatino Linotype"/>
          <w:i w:val="1"/>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Dicho lo anterior, en el presente asunto únicamente procederá el análisis de los puntos respecto de los cuales versan los motivos de inconformidad.</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06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Acotado lo anterior, con relación a los motivos de inconformidad hechos valer en el Recurso de Revisión, resulta necesario realizar ciertas precisiones:</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principio es de destacar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solicitó específicamente información relacionada con un proceso/concurso escalafonario 2024 específicamente al Titular de la Oficialía Mayor y al Director General de Personal. </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resulta indispensable señalar que conforme el Manual General de Organización de la Oficialía Mayor, la Dirección General de Personal cuenta dentro de su estructura orgánica con una Subdirección de Proceso Escalafonario y Evaluación del Capital Humano, la cual tiene dentro de sus funciones las siguientes:</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240" w:lineRule="auto"/>
        <w:ind w:left="567" w:right="70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240"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“23400004010100L SUBDIRECCIÓN DE PROCESO ESCALAFONARIO Y EVALUACIÓN DEL CAPITAL HUMANO </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240"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OBJETIVO: </w:t>
      </w:r>
      <w:r w:rsidDel="00000000" w:rsidR="00000000" w:rsidRPr="00000000">
        <w:rPr>
          <w:rFonts w:ascii="Palatino Linotype" w:cs="Palatino Linotype" w:eastAsia="Palatino Linotype" w:hAnsi="Palatino Linotype"/>
          <w:b w:val="1"/>
          <w:i w:val="1"/>
          <w:rtl w:val="0"/>
        </w:rPr>
        <w:t xml:space="preserve">Proponer, operar y dar seguimiento al proceso de ascenso escalafonario y al proceso de evaluación del desempeño de las personas servidoras públicas generales del sector central del Poder Ejecutivo del Estado de México.</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240"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FUNCIONES: </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240" w:lineRule="auto"/>
        <w:ind w:left="567" w:right="70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1. Organizar y ejecutar el proceso de ascenso escalafonario, con base en las disposiciones del reglamento del proceso escalafonario de las personas servidoras públicas generales del Poder Ejecutivo del Estado de México. </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240"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240" w:lineRule="auto"/>
        <w:ind w:left="567" w:right="70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4. Coordinar con las coordinaciones administrativas y/o equivalentes de las dependencias, el proceso de ascenso escalafonario. </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40" w:lineRule="auto"/>
        <w:ind w:left="567" w:right="70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5. Proponer, coordinar y ejecutar los acuerdos aprobados por la Comisión Mixta de Escalafón.”</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240" w:lineRule="auto"/>
        <w:ind w:left="567" w:right="701"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240" w:lineRule="auto"/>
        <w:ind w:left="567" w:right="701" w:firstLine="0"/>
        <w:jc w:val="right"/>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(Énfasis añadido)</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desprende de lo anterior, la Subdirección de Proceso Escalafonario y Evaluación del Capital Humano, es la encargada de proponer, operar y dar seguimiento al proceso de ascenso escalafonario y al proceso de evaluación del desempeño de las personas servidoras públicas generales del sector central del Poder Ejecutivo del Estado de México.</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C">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en el caso, al pronunciarse la Dirección General de Personal respecto de la información proporcionada por la Subdirección de Proceso Escalafonario y Evaluación del Capital Humano, se colige que se cumplió con el requisito de turnar la solicitud de información al área competente.</w:t>
      </w:r>
    </w:p>
    <w:p w:rsidR="00000000" w:rsidDel="00000000" w:rsidP="00000000" w:rsidRDefault="00000000" w:rsidRPr="00000000" w14:paraId="0000007D">
      <w:pPr>
        <w:widowControl w:val="0"/>
        <w:tabs>
          <w:tab w:val="left" w:leader="none" w:pos="1701"/>
          <w:tab w:val="left" w:leader="none" w:pos="1843"/>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E">
      <w:pPr>
        <w:widowControl w:val="0"/>
        <w:tabs>
          <w:tab w:val="left" w:leader="none" w:pos="1701"/>
          <w:tab w:val="left" w:leader="none" w:pos="1843"/>
        </w:tabs>
        <w:spacing w:after="0" w:line="360" w:lineRule="auto"/>
        <w:ind w:right="49"/>
        <w:jc w:val="both"/>
        <w:rPr/>
      </w:pPr>
      <w:r w:rsidDel="00000000" w:rsidR="00000000" w:rsidRPr="00000000">
        <w:rPr>
          <w:rFonts w:ascii="Palatino Linotype" w:cs="Palatino Linotype" w:eastAsia="Palatino Linotype" w:hAnsi="Palatino Linotype"/>
          <w:rtl w:val="0"/>
        </w:rPr>
        <w:t xml:space="preserve">Al efecto, el  procedimiento para la atención a las solicitudes de acceso a la información, establecido en los artículos 151, 159, 160, 162, 163, 164, 165 y 166, de la Ley de Transparencia y Acceso a la Información Pública del Estado de México y Municipios, es el siguiente:</w:t>
      </w:r>
      <w:r w:rsidDel="00000000" w:rsidR="00000000" w:rsidRPr="00000000">
        <w:rPr>
          <w:rtl w:val="0"/>
        </w:rPr>
      </w:r>
    </w:p>
    <w:p w:rsidR="00000000" w:rsidDel="00000000" w:rsidP="00000000" w:rsidRDefault="00000000" w:rsidRPr="00000000" w14:paraId="0000007F">
      <w:pPr>
        <w:spacing w:after="0" w:line="360" w:lineRule="auto"/>
        <w:rPr/>
      </w:pPr>
      <w:r w:rsidDel="00000000" w:rsidR="00000000" w:rsidRPr="00000000">
        <w:rPr>
          <w:rtl w:val="0"/>
        </w:rPr>
      </w:r>
    </w:p>
    <w:p w:rsidR="00000000" w:rsidDel="00000000" w:rsidP="00000000" w:rsidRDefault="00000000" w:rsidRPr="00000000" w14:paraId="00000080">
      <w:pPr>
        <w:numPr>
          <w:ilvl w:val="0"/>
          <w:numId w:val="4"/>
        </w:numPr>
        <w:spacing w:after="0"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00000000" w:rsidDel="00000000" w:rsidP="00000000" w:rsidRDefault="00000000" w:rsidRPr="00000000" w14:paraId="00000081">
      <w:pPr>
        <w:spacing w:after="0" w:line="276" w:lineRule="auto"/>
        <w:ind w:left="3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2">
      <w:pPr>
        <w:numPr>
          <w:ilvl w:val="0"/>
          <w:numId w:val="4"/>
        </w:numPr>
        <w:spacing w:after="0"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rsidR="00000000" w:rsidDel="00000000" w:rsidP="00000000" w:rsidRDefault="00000000" w:rsidRPr="00000000" w14:paraId="00000083">
      <w:pPr>
        <w:spacing w:after="0" w:line="276" w:lineRule="auto"/>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4">
      <w:pPr>
        <w:numPr>
          <w:ilvl w:val="0"/>
          <w:numId w:val="4"/>
        </w:numPr>
        <w:spacing w:after="0"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respuestas a los requerimientos informativos deberán notificarse al interesado en el menor tiempo posible, que no podrá exceder </w:t>
      </w:r>
      <w:r w:rsidDel="00000000" w:rsidR="00000000" w:rsidRPr="00000000">
        <w:rPr>
          <w:rFonts w:ascii="Palatino Linotype" w:cs="Palatino Linotype" w:eastAsia="Palatino Linotype" w:hAnsi="Palatino Linotype"/>
          <w:b w:val="1"/>
          <w:rtl w:val="0"/>
        </w:rPr>
        <w:t xml:space="preserve">quince días, contados a partir del día siguiente a la presentación de ésta.</w:t>
      </w:r>
      <w:r w:rsidDel="00000000" w:rsidR="00000000" w:rsidRPr="00000000">
        <w:rPr>
          <w:rFonts w:ascii="Palatino Linotype" w:cs="Palatino Linotype" w:eastAsia="Palatino Linotype" w:hAnsi="Palatino Linotype"/>
          <w:rtl w:val="0"/>
        </w:rPr>
        <w:t xml:space="preserve"> Excepcionalmente, el plazo referido podrá ampliarse por siete días hábiles más, cuando existan razones fundadas y motivadas, a través del Comité de Transparencia;</w:t>
      </w:r>
    </w:p>
    <w:p w:rsidR="00000000" w:rsidDel="00000000" w:rsidP="00000000" w:rsidRDefault="00000000" w:rsidRPr="00000000" w14:paraId="00000085">
      <w:pPr>
        <w:spacing w:after="0" w:line="276" w:lineRule="auto"/>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6">
      <w:pPr>
        <w:numPr>
          <w:ilvl w:val="0"/>
          <w:numId w:val="4"/>
        </w:numPr>
        <w:spacing w:after="0" w:line="276" w:lineRule="auto"/>
        <w:ind w:left="360" w:hanging="360"/>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rsidR="00000000" w:rsidDel="00000000" w:rsidP="00000000" w:rsidRDefault="00000000" w:rsidRPr="00000000" w14:paraId="00000087">
      <w:pPr>
        <w:spacing w:after="0" w:line="276" w:lineRule="auto"/>
        <w:ind w:left="720" w:firstLine="0"/>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088">
      <w:pPr>
        <w:numPr>
          <w:ilvl w:val="0"/>
          <w:numId w:val="4"/>
        </w:numPr>
        <w:spacing w:after="0" w:line="276" w:lineRule="auto"/>
        <w:ind w:left="36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El acceso se dará en la modalidad de entrega y en su caso, de envío elegido por el solicitante, cuando no pueda entregarse en dicha modalidad, el Sujeto Obligado deberá ofrecer otras; por lo cual, deberá fundamentar y motivar la necesidad de modificar el medio de entrega, y</w:t>
      </w:r>
      <w:r w:rsidDel="00000000" w:rsidR="00000000" w:rsidRPr="00000000">
        <w:rPr>
          <w:rtl w:val="0"/>
        </w:rPr>
      </w:r>
    </w:p>
    <w:p w:rsidR="00000000" w:rsidDel="00000000" w:rsidP="00000000" w:rsidRDefault="00000000" w:rsidRPr="00000000" w14:paraId="00000089">
      <w:pPr>
        <w:spacing w:after="0" w:line="276" w:lineRule="auto"/>
        <w:ind w:left="360"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8A">
      <w:pPr>
        <w:numPr>
          <w:ilvl w:val="0"/>
          <w:numId w:val="4"/>
        </w:numPr>
        <w:spacing w:after="0" w:line="276" w:lineRule="auto"/>
        <w:ind w:left="36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r w:rsidDel="00000000" w:rsidR="00000000" w:rsidRPr="00000000">
        <w:rPr>
          <w:rtl w:val="0"/>
        </w:rPr>
      </w:r>
    </w:p>
    <w:p w:rsidR="00000000" w:rsidDel="00000000" w:rsidP="00000000" w:rsidRDefault="00000000" w:rsidRPr="00000000" w14:paraId="0000008B">
      <w:pPr>
        <w:spacing w:after="0" w:line="360" w:lineRule="auto"/>
        <w:rPr/>
      </w:pPr>
      <w:r w:rsidDel="00000000" w:rsidR="00000000" w:rsidRPr="00000000">
        <w:rPr>
          <w:rtl w:val="0"/>
        </w:rPr>
      </w:r>
    </w:p>
    <w:p w:rsidR="00000000" w:rsidDel="00000000" w:rsidP="00000000" w:rsidRDefault="00000000" w:rsidRPr="00000000" w14:paraId="0000008C">
      <w:pPr>
        <w:spacing w:after="0" w:line="360" w:lineRule="auto"/>
        <w:ind w:right="49"/>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rtl w:val="0"/>
        </w:rPr>
        <w:t xml:space="preserve">En ese sentido, se tiene que, </w:t>
      </w:r>
      <w:r w:rsidDel="00000000" w:rsidR="00000000" w:rsidRPr="00000000">
        <w:rPr>
          <w:rFonts w:ascii="Palatino Linotype" w:cs="Palatino Linotype" w:eastAsia="Palatino Linotype" w:hAnsi="Palatino Linotype"/>
          <w:b w:val="1"/>
          <w:u w:val="single"/>
          <w:rtl w:val="0"/>
        </w:rPr>
        <w:t xml:space="preserve">el procedimiento de búsqueda de la información se tiene por atendido.</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 de precisar que del análisis a los </w:t>
      </w:r>
      <w:r w:rsidDel="00000000" w:rsidR="00000000" w:rsidRPr="00000000">
        <w:rPr>
          <w:rFonts w:ascii="Palatino Linotype" w:cs="Palatino Linotype" w:eastAsia="Palatino Linotype" w:hAnsi="Palatino Linotype"/>
          <w:b w:val="1"/>
          <w:u w:val="single"/>
          <w:rtl w:val="0"/>
        </w:rPr>
        <w:t xml:space="preserve">agravios vertidos en el recurso de revisión</w:t>
      </w:r>
      <w:r w:rsidDel="00000000" w:rsidR="00000000" w:rsidRPr="00000000">
        <w:rPr>
          <w:rFonts w:ascii="Palatino Linotype" w:cs="Palatino Linotype" w:eastAsia="Palatino Linotype" w:hAnsi="Palatino Linotype"/>
          <w:rtl w:val="0"/>
        </w:rPr>
        <w:t xml:space="preserve">, se advirtió que las manifestaciones esgrimidas, se tratan de apreciaciones subjetivas tendientes a dudar de la veracidad de la información proporcionada por el Sujeto Obligado, particularmente respecto de la información proporcionada con relación al anexo de las plazas vacantes por dependencia que serían ofertadas en el próximo proceso escalafonario 2024 entregadas en respuesta, ya que a criterio del particular las mismas corresponden a un año diverso -2023-, no al 2024.</w:t>
      </w:r>
    </w:p>
    <w:p w:rsidR="00000000" w:rsidDel="00000000" w:rsidP="00000000" w:rsidRDefault="00000000" w:rsidRPr="00000000" w14:paraId="0000008F">
      <w:pPr>
        <w:spacing w:after="0" w:line="360" w:lineRule="auto"/>
        <w:ind w:right="96"/>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0">
      <w:pPr>
        <w:spacing w:after="0" w:line="360" w:lineRule="auto"/>
        <w:ind w:right="96"/>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se estima que en el caso se actualiza la causal de sobreseimiento prevista en la fracción IV del artículo 192 de la Ley de Transparencia y Acceso a la Información Pública del Estado de México y Municipios en su correlación con la causal de improcedencia contemplada en la fracción V del artículo 191 del ordenamiento legal en cita, los que se transcriben a continuación, para un mejor entendimiento:</w:t>
      </w:r>
    </w:p>
    <w:p w:rsidR="00000000" w:rsidDel="00000000" w:rsidP="00000000" w:rsidRDefault="00000000" w:rsidRPr="00000000" w14:paraId="00000091">
      <w:pPr>
        <w:spacing w:after="0" w:line="360" w:lineRule="auto"/>
        <w:ind w:right="96"/>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2">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191.</w:t>
      </w:r>
      <w:r w:rsidDel="00000000" w:rsidR="00000000" w:rsidRPr="00000000">
        <w:rPr>
          <w:rFonts w:ascii="Palatino Linotype" w:cs="Palatino Linotype" w:eastAsia="Palatino Linotype" w:hAnsi="Palatino Linotype"/>
          <w:i w:val="1"/>
          <w:rtl w:val="0"/>
        </w:rPr>
        <w:t xml:space="preserve"> El recurso será desechado por improcedente cuando: </w:t>
      </w:r>
    </w:p>
    <w:p w:rsidR="00000000" w:rsidDel="00000000" w:rsidP="00000000" w:rsidRDefault="00000000" w:rsidRPr="00000000" w14:paraId="00000093">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Sea extemporáneo por haber transcurrido el plazo establecido en la presente Ley, a partir de la respuesta; </w:t>
      </w:r>
    </w:p>
    <w:p w:rsidR="00000000" w:rsidDel="00000000" w:rsidP="00000000" w:rsidRDefault="00000000" w:rsidRPr="00000000" w14:paraId="00000094">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 esté tramitando ante el Poder Judicial de la Federación algún recurso o medio de defensa interpuesto por el recurrente; </w:t>
      </w:r>
    </w:p>
    <w:p w:rsidR="00000000" w:rsidDel="00000000" w:rsidP="00000000" w:rsidRDefault="00000000" w:rsidRPr="00000000" w14:paraId="00000095">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No actualice alguno de los supuestos previstos en la presente Ley; </w:t>
      </w:r>
    </w:p>
    <w:p w:rsidR="00000000" w:rsidDel="00000000" w:rsidP="00000000" w:rsidRDefault="00000000" w:rsidRPr="00000000" w14:paraId="00000096">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No se haya desahogado la prevención en los términos establecidos en la presente Ley; </w:t>
      </w:r>
    </w:p>
    <w:p w:rsidR="00000000" w:rsidDel="00000000" w:rsidP="00000000" w:rsidRDefault="00000000" w:rsidRPr="00000000" w14:paraId="00000097">
      <w:pPr>
        <w:spacing w:after="0" w:line="276" w:lineRule="auto"/>
        <w:ind w:left="567" w:right="560"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V. Se impugne la veracidad de la información proporcionada; </w:t>
      </w:r>
    </w:p>
    <w:p w:rsidR="00000000" w:rsidDel="00000000" w:rsidP="00000000" w:rsidRDefault="00000000" w:rsidRPr="00000000" w14:paraId="00000098">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Se trate de una consulta, o trámite en específico; </w:t>
      </w:r>
    </w:p>
    <w:p w:rsidR="00000000" w:rsidDel="00000000" w:rsidP="00000000" w:rsidRDefault="00000000" w:rsidRPr="00000000" w14:paraId="00000099">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y </w:t>
      </w:r>
    </w:p>
    <w:p w:rsidR="00000000" w:rsidDel="00000000" w:rsidP="00000000" w:rsidRDefault="00000000" w:rsidRPr="00000000" w14:paraId="0000009A">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El recurrente amplíe su solicitud en el recurso de revisión, únicamente respecto de los nuevos contenidos. </w:t>
      </w:r>
    </w:p>
    <w:p w:rsidR="00000000" w:rsidDel="00000000" w:rsidP="00000000" w:rsidRDefault="00000000" w:rsidRPr="00000000" w14:paraId="0000009B">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9C">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192.</w:t>
      </w:r>
      <w:r w:rsidDel="00000000" w:rsidR="00000000" w:rsidRPr="00000000">
        <w:rPr>
          <w:rFonts w:ascii="Palatino Linotype" w:cs="Palatino Linotype" w:eastAsia="Palatino Linotype" w:hAnsi="Palatino Linotype"/>
          <w:i w:val="1"/>
          <w:rtl w:val="0"/>
        </w:rPr>
        <w:t xml:space="preserve"> El recurso será sobreseído, en todo o en parte, cuando una vez admitido, se actualicen alguno de los siguientes supuestos: </w:t>
      </w:r>
    </w:p>
    <w:p w:rsidR="00000000" w:rsidDel="00000000" w:rsidP="00000000" w:rsidRDefault="00000000" w:rsidRPr="00000000" w14:paraId="0000009D">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El recurrente se desista expresamente del recurso; </w:t>
      </w:r>
    </w:p>
    <w:p w:rsidR="00000000" w:rsidDel="00000000" w:rsidP="00000000" w:rsidRDefault="00000000" w:rsidRPr="00000000" w14:paraId="0000009E">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recurrente fallezca o, tratándose de personas jurídicas colectivas, se disuelva; </w:t>
      </w:r>
    </w:p>
    <w:p w:rsidR="00000000" w:rsidDel="00000000" w:rsidP="00000000" w:rsidRDefault="00000000" w:rsidRPr="00000000" w14:paraId="0000009F">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El sujeto obligado responsable del acto lo modifique o revoque de tal manera que el recurso de revisión quede sin materia; </w:t>
      </w:r>
    </w:p>
    <w:p w:rsidR="00000000" w:rsidDel="00000000" w:rsidP="00000000" w:rsidRDefault="00000000" w:rsidRPr="00000000" w14:paraId="000000A0">
      <w:pPr>
        <w:spacing w:after="0" w:line="276" w:lineRule="auto"/>
        <w:ind w:left="567" w:right="560"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IV. Admitido el recurso de revisión, aparezca alguna causal de improcedencia en los términos de la presente Ley; y </w:t>
      </w:r>
    </w:p>
    <w:p w:rsidR="00000000" w:rsidDel="00000000" w:rsidP="00000000" w:rsidRDefault="00000000" w:rsidRPr="00000000" w14:paraId="000000A1">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Cuando por cualquier motivo quede sin materia el recurso.</w:t>
      </w:r>
    </w:p>
    <w:p w:rsidR="00000000" w:rsidDel="00000000" w:rsidP="00000000" w:rsidRDefault="00000000" w:rsidRPr="00000000" w14:paraId="000000A2">
      <w:pPr>
        <w:spacing w:after="0" w:line="360" w:lineRule="auto"/>
        <w:ind w:right="96"/>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3">
      <w:pPr>
        <w:spacing w:after="0" w:line="360" w:lineRule="auto"/>
        <w:ind w:right="96"/>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en virtud de que en el caso a la literalidad de los motivos de inconformidad, el particular esta impugnando la veracidad de la información que le fue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respuesta; siendo procedente sobreseer el presente recurso de revisión por actualizarse la causal de improcedencia prevista en la fracción IV del artículo 192, en relación con la fracción V del artículo 191, ambos de la Ley de Transparencia vigente en la entidad.</w:t>
      </w:r>
    </w:p>
    <w:p w:rsidR="00000000" w:rsidDel="00000000" w:rsidP="00000000" w:rsidRDefault="00000000" w:rsidRPr="00000000" w14:paraId="000000A4">
      <w:pPr>
        <w:spacing w:after="0" w:line="360" w:lineRule="auto"/>
        <w:ind w:right="96"/>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5">
      <w:pPr>
        <w:spacing w:after="0" w:line="360" w:lineRule="auto"/>
        <w:ind w:right="96"/>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lo anterior, no escapa de la óptica de este Órgano Garante que, a pesar de que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impugna la veracidad de la información entregada en respuesta,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vía informe justificado y alcance al mismo proporcionó información que da atención a los motivos de inconformidad del particular, como se advierte a continuación:</w:t>
      </w:r>
    </w:p>
    <w:p w:rsidR="00000000" w:rsidDel="00000000" w:rsidP="00000000" w:rsidRDefault="00000000" w:rsidRPr="00000000" w14:paraId="000000A6">
      <w:pPr>
        <w:spacing w:after="0" w:line="360" w:lineRule="auto"/>
        <w:ind w:right="96"/>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7">
      <w:pPr>
        <w:spacing w:after="0" w:line="360" w:lineRule="auto"/>
        <w:ind w:right="96"/>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el motivo de inconformidad relativo a -</w:t>
      </w:r>
      <w:r w:rsidDel="00000000" w:rsidR="00000000" w:rsidRPr="00000000">
        <w:rPr>
          <w:rtl w:val="0"/>
        </w:rPr>
        <w:t xml:space="preserve"> </w:t>
      </w:r>
      <w:r w:rsidDel="00000000" w:rsidR="00000000" w:rsidRPr="00000000">
        <w:rPr>
          <w:rFonts w:ascii="Palatino Linotype" w:cs="Palatino Linotype" w:eastAsia="Palatino Linotype" w:hAnsi="Palatino Linotype"/>
          <w:b w:val="1"/>
          <w:rtl w:val="0"/>
        </w:rPr>
        <w:t xml:space="preserve">que la información proporcionada carece de veracidad, porque el anexo en donde se enlistan las plazas, en la parte inferior se nota el año 2023, por lo que no corresponde al 2024</w:t>
      </w:r>
      <w:r w:rsidDel="00000000" w:rsidR="00000000" w:rsidRPr="00000000">
        <w:rPr>
          <w:rFonts w:ascii="Palatino Linotype" w:cs="Palatino Linotype" w:eastAsia="Palatino Linotype" w:hAnsi="Palatino Linotype"/>
          <w:rtl w:val="0"/>
        </w:rPr>
        <w:t xml:space="preserve">- vía informe justificado el servidor público habilitado de la Dirección General de Personal indicó que respecto a la leyenda que obra en la parte inferior del listado de las plazas entregado en respuesta, en la se lee una nomenclatura que corresponde al ejercicio 2023, no carece de veracidad ya que ello atiende a que son plazas que quedaron disponibles/vacantes por el concurso escalafonario realizado en dicho año, las cuales serán ofertadas en el próximo concurso escalafonario de tipo general.</w:t>
      </w:r>
    </w:p>
    <w:p w:rsidR="00000000" w:rsidDel="00000000" w:rsidP="00000000" w:rsidRDefault="00000000" w:rsidRPr="00000000" w14:paraId="000000A8">
      <w:pPr>
        <w:spacing w:after="0" w:line="360" w:lineRule="auto"/>
        <w:ind w:right="96"/>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9">
      <w:pPr>
        <w:spacing w:after="0" w:line="360" w:lineRule="auto"/>
        <w:ind w:right="96"/>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sobre el motivo de inconformidad -</w:t>
      </w:r>
      <w:r w:rsidDel="00000000" w:rsidR="00000000" w:rsidRPr="00000000">
        <w:rPr>
          <w:rtl w:val="0"/>
        </w:rPr>
        <w:t xml:space="preserve"> </w:t>
      </w:r>
      <w:r w:rsidDel="00000000" w:rsidR="00000000" w:rsidRPr="00000000">
        <w:rPr>
          <w:rFonts w:ascii="Palatino Linotype" w:cs="Palatino Linotype" w:eastAsia="Palatino Linotype" w:hAnsi="Palatino Linotype"/>
          <w:b w:val="1"/>
          <w:rtl w:val="0"/>
        </w:rPr>
        <w:t xml:space="preserve">que la respuesta es ambigua porque no se proporcionó la fecha de publicación del concurso escalafonario 2024, sino únicamente se indicó que sería próximamente</w:t>
      </w:r>
      <w:r w:rsidDel="00000000" w:rsidR="00000000" w:rsidRPr="00000000">
        <w:rPr>
          <w:rFonts w:ascii="Palatino Linotype" w:cs="Palatino Linotype" w:eastAsia="Palatino Linotype" w:hAnsi="Palatino Linotype"/>
          <w:rtl w:val="0"/>
        </w:rPr>
        <w:t xml:space="preserve">- si bien en respuesta el servidor público habilitado competente indicó que se tenía una fecha tentativa para el concurso escalafonario 2024 y que tan pronto se encontrara autorizada, sería comunicada a través de las coordinaciones administrativas o equivalentes de las dependencias, lo cual pudiera haber actualizado un hecho negativo; es, vía alcance al informe justificado que el ente obligado proporcionó </w:t>
      </w:r>
      <w:r w:rsidDel="00000000" w:rsidR="00000000" w:rsidRPr="00000000">
        <w:rPr>
          <w:rFonts w:ascii="Palatino Linotype" w:cs="Palatino Linotype" w:eastAsia="Palatino Linotype" w:hAnsi="Palatino Linotype"/>
          <w:b w:val="1"/>
          <w:u w:val="single"/>
          <w:rtl w:val="0"/>
        </w:rPr>
        <w:t xml:space="preserve">la Convocatoria para el Concurso Escalafonario General GEM/003/2024, emitida en fecha 08 de octubre de 2024,</w:t>
      </w:r>
      <w:r w:rsidDel="00000000" w:rsidR="00000000" w:rsidRPr="00000000">
        <w:rPr>
          <w:rFonts w:ascii="Palatino Linotype" w:cs="Palatino Linotype" w:eastAsia="Palatino Linotype" w:hAnsi="Palatino Linotype"/>
          <w:rtl w:val="0"/>
        </w:rPr>
        <w:t xml:space="preserve"> emitida por la Presidenta de la Comisión Mixta de Escalafón a cargo de la Oficialía Mayor, y dos Vicepresidentes de dicha Comisión, a saber:</w:t>
      </w:r>
    </w:p>
    <w:p w:rsidR="00000000" w:rsidDel="00000000" w:rsidP="00000000" w:rsidRDefault="00000000" w:rsidRPr="00000000" w14:paraId="000000AA">
      <w:pPr>
        <w:spacing w:after="0" w:line="360" w:lineRule="auto"/>
        <w:ind w:right="96"/>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B">
      <w:pPr>
        <w:spacing w:after="0" w:line="360" w:lineRule="auto"/>
        <w:ind w:right="96"/>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756275" cy="1414145"/>
            <wp:effectExtent b="3175" l="3175" r="3175" t="3175"/>
            <wp:docPr id="3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56275" cy="1414145"/>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AC">
      <w:pPr>
        <w:spacing w:after="0" w:line="360" w:lineRule="auto"/>
        <w:ind w:right="96"/>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AD">
      <w:pPr>
        <w:spacing w:after="0" w:line="360" w:lineRule="auto"/>
        <w:ind w:right="96"/>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756275" cy="1847850"/>
            <wp:effectExtent b="3175" l="3175" r="3175" t="3175"/>
            <wp:docPr id="4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56275" cy="1847850"/>
                    </a:xfrm>
                    <a:prstGeom prst="rect"/>
                    <a:ln w="3175">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4152900</wp:posOffset>
                </wp:positionH>
                <wp:positionV relativeFrom="paragraph">
                  <wp:posOffset>190500</wp:posOffset>
                </wp:positionV>
                <wp:extent cx="1495425" cy="285750"/>
                <wp:effectExtent b="0" l="0" r="0" t="0"/>
                <wp:wrapNone/>
                <wp:docPr id="37" name=""/>
                <a:graphic>
                  <a:graphicData uri="http://schemas.microsoft.com/office/word/2010/wordprocessingShape">
                    <wps:wsp>
                      <wps:cNvSpPr/>
                      <wps:cNvPr id="2" name="Shape 2"/>
                      <wps:spPr>
                        <a:xfrm>
                          <a:off x="4617338" y="3656175"/>
                          <a:ext cx="1457325" cy="247650"/>
                        </a:xfrm>
                        <a:prstGeom prst="rect">
                          <a:avLst/>
                        </a:prstGeom>
                        <a:no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4152900</wp:posOffset>
                </wp:positionH>
                <wp:positionV relativeFrom="paragraph">
                  <wp:posOffset>190500</wp:posOffset>
                </wp:positionV>
                <wp:extent cx="1495425" cy="285750"/>
                <wp:effectExtent b="0" l="0" r="0" t="0"/>
                <wp:wrapNone/>
                <wp:docPr id="37"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1495425" cy="285750"/>
                        </a:xfrm>
                        <a:prstGeom prst="rect"/>
                        <a:ln/>
                      </pic:spPr>
                    </pic:pic>
                  </a:graphicData>
                </a:graphic>
              </wp:anchor>
            </w:drawing>
          </mc:Fallback>
        </mc:AlternateContent>
      </w:r>
    </w:p>
    <w:p w:rsidR="00000000" w:rsidDel="00000000" w:rsidP="00000000" w:rsidRDefault="00000000" w:rsidRPr="00000000" w14:paraId="000000AE">
      <w:pPr>
        <w:spacing w:after="0" w:line="360" w:lineRule="auto"/>
        <w:ind w:right="96"/>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F">
      <w:pPr>
        <w:spacing w:after="0" w:line="360" w:lineRule="auto"/>
        <w:ind w:right="96"/>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esta manera, es que se advierte que independientemente de la actualización de la causal de improcedencia del recurso de revisión relativa a “</w:t>
      </w:r>
      <w:r w:rsidDel="00000000" w:rsidR="00000000" w:rsidRPr="00000000">
        <w:rPr>
          <w:rFonts w:ascii="Palatino Linotype" w:cs="Palatino Linotype" w:eastAsia="Palatino Linotype" w:hAnsi="Palatino Linotype"/>
          <w:b w:val="1"/>
          <w:i w:val="1"/>
          <w:rtl w:val="0"/>
        </w:rPr>
        <w:t xml:space="preserve">Se impugne la veracidad de la información proporcionada</w:t>
      </w:r>
      <w:r w:rsidDel="00000000" w:rsidR="00000000" w:rsidRPr="00000000">
        <w:rPr>
          <w:rFonts w:ascii="Palatino Linotype" w:cs="Palatino Linotype" w:eastAsia="Palatino Linotype" w:hAnsi="Palatino Linotype"/>
          <w:rtl w:val="0"/>
        </w:rPr>
        <w:t xml:space="preserve">” por la que procede el sobreseimiento del medio de impugnación de nuestra atención,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un ejercicio de máxima publicidad vía informe justificado y alcance al mismo atendió los motivos de inconformidad del particular, aclarando que lo relativo al listado de plazas remitido en respuesta son las que están vacantes y serían sometidas al proceso o concurso escalafonario de 2024, además de entregar la convocatoria de dicho concurso, que fue emitida después de la fecha de la solicitud de información, colmando así también el derecho de acceso a la información del particular.</w:t>
      </w:r>
    </w:p>
    <w:p w:rsidR="00000000" w:rsidDel="00000000" w:rsidP="00000000" w:rsidRDefault="00000000" w:rsidRPr="00000000" w14:paraId="000000B0">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Acotado lo anterior, es importante señalar que el </w:t>
      </w:r>
      <w:r w:rsidDel="00000000" w:rsidR="00000000" w:rsidRPr="00000000">
        <w:rPr>
          <w:rFonts w:ascii="Palatino Linotype" w:cs="Palatino Linotype" w:eastAsia="Palatino Linotype" w:hAnsi="Palatino Linotype"/>
          <w:b w:val="1"/>
          <w:i w:val="1"/>
          <w:rtl w:val="0"/>
        </w:rPr>
        <w:t xml:space="preserve">sobreseimiento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rsidR="00000000" w:rsidDel="00000000" w:rsidP="00000000" w:rsidRDefault="00000000" w:rsidRPr="00000000" w14:paraId="000000B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5">
      <w:pPr>
        <w:spacing w:after="0" w:line="276" w:lineRule="auto"/>
        <w:ind w:left="567"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SOBRESEIMIENTO, NO PERMITE ENTRAR AL ESTUDIO DE LAS CUESTIONES DE FONDO. </w:t>
      </w:r>
      <w:r w:rsidDel="00000000" w:rsidR="00000000" w:rsidRPr="00000000">
        <w:rPr>
          <w:rFonts w:ascii="Palatino Linotype" w:cs="Palatino Linotype" w:eastAsia="Palatino Linotype" w:hAnsi="Palatino Linotype"/>
          <w:i w:val="1"/>
          <w:rtl w:val="0"/>
        </w:rPr>
        <w:t xml:space="preserve">No causa agravio la sentencia que no se ocupa de los razonamientos tendientes a demostrar la inconstitucionalidad de los actos reclamados de las autoridades responsables, que constituyen el problema de fondo, si se decreta el sobreseimiento del juicio.” </w:t>
      </w:r>
      <w:r w:rsidDel="00000000" w:rsidR="00000000" w:rsidRPr="00000000">
        <w:rPr>
          <w:rtl w:val="0"/>
        </w:rPr>
      </w:r>
    </w:p>
    <w:p w:rsidR="00000000" w:rsidDel="00000000" w:rsidP="00000000" w:rsidRDefault="00000000" w:rsidRPr="00000000" w14:paraId="000000B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destacar que la decisión de este Organismo Colegiado de sobreseer el recurso de revisión no implica una limitación o negación a la justicia, según lo ha establecido el Poder Judicial Federal, en el criterio que es aplicable por analogía, con rubro:</w:t>
      </w:r>
    </w:p>
    <w:p w:rsidR="00000000" w:rsidDel="00000000" w:rsidP="00000000" w:rsidRDefault="00000000" w:rsidRPr="00000000" w14:paraId="000000B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9">
      <w:pPr>
        <w:spacing w:after="0" w:line="276" w:lineRule="auto"/>
        <w:ind w:left="567" w:right="567"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“DESECHAMIENTO O SOBRESEIMIENTO EN EL JUICIO DE AMPARO. NO IMPLICA DENEGACIÓN DE JUSTICIA NI GENERA INSEGURIDAD JURÍDICA” </w:t>
      </w:r>
      <w:r w:rsidDel="00000000" w:rsidR="00000000" w:rsidRPr="00000000">
        <w:rPr>
          <w:rFonts w:ascii="Palatino Linotype" w:cs="Palatino Linotype" w:eastAsia="Palatino Linotype" w:hAnsi="Palatino Linotype"/>
          <w:i w:val="1"/>
          <w:rtl w:val="0"/>
        </w:rPr>
        <w:t xml:space="preserve">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w:t>
      </w:r>
      <w:r w:rsidDel="00000000" w:rsidR="00000000" w:rsidRPr="00000000">
        <w:rPr>
          <w:rtl w:val="0"/>
        </w:rPr>
      </w:r>
    </w:p>
    <w:p w:rsidR="00000000" w:rsidDel="00000000" w:rsidP="00000000" w:rsidRDefault="00000000" w:rsidRPr="00000000" w14:paraId="000000B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esta manera, a consideración de este Órgano Garante procede el sobreseimiento del recurso de revisión </w:t>
      </w:r>
      <w:r w:rsidDel="00000000" w:rsidR="00000000" w:rsidRPr="00000000">
        <w:rPr>
          <w:rFonts w:ascii="Palatino Linotype" w:cs="Palatino Linotype" w:eastAsia="Palatino Linotype" w:hAnsi="Palatino Linotype"/>
          <w:b w:val="1"/>
          <w:rtl w:val="0"/>
        </w:rPr>
        <w:t xml:space="preserve">05669/INFOEM/IP/RR/2024</w:t>
      </w:r>
      <w:r w:rsidDel="00000000" w:rsidR="00000000" w:rsidRPr="00000000">
        <w:rPr>
          <w:rFonts w:ascii="Palatino Linotype" w:cs="Palatino Linotype" w:eastAsia="Palatino Linotype" w:hAnsi="Palatino Linotype"/>
          <w:rtl w:val="0"/>
        </w:rPr>
        <w:t xml:space="preserve"> por actualizarse la causal de improcedencia prevista en la fracción IV del artículo 192, en relación con la fracción V del artículo 191, ambos de la Ley de Transparencia vigente en la entidad.</w:t>
      </w:r>
    </w:p>
    <w:p w:rsidR="00000000" w:rsidDel="00000000" w:rsidP="00000000" w:rsidRDefault="00000000" w:rsidRPr="00000000" w14:paraId="000000B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las cosas, con fundamento en lo prescrito en los artículos 5 párrafos trigésimo tercero, trigésimo cuarto y trigésimo quinto de la Constitución Política del Estado Libre y Soberano de México; 2, fracción II; 29, 36 fracciones I y II; 176, 178, 179, 181, 185, 191 fracción V y 192, fracción IV, de la Ley de Transparencia y Acceso a la Información Pública del Estado de México y Municipios, este Pleno:</w:t>
      </w:r>
    </w:p>
    <w:p w:rsidR="00000000" w:rsidDel="00000000" w:rsidP="00000000" w:rsidRDefault="00000000" w:rsidRPr="00000000" w14:paraId="000000BE">
      <w:pPr>
        <w:spacing w:after="0" w:line="360" w:lineRule="auto"/>
        <w:ind w:left="36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0BF">
      <w:pPr>
        <w:spacing w:after="0" w:line="360" w:lineRule="auto"/>
        <w:ind w:left="360" w:firstLine="0"/>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C0">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w:t>
      </w:r>
      <w:r w:rsidDel="00000000" w:rsidR="00000000" w:rsidRPr="00000000">
        <w:rPr>
          <w:rFonts w:ascii="Palatino Linotype" w:cs="Palatino Linotype" w:eastAsia="Palatino Linotype" w:hAnsi="Palatino Linotype"/>
          <w:rtl w:val="0"/>
        </w:rPr>
        <w:t xml:space="preserve"> Se </w:t>
      </w:r>
      <w:r w:rsidDel="00000000" w:rsidR="00000000" w:rsidRPr="00000000">
        <w:rPr>
          <w:rFonts w:ascii="Palatino Linotype" w:cs="Palatino Linotype" w:eastAsia="Palatino Linotype" w:hAnsi="Palatino Linotype"/>
          <w:b w:val="1"/>
          <w:rtl w:val="0"/>
        </w:rPr>
        <w:t xml:space="preserve">Sobresee</w:t>
      </w:r>
      <w:r w:rsidDel="00000000" w:rsidR="00000000" w:rsidRPr="00000000">
        <w:rPr>
          <w:rFonts w:ascii="Palatino Linotype" w:cs="Palatino Linotype" w:eastAsia="Palatino Linotype" w:hAnsi="Palatino Linotype"/>
          <w:rtl w:val="0"/>
        </w:rPr>
        <w:t xml:space="preserve"> el recurso de revisión número </w:t>
      </w:r>
      <w:r w:rsidDel="00000000" w:rsidR="00000000" w:rsidRPr="00000000">
        <w:rPr>
          <w:rFonts w:ascii="Palatino Linotype" w:cs="Palatino Linotype" w:eastAsia="Palatino Linotype" w:hAnsi="Palatino Linotype"/>
          <w:b w:val="1"/>
          <w:rtl w:val="0"/>
        </w:rPr>
        <w:t xml:space="preserve">05669/INFOEM/IP/RR/2024</w:t>
      </w:r>
      <w:r w:rsidDel="00000000" w:rsidR="00000000" w:rsidRPr="00000000">
        <w:rPr>
          <w:rFonts w:ascii="Palatino Linotype" w:cs="Palatino Linotype" w:eastAsia="Palatino Linotype" w:hAnsi="Palatino Linotype"/>
          <w:rtl w:val="0"/>
        </w:rPr>
        <w:t xml:space="preserve">, por actualizarse la causal de improcedencia prevista en la fracción IV del artículo 192, en relación con la fracción V del artículo 191, ambos de la Ley de Transparencia vigente en la entidad, en términos del Considerando </w:t>
      </w: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rtl w:val="0"/>
        </w:rPr>
        <w:t xml:space="preserve"> de la presente resolución.</w:t>
      </w:r>
    </w:p>
    <w:p w:rsidR="00000000" w:rsidDel="00000000" w:rsidP="00000000" w:rsidRDefault="00000000" w:rsidRPr="00000000" w14:paraId="000000C1">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C2">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Segundo. Notifíquese </w:t>
      </w:r>
      <w:r w:rsidDel="00000000" w:rsidR="00000000" w:rsidRPr="00000000">
        <w:rPr>
          <w:rFonts w:ascii="Palatino Linotype" w:cs="Palatino Linotype" w:eastAsia="Palatino Linotype" w:hAnsi="Palatino Linotype"/>
          <w:rtl w:val="0"/>
        </w:rPr>
        <w:t xml:space="preserve">vía SAIMEX,</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al Responsable de la Unidad de Transparencia del</w:t>
      </w:r>
      <w:r w:rsidDel="00000000" w:rsidR="00000000" w:rsidRPr="00000000">
        <w:rPr>
          <w:rFonts w:ascii="Palatino Linotype" w:cs="Palatino Linotype" w:eastAsia="Palatino Linotype" w:hAnsi="Palatino Linotype"/>
          <w:b w:val="1"/>
          <w:rtl w:val="0"/>
        </w:rPr>
        <w:t xml:space="preserve"> Sujeto Obligado </w:t>
      </w:r>
      <w:r w:rsidDel="00000000" w:rsidR="00000000" w:rsidRPr="00000000">
        <w:rPr>
          <w:rFonts w:ascii="Palatino Linotype" w:cs="Palatino Linotype" w:eastAsia="Palatino Linotype" w:hAnsi="Palatino Linotype"/>
          <w:rtl w:val="0"/>
        </w:rPr>
        <w:t xml:space="preserve">la presente resolución, para su conocimiento, lo anterior en términos del artículo 189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C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 SAIMEX</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presente resolución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rsidR="00000000" w:rsidDel="00000000" w:rsidP="00000000" w:rsidRDefault="00000000" w:rsidRPr="00000000" w14:paraId="000000C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SEIS NOVIEMBRE DE DOS MIL VEINTICUATRO, ANTE EL SECRETARIO TÉCNICO DEL PLENO ALEXIS TAPIA RAMÍREZ. </w:t>
      </w:r>
    </w:p>
    <w:p w:rsidR="00000000" w:rsidDel="00000000" w:rsidP="00000000" w:rsidRDefault="00000000" w:rsidRPr="00000000" w14:paraId="000000C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7">
      <w:pPr>
        <w:spacing w:after="0" w:line="360" w:lineRule="auto"/>
        <w:ind w:right="49"/>
        <w:jc w:val="both"/>
        <w:rPr>
          <w:rFonts w:ascii="Palatino Linotype" w:cs="Palatino Linotype" w:eastAsia="Palatino Linotype" w:hAnsi="Palatino Linotype"/>
        </w:rPr>
      </w:pP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-774063</wp:posOffset>
          </wp:positionH>
          <wp:positionV relativeFrom="paragraph">
            <wp:posOffset>-401953</wp:posOffset>
          </wp:positionV>
          <wp:extent cx="7809876" cy="10165823"/>
          <wp:effectExtent b="0" l="0" r="0" t="0"/>
          <wp:wrapNone/>
          <wp:docPr id="4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05669/INFOEM/IP/RR/2024</w:t>
          </w:r>
        </w:p>
      </w:tc>
    </w:tr>
    <w:tr>
      <w:trPr>
        <w:cantSplit w:val="0"/>
        <w:trHeight w:val="55" w:hRule="atLeast"/>
        <w:tblHeader w:val="0"/>
      </w:trPr>
      <w:tc>
        <w:tcPr>
          <w:vAlign w:val="center"/>
        </w:tcPr>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tc>
      <w:tc>
        <w:tcPr>
          <w:vAlign w:val="center"/>
        </w:tcPr>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68"/>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Oficialía Mayor</w:t>
          </w:r>
        </w:p>
      </w:tc>
    </w:tr>
    <w:tr>
      <w:trPr>
        <w:cantSplit w:val="0"/>
        <w:tblHeader w:val="0"/>
      </w:trPr>
      <w:tc>
        <w:tcPr>
          <w:vAlign w:val="center"/>
        </w:tcPr>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after="0" w:line="276" w:lineRule="auto"/>
      <w:rPr>
        <w:rFonts w:ascii="Palatino Linotype" w:cs="Palatino Linotype" w:eastAsia="Palatino Linotype" w:hAnsi="Palatino Linotype"/>
        <w:sz w:val="24"/>
        <w:szCs w:val="24"/>
      </w:rPr>
    </w:pPr>
    <w:r w:rsidDel="00000000" w:rsidR="00000000" w:rsidRPr="00000000">
      <w:rPr>
        <w:rtl w:val="0"/>
      </w:rPr>
    </w:r>
  </w:p>
  <w:tbl>
    <w:tblPr>
      <w:tblStyle w:val="Table2"/>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27"/>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05669/INFOEM/IP/RR/2024</w:t>
          </w:r>
        </w:p>
      </w:tc>
    </w:tr>
    <w:tr>
      <w:trPr>
        <w:cantSplit w:val="0"/>
        <w:tblHeader w:val="0"/>
      </w:trPr>
      <w:tc>
        <w:tcPr>
          <w:vAlign w:val="center"/>
        </w:tcPr>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Recurrente:</w:t>
          </w:r>
        </w:p>
      </w:tc>
      <w:tc>
        <w:tcPr>
          <w:vAlign w:val="center"/>
        </w:tcPr>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XXXXXXX XXXXXXXX XXX </w:t>
          </w:r>
        </w:p>
      </w:tc>
    </w:tr>
    <w:tr>
      <w:trPr>
        <w:cantSplit w:val="0"/>
        <w:trHeight w:val="55" w:hRule="atLeast"/>
        <w:tblHeader w:val="0"/>
      </w:trPr>
      <w:tc>
        <w:tcPr>
          <w:vAlign w:val="center"/>
        </w:tcPr>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tc>
      <w:tc>
        <w:tcPr>
          <w:vAlign w:val="center"/>
        </w:tcPr>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74"/>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Oficialía Mayor</w:t>
          </w:r>
          <w:r w:rsidDel="00000000" w:rsidR="00000000" w:rsidRPr="00000000">
            <w:drawing>
              <wp:anchor allowOverlap="1" behindDoc="1" distB="0" distT="0" distL="0" distR="0" hidden="0" layoutInCell="1" locked="0" relativeHeight="0" simplePos="0">
                <wp:simplePos x="0" y="0"/>
                <wp:positionH relativeFrom="column">
                  <wp:posOffset>-4672328</wp:posOffset>
                </wp:positionH>
                <wp:positionV relativeFrom="paragraph">
                  <wp:posOffset>-976627</wp:posOffset>
                </wp:positionV>
                <wp:extent cx="7809865" cy="10165715"/>
                <wp:effectExtent b="0" l="0" r="0" t="0"/>
                <wp:wrapNone/>
                <wp:docPr id="3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c>
    </w:tr>
    <w:tr>
      <w:trPr>
        <w:cantSplit w:val="0"/>
        <w:tblHeader w:val="0"/>
      </w:trPr>
      <w:tc>
        <w:tcPr>
          <w:vAlign w:val="center"/>
        </w:tcPr>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0E9">
    <w:pPr>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360" w:hanging="360"/>
      </w:pP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D74A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D74AE"/>
  </w:style>
  <w:style w:type="paragraph" w:styleId="Piedepgina">
    <w:name w:val="footer"/>
    <w:basedOn w:val="Normal"/>
    <w:link w:val="PiedepginaCar"/>
    <w:uiPriority w:val="99"/>
    <w:unhideWhenUsed w:val="1"/>
    <w:rsid w:val="00CD74A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D74AE"/>
    <w:pPr>
      <w:ind w:left="720"/>
      <w:contextualSpacing w:val="1"/>
    </w:pPr>
  </w:style>
  <w:style w:type="character" w:styleId="Hipervnculo">
    <w:name w:val="Hyperlink"/>
    <w:basedOn w:val="Fuentedeprrafopredeter"/>
    <w:uiPriority w:val="99"/>
    <w:unhideWhenUsed w:val="1"/>
    <w:rsid w:val="00CD74AE"/>
    <w:rPr>
      <w:color w:val="0563c1" w:themeColor="hyperlink"/>
      <w:u w:val="single"/>
    </w:rPr>
  </w:style>
  <w:style w:type="table" w:styleId="Tablaconcuadrcula">
    <w:name w:val="Table Grid"/>
    <w:basedOn w:val="Tablanormal"/>
    <w:uiPriority w:val="59"/>
    <w:rsid w:val="009C1D5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D2AA5"/>
    <w:pPr>
      <w:spacing w:after="100" w:afterAutospacing="1" w:before="100" w:beforeAutospacing="1" w:line="240" w:lineRule="auto"/>
    </w:pPr>
    <w:rPr>
      <w:rFonts w:ascii="Times New Roman" w:cs="Times New Roman" w:eastAsia="Times New Roman" w:hAnsi="Times New Roman"/>
      <w:sz w:val="24"/>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F3FE6"/>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8" w:customStyle="1">
    <w:name w:val="8"/>
    <w:basedOn w:val="TableNormal1"/>
    <w:tblPr>
      <w:tblStyleRowBandSize w:val="1"/>
      <w:tblStyleColBandSize w:val="1"/>
      <w:tblCellMar>
        <w:top w:w="15.0" w:type="dxa"/>
        <w:left w:w="15.0" w:type="dxa"/>
        <w:bottom w:w="15.0" w:type="dxa"/>
        <w:right w:w="15.0" w:type="dxa"/>
      </w:tblCellMar>
    </w:tblPr>
  </w:style>
  <w:style w:type="table" w:styleId="7" w:customStyle="1">
    <w:name w:val="7"/>
    <w:basedOn w:val="TableNormal1"/>
    <w:tblPr>
      <w:tblStyleRowBandSize w:val="1"/>
      <w:tblStyleColBandSize w:val="1"/>
      <w:tblCellMar>
        <w:left w:w="115.0" w:type="dxa"/>
        <w:right w:w="115.0" w:type="dxa"/>
      </w:tblCellMar>
    </w:tblPr>
  </w:style>
  <w:style w:type="table" w:styleId="6" w:customStyle="1">
    <w:name w:val="6"/>
    <w:basedOn w:val="TableNormal1"/>
    <w:tblPr>
      <w:tblStyleRowBandSize w:val="1"/>
      <w:tblStyleColBandSize w:val="1"/>
      <w:tblCellMar>
        <w:left w:w="115.0" w:type="dxa"/>
        <w:right w:w="115.0" w:type="dxa"/>
      </w:tblCellMar>
    </w:tblPr>
  </w:style>
  <w:style w:type="table" w:styleId="5" w:customStyle="1">
    <w:name w:val="5"/>
    <w:basedOn w:val="TableNormal1"/>
    <w:tblPr>
      <w:tblStyleRowBandSize w:val="1"/>
      <w:tblStyleColBandSize w:val="1"/>
      <w:tblCellMar>
        <w:top w:w="15.0" w:type="dxa"/>
        <w:left w:w="115.0" w:type="dxa"/>
        <w:bottom w:w="15.0" w:type="dxa"/>
        <w:right w:w="115.0" w:type="dxa"/>
      </w:tblCellMar>
    </w:tblPr>
  </w:style>
  <w:style w:type="table" w:styleId="4" w:customStyle="1">
    <w:name w:val="4"/>
    <w:basedOn w:val="TableNormal1"/>
    <w:tblPr>
      <w:tblStyleRowBandSize w:val="1"/>
      <w:tblStyleColBandSize w:val="1"/>
      <w:tblCellMar>
        <w:top w:w="15.0" w:type="dxa"/>
        <w:left w:w="115.0" w:type="dxa"/>
        <w:bottom w:w="15.0" w:type="dxa"/>
        <w:right w:w="115.0" w:type="dxa"/>
      </w:tblCellMar>
    </w:tblPr>
  </w:style>
  <w:style w:type="table" w:styleId="3" w:customStyle="1">
    <w:name w:val="3"/>
    <w:basedOn w:val="TableNormal1"/>
    <w:tblPr>
      <w:tblStyleRowBandSize w:val="1"/>
      <w:tblStyleColBandSize w:val="1"/>
      <w:tblCellMar>
        <w:top w:w="15.0" w:type="dxa"/>
        <w:left w:w="115.0" w:type="dxa"/>
        <w:bottom w:w="15.0" w:type="dxa"/>
        <w:right w:w="115.0" w:type="dxa"/>
      </w:tblCellMar>
    </w:tblPr>
  </w:style>
  <w:style w:type="character" w:styleId="Mencinsinresolver1" w:customStyle="1">
    <w:name w:val="Mención sin resolver1"/>
    <w:basedOn w:val="Fuentedeprrafopredeter"/>
    <w:uiPriority w:val="99"/>
    <w:semiHidden w:val="1"/>
    <w:unhideWhenUsed w:val="1"/>
    <w:rsid w:val="00B63FC6"/>
    <w:rPr>
      <w:color w:val="605e5c"/>
      <w:shd w:color="auto" w:fill="e1dfdd" w:val="clear"/>
    </w:rPr>
  </w:style>
  <w:style w:type="table" w:styleId="2" w:customStyle="1">
    <w:name w:val="2"/>
    <w:basedOn w:val="TableNormal2"/>
    <w:tblPr>
      <w:tblStyleRowBandSize w:val="1"/>
      <w:tblStyleColBandSize w:val="1"/>
      <w:tblCellMar>
        <w:top w:w="15.0" w:type="dxa"/>
        <w:left w:w="115.0" w:type="dxa"/>
        <w:bottom w:w="15.0" w:type="dxa"/>
        <w:right w:w="115.0" w:type="dxa"/>
      </w:tblCellMar>
    </w:tblPr>
  </w:style>
  <w:style w:type="table" w:styleId="1" w:customStyle="1">
    <w:name w:val="1"/>
    <w:basedOn w:val="TableNormal2"/>
    <w:tblPr>
      <w:tblStyleRowBandSize w:val="1"/>
      <w:tblStyleColBandSize w:val="1"/>
      <w:tblCellMar>
        <w:top w:w="15.0" w:type="dxa"/>
        <w:left w:w="115.0" w:type="dxa"/>
        <w:bottom w:w="15.0" w:type="dxa"/>
        <w:right w:w="115.0" w:type="dxa"/>
      </w:tblCellMar>
    </w:tblPr>
  </w:style>
  <w:style w:type="character" w:styleId="Hipervnculovisitado">
    <w:name w:val="FollowedHyperlink"/>
    <w:basedOn w:val="Fuentedeprrafopredeter"/>
    <w:uiPriority w:val="99"/>
    <w:semiHidden w:val="1"/>
    <w:unhideWhenUsed w:val="1"/>
    <w:rsid w:val="005F69FB"/>
    <w:rPr>
      <w:color w:val="954f72" w:themeColor="followedHyperlink"/>
      <w:u w:val="single"/>
    </w:rPr>
  </w:style>
  <w:style w:type="table" w:styleId="a" w:customStyle="1">
    <w:basedOn w:val="TableNormal0"/>
    <w:tblPr>
      <w:tblStyleRowBandSize w:val="1"/>
      <w:tblStyleColBandSize w:val="1"/>
      <w:tblCellMar>
        <w:top w:w="15.0" w:type="dxa"/>
        <w:left w:w="115.0" w:type="dxa"/>
        <w:bottom w:w="15.0" w:type="dxa"/>
        <w:right w:w="115.0" w:type="dxa"/>
      </w:tblCellMar>
    </w:tblPr>
  </w:style>
  <w:style w:type="table" w:styleId="a0" w:customStyle="1">
    <w:basedOn w:val="TableNormal0"/>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smQh+KonbtCHpCGtzP4vl4+20Q==">CgMxLjAyCGguZ2pkZ3hzMgloLjMwajB6bGw4AHIhMUxESXZhN2Q5RHpOekVuclpkMmx2czRfWmxxNVpRd3JZ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2024-12-02T17:53:00Z</dcterms:created>
  <dc:creator>Cuenta Microsoft</dc:creator>
</cp:coreProperties>
</file>