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8E8A6" w14:textId="77777777" w:rsidR="003E6347" w:rsidRDefault="003E6347" w:rsidP="006922F5">
      <w:pPr>
        <w:pBdr>
          <w:top w:val="nil"/>
          <w:left w:val="nil"/>
          <w:bottom w:val="nil"/>
          <w:right w:val="nil"/>
          <w:between w:val="nil"/>
        </w:pBdr>
        <w:contextualSpacing/>
        <w:rPr>
          <w:rFonts w:eastAsia="Palatino Linotype" w:cs="Palatino Linotype"/>
          <w:color w:val="000000"/>
          <w:szCs w:val="24"/>
        </w:rPr>
      </w:pPr>
    </w:p>
    <w:p w14:paraId="49AF2C0C" w14:textId="7E0A99AB"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243CC6">
        <w:rPr>
          <w:rFonts w:eastAsia="Palatino Linotype" w:cs="Palatino Linotype"/>
          <w:color w:val="000000"/>
          <w:szCs w:val="24"/>
        </w:rPr>
        <w:t>once de septiembre</w:t>
      </w:r>
      <w:r w:rsidR="0011108B">
        <w:rPr>
          <w:rFonts w:eastAsia="Palatino Linotype" w:cs="Palatino Linotype"/>
          <w:color w:val="000000"/>
          <w:szCs w:val="24"/>
        </w:rPr>
        <w:t xml:space="preserve"> de dos mil veinticua</w:t>
      </w:r>
      <w:bookmarkStart w:id="0" w:name="_GoBack"/>
      <w:bookmarkEnd w:id="0"/>
      <w:r w:rsidR="0011108B">
        <w:rPr>
          <w:rFonts w:eastAsia="Palatino Linotype" w:cs="Palatino Linotype"/>
          <w:color w:val="000000"/>
          <w:szCs w:val="24"/>
        </w:rPr>
        <w:t>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56F4F24D"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3E6347">
        <w:rPr>
          <w:rFonts w:eastAsia="Palatino Linotype" w:cs="Palatino Linotype"/>
          <w:b/>
          <w:bCs/>
          <w:color w:val="000000" w:themeColor="text1"/>
          <w:lang w:val="es-ES"/>
        </w:rPr>
        <w:t>02145/INFOEM/IP/RR/2024</w:t>
      </w:r>
      <w:r w:rsidRPr="70652167">
        <w:rPr>
          <w:rFonts w:eastAsia="Palatino Linotype" w:cs="Palatino Linotype"/>
          <w:color w:val="000000" w:themeColor="text1"/>
          <w:lang w:val="es-ES"/>
        </w:rPr>
        <w:t xml:space="preserve">, interpuesto por </w:t>
      </w:r>
      <w:r w:rsidR="009E2615">
        <w:rPr>
          <w:rFonts w:eastAsia="Palatino Linotype" w:cs="Palatino Linotype"/>
          <w:b/>
          <w:bCs/>
          <w:color w:val="000000" w:themeColor="text1"/>
          <w:lang w:val="es-ES"/>
        </w:rPr>
        <w:t>XXXXXXXXXXXXX</w:t>
      </w:r>
      <w:r w:rsidR="00E97C2F">
        <w:rPr>
          <w:rFonts w:eastAsia="Palatino Linotype" w:cs="Palatino Linotype"/>
          <w:color w:val="000000" w:themeColor="text1"/>
          <w:lang w:val="es-ES"/>
        </w:rPr>
        <w:t>, en lo sucesivo la</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respuesta del </w:t>
      </w:r>
      <w:r w:rsidR="003E6347">
        <w:rPr>
          <w:rFonts w:eastAsia="Palatino Linotype" w:cs="Palatino Linotype"/>
          <w:b/>
          <w:bCs/>
          <w:color w:val="000000" w:themeColor="text1"/>
          <w:lang w:val="es-ES"/>
        </w:rPr>
        <w:t>Ayuntamiento de Almoloya de Juárez</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3A6AEFDC"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3E6347">
        <w:rPr>
          <w:rFonts w:eastAsia="Palatino Linotype" w:cs="Palatino Linotype"/>
          <w:color w:val="000000"/>
          <w:szCs w:val="24"/>
        </w:rPr>
        <w:t>primero de abril</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E97C2F">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3E6347">
        <w:rPr>
          <w:rFonts w:eastAsia="Palatino Linotype" w:cs="Palatino Linotype"/>
          <w:b/>
          <w:bCs/>
          <w:color w:val="000000"/>
          <w:szCs w:val="24"/>
        </w:rPr>
        <w:t>00314/ALMOJU/IP/2024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8BC3627" w:rsidR="00A970D5" w:rsidRPr="006922F5" w:rsidRDefault="70652167" w:rsidP="006922F5">
      <w:pPr>
        <w:pStyle w:val="Fundamentos"/>
      </w:pPr>
      <w:r w:rsidRPr="70652167">
        <w:rPr>
          <w:lang w:val="es-ES"/>
        </w:rPr>
        <w:t>«</w:t>
      </w:r>
      <w:r w:rsidR="003E6347" w:rsidRPr="003E6347">
        <w:rPr>
          <w:lang w:val="es-ES"/>
        </w:rPr>
        <w:t>que indique el director de gobernación porque cobra sin boleto a algunas gentes y a otras no las cuotas del mercado de animales del puente de San Bernabé y entregue copia digital del ingreso recaudado del cobro de cuotas del mercado de animales del puente de san Bernabé a la tesorería Municipal del ejercicio fiscal 2023 a la fecha</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2B3EFB07" w14:textId="77777777" w:rsidR="00FF40EB" w:rsidRDefault="00FF40EB" w:rsidP="006922F5">
      <w:pPr>
        <w:pBdr>
          <w:top w:val="nil"/>
          <w:left w:val="nil"/>
          <w:bottom w:val="nil"/>
          <w:right w:val="nil"/>
          <w:between w:val="nil"/>
        </w:pBdr>
        <w:contextualSpacing/>
        <w:rPr>
          <w:rFonts w:eastAsia="Palatino Linotype" w:cs="Palatino Linotype"/>
          <w:color w:val="000000"/>
          <w:szCs w:val="24"/>
        </w:rPr>
      </w:pPr>
    </w:p>
    <w:p w14:paraId="1AEDC68E" w14:textId="219BED0D" w:rsidR="00A970D5" w:rsidRPr="006922F5" w:rsidRDefault="003E6347"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0A8A103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FF40EB">
        <w:rPr>
          <w:rFonts w:eastAsia="Palatino Linotype" w:cs="Palatino Linotype"/>
          <w:color w:val="000000"/>
          <w:szCs w:val="24"/>
        </w:rPr>
        <w:t>once</w:t>
      </w:r>
      <w:r w:rsidR="00E97C2F">
        <w:rPr>
          <w:rFonts w:eastAsia="Palatino Linotype" w:cs="Palatino Linotype"/>
          <w:color w:val="000000"/>
          <w:szCs w:val="24"/>
        </w:rPr>
        <w:t xml:space="preserve"> de marzo</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3C7C0BC2" w14:textId="77777777" w:rsidR="004F0762" w:rsidRDefault="00851748" w:rsidP="004F0762">
      <w:pPr>
        <w:pStyle w:val="Fundamentos"/>
      </w:pPr>
      <w:r>
        <w:t>«</w:t>
      </w:r>
      <w:r w:rsidR="004F0762">
        <w:t>En respuesta a la solicitud recibida, nos permitimos hacer de su conocimiento que con fundamento en el artículo 53, Fracciones: II, V y VI de la Ley de Transparencia y Acceso a la Información Pública del Estado de México y Municipios, le contestamos que:</w:t>
      </w:r>
    </w:p>
    <w:p w14:paraId="243F031B" w14:textId="77777777" w:rsidR="004F0762" w:rsidRDefault="004F0762" w:rsidP="004F0762">
      <w:pPr>
        <w:pStyle w:val="Fundamentos"/>
      </w:pPr>
    </w:p>
    <w:p w14:paraId="7DDBDF06" w14:textId="77777777" w:rsidR="004F0762" w:rsidRDefault="004F0762" w:rsidP="004F0762">
      <w:pPr>
        <w:pStyle w:val="Fundamentos"/>
      </w:pPr>
      <w:r>
        <w:t>Con fundamento en lo establecido en los artículos 4, 12, 59 y 164 de la Ley de Transparencia y Acceso a la Información Pública del Estado de México y Municipios, se adjunta la presente respuesta, con la finalidad de dar cumplimiento a su solicitud. Se le hace de su conocimiento que el derecho a la información no es absoluto, ni se encuentra limitado, y en caso de no estar conforme con la respuesta proporcionada, tiene derecho de interponer recurso de revisión dentro del pazo de 15 días hábiles contados a partir del día siguiente de la notificación del presente; de conformidad con lo dispuesto por el artículo 177 de la Ley de Transparencia y Acceso a la Información Pública del Estado de México y Municipios.</w:t>
      </w:r>
    </w:p>
    <w:p w14:paraId="2066EF16" w14:textId="77777777" w:rsidR="004F0762" w:rsidRDefault="004F0762" w:rsidP="004F0762">
      <w:pPr>
        <w:pStyle w:val="Fundamentos"/>
      </w:pPr>
    </w:p>
    <w:p w14:paraId="7707F6F1" w14:textId="77777777" w:rsidR="004F0762" w:rsidRDefault="004F0762" w:rsidP="004F0762">
      <w:pPr>
        <w:pStyle w:val="Fundamentos"/>
      </w:pPr>
      <w:r>
        <w:t>ATENTAMENTE</w:t>
      </w:r>
    </w:p>
    <w:p w14:paraId="3FE4A9EF" w14:textId="07996EDF" w:rsidR="00A970D5" w:rsidRPr="00404754" w:rsidRDefault="004F0762" w:rsidP="004F0762">
      <w:pPr>
        <w:pStyle w:val="Fundamentos"/>
        <w:rPr>
          <w:lang w:val="es-MX"/>
        </w:rPr>
      </w:pPr>
      <w:r>
        <w:t>L.D ANA KAREN RODRIGUEZ QUIJADA</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27E1DA84"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FF40EB">
        <w:rPr>
          <w:rFonts w:eastAsia="Palatino Linotype" w:cs="Palatino Linotype"/>
          <w:color w:val="000000" w:themeColor="text1"/>
          <w:lang w:val="es-ES"/>
        </w:rPr>
        <w:t>los</w:t>
      </w:r>
      <w:r w:rsidRPr="70652167">
        <w:rPr>
          <w:rFonts w:eastAsia="Palatino Linotype" w:cs="Palatino Linotype"/>
          <w:color w:val="000000" w:themeColor="text1"/>
          <w:lang w:val="es-ES"/>
        </w:rPr>
        <w:t xml:space="preserve"> documento</w:t>
      </w:r>
      <w:r w:rsidR="00FF40EB">
        <w:rPr>
          <w:rFonts w:eastAsia="Palatino Linotype" w:cs="Palatino Linotype"/>
          <w:color w:val="000000" w:themeColor="text1"/>
          <w:lang w:val="es-ES"/>
        </w:rPr>
        <w:t>s</w:t>
      </w:r>
      <w:r w:rsidRPr="70652167">
        <w:rPr>
          <w:rFonts w:eastAsia="Palatino Linotype" w:cs="Palatino Linotype"/>
          <w:color w:val="000000" w:themeColor="text1"/>
          <w:lang w:val="es-ES"/>
        </w:rPr>
        <w:t xml:space="preserve"> denominado</w:t>
      </w:r>
      <w:r w:rsidR="00FF40EB">
        <w:rPr>
          <w:rFonts w:eastAsia="Palatino Linotype" w:cs="Palatino Linotype"/>
          <w:color w:val="000000" w:themeColor="text1"/>
          <w:lang w:val="es-ES"/>
        </w:rPr>
        <w:t>s</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4F0762" w:rsidRPr="004F0762">
        <w:rPr>
          <w:rFonts w:eastAsia="Palatino Linotype" w:cs="Palatino Linotype"/>
          <w:b/>
          <w:bCs/>
          <w:color w:val="000000" w:themeColor="text1"/>
          <w:lang w:val="es-ES"/>
        </w:rPr>
        <w:t>REQUERIMIENTO SAIMEX 314.2024.pdf</w:t>
      </w:r>
      <w:r w:rsidR="00FF40EB" w:rsidRPr="70652167">
        <w:rPr>
          <w:rFonts w:eastAsia="Palatino Linotype" w:cs="Palatino Linotype"/>
          <w:b/>
          <w:bCs/>
          <w:color w:val="000000" w:themeColor="text1"/>
          <w:lang w:val="es-ES"/>
        </w:rPr>
        <w:t>»</w:t>
      </w:r>
      <w:r w:rsidR="00FF40EB" w:rsidRPr="70652167">
        <w:rPr>
          <w:rFonts w:eastAsia="Palatino Linotype" w:cs="Palatino Linotype"/>
          <w:color w:val="000000" w:themeColor="text1"/>
          <w:lang w:val="es-ES"/>
        </w:rPr>
        <w:t xml:space="preserve"> </w:t>
      </w:r>
      <w:r w:rsidR="00FF40EB">
        <w:rPr>
          <w:rFonts w:eastAsia="Palatino Linotype" w:cs="Palatino Linotype"/>
          <w:color w:val="000000" w:themeColor="text1"/>
          <w:lang w:val="es-ES"/>
        </w:rPr>
        <w:t xml:space="preserve">y </w:t>
      </w:r>
      <w:r w:rsidRPr="70652167">
        <w:rPr>
          <w:rFonts w:eastAsia="Palatino Linotype" w:cs="Palatino Linotype"/>
          <w:b/>
          <w:bCs/>
          <w:color w:val="000000" w:themeColor="text1"/>
          <w:lang w:val="es-ES"/>
        </w:rPr>
        <w:t>«</w:t>
      </w:r>
      <w:r w:rsidR="004F0762" w:rsidRPr="004F0762">
        <w:rPr>
          <w:rFonts w:eastAsia="Palatino Linotype" w:cs="Palatino Linotype"/>
          <w:b/>
          <w:bCs/>
          <w:color w:val="000000" w:themeColor="text1"/>
          <w:lang w:val="es-ES"/>
        </w:rPr>
        <w:t>RESPUESTA SAIMEX 314.2024.pdf</w:t>
      </w:r>
      <w:r w:rsidR="001E4621" w:rsidRPr="70652167">
        <w:rPr>
          <w:rFonts w:eastAsia="Palatino Linotype" w:cs="Palatino Linotype"/>
          <w:b/>
          <w:bCs/>
          <w:color w:val="000000" w:themeColor="text1"/>
          <w:lang w:val="es-ES"/>
        </w:rPr>
        <w:t>»</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640871B9" w:rsidR="00A970D5" w:rsidRPr="006922F5" w:rsidRDefault="003E6347"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222205F"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4F0762">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 día </w:t>
      </w:r>
      <w:r w:rsidR="004F0762">
        <w:rPr>
          <w:rFonts w:eastAsia="Palatino Linotype" w:cs="Palatino Linotype"/>
          <w:color w:val="000000"/>
          <w:szCs w:val="24"/>
        </w:rPr>
        <w:t>veintitrés de abril</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3E6347">
        <w:rPr>
          <w:rFonts w:eastAsia="Palatino Linotype" w:cs="Palatino Linotype"/>
          <w:b/>
          <w:color w:val="000000"/>
          <w:szCs w:val="24"/>
        </w:rPr>
        <w:t>02145/INFOEM/IP/RR/2024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lastRenderedPageBreak/>
        <w:t>Acto Impugnado:</w:t>
      </w:r>
      <w:r w:rsidR="00655007" w:rsidRPr="006922F5">
        <w:rPr>
          <w:rFonts w:eastAsia="Palatino Linotype" w:cs="Palatino Linotype"/>
          <w:b/>
        </w:rPr>
        <w:t xml:space="preserve"> </w:t>
      </w:r>
    </w:p>
    <w:p w14:paraId="4A0EFE5A" w14:textId="64FFB701" w:rsidR="00A970D5" w:rsidRPr="006922F5" w:rsidRDefault="6E57E726" w:rsidP="5C35490E">
      <w:pPr>
        <w:pStyle w:val="Fundamentos"/>
        <w:rPr>
          <w:b/>
          <w:bCs/>
          <w:lang w:val="es-ES"/>
        </w:rPr>
      </w:pPr>
      <w:r w:rsidRPr="6E57E726">
        <w:rPr>
          <w:lang w:val="es-ES"/>
        </w:rPr>
        <w:t>«</w:t>
      </w:r>
      <w:r w:rsidR="004F0762" w:rsidRPr="004F0762">
        <w:rPr>
          <w:lang w:val="es-ES"/>
        </w:rPr>
        <w:t>LA FALTA DE ENTREGA DE LA INFORMACIÓN SOLICITADA</w:t>
      </w:r>
      <w:r w:rsidRPr="6E57E726">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4237DE8E" w:rsidR="00300EA0" w:rsidRPr="006922F5" w:rsidRDefault="6E57E726" w:rsidP="00300EA0">
      <w:pPr>
        <w:pStyle w:val="Fundamentos"/>
        <w:rPr>
          <w:b/>
          <w:bCs/>
          <w:lang w:val="es-ES"/>
        </w:rPr>
      </w:pPr>
      <w:r w:rsidRPr="6E57E726">
        <w:rPr>
          <w:lang w:val="es-ES"/>
        </w:rPr>
        <w:t>«</w:t>
      </w:r>
      <w:r w:rsidR="004F0762" w:rsidRPr="004F0762">
        <w:rPr>
          <w:lang w:val="es-ES"/>
        </w:rPr>
        <w:t>LA NEGACIÓN A PRESENTARA LA INFORMACIÓN SOLICITADA</w:t>
      </w:r>
      <w:r w:rsidRPr="6E57E726">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07C5FBD8" w:rsidR="00A970D5" w:rsidRPr="006922F5" w:rsidRDefault="003E6347" w:rsidP="006922F5">
      <w:pPr>
        <w:pStyle w:val="Ttulo2"/>
        <w:rPr>
          <w:rFonts w:eastAsia="Palatino Linotype"/>
        </w:rPr>
      </w:pPr>
      <w:r>
        <w:rPr>
          <w:rFonts w:eastAsia="Palatino Linotype"/>
        </w:rPr>
        <w:t>CUAR</w:t>
      </w:r>
      <w:r w:rsidR="00FF40EB">
        <w:rPr>
          <w:rFonts w:eastAsia="Palatino Linotype"/>
        </w:rPr>
        <w:t>TO</w:t>
      </w:r>
      <w:r w:rsidR="00A970D5" w:rsidRPr="006922F5">
        <w:rPr>
          <w:rFonts w:eastAsia="Palatino Linotype"/>
        </w:rPr>
        <w:t>. Del turno y admisión del recurso de revisión.</w:t>
      </w:r>
    </w:p>
    <w:p w14:paraId="2459DEBA" w14:textId="02C9E0A3"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4F0762">
        <w:rPr>
          <w:rFonts w:eastAsia="Palatino Linotype" w:cs="Palatino Linotype"/>
          <w:color w:val="000000" w:themeColor="text1"/>
          <w:lang w:val="es-ES"/>
        </w:rPr>
        <w:t>veintiséis de abril</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588CD6B" w:rsidR="00A970D5" w:rsidRPr="006922F5" w:rsidRDefault="003E6347"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1536D542" w:rsidR="00EC115E" w:rsidRPr="006922F5" w:rsidRDefault="00FD1FA6" w:rsidP="44E9108F">
      <w:pPr>
        <w:pBdr>
          <w:top w:val="nil"/>
          <w:left w:val="nil"/>
          <w:bottom w:val="nil"/>
          <w:right w:val="nil"/>
          <w:between w:val="nil"/>
        </w:pBdr>
        <w:contextualSpacing/>
      </w:pPr>
      <w:r w:rsidRPr="00FD1FA6">
        <w:rPr>
          <w:rFonts w:eastAsia="Palatino Linotype" w:cs="Palatino Linotype"/>
          <w:color w:val="000000" w:themeColor="text1"/>
          <w:lang w:val="es-ES"/>
        </w:rPr>
        <w:t xml:space="preserve">Una vez abierta la etapa de instrucción, se observa que el Sujeto Obligado omitió rendir el Informe Justificado. </w:t>
      </w:r>
      <w:r w:rsidR="00314835">
        <w:rPr>
          <w:rFonts w:eastAsia="Palatino Linotype" w:cs="Palatino Linotype"/>
          <w:color w:val="000000" w:themeColor="text1"/>
          <w:lang w:val="es-ES"/>
        </w:rPr>
        <w:t xml:space="preserve">Por su </w:t>
      </w:r>
      <w:r w:rsidR="004F0762">
        <w:rPr>
          <w:rFonts w:eastAsia="Palatino Linotype" w:cs="Palatino Linotype"/>
          <w:color w:val="000000" w:themeColor="text1"/>
          <w:lang w:val="es-ES"/>
        </w:rPr>
        <w:t>parte, el</w:t>
      </w:r>
      <w:r w:rsidRPr="00FD1FA6">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7F0B045" w:rsidR="00A970D5" w:rsidRPr="006922F5" w:rsidRDefault="009B56A2" w:rsidP="006922F5">
      <w:pPr>
        <w:pStyle w:val="Ttulo2"/>
        <w:rPr>
          <w:rFonts w:eastAsia="Palatino Linotype"/>
        </w:rPr>
      </w:pPr>
      <w:r>
        <w:rPr>
          <w:rFonts w:eastAsia="Palatino Linotype"/>
        </w:rPr>
        <w:t>S</w:t>
      </w:r>
      <w:r w:rsidR="003E6347">
        <w:rPr>
          <w:rFonts w:eastAsia="Palatino Linotype"/>
        </w:rPr>
        <w:t>EXT</w:t>
      </w:r>
      <w:r w:rsidR="00271737">
        <w:rPr>
          <w:rFonts w:eastAsia="Palatino Linotype"/>
        </w:rPr>
        <w:t>O</w:t>
      </w:r>
      <w:r w:rsidR="00A970D5" w:rsidRPr="006922F5">
        <w:rPr>
          <w:rFonts w:eastAsia="Palatino Linotype"/>
        </w:rPr>
        <w:t>. Del cierre de instrucción.</w:t>
      </w:r>
    </w:p>
    <w:p w14:paraId="2456F4BD" w14:textId="3C32A78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4F0762">
        <w:rPr>
          <w:rFonts w:eastAsia="Palatino Linotype" w:cs="Palatino Linotype"/>
          <w:color w:val="000000"/>
          <w:szCs w:val="24"/>
        </w:rPr>
        <w:t>diez de mayo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67A2C60E" w14:textId="5A60A6BE" w:rsidR="00FD1FA6" w:rsidRPr="00047890" w:rsidRDefault="003E6347" w:rsidP="00FD1FA6">
      <w:pPr>
        <w:pStyle w:val="Ttulo2"/>
        <w:rPr>
          <w:rFonts w:eastAsiaTheme="minorHAnsi"/>
          <w:lang w:eastAsia="en-US"/>
        </w:rPr>
      </w:pPr>
      <w:r>
        <w:rPr>
          <w:rFonts w:eastAsiaTheme="minorHAnsi"/>
          <w:lang w:eastAsia="en-US"/>
        </w:rPr>
        <w:t>SÉPTIM</w:t>
      </w:r>
      <w:r w:rsidR="00FF40EB">
        <w:rPr>
          <w:rFonts w:eastAsiaTheme="minorHAnsi"/>
          <w:lang w:eastAsia="en-US"/>
        </w:rPr>
        <w:t>O</w:t>
      </w:r>
      <w:r w:rsidR="00FD1FA6" w:rsidRPr="00047890">
        <w:rPr>
          <w:rFonts w:eastAsiaTheme="minorHAnsi"/>
          <w:lang w:eastAsia="en-US"/>
        </w:rPr>
        <w:t>. De la ampliación del término para resolver.</w:t>
      </w:r>
    </w:p>
    <w:p w14:paraId="6A94F3CE" w14:textId="22C0385E"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4F0762">
        <w:rPr>
          <w:rFonts w:eastAsiaTheme="minorHAnsi" w:cstheme="minorBidi"/>
          <w:szCs w:val="24"/>
          <w:lang w:eastAsia="en-US"/>
        </w:rPr>
        <w:t>once de junio</w:t>
      </w:r>
      <w:r w:rsidRPr="00546575">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F5A152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6DEB5C67"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7944BB66"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5CD62C1E" w14:textId="77777777" w:rsidR="00FD1FA6" w:rsidRPr="00546575"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F6762A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5C415047" w14:textId="77777777" w:rsidR="00FD1FA6" w:rsidRPr="00546575"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 xml:space="preserve">Así, en términos de lo que establecen los artículos 8.1 y 25 de la Convención Americana sobre Derechos Humanos, los recursos deben ser sencillos y resolverse en el menor </w:t>
      </w:r>
      <w:r w:rsidRPr="5C35490E">
        <w:rPr>
          <w:rFonts w:eastAsiaTheme="minorEastAsia" w:cstheme="minorBidi"/>
          <w:lang w:val="es-ES" w:eastAsia="en-US"/>
        </w:rPr>
        <w:lastRenderedPageBreak/>
        <w:t>tiempo posible, tomando en consideración la dilación total del procedimiento; esto es, en un plazo razonable.</w:t>
      </w:r>
    </w:p>
    <w:p w14:paraId="50B18DEE"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469ED102"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5C502A1"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0202D094"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1087B6F"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7D74179B"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69BA94AF"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Actividad Procesal del interesado: Acciones u omisiones del interesado.</w:t>
      </w:r>
    </w:p>
    <w:p w14:paraId="35E6F5AF"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Conducta de la Autoridad: Las Acciones u omisiones realizadas en el procedimiento. Así como si la autoridad actuó con la debida diligencia.</w:t>
      </w:r>
    </w:p>
    <w:p w14:paraId="786C1AEE" w14:textId="77777777" w:rsidR="00FD1FA6" w:rsidRPr="00546575"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La afectación generada en la situación jurídica de la persona involucrada en el proceso: Violación a sus derechos humanos.</w:t>
      </w:r>
    </w:p>
    <w:p w14:paraId="66520CE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74C6D2A9"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546575">
        <w:rPr>
          <w:rFonts w:eastAsiaTheme="minorHAnsi" w:cstheme="minorBidi"/>
          <w:szCs w:val="24"/>
          <w:lang w:eastAsia="en-US"/>
        </w:rPr>
        <w:lastRenderedPageBreak/>
        <w:t>debe concluirse que es una excluyente de responsabilidad en relación con la actuación del funcionario, como ha acontecido en el caso que nos ocupa.</w:t>
      </w:r>
    </w:p>
    <w:p w14:paraId="0A8C932F"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4DF73A3B"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Argumento que encuentra sustento en la jurisprudencia P</w:t>
      </w:r>
      <w:proofErr w:type="gramStart"/>
      <w:r w:rsidRPr="00546575">
        <w:rPr>
          <w:rFonts w:eastAsiaTheme="minorHAnsi" w:cstheme="minorBidi"/>
          <w:szCs w:val="24"/>
          <w:lang w:eastAsia="en-US"/>
        </w:rPr>
        <w:t>./</w:t>
      </w:r>
      <w:proofErr w:type="gramEnd"/>
      <w:r w:rsidRPr="00546575">
        <w:rPr>
          <w:rFonts w:eastAsiaTheme="minorHAnsi" w:cstheme="minorBidi"/>
          <w:szCs w:val="24"/>
          <w:lang w:eastAsia="en-U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081C034"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2CB74B68" w14:textId="77777777" w:rsidR="00FD1FA6"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0ED49752" w14:textId="77777777" w:rsidR="00FD1FA6" w:rsidRDefault="00FD1FA6" w:rsidP="00FD1FA6">
      <w:pPr>
        <w:pBdr>
          <w:top w:val="nil"/>
          <w:left w:val="nil"/>
          <w:bottom w:val="nil"/>
          <w:right w:val="nil"/>
          <w:between w:val="nil"/>
        </w:pBdr>
        <w:contextualSpacing/>
        <w:rPr>
          <w:rFonts w:eastAsiaTheme="minorEastAsia" w:cstheme="minorBidi"/>
          <w:lang w:val="es-ES" w:eastAsia="en-US"/>
        </w:rPr>
      </w:pPr>
    </w:p>
    <w:p w14:paraId="0CBDE3A8" w14:textId="77777777" w:rsidR="00FD1FA6" w:rsidRPr="00546575"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Al respecto, también son de considerar los criterios sostenidos por el Cuarto Tribunal Colegiado en Materia Administrativa del Primer Circuito, cuyos rubros y datos de identificación son los siguientes:</w:t>
      </w:r>
    </w:p>
    <w:p w14:paraId="6BD366B7"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28186DA6"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ascii="Segoe UI Symbol" w:eastAsiaTheme="minorHAnsi" w:hAnsi="Segoe UI Symbol" w:cstheme="minorBidi"/>
          <w:szCs w:val="24"/>
          <w:lang w:eastAsia="en-US"/>
        </w:rPr>
        <w:lastRenderedPageBreak/>
        <w:t>«</w:t>
      </w:r>
      <w:r w:rsidRPr="0054657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4C3333D3"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6357FA2B"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41253FA1"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4D06CE91"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798E6AC3" w14:textId="77777777" w:rsidR="00FD1FA6" w:rsidRDefault="00FD1FA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w:t>
      </w:r>
      <w:r w:rsidRPr="00264613">
        <w:rPr>
          <w:rFonts w:eastAsia="Palatino Linotype" w:cs="Palatino Linotype"/>
          <w:color w:val="000000"/>
          <w:szCs w:val="24"/>
        </w:rPr>
        <w:lastRenderedPageBreak/>
        <w:t>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18D40416" w:rsidR="00454915" w:rsidRPr="006922F5" w:rsidRDefault="00391CB5" w:rsidP="00454915">
      <w:pPr>
        <w:pStyle w:val="Ttulo2"/>
        <w:rPr>
          <w:rFonts w:eastAsia="Palatino Linotype"/>
        </w:rPr>
      </w:pPr>
      <w:r>
        <w:rPr>
          <w:rFonts w:eastAsia="Palatino Linotype"/>
        </w:rPr>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w:t>
      </w:r>
      <w:proofErr w:type="spellStart"/>
      <w:r w:rsidRPr="44E9108F">
        <w:rPr>
          <w:rFonts w:eastAsia="Palatino Linotype" w:cs="Palatino Linotype"/>
          <w:color w:val="000000"/>
          <w:lang w:val="es-ES"/>
        </w:rPr>
        <w:t>Resolutor</w:t>
      </w:r>
      <w:proofErr w:type="spellEnd"/>
      <w:r w:rsidRPr="44E9108F">
        <w:rPr>
          <w:rFonts w:eastAsia="Palatino Linotype" w:cs="Palatino Linotype"/>
          <w:color w:val="000000"/>
          <w:lang w:val="es-ES"/>
        </w:rPr>
        <w:t xml:space="preserve"> y por ende objeto de análisis previo al estudio de fondo del asunto; presupuestos procesales de inicio o </w:t>
      </w:r>
      <w:r w:rsidRPr="44E9108F">
        <w:rPr>
          <w:rFonts w:eastAsia="Palatino Linotype" w:cs="Palatino Linotype"/>
          <w:color w:val="000000"/>
          <w:lang w:val="es-ES"/>
        </w:rPr>
        <w:lastRenderedPageBreak/>
        <w:t>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39DA254C" w:rsidR="00454915" w:rsidRPr="006922F5" w:rsidRDefault="00391CB5" w:rsidP="00454915">
      <w:pPr>
        <w:pStyle w:val="Ttulo2"/>
        <w:rPr>
          <w:rFonts w:eastAsia="Palatino Linotype"/>
        </w:rPr>
      </w:pPr>
      <w:r>
        <w:rPr>
          <w:rFonts w:eastAsia="Palatino Linotype"/>
        </w:rPr>
        <w:t>CUAR</w:t>
      </w:r>
      <w:r w:rsidR="00EA737F">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190154C4" w14:textId="77777777" w:rsidR="003E6A4E" w:rsidRDefault="004A3367" w:rsidP="004A3367">
      <w:pPr>
        <w:rPr>
          <w:rFonts w:eastAsiaTheme="minorHAnsi" w:cstheme="minorBidi"/>
          <w:szCs w:val="24"/>
          <w:lang w:eastAsia="en-US"/>
        </w:rPr>
      </w:pPr>
      <w:r w:rsidRPr="00D42552">
        <w:rPr>
          <w:rFonts w:eastAsiaTheme="minorHAnsi" w:cstheme="minorBidi"/>
          <w:szCs w:val="24"/>
          <w:lang w:eastAsia="en-US"/>
        </w:rPr>
        <w:t xml:space="preserve">En virtud de lo anterior, es conveniente recordar que </w:t>
      </w:r>
      <w:r w:rsidR="003E6A4E">
        <w:rPr>
          <w:rFonts w:eastAsiaTheme="minorHAnsi" w:cstheme="minorBidi"/>
          <w:szCs w:val="24"/>
          <w:lang w:eastAsia="en-US"/>
        </w:rPr>
        <w:t>el</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sidR="004E7898">
        <w:rPr>
          <w:rFonts w:eastAsiaTheme="minorHAnsi" w:cstheme="minorBidi"/>
          <w:szCs w:val="24"/>
          <w:lang w:eastAsia="en-US"/>
        </w:rPr>
        <w:t>que</w:t>
      </w:r>
      <w:r w:rsidR="003E6A4E">
        <w:rPr>
          <w:rFonts w:eastAsiaTheme="minorHAnsi" w:cstheme="minorBidi"/>
          <w:szCs w:val="24"/>
          <w:lang w:eastAsia="en-US"/>
        </w:rPr>
        <w:t xml:space="preserve"> se le proporcionara:</w:t>
      </w:r>
    </w:p>
    <w:p w14:paraId="03EAA334" w14:textId="77777777" w:rsidR="003E6A4E" w:rsidRDefault="003E6A4E" w:rsidP="004A3367">
      <w:pPr>
        <w:rPr>
          <w:rFonts w:eastAsiaTheme="minorHAnsi" w:cstheme="minorBidi"/>
          <w:szCs w:val="24"/>
          <w:lang w:eastAsia="en-US"/>
        </w:rPr>
      </w:pPr>
    </w:p>
    <w:p w14:paraId="788ABDAF" w14:textId="55F9E939" w:rsidR="00391CB5" w:rsidRPr="001F2F39" w:rsidRDefault="003E6A4E" w:rsidP="001F2F39">
      <w:pPr>
        <w:pStyle w:val="Prrafodelista"/>
        <w:numPr>
          <w:ilvl w:val="0"/>
          <w:numId w:val="40"/>
        </w:numPr>
        <w:rPr>
          <w:rFonts w:eastAsiaTheme="minorHAnsi" w:cstheme="minorBidi"/>
          <w:lang w:eastAsia="en-US"/>
        </w:rPr>
      </w:pPr>
      <w:r>
        <w:rPr>
          <w:rFonts w:eastAsiaTheme="minorHAnsi" w:cstheme="minorBidi"/>
          <w:lang w:eastAsia="en-US"/>
        </w:rPr>
        <w:t>El motivo por el cual, respecto de las cuotas del mercado de animales del puente de San Bernabé, el Director de Gobernación cobra sin boleto a algunas personas y a otras, no.</w:t>
      </w:r>
    </w:p>
    <w:p w14:paraId="2F82892C" w14:textId="487B7EF0" w:rsidR="00391CB5" w:rsidRPr="00E43CD1" w:rsidRDefault="00835381" w:rsidP="00E43CD1">
      <w:pPr>
        <w:pStyle w:val="Prrafodelista"/>
        <w:numPr>
          <w:ilvl w:val="0"/>
          <w:numId w:val="40"/>
        </w:numPr>
        <w:rPr>
          <w:rFonts w:eastAsiaTheme="minorHAnsi" w:cstheme="minorBidi"/>
          <w:lang w:eastAsia="en-US"/>
        </w:rPr>
      </w:pPr>
      <w:r>
        <w:rPr>
          <w:rFonts w:eastAsiaTheme="minorHAnsi" w:cstheme="minorBidi"/>
          <w:lang w:eastAsia="en-US"/>
        </w:rPr>
        <w:t>Las copias digitales del ingreso recaudado del cobro de cuotas del mercado de animales puente de San Bernabé a la Tesorería Municipal del primero de enero de dos mil veintitrés al primero de abril de dos mil veinticuatro.</w:t>
      </w:r>
    </w:p>
    <w:p w14:paraId="7D9BD343" w14:textId="77777777" w:rsidR="00391CB5" w:rsidRDefault="00391CB5" w:rsidP="004A3367">
      <w:pPr>
        <w:rPr>
          <w:rFonts w:eastAsiaTheme="minorHAnsi" w:cstheme="minorBidi"/>
          <w:szCs w:val="24"/>
          <w:lang w:eastAsia="en-US"/>
        </w:rPr>
      </w:pPr>
    </w:p>
    <w:p w14:paraId="494F2E41" w14:textId="6E375D2A"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E43CD1">
        <w:rPr>
          <w:rFonts w:eastAsia="Palatino Linotype" w:cs="Palatino Linotype"/>
          <w:color w:val="000000"/>
          <w:szCs w:val="24"/>
        </w:rPr>
        <w:t xml:space="preserve"> </w:t>
      </w:r>
      <w:r w:rsidR="001F2F39">
        <w:rPr>
          <w:rFonts w:eastAsia="Palatino Linotype" w:cs="Palatino Linotype"/>
          <w:color w:val="000000"/>
          <w:szCs w:val="24"/>
        </w:rPr>
        <w:t>l</w:t>
      </w:r>
      <w:r w:rsidR="00E43CD1">
        <w:rPr>
          <w:rFonts w:eastAsia="Palatino Linotype" w:cs="Palatino Linotype"/>
          <w:color w:val="000000"/>
          <w:szCs w:val="24"/>
        </w:rPr>
        <w:t>os</w:t>
      </w:r>
      <w:r w:rsidR="001F2F39">
        <w:rPr>
          <w:rFonts w:eastAsia="Palatino Linotype" w:cs="Palatino Linotype"/>
          <w:color w:val="000000"/>
          <w:szCs w:val="24"/>
        </w:rPr>
        <w:t xml:space="preserve"> siguiente</w:t>
      </w:r>
      <w:r w:rsidR="00E43CD1">
        <w:rPr>
          <w:rFonts w:eastAsia="Palatino Linotype" w:cs="Palatino Linotype"/>
          <w:color w:val="000000"/>
          <w:szCs w:val="24"/>
        </w:rPr>
        <w:t>s</w:t>
      </w:r>
      <w:r w:rsidR="001F2F39">
        <w:rPr>
          <w:rFonts w:eastAsia="Palatino Linotype" w:cs="Palatino Linotype"/>
          <w:color w:val="000000"/>
          <w:szCs w:val="24"/>
        </w:rPr>
        <w:t xml:space="preserve"> documento</w:t>
      </w:r>
      <w:r w:rsidR="00E43CD1">
        <w:rPr>
          <w:rFonts w:eastAsia="Palatino Linotype" w:cs="Palatino Linotype"/>
          <w:color w:val="000000"/>
          <w:szCs w:val="24"/>
        </w:rPr>
        <w:t>s:</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22E68CB4" w14:textId="4889A071" w:rsidR="009A320F" w:rsidRPr="00891A13" w:rsidRDefault="00835381" w:rsidP="009A320F">
      <w:pPr>
        <w:pStyle w:val="Prrafodelista"/>
        <w:numPr>
          <w:ilvl w:val="0"/>
          <w:numId w:val="30"/>
        </w:numPr>
        <w:rPr>
          <w:rFonts w:eastAsia="Palatino Linotype" w:cs="Palatino Linotype"/>
          <w:color w:val="000000"/>
        </w:rPr>
      </w:pPr>
      <w:r w:rsidRPr="00835381">
        <w:rPr>
          <w:rFonts w:eastAsia="Palatino Linotype" w:cs="Palatino Linotype"/>
          <w:b/>
          <w:bCs/>
          <w:color w:val="000000"/>
          <w:lang w:val="es-ES_tradnl"/>
        </w:rPr>
        <w:lastRenderedPageBreak/>
        <w:t>REQUERIMIENTO SAIMEX 314.2024.pdf</w:t>
      </w:r>
      <w:r>
        <w:rPr>
          <w:rFonts w:eastAsia="Palatino Linotype" w:cs="Palatino Linotype"/>
          <w:bCs/>
          <w:color w:val="000000"/>
          <w:lang w:val="es-ES_tradnl"/>
        </w:rPr>
        <w:t>. Oficio número PMAJ/UT/543</w:t>
      </w:r>
      <w:r w:rsidR="00D86103">
        <w:rPr>
          <w:rFonts w:eastAsia="Palatino Linotype" w:cs="Palatino Linotype"/>
          <w:bCs/>
          <w:color w:val="000000"/>
          <w:lang w:val="es-ES_tradnl"/>
        </w:rPr>
        <w:t xml:space="preserve">/2024 suscrito por la Titular de la Unidad </w:t>
      </w:r>
      <w:r>
        <w:rPr>
          <w:rFonts w:eastAsia="Palatino Linotype" w:cs="Palatino Linotype"/>
          <w:bCs/>
          <w:color w:val="000000"/>
          <w:lang w:val="es-ES_tradnl"/>
        </w:rPr>
        <w:t xml:space="preserve">de Transparencia </w:t>
      </w:r>
      <w:r w:rsidR="008D6F57">
        <w:rPr>
          <w:rFonts w:eastAsia="Palatino Linotype" w:cs="Palatino Linotype"/>
          <w:bCs/>
          <w:color w:val="000000"/>
          <w:lang w:val="es-ES_tradnl"/>
        </w:rPr>
        <w:t xml:space="preserve">dirigido </w:t>
      </w:r>
      <w:r w:rsidR="005241D6">
        <w:rPr>
          <w:rFonts w:eastAsia="Palatino Linotype" w:cs="Palatino Linotype"/>
          <w:bCs/>
          <w:color w:val="000000"/>
          <w:lang w:val="es-ES_tradnl"/>
        </w:rPr>
        <w:t xml:space="preserve">al Director de Gobernación, con el que se requirió atender la solicitud de información </w:t>
      </w:r>
      <w:r w:rsidR="005241D6">
        <w:rPr>
          <w:rFonts w:eastAsia="Palatino Linotype" w:cs="Palatino Linotype"/>
          <w:b/>
          <w:bCs/>
          <w:color w:val="000000"/>
        </w:rPr>
        <w:t>00314/ALMOJU/IP/2024</w:t>
      </w:r>
      <w:r w:rsidR="005241D6">
        <w:rPr>
          <w:rFonts w:eastAsia="Palatino Linotype" w:cs="Palatino Linotype"/>
          <w:bCs/>
          <w:color w:val="000000"/>
        </w:rPr>
        <w:t>.</w:t>
      </w:r>
    </w:p>
    <w:p w14:paraId="58A3F5E6" w14:textId="1307C212" w:rsidR="00265B88" w:rsidRPr="005D1DD0" w:rsidRDefault="00835381" w:rsidP="00835381">
      <w:pPr>
        <w:pStyle w:val="Prrafodelista"/>
        <w:numPr>
          <w:ilvl w:val="0"/>
          <w:numId w:val="30"/>
        </w:numPr>
        <w:rPr>
          <w:rFonts w:eastAsia="Palatino Linotype" w:cs="Palatino Linotype"/>
          <w:color w:val="000000"/>
        </w:rPr>
      </w:pPr>
      <w:r w:rsidRPr="00835381">
        <w:rPr>
          <w:rFonts w:eastAsia="Palatino Linotype" w:cs="Palatino Linotype"/>
          <w:b/>
          <w:bCs/>
          <w:color w:val="000000"/>
          <w:lang w:val="es-ES_tradnl"/>
        </w:rPr>
        <w:t>RESPUESTA SAIMEX 314.2024.pdf</w:t>
      </w:r>
      <w:r w:rsidR="00265B88" w:rsidRPr="00A74912">
        <w:rPr>
          <w:rFonts w:eastAsia="Palatino Linotype" w:cs="Palatino Linotype"/>
          <w:color w:val="000000"/>
        </w:rPr>
        <w:t>.</w:t>
      </w:r>
      <w:r w:rsidR="005241D6">
        <w:rPr>
          <w:rFonts w:eastAsia="Palatino Linotype" w:cs="Palatino Linotype"/>
          <w:color w:val="000000"/>
        </w:rPr>
        <w:t xml:space="preserve"> Oficio número PMAJ/DG/SSM/039/24</w:t>
      </w:r>
      <w:r w:rsidR="004918B5" w:rsidRPr="00A74912">
        <w:rPr>
          <w:rFonts w:eastAsia="Palatino Linotype" w:cs="Palatino Linotype"/>
          <w:color w:val="000000"/>
        </w:rPr>
        <w:t xml:space="preserve"> emitido </w:t>
      </w:r>
      <w:r w:rsidR="005241D6">
        <w:rPr>
          <w:rFonts w:eastAsia="Palatino Linotype" w:cs="Palatino Linotype"/>
          <w:color w:val="000000"/>
        </w:rPr>
        <w:t>por el Director de Gobernación, por medio del cual se informó que, por usos y costumbres, se ha permitido que el Comisariado Ejidal de Mayorazgo Concepción de León —comunidad en la que se ubica la Plaza Ganadera de San Bernabé— lleve a cabo el cobro de las cuotas correspondientes a la compraventa de animales.</w:t>
      </w:r>
    </w:p>
    <w:p w14:paraId="6BAFD247" w14:textId="77777777" w:rsidR="005D1DD0" w:rsidRDefault="005D1DD0" w:rsidP="006922F5">
      <w:pPr>
        <w:pBdr>
          <w:top w:val="nil"/>
          <w:left w:val="nil"/>
          <w:bottom w:val="nil"/>
          <w:right w:val="nil"/>
          <w:between w:val="nil"/>
        </w:pBdr>
        <w:contextualSpacing/>
        <w:rPr>
          <w:rFonts w:eastAsia="Palatino Linotype" w:cs="Palatino Linotype"/>
          <w:color w:val="000000"/>
          <w:sz w:val="22"/>
        </w:rPr>
      </w:pPr>
    </w:p>
    <w:p w14:paraId="6128DFF4" w14:textId="22202A01"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5D1DD0">
        <w:rPr>
          <w:rFonts w:eastAsia="Palatino Linotype" w:cs="Palatino Linotype"/>
          <w:color w:val="000000" w:themeColor="text1"/>
          <w:lang w:val="es-ES"/>
        </w:rPr>
        <w:t xml:space="preserve">itida por el Sujeto Obligado, </w:t>
      </w:r>
      <w:r w:rsidR="008C4A33">
        <w:rPr>
          <w:rFonts w:eastAsia="Palatino Linotype" w:cs="Palatino Linotype"/>
          <w:color w:val="000000" w:themeColor="text1"/>
          <w:lang w:val="es-ES"/>
        </w:rPr>
        <w:t>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5241D6">
        <w:rPr>
          <w:rFonts w:eastAsia="Palatino Linotype" w:cs="Palatino Linotype"/>
          <w:color w:val="000000" w:themeColor="text1"/>
          <w:lang w:val="es-ES"/>
        </w:rPr>
        <w:t xml:space="preserve"> la falta de entrega de la información solicitada</w:t>
      </w:r>
      <w:r w:rsidR="001B7214">
        <w:rPr>
          <w:rFonts w:eastAsia="Palatino Linotype" w:cs="Palatino Linotype"/>
          <w:color w:val="000000" w:themeColor="text1"/>
          <w:lang w:val="es-ES"/>
        </w:rPr>
        <w:t xml:space="preserve">; dando como </w:t>
      </w:r>
      <w:r w:rsidRPr="44E9108F">
        <w:rPr>
          <w:rFonts w:eastAsia="Palatino Linotype" w:cs="Palatino Linotype"/>
          <w:color w:val="000000" w:themeColor="text1"/>
          <w:lang w:val="es-ES"/>
        </w:rPr>
        <w:t>razones o motivos de inconformidad</w:t>
      </w:r>
      <w:r w:rsidR="005241D6">
        <w:rPr>
          <w:rFonts w:eastAsia="Palatino Linotype" w:cs="Palatino Linotype"/>
          <w:color w:val="000000" w:themeColor="text1"/>
          <w:lang w:val="es-ES"/>
        </w:rPr>
        <w:t xml:space="preserve"> la negativa a presentar la información solicitada</w:t>
      </w:r>
      <w:r w:rsidR="001B7214">
        <w:rPr>
          <w:rFonts w:eastAsia="Palatino Linotype" w:cs="Palatino Linotype"/>
          <w:color w:val="000000" w:themeColor="text1"/>
          <w:lang w:val="es-ES"/>
        </w:rPr>
        <w:t>.</w:t>
      </w:r>
    </w:p>
    <w:p w14:paraId="4A6500B8" w14:textId="77777777" w:rsidR="008F50E6" w:rsidRDefault="008F50E6" w:rsidP="00A04222"/>
    <w:p w14:paraId="2473F528" w14:textId="77777777" w:rsidR="00A04222" w:rsidRDefault="00A04222" w:rsidP="00A04222">
      <w:r w:rsidRPr="00E41C8A">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6C5070BB" w14:textId="77777777" w:rsidR="00685706" w:rsidRPr="00A04222" w:rsidRDefault="00685706"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 xml:space="preserve">Los sujetos obligados deberán documentar todo acto que derive del ejercicio de sus facultades, competencias o </w:t>
      </w:r>
      <w:r w:rsidRPr="006922F5">
        <w:rPr>
          <w:b/>
        </w:rPr>
        <w:lastRenderedPageBreak/>
        <w:t>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lastRenderedPageBreak/>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045D1F50"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ED2AAC">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01F7F94C" w:rsidR="006100FC" w:rsidRPr="006922F5" w:rsidRDefault="00ED2AAC" w:rsidP="006100FC">
      <w:pPr>
        <w:pStyle w:val="Fundamentos"/>
      </w:pPr>
      <w:r>
        <w:t>[…]</w:t>
      </w:r>
    </w:p>
    <w:p w14:paraId="451DBD48" w14:textId="10188835" w:rsidR="006100FC" w:rsidRPr="006922F5" w:rsidRDefault="006100FC" w:rsidP="006100FC">
      <w:pPr>
        <w:pStyle w:val="Fundamentos"/>
      </w:pPr>
      <w:r w:rsidRPr="006922F5">
        <w:rPr>
          <w:b/>
          <w:bCs/>
        </w:rPr>
        <w:t>I</w:t>
      </w:r>
      <w:r w:rsidR="00ED2AAC">
        <w:rPr>
          <w:b/>
          <w:bCs/>
        </w:rPr>
        <w:t>V</w:t>
      </w:r>
      <w:r w:rsidRPr="006922F5">
        <w:rPr>
          <w:b/>
          <w:bCs/>
        </w:rPr>
        <w:t>.</w:t>
      </w:r>
      <w:r>
        <w:rPr>
          <w:b/>
          <w:bCs/>
        </w:rPr>
        <w:t xml:space="preserve"> </w:t>
      </w:r>
      <w:r w:rsidR="00737EBC">
        <w:t>Los</w:t>
      </w:r>
      <w:r w:rsidRPr="006922F5">
        <w:t xml:space="preserve"> </w:t>
      </w:r>
      <w:r w:rsidR="00E318E5" w:rsidRPr="00E318E5">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227733B8" w:rsidR="00737EBC" w:rsidRDefault="00737EBC" w:rsidP="006100FC">
      <w:r>
        <w:t xml:space="preserve">Asimismo, conforme a los motivos de inconformidad expresados por </w:t>
      </w:r>
      <w:r w:rsidR="00396394">
        <w:t>la</w:t>
      </w:r>
      <w:r>
        <w:t xml:space="preserve"> Recurrente, se estima que en el presente caso se actualizó la causal de procedencia del recurso de revisión</w:t>
      </w:r>
      <w:r w:rsidR="001B7214">
        <w:t xml:space="preserve"> prevista en la fracción 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9A41B1" w:rsidRDefault="0090120A" w:rsidP="007A5010">
      <w:pPr>
        <w:pStyle w:val="Fundamentos"/>
        <w:rPr>
          <w:lang w:val="es-MX"/>
        </w:rPr>
      </w:pPr>
    </w:p>
    <w:p w14:paraId="5C4DD805" w14:textId="23B24116" w:rsidR="009A41B1" w:rsidRDefault="44E9108F" w:rsidP="001B7214">
      <w:pPr>
        <w:pStyle w:val="Fundamentos"/>
        <w:numPr>
          <w:ilvl w:val="0"/>
          <w:numId w:val="42"/>
        </w:numPr>
      </w:pPr>
      <w:r w:rsidRPr="44E9108F">
        <w:rPr>
          <w:lang w:val="es-ES"/>
        </w:rPr>
        <w:lastRenderedPageBreak/>
        <w:t xml:space="preserve">La </w:t>
      </w:r>
      <w:r w:rsidR="001B7214" w:rsidRPr="001B7214">
        <w:rPr>
          <w:lang w:val="es-ES"/>
        </w:rPr>
        <w:t>negativa a la información solicitada</w:t>
      </w:r>
      <w:r w:rsidRPr="44E9108F">
        <w:rPr>
          <w:lang w:val="es-ES"/>
        </w:rPr>
        <w:t>;</w:t>
      </w:r>
    </w:p>
    <w:p w14:paraId="0E46417D" w14:textId="2C0A0715" w:rsidR="009A41B1" w:rsidRDefault="007A5010" w:rsidP="007A5010">
      <w:pPr>
        <w:pStyle w:val="Fundamentos"/>
      </w:pPr>
      <w:r>
        <w:t>[…]</w:t>
      </w:r>
    </w:p>
    <w:p w14:paraId="34F693E7" w14:textId="77777777" w:rsidR="009A41B1" w:rsidRDefault="009A41B1" w:rsidP="006100FC"/>
    <w:p w14:paraId="4BBA09EE" w14:textId="54C38D31" w:rsidR="008045E6" w:rsidRDefault="23D2082F" w:rsidP="23D2082F">
      <w:pPr>
        <w:rPr>
          <w:lang w:val="es-ES"/>
        </w:rPr>
      </w:pPr>
      <w:r w:rsidRPr="23D2082F">
        <w:rPr>
          <w:lang w:val="es-ES"/>
        </w:rPr>
        <w:t>En segundo término, se observa que con el primer punto de la solicitud de información el Recurrente pretende que se le señale el motivo por el cual se cobran con boleto a algunas personas y a otras no las cuotas del mercado de animales; es decir, requiere que se le proporcione una explicación concreta a su interrogante.</w:t>
      </w:r>
    </w:p>
    <w:p w14:paraId="3664E55C" w14:textId="77777777" w:rsidR="008045E6" w:rsidRDefault="008045E6" w:rsidP="00637679"/>
    <w:p w14:paraId="61FF31DA" w14:textId="5440AF52" w:rsidR="00765F06" w:rsidRPr="009738B7" w:rsidRDefault="00765F06" w:rsidP="00765F06">
      <w:pPr>
        <w:rPr>
          <w:rFonts w:eastAsia="MS Mincho" w:cs="Arial"/>
          <w:szCs w:val="24"/>
          <w:lang w:eastAsia="es-ES"/>
        </w:rPr>
      </w:pPr>
      <w:r w:rsidRPr="009738B7">
        <w:t xml:space="preserve">Al respecto, </w:t>
      </w:r>
      <w:r w:rsidRPr="009738B7">
        <w:rPr>
          <w:szCs w:val="24"/>
          <w:lang w:val="es-MX" w:eastAsia="es-ES"/>
        </w:rPr>
        <w:t xml:space="preserve">este Instituto estima que no se está ante el ejercicio del derecho de acceso a la información pública, sino ante el derecho de petición. Lo anterior porque se </w:t>
      </w:r>
      <w:r w:rsidRPr="009738B7">
        <w:rPr>
          <w:rFonts w:eastAsia="Times New Roman" w:cs="Times New Roman"/>
          <w:szCs w:val="24"/>
          <w:lang w:val="es-MX" w:eastAsia="es-ES"/>
        </w:rPr>
        <w:t>conside</w:t>
      </w:r>
      <w:r w:rsidR="0097516B">
        <w:rPr>
          <w:rFonts w:eastAsia="Times New Roman" w:cs="Times New Roman"/>
          <w:szCs w:val="24"/>
          <w:lang w:val="es-MX" w:eastAsia="es-ES"/>
        </w:rPr>
        <w:t>ra que dicho requerimiento constituye</w:t>
      </w:r>
      <w:r w:rsidRPr="009738B7">
        <w:rPr>
          <w:rFonts w:eastAsia="Times New Roman" w:cs="Times New Roman"/>
          <w:szCs w:val="24"/>
          <w:lang w:val="es-MX" w:eastAsia="es-ES"/>
        </w:rPr>
        <w:t xml:space="preserve"> </w:t>
      </w:r>
      <w:r w:rsidR="0097516B">
        <w:rPr>
          <w:rFonts w:eastAsia="Times New Roman" w:cs="Times New Roman"/>
          <w:szCs w:val="24"/>
          <w:lang w:val="es-MX" w:eastAsia="es-ES"/>
        </w:rPr>
        <w:t>un cuestionamiento</w:t>
      </w:r>
      <w:r w:rsidRPr="009738B7">
        <w:rPr>
          <w:rFonts w:eastAsia="Times New Roman" w:cs="Times New Roman"/>
          <w:szCs w:val="24"/>
          <w:lang w:val="es-MX" w:eastAsia="es-ES"/>
        </w:rPr>
        <w:t xml:space="preserve"> respecto de presuntas situaciones referidas por el particular. Esto en virtud de que </w:t>
      </w:r>
      <w:r w:rsidR="0097516B">
        <w:rPr>
          <w:rFonts w:eastAsia="Times New Roman" w:cs="Times New Roman"/>
          <w:szCs w:val="24"/>
          <w:lang w:val="es-MX" w:eastAsia="es-ES"/>
        </w:rPr>
        <w:t xml:space="preserve">los requerido </w:t>
      </w:r>
      <w:r w:rsidRPr="009738B7">
        <w:rPr>
          <w:rFonts w:eastAsia="Times New Roman" w:cs="Times New Roman"/>
          <w:szCs w:val="24"/>
          <w:lang w:val="es-MX" w:eastAsia="es-ES"/>
        </w:rPr>
        <w:t>difícilmente puede colmarse con documentos previamente generados</w:t>
      </w:r>
      <w:r w:rsidRPr="009738B7">
        <w:rPr>
          <w:rFonts w:eastAsia="Times New Roman" w:cs="Times New Roman"/>
          <w:color w:val="000000" w:themeColor="text1"/>
          <w:szCs w:val="24"/>
          <w:lang w:val="es-MX" w:eastAsia="es-ES"/>
        </w:rPr>
        <w:t xml:space="preserve">, por lo que </w:t>
      </w:r>
      <w:r w:rsidRPr="009738B7">
        <w:rPr>
          <w:rFonts w:eastAsia="Times New Roman" w:cs="Arial"/>
          <w:szCs w:val="24"/>
          <w:lang w:val="es-MX" w:eastAsia="es-ES"/>
        </w:rPr>
        <w:t>al no colmarse con la entrega de documentos sino con un pronunciamiento o posicionamiento por parte del Sujeto Obligado ante lo referido por el hoy Recurrente, se concluye que no se está en presencia del ejercicio del derecho de acceso a la información</w:t>
      </w:r>
      <w:r w:rsidRPr="009738B7">
        <w:rPr>
          <w:rFonts w:eastAsia="MS Mincho" w:cs="Arial"/>
          <w:szCs w:val="24"/>
          <w:lang w:eastAsia="es-ES"/>
        </w:rPr>
        <w:t xml:space="preserve"> y por lo tanto no es atendible mediante una solicitud de acceso a la información, toda vez que se tratan de manifestaciones subjetivas vertidas por el </w:t>
      </w:r>
      <w:r w:rsidR="00243CC6">
        <w:rPr>
          <w:rFonts w:eastAsia="MS Mincho" w:cs="Arial"/>
          <w:szCs w:val="24"/>
          <w:lang w:eastAsia="es-ES"/>
        </w:rPr>
        <w:t>particular</w:t>
      </w:r>
      <w:r w:rsidRPr="009738B7">
        <w:rPr>
          <w:rFonts w:eastAsia="MS Mincho" w:cs="Arial"/>
          <w:szCs w:val="24"/>
          <w:lang w:eastAsia="es-ES"/>
        </w:rPr>
        <w:t>, es decir, se trata de interrogantes y cuestionamientos que no se colman con la entrega de documentos, sino con una postura o pronunciamiento ex profeso</w:t>
      </w:r>
      <w:r w:rsidR="0097516B">
        <w:rPr>
          <w:rFonts w:eastAsia="MS Mincho" w:cs="Arial"/>
          <w:szCs w:val="24"/>
          <w:lang w:eastAsia="es-ES"/>
        </w:rPr>
        <w:t xml:space="preserve"> por parte del Sujeto Obligado.</w:t>
      </w:r>
    </w:p>
    <w:p w14:paraId="162853D6" w14:textId="77777777" w:rsidR="00765F06" w:rsidRPr="009738B7" w:rsidRDefault="00765F06" w:rsidP="00765F06">
      <w:pPr>
        <w:rPr>
          <w:rFonts w:eastAsia="MS Mincho" w:cs="Arial"/>
          <w:szCs w:val="24"/>
          <w:lang w:eastAsia="es-ES"/>
        </w:rPr>
      </w:pPr>
    </w:p>
    <w:p w14:paraId="2424F1D7" w14:textId="25FEFFD9" w:rsidR="00765F06" w:rsidRPr="009738B7" w:rsidRDefault="00765F06" w:rsidP="00765F06">
      <w:pPr>
        <w:rPr>
          <w:rFonts w:eastAsia="MS Mincho" w:cstheme="majorBidi"/>
          <w:szCs w:val="24"/>
          <w:lang w:eastAsia="es-ES"/>
        </w:rPr>
      </w:pPr>
      <w:r w:rsidRPr="009738B7">
        <w:rPr>
          <w:rFonts w:eastAsia="MS Mincho" w:cstheme="majorBidi"/>
          <w:szCs w:val="24"/>
          <w:lang w:eastAsia="es-ES"/>
        </w:rPr>
        <w:t>Es de destac</w:t>
      </w:r>
      <w:r w:rsidR="0097516B">
        <w:rPr>
          <w:rFonts w:eastAsia="MS Mincho" w:cstheme="majorBidi"/>
          <w:szCs w:val="24"/>
          <w:lang w:eastAsia="es-ES"/>
        </w:rPr>
        <w:t>arse que la entrega de una explicación</w:t>
      </w:r>
      <w:r w:rsidRPr="009738B7">
        <w:rPr>
          <w:rFonts w:eastAsia="MS Mincho" w:cstheme="majorBidi"/>
          <w:szCs w:val="24"/>
          <w:lang w:eastAsia="es-ES"/>
        </w:rPr>
        <w:t xml:space="preserve"> o un razonamiento por parte del Sujeto Obligado no es algo que la ley establezca como atribución, derecho, o facultad; pues ello implicaría un juicio de valor referente a un cuestionamiento realizado, lo</w:t>
      </w:r>
      <w:r w:rsidR="0097516B">
        <w:rPr>
          <w:rFonts w:eastAsia="MS Mincho" w:cstheme="majorBidi"/>
          <w:szCs w:val="24"/>
          <w:lang w:eastAsia="es-ES"/>
        </w:rPr>
        <w:t xml:space="preserve"> cual</w:t>
      </w:r>
      <w:r w:rsidRPr="009738B7">
        <w:rPr>
          <w:rFonts w:eastAsia="MS Mincho" w:cstheme="majorBidi"/>
          <w:szCs w:val="24"/>
          <w:lang w:eastAsia="es-ES"/>
        </w:rPr>
        <w:t xml:space="preserve"> se </w:t>
      </w:r>
      <w:r w:rsidR="0097516B">
        <w:rPr>
          <w:rFonts w:eastAsia="MS Mincho" w:cstheme="majorBidi"/>
          <w:szCs w:val="24"/>
          <w:lang w:eastAsia="es-ES"/>
        </w:rPr>
        <w:t>satisface</w:t>
      </w:r>
      <w:r w:rsidRPr="009738B7">
        <w:rPr>
          <w:rFonts w:eastAsia="MS Mincho" w:cstheme="majorBidi"/>
          <w:szCs w:val="24"/>
          <w:lang w:eastAsia="es-ES"/>
        </w:rPr>
        <w:t xml:space="preserve"> </w:t>
      </w:r>
      <w:r w:rsidRPr="009738B7">
        <w:rPr>
          <w:rFonts w:eastAsia="MS Mincho" w:cstheme="majorBidi"/>
          <w:szCs w:val="24"/>
          <w:lang w:eastAsia="es-ES"/>
        </w:rPr>
        <w:lastRenderedPageBreak/>
        <w:t>v</w:t>
      </w:r>
      <w:r w:rsidR="0097516B">
        <w:rPr>
          <w:rFonts w:eastAsia="MS Mincho" w:cstheme="majorBidi"/>
          <w:szCs w:val="24"/>
          <w:lang w:eastAsia="es-ES"/>
        </w:rPr>
        <w:t>ía derecho de petición dado</w:t>
      </w:r>
      <w:r w:rsidRPr="009738B7">
        <w:rPr>
          <w:rFonts w:eastAsia="MS Mincho" w:cstheme="majorBidi"/>
          <w:szCs w:val="24"/>
          <w:lang w:eastAsia="es-ES"/>
        </w:rPr>
        <w:t xml:space="preserve"> que constituyen interrogantes, inquietudes y manifestaciones. </w:t>
      </w:r>
    </w:p>
    <w:p w14:paraId="385E8851" w14:textId="77777777" w:rsidR="00765F06" w:rsidRPr="009738B7" w:rsidRDefault="00765F06" w:rsidP="00765F06">
      <w:pPr>
        <w:rPr>
          <w:rFonts w:eastAsia="MS Mincho" w:cstheme="majorBidi"/>
          <w:szCs w:val="24"/>
          <w:lang w:eastAsia="es-ES"/>
        </w:rPr>
      </w:pPr>
    </w:p>
    <w:p w14:paraId="1DA062A5" w14:textId="77777777" w:rsidR="00765F06" w:rsidRPr="009738B7" w:rsidRDefault="00765F06" w:rsidP="00765F06">
      <w:pPr>
        <w:rPr>
          <w:rFonts w:eastAsia="MS Mincho" w:cstheme="majorBidi"/>
          <w:szCs w:val="24"/>
          <w:lang w:eastAsia="es-ES"/>
        </w:rPr>
      </w:pPr>
      <w:r w:rsidRPr="009738B7">
        <w:rPr>
          <w:rFonts w:eastAsia="MS Mincho" w:cstheme="majorBidi"/>
          <w:szCs w:val="24"/>
          <w:lang w:eastAsia="es-ES"/>
        </w:rPr>
        <w:t>Luego entonces, es importante dejar en claro lo que debe entenderse por derecho de petición y por derecho de acceso a la información pública.</w:t>
      </w:r>
    </w:p>
    <w:p w14:paraId="2CF517E7" w14:textId="77777777" w:rsidR="00765F06" w:rsidRPr="009738B7" w:rsidRDefault="00765F06" w:rsidP="00765F06">
      <w:pPr>
        <w:rPr>
          <w:rFonts w:eastAsia="MS Mincho" w:cstheme="majorBidi"/>
          <w:szCs w:val="24"/>
          <w:lang w:eastAsia="es-ES"/>
        </w:rPr>
      </w:pPr>
    </w:p>
    <w:p w14:paraId="51A2C917" w14:textId="77777777" w:rsidR="00765F06" w:rsidRPr="009738B7" w:rsidRDefault="00765F06" w:rsidP="23D2082F">
      <w:pPr>
        <w:rPr>
          <w:rFonts w:eastAsia="MS Mincho" w:cstheme="majorBidi"/>
          <w:i/>
          <w:iCs/>
          <w:lang w:val="es-ES" w:eastAsia="es-ES"/>
        </w:rPr>
      </w:pPr>
      <w:r w:rsidRPr="23D2082F">
        <w:rPr>
          <w:rFonts w:eastAsia="MS Mincho" w:cstheme="majorBidi"/>
          <w:lang w:val="es-ES" w:eastAsia="es-ES"/>
        </w:rPr>
        <w:t xml:space="preserve">Por lo que respecta a la definición de derecho de petición, el Maestro Ignacio Burgoa Orihuela refiere: </w:t>
      </w:r>
      <w:r w:rsidRPr="23D2082F">
        <w:rPr>
          <w:rFonts w:eastAsia="MS Mincho" w:cstheme="majorBidi"/>
          <w:i/>
          <w:iCs/>
          <w:lang w:val="es-ES" w:eastAsia="es-ES"/>
        </w:rPr>
        <w:t>«… 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23D2082F">
        <w:rPr>
          <w:rFonts w:eastAsia="MS Mincho" w:cstheme="majorBidi"/>
          <w:i/>
          <w:iCs/>
          <w:vertAlign w:val="superscript"/>
          <w:lang w:val="es-ES" w:eastAsia="es-ES"/>
        </w:rPr>
        <w:footnoteReference w:id="3"/>
      </w:r>
      <w:r w:rsidRPr="23D2082F">
        <w:rPr>
          <w:rFonts w:eastAsia="MS Mincho" w:cstheme="majorBidi"/>
          <w:i/>
          <w:iCs/>
          <w:lang w:val="es-ES" w:eastAsia="es-ES"/>
        </w:rPr>
        <w:t xml:space="preserve"> (Sic)</w:t>
      </w:r>
    </w:p>
    <w:p w14:paraId="6D095ED4" w14:textId="77777777" w:rsidR="00765F06" w:rsidRPr="009738B7" w:rsidRDefault="00765F06" w:rsidP="00765F06">
      <w:pPr>
        <w:rPr>
          <w:rFonts w:eastAsia="MS Mincho" w:cstheme="majorBidi"/>
          <w:i/>
          <w:szCs w:val="24"/>
          <w:lang w:eastAsia="es-ES"/>
        </w:rPr>
      </w:pPr>
    </w:p>
    <w:p w14:paraId="1B87E54D" w14:textId="77777777" w:rsidR="00765F06" w:rsidRPr="009738B7" w:rsidRDefault="00765F06" w:rsidP="23D2082F">
      <w:pPr>
        <w:rPr>
          <w:rFonts w:eastAsia="Times New Roman" w:cs="Times New Roman"/>
          <w:lang w:val="es-ES" w:eastAsia="es-ES"/>
        </w:rPr>
      </w:pPr>
      <w:r w:rsidRPr="23D2082F">
        <w:rPr>
          <w:rFonts w:eastAsia="Times New Roman" w:cs="Times New Roman"/>
          <w:lang w:val="es-ES" w:eastAsia="es-ES"/>
        </w:rPr>
        <w:t xml:space="preserve">Por su parte, David Cienfuegos Salgado, concibe al derecho de petición como </w:t>
      </w:r>
      <w:r w:rsidRPr="23D2082F">
        <w:rPr>
          <w:rFonts w:eastAsia="Times New Roman" w:cs="Times New Roman"/>
          <w:i/>
          <w:iCs/>
          <w:lang w:val="es-ES" w:eastAsia="es-ES"/>
        </w:rPr>
        <w:t>«el derecho de toda persona a ser escuchado por quienes ejercen el poder público.»</w:t>
      </w:r>
      <w:r w:rsidRPr="23D2082F">
        <w:rPr>
          <w:rFonts w:eastAsia="Times New Roman" w:cs="Times New Roman"/>
          <w:i/>
          <w:iCs/>
          <w:vertAlign w:val="superscript"/>
          <w:lang w:val="es-ES" w:eastAsia="es-ES"/>
        </w:rPr>
        <w:footnoteReference w:id="4"/>
      </w:r>
      <w:r w:rsidRPr="23D2082F">
        <w:rPr>
          <w:rFonts w:eastAsia="Times New Roman" w:cs="Times New Roman"/>
          <w:i/>
          <w:iCs/>
          <w:lang w:val="es-ES" w:eastAsia="es-ES"/>
        </w:rPr>
        <w:t xml:space="preserve"> (Sic)</w:t>
      </w:r>
      <w:r w:rsidRPr="23D2082F">
        <w:rPr>
          <w:rFonts w:eastAsia="Times New Roman" w:cs="Times New Roman"/>
          <w:lang w:val="es-ES" w:eastAsia="es-ES"/>
        </w:rPr>
        <w:t xml:space="preserve"> </w:t>
      </w:r>
    </w:p>
    <w:p w14:paraId="47747F3B" w14:textId="77777777" w:rsidR="00765F06" w:rsidRPr="009738B7" w:rsidRDefault="00765F06" w:rsidP="00765F06">
      <w:pPr>
        <w:rPr>
          <w:rFonts w:eastAsia="Times New Roman" w:cs="Times New Roman"/>
          <w:szCs w:val="24"/>
          <w:lang w:eastAsia="es-ES"/>
        </w:rPr>
      </w:pPr>
    </w:p>
    <w:p w14:paraId="5B41E67B" w14:textId="77777777" w:rsidR="00765F06" w:rsidRPr="009738B7" w:rsidRDefault="00765F06" w:rsidP="00765F06">
      <w:pPr>
        <w:rPr>
          <w:rFonts w:eastAsia="Times New Roman" w:cs="Times New Roman"/>
          <w:i/>
          <w:szCs w:val="24"/>
          <w:lang w:eastAsia="es-ES"/>
        </w:rPr>
      </w:pPr>
      <w:r w:rsidRPr="009738B7">
        <w:rPr>
          <w:rFonts w:eastAsia="Times New Roman" w:cs="Times New Roman"/>
          <w:szCs w:val="24"/>
          <w:lang w:eastAsia="es-ES"/>
        </w:rPr>
        <w:t xml:space="preserve">Al respecto, para diferenciar el derecho de petición al derecho de acceso a la información, resulta conducente señalar que José Guadalupe Robles, conceptualiza el derecho a la información como </w:t>
      </w:r>
      <w:r w:rsidRPr="009738B7">
        <w:rPr>
          <w:rFonts w:eastAsia="Times New Roman" w:cs="Times New Roman"/>
          <w:i/>
          <w:szCs w:val="24"/>
          <w:lang w:eastAsia="es-ES"/>
        </w:rPr>
        <w:t xml:space="preserve">«un derecho fundamental tanto de carácter individual como colectivo, cuyas limitaciones deben estar establecida en la ley, así como una garantía de que la información sea transmitida con claridad y objetividad, por cuanto a que es un bien jurídico que coadyuva al </w:t>
      </w:r>
      <w:r w:rsidRPr="009738B7">
        <w:rPr>
          <w:rFonts w:eastAsia="Times New Roman" w:cs="Times New Roman"/>
          <w:i/>
          <w:szCs w:val="24"/>
          <w:lang w:eastAsia="es-ES"/>
        </w:rPr>
        <w:lastRenderedPageBreak/>
        <w:t>desarrollo de las personas y a la formación de opinión pública de calidad para poder participar y luego influir en la vida pública.»</w:t>
      </w:r>
      <w:r w:rsidRPr="009738B7">
        <w:rPr>
          <w:rFonts w:eastAsia="Times New Roman" w:cs="Times New Roman"/>
          <w:i/>
          <w:szCs w:val="24"/>
          <w:vertAlign w:val="superscript"/>
          <w:lang w:eastAsia="es-ES"/>
        </w:rPr>
        <w:footnoteReference w:id="5"/>
      </w:r>
      <w:r w:rsidRPr="009738B7">
        <w:rPr>
          <w:rFonts w:eastAsia="Times New Roman" w:cs="Times New Roman"/>
          <w:i/>
          <w:szCs w:val="24"/>
          <w:lang w:eastAsia="es-ES"/>
        </w:rPr>
        <w:t xml:space="preserve"> (Sic) </w:t>
      </w:r>
    </w:p>
    <w:p w14:paraId="0A33D3AE" w14:textId="77777777" w:rsidR="00765F06" w:rsidRPr="009738B7" w:rsidRDefault="00765F06" w:rsidP="00765F06">
      <w:pPr>
        <w:rPr>
          <w:rFonts w:eastAsia="Times New Roman" w:cs="Times New Roman"/>
          <w:i/>
          <w:szCs w:val="24"/>
          <w:lang w:eastAsia="es-ES"/>
        </w:rPr>
      </w:pPr>
    </w:p>
    <w:p w14:paraId="014C6945" w14:textId="77777777" w:rsidR="00765F06" w:rsidRPr="009738B7" w:rsidRDefault="00765F06" w:rsidP="23D2082F">
      <w:pPr>
        <w:rPr>
          <w:rFonts w:eastAsia="Times New Roman" w:cs="Times New Roman"/>
          <w:i/>
          <w:iCs/>
          <w:lang w:val="es-ES" w:eastAsia="es-ES"/>
        </w:rPr>
      </w:pPr>
      <w:r w:rsidRPr="23D2082F">
        <w:rPr>
          <w:rFonts w:eastAsia="Times New Roman" w:cs="Times New Roman"/>
          <w:lang w:val="es-ES" w:eastAsia="es-ES"/>
        </w:rPr>
        <w:t xml:space="preserve">Además,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23D2082F">
        <w:rPr>
          <w:rFonts w:eastAsia="Times New Roman" w:cs="Times New Roman"/>
          <w:lang w:val="es-ES" w:eastAsia="es-ES"/>
        </w:rPr>
        <w:t>Villanueva</w:t>
      </w:r>
      <w:proofErr w:type="spellEnd"/>
      <w:r w:rsidRPr="23D2082F">
        <w:rPr>
          <w:rFonts w:eastAsia="Times New Roman" w:cs="Times New Roman"/>
          <w:lang w:val="es-ES" w:eastAsia="es-ES"/>
        </w:rPr>
        <w:t xml:space="preserve"> que dice: </w:t>
      </w:r>
      <w:r w:rsidRPr="23D2082F">
        <w:rPr>
          <w:rFonts w:eastAsia="Times New Roman" w:cs="Times New Roman"/>
          <w:i/>
          <w:iCs/>
          <w:lang w:val="es-ES" w:eastAsia="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23D2082F">
        <w:rPr>
          <w:rFonts w:eastAsia="Times New Roman" w:cs="Times New Roman"/>
          <w:i/>
          <w:iCs/>
          <w:vertAlign w:val="superscript"/>
          <w:lang w:val="es-ES" w:eastAsia="es-ES"/>
        </w:rPr>
        <w:footnoteReference w:id="6"/>
      </w:r>
      <w:r w:rsidRPr="23D2082F">
        <w:rPr>
          <w:rFonts w:eastAsia="Times New Roman" w:cs="Times New Roman"/>
          <w:i/>
          <w:iCs/>
          <w:lang w:val="es-ES" w:eastAsia="es-ES"/>
        </w:rPr>
        <w:t xml:space="preserve"> (Sic)</w:t>
      </w:r>
    </w:p>
    <w:p w14:paraId="6B6F323D" w14:textId="77777777" w:rsidR="00765F06" w:rsidRPr="009738B7" w:rsidRDefault="00765F06" w:rsidP="00765F06">
      <w:pPr>
        <w:rPr>
          <w:rFonts w:eastAsia="Times New Roman" w:cs="Arial"/>
          <w:i/>
          <w:iCs/>
          <w:color w:val="000000" w:themeColor="text1"/>
          <w:szCs w:val="24"/>
          <w:lang w:eastAsia="es-ES"/>
        </w:rPr>
      </w:pPr>
    </w:p>
    <w:p w14:paraId="23E73484" w14:textId="77777777" w:rsidR="00765F06" w:rsidRPr="009738B7" w:rsidRDefault="00765F06" w:rsidP="00765F06">
      <w:pPr>
        <w:rPr>
          <w:rFonts w:eastAsia="Times New Roman" w:cs="Arial"/>
          <w:szCs w:val="24"/>
          <w:lang w:val="es-MX" w:eastAsia="es-ES"/>
        </w:rPr>
      </w:pPr>
      <w:r w:rsidRPr="009738B7">
        <w:rPr>
          <w:rFonts w:eastAsia="Times New Roman" w:cs="Arial"/>
          <w:szCs w:val="24"/>
          <w:lang w:val="es-MX" w:eastAsia="es-ES"/>
        </w:rPr>
        <w:t xml:space="preserve">Ahora bien para entender los alcances de la información pública se considera importante citar el criterio </w:t>
      </w:r>
      <w:r w:rsidRPr="009738B7">
        <w:rPr>
          <w:rFonts w:eastAsia="Times New Roman" w:cs="Arial"/>
          <w:bCs/>
          <w:szCs w:val="24"/>
          <w:lang w:val="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9738B7">
        <w:rPr>
          <w:rFonts w:eastAsia="Times New Roman" w:cs="Arial"/>
          <w:szCs w:val="24"/>
          <w:lang w:val="es-MX" w:eastAsia="es-ES"/>
        </w:rPr>
        <w:t>cuyo rubro y texto dispone:</w:t>
      </w:r>
    </w:p>
    <w:p w14:paraId="77D66F9C" w14:textId="77777777" w:rsidR="00765F06" w:rsidRPr="009738B7" w:rsidRDefault="00765F06" w:rsidP="00765F06">
      <w:pPr>
        <w:rPr>
          <w:rFonts w:eastAsia="Times New Roman" w:cs="Arial"/>
          <w:szCs w:val="24"/>
          <w:lang w:val="es-MX" w:eastAsia="es-ES"/>
        </w:rPr>
      </w:pPr>
    </w:p>
    <w:p w14:paraId="7884B4B2" w14:textId="77777777" w:rsidR="00765F06" w:rsidRPr="009738B7" w:rsidRDefault="00765F06" w:rsidP="00765F06">
      <w:pPr>
        <w:autoSpaceDE w:val="0"/>
        <w:autoSpaceDN w:val="0"/>
        <w:adjustRightInd w:val="0"/>
        <w:spacing w:after="160" w:line="276" w:lineRule="auto"/>
        <w:ind w:left="567" w:right="616"/>
        <w:rPr>
          <w:rFonts w:cs="Arial"/>
          <w:i/>
          <w:sz w:val="22"/>
          <w:lang w:val="es-MX"/>
        </w:rPr>
      </w:pPr>
      <w:r w:rsidRPr="009738B7">
        <w:rPr>
          <w:rFonts w:cs="Arial"/>
          <w:b/>
          <w:i/>
          <w:sz w:val="22"/>
          <w:lang w:val="es-MX"/>
        </w:rPr>
        <w:t xml:space="preserve">INFORMACIÓN PÚBLICA, CONCEPTO DE, EN MATERIA DE TRANSPARENCIA. INTERPRETACIÓN TEMÁTICA DE LOS ARTÍCULOS 2, FRACCIÓN </w:t>
      </w:r>
      <w:r w:rsidRPr="009738B7">
        <w:rPr>
          <w:rFonts w:cs="Arial"/>
          <w:b/>
          <w:bCs/>
          <w:i/>
          <w:sz w:val="22"/>
          <w:lang w:val="es-MX"/>
        </w:rPr>
        <w:t xml:space="preserve">V, XV, Y XVI, </w:t>
      </w:r>
      <w:r w:rsidRPr="009738B7">
        <w:rPr>
          <w:rFonts w:cs="Arial"/>
          <w:b/>
          <w:i/>
          <w:sz w:val="22"/>
          <w:lang w:val="es-MX"/>
        </w:rPr>
        <w:t>32, 4,11 Y 41.</w:t>
      </w:r>
      <w:r w:rsidRPr="009738B7">
        <w:rPr>
          <w:rFonts w:cs="Arial"/>
          <w:i/>
          <w:sz w:val="22"/>
          <w:lang w:val="es-MX"/>
        </w:rPr>
        <w:t xml:space="preserve"> De conformidad con los artículos antes referidos, el derecho de acceso a la información pública, se define en cuanto a su alcance y resultado material, el acceso a los archivos, registros y documentos públicos, administrados, generados </w:t>
      </w:r>
      <w:r w:rsidRPr="009738B7">
        <w:rPr>
          <w:rFonts w:cs="Arial"/>
          <w:i/>
          <w:sz w:val="22"/>
          <w:lang w:val="es-MX"/>
        </w:rPr>
        <w:lastRenderedPageBreak/>
        <w:t>o en posesión de los órganos u organismos públicos, en virtud del ejercicio de sus funciones de derecho público, sin importar su fuente, soporte o fecha de elaboración.</w:t>
      </w:r>
    </w:p>
    <w:p w14:paraId="161508C7" w14:textId="77777777" w:rsidR="00765F06" w:rsidRPr="009738B7" w:rsidRDefault="00765F06" w:rsidP="00765F06">
      <w:pPr>
        <w:autoSpaceDE w:val="0"/>
        <w:autoSpaceDN w:val="0"/>
        <w:adjustRightInd w:val="0"/>
        <w:spacing w:after="160" w:line="276" w:lineRule="auto"/>
        <w:ind w:left="567" w:right="616"/>
        <w:rPr>
          <w:rFonts w:cs="Arial"/>
          <w:i/>
          <w:sz w:val="22"/>
          <w:lang w:val="es-MX"/>
        </w:rPr>
      </w:pPr>
      <w:r w:rsidRPr="009738B7">
        <w:rPr>
          <w:rFonts w:cs="Arial"/>
          <w:i/>
          <w:sz w:val="22"/>
          <w:lang w:val="es-MX"/>
        </w:rPr>
        <w:t>En consecuencia el acceso a la información se refiere a que se cumplan cualquiera de los siguientes tres supuestos:</w:t>
      </w:r>
    </w:p>
    <w:p w14:paraId="3FFE745D" w14:textId="77777777" w:rsidR="00765F06" w:rsidRPr="009738B7" w:rsidRDefault="00765F06" w:rsidP="00765F06">
      <w:pPr>
        <w:autoSpaceDE w:val="0"/>
        <w:autoSpaceDN w:val="0"/>
        <w:adjustRightInd w:val="0"/>
        <w:spacing w:after="160" w:line="276" w:lineRule="auto"/>
        <w:ind w:left="567" w:right="616"/>
        <w:rPr>
          <w:rFonts w:cs="Arial"/>
          <w:i/>
          <w:sz w:val="22"/>
          <w:lang w:val="es-MX"/>
        </w:rPr>
      </w:pPr>
      <w:r w:rsidRPr="009738B7">
        <w:rPr>
          <w:rFonts w:cs="Arial"/>
          <w:i/>
          <w:sz w:val="22"/>
          <w:lang w:val="es-MX"/>
        </w:rPr>
        <w:t>Que se trate de información registrada en cualquier soporte documental, que en ejercicio de las atribuciones conferidas, sea generada por los Sujetos Obligados;</w:t>
      </w:r>
    </w:p>
    <w:p w14:paraId="1FC2E4DC" w14:textId="77777777" w:rsidR="00765F06" w:rsidRPr="009738B7" w:rsidRDefault="00765F06" w:rsidP="00765F06">
      <w:pPr>
        <w:autoSpaceDE w:val="0"/>
        <w:autoSpaceDN w:val="0"/>
        <w:adjustRightInd w:val="0"/>
        <w:spacing w:after="160" w:line="276" w:lineRule="auto"/>
        <w:ind w:left="567" w:right="616"/>
        <w:rPr>
          <w:rFonts w:cs="Arial"/>
          <w:i/>
          <w:sz w:val="22"/>
          <w:lang w:val="es-MX"/>
        </w:rPr>
      </w:pPr>
      <w:r w:rsidRPr="009738B7">
        <w:rPr>
          <w:rFonts w:cs="Arial"/>
          <w:i/>
          <w:sz w:val="22"/>
          <w:lang w:val="es-MX"/>
        </w:rPr>
        <w:t>Que se trate de información registrada en cualquier soporte documental, que en ejercicio de las atribuciones conferidas, sea administrada por los Sujetos Obligados, y</w:t>
      </w:r>
    </w:p>
    <w:p w14:paraId="12D293EE" w14:textId="77777777" w:rsidR="00765F06" w:rsidRPr="009738B7" w:rsidRDefault="00765F06" w:rsidP="00765F06">
      <w:pPr>
        <w:autoSpaceDE w:val="0"/>
        <w:autoSpaceDN w:val="0"/>
        <w:adjustRightInd w:val="0"/>
        <w:spacing w:after="160" w:line="276" w:lineRule="auto"/>
        <w:ind w:left="567" w:right="616"/>
        <w:rPr>
          <w:rFonts w:cs="Arial"/>
          <w:i/>
          <w:sz w:val="22"/>
          <w:lang w:val="es-MX"/>
        </w:rPr>
      </w:pPr>
      <w:r w:rsidRPr="009738B7">
        <w:rPr>
          <w:rFonts w:cs="Arial"/>
          <w:i/>
          <w:sz w:val="22"/>
          <w:lang w:val="es-MX"/>
        </w:rPr>
        <w:t>Que se trate de información registrada en cualquier soporte documental, que en ejercicio de las atribuciones conferidas, se encuentre en posesión de los Sujetos Obligados.</w:t>
      </w:r>
    </w:p>
    <w:p w14:paraId="3381DA4B" w14:textId="77777777" w:rsidR="00765F06" w:rsidRPr="009738B7" w:rsidRDefault="00765F06" w:rsidP="00765F06">
      <w:pPr>
        <w:rPr>
          <w:rFonts w:eastAsia="Times New Roman" w:cs="Times New Roman"/>
          <w:szCs w:val="24"/>
          <w:lang w:val="es-MX" w:eastAsia="es-ES"/>
        </w:rPr>
      </w:pPr>
    </w:p>
    <w:p w14:paraId="17A03801" w14:textId="77777777" w:rsidR="00765F06" w:rsidRPr="009738B7" w:rsidRDefault="00765F06" w:rsidP="00765F06">
      <w:pPr>
        <w:rPr>
          <w:rFonts w:eastAsia="Times New Roman" w:cs="Times New Roman"/>
          <w:i/>
          <w:szCs w:val="24"/>
          <w:lang w:val="es-MX"/>
        </w:rPr>
      </w:pPr>
      <w:r w:rsidRPr="009738B7">
        <w:rPr>
          <w:rFonts w:eastAsia="Times New Roman" w:cs="Times New Roman"/>
          <w:szCs w:val="24"/>
          <w:lang w:val="es-MX"/>
        </w:rPr>
        <w:t xml:space="preserve">Es decir,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009738B7">
        <w:rPr>
          <w:rFonts w:eastAsia="Times New Roman" w:cs="Times New Roman"/>
          <w:szCs w:val="24"/>
          <w:lang w:val="es-MX"/>
        </w:rPr>
        <w:t>Villanueva</w:t>
      </w:r>
      <w:proofErr w:type="spellEnd"/>
      <w:r w:rsidRPr="009738B7">
        <w:rPr>
          <w:rFonts w:eastAsia="Times New Roman" w:cs="Times New Roman"/>
          <w:szCs w:val="24"/>
          <w:lang w:val="es-MX"/>
        </w:rPr>
        <w:t xml:space="preserve"> que dice: «</w:t>
      </w:r>
      <w:r w:rsidRPr="009738B7">
        <w:rPr>
          <w:rFonts w:eastAsia="Times New Roman" w:cs="Times New Roman"/>
          <w:i/>
          <w:szCs w:val="24"/>
          <w:lang w:val="es-MX"/>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p>
    <w:p w14:paraId="78914026" w14:textId="77777777" w:rsidR="00765F06" w:rsidRPr="009738B7" w:rsidRDefault="00765F06" w:rsidP="00765F06">
      <w:pPr>
        <w:rPr>
          <w:rFonts w:eastAsia="Times New Roman" w:cs="Times New Roman"/>
          <w:i/>
          <w:szCs w:val="24"/>
          <w:lang w:val="es-MX"/>
        </w:rPr>
      </w:pPr>
    </w:p>
    <w:p w14:paraId="7756DE13" w14:textId="4F1812D2" w:rsidR="00765F06" w:rsidRPr="009738B7" w:rsidRDefault="00765F06" w:rsidP="00765F06">
      <w:pPr>
        <w:rPr>
          <w:rFonts w:eastAsia="Times New Roman" w:cs="Times New Roman"/>
          <w:szCs w:val="24"/>
          <w:lang w:val="es-MX" w:eastAsia="es-ES"/>
        </w:rPr>
      </w:pPr>
      <w:r w:rsidRPr="009738B7">
        <w:rPr>
          <w:rFonts w:eastAsia="Times New Roman" w:cs="Times New Roman"/>
          <w:szCs w:val="24"/>
          <w:lang w:val="es-MX" w:eastAsia="es-ES"/>
        </w:rPr>
        <w:t xml:space="preserve">Por lo anterior, al no constituirse dicho cuestionamiento como materia del derecho de acceso a la información, </w:t>
      </w:r>
      <w:r w:rsidR="00B065AF">
        <w:rPr>
          <w:rFonts w:eastAsia="Times New Roman" w:cs="Times New Roman"/>
          <w:szCs w:val="24"/>
          <w:lang w:val="es-MX" w:eastAsia="es-ES"/>
        </w:rPr>
        <w:t xml:space="preserve">este </w:t>
      </w:r>
      <w:r w:rsidRPr="009738B7">
        <w:rPr>
          <w:rFonts w:eastAsia="Times New Roman" w:cs="Times New Roman"/>
          <w:szCs w:val="24"/>
          <w:lang w:val="es-MX" w:eastAsia="es-ES"/>
        </w:rPr>
        <w:t xml:space="preserve">se considera </w:t>
      </w:r>
      <w:r w:rsidR="00B065AF">
        <w:rPr>
          <w:rFonts w:eastAsia="Times New Roman" w:cs="Times New Roman"/>
          <w:szCs w:val="24"/>
          <w:lang w:val="es-MX" w:eastAsia="es-ES"/>
        </w:rPr>
        <w:t xml:space="preserve">inatendible y, por tanto, </w:t>
      </w:r>
      <w:r w:rsidRPr="009738B7">
        <w:rPr>
          <w:rFonts w:eastAsia="Times New Roman" w:cs="Times New Roman"/>
          <w:szCs w:val="24"/>
          <w:lang w:val="es-MX" w:eastAsia="es-ES"/>
        </w:rPr>
        <w:t xml:space="preserve">el </w:t>
      </w:r>
      <w:r w:rsidR="00B065AF">
        <w:rPr>
          <w:rFonts w:eastAsia="Times New Roman" w:cs="Times New Roman"/>
          <w:szCs w:val="24"/>
          <w:lang w:val="es-MX" w:eastAsia="es-ES"/>
        </w:rPr>
        <w:t>Sujeto Obligado no se encuentra</w:t>
      </w:r>
      <w:r w:rsidRPr="009738B7">
        <w:rPr>
          <w:rFonts w:eastAsia="Times New Roman" w:cs="Times New Roman"/>
          <w:szCs w:val="24"/>
          <w:lang w:val="es-MX" w:eastAsia="es-ES"/>
        </w:rPr>
        <w:t xml:space="preserve"> constreñido a</w:t>
      </w:r>
      <w:r w:rsidR="00B065AF">
        <w:rPr>
          <w:rFonts w:eastAsia="Times New Roman" w:cs="Times New Roman"/>
          <w:szCs w:val="24"/>
          <w:lang w:val="es-MX" w:eastAsia="es-ES"/>
        </w:rPr>
        <w:t xml:space="preserve"> emitir una respuesta al respecto.</w:t>
      </w:r>
    </w:p>
    <w:p w14:paraId="5A926ADF" w14:textId="77777777" w:rsidR="00765F06" w:rsidRPr="009738B7" w:rsidRDefault="00765F06" w:rsidP="00765F06">
      <w:pPr>
        <w:rPr>
          <w:rFonts w:eastAsia="Times New Roman" w:cs="Times New Roman"/>
          <w:szCs w:val="24"/>
          <w:lang w:val="es-MX" w:eastAsia="es-ES"/>
        </w:rPr>
      </w:pPr>
    </w:p>
    <w:p w14:paraId="57BFBA42" w14:textId="55DF7AB3" w:rsidR="008045E6" w:rsidRDefault="23D2082F" w:rsidP="00637679">
      <w:r w:rsidRPr="23D2082F">
        <w:rPr>
          <w:lang w:val="es-ES"/>
        </w:rPr>
        <w:t xml:space="preserve">Por lo que toca al punto 2 de la solicitud, se observa que el Sujeto Obligado manifestó, mediante un pronunciamiento del Director de Gobernación, que por usos y costumbres </w:t>
      </w:r>
      <w:r w:rsidRPr="23D2082F">
        <w:rPr>
          <w:lang w:val="es-ES"/>
        </w:rPr>
        <w:lastRenderedPageBreak/>
        <w:t>se ha permitido que el Comisariado Ejidal de Mayorazgo Concepción de León sea quien realice el cobro de las cuotas relativas a la compraventa de animales en la Plaza Ganadera de San Bernabé.</w:t>
      </w:r>
    </w:p>
    <w:p w14:paraId="2DB91695" w14:textId="77777777" w:rsidR="004C1324" w:rsidRDefault="004C1324" w:rsidP="00637679"/>
    <w:p w14:paraId="30A41830" w14:textId="60601C94" w:rsidR="004C1324" w:rsidRDefault="004C1324" w:rsidP="00637679">
      <w:r>
        <w:t xml:space="preserve">Al respecto, se </w:t>
      </w:r>
      <w:r w:rsidR="00826E35">
        <w:t xml:space="preserve">estima necesario hacer referencia </w:t>
      </w:r>
      <w:r>
        <w:t xml:space="preserve">a lo dispuesto en los artículos 408, </w:t>
      </w:r>
      <w:r w:rsidR="00826E35">
        <w:t>411 y 420 d</w:t>
      </w:r>
      <w:r>
        <w:t xml:space="preserve">el Bando Municipal Almoloya de Juárez 2024, </w:t>
      </w:r>
      <w:r w:rsidR="00826E35">
        <w:t>en los que se estipula lo siguiente:</w:t>
      </w:r>
    </w:p>
    <w:p w14:paraId="62353135" w14:textId="77777777" w:rsidR="00826E35" w:rsidRDefault="00826E35" w:rsidP="00637679"/>
    <w:p w14:paraId="71596CE3" w14:textId="77796129" w:rsidR="008045E6" w:rsidRDefault="00826E35" w:rsidP="00826E35">
      <w:pPr>
        <w:pStyle w:val="Fundamentos"/>
      </w:pPr>
      <w:r w:rsidRPr="00826E35">
        <w:rPr>
          <w:b/>
        </w:rPr>
        <w:t>Artículo 408.-</w:t>
      </w:r>
      <w:r>
        <w:t xml:space="preserve"> </w:t>
      </w:r>
      <w:r w:rsidRPr="00826E35">
        <w:rPr>
          <w:b/>
          <w:u w:val="single"/>
        </w:rPr>
        <w:t>La Dirección de Gobernación tiene por objeto regular las actividades comerciales, de servicios y eventos públicos</w:t>
      </w:r>
      <w:r>
        <w:t>, que realicen los particulares, ya sean personas físicas o jurídico colectivas, conforme al giro comercial o evento público que se ejerza, sujetándose a lo que dispone la normatividad conforme a lo establecido en los ordenamientos jurídicos aplicables.</w:t>
      </w:r>
    </w:p>
    <w:p w14:paraId="06916087" w14:textId="77777777" w:rsidR="00826E35" w:rsidRDefault="00826E35" w:rsidP="00826E35">
      <w:pPr>
        <w:pStyle w:val="Fundamentos"/>
      </w:pPr>
    </w:p>
    <w:p w14:paraId="1230CD9F" w14:textId="0471FF14" w:rsidR="00826E35" w:rsidRDefault="00826E35" w:rsidP="00826E35">
      <w:pPr>
        <w:pStyle w:val="Fundamentos"/>
      </w:pPr>
      <w:r w:rsidRPr="00826E35">
        <w:rPr>
          <w:b/>
        </w:rPr>
        <w:t>Artículo 411.-</w:t>
      </w:r>
      <w:r>
        <w:t xml:space="preserve"> </w:t>
      </w:r>
      <w:r w:rsidRPr="00826E35">
        <w:rPr>
          <w:b/>
          <w:u w:val="single"/>
        </w:rPr>
        <w:t>A través de la Dirección de Gobernación se tramitará lo que refiere a lo siguiente</w:t>
      </w:r>
      <w:r>
        <w:t>:</w:t>
      </w:r>
    </w:p>
    <w:p w14:paraId="24534F26" w14:textId="77777777" w:rsidR="00826E35" w:rsidRDefault="00826E35" w:rsidP="00826E35">
      <w:pPr>
        <w:pStyle w:val="Fundamentos"/>
      </w:pPr>
    </w:p>
    <w:p w14:paraId="2B103714" w14:textId="37B911C9" w:rsidR="00826E35" w:rsidRDefault="00826E35" w:rsidP="00826E35">
      <w:pPr>
        <w:pStyle w:val="Fundamentos"/>
        <w:numPr>
          <w:ilvl w:val="0"/>
          <w:numId w:val="45"/>
        </w:numPr>
      </w:pPr>
      <w:r>
        <w:t>La expedición o refrendo anual de Permisos sobre diversiones, juegos y espectáculos.</w:t>
      </w:r>
    </w:p>
    <w:p w14:paraId="3E7F26C4" w14:textId="68479F69" w:rsidR="00826E35" w:rsidRDefault="00826E35" w:rsidP="00826E35">
      <w:pPr>
        <w:pStyle w:val="Fundamentos"/>
        <w:numPr>
          <w:ilvl w:val="0"/>
          <w:numId w:val="45"/>
        </w:numPr>
      </w:pPr>
      <w:r w:rsidRPr="00826E35">
        <w:rPr>
          <w:b/>
          <w:u w:val="single"/>
        </w:rPr>
        <w:t>La expedición o refrendo anual de Permisos de puestos semifijos, tianguis, mercados y eventos públicos</w:t>
      </w:r>
      <w:r>
        <w:t>.</w:t>
      </w:r>
    </w:p>
    <w:p w14:paraId="1EBB5BFC" w14:textId="4A522D22" w:rsidR="00826E35" w:rsidRDefault="00826E35" w:rsidP="00826E35">
      <w:pPr>
        <w:pStyle w:val="Fundamentos"/>
        <w:numPr>
          <w:ilvl w:val="0"/>
          <w:numId w:val="45"/>
        </w:numPr>
      </w:pPr>
      <w:r>
        <w:t>La expedición o refrendo anual de licencias de funcionamiento o autorización de estacionamiento en la vía pública y de servicio público.</w:t>
      </w:r>
    </w:p>
    <w:p w14:paraId="4D9A5096" w14:textId="77777777" w:rsidR="00826E35" w:rsidRDefault="00826E35" w:rsidP="00826E35">
      <w:pPr>
        <w:pStyle w:val="Fundamentos"/>
      </w:pPr>
    </w:p>
    <w:p w14:paraId="34125F2A" w14:textId="3BEC92C5" w:rsidR="00826E35" w:rsidRDefault="00826E35" w:rsidP="00826E35">
      <w:pPr>
        <w:pStyle w:val="Fundamentos"/>
      </w:pPr>
      <w:r w:rsidRPr="00826E35">
        <w:rPr>
          <w:b/>
        </w:rPr>
        <w:t>Artículo 420.-</w:t>
      </w:r>
      <w:r>
        <w:t xml:space="preserve"> </w:t>
      </w:r>
      <w:r w:rsidRPr="00826E35">
        <w:rPr>
          <w:b/>
          <w:u w:val="single"/>
        </w:rPr>
        <w:t>El Ayuntamiento, a través de la Dirección de Gobernación, otorgará los permisos correspondientes para el funcionamiento del</w:t>
      </w:r>
      <w:r>
        <w:t xml:space="preserve"> tianguis, el </w:t>
      </w:r>
      <w:r w:rsidRPr="00826E35">
        <w:rPr>
          <w:b/>
          <w:u w:val="single"/>
        </w:rPr>
        <w:t>mercado</w:t>
      </w:r>
      <w:r>
        <w:t xml:space="preserve"> y a comerciantes de temporada </w:t>
      </w:r>
      <w:r w:rsidRPr="00826E35">
        <w:rPr>
          <w:b/>
          <w:u w:val="single"/>
        </w:rPr>
        <w:t>en coordinación con la Tesorería Municipal</w:t>
      </w:r>
      <w:r>
        <w:t>.</w:t>
      </w:r>
    </w:p>
    <w:p w14:paraId="0EB3246C" w14:textId="77777777" w:rsidR="008045E6" w:rsidRDefault="008045E6" w:rsidP="00637679"/>
    <w:p w14:paraId="098902B4" w14:textId="21438CB4" w:rsidR="008045E6" w:rsidRDefault="23D2082F" w:rsidP="23D2082F">
      <w:pPr>
        <w:rPr>
          <w:lang w:val="es-ES"/>
        </w:rPr>
      </w:pPr>
      <w:r w:rsidRPr="23D2082F">
        <w:rPr>
          <w:lang w:val="es-ES"/>
        </w:rPr>
        <w:t xml:space="preserve">Como se desprende de los artículos en cita, la Dirección de Gobernación es la facultada para regular las actividades comerciales que realicen los particulares, para la expedición o refrendo anual de permisos en mercados y para otorgar los permisos correspondientes para el funcionamiento de mercados </w:t>
      </w:r>
      <w:r w:rsidRPr="23D2082F">
        <w:rPr>
          <w:b/>
          <w:bCs/>
          <w:lang w:val="es-ES"/>
        </w:rPr>
        <w:t>en coordinación con la Tesorería Municipal</w:t>
      </w:r>
      <w:r w:rsidRPr="23D2082F">
        <w:rPr>
          <w:lang w:val="es-ES"/>
        </w:rPr>
        <w:t>.</w:t>
      </w:r>
    </w:p>
    <w:p w14:paraId="3779ACAF" w14:textId="77777777" w:rsidR="00765BA9" w:rsidRDefault="00765BA9" w:rsidP="00637679"/>
    <w:p w14:paraId="51E28080" w14:textId="57A5FD7A" w:rsidR="00765BA9" w:rsidRDefault="00765BA9" w:rsidP="00637679">
      <w:r>
        <w:lastRenderedPageBreak/>
        <w:t>Asimismo, se debe recordar que la pretensión del Recurrente es obtener los documentos en los que conste el ingreso recaudado por el cobro de cuotas en el mercado de animales referido, generados en el periodo del primero de enero de dos mil veintitrés al primero de abril de dos mil veinticuatro, por lo que conviene traer a colación lo dispuesto en los artículos 93 y 95 fracción I, II y IV de la Ley Orgánica Municipal del Estado de México, que a la letra establecen lo siguiente:</w:t>
      </w:r>
    </w:p>
    <w:p w14:paraId="15FA15A7" w14:textId="77777777" w:rsidR="00765BA9" w:rsidRDefault="00765BA9" w:rsidP="00637679"/>
    <w:p w14:paraId="126DB042" w14:textId="77777777" w:rsidR="00765BA9" w:rsidRPr="00765BA9" w:rsidRDefault="00765BA9" w:rsidP="00765BA9">
      <w:pPr>
        <w:pStyle w:val="Fundamentos"/>
        <w:rPr>
          <w:lang w:val="es-ES"/>
        </w:rPr>
      </w:pPr>
      <w:r w:rsidRPr="00765BA9">
        <w:rPr>
          <w:b/>
          <w:lang w:val="es-ES"/>
        </w:rPr>
        <w:t>Artículo 93.-</w:t>
      </w:r>
      <w:r w:rsidRPr="00765BA9">
        <w:rPr>
          <w:lang w:val="es-ES"/>
        </w:rPr>
        <w:t xml:space="preserve"> </w:t>
      </w:r>
      <w:r w:rsidRPr="00765BA9">
        <w:rPr>
          <w:b/>
          <w:u w:val="single"/>
          <w:lang w:val="es-ES"/>
        </w:rPr>
        <w:t>La tesorería municipal es el órgano encargado de la recaudación de los ingresos municipales</w:t>
      </w:r>
      <w:r w:rsidRPr="00765BA9">
        <w:rPr>
          <w:lang w:val="es-ES"/>
        </w:rPr>
        <w:t xml:space="preserve"> y responsable de realizar las erogaciones que haga el ayuntamiento.</w:t>
      </w:r>
    </w:p>
    <w:p w14:paraId="361D6376" w14:textId="77777777" w:rsidR="00765BA9" w:rsidRDefault="00765BA9" w:rsidP="00765BA9">
      <w:pPr>
        <w:pStyle w:val="Fundamentos"/>
      </w:pPr>
    </w:p>
    <w:p w14:paraId="6D411C22" w14:textId="77777777" w:rsidR="00765BA9" w:rsidRDefault="00765BA9" w:rsidP="00765BA9">
      <w:pPr>
        <w:pStyle w:val="Fundamentos"/>
      </w:pPr>
      <w:r w:rsidRPr="00765BA9">
        <w:rPr>
          <w:b/>
        </w:rPr>
        <w:t>Artículo 95.-</w:t>
      </w:r>
      <w:r>
        <w:t xml:space="preserve"> </w:t>
      </w:r>
      <w:r w:rsidRPr="00514B6A">
        <w:rPr>
          <w:b/>
          <w:u w:val="single"/>
        </w:rPr>
        <w:t>Son atribuciones del tesorero municipal</w:t>
      </w:r>
      <w:r>
        <w:t>:</w:t>
      </w:r>
    </w:p>
    <w:p w14:paraId="75E139E9" w14:textId="77777777" w:rsidR="00765BA9" w:rsidRDefault="00765BA9" w:rsidP="00765BA9">
      <w:pPr>
        <w:pStyle w:val="Fundamentos"/>
      </w:pPr>
    </w:p>
    <w:p w14:paraId="5C779FB2" w14:textId="77777777" w:rsidR="00765BA9" w:rsidRDefault="00765BA9" w:rsidP="00765BA9">
      <w:pPr>
        <w:pStyle w:val="Fundamentos"/>
      </w:pPr>
      <w:r>
        <w:t xml:space="preserve">I. </w:t>
      </w:r>
      <w:r w:rsidRPr="00514B6A">
        <w:rPr>
          <w:b/>
          <w:u w:val="single"/>
        </w:rPr>
        <w:t>Administrar la hacienda pública municipal</w:t>
      </w:r>
      <w:r>
        <w:t>, de conformidad con las disposiciones legales aplicables;</w:t>
      </w:r>
    </w:p>
    <w:p w14:paraId="64214F57" w14:textId="77777777" w:rsidR="00765BA9" w:rsidRDefault="00765BA9" w:rsidP="00765BA9">
      <w:pPr>
        <w:pStyle w:val="Fundamentos"/>
      </w:pPr>
      <w:r>
        <w:t xml:space="preserve">II. </w:t>
      </w:r>
      <w:r w:rsidRPr="00514B6A">
        <w:rPr>
          <w:b/>
          <w:u w:val="single"/>
        </w:rPr>
        <w:t>Determinar, liquidar, recaudar, fiscalizar y administrar las contribuciones en los términos de los ordenamientos jurídicos aplicables</w:t>
      </w:r>
      <w:r>
        <w:t xml:space="preserve"> y, en su caso, aplicar el procedimiento administrativo de ejecución en términos de las disposiciones aplicables;</w:t>
      </w:r>
    </w:p>
    <w:p w14:paraId="6CEDAC52" w14:textId="13EF33E9" w:rsidR="00765BA9" w:rsidRDefault="00765BA9" w:rsidP="00765BA9">
      <w:pPr>
        <w:pStyle w:val="Fundamentos"/>
      </w:pPr>
      <w:r>
        <w:t>[…]</w:t>
      </w:r>
    </w:p>
    <w:p w14:paraId="2F6176DA" w14:textId="77777777" w:rsidR="00765BA9" w:rsidRDefault="00765BA9" w:rsidP="00765BA9">
      <w:pPr>
        <w:pStyle w:val="Fundamentos"/>
      </w:pPr>
      <w:r>
        <w:t xml:space="preserve">IV. </w:t>
      </w:r>
      <w:r w:rsidRPr="00514B6A">
        <w:rPr>
          <w:b/>
          <w:u w:val="single"/>
        </w:rPr>
        <w:t>Llevar los registros contables, financieros y administrativos de los ingresos</w:t>
      </w:r>
      <w:r>
        <w:t>, egresos, e inventarios;</w:t>
      </w:r>
    </w:p>
    <w:p w14:paraId="094E57CB" w14:textId="47AEDC99" w:rsidR="00765BA9" w:rsidRDefault="00765BA9" w:rsidP="00765BA9">
      <w:pPr>
        <w:pStyle w:val="Fundamentos"/>
      </w:pPr>
      <w:r>
        <w:t>[…]</w:t>
      </w:r>
    </w:p>
    <w:p w14:paraId="1D8AB1D5" w14:textId="77777777" w:rsidR="00765BA9" w:rsidRDefault="00765BA9" w:rsidP="00637679"/>
    <w:p w14:paraId="6CD4FCDC" w14:textId="0D9B5992" w:rsidR="00765BA9" w:rsidRDefault="00514B6A" w:rsidP="00637679">
      <w:r>
        <w:t>Así, de los preceptos en cita se desprende que la Tesorería Municipal es el área que cuenta con las atribuciones para realizar la recaudación de ingresos, de administrar la hacienda pública, determinar y recaudar las contribuciones y llevar los registros contables, financieros y administrativos correspondientes a los ingresos municipales.</w:t>
      </w:r>
    </w:p>
    <w:p w14:paraId="1BC7E612" w14:textId="77777777" w:rsidR="00514B6A" w:rsidRDefault="00514B6A" w:rsidP="00637679"/>
    <w:p w14:paraId="5C63E73B" w14:textId="0B06F6C5" w:rsidR="00514B6A" w:rsidRDefault="00514B6A" w:rsidP="00637679">
      <w:r>
        <w:t xml:space="preserve">Cabe referir que la información relacionada con ingresos recibidos por los sujetos obligados forma parte de las denominadas obligaciones de transparencia comunes, tal </w:t>
      </w:r>
      <w:r>
        <w:lastRenderedPageBreak/>
        <w:t>como se establece en el artículo 92 fracción XLVII de la Ley de la materia, como se observa a continuación:</w:t>
      </w:r>
    </w:p>
    <w:p w14:paraId="25359BB1" w14:textId="77777777" w:rsidR="00514B6A" w:rsidRDefault="00514B6A" w:rsidP="00637679"/>
    <w:p w14:paraId="01795530" w14:textId="77777777" w:rsidR="00514B6A" w:rsidRPr="00514B6A" w:rsidRDefault="00514B6A" w:rsidP="00514B6A">
      <w:pPr>
        <w:pStyle w:val="Fundamentos"/>
        <w:rPr>
          <w:lang w:val="es-MX"/>
        </w:rPr>
      </w:pPr>
      <w:r w:rsidRPr="00514B6A">
        <w:rPr>
          <w:b/>
          <w:lang w:val="es-MX"/>
        </w:rPr>
        <w:t xml:space="preserve">Artículo 92. </w:t>
      </w:r>
      <w:r w:rsidRPr="00514B6A">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4A28AA7" w14:textId="309BF1D9" w:rsidR="00514B6A" w:rsidRPr="00514B6A" w:rsidRDefault="00514B6A" w:rsidP="00514B6A">
      <w:pPr>
        <w:pStyle w:val="Fundamentos"/>
      </w:pPr>
      <w:r w:rsidRPr="00514B6A">
        <w:t>[…]</w:t>
      </w:r>
    </w:p>
    <w:p w14:paraId="3CC63363" w14:textId="45517100" w:rsidR="00514B6A" w:rsidRPr="00514B6A" w:rsidRDefault="00514B6A" w:rsidP="00514B6A">
      <w:pPr>
        <w:pStyle w:val="Fundamentos"/>
      </w:pPr>
      <w:r w:rsidRPr="00514B6A">
        <w:rPr>
          <w:b/>
        </w:rPr>
        <w:t>XLVII.</w:t>
      </w:r>
      <w:r w:rsidRPr="00514B6A">
        <w:t xml:space="preserve"> </w:t>
      </w:r>
      <w:r w:rsidRPr="00514B6A">
        <w:rPr>
          <w:b/>
          <w:u w:val="single"/>
        </w:rPr>
        <w:t>Los ingresos recibidos por cualquier concepto</w:t>
      </w:r>
      <w:r w:rsidRPr="00514B6A">
        <w:t xml:space="preserve"> señalando el nombre de los responsables de recibirlos, administrarlos y ejercerlos, indicando el destino de cada uno de ellos;</w:t>
      </w:r>
    </w:p>
    <w:p w14:paraId="1AAE348F" w14:textId="496BA660" w:rsidR="00514B6A" w:rsidRPr="00514B6A" w:rsidRDefault="00514B6A" w:rsidP="00514B6A">
      <w:pPr>
        <w:pStyle w:val="Fundamentos"/>
      </w:pPr>
      <w:r w:rsidRPr="00514B6A">
        <w:t>[…]</w:t>
      </w:r>
    </w:p>
    <w:p w14:paraId="7FAA9873" w14:textId="77777777" w:rsidR="00514B6A" w:rsidRDefault="00514B6A" w:rsidP="00637679"/>
    <w:p w14:paraId="621670E9" w14:textId="233D020F" w:rsidR="00B55B19" w:rsidRPr="003B6ECD" w:rsidRDefault="00514B6A" w:rsidP="00B55B19">
      <w:pPr>
        <w:rPr>
          <w:szCs w:val="24"/>
          <w:lang w:val="es-MX"/>
        </w:rPr>
      </w:pPr>
      <w:r>
        <w:t xml:space="preserve">En ese orden de ideas, en el caso en concreto no se advierte que la solicitud se haya turnado a la Tesorería Municipal, la cual, conforme a sus atribuciones, es la unidad administrativa que genera, posee o administra la información relacionada con los ingresos municipales y por ende, </w:t>
      </w:r>
      <w:r w:rsidR="00B55B19">
        <w:t xml:space="preserve">es dable colegir que la Unidad de Transparencia </w:t>
      </w:r>
      <w:r w:rsidR="00B55B19" w:rsidRPr="003B6ECD">
        <w:rPr>
          <w:szCs w:val="24"/>
          <w:lang w:val="es-MX"/>
        </w:rPr>
        <w:t xml:space="preserve">no cumplió con lo que </w:t>
      </w:r>
      <w:r w:rsidR="00B55B19">
        <w:rPr>
          <w:szCs w:val="24"/>
          <w:lang w:val="es-MX"/>
        </w:rPr>
        <w:t>dispone el artículo 162</w:t>
      </w:r>
      <w:r w:rsidR="00B55B19" w:rsidRPr="003B6ECD">
        <w:rPr>
          <w:szCs w:val="24"/>
          <w:lang w:val="es-MX"/>
        </w:rPr>
        <w:t xml:space="preserve"> de la Ley de </w:t>
      </w:r>
      <w:r w:rsidR="00B55B19">
        <w:rPr>
          <w:szCs w:val="24"/>
          <w:lang w:val="es-MX"/>
        </w:rPr>
        <w:t>la materia</w:t>
      </w:r>
      <w:r w:rsidR="00B55B19" w:rsidRPr="003B6ECD">
        <w:rPr>
          <w:szCs w:val="24"/>
          <w:lang w:val="es-MX"/>
        </w:rPr>
        <w:t xml:space="preserve">, </w:t>
      </w:r>
      <w:r w:rsidR="00B55B19">
        <w:rPr>
          <w:szCs w:val="24"/>
          <w:lang w:val="es-MX"/>
        </w:rPr>
        <w:t>en el que se i</w:t>
      </w:r>
      <w:r w:rsidR="00B55B19" w:rsidRPr="003B6ECD">
        <w:rPr>
          <w:szCs w:val="24"/>
          <w:lang w:val="es-MX"/>
        </w:rPr>
        <w:t>ndica</w:t>
      </w:r>
      <w:r w:rsidR="00B55B19">
        <w:rPr>
          <w:szCs w:val="24"/>
          <w:lang w:val="es-MX"/>
        </w:rPr>
        <w:t xml:space="preserve"> lo siguiente</w:t>
      </w:r>
      <w:r w:rsidR="00B55B19" w:rsidRPr="003B6ECD">
        <w:rPr>
          <w:szCs w:val="24"/>
          <w:lang w:val="es-MX"/>
        </w:rPr>
        <w:t>:</w:t>
      </w:r>
    </w:p>
    <w:p w14:paraId="11F681AD" w14:textId="77777777" w:rsidR="00B55B19" w:rsidRPr="003B6ECD" w:rsidRDefault="00B55B19" w:rsidP="00B55B19">
      <w:pPr>
        <w:rPr>
          <w:szCs w:val="24"/>
          <w:lang w:val="es-MX"/>
        </w:rPr>
      </w:pPr>
    </w:p>
    <w:p w14:paraId="38D973F5" w14:textId="77777777" w:rsidR="00B55B19" w:rsidRPr="003B6ECD" w:rsidRDefault="00B55B19" w:rsidP="00B55B19">
      <w:pPr>
        <w:pStyle w:val="Fundamentos"/>
        <w:rPr>
          <w:lang w:val="es-MX"/>
        </w:rPr>
      </w:pPr>
      <w:r w:rsidRPr="003B6ECD">
        <w:rPr>
          <w:b/>
          <w:bCs/>
          <w:lang w:val="es-MX"/>
        </w:rPr>
        <w:t xml:space="preserve">Artículo 162. </w:t>
      </w:r>
      <w:r w:rsidRPr="003B6ECD">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9425AFE" w14:textId="77777777" w:rsidR="00B55B19" w:rsidRPr="003B6ECD" w:rsidRDefault="00B55B19" w:rsidP="00B55B19">
      <w:pPr>
        <w:rPr>
          <w:szCs w:val="24"/>
          <w:lang w:val="es-MX"/>
        </w:rPr>
      </w:pPr>
    </w:p>
    <w:p w14:paraId="5ED20493" w14:textId="0A906E0D" w:rsidR="00514B6A" w:rsidRDefault="23D2082F" w:rsidP="23D2082F">
      <w:pPr>
        <w:rPr>
          <w:rFonts w:eastAsia="Palatino Linotype" w:cs="Palatino Linotype"/>
          <w:color w:val="000000" w:themeColor="text1"/>
          <w:lang w:val="es-ES"/>
        </w:rPr>
      </w:pPr>
      <w:r w:rsidRPr="23D2082F">
        <w:rPr>
          <w:lang w:val="es-ES"/>
        </w:rPr>
        <w:t xml:space="preserve">Por lo anterior, es necesario que el Sujeto Obligado realice una nueva búsqueda exhaustiva y razonable en los archivos de todas las áreas que se consideren competentes, con la finalidad de hacer entrega al Recurrente de los documentos en donde consten los </w:t>
      </w:r>
      <w:r w:rsidRPr="23D2082F">
        <w:rPr>
          <w:lang w:val="es-ES"/>
        </w:rPr>
        <w:lastRenderedPageBreak/>
        <w:t xml:space="preserve">ingresos recibidos por el cobro de cuotas del mercado de animales de la </w:t>
      </w:r>
      <w:r w:rsidRPr="23D2082F">
        <w:rPr>
          <w:rFonts w:eastAsia="Palatino Linotype" w:cs="Palatino Linotype"/>
          <w:color w:val="000000" w:themeColor="text1"/>
          <w:lang w:val="es-ES"/>
        </w:rPr>
        <w:t>Plaza Ganadera de San Bernabé.</w:t>
      </w:r>
    </w:p>
    <w:p w14:paraId="41F584E0" w14:textId="77777777" w:rsidR="00765BA9" w:rsidRDefault="00765BA9" w:rsidP="00637679"/>
    <w:p w14:paraId="6CB78220" w14:textId="27147FD3" w:rsidR="002C3AA0" w:rsidRDefault="002C3AA0" w:rsidP="002C3AA0">
      <w:pPr>
        <w:rPr>
          <w:lang w:val="es-ES"/>
        </w:rPr>
      </w:pPr>
      <w:r w:rsidRPr="006A7396">
        <w:rPr>
          <w:lang w:val="es-ES"/>
        </w:rPr>
        <w:t xml:space="preserve">Por lo argumentado anteriormente, este Instituto estima que los motivos de inconformidad planteados por </w:t>
      </w:r>
      <w:r w:rsidR="006349BE">
        <w:rPr>
          <w:lang w:val="es-ES"/>
        </w:rPr>
        <w:t>la</w:t>
      </w:r>
      <w:r w:rsidRPr="006A7396">
        <w:rPr>
          <w:lang w:val="es-ES"/>
        </w:rPr>
        <w:t xml:space="preserve"> Recurrente devienen fundados, por lo que es procedente </w:t>
      </w:r>
      <w:r>
        <w:rPr>
          <w:lang w:val="es-ES"/>
        </w:rPr>
        <w:t>modifi</w:t>
      </w:r>
      <w:r w:rsidRPr="006A7396">
        <w:rPr>
          <w:lang w:val="es-ES"/>
        </w:rPr>
        <w:t xml:space="preserve">car la respuesta y ordenar </w:t>
      </w:r>
      <w:r w:rsidR="00D91CC0">
        <w:rPr>
          <w:lang w:val="es-ES"/>
        </w:rPr>
        <w:t xml:space="preserve">al Sujeto Obligado que lleve a cabo una </w:t>
      </w:r>
      <w:r w:rsidR="00D91CC0">
        <w:t xml:space="preserve">búsqueda exhaustiva y razonable en los archivos de todas las áreas que se consideren competentes, con la finalidad de hacer entrega al Recurrente de los documentos en donde consten los ingresos recibidos por el cobro de cuotas del mercado de animales de la </w:t>
      </w:r>
      <w:r w:rsidR="00D91CC0">
        <w:rPr>
          <w:rFonts w:eastAsia="Palatino Linotype" w:cs="Palatino Linotype"/>
          <w:color w:val="000000"/>
        </w:rPr>
        <w:t>Plaza Ganadera de San Bernabé que se hayan generado durante el periodo comprendido del primero de enero de dos mil veintitrés al primero de abril de dos mil veinticuatro</w:t>
      </w:r>
      <w:r w:rsidR="00852339">
        <w:rPr>
          <w:lang w:val="es-ES"/>
        </w:rPr>
        <w:t>, en ver</w:t>
      </w:r>
      <w:r w:rsidR="00D91CC0">
        <w:rPr>
          <w:lang w:val="es-ES"/>
        </w:rPr>
        <w:t>sión pública de ser procedente.</w:t>
      </w:r>
    </w:p>
    <w:p w14:paraId="3BB600AB" w14:textId="77777777" w:rsidR="00D91CC0" w:rsidRDefault="00D91CC0" w:rsidP="002C3AA0">
      <w:pPr>
        <w:rPr>
          <w:lang w:val="es-ES"/>
        </w:rPr>
      </w:pPr>
    </w:p>
    <w:p w14:paraId="50446C8C" w14:textId="48E80B24" w:rsidR="00D91CC0" w:rsidRDefault="00D91CC0" w:rsidP="002C3AA0">
      <w:pPr>
        <w:rPr>
          <w:lang w:val="es-ES"/>
        </w:rPr>
      </w:pPr>
      <w:r>
        <w:rPr>
          <w:lang w:val="es-ES"/>
        </w:rPr>
        <w:t>No obstante, en el supuesto de que una vez realizada la búsqueda exhaustiva y razonable el Sujeto Obligado determine que la información no se generó durante la temporalidad referida, bastará con que así lo haga del conocimiento del Recurrente en términos de lo dispuesto en el segundo párrafo del artículo 19 de la Ley de Transparencia local, que a la letra estipula lo siguiente:</w:t>
      </w:r>
    </w:p>
    <w:p w14:paraId="09002F9C" w14:textId="77777777" w:rsidR="00D91CC0" w:rsidRDefault="00D91CC0" w:rsidP="002C3AA0">
      <w:pPr>
        <w:rPr>
          <w:lang w:val="es-ES"/>
        </w:rPr>
      </w:pPr>
    </w:p>
    <w:p w14:paraId="0A3EB71A" w14:textId="77777777" w:rsidR="00D91CC0" w:rsidRPr="00D91CC0" w:rsidRDefault="00D91CC0" w:rsidP="00D91CC0">
      <w:pPr>
        <w:pStyle w:val="Fundamentos"/>
        <w:rPr>
          <w:lang w:val="es-MX"/>
        </w:rPr>
      </w:pPr>
      <w:r w:rsidRPr="00D91CC0">
        <w:rPr>
          <w:b/>
          <w:lang w:val="es-MX"/>
        </w:rPr>
        <w:t xml:space="preserve">Artículo 19. </w:t>
      </w:r>
      <w:r w:rsidRPr="00D91CC0">
        <w:rPr>
          <w:lang w:val="es-MX"/>
        </w:rPr>
        <w:t>Se presume que la información debe existir si se refiere a las facultades, competencias y funciones que los ordenamientos jurídicos aplicables otorgan a los sujetos obligados.</w:t>
      </w:r>
    </w:p>
    <w:p w14:paraId="230309F5" w14:textId="77777777" w:rsidR="00D91CC0" w:rsidRPr="00D91CC0" w:rsidRDefault="00D91CC0" w:rsidP="00D91CC0">
      <w:pPr>
        <w:pStyle w:val="Fundamentos"/>
        <w:rPr>
          <w:lang w:val="es-MX"/>
        </w:rPr>
      </w:pPr>
    </w:p>
    <w:p w14:paraId="46A1C79B" w14:textId="77777777" w:rsidR="00D91CC0" w:rsidRPr="00D91CC0" w:rsidRDefault="00D91CC0" w:rsidP="00D91CC0">
      <w:pPr>
        <w:pStyle w:val="Fundamentos"/>
        <w:rPr>
          <w:b/>
          <w:u w:val="single"/>
          <w:lang w:val="es-MX"/>
        </w:rPr>
      </w:pPr>
      <w:r w:rsidRPr="00D91CC0">
        <w:rPr>
          <w:b/>
          <w:u w:val="single"/>
          <w:lang w:val="es-MX"/>
        </w:rPr>
        <w:t>En los casos en que ciertas facultades, competencias o funciones no se hayan ejercido, se debe motivar la respuesta en función de las causas que motiven tal circunstancia.</w:t>
      </w:r>
    </w:p>
    <w:p w14:paraId="477369B6" w14:textId="77777777" w:rsidR="00D91CC0" w:rsidRPr="00D91CC0" w:rsidRDefault="00D91CC0" w:rsidP="00D91CC0">
      <w:pPr>
        <w:pStyle w:val="Fundamentos"/>
        <w:rPr>
          <w:lang w:val="es-MX"/>
        </w:rPr>
      </w:pPr>
    </w:p>
    <w:p w14:paraId="31AB543E" w14:textId="77777777" w:rsidR="00D91CC0" w:rsidRPr="00D91CC0" w:rsidRDefault="00D91CC0" w:rsidP="00D91CC0">
      <w:pPr>
        <w:pStyle w:val="Fundamentos"/>
        <w:rPr>
          <w:lang w:val="es-MX"/>
        </w:rPr>
      </w:pPr>
      <w:r w:rsidRPr="00D91CC0">
        <w:rPr>
          <w:lang w:val="es-MX"/>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72F2ABE" w14:textId="77777777" w:rsidR="00D91CC0" w:rsidRDefault="00D91CC0" w:rsidP="002C3AA0">
      <w:pPr>
        <w:rPr>
          <w:lang w:val="es-ES"/>
        </w:rPr>
      </w:pPr>
    </w:p>
    <w:p w14:paraId="6A1964A8" w14:textId="482082C1" w:rsidR="002C3AA0" w:rsidRPr="006A7396" w:rsidRDefault="00852339" w:rsidP="002C3AA0">
      <w:pPr>
        <w:pStyle w:val="Ttulo3"/>
        <w:rPr>
          <w:rFonts w:eastAsia="Palatino Linotype"/>
        </w:rPr>
      </w:pPr>
      <w:r>
        <w:rPr>
          <w:rFonts w:eastAsia="Palatino Linotype"/>
        </w:rPr>
        <w:t>DE LA VERSIÓN PÚBLICA</w:t>
      </w:r>
    </w:p>
    <w:p w14:paraId="6B377192" w14:textId="77777777" w:rsidR="002C3AA0" w:rsidRPr="006A7396" w:rsidRDefault="002C3AA0" w:rsidP="002C3AA0">
      <w:pPr>
        <w:rPr>
          <w:rFonts w:eastAsia="Palatino Linotype" w:cs="Palatino Linotype"/>
          <w:szCs w:val="24"/>
        </w:rPr>
      </w:pPr>
      <w:r w:rsidRPr="006A7396">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490CE77F" w14:textId="77777777" w:rsidR="002C3AA0" w:rsidRPr="006A7396" w:rsidRDefault="002C3AA0" w:rsidP="002C3AA0">
      <w:pPr>
        <w:rPr>
          <w:rFonts w:eastAsia="Palatino Linotype" w:cs="Palatino Linotype"/>
          <w:szCs w:val="24"/>
        </w:rPr>
      </w:pPr>
    </w:p>
    <w:p w14:paraId="0F19DDEA"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Artículo 3.</w:t>
      </w:r>
      <w:r w:rsidRPr="006A7396">
        <w:rPr>
          <w:rFonts w:eastAsia="Palatino Linotype" w:cs="Palatino Linotype"/>
          <w:i/>
          <w:color w:val="000000"/>
          <w:sz w:val="22"/>
          <w:szCs w:val="24"/>
        </w:rPr>
        <w:t xml:space="preserve"> Para los efectos de la presente Ley se entenderá por:</w:t>
      </w:r>
    </w:p>
    <w:p w14:paraId="6E630743"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w:t>
      </w:r>
    </w:p>
    <w:p w14:paraId="681A8A73"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IX. Datos personales:</w:t>
      </w:r>
      <w:r w:rsidRPr="006A7396">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5D3E5A62"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XX.</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clasificada:</w:t>
      </w:r>
      <w:r w:rsidRPr="006A7396">
        <w:rPr>
          <w:rFonts w:eastAsia="Palatino Linotype" w:cs="Palatino Linotype"/>
          <w:i/>
          <w:color w:val="000000"/>
          <w:sz w:val="22"/>
          <w:szCs w:val="24"/>
        </w:rPr>
        <w:t xml:space="preserve"> Aquella considerada por la presente Ley como reservada o confidencial;</w:t>
      </w:r>
    </w:p>
    <w:p w14:paraId="3C1E3E10"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XXI.</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confidencial:</w:t>
      </w:r>
      <w:r w:rsidRPr="006A7396">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F3FCB32"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w:t>
      </w:r>
    </w:p>
    <w:p w14:paraId="7D631FC4"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XLV.</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Versión pública:</w:t>
      </w:r>
      <w:r w:rsidRPr="006A7396">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5EC6A3E7"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w:t>
      </w:r>
    </w:p>
    <w:p w14:paraId="058ABEF2"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6CBFE37"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 xml:space="preserve">Artículo 91. </w:t>
      </w:r>
      <w:r w:rsidRPr="006A7396">
        <w:rPr>
          <w:rFonts w:eastAsia="Palatino Linotype" w:cs="Palatino Linotype"/>
          <w:i/>
          <w:color w:val="000000"/>
          <w:sz w:val="22"/>
          <w:szCs w:val="24"/>
        </w:rPr>
        <w:t>El acceso a la información pública será restringido excepcionalmente, cuando ésta sea clasificada como reservada o confidencial.</w:t>
      </w:r>
    </w:p>
    <w:p w14:paraId="4AE45594"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4B3E130"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Artículo 132.</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La clasificación de la información se llevará a cabo en el momento en que</w:t>
      </w:r>
      <w:r w:rsidRPr="006A7396">
        <w:rPr>
          <w:rFonts w:eastAsia="Palatino Linotype" w:cs="Palatino Linotype"/>
          <w:i/>
          <w:color w:val="000000"/>
          <w:sz w:val="22"/>
          <w:szCs w:val="24"/>
        </w:rPr>
        <w:t>:</w:t>
      </w:r>
    </w:p>
    <w:p w14:paraId="73D2C0C8"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w:t>
      </w:r>
      <w:r w:rsidRPr="006A7396">
        <w:rPr>
          <w:rFonts w:eastAsia="Palatino Linotype" w:cs="Palatino Linotype"/>
          <w:i/>
          <w:color w:val="000000"/>
          <w:sz w:val="22"/>
          <w:szCs w:val="24"/>
        </w:rPr>
        <w:t xml:space="preserve"> Se reciba una solicitud de acceso a la información;</w:t>
      </w:r>
    </w:p>
    <w:p w14:paraId="773AAA65"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II.</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Se determine mediante resolución de autoridad competente; o</w:t>
      </w:r>
    </w:p>
    <w:p w14:paraId="20A7DA8E"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6A7396">
        <w:rPr>
          <w:rFonts w:eastAsia="Palatino Linotype" w:cs="Palatino Linotype"/>
          <w:b/>
          <w:i/>
          <w:color w:val="000000"/>
          <w:sz w:val="22"/>
          <w:szCs w:val="24"/>
        </w:rPr>
        <w:lastRenderedPageBreak/>
        <w:t>III.</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Se generen versiones públicas para dar cumplimiento a las obligaciones de transparencia previstas en esta Ley.</w:t>
      </w:r>
    </w:p>
    <w:p w14:paraId="627848C9"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w:t>
      </w:r>
    </w:p>
    <w:p w14:paraId="3B8D20A2" w14:textId="77777777" w:rsidR="002C3AA0" w:rsidRPr="006A7396" w:rsidRDefault="002C3AA0" w:rsidP="002C3AA0">
      <w:pPr>
        <w:rPr>
          <w:rFonts w:eastAsia="Palatino Linotype" w:cs="Palatino Linotype"/>
          <w:i/>
          <w:szCs w:val="24"/>
        </w:rPr>
      </w:pPr>
    </w:p>
    <w:p w14:paraId="3029C9FC" w14:textId="77777777" w:rsidR="002C3AA0" w:rsidRPr="006A7396" w:rsidRDefault="002C3AA0" w:rsidP="002C3AA0">
      <w:pPr>
        <w:rPr>
          <w:rFonts w:eastAsia="Palatino Linotype" w:cs="Palatino Linotype"/>
          <w:lang w:val="es-ES"/>
        </w:rPr>
      </w:pPr>
      <w:r w:rsidRPr="006A7396">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E3687F0" w14:textId="77777777" w:rsidR="002C3AA0" w:rsidRPr="006A7396" w:rsidRDefault="002C3AA0" w:rsidP="002C3AA0">
      <w:pPr>
        <w:rPr>
          <w:rFonts w:eastAsia="Palatino Linotype" w:cs="Palatino Linotype"/>
          <w:szCs w:val="24"/>
        </w:rPr>
      </w:pPr>
    </w:p>
    <w:p w14:paraId="1D09CF4B" w14:textId="77777777" w:rsidR="002C3AA0" w:rsidRPr="006A7396" w:rsidRDefault="002C3AA0" w:rsidP="002C3AA0">
      <w:pPr>
        <w:rPr>
          <w:rFonts w:eastAsia="Palatino Linotype" w:cs="Palatino Linotype"/>
          <w:szCs w:val="24"/>
        </w:rPr>
      </w:pPr>
      <w:r w:rsidRPr="006A7396">
        <w:rPr>
          <w:rFonts w:eastAsia="Palatino Linotype" w:cs="Palatino Linotype"/>
          <w:szCs w:val="24"/>
        </w:rPr>
        <w:t xml:space="preserve">Por otro lado, los </w:t>
      </w:r>
      <w:r w:rsidRPr="006A7396">
        <w:rPr>
          <w:rFonts w:eastAsia="Palatino Linotype" w:cs="Palatino Linotype"/>
          <w:i/>
          <w:szCs w:val="24"/>
        </w:rPr>
        <w:t>Lineamientos Generales en Materia de Clasificación y Desclasificación de la Información, así como para la elaboración de Versiones Públicas</w:t>
      </w:r>
      <w:r w:rsidRPr="006A7396">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C622034" w14:textId="77777777" w:rsidR="002C3AA0" w:rsidRPr="006A7396" w:rsidRDefault="002C3AA0" w:rsidP="002C3AA0">
      <w:pPr>
        <w:rPr>
          <w:rFonts w:eastAsia="Palatino Linotype" w:cs="Palatino Linotype"/>
          <w:szCs w:val="24"/>
        </w:rPr>
      </w:pPr>
    </w:p>
    <w:p w14:paraId="7B7A27F4" w14:textId="77777777" w:rsidR="002C3AA0" w:rsidRPr="006A7396" w:rsidRDefault="002C3AA0" w:rsidP="002C3AA0">
      <w:pPr>
        <w:rPr>
          <w:rFonts w:eastAsia="Palatino Linotype" w:cs="Palatino Linotype"/>
          <w:szCs w:val="24"/>
        </w:rPr>
      </w:pPr>
      <w:r w:rsidRPr="006A7396">
        <w:rPr>
          <w:rFonts w:eastAsia="Palatino Linotype" w:cs="Palatino Linotype"/>
          <w:szCs w:val="24"/>
        </w:rPr>
        <w:t>Asimismo, los Lineamientos Quincuagésimo sexto, Quincuagésimo séptimo y Quincuagésimo octavo, establecen lo siguiente:</w:t>
      </w:r>
    </w:p>
    <w:p w14:paraId="185BBD45" w14:textId="77777777" w:rsidR="002C3AA0" w:rsidRPr="006A7396" w:rsidRDefault="002C3AA0" w:rsidP="002C3AA0">
      <w:pPr>
        <w:rPr>
          <w:rFonts w:eastAsia="Palatino Linotype" w:cs="Palatino Linotype"/>
        </w:rPr>
      </w:pPr>
    </w:p>
    <w:p w14:paraId="1278BCB0"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6A7396">
        <w:rPr>
          <w:rFonts w:eastAsia="Palatino Linotype" w:cs="Palatino Linotype"/>
          <w:b/>
          <w:i/>
          <w:color w:val="000000"/>
          <w:sz w:val="22"/>
          <w:szCs w:val="24"/>
        </w:rPr>
        <w:t>Quincuagésimo sexto.</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3CEB5D64"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C6A9AAC"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lastRenderedPageBreak/>
        <w:t>Quincuagésimo séptimo.</w:t>
      </w:r>
      <w:r w:rsidRPr="006A7396">
        <w:rPr>
          <w:rFonts w:eastAsia="Palatino Linotype" w:cs="Palatino Linotype"/>
          <w:i/>
          <w:color w:val="000000"/>
          <w:sz w:val="22"/>
          <w:szCs w:val="24"/>
        </w:rPr>
        <w:t xml:space="preserve"> Se considera, en principio, como información pública y no podrá omitirse de las versiones públicas la siguiente:</w:t>
      </w:r>
    </w:p>
    <w:p w14:paraId="10BC8E0E"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CA27332"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6F2A2345"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3E9813AA"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6A7396">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B373580"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00C5A0C"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34E76370" w14:textId="77777777" w:rsidR="002C3AA0" w:rsidRPr="006A7396"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BDE9ACD" w14:textId="77777777" w:rsidR="002C3AA0" w:rsidRPr="006A7396" w:rsidRDefault="5A438623" w:rsidP="5A43862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5A438623">
        <w:rPr>
          <w:rFonts w:eastAsia="Palatino Linotype" w:cs="Palatino Linotype"/>
          <w:b/>
          <w:bCs/>
          <w:i/>
          <w:iCs/>
          <w:color w:val="000000" w:themeColor="text1"/>
          <w:sz w:val="22"/>
          <w:lang w:val="es-ES"/>
        </w:rPr>
        <w:t>Quincuagésimo octavo.</w:t>
      </w:r>
      <w:r w:rsidRPr="5A438623">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15E57F85" w14:textId="77777777" w:rsidR="002C3AA0" w:rsidRPr="006A7396" w:rsidRDefault="002C3AA0" w:rsidP="002C3AA0">
      <w:pPr>
        <w:rPr>
          <w:rFonts w:eastAsia="Palatino Linotype" w:cs="Palatino Linotype"/>
          <w:i/>
          <w:szCs w:val="24"/>
        </w:rPr>
      </w:pPr>
    </w:p>
    <w:p w14:paraId="2059CB03" w14:textId="77777777" w:rsidR="002C3AA0" w:rsidRPr="006A7396" w:rsidRDefault="002C3AA0" w:rsidP="002C3AA0">
      <w:pPr>
        <w:rPr>
          <w:rFonts w:eastAsia="Palatino Linotype" w:cs="Palatino Linotype"/>
          <w:lang w:val="es-ES"/>
        </w:rPr>
      </w:pPr>
      <w:r w:rsidRPr="006A7396">
        <w:rPr>
          <w:rFonts w:eastAsia="Palatino Linotype" w:cs="Palatino Linotype"/>
          <w:lang w:val="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FCE06AF" w14:textId="77777777" w:rsidR="002C3AA0" w:rsidRPr="006A7396" w:rsidRDefault="002C3AA0" w:rsidP="002C3AA0">
      <w:pPr>
        <w:rPr>
          <w:rFonts w:eastAsia="Palatino Linotype" w:cs="Palatino Linotype"/>
          <w:szCs w:val="24"/>
        </w:rPr>
      </w:pPr>
    </w:p>
    <w:p w14:paraId="0DE34430" w14:textId="77777777" w:rsidR="002C3AA0" w:rsidRPr="006A7396" w:rsidRDefault="002C3AA0" w:rsidP="002C3AA0">
      <w:pPr>
        <w:rPr>
          <w:rFonts w:eastAsia="Palatino Linotype" w:cs="Palatino Linotype"/>
          <w:lang w:val="es-ES"/>
        </w:rPr>
      </w:pPr>
      <w:r w:rsidRPr="006A7396">
        <w:rPr>
          <w:rFonts w:eastAsia="Palatino Linotype" w:cs="Palatino Linotype"/>
          <w:lang w:val="es-ES"/>
        </w:rPr>
        <w:lastRenderedPageBreak/>
        <w:t>Por lo que respecta al Acuerdo del Comité de Transparencia que sustente la versión pública de la documentación a entregar, deberá ser notificado mediante el SAIMEX.</w:t>
      </w:r>
    </w:p>
    <w:p w14:paraId="62BBAC65" w14:textId="77777777" w:rsidR="002C3AA0" w:rsidRPr="006A7396" w:rsidRDefault="002C3AA0" w:rsidP="002C3AA0">
      <w:pPr>
        <w:rPr>
          <w:rFonts w:eastAsia="Palatino Linotype" w:cs="Palatino Linotype"/>
          <w:szCs w:val="24"/>
        </w:rPr>
      </w:pPr>
    </w:p>
    <w:p w14:paraId="54D1790E" w14:textId="666E8862" w:rsidR="002C3AA0" w:rsidRPr="006A7396" w:rsidRDefault="002C3AA0" w:rsidP="002C3AA0">
      <w:pPr>
        <w:pBdr>
          <w:top w:val="nil"/>
          <w:left w:val="nil"/>
          <w:bottom w:val="nil"/>
          <w:right w:val="nil"/>
          <w:between w:val="nil"/>
        </w:pBdr>
        <w:rPr>
          <w:rFonts w:eastAsia="Palatino Linotype" w:cs="Palatino Linotype"/>
          <w:color w:val="000000"/>
          <w:szCs w:val="24"/>
        </w:rPr>
      </w:pPr>
      <w:r w:rsidRPr="006A7396">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sidR="006349BE">
        <w:rPr>
          <w:rFonts w:eastAsia="Palatino Linotype" w:cs="Palatino Linotype"/>
          <w:color w:val="000000"/>
          <w:szCs w:val="24"/>
        </w:rPr>
        <w:t xml:space="preserve"> </w:t>
      </w:r>
      <w:r w:rsidRPr="006A7396">
        <w:rPr>
          <w:rFonts w:eastAsia="Palatino Linotype" w:cs="Palatino Linotype"/>
          <w:color w:val="000000"/>
          <w:szCs w:val="24"/>
        </w:rPr>
        <w:t>l</w:t>
      </w:r>
      <w:r w:rsidR="006349BE">
        <w:rPr>
          <w:rFonts w:eastAsia="Palatino Linotype" w:cs="Palatino Linotype"/>
          <w:color w:val="000000"/>
          <w:szCs w:val="24"/>
        </w:rPr>
        <w:t>a</w:t>
      </w:r>
      <w:r w:rsidRPr="006A7396">
        <w:rPr>
          <w:rFonts w:eastAsia="Palatino Linotype" w:cs="Palatino Linotype"/>
          <w:color w:val="000000"/>
          <w:szCs w:val="24"/>
        </w:rPr>
        <w:t xml:space="preserve"> Recurrente.</w:t>
      </w:r>
    </w:p>
    <w:p w14:paraId="3B4CAFE1" w14:textId="77777777" w:rsidR="00180C5F" w:rsidRDefault="00180C5F" w:rsidP="008F50E6">
      <w:pPr>
        <w:rPr>
          <w:rFonts w:eastAsia="Times New Roman" w:cs="Times New Roman"/>
          <w:color w:val="000000"/>
        </w:rPr>
      </w:pPr>
    </w:p>
    <w:p w14:paraId="07B920B4" w14:textId="2E546395"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4B645E">
        <w:rPr>
          <w:rFonts w:eastAsia="Palatino Linotype" w:cs="Palatino Linotype"/>
          <w:color w:val="000000" w:themeColor="text1"/>
        </w:rPr>
        <w:t>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0002287F">
        <w:rPr>
          <w:rFonts w:eastAsia="Palatino Linotype" w:cs="Palatino Linotype"/>
          <w:color w:val="000000" w:themeColor="text1"/>
        </w:rPr>
        <w:t xml:space="preserve">parcialmente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con fundamento en la segunda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Pr>
          <w:rFonts w:eastAsia="Palatino Linotype" w:cs="Palatino Linotype"/>
          <w:b/>
          <w:bCs/>
          <w:color w:val="000000" w:themeColor="text1"/>
        </w:rPr>
        <w:t>MODIFI</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Pr>
          <w:rFonts w:eastAsia="Palatino Linotype" w:cs="Palatino Linotype"/>
          <w:b/>
          <w:bCs/>
          <w:color w:val="000000"/>
          <w:szCs w:val="24"/>
        </w:rPr>
        <w:t xml:space="preserve"> </w:t>
      </w:r>
      <w:r w:rsidR="003E6347">
        <w:rPr>
          <w:rFonts w:eastAsia="Palatino Linotype" w:cs="Palatino Linotype"/>
          <w:b/>
          <w:bCs/>
          <w:color w:val="000000"/>
          <w:szCs w:val="24"/>
        </w:rPr>
        <w:t>00314/ALMOJU/IP/2024</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3F696341" w:rsidR="00581587" w:rsidRPr="00BB7F90" w:rsidRDefault="00581587" w:rsidP="00581587">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Pr>
          <w:rFonts w:eastAsia="Palatino Linotype" w:cs="Palatino Linotype"/>
          <w:b/>
          <w:bCs/>
          <w:color w:val="000000" w:themeColor="text1"/>
        </w:rPr>
        <w:t>MODIFI</w:t>
      </w:r>
      <w:r w:rsidRPr="00BB7F90">
        <w:rPr>
          <w:rFonts w:eastAsia="Palatino Linotype" w:cs="Palatino Linotype"/>
          <w:b/>
          <w:bCs/>
          <w:color w:val="000000" w:themeColor="text1"/>
        </w:rPr>
        <w:t>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 solicitud de información número</w:t>
      </w:r>
      <w:r w:rsidR="00642669">
        <w:rPr>
          <w:rFonts w:eastAsia="Palatino Linotype" w:cs="Palatino Linotype"/>
          <w:b/>
          <w:bCs/>
          <w:color w:val="000000"/>
          <w:szCs w:val="24"/>
        </w:rPr>
        <w:t xml:space="preserve"> </w:t>
      </w:r>
      <w:r w:rsidR="003E6347">
        <w:rPr>
          <w:rFonts w:eastAsia="Palatino Linotype" w:cs="Palatino Linotype"/>
          <w:b/>
          <w:bCs/>
          <w:color w:val="000000"/>
          <w:szCs w:val="24"/>
        </w:rPr>
        <w:t>00314/ALMOJU/IP/2024</w:t>
      </w:r>
      <w:r w:rsidRPr="00BB7F90">
        <w:rPr>
          <w:rFonts w:eastAsia="Palatino Linotype" w:cs="Palatino Linotype"/>
          <w:color w:val="000000" w:themeColor="text1"/>
        </w:rPr>
        <w:t>, por resultar</w:t>
      </w:r>
      <w:r w:rsidR="0002287F">
        <w:rPr>
          <w:rFonts w:eastAsia="Palatino Linotype" w:cs="Palatino Linotype"/>
          <w:color w:val="000000" w:themeColor="text1"/>
        </w:rPr>
        <w:t xml:space="preserve"> </w:t>
      </w:r>
      <w:r w:rsidRPr="00BB7F90">
        <w:rPr>
          <w:rFonts w:eastAsia="Palatino Linotype" w:cs="Palatino Linotype"/>
          <w:color w:val="000000" w:themeColor="text1"/>
        </w:rPr>
        <w:t xml:space="preserve">fundados los motivos de </w:t>
      </w:r>
      <w:r w:rsidRPr="00BB7F90">
        <w:rPr>
          <w:rFonts w:eastAsia="Palatino Linotype" w:cs="Palatino Linotype"/>
          <w:color w:val="000000" w:themeColor="text1"/>
        </w:rPr>
        <w:lastRenderedPageBreak/>
        <w:t xml:space="preserve">inconformidad argüidos por </w:t>
      </w:r>
      <w:r w:rsidR="00D91CC0">
        <w:rPr>
          <w:rFonts w:eastAsia="Palatino Linotype" w:cs="Palatino Linotype"/>
          <w:color w:val="000000" w:themeColor="text1"/>
        </w:rPr>
        <w:t>el</w:t>
      </w:r>
      <w:r w:rsidRPr="00BB7F90">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w:t>
      </w:r>
      <w:r w:rsidR="004B645E">
        <w:rPr>
          <w:rFonts w:eastAsia="Palatino Linotype" w:cs="Palatino Linotype"/>
          <w:b/>
          <w:bCs/>
          <w:color w:val="000000" w:themeColor="text1"/>
        </w:rPr>
        <w:t>CUAR</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65784E6C" w:rsidR="00581587" w:rsidRPr="00BB7F90" w:rsidRDefault="7A509A1A" w:rsidP="7A509A1A">
      <w:pPr>
        <w:pBdr>
          <w:top w:val="nil"/>
          <w:left w:val="nil"/>
          <w:bottom w:val="nil"/>
          <w:right w:val="nil"/>
          <w:between w:val="nil"/>
        </w:pBdr>
        <w:rPr>
          <w:rFonts w:eastAsia="Palatino Linotype" w:cs="Palatino Linotype"/>
          <w:color w:val="000000"/>
        </w:rPr>
      </w:pPr>
      <w:r w:rsidRPr="7A509A1A">
        <w:rPr>
          <w:rFonts w:eastAsia="Palatino Linotype" w:cs="Palatino Linotype"/>
          <w:b/>
          <w:bCs/>
          <w:color w:val="000000" w:themeColor="text1"/>
        </w:rPr>
        <w:t>SEGUNDO.</w:t>
      </w:r>
      <w:r w:rsidRPr="7A509A1A">
        <w:rPr>
          <w:rFonts w:eastAsia="Palatino Linotype" w:cs="Palatino Linotype"/>
          <w:color w:val="000000" w:themeColor="text1"/>
        </w:rPr>
        <w:t xml:space="preserve"> Se </w:t>
      </w:r>
      <w:r w:rsidRPr="7A509A1A">
        <w:rPr>
          <w:rFonts w:eastAsia="Palatino Linotype" w:cs="Palatino Linotype"/>
          <w:b/>
          <w:bCs/>
          <w:color w:val="000000" w:themeColor="text1"/>
        </w:rPr>
        <w:t>ORDENA</w:t>
      </w:r>
      <w:r w:rsidRPr="7A509A1A">
        <w:rPr>
          <w:rFonts w:eastAsia="Palatino Linotype" w:cs="Palatino Linotype"/>
          <w:color w:val="000000" w:themeColor="text1"/>
        </w:rPr>
        <w:t xml:space="preserve"> al Sujeto Obligado que </w:t>
      </w:r>
      <w:r w:rsidR="00D91CC0">
        <w:rPr>
          <w:rFonts w:eastAsia="Palatino Linotype" w:cs="Palatino Linotype"/>
          <w:color w:val="000000" w:themeColor="text1"/>
        </w:rPr>
        <w:t>realice una búsqueda exhaustiva y razonable en los archivos de las áreas que se consideren competentes con el propósito de hacer entrega al</w:t>
      </w:r>
      <w:r w:rsidRPr="7A509A1A">
        <w:rPr>
          <w:rFonts w:eastAsia="Palatino Linotype" w:cs="Palatino Linotype"/>
          <w:color w:val="000000" w:themeColor="text1"/>
        </w:rPr>
        <w:t xml:space="preserve"> Recurrente mediante el Sistema de Acceso a la Información Mexiquense (SAIMEX), en versión pública de ser procedente y en términos del </w:t>
      </w:r>
      <w:r w:rsidRPr="7A509A1A">
        <w:rPr>
          <w:rFonts w:eastAsia="Palatino Linotype" w:cs="Palatino Linotype"/>
          <w:b/>
          <w:bCs/>
          <w:color w:val="000000" w:themeColor="text1"/>
        </w:rPr>
        <w:t>Considerando CUARTO</w:t>
      </w:r>
      <w:r w:rsidRPr="7A509A1A">
        <w:rPr>
          <w:rFonts w:eastAsia="Palatino Linotype" w:cs="Palatino Linotype"/>
          <w:color w:val="000000" w:themeColor="text1"/>
        </w:rPr>
        <w:t xml:space="preserve">, de lo siguiente: </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38B9CE6A" w14:textId="16DF653D" w:rsidR="00581587" w:rsidRPr="00BB7F90" w:rsidRDefault="00D91CC0" w:rsidP="00D91CC0">
      <w:pPr>
        <w:numPr>
          <w:ilvl w:val="0"/>
          <w:numId w:val="2"/>
        </w:numPr>
        <w:pBdr>
          <w:top w:val="nil"/>
          <w:left w:val="nil"/>
          <w:bottom w:val="nil"/>
          <w:right w:val="nil"/>
          <w:between w:val="nil"/>
        </w:pBdr>
        <w:spacing w:line="240" w:lineRule="auto"/>
        <w:rPr>
          <w:rFonts w:eastAsia="Palatino Linotype" w:cs="Palatino Linotype"/>
          <w:color w:val="000000"/>
          <w:lang w:val="es-ES"/>
        </w:rPr>
      </w:pPr>
      <w:r>
        <w:rPr>
          <w:rFonts w:eastAsia="Palatino Linotype" w:cs="Palatino Linotype"/>
          <w:i/>
          <w:iCs/>
          <w:color w:val="000000" w:themeColor="text1"/>
          <w:lang w:val="es-ES"/>
        </w:rPr>
        <w:t>L</w:t>
      </w:r>
      <w:r w:rsidR="00852339">
        <w:rPr>
          <w:rFonts w:eastAsia="Palatino Linotype" w:cs="Palatino Linotype"/>
          <w:i/>
          <w:iCs/>
          <w:color w:val="000000" w:themeColor="text1"/>
          <w:lang w:val="es-ES"/>
        </w:rPr>
        <w:t>os</w:t>
      </w:r>
      <w:r w:rsidR="00852339" w:rsidRPr="00852339">
        <w:rPr>
          <w:rFonts w:eastAsia="Palatino Linotype" w:cs="Palatino Linotype"/>
          <w:i/>
          <w:iCs/>
          <w:color w:val="000000" w:themeColor="text1"/>
          <w:lang w:val="es-ES"/>
        </w:rPr>
        <w:t xml:space="preserve"> documentos en</w:t>
      </w:r>
      <w:r>
        <w:rPr>
          <w:rFonts w:eastAsia="Palatino Linotype" w:cs="Palatino Linotype"/>
          <w:i/>
          <w:iCs/>
          <w:color w:val="000000" w:themeColor="text1"/>
          <w:lang w:val="es-ES"/>
        </w:rPr>
        <w:t xml:space="preserve"> donde </w:t>
      </w:r>
      <w:r w:rsidRPr="00D91CC0">
        <w:rPr>
          <w:rFonts w:eastAsia="Palatino Linotype" w:cs="Palatino Linotype"/>
          <w:i/>
          <w:iCs/>
          <w:color w:val="000000" w:themeColor="text1"/>
          <w:lang w:val="es-ES"/>
        </w:rPr>
        <w:t>consten los ingresos recibidos por el cobro de cuotas del mercado de animales de la Plaza Ganadera de San Bernabé que se hayan generado durante el periodo comprendido del primero de enero de dos mil veintitrés al primero de abril de dos mil veinticuatro</w:t>
      </w:r>
      <w:r w:rsidR="00852339" w:rsidRPr="00852339">
        <w:rPr>
          <w:rFonts w:eastAsia="Palatino Linotype" w:cs="Palatino Linotype"/>
          <w:i/>
          <w:iCs/>
          <w:color w:val="000000" w:themeColor="text1"/>
          <w:lang w:val="es-ES"/>
        </w:rPr>
        <w:t>.</w:t>
      </w:r>
    </w:p>
    <w:p w14:paraId="4B3083CF" w14:textId="77777777" w:rsidR="00581587" w:rsidRDefault="00581587" w:rsidP="00581587">
      <w:pPr>
        <w:pBdr>
          <w:top w:val="nil"/>
          <w:left w:val="nil"/>
          <w:bottom w:val="nil"/>
          <w:right w:val="nil"/>
          <w:between w:val="nil"/>
        </w:pBdr>
        <w:rPr>
          <w:rFonts w:eastAsia="Palatino Linotype" w:cs="Palatino Linotype"/>
          <w:color w:val="000000"/>
          <w:szCs w:val="24"/>
        </w:rPr>
      </w:pPr>
    </w:p>
    <w:p w14:paraId="62472026" w14:textId="09E2750F" w:rsidR="004161DA" w:rsidRDefault="00852339" w:rsidP="004161D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De ser el caso y c</w:t>
      </w:r>
      <w:r w:rsidR="004161DA" w:rsidRPr="006A7396">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133B92C1" w14:textId="77777777" w:rsidR="00D91CC0" w:rsidRDefault="00D91CC0" w:rsidP="004161DA">
      <w:pPr>
        <w:pBdr>
          <w:top w:val="nil"/>
          <w:left w:val="nil"/>
          <w:bottom w:val="nil"/>
          <w:right w:val="nil"/>
          <w:between w:val="nil"/>
        </w:pBdr>
        <w:rPr>
          <w:rFonts w:eastAsia="Palatino Linotype" w:cs="Palatino Linotype"/>
          <w:color w:val="000000"/>
          <w:szCs w:val="24"/>
        </w:rPr>
      </w:pPr>
    </w:p>
    <w:p w14:paraId="6F79B56D" w14:textId="07DCC860" w:rsidR="00D91CC0" w:rsidRPr="006A7396" w:rsidRDefault="00D91CC0" w:rsidP="004161D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En el supuesto de que una vez realizada la búsqueda exhaustiva y razonable se determine que la información descrita no se generó durante el periodo referido, bastará con que así lo haga del conocimiento del Recurrente conforme a lo dispuesto en el segundo párrafo del artículo 19 de la </w:t>
      </w:r>
      <w:r w:rsidRPr="00325BCB">
        <w:rPr>
          <w:rFonts w:eastAsia="Palatino Linotype" w:cs="Palatino Linotype"/>
          <w:color w:val="000000"/>
          <w:szCs w:val="24"/>
        </w:rPr>
        <w:t>Ley de Transparencia y Acceso a la Información Pública del Estado de México y Municipios</w:t>
      </w:r>
      <w:r>
        <w:rPr>
          <w:rFonts w:eastAsia="Palatino Linotype" w:cs="Palatino Linotype"/>
          <w:color w:val="000000"/>
          <w:szCs w:val="24"/>
        </w:rPr>
        <w:t>.</w:t>
      </w:r>
    </w:p>
    <w:p w14:paraId="455A0062" w14:textId="77777777" w:rsidR="004161DA" w:rsidRDefault="004161DA" w:rsidP="00581587">
      <w:pPr>
        <w:pBdr>
          <w:top w:val="nil"/>
          <w:left w:val="nil"/>
          <w:bottom w:val="nil"/>
          <w:right w:val="nil"/>
          <w:between w:val="nil"/>
        </w:pBdr>
        <w:rPr>
          <w:rFonts w:eastAsia="Palatino Linotype" w:cs="Palatino Linotype"/>
          <w:color w:val="000000"/>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0DB49AA1" w14:textId="7D6E7C18" w:rsidR="00581587"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D91CC0">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sidR="00FB5BF2">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Default="00454915" w:rsidP="008F50E6"/>
    <w:p w14:paraId="20573BFF" w14:textId="06DF5B09"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lastRenderedPageBreak/>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B0040C">
        <w:rPr>
          <w:rFonts w:eastAsia="Palatino Linotype" w:cs="Palatino Linotype"/>
          <w:color w:val="000000"/>
          <w:szCs w:val="24"/>
        </w:rPr>
        <w:t>TRIGÉSIMA</w:t>
      </w:r>
      <w:r w:rsidR="006115F0">
        <w:rPr>
          <w:rFonts w:eastAsia="Palatino Linotype" w:cs="Palatino Linotype"/>
          <w:color w:val="000000"/>
          <w:szCs w:val="24"/>
        </w:rPr>
        <w:t xml:space="preserve"> </w:t>
      </w:r>
      <w:r w:rsidR="00243CC6">
        <w:rPr>
          <w:rFonts w:eastAsia="Palatino Linotype" w:cs="Palatino Linotype"/>
          <w:color w:val="000000"/>
          <w:szCs w:val="24"/>
        </w:rPr>
        <w:t xml:space="preserve">SEGUNDA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243CC6">
        <w:rPr>
          <w:rFonts w:eastAsia="Palatino Linotype" w:cs="Palatino Linotype"/>
          <w:color w:val="000000"/>
          <w:szCs w:val="24"/>
        </w:rPr>
        <w:t>ONCE DE SEPTIEMBRE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E60219">
        <w:rPr>
          <w:rFonts w:eastAsia="Palatino Linotype" w:cs="Palatino Linotype"/>
          <w:color w:val="000000"/>
          <w:szCs w:val="24"/>
        </w:rPr>
        <w:t>------------------------------------------------------------------------------</w:t>
      </w:r>
      <w:r w:rsidR="00337FA1">
        <w:rPr>
          <w:rFonts w:eastAsia="Palatino Linotype" w:cs="Palatino Linotype"/>
          <w:color w:val="000000"/>
          <w:szCs w:val="24"/>
        </w:rPr>
        <w:t>-------------------------------------------------------------------------------------------------------------------------------</w:t>
      </w:r>
      <w:r w:rsidR="00D91CC0">
        <w:rPr>
          <w:rFonts w:eastAsia="Palatino Linotype" w:cs="Palatino Linotype"/>
          <w:color w:val="000000"/>
          <w:szCs w:val="24"/>
        </w:rPr>
        <w:t>------------------------------------------------------------------------------------------------------------------------------------------------------------------------------------------------------------------------------------------------------------------------------------------------------------------------------------------------------------------------------------------------------------------------------------------------------------------------------------------------------------------------------------------------------------------------------------------------------------------------------------------------------------------------------------------------------------------------------------------------------------------------------------------------------------------------------------------------------------------------------------------------------------------------------------------------------------------------------------------------------------------------------------------------------------------------------------------------------------------------------------------------------------------------------------------------------------------------------------------------------------------------------------------------------------------------------------------------------------------------------------------------------------------------------------------------------------</w:t>
      </w:r>
      <w:r w:rsidR="00337FA1">
        <w:rPr>
          <w:rFonts w:eastAsia="Palatino Linotype" w:cs="Palatino Linotype"/>
          <w:color w:val="000000"/>
          <w:szCs w:val="24"/>
        </w:rPr>
        <w:t>---------------------------------------------------------------------------------------------------------------------</w:t>
      </w:r>
      <w:r w:rsidR="00243CC6">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F5958" w14:textId="77777777" w:rsidR="005B2B04" w:rsidRDefault="005B2B04" w:rsidP="00F2498E">
      <w:pPr>
        <w:spacing w:line="240" w:lineRule="auto"/>
      </w:pPr>
      <w:r>
        <w:separator/>
      </w:r>
    </w:p>
  </w:endnote>
  <w:endnote w:type="continuationSeparator" w:id="0">
    <w:p w14:paraId="6C8EF8AC" w14:textId="77777777" w:rsidR="005B2B04" w:rsidRDefault="005B2B04" w:rsidP="00F2498E">
      <w:pPr>
        <w:spacing w:line="240" w:lineRule="auto"/>
      </w:pPr>
      <w:r>
        <w:continuationSeparator/>
      </w:r>
    </w:p>
  </w:endnote>
  <w:endnote w:type="continuationNotice" w:id="1">
    <w:p w14:paraId="0B75720D" w14:textId="77777777" w:rsidR="005B2B04" w:rsidRDefault="005B2B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B55B19" w:rsidRPr="00871A91" w:rsidRDefault="00B55B1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E2615">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E2615">
      <w:rPr>
        <w:rFonts w:ascii="Palatino Linotype" w:hAnsi="Palatino Linotype"/>
        <w:b/>
        <w:bCs/>
        <w:noProof/>
        <w:sz w:val="20"/>
      </w:rPr>
      <w:t>31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B55B19" w:rsidRPr="00871A91" w:rsidRDefault="00B55B1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E261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E2615">
      <w:rPr>
        <w:rFonts w:ascii="Palatino Linotype" w:hAnsi="Palatino Linotype"/>
        <w:b/>
        <w:bCs/>
        <w:noProof/>
        <w:sz w:val="20"/>
      </w:rPr>
      <w:t>31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4078C" w14:textId="77777777" w:rsidR="005B2B04" w:rsidRDefault="005B2B04" w:rsidP="00F2498E">
      <w:pPr>
        <w:spacing w:line="240" w:lineRule="auto"/>
      </w:pPr>
      <w:r>
        <w:separator/>
      </w:r>
    </w:p>
  </w:footnote>
  <w:footnote w:type="continuationSeparator" w:id="0">
    <w:p w14:paraId="412F8FA4" w14:textId="77777777" w:rsidR="005B2B04" w:rsidRDefault="005B2B04" w:rsidP="00F2498E">
      <w:pPr>
        <w:spacing w:line="240" w:lineRule="auto"/>
      </w:pPr>
      <w:r>
        <w:continuationSeparator/>
      </w:r>
    </w:p>
  </w:footnote>
  <w:footnote w:type="continuationNotice" w:id="1">
    <w:p w14:paraId="02017838" w14:textId="77777777" w:rsidR="005B2B04" w:rsidRDefault="005B2B04">
      <w:pPr>
        <w:spacing w:line="240" w:lineRule="auto"/>
      </w:pPr>
    </w:p>
  </w:footnote>
  <w:footnote w:id="2">
    <w:p w14:paraId="2BCE50A0" w14:textId="77777777" w:rsidR="00B55B19" w:rsidRPr="0031280C" w:rsidRDefault="00B55B19"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B55B19" w:rsidRPr="0031280C" w:rsidRDefault="00B55B19"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B55B19" w:rsidRPr="0031280C" w:rsidRDefault="00B55B19"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B55B19" w:rsidRPr="0031280C" w:rsidRDefault="00B55B19"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3E1AE379" w14:textId="77777777" w:rsidR="00B55B19" w:rsidRDefault="00B55B19" w:rsidP="00765F06">
      <w:pPr>
        <w:pStyle w:val="Textonotapie"/>
      </w:pPr>
      <w:r>
        <w:rPr>
          <w:rStyle w:val="Refdenotaalpie"/>
        </w:rPr>
        <w:footnoteRef/>
      </w:r>
      <w:r>
        <w:t xml:space="preserve"> </w:t>
      </w:r>
      <w:r>
        <w:rPr>
          <w:rFonts w:eastAsia="MS Mincho" w:cs="Arial"/>
          <w:sz w:val="16"/>
          <w:szCs w:val="16"/>
        </w:rPr>
        <w:t xml:space="preserve">BURGOA ORIHUELA Ignacio. </w:t>
      </w:r>
      <w:r>
        <w:rPr>
          <w:rFonts w:eastAsia="MS Mincho" w:cs="Arial"/>
          <w:i/>
          <w:sz w:val="16"/>
          <w:szCs w:val="16"/>
        </w:rPr>
        <w:t>Diccionario De Derecho Constitucional, Garantías y Amparo</w:t>
      </w:r>
      <w:r>
        <w:rPr>
          <w:rFonts w:eastAsia="MS Mincho" w:cs="Arial"/>
          <w:sz w:val="16"/>
          <w:szCs w:val="16"/>
        </w:rPr>
        <w:t>. Ed. Porrúa, S.A., México. 1992. p. 115.</w:t>
      </w:r>
    </w:p>
  </w:footnote>
  <w:footnote w:id="4">
    <w:p w14:paraId="28957977" w14:textId="77777777" w:rsidR="00B55B19" w:rsidRDefault="00B55B19" w:rsidP="00765F06">
      <w:pPr>
        <w:pStyle w:val="Textonotapie"/>
      </w:pPr>
      <w:r>
        <w:rPr>
          <w:rStyle w:val="Refdenotaalpie"/>
        </w:rPr>
        <w:footnoteRef/>
      </w:r>
      <w:r>
        <w:t xml:space="preserve"> </w:t>
      </w:r>
      <w:r>
        <w:rPr>
          <w:rFonts w:eastAsia="MS Mincho" w:cs="Arial"/>
          <w:sz w:val="16"/>
          <w:szCs w:val="16"/>
          <w:lang w:eastAsia="es-ES"/>
        </w:rPr>
        <w:t xml:space="preserve">CIENFUEGOS SALGADO David. </w:t>
      </w:r>
      <w:r>
        <w:rPr>
          <w:rFonts w:eastAsia="MS Mincho" w:cs="Arial"/>
          <w:i/>
          <w:sz w:val="16"/>
          <w:szCs w:val="16"/>
          <w:lang w:eastAsia="es-ES"/>
        </w:rPr>
        <w:t xml:space="preserve">El Derecho de Petición en México. </w:t>
      </w:r>
      <w:r>
        <w:rPr>
          <w:rFonts w:eastAsia="MS Mincho" w:cs="Arial"/>
          <w:sz w:val="16"/>
          <w:szCs w:val="16"/>
          <w:lang w:eastAsia="es-ES"/>
        </w:rPr>
        <w:t>Ed. Instituto de Investigaciones Jurídica UNAM. México 2004. p. 31</w:t>
      </w:r>
    </w:p>
  </w:footnote>
  <w:footnote w:id="5">
    <w:p w14:paraId="0961A246" w14:textId="77777777" w:rsidR="00B55B19" w:rsidRDefault="00B55B19" w:rsidP="00765F06">
      <w:pPr>
        <w:pStyle w:val="Textonotapie"/>
      </w:pPr>
      <w:r>
        <w:rPr>
          <w:rStyle w:val="Refdenotaalpie"/>
        </w:rPr>
        <w:footnoteRef/>
      </w:r>
      <w:r>
        <w:t xml:space="preserve"> </w:t>
      </w:r>
      <w:r>
        <w:rPr>
          <w:rFonts w:eastAsia="MS Mincho" w:cs="Arial"/>
          <w:sz w:val="16"/>
          <w:szCs w:val="16"/>
          <w:lang w:eastAsia="es-ES"/>
        </w:rPr>
        <w:t xml:space="preserve">ROBLES HERNÁNDEZ José Guadalupe. </w:t>
      </w:r>
      <w:r>
        <w:rPr>
          <w:rFonts w:eastAsia="MS Mincho" w:cs="Arial"/>
          <w:i/>
          <w:sz w:val="16"/>
          <w:szCs w:val="16"/>
          <w:lang w:eastAsia="es-ES"/>
        </w:rPr>
        <w:t xml:space="preserve">Derecho de la Información y Comunicación Pública. </w:t>
      </w:r>
      <w:r>
        <w:rPr>
          <w:rFonts w:eastAsia="MS Mincho" w:cs="Arial"/>
          <w:sz w:val="16"/>
          <w:szCs w:val="16"/>
          <w:lang w:eastAsia="es-ES"/>
        </w:rPr>
        <w:t>Ed. Universidad de Occidente. México. 2004, p. 72</w:t>
      </w:r>
    </w:p>
  </w:footnote>
  <w:footnote w:id="6">
    <w:p w14:paraId="019B1B52" w14:textId="77777777" w:rsidR="00B55B19" w:rsidRDefault="00B55B19" w:rsidP="00765F06">
      <w:pPr>
        <w:pStyle w:val="Textonotapie"/>
      </w:pPr>
      <w:r>
        <w:rPr>
          <w:rStyle w:val="Refdenotaalpie"/>
        </w:rPr>
        <w:footnoteRef/>
      </w:r>
      <w:r>
        <w:t xml:space="preserve"> </w:t>
      </w:r>
      <w:r>
        <w:rPr>
          <w:rFonts w:eastAsia="MS Mincho" w:cs="Arial"/>
          <w:sz w:val="16"/>
          <w:szCs w:val="16"/>
          <w:lang w:eastAsia="es-ES"/>
        </w:rPr>
        <w:t xml:space="preserve">VILLANUEVA </w:t>
      </w:r>
      <w:proofErr w:type="spellStart"/>
      <w:r>
        <w:rPr>
          <w:rFonts w:eastAsia="MS Mincho" w:cs="Arial"/>
          <w:sz w:val="16"/>
          <w:szCs w:val="16"/>
          <w:lang w:eastAsia="es-ES"/>
        </w:rPr>
        <w:t>VILLANUEVA</w:t>
      </w:r>
      <w:proofErr w:type="spellEnd"/>
      <w:r>
        <w:rPr>
          <w:rFonts w:eastAsia="MS Mincho" w:cs="Arial"/>
          <w:sz w:val="16"/>
          <w:szCs w:val="16"/>
          <w:lang w:eastAsia="es-ES"/>
        </w:rPr>
        <w:t xml:space="preserve"> Ernesto. Derecho de la Información, Ed. Porrúa. </w:t>
      </w:r>
      <w:r>
        <w:rPr>
          <w:rFonts w:eastAsia="MS Mincho" w:cs="Arial"/>
          <w:sz w:val="16"/>
          <w:szCs w:val="16"/>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B55B19" w:rsidRDefault="009E2615">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55B19" w:rsidRPr="00B17577" w14:paraId="37B9EBDE" w14:textId="77777777" w:rsidTr="003938ED">
      <w:trPr>
        <w:trHeight w:val="227"/>
      </w:trPr>
      <w:tc>
        <w:tcPr>
          <w:tcW w:w="5103" w:type="dxa"/>
          <w:hideMark/>
        </w:tcPr>
        <w:p w14:paraId="4964FBC5" w14:textId="54CDA645" w:rsidR="00B55B19" w:rsidRPr="00096248" w:rsidRDefault="00B55B19"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74B08C2" w:rsidR="00B55B19" w:rsidRPr="00096248" w:rsidRDefault="00B55B19" w:rsidP="00011C4D">
          <w:pPr>
            <w:spacing w:after="120" w:line="240" w:lineRule="auto"/>
            <w:ind w:right="71"/>
            <w:jc w:val="right"/>
            <w:rPr>
              <w:rFonts w:cs="Arial"/>
              <w:b/>
              <w:szCs w:val="24"/>
            </w:rPr>
          </w:pPr>
          <w:r>
            <w:rPr>
              <w:rFonts w:cs="Arial"/>
              <w:b/>
              <w:bCs/>
              <w:szCs w:val="24"/>
            </w:rPr>
            <w:t>02145</w:t>
          </w:r>
          <w:r w:rsidRPr="00096248">
            <w:rPr>
              <w:rFonts w:cs="Arial"/>
              <w:b/>
              <w:bCs/>
              <w:szCs w:val="24"/>
            </w:rPr>
            <w:t>/INFOEM/IP/RR/202</w:t>
          </w:r>
          <w:r>
            <w:rPr>
              <w:rFonts w:cs="Arial"/>
              <w:b/>
              <w:bCs/>
              <w:szCs w:val="24"/>
            </w:rPr>
            <w:t>4</w:t>
          </w:r>
        </w:p>
      </w:tc>
    </w:tr>
    <w:tr w:rsidR="00B55B19" w14:paraId="7591D3C9" w14:textId="77777777" w:rsidTr="003938ED">
      <w:trPr>
        <w:trHeight w:val="242"/>
      </w:trPr>
      <w:tc>
        <w:tcPr>
          <w:tcW w:w="5103" w:type="dxa"/>
          <w:hideMark/>
        </w:tcPr>
        <w:p w14:paraId="729A65A8" w14:textId="77777777" w:rsidR="00B55B19" w:rsidRPr="00096248" w:rsidRDefault="00B55B19"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70BBA90F" w:rsidR="00B55B19" w:rsidRPr="00096248" w:rsidRDefault="00B55B19" w:rsidP="00011C4D">
          <w:pPr>
            <w:spacing w:after="120" w:line="240" w:lineRule="auto"/>
            <w:ind w:left="-81" w:right="71"/>
            <w:jc w:val="right"/>
            <w:rPr>
              <w:rFonts w:cs="Arial"/>
              <w:szCs w:val="24"/>
            </w:rPr>
          </w:pPr>
          <w:r w:rsidRPr="003E6347">
            <w:rPr>
              <w:rFonts w:cs="Arial"/>
              <w:szCs w:val="24"/>
            </w:rPr>
            <w:t>Ayuntamiento de Almoloya de Juárez</w:t>
          </w:r>
        </w:p>
      </w:tc>
    </w:tr>
    <w:tr w:rsidR="00B55B19" w:rsidRPr="00F63239" w14:paraId="037E914D" w14:textId="77777777" w:rsidTr="003938ED">
      <w:trPr>
        <w:trHeight w:val="342"/>
      </w:trPr>
      <w:tc>
        <w:tcPr>
          <w:tcW w:w="5103" w:type="dxa"/>
          <w:hideMark/>
        </w:tcPr>
        <w:p w14:paraId="7676B68F" w14:textId="64D69EAF" w:rsidR="00B55B19" w:rsidRPr="00096248" w:rsidRDefault="00B55B19"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B55B19" w:rsidRDefault="00B55B19"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B55B19" w:rsidRPr="00711916" w:rsidRDefault="00B55B19" w:rsidP="00011C4D">
          <w:pPr>
            <w:spacing w:after="120" w:line="240" w:lineRule="auto"/>
            <w:ind w:left="-486" w:right="71" w:firstLine="567"/>
            <w:jc w:val="right"/>
            <w:rPr>
              <w:rFonts w:cs="Arial"/>
              <w:sz w:val="2"/>
              <w:szCs w:val="2"/>
            </w:rPr>
          </w:pPr>
        </w:p>
      </w:tc>
    </w:tr>
  </w:tbl>
  <w:p w14:paraId="2998DBFD" w14:textId="25A9F426" w:rsidR="00B55B19" w:rsidRPr="00871A91" w:rsidRDefault="009E2615">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8pt;margin-top:-146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B55B1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55B19" w14:paraId="0F9FE9B6" w14:textId="77777777" w:rsidTr="70652167">
      <w:trPr>
        <w:trHeight w:val="227"/>
      </w:trPr>
      <w:tc>
        <w:tcPr>
          <w:tcW w:w="5103" w:type="dxa"/>
          <w:hideMark/>
        </w:tcPr>
        <w:p w14:paraId="6D1D9D71" w14:textId="11150E5A" w:rsidR="00B55B19" w:rsidRPr="00663A37" w:rsidRDefault="00B55B19"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7A01B3F" w:rsidR="00B55B19" w:rsidRPr="00C81ECD" w:rsidRDefault="00B55B19" w:rsidP="00011C4D">
          <w:pPr>
            <w:spacing w:after="120" w:line="240" w:lineRule="auto"/>
            <w:ind w:left="-486" w:right="68" w:firstLine="558"/>
            <w:jc w:val="right"/>
            <w:rPr>
              <w:rFonts w:cs="Arial"/>
              <w:b/>
              <w:szCs w:val="24"/>
            </w:rPr>
          </w:pPr>
          <w:r>
            <w:rPr>
              <w:rFonts w:cs="Arial"/>
              <w:b/>
              <w:bCs/>
              <w:szCs w:val="24"/>
            </w:rPr>
            <w:t>02145/INFOEM/IP/RR/2024</w:t>
          </w:r>
        </w:p>
      </w:tc>
    </w:tr>
    <w:tr w:rsidR="00B55B19" w:rsidRPr="001F57CD" w14:paraId="1377D264" w14:textId="77777777" w:rsidTr="70652167">
      <w:trPr>
        <w:trHeight w:val="196"/>
      </w:trPr>
      <w:tc>
        <w:tcPr>
          <w:tcW w:w="5103" w:type="dxa"/>
          <w:hideMark/>
        </w:tcPr>
        <w:p w14:paraId="04D597A1" w14:textId="77777777" w:rsidR="00B55B19" w:rsidRPr="00663A37" w:rsidRDefault="00B55B19"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3DADCCCB" w:rsidR="00B55B19" w:rsidRPr="00663A37" w:rsidRDefault="009E2615" w:rsidP="70652167">
          <w:pPr>
            <w:spacing w:after="120" w:line="240" w:lineRule="auto"/>
            <w:ind w:right="68"/>
            <w:jc w:val="right"/>
            <w:rPr>
              <w:rFonts w:cs="Arial"/>
              <w:lang w:val="es-ES"/>
            </w:rPr>
          </w:pPr>
          <w:r>
            <w:rPr>
              <w:rFonts w:cs="Arial"/>
              <w:lang w:val="es-ES"/>
            </w:rPr>
            <w:t>XXXXXXXXXXXXXXXXX</w:t>
          </w:r>
        </w:p>
      </w:tc>
    </w:tr>
    <w:tr w:rsidR="00B55B19" w14:paraId="4DC11993" w14:textId="77777777" w:rsidTr="70652167">
      <w:trPr>
        <w:trHeight w:val="242"/>
      </w:trPr>
      <w:tc>
        <w:tcPr>
          <w:tcW w:w="5103" w:type="dxa"/>
          <w:hideMark/>
        </w:tcPr>
        <w:p w14:paraId="76CEF1B5" w14:textId="77777777" w:rsidR="00B55B19" w:rsidRPr="00663A37" w:rsidRDefault="00B55B19"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48EC5E72" w:rsidR="00B55B19" w:rsidRPr="00663A37" w:rsidRDefault="00B55B19" w:rsidP="00011C4D">
          <w:pPr>
            <w:spacing w:after="120" w:line="240" w:lineRule="auto"/>
            <w:ind w:left="-70" w:right="68"/>
            <w:jc w:val="right"/>
            <w:rPr>
              <w:rFonts w:cs="Arial"/>
              <w:szCs w:val="24"/>
            </w:rPr>
          </w:pPr>
          <w:r w:rsidRPr="003E6347">
            <w:rPr>
              <w:rFonts w:cs="Arial"/>
              <w:szCs w:val="24"/>
            </w:rPr>
            <w:t>Ayuntamiento de Almoloya de Juárez</w:t>
          </w:r>
        </w:p>
      </w:tc>
    </w:tr>
    <w:tr w:rsidR="00B55B19" w14:paraId="5C2B511D" w14:textId="77777777" w:rsidTr="70652167">
      <w:trPr>
        <w:trHeight w:val="342"/>
      </w:trPr>
      <w:tc>
        <w:tcPr>
          <w:tcW w:w="5103" w:type="dxa"/>
          <w:hideMark/>
        </w:tcPr>
        <w:p w14:paraId="03FEF68C" w14:textId="45E91CF4" w:rsidR="00B55B19" w:rsidRPr="00663A37" w:rsidRDefault="00B55B19"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B55B19" w:rsidRPr="00663A37" w:rsidRDefault="00B55B19"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B55B19" w:rsidRPr="00871A91" w:rsidRDefault="009E2615">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8pt;margin-top:-145.3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B55B1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38628A"/>
    <w:multiLevelType w:val="hybridMultilevel"/>
    <w:tmpl w:val="8236BB66"/>
    <w:lvl w:ilvl="0" w:tplc="89C4C9A0">
      <w:start w:val="1"/>
      <w:numFmt w:val="upperRoman"/>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A22E39"/>
    <w:multiLevelType w:val="multilevel"/>
    <w:tmpl w:val="AC1A0ED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0" w15:restartNumberingAfterBreak="0">
    <w:nsid w:val="116750CB"/>
    <w:multiLevelType w:val="hybridMultilevel"/>
    <w:tmpl w:val="68B8DECA"/>
    <w:lvl w:ilvl="0" w:tplc="F57C428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340BDE"/>
    <w:multiLevelType w:val="hybridMultilevel"/>
    <w:tmpl w:val="12107146"/>
    <w:lvl w:ilvl="0" w:tplc="573E60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CC7EB0"/>
    <w:multiLevelType w:val="hybridMultilevel"/>
    <w:tmpl w:val="EE4EDCA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4"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13"/>
  </w:num>
  <w:num w:numId="3">
    <w:abstractNumId w:val="35"/>
  </w:num>
  <w:num w:numId="4">
    <w:abstractNumId w:val="16"/>
  </w:num>
  <w:num w:numId="5">
    <w:abstractNumId w:val="43"/>
  </w:num>
  <w:num w:numId="6">
    <w:abstractNumId w:val="4"/>
  </w:num>
  <w:num w:numId="7">
    <w:abstractNumId w:val="37"/>
  </w:num>
  <w:num w:numId="8">
    <w:abstractNumId w:val="12"/>
  </w:num>
  <w:num w:numId="9">
    <w:abstractNumId w:val="2"/>
  </w:num>
  <w:num w:numId="10">
    <w:abstractNumId w:val="22"/>
  </w:num>
  <w:num w:numId="11">
    <w:abstractNumId w:val="23"/>
  </w:num>
  <w:num w:numId="12">
    <w:abstractNumId w:val="44"/>
  </w:num>
  <w:num w:numId="13">
    <w:abstractNumId w:val="41"/>
  </w:num>
  <w:num w:numId="14">
    <w:abstractNumId w:val="30"/>
  </w:num>
  <w:num w:numId="15">
    <w:abstractNumId w:val="34"/>
  </w:num>
  <w:num w:numId="16">
    <w:abstractNumId w:val="20"/>
  </w:num>
  <w:num w:numId="17">
    <w:abstractNumId w:val="27"/>
  </w:num>
  <w:num w:numId="18">
    <w:abstractNumId w:val="18"/>
  </w:num>
  <w:num w:numId="19">
    <w:abstractNumId w:val="24"/>
  </w:num>
  <w:num w:numId="20">
    <w:abstractNumId w:val="7"/>
  </w:num>
  <w:num w:numId="21">
    <w:abstractNumId w:val="8"/>
  </w:num>
  <w:num w:numId="22">
    <w:abstractNumId w:val="28"/>
  </w:num>
  <w:num w:numId="23">
    <w:abstractNumId w:val="17"/>
  </w:num>
  <w:num w:numId="24">
    <w:abstractNumId w:val="26"/>
  </w:num>
  <w:num w:numId="25">
    <w:abstractNumId w:val="1"/>
  </w:num>
  <w:num w:numId="26">
    <w:abstractNumId w:val="32"/>
  </w:num>
  <w:num w:numId="27">
    <w:abstractNumId w:val="36"/>
  </w:num>
  <w:num w:numId="28">
    <w:abstractNumId w:val="42"/>
  </w:num>
  <w:num w:numId="29">
    <w:abstractNumId w:val="21"/>
  </w:num>
  <w:num w:numId="30">
    <w:abstractNumId w:val="9"/>
  </w:num>
  <w:num w:numId="31">
    <w:abstractNumId w:val="39"/>
  </w:num>
  <w:num w:numId="32">
    <w:abstractNumId w:val="33"/>
  </w:num>
  <w:num w:numId="33">
    <w:abstractNumId w:val="0"/>
  </w:num>
  <w:num w:numId="34">
    <w:abstractNumId w:val="38"/>
  </w:num>
  <w:num w:numId="35">
    <w:abstractNumId w:val="40"/>
  </w:num>
  <w:num w:numId="36">
    <w:abstractNumId w:val="25"/>
  </w:num>
  <w:num w:numId="37">
    <w:abstractNumId w:val="14"/>
  </w:num>
  <w:num w:numId="38">
    <w:abstractNumId w:val="3"/>
  </w:num>
  <w:num w:numId="39">
    <w:abstractNumId w:val="5"/>
  </w:num>
  <w:num w:numId="40">
    <w:abstractNumId w:val="10"/>
  </w:num>
  <w:num w:numId="41">
    <w:abstractNumId w:val="29"/>
  </w:num>
  <w:num w:numId="42">
    <w:abstractNumId w:val="19"/>
  </w:num>
  <w:num w:numId="43">
    <w:abstractNumId w:val="15"/>
  </w:num>
  <w:num w:numId="44">
    <w:abstractNumId w:val="11"/>
  </w:num>
  <w:num w:numId="4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3B1"/>
    <w:rsid w:val="000077FF"/>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287F"/>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5463"/>
    <w:rsid w:val="000658E9"/>
    <w:rsid w:val="000666B3"/>
    <w:rsid w:val="000676A2"/>
    <w:rsid w:val="0007107B"/>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1B9"/>
    <w:rsid w:val="00095F45"/>
    <w:rsid w:val="0009609D"/>
    <w:rsid w:val="00096248"/>
    <w:rsid w:val="000970B5"/>
    <w:rsid w:val="00097898"/>
    <w:rsid w:val="00097BFD"/>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0A63"/>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3C8E"/>
    <w:rsid w:val="001E4621"/>
    <w:rsid w:val="001E48A4"/>
    <w:rsid w:val="001E5273"/>
    <w:rsid w:val="001E5286"/>
    <w:rsid w:val="001E5453"/>
    <w:rsid w:val="001E5C3D"/>
    <w:rsid w:val="001E678B"/>
    <w:rsid w:val="001E7C62"/>
    <w:rsid w:val="001F0525"/>
    <w:rsid w:val="001F2B26"/>
    <w:rsid w:val="001F2BC9"/>
    <w:rsid w:val="001F2F39"/>
    <w:rsid w:val="001F34DD"/>
    <w:rsid w:val="001F408E"/>
    <w:rsid w:val="001F4349"/>
    <w:rsid w:val="001F4860"/>
    <w:rsid w:val="001F4EDD"/>
    <w:rsid w:val="001F57CD"/>
    <w:rsid w:val="001F5B07"/>
    <w:rsid w:val="001F5E58"/>
    <w:rsid w:val="001F6270"/>
    <w:rsid w:val="001F65BE"/>
    <w:rsid w:val="001F6C57"/>
    <w:rsid w:val="001F7890"/>
    <w:rsid w:val="001F7D76"/>
    <w:rsid w:val="001F7D9A"/>
    <w:rsid w:val="00200FAD"/>
    <w:rsid w:val="002015CF"/>
    <w:rsid w:val="00201765"/>
    <w:rsid w:val="0020257F"/>
    <w:rsid w:val="00204436"/>
    <w:rsid w:val="00204AA1"/>
    <w:rsid w:val="00205357"/>
    <w:rsid w:val="00205455"/>
    <w:rsid w:val="00205FAC"/>
    <w:rsid w:val="00206139"/>
    <w:rsid w:val="0020678C"/>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B6B"/>
    <w:rsid w:val="00234E3C"/>
    <w:rsid w:val="0023573F"/>
    <w:rsid w:val="002361D0"/>
    <w:rsid w:val="00236B9A"/>
    <w:rsid w:val="002372F0"/>
    <w:rsid w:val="00240046"/>
    <w:rsid w:val="00241201"/>
    <w:rsid w:val="002423EA"/>
    <w:rsid w:val="002432E1"/>
    <w:rsid w:val="00243315"/>
    <w:rsid w:val="00243B44"/>
    <w:rsid w:val="00243CC6"/>
    <w:rsid w:val="00243D7F"/>
    <w:rsid w:val="002454DC"/>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B88"/>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4879"/>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6F9"/>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3CE3"/>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4709"/>
    <w:rsid w:val="00324F09"/>
    <w:rsid w:val="00325487"/>
    <w:rsid w:val="0032597C"/>
    <w:rsid w:val="00325BCB"/>
    <w:rsid w:val="00325C6E"/>
    <w:rsid w:val="0032659A"/>
    <w:rsid w:val="003265D6"/>
    <w:rsid w:val="003275F8"/>
    <w:rsid w:val="0033070B"/>
    <w:rsid w:val="00330C73"/>
    <w:rsid w:val="00331513"/>
    <w:rsid w:val="0033204C"/>
    <w:rsid w:val="0033491A"/>
    <w:rsid w:val="00334F21"/>
    <w:rsid w:val="00335A61"/>
    <w:rsid w:val="0033687B"/>
    <w:rsid w:val="00337088"/>
    <w:rsid w:val="00337638"/>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347"/>
    <w:rsid w:val="003E6A4E"/>
    <w:rsid w:val="003E6C77"/>
    <w:rsid w:val="003E6E17"/>
    <w:rsid w:val="003E7594"/>
    <w:rsid w:val="003E7E83"/>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C3F"/>
    <w:rsid w:val="00434EAD"/>
    <w:rsid w:val="0043556C"/>
    <w:rsid w:val="00437085"/>
    <w:rsid w:val="004406B5"/>
    <w:rsid w:val="00441804"/>
    <w:rsid w:val="00442E5E"/>
    <w:rsid w:val="004431D5"/>
    <w:rsid w:val="004434CE"/>
    <w:rsid w:val="004436C5"/>
    <w:rsid w:val="00444DD3"/>
    <w:rsid w:val="00444E7F"/>
    <w:rsid w:val="00445514"/>
    <w:rsid w:val="00445853"/>
    <w:rsid w:val="00446CC4"/>
    <w:rsid w:val="00447748"/>
    <w:rsid w:val="00447A90"/>
    <w:rsid w:val="00451C0A"/>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0EF"/>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95"/>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45E"/>
    <w:rsid w:val="004B6671"/>
    <w:rsid w:val="004B670B"/>
    <w:rsid w:val="004B7011"/>
    <w:rsid w:val="004B79BE"/>
    <w:rsid w:val="004C0799"/>
    <w:rsid w:val="004C09C8"/>
    <w:rsid w:val="004C11B9"/>
    <w:rsid w:val="004C1324"/>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762"/>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B6A"/>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1D6"/>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72B"/>
    <w:rsid w:val="00555CE3"/>
    <w:rsid w:val="0055603D"/>
    <w:rsid w:val="00556978"/>
    <w:rsid w:val="005600CD"/>
    <w:rsid w:val="00560DD7"/>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5AA7"/>
    <w:rsid w:val="00587662"/>
    <w:rsid w:val="00587B1E"/>
    <w:rsid w:val="00587E84"/>
    <w:rsid w:val="005913E6"/>
    <w:rsid w:val="005944ED"/>
    <w:rsid w:val="0059574D"/>
    <w:rsid w:val="005964D7"/>
    <w:rsid w:val="00596D61"/>
    <w:rsid w:val="00596FB6"/>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2B04"/>
    <w:rsid w:val="005B32C9"/>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06D46"/>
    <w:rsid w:val="006100FC"/>
    <w:rsid w:val="00610274"/>
    <w:rsid w:val="00610A95"/>
    <w:rsid w:val="006115F0"/>
    <w:rsid w:val="00611CEF"/>
    <w:rsid w:val="00613401"/>
    <w:rsid w:val="00613F4F"/>
    <w:rsid w:val="00614F26"/>
    <w:rsid w:val="0061516D"/>
    <w:rsid w:val="00615B10"/>
    <w:rsid w:val="00615FAA"/>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23C"/>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BB4"/>
    <w:rsid w:val="00665A8F"/>
    <w:rsid w:val="00666458"/>
    <w:rsid w:val="00666B9D"/>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32F"/>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BA9"/>
    <w:rsid w:val="00765C81"/>
    <w:rsid w:val="00765F06"/>
    <w:rsid w:val="00766A73"/>
    <w:rsid w:val="00766F19"/>
    <w:rsid w:val="0077047B"/>
    <w:rsid w:val="007712C7"/>
    <w:rsid w:val="0077211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A76D7"/>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B1E"/>
    <w:rsid w:val="007D1D80"/>
    <w:rsid w:val="007D1F12"/>
    <w:rsid w:val="007D2550"/>
    <w:rsid w:val="007D2646"/>
    <w:rsid w:val="007D31AD"/>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45E6"/>
    <w:rsid w:val="0080575D"/>
    <w:rsid w:val="008058D0"/>
    <w:rsid w:val="008074C5"/>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6E35"/>
    <w:rsid w:val="008275DC"/>
    <w:rsid w:val="0082778F"/>
    <w:rsid w:val="00827AF8"/>
    <w:rsid w:val="00827D60"/>
    <w:rsid w:val="0083028E"/>
    <w:rsid w:val="008302C5"/>
    <w:rsid w:val="00830D47"/>
    <w:rsid w:val="00831867"/>
    <w:rsid w:val="00831A8D"/>
    <w:rsid w:val="00831D6C"/>
    <w:rsid w:val="00832F6C"/>
    <w:rsid w:val="008341ED"/>
    <w:rsid w:val="00835381"/>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6E3"/>
    <w:rsid w:val="008529E6"/>
    <w:rsid w:val="00852CDD"/>
    <w:rsid w:val="008542A4"/>
    <w:rsid w:val="0085493E"/>
    <w:rsid w:val="00855E11"/>
    <w:rsid w:val="008562D6"/>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53EC"/>
    <w:rsid w:val="00885F19"/>
    <w:rsid w:val="00886866"/>
    <w:rsid w:val="00886880"/>
    <w:rsid w:val="00886B67"/>
    <w:rsid w:val="00890A94"/>
    <w:rsid w:val="00890AFA"/>
    <w:rsid w:val="00891A13"/>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4A33"/>
    <w:rsid w:val="008C5658"/>
    <w:rsid w:val="008C5DCA"/>
    <w:rsid w:val="008C6338"/>
    <w:rsid w:val="008C6360"/>
    <w:rsid w:val="008C64B9"/>
    <w:rsid w:val="008D0ADE"/>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6F57"/>
    <w:rsid w:val="008D72B9"/>
    <w:rsid w:val="008D7CF6"/>
    <w:rsid w:val="008E05B1"/>
    <w:rsid w:val="008E2254"/>
    <w:rsid w:val="008E2654"/>
    <w:rsid w:val="008E2AF5"/>
    <w:rsid w:val="008E2C34"/>
    <w:rsid w:val="008E35F3"/>
    <w:rsid w:val="008E4808"/>
    <w:rsid w:val="008E4929"/>
    <w:rsid w:val="008E4FF4"/>
    <w:rsid w:val="008E5682"/>
    <w:rsid w:val="008E5C69"/>
    <w:rsid w:val="008E6DB1"/>
    <w:rsid w:val="008E7242"/>
    <w:rsid w:val="008F0FB4"/>
    <w:rsid w:val="008F1C22"/>
    <w:rsid w:val="008F2554"/>
    <w:rsid w:val="008F2C23"/>
    <w:rsid w:val="008F47DC"/>
    <w:rsid w:val="008F50E6"/>
    <w:rsid w:val="008F52B5"/>
    <w:rsid w:val="008F635E"/>
    <w:rsid w:val="008F69A1"/>
    <w:rsid w:val="008F738E"/>
    <w:rsid w:val="008F7ACB"/>
    <w:rsid w:val="009002CE"/>
    <w:rsid w:val="0090115A"/>
    <w:rsid w:val="0090120A"/>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2140"/>
    <w:rsid w:val="00925D59"/>
    <w:rsid w:val="00926716"/>
    <w:rsid w:val="00927B97"/>
    <w:rsid w:val="009308DA"/>
    <w:rsid w:val="00931DB7"/>
    <w:rsid w:val="00932101"/>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71A"/>
    <w:rsid w:val="00960A35"/>
    <w:rsid w:val="00960C91"/>
    <w:rsid w:val="00961911"/>
    <w:rsid w:val="00961AEB"/>
    <w:rsid w:val="00961B6D"/>
    <w:rsid w:val="00962A88"/>
    <w:rsid w:val="00963717"/>
    <w:rsid w:val="00963E37"/>
    <w:rsid w:val="00965586"/>
    <w:rsid w:val="00965CC4"/>
    <w:rsid w:val="0096624D"/>
    <w:rsid w:val="00966A2E"/>
    <w:rsid w:val="009674D4"/>
    <w:rsid w:val="009676E3"/>
    <w:rsid w:val="00967E6A"/>
    <w:rsid w:val="00970143"/>
    <w:rsid w:val="00970B7F"/>
    <w:rsid w:val="00970C38"/>
    <w:rsid w:val="00971614"/>
    <w:rsid w:val="00972340"/>
    <w:rsid w:val="00974A7A"/>
    <w:rsid w:val="00975014"/>
    <w:rsid w:val="0097516B"/>
    <w:rsid w:val="009752FA"/>
    <w:rsid w:val="009754C3"/>
    <w:rsid w:val="009755CD"/>
    <w:rsid w:val="009758B1"/>
    <w:rsid w:val="00977693"/>
    <w:rsid w:val="00977AC6"/>
    <w:rsid w:val="00977BB1"/>
    <w:rsid w:val="00980C24"/>
    <w:rsid w:val="009818E4"/>
    <w:rsid w:val="00982494"/>
    <w:rsid w:val="00983C60"/>
    <w:rsid w:val="009845F3"/>
    <w:rsid w:val="009845FD"/>
    <w:rsid w:val="00986E0B"/>
    <w:rsid w:val="00987C19"/>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242D"/>
    <w:rsid w:val="009A320F"/>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2615"/>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27DE"/>
    <w:rsid w:val="00A04222"/>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70"/>
    <w:rsid w:val="00A73EF9"/>
    <w:rsid w:val="00A74912"/>
    <w:rsid w:val="00A74A2B"/>
    <w:rsid w:val="00A75324"/>
    <w:rsid w:val="00A756C6"/>
    <w:rsid w:val="00A76999"/>
    <w:rsid w:val="00A77200"/>
    <w:rsid w:val="00A80AA5"/>
    <w:rsid w:val="00A80BB6"/>
    <w:rsid w:val="00A80C68"/>
    <w:rsid w:val="00A8147A"/>
    <w:rsid w:val="00A816D7"/>
    <w:rsid w:val="00A821AF"/>
    <w:rsid w:val="00A844B8"/>
    <w:rsid w:val="00A849C8"/>
    <w:rsid w:val="00A85309"/>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19D1"/>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40C"/>
    <w:rsid w:val="00B00A28"/>
    <w:rsid w:val="00B00C8E"/>
    <w:rsid w:val="00B02674"/>
    <w:rsid w:val="00B02AA5"/>
    <w:rsid w:val="00B045EC"/>
    <w:rsid w:val="00B04F50"/>
    <w:rsid w:val="00B05AE4"/>
    <w:rsid w:val="00B05CA6"/>
    <w:rsid w:val="00B065AF"/>
    <w:rsid w:val="00B07742"/>
    <w:rsid w:val="00B10224"/>
    <w:rsid w:val="00B1073D"/>
    <w:rsid w:val="00B1129B"/>
    <w:rsid w:val="00B11CD7"/>
    <w:rsid w:val="00B1205D"/>
    <w:rsid w:val="00B128F0"/>
    <w:rsid w:val="00B13307"/>
    <w:rsid w:val="00B1367C"/>
    <w:rsid w:val="00B13B7B"/>
    <w:rsid w:val="00B15202"/>
    <w:rsid w:val="00B1553A"/>
    <w:rsid w:val="00B15920"/>
    <w:rsid w:val="00B1688A"/>
    <w:rsid w:val="00B17577"/>
    <w:rsid w:val="00B21CD1"/>
    <w:rsid w:val="00B23256"/>
    <w:rsid w:val="00B244AA"/>
    <w:rsid w:val="00B24CF5"/>
    <w:rsid w:val="00B25441"/>
    <w:rsid w:val="00B26507"/>
    <w:rsid w:val="00B269CE"/>
    <w:rsid w:val="00B3055A"/>
    <w:rsid w:val="00B31920"/>
    <w:rsid w:val="00B31CD8"/>
    <w:rsid w:val="00B32535"/>
    <w:rsid w:val="00B3277B"/>
    <w:rsid w:val="00B32A9E"/>
    <w:rsid w:val="00B32B21"/>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5B19"/>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21B2"/>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2702"/>
    <w:rsid w:val="00BD3209"/>
    <w:rsid w:val="00BD323A"/>
    <w:rsid w:val="00BD3692"/>
    <w:rsid w:val="00BD3E45"/>
    <w:rsid w:val="00BD3ECE"/>
    <w:rsid w:val="00BD4316"/>
    <w:rsid w:val="00BD5782"/>
    <w:rsid w:val="00BD5EFA"/>
    <w:rsid w:val="00BD6C6F"/>
    <w:rsid w:val="00BD6DCD"/>
    <w:rsid w:val="00BD780A"/>
    <w:rsid w:val="00BE0194"/>
    <w:rsid w:val="00BE092B"/>
    <w:rsid w:val="00BE0CEB"/>
    <w:rsid w:val="00BE1CF2"/>
    <w:rsid w:val="00BE1E12"/>
    <w:rsid w:val="00BE27FB"/>
    <w:rsid w:val="00BE2D09"/>
    <w:rsid w:val="00BE346A"/>
    <w:rsid w:val="00BE46DF"/>
    <w:rsid w:val="00BE635E"/>
    <w:rsid w:val="00BE6364"/>
    <w:rsid w:val="00BE6D71"/>
    <w:rsid w:val="00BE6DC4"/>
    <w:rsid w:val="00BE718D"/>
    <w:rsid w:val="00BE7A12"/>
    <w:rsid w:val="00BE7ADF"/>
    <w:rsid w:val="00BE7CAE"/>
    <w:rsid w:val="00BE7D4F"/>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5042D"/>
    <w:rsid w:val="00C510A7"/>
    <w:rsid w:val="00C52AC3"/>
    <w:rsid w:val="00C536D2"/>
    <w:rsid w:val="00C54558"/>
    <w:rsid w:val="00C558A4"/>
    <w:rsid w:val="00C559CD"/>
    <w:rsid w:val="00C57E04"/>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1A87"/>
    <w:rsid w:val="00C72BDC"/>
    <w:rsid w:val="00C72F35"/>
    <w:rsid w:val="00C73ED0"/>
    <w:rsid w:val="00C74ACA"/>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778"/>
    <w:rsid w:val="00CC6BC0"/>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489F"/>
    <w:rsid w:val="00D549DF"/>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EB"/>
    <w:rsid w:val="00D86103"/>
    <w:rsid w:val="00D8663B"/>
    <w:rsid w:val="00D86696"/>
    <w:rsid w:val="00D875BA"/>
    <w:rsid w:val="00D878B6"/>
    <w:rsid w:val="00D87FC0"/>
    <w:rsid w:val="00D90C1B"/>
    <w:rsid w:val="00D90FB3"/>
    <w:rsid w:val="00D910B9"/>
    <w:rsid w:val="00D91CC0"/>
    <w:rsid w:val="00D91E87"/>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E4B"/>
    <w:rsid w:val="00E00957"/>
    <w:rsid w:val="00E01DDD"/>
    <w:rsid w:val="00E0232E"/>
    <w:rsid w:val="00E0349F"/>
    <w:rsid w:val="00E03FCB"/>
    <w:rsid w:val="00E0443E"/>
    <w:rsid w:val="00E0480A"/>
    <w:rsid w:val="00E05FCE"/>
    <w:rsid w:val="00E065CE"/>
    <w:rsid w:val="00E076EA"/>
    <w:rsid w:val="00E0787C"/>
    <w:rsid w:val="00E07E93"/>
    <w:rsid w:val="00E10734"/>
    <w:rsid w:val="00E120FC"/>
    <w:rsid w:val="00E12997"/>
    <w:rsid w:val="00E12D07"/>
    <w:rsid w:val="00E145C0"/>
    <w:rsid w:val="00E14BA9"/>
    <w:rsid w:val="00E1701F"/>
    <w:rsid w:val="00E1736D"/>
    <w:rsid w:val="00E1746A"/>
    <w:rsid w:val="00E207AC"/>
    <w:rsid w:val="00E2095F"/>
    <w:rsid w:val="00E2168A"/>
    <w:rsid w:val="00E224FF"/>
    <w:rsid w:val="00E22FD4"/>
    <w:rsid w:val="00E23A0E"/>
    <w:rsid w:val="00E23EE3"/>
    <w:rsid w:val="00E245A1"/>
    <w:rsid w:val="00E24831"/>
    <w:rsid w:val="00E25228"/>
    <w:rsid w:val="00E25361"/>
    <w:rsid w:val="00E258F1"/>
    <w:rsid w:val="00E27953"/>
    <w:rsid w:val="00E27A9D"/>
    <w:rsid w:val="00E30F56"/>
    <w:rsid w:val="00E31001"/>
    <w:rsid w:val="00E314BF"/>
    <w:rsid w:val="00E318E5"/>
    <w:rsid w:val="00E328C4"/>
    <w:rsid w:val="00E32B7F"/>
    <w:rsid w:val="00E3391B"/>
    <w:rsid w:val="00E34A4E"/>
    <w:rsid w:val="00E35198"/>
    <w:rsid w:val="00E35AA6"/>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0D04"/>
    <w:rsid w:val="00EA1864"/>
    <w:rsid w:val="00EA1F76"/>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F58"/>
    <w:rsid w:val="00EF6FA1"/>
    <w:rsid w:val="00EF71A3"/>
    <w:rsid w:val="00EF7935"/>
    <w:rsid w:val="00F01526"/>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26"/>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D38"/>
    <w:rsid w:val="00F77F4D"/>
    <w:rsid w:val="00F809C6"/>
    <w:rsid w:val="00F81408"/>
    <w:rsid w:val="00F815F4"/>
    <w:rsid w:val="00F832E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0EB"/>
    <w:rsid w:val="00FF47CD"/>
    <w:rsid w:val="00FF48BE"/>
    <w:rsid w:val="00FF4CA5"/>
    <w:rsid w:val="00FF5344"/>
    <w:rsid w:val="00FF5532"/>
    <w:rsid w:val="00FF5DBD"/>
    <w:rsid w:val="00FF6225"/>
    <w:rsid w:val="00FF67D7"/>
    <w:rsid w:val="23D2082F"/>
    <w:rsid w:val="44E9108F"/>
    <w:rsid w:val="5A438623"/>
    <w:rsid w:val="5C35490E"/>
    <w:rsid w:val="6E57E726"/>
    <w:rsid w:val="70652167"/>
    <w:rsid w:val="7A509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 w:type="numbering" w:customStyle="1" w:styleId="Listaactual31">
    <w:name w:val="Lista actual31"/>
    <w:uiPriority w:val="99"/>
    <w:rsid w:val="00957190"/>
    <w:pPr>
      <w:numPr>
        <w:numId w:val="41"/>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3C05-5B87-4732-84D5-D0BE92D1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7612</Words>
  <Characters>41869</Characters>
  <Application>Microsoft Office Word</Application>
  <DocSecurity>0</DocSecurity>
  <Lines>348</Lines>
  <Paragraphs>98</Paragraphs>
  <ScaleCrop>false</ScaleCrop>
  <Company/>
  <LinksUpToDate>false</LinksUpToDate>
  <CharactersWithSpaces>49383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17</cp:revision>
  <cp:lastPrinted>2019-06-13T16:30:00Z</cp:lastPrinted>
  <dcterms:created xsi:type="dcterms:W3CDTF">2024-08-22T19:12:00Z</dcterms:created>
  <dcterms:modified xsi:type="dcterms:W3CDTF">2024-09-26T15:45:00Z</dcterms:modified>
</cp:coreProperties>
</file>