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128BC" w14:textId="77777777" w:rsidR="0007176C" w:rsidRDefault="0007176C">
      <w:pPr>
        <w:widowControl w:val="0"/>
        <w:pBdr>
          <w:top w:val="nil"/>
          <w:left w:val="nil"/>
          <w:bottom w:val="nil"/>
          <w:right w:val="nil"/>
          <w:between w:val="nil"/>
        </w:pBdr>
        <w:spacing w:line="276" w:lineRule="auto"/>
      </w:pPr>
    </w:p>
    <w:p w14:paraId="36D45FD5" w14:textId="77777777" w:rsidR="0007176C" w:rsidRDefault="0007176C">
      <w:pPr>
        <w:widowControl w:val="0"/>
        <w:pBdr>
          <w:top w:val="nil"/>
          <w:left w:val="nil"/>
          <w:bottom w:val="nil"/>
          <w:right w:val="nil"/>
          <w:between w:val="nil"/>
        </w:pBdr>
        <w:spacing w:line="276" w:lineRule="auto"/>
        <w:rPr>
          <w:sz w:val="22"/>
          <w:szCs w:val="22"/>
        </w:rPr>
      </w:pPr>
    </w:p>
    <w:p w14:paraId="0C6D3650" w14:textId="77777777" w:rsidR="0007176C" w:rsidRDefault="0075532F">
      <w:pPr>
        <w:tabs>
          <w:tab w:val="left" w:pos="0"/>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w:t>
      </w:r>
      <w:r w:rsidR="00CF0B06">
        <w:rPr>
          <w:rFonts w:ascii="Palatino Linotype" w:eastAsia="Palatino Linotype" w:hAnsi="Palatino Linotype" w:cs="Palatino Linotype"/>
          <w:sz w:val="22"/>
          <w:szCs w:val="22"/>
        </w:rPr>
        <w:t>epec, Estado de México; de trece (13</w:t>
      </w:r>
      <w:r>
        <w:rPr>
          <w:rFonts w:ascii="Palatino Linotype" w:eastAsia="Palatino Linotype" w:hAnsi="Palatino Linotype" w:cs="Palatino Linotype"/>
          <w:sz w:val="22"/>
          <w:szCs w:val="22"/>
        </w:rPr>
        <w:t xml:space="preserve">) de noviembre de dos mil  veinticuatro. </w:t>
      </w:r>
    </w:p>
    <w:p w14:paraId="54C95CEC" w14:textId="77777777" w:rsidR="0007176C" w:rsidRDefault="0007176C">
      <w:pPr>
        <w:tabs>
          <w:tab w:val="left" w:pos="0"/>
        </w:tabs>
        <w:spacing w:line="360" w:lineRule="auto"/>
        <w:jc w:val="both"/>
        <w:rPr>
          <w:rFonts w:ascii="Palatino Linotype" w:eastAsia="Palatino Linotype" w:hAnsi="Palatino Linotype" w:cs="Palatino Linotype"/>
          <w:sz w:val="22"/>
          <w:szCs w:val="22"/>
        </w:rPr>
      </w:pPr>
    </w:p>
    <w:p w14:paraId="4BFEBCF9" w14:textId="2FAAE45D" w:rsidR="0007176C" w:rsidRDefault="0075532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VISTO</w:t>
      </w:r>
      <w:r>
        <w:rPr>
          <w:rFonts w:ascii="Palatino Linotype" w:eastAsia="Palatino Linotype" w:hAnsi="Palatino Linotype" w:cs="Palatino Linotype"/>
          <w:sz w:val="22"/>
          <w:szCs w:val="22"/>
        </w:rPr>
        <w:t xml:space="preserve"> el expediente electrónico formado con motivo del recurso de revisión </w:t>
      </w:r>
      <w:r>
        <w:rPr>
          <w:rFonts w:ascii="Palatino Linotype" w:eastAsia="Palatino Linotype" w:hAnsi="Palatino Linotype" w:cs="Palatino Linotype"/>
          <w:b/>
          <w:sz w:val="22"/>
          <w:szCs w:val="22"/>
        </w:rPr>
        <w:t xml:space="preserve">03258/INFOEM/IP/RR/2024, </w:t>
      </w:r>
      <w:r>
        <w:rPr>
          <w:rFonts w:ascii="Palatino Linotype" w:eastAsia="Palatino Linotype" w:hAnsi="Palatino Linotype" w:cs="Palatino Linotype"/>
          <w:sz w:val="22"/>
          <w:szCs w:val="22"/>
        </w:rPr>
        <w:t>promovido por</w:t>
      </w:r>
      <w:r>
        <w:rPr>
          <w:rFonts w:ascii="Palatino Linotype" w:eastAsia="Palatino Linotype" w:hAnsi="Palatino Linotype" w:cs="Palatino Linotype"/>
          <w:b/>
          <w:sz w:val="22"/>
          <w:szCs w:val="22"/>
        </w:rPr>
        <w:t> </w:t>
      </w:r>
      <w:r w:rsidR="001B7D88">
        <w:rPr>
          <w:rFonts w:ascii="Palatino Linotype" w:eastAsia="Palatino Linotype" w:hAnsi="Palatino Linotype" w:cs="Palatino Linotype"/>
          <w:b/>
          <w:sz w:val="22"/>
          <w:szCs w:val="22"/>
        </w:rPr>
        <w:t xml:space="preserve">XXX </w:t>
      </w:r>
      <w:proofErr w:type="spellStart"/>
      <w:r w:rsidR="001B7D88">
        <w:rPr>
          <w:rFonts w:ascii="Palatino Linotype" w:eastAsia="Palatino Linotype" w:hAnsi="Palatino Linotype" w:cs="Palatino Linotype"/>
          <w:b/>
          <w:sz w:val="22"/>
          <w:szCs w:val="22"/>
        </w:rPr>
        <w:t>XXX</w:t>
      </w:r>
      <w:proofErr w:type="spellEnd"/>
      <w:r>
        <w:rPr>
          <w:rFonts w:ascii="Palatino Linotype" w:eastAsia="Palatino Linotype" w:hAnsi="Palatino Linotype" w:cs="Palatino Linotype"/>
          <w:sz w:val="22"/>
          <w:szCs w:val="22"/>
        </w:rPr>
        <w:t xml:space="preserve">, quien en lo sucesivo se le identificara como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en contra de la respuesta del </w:t>
      </w:r>
      <w:r>
        <w:rPr>
          <w:rFonts w:ascii="Palatino Linotype" w:eastAsia="Palatino Linotype" w:hAnsi="Palatino Linotype" w:cs="Palatino Linotype"/>
          <w:b/>
          <w:sz w:val="22"/>
          <w:szCs w:val="22"/>
        </w:rPr>
        <w:t xml:space="preserve">Ayuntamiento de Metepec, </w:t>
      </w:r>
      <w:r>
        <w:rPr>
          <w:rFonts w:ascii="Palatino Linotype" w:eastAsia="Palatino Linotype" w:hAnsi="Palatino Linotype" w:cs="Palatino Linotype"/>
          <w:sz w:val="22"/>
          <w:szCs w:val="22"/>
        </w:rPr>
        <w:t>en lo sucesivo el</w:t>
      </w:r>
      <w:r>
        <w:rPr>
          <w:rFonts w:ascii="Palatino Linotype" w:eastAsia="Palatino Linotype" w:hAnsi="Palatino Linotype" w:cs="Palatino Linotype"/>
          <w:b/>
          <w:sz w:val="22"/>
          <w:szCs w:val="22"/>
        </w:rPr>
        <w:t xml:space="preserve"> SUJETO OBLIGADO, </w:t>
      </w:r>
      <w:r>
        <w:rPr>
          <w:rFonts w:ascii="Palatino Linotype" w:eastAsia="Palatino Linotype" w:hAnsi="Palatino Linotype" w:cs="Palatino Linotype"/>
          <w:sz w:val="22"/>
          <w:szCs w:val="22"/>
        </w:rPr>
        <w:t xml:space="preserve">se procede a dictar la presente resolución, con base en los siguientes: </w:t>
      </w:r>
    </w:p>
    <w:p w14:paraId="06A4843D" w14:textId="77777777" w:rsidR="0007176C" w:rsidRDefault="0007176C">
      <w:pPr>
        <w:spacing w:line="360" w:lineRule="auto"/>
        <w:jc w:val="both"/>
        <w:rPr>
          <w:rFonts w:ascii="Palatino Linotype" w:eastAsia="Palatino Linotype" w:hAnsi="Palatino Linotype" w:cs="Palatino Linotype"/>
          <w:sz w:val="22"/>
          <w:szCs w:val="22"/>
        </w:rPr>
      </w:pPr>
    </w:p>
    <w:p w14:paraId="7071BB39" w14:textId="77777777" w:rsidR="0007176C" w:rsidRDefault="0075532F">
      <w:pPr>
        <w:keepNext/>
        <w:keepLines/>
        <w:tabs>
          <w:tab w:val="left" w:pos="0"/>
        </w:tabs>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ANTECEDENTES</w:t>
      </w:r>
    </w:p>
    <w:p w14:paraId="56287A35" w14:textId="77777777" w:rsidR="0007176C" w:rsidRDefault="0007176C">
      <w:pPr>
        <w:keepNext/>
        <w:keepLines/>
        <w:tabs>
          <w:tab w:val="left" w:pos="0"/>
        </w:tabs>
        <w:spacing w:line="360" w:lineRule="auto"/>
        <w:jc w:val="center"/>
        <w:rPr>
          <w:rFonts w:ascii="Palatino Linotype" w:eastAsia="Palatino Linotype" w:hAnsi="Palatino Linotype" w:cs="Palatino Linotype"/>
          <w:b/>
          <w:sz w:val="22"/>
          <w:szCs w:val="22"/>
        </w:rPr>
      </w:pPr>
    </w:p>
    <w:p w14:paraId="69E530DF" w14:textId="77777777" w:rsidR="0007176C" w:rsidRDefault="0075532F">
      <w:pPr>
        <w:numPr>
          <w:ilvl w:val="0"/>
          <w:numId w:val="1"/>
        </w:numPr>
        <w:tabs>
          <w:tab w:val="left" w:pos="0"/>
        </w:tabs>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diez (10) de abril de dos mil veinticuatro, el</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solicitante</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presentó</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ante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 través del Sistema de Acceso a la Información Mexiquense (SAIMEX), la solicitud de información pública registrada con el número </w:t>
      </w:r>
      <w:r>
        <w:rPr>
          <w:rFonts w:ascii="Palatino Linotype" w:eastAsia="Palatino Linotype" w:hAnsi="Palatino Linotype" w:cs="Palatino Linotype"/>
          <w:b/>
          <w:sz w:val="22"/>
          <w:szCs w:val="22"/>
        </w:rPr>
        <w:t> 00193/METEPEC/IP/2024</w:t>
      </w:r>
      <w:r>
        <w:rPr>
          <w:rFonts w:ascii="Palatino Linotype" w:eastAsia="Palatino Linotype" w:hAnsi="Palatino Linotype" w:cs="Palatino Linotype"/>
          <w:sz w:val="22"/>
          <w:szCs w:val="22"/>
        </w:rPr>
        <w:t>, mediante la cual se solicitó:</w:t>
      </w:r>
    </w:p>
    <w:p w14:paraId="1890D140" w14:textId="77777777" w:rsidR="0007176C" w:rsidRDefault="0007176C">
      <w:pPr>
        <w:tabs>
          <w:tab w:val="left" w:pos="0"/>
        </w:tabs>
        <w:spacing w:line="360" w:lineRule="auto"/>
        <w:ind w:left="360"/>
        <w:jc w:val="both"/>
        <w:rPr>
          <w:rFonts w:ascii="Palatino Linotype" w:eastAsia="Palatino Linotype" w:hAnsi="Palatino Linotype" w:cs="Palatino Linotype"/>
          <w:sz w:val="22"/>
          <w:szCs w:val="22"/>
        </w:rPr>
      </w:pPr>
    </w:p>
    <w:p w14:paraId="06B84FDB" w14:textId="77777777" w:rsidR="0007176C" w:rsidRDefault="0075532F">
      <w:pPr>
        <w:tabs>
          <w:tab w:val="left" w:pos="0"/>
        </w:tabs>
        <w:spacing w:line="360" w:lineRule="auto"/>
        <w:ind w:left="567"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i/>
          <w:color w:val="000000"/>
          <w:sz w:val="22"/>
          <w:szCs w:val="22"/>
        </w:rPr>
        <w:t>A quien corresponda, Buen día. Con el propósito de obtener información sobre un local situado en el municipio de Metepec, me permito dirigirme a usted. Mi interés radica en saber si la unidad económica denominada como “</w:t>
      </w:r>
      <w:r w:rsidRPr="001B7D88">
        <w:rPr>
          <w:rFonts w:ascii="Palatino Linotype" w:eastAsia="Palatino Linotype" w:hAnsi="Palatino Linotype" w:cs="Palatino Linotype"/>
          <w:i/>
          <w:color w:val="000000"/>
          <w:sz w:val="22"/>
          <w:szCs w:val="22"/>
          <w:highlight w:val="yellow"/>
        </w:rPr>
        <w:t xml:space="preserve">Templo </w:t>
      </w:r>
      <w:proofErr w:type="spellStart"/>
      <w:r w:rsidRPr="001B7D88">
        <w:rPr>
          <w:rFonts w:ascii="Palatino Linotype" w:eastAsia="Palatino Linotype" w:hAnsi="Palatino Linotype" w:cs="Palatino Linotype"/>
          <w:i/>
          <w:color w:val="000000"/>
          <w:sz w:val="22"/>
          <w:szCs w:val="22"/>
          <w:highlight w:val="yellow"/>
        </w:rPr>
        <w:t>Rooftop</w:t>
      </w:r>
      <w:proofErr w:type="spellEnd"/>
      <w:r w:rsidRPr="001B7D88">
        <w:rPr>
          <w:rFonts w:ascii="Palatino Linotype" w:eastAsia="Palatino Linotype" w:hAnsi="Palatino Linotype" w:cs="Palatino Linotype"/>
          <w:i/>
          <w:color w:val="000000"/>
          <w:sz w:val="22"/>
          <w:szCs w:val="22"/>
          <w:highlight w:val="yellow"/>
        </w:rPr>
        <w:t xml:space="preserve"> Metepec</w:t>
      </w:r>
      <w:r>
        <w:rPr>
          <w:rFonts w:ascii="Palatino Linotype" w:eastAsia="Palatino Linotype" w:hAnsi="Palatino Linotype" w:cs="Palatino Linotype"/>
          <w:i/>
          <w:color w:val="000000"/>
          <w:sz w:val="22"/>
          <w:szCs w:val="22"/>
        </w:rPr>
        <w:t xml:space="preserve">”, con domicilio en Calle Porfirio Díaz 12, </w:t>
      </w:r>
      <w:proofErr w:type="spellStart"/>
      <w:r>
        <w:rPr>
          <w:rFonts w:ascii="Palatino Linotype" w:eastAsia="Palatino Linotype" w:hAnsi="Palatino Linotype" w:cs="Palatino Linotype"/>
          <w:i/>
          <w:color w:val="000000"/>
          <w:sz w:val="22"/>
          <w:szCs w:val="22"/>
        </w:rPr>
        <w:t>Espiritu</w:t>
      </w:r>
      <w:proofErr w:type="spellEnd"/>
      <w:r>
        <w:rPr>
          <w:rFonts w:ascii="Palatino Linotype" w:eastAsia="Palatino Linotype" w:hAnsi="Palatino Linotype" w:cs="Palatino Linotype"/>
          <w:i/>
          <w:color w:val="000000"/>
          <w:sz w:val="22"/>
          <w:szCs w:val="22"/>
        </w:rPr>
        <w:t xml:space="preserve"> Santo, 52140 Metepec, México, cumple con los requisitos establecidos por la ley para su funcionamiento. Agradeceré me facilite la siguiente información: 1. Versiones públicas de las licencias de funcionamiento. 2. Permisos. 3. Giro comercial del local. 4. Confirmación del domicilio, anteriormente mencionado. Quedo a la espera de su pronta respuesta con la información solicitada. Si requiere de más detalles o tiene alguna pregunta adicional, no dude en ponerse en contacto conmigo. Saludos cordiales.</w:t>
      </w:r>
      <w:r>
        <w:rPr>
          <w:rFonts w:ascii="Palatino Linotype" w:eastAsia="Palatino Linotype" w:hAnsi="Palatino Linotype" w:cs="Palatino Linotype"/>
          <w:i/>
          <w:sz w:val="22"/>
          <w:szCs w:val="22"/>
        </w:rPr>
        <w:t>” (Sic)</w:t>
      </w:r>
    </w:p>
    <w:p w14:paraId="67DC4299" w14:textId="77777777" w:rsidR="0007176C" w:rsidRDefault="0007176C">
      <w:pPr>
        <w:tabs>
          <w:tab w:val="left" w:pos="0"/>
        </w:tabs>
        <w:spacing w:line="360" w:lineRule="auto"/>
        <w:ind w:left="567" w:right="49"/>
        <w:jc w:val="both"/>
        <w:rPr>
          <w:rFonts w:ascii="Palatino Linotype" w:eastAsia="Palatino Linotype" w:hAnsi="Palatino Linotype" w:cs="Palatino Linotype"/>
          <w:i/>
          <w:sz w:val="22"/>
          <w:szCs w:val="22"/>
        </w:rPr>
      </w:pPr>
    </w:p>
    <w:p w14:paraId="07F3D0B6" w14:textId="77777777" w:rsidR="0007176C" w:rsidRDefault="007553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Se hace constar que se señaló como modalidad de entrega de la información a través de SAIMEX.</w:t>
      </w:r>
      <w:r>
        <w:rPr>
          <w:rFonts w:ascii="Palatino Linotype" w:eastAsia="Palatino Linotype" w:hAnsi="Palatino Linotype" w:cs="Palatino Linotype"/>
          <w:b/>
          <w:color w:val="000000"/>
          <w:sz w:val="22"/>
          <w:szCs w:val="22"/>
        </w:rPr>
        <w:t xml:space="preserve">  </w:t>
      </w:r>
    </w:p>
    <w:p w14:paraId="2F9A8386" w14:textId="77777777" w:rsidR="0007176C" w:rsidRDefault="0007176C">
      <w:pPr>
        <w:tabs>
          <w:tab w:val="left" w:pos="0"/>
        </w:tabs>
        <w:spacing w:line="360" w:lineRule="auto"/>
        <w:ind w:right="34"/>
        <w:jc w:val="both"/>
        <w:rPr>
          <w:rFonts w:ascii="Palatino Linotype" w:eastAsia="Palatino Linotype" w:hAnsi="Palatino Linotype" w:cs="Palatino Linotype"/>
          <w:b/>
          <w:sz w:val="22"/>
          <w:szCs w:val="22"/>
        </w:rPr>
      </w:pPr>
    </w:p>
    <w:p w14:paraId="55B4885D" w14:textId="77777777" w:rsidR="0007176C" w:rsidRDefault="0075532F">
      <w:pPr>
        <w:numPr>
          <w:ilvl w:val="0"/>
          <w:numId w:val="1"/>
        </w:numPr>
        <w:tabs>
          <w:tab w:val="left" w:pos="0"/>
        </w:tabs>
        <w:spacing w:line="360" w:lineRule="auto"/>
        <w:ind w:left="0" w:right="34"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El quince (15) de abril de dos mil veinticuatro, se realizó un requerimiento al servidor público habilitado</w:t>
      </w:r>
      <w:r>
        <w:rPr>
          <w:rFonts w:ascii="Palatino Linotype" w:eastAsia="Palatino Linotype" w:hAnsi="Palatino Linotype" w:cs="Palatino Linotype"/>
          <w:b/>
          <w:sz w:val="22"/>
          <w:szCs w:val="22"/>
        </w:rPr>
        <w:t xml:space="preserve">. </w:t>
      </w:r>
    </w:p>
    <w:p w14:paraId="09E04C14" w14:textId="77777777" w:rsidR="0007176C" w:rsidRDefault="0007176C">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7CD34B24" w14:textId="77777777" w:rsidR="0007176C" w:rsidRDefault="0075532F">
      <w:pPr>
        <w:numPr>
          <w:ilvl w:val="0"/>
          <w:numId w:val="1"/>
        </w:numPr>
        <w:tabs>
          <w:tab w:val="left" w:pos="0"/>
        </w:tabs>
        <w:spacing w:line="360" w:lineRule="auto"/>
        <w:ind w:left="0" w:right="34" w:firstLine="0"/>
        <w:jc w:val="both"/>
        <w:rPr>
          <w:rFonts w:ascii="Palatino Linotype" w:eastAsia="Palatino Linotype" w:hAnsi="Palatino Linotype" w:cs="Palatino Linotype"/>
          <w:sz w:val="22"/>
          <w:szCs w:val="22"/>
        </w:rPr>
      </w:pPr>
      <w:bookmarkStart w:id="0" w:name="_heading=h.30j0zll" w:colFirst="0" w:colLast="0"/>
      <w:bookmarkEnd w:id="0"/>
      <w:r>
        <w:rPr>
          <w:rFonts w:ascii="Palatino Linotype" w:eastAsia="Palatino Linotype" w:hAnsi="Palatino Linotype" w:cs="Palatino Linotype"/>
          <w:sz w:val="22"/>
          <w:szCs w:val="22"/>
        </w:rPr>
        <w:t>El dos (02) de mayo de dos mil veinticuatro, el Sujeto Obligado notificó una prórroga para emitir respuesta a la solicitud en el siguiente sentido:</w:t>
      </w:r>
    </w:p>
    <w:p w14:paraId="50F6A6E7" w14:textId="77777777" w:rsidR="0007176C" w:rsidRDefault="0007176C">
      <w:pPr>
        <w:pBdr>
          <w:top w:val="nil"/>
          <w:left w:val="nil"/>
          <w:bottom w:val="nil"/>
          <w:right w:val="nil"/>
          <w:between w:val="nil"/>
        </w:pBdr>
        <w:ind w:left="720"/>
        <w:rPr>
          <w:rFonts w:ascii="Palatino Linotype" w:eastAsia="Palatino Linotype" w:hAnsi="Palatino Linotype" w:cs="Palatino Linotype"/>
          <w:color w:val="000000"/>
          <w:sz w:val="22"/>
          <w:szCs w:val="22"/>
        </w:rPr>
      </w:pPr>
    </w:p>
    <w:tbl>
      <w:tblPr>
        <w:tblStyle w:val="a"/>
        <w:tblW w:w="7537" w:type="dxa"/>
        <w:jc w:val="center"/>
        <w:tblInd w:w="0" w:type="dxa"/>
        <w:tblLayout w:type="fixed"/>
        <w:tblLook w:val="0400" w:firstRow="0" w:lastRow="0" w:firstColumn="0" w:lastColumn="0" w:noHBand="0" w:noVBand="1"/>
      </w:tblPr>
      <w:tblGrid>
        <w:gridCol w:w="7537"/>
      </w:tblGrid>
      <w:tr w:rsidR="0007176C" w14:paraId="0C22EB53" w14:textId="77777777">
        <w:trPr>
          <w:trHeight w:val="329"/>
          <w:jc w:val="center"/>
        </w:trPr>
        <w:tc>
          <w:tcPr>
            <w:tcW w:w="7537" w:type="dxa"/>
            <w:vAlign w:val="center"/>
          </w:tcPr>
          <w:p w14:paraId="216DCB74" w14:textId="77777777" w:rsidR="0007176C" w:rsidRDefault="0075532F">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Metepec, México a 02 de Mayo de 2024</w:t>
            </w:r>
          </w:p>
        </w:tc>
      </w:tr>
      <w:tr w:rsidR="0007176C" w14:paraId="515F77CC" w14:textId="77777777">
        <w:trPr>
          <w:trHeight w:val="329"/>
          <w:jc w:val="center"/>
        </w:trPr>
        <w:tc>
          <w:tcPr>
            <w:tcW w:w="7537" w:type="dxa"/>
            <w:vAlign w:val="center"/>
          </w:tcPr>
          <w:p w14:paraId="32AA7BE3" w14:textId="77777777" w:rsidR="0007176C" w:rsidRDefault="0075532F">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Nombre del solicitante: C. Solicitante</w:t>
            </w:r>
          </w:p>
        </w:tc>
      </w:tr>
      <w:tr w:rsidR="0007176C" w14:paraId="176E5E80" w14:textId="77777777">
        <w:trPr>
          <w:trHeight w:val="329"/>
          <w:jc w:val="center"/>
        </w:trPr>
        <w:tc>
          <w:tcPr>
            <w:tcW w:w="7537" w:type="dxa"/>
            <w:vAlign w:val="center"/>
          </w:tcPr>
          <w:p w14:paraId="5683C020" w14:textId="77777777" w:rsidR="0007176C" w:rsidRDefault="0075532F">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Folio de la solicitud: 00193/METEPEC/IP/2024</w:t>
            </w:r>
          </w:p>
        </w:tc>
      </w:tr>
      <w:tr w:rsidR="0007176C" w14:paraId="339F9A7A" w14:textId="77777777">
        <w:trPr>
          <w:trHeight w:val="493"/>
          <w:jc w:val="center"/>
        </w:trPr>
        <w:tc>
          <w:tcPr>
            <w:tcW w:w="7537" w:type="dxa"/>
            <w:vAlign w:val="center"/>
          </w:tcPr>
          <w:p w14:paraId="002C03EF" w14:textId="77777777" w:rsidR="0007176C" w:rsidRDefault="0007176C">
            <w:pPr>
              <w:jc w:val="right"/>
              <w:rPr>
                <w:rFonts w:ascii="Palatino Linotype" w:eastAsia="Palatino Linotype" w:hAnsi="Palatino Linotype" w:cs="Palatino Linotype"/>
                <w:i/>
                <w:sz w:val="22"/>
                <w:szCs w:val="22"/>
              </w:rPr>
            </w:pPr>
          </w:p>
        </w:tc>
      </w:tr>
      <w:tr w:rsidR="0007176C" w14:paraId="5639D6EB" w14:textId="77777777">
        <w:trPr>
          <w:trHeight w:val="164"/>
          <w:jc w:val="center"/>
        </w:trPr>
        <w:tc>
          <w:tcPr>
            <w:tcW w:w="7537" w:type="dxa"/>
            <w:vAlign w:val="center"/>
          </w:tcPr>
          <w:p w14:paraId="0CF60C12" w14:textId="77777777" w:rsidR="0007176C" w:rsidRDefault="0075532F">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tc>
      </w:tr>
      <w:tr w:rsidR="0007176C" w14:paraId="31243D83" w14:textId="77777777">
        <w:trPr>
          <w:trHeight w:val="411"/>
          <w:jc w:val="center"/>
        </w:trPr>
        <w:tc>
          <w:tcPr>
            <w:tcW w:w="7537" w:type="dxa"/>
            <w:vAlign w:val="center"/>
          </w:tcPr>
          <w:p w14:paraId="03F6E10C" w14:textId="77777777" w:rsidR="0007176C" w:rsidRDefault="0007176C">
            <w:pPr>
              <w:jc w:val="both"/>
              <w:rPr>
                <w:rFonts w:ascii="Palatino Linotype" w:eastAsia="Palatino Linotype" w:hAnsi="Palatino Linotype" w:cs="Palatino Linotype"/>
                <w:i/>
                <w:sz w:val="22"/>
                <w:szCs w:val="22"/>
              </w:rPr>
            </w:pPr>
          </w:p>
        </w:tc>
      </w:tr>
      <w:tr w:rsidR="0007176C" w14:paraId="1E5607EA" w14:textId="77777777">
        <w:trPr>
          <w:trHeight w:val="164"/>
          <w:jc w:val="center"/>
        </w:trPr>
        <w:tc>
          <w:tcPr>
            <w:tcW w:w="7537" w:type="dxa"/>
            <w:vAlign w:val="center"/>
          </w:tcPr>
          <w:p w14:paraId="56588E40" w14:textId="77777777" w:rsidR="0007176C" w:rsidRDefault="0075532F">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METEPEC, ESTADO DE MEXICO, MAYO DEL 2024 ASUNTO: EL QUE SE INDICA A QUIEN CORRESPONDA P R E S E N T E. Por este conducto y con fundamento en lo dispuesto por los artículos 53, fracción VI y 163 de la Ley de Transparencia y Acceso a la Información Pública del Estado de México y Municipios, me permito notificarle la ampliación del plazo por siete días hábiles, aprobado por el Comité de Transparencia del Ayuntamiento de Metepec, Estado de México, mediante la Centésima Vigésima Sexta Sesión Extraordinaria. Sin más por el momento quedo a sus órdenes. ATENTAMENTE SILVIA KARINA MONTES DE OCA ACEVEDO ENCARGADA DEL DEPACHO DE LA DIRECCIÓN DE TRANSPARENCIA Y GOBIERNO ABIERTO</w:t>
            </w:r>
          </w:p>
        </w:tc>
      </w:tr>
      <w:tr w:rsidR="0007176C" w14:paraId="24CBA5BB" w14:textId="77777777">
        <w:trPr>
          <w:trHeight w:val="411"/>
          <w:jc w:val="center"/>
        </w:trPr>
        <w:tc>
          <w:tcPr>
            <w:tcW w:w="7537" w:type="dxa"/>
            <w:vAlign w:val="center"/>
          </w:tcPr>
          <w:p w14:paraId="657A6D9A" w14:textId="77777777" w:rsidR="0007176C" w:rsidRDefault="0007176C">
            <w:pPr>
              <w:rPr>
                <w:rFonts w:ascii="Palatino Linotype" w:eastAsia="Palatino Linotype" w:hAnsi="Palatino Linotype" w:cs="Palatino Linotype"/>
                <w:i/>
                <w:sz w:val="22"/>
                <w:szCs w:val="22"/>
              </w:rPr>
            </w:pPr>
          </w:p>
        </w:tc>
      </w:tr>
      <w:tr w:rsidR="0007176C" w14:paraId="60B39A88" w14:textId="77777777">
        <w:trPr>
          <w:trHeight w:val="164"/>
          <w:jc w:val="center"/>
        </w:trPr>
        <w:tc>
          <w:tcPr>
            <w:tcW w:w="7537" w:type="dxa"/>
            <w:vAlign w:val="center"/>
          </w:tcPr>
          <w:p w14:paraId="33A1C948" w14:textId="77777777" w:rsidR="0007176C" w:rsidRDefault="0007176C">
            <w:pPr>
              <w:jc w:val="center"/>
              <w:rPr>
                <w:rFonts w:ascii="Palatino Linotype" w:eastAsia="Palatino Linotype" w:hAnsi="Palatino Linotype" w:cs="Palatino Linotype"/>
                <w:i/>
                <w:sz w:val="22"/>
                <w:szCs w:val="22"/>
              </w:rPr>
            </w:pPr>
          </w:p>
        </w:tc>
      </w:tr>
      <w:tr w:rsidR="0007176C" w14:paraId="54D3AB31" w14:textId="77777777">
        <w:trPr>
          <w:trHeight w:val="164"/>
          <w:jc w:val="center"/>
        </w:trPr>
        <w:tc>
          <w:tcPr>
            <w:tcW w:w="7537" w:type="dxa"/>
            <w:vAlign w:val="center"/>
          </w:tcPr>
          <w:p w14:paraId="653C4944" w14:textId="77777777" w:rsidR="0007176C" w:rsidRDefault="0075532F">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Mtra. Silvia Karina Montes de Oca Acevedo</w:t>
            </w:r>
          </w:p>
        </w:tc>
      </w:tr>
      <w:tr w:rsidR="0007176C" w14:paraId="641D81AA" w14:textId="77777777">
        <w:trPr>
          <w:trHeight w:val="164"/>
          <w:jc w:val="center"/>
        </w:trPr>
        <w:tc>
          <w:tcPr>
            <w:tcW w:w="7537" w:type="dxa"/>
            <w:vAlign w:val="center"/>
          </w:tcPr>
          <w:p w14:paraId="575B4972" w14:textId="77777777" w:rsidR="0007176C" w:rsidRDefault="0075532F">
            <w:pPr>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Responsable de la Unidad de Transparencia</w:t>
            </w:r>
          </w:p>
        </w:tc>
      </w:tr>
    </w:tbl>
    <w:p w14:paraId="5B043C22" w14:textId="77777777" w:rsidR="0007176C" w:rsidRDefault="0075532F">
      <w:pPr>
        <w:tabs>
          <w:tab w:val="left" w:pos="0"/>
        </w:tabs>
        <w:spacing w:line="360" w:lineRule="auto"/>
        <w:ind w:right="3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 </w:t>
      </w:r>
    </w:p>
    <w:p w14:paraId="4C83DB56" w14:textId="77777777" w:rsidR="0007176C" w:rsidRDefault="0007176C">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79825D29" w14:textId="77777777" w:rsidR="0007176C" w:rsidRDefault="0075532F">
      <w:pPr>
        <w:numPr>
          <w:ilvl w:val="0"/>
          <w:numId w:val="1"/>
        </w:numPr>
        <w:tabs>
          <w:tab w:val="left" w:pos="0"/>
        </w:tabs>
        <w:spacing w:line="360" w:lineRule="auto"/>
        <w:ind w:left="0" w:right="34"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El catorce (14) de mayo de dos mil veinticuatro,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dio respuesta a la solicitud en el siguiente sentido:</w:t>
      </w:r>
    </w:p>
    <w:tbl>
      <w:tblPr>
        <w:tblStyle w:val="a0"/>
        <w:tblW w:w="7781" w:type="dxa"/>
        <w:jc w:val="center"/>
        <w:tblInd w:w="0" w:type="dxa"/>
        <w:tblLayout w:type="fixed"/>
        <w:tblLook w:val="0400" w:firstRow="0" w:lastRow="0" w:firstColumn="0" w:lastColumn="0" w:noHBand="0" w:noVBand="1"/>
      </w:tblPr>
      <w:tblGrid>
        <w:gridCol w:w="7781"/>
      </w:tblGrid>
      <w:tr w:rsidR="0007176C" w14:paraId="52AF1995" w14:textId="77777777">
        <w:trPr>
          <w:trHeight w:val="292"/>
          <w:jc w:val="center"/>
        </w:trPr>
        <w:tc>
          <w:tcPr>
            <w:tcW w:w="7781" w:type="dxa"/>
            <w:vAlign w:val="center"/>
          </w:tcPr>
          <w:p w14:paraId="193CF5D1" w14:textId="77777777" w:rsidR="0007176C" w:rsidRDefault="0075532F">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Metepec, México a 14 de Mayo de 2024</w:t>
            </w:r>
          </w:p>
        </w:tc>
      </w:tr>
      <w:tr w:rsidR="0007176C" w14:paraId="093D82C2" w14:textId="77777777">
        <w:trPr>
          <w:trHeight w:val="292"/>
          <w:jc w:val="center"/>
        </w:trPr>
        <w:tc>
          <w:tcPr>
            <w:tcW w:w="7781" w:type="dxa"/>
            <w:vAlign w:val="center"/>
          </w:tcPr>
          <w:p w14:paraId="22754DFC" w14:textId="77777777" w:rsidR="0007176C" w:rsidRDefault="0075532F">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Nombre del solicitante: C. Solicitante</w:t>
            </w:r>
          </w:p>
        </w:tc>
      </w:tr>
      <w:tr w:rsidR="0007176C" w14:paraId="56035840" w14:textId="77777777">
        <w:trPr>
          <w:trHeight w:val="292"/>
          <w:jc w:val="center"/>
        </w:trPr>
        <w:tc>
          <w:tcPr>
            <w:tcW w:w="7781" w:type="dxa"/>
            <w:vAlign w:val="center"/>
          </w:tcPr>
          <w:p w14:paraId="17CE0786" w14:textId="77777777" w:rsidR="0007176C" w:rsidRDefault="0075532F">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Folio de la solicitud: 00193/METEPEC/IP/2024</w:t>
            </w:r>
          </w:p>
        </w:tc>
      </w:tr>
      <w:tr w:rsidR="0007176C" w14:paraId="70617FD8" w14:textId="77777777">
        <w:trPr>
          <w:trHeight w:val="438"/>
          <w:jc w:val="center"/>
        </w:trPr>
        <w:tc>
          <w:tcPr>
            <w:tcW w:w="7781" w:type="dxa"/>
            <w:vAlign w:val="center"/>
          </w:tcPr>
          <w:p w14:paraId="595D6E68" w14:textId="77777777" w:rsidR="0007176C" w:rsidRDefault="0007176C">
            <w:pPr>
              <w:jc w:val="right"/>
              <w:rPr>
                <w:rFonts w:ascii="Palatino Linotype" w:eastAsia="Palatino Linotype" w:hAnsi="Palatino Linotype" w:cs="Palatino Linotype"/>
                <w:i/>
                <w:sz w:val="22"/>
                <w:szCs w:val="22"/>
              </w:rPr>
            </w:pPr>
          </w:p>
        </w:tc>
      </w:tr>
      <w:tr w:rsidR="0007176C" w14:paraId="2B397F73" w14:textId="77777777">
        <w:trPr>
          <w:trHeight w:val="146"/>
          <w:jc w:val="center"/>
        </w:trPr>
        <w:tc>
          <w:tcPr>
            <w:tcW w:w="7781" w:type="dxa"/>
            <w:vAlign w:val="center"/>
          </w:tcPr>
          <w:p w14:paraId="6772692B" w14:textId="77777777" w:rsidR="0007176C" w:rsidRDefault="0075532F">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07176C" w14:paraId="0B01B1A9" w14:textId="77777777">
        <w:trPr>
          <w:trHeight w:val="365"/>
          <w:jc w:val="center"/>
        </w:trPr>
        <w:tc>
          <w:tcPr>
            <w:tcW w:w="7781" w:type="dxa"/>
            <w:vAlign w:val="center"/>
          </w:tcPr>
          <w:p w14:paraId="57DB16AC" w14:textId="77777777" w:rsidR="0007176C" w:rsidRDefault="0007176C">
            <w:pPr>
              <w:jc w:val="both"/>
              <w:rPr>
                <w:rFonts w:ascii="Palatino Linotype" w:eastAsia="Palatino Linotype" w:hAnsi="Palatino Linotype" w:cs="Palatino Linotype"/>
                <w:i/>
                <w:sz w:val="22"/>
                <w:szCs w:val="22"/>
              </w:rPr>
            </w:pPr>
          </w:p>
        </w:tc>
      </w:tr>
      <w:tr w:rsidR="0007176C" w14:paraId="0DE0DAD6" w14:textId="77777777">
        <w:trPr>
          <w:trHeight w:val="2219"/>
          <w:jc w:val="center"/>
        </w:trPr>
        <w:tc>
          <w:tcPr>
            <w:tcW w:w="7781" w:type="dxa"/>
            <w:vAlign w:val="center"/>
          </w:tcPr>
          <w:p w14:paraId="5B094675" w14:textId="77777777" w:rsidR="0007176C" w:rsidRDefault="0075532F">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 SOLICITANTE P R E S E N T E. 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Información Pública del Estado de México. Asimismo, se hace de su conocimiento que cuenta con un plazo de 15 (quince) días hábiles a partir de la fecha de respuesta a su solicitud, para interponer el recurso de revisión conforme a los artículos 176, 177 y 178 de la Ley de Transparencia y Acceso a la Información Pública del Estado de México y Municipios. Sin más por el momento, me despido de usted, reiterando estar a sus órdenes. ATENTAMENTE SILVIA KARINA MONTES DE OCA ACEVEDO ENCARGADA DEL DESPACHO DE LA DIRECCCIÓN DE TRANSPARENCIA Y GOBIERNO ABIERTO</w:t>
            </w:r>
          </w:p>
        </w:tc>
      </w:tr>
      <w:tr w:rsidR="0007176C" w14:paraId="2D5302A9" w14:textId="77777777">
        <w:trPr>
          <w:trHeight w:val="365"/>
          <w:jc w:val="center"/>
        </w:trPr>
        <w:tc>
          <w:tcPr>
            <w:tcW w:w="7781" w:type="dxa"/>
            <w:vAlign w:val="center"/>
          </w:tcPr>
          <w:p w14:paraId="0637FF8A" w14:textId="77777777" w:rsidR="0007176C" w:rsidRDefault="0007176C">
            <w:pPr>
              <w:rPr>
                <w:rFonts w:ascii="Palatino Linotype" w:eastAsia="Palatino Linotype" w:hAnsi="Palatino Linotype" w:cs="Palatino Linotype"/>
                <w:i/>
                <w:sz w:val="22"/>
                <w:szCs w:val="22"/>
              </w:rPr>
            </w:pPr>
          </w:p>
        </w:tc>
      </w:tr>
      <w:tr w:rsidR="0007176C" w14:paraId="7FA79633" w14:textId="77777777">
        <w:trPr>
          <w:trHeight w:val="146"/>
          <w:jc w:val="center"/>
        </w:trPr>
        <w:tc>
          <w:tcPr>
            <w:tcW w:w="7781" w:type="dxa"/>
            <w:vAlign w:val="center"/>
          </w:tcPr>
          <w:p w14:paraId="6499E9B4" w14:textId="77777777" w:rsidR="0007176C" w:rsidRDefault="0007176C">
            <w:pPr>
              <w:jc w:val="center"/>
              <w:rPr>
                <w:rFonts w:ascii="Palatino Linotype" w:eastAsia="Palatino Linotype" w:hAnsi="Palatino Linotype" w:cs="Palatino Linotype"/>
                <w:i/>
                <w:sz w:val="22"/>
                <w:szCs w:val="22"/>
              </w:rPr>
            </w:pPr>
          </w:p>
        </w:tc>
      </w:tr>
      <w:tr w:rsidR="0007176C" w14:paraId="5D1FF69D" w14:textId="77777777">
        <w:trPr>
          <w:trHeight w:val="146"/>
          <w:jc w:val="center"/>
        </w:trPr>
        <w:tc>
          <w:tcPr>
            <w:tcW w:w="7781" w:type="dxa"/>
            <w:vAlign w:val="center"/>
          </w:tcPr>
          <w:p w14:paraId="5B3A0D60" w14:textId="77777777" w:rsidR="0007176C" w:rsidRDefault="0007176C">
            <w:pPr>
              <w:rPr>
                <w:rFonts w:ascii="Palatino Linotype" w:eastAsia="Palatino Linotype" w:hAnsi="Palatino Linotype" w:cs="Palatino Linotype"/>
                <w:i/>
                <w:sz w:val="22"/>
                <w:szCs w:val="22"/>
              </w:rPr>
            </w:pPr>
          </w:p>
        </w:tc>
      </w:tr>
      <w:tr w:rsidR="0007176C" w14:paraId="1E2A8B3F" w14:textId="77777777">
        <w:trPr>
          <w:trHeight w:val="146"/>
          <w:jc w:val="center"/>
        </w:trPr>
        <w:tc>
          <w:tcPr>
            <w:tcW w:w="7781" w:type="dxa"/>
            <w:vAlign w:val="center"/>
          </w:tcPr>
          <w:p w14:paraId="2E44BD9A" w14:textId="77777777" w:rsidR="0007176C" w:rsidRDefault="0075532F">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tc>
      </w:tr>
      <w:tr w:rsidR="0007176C" w14:paraId="0D32A288" w14:textId="77777777">
        <w:trPr>
          <w:trHeight w:val="219"/>
          <w:jc w:val="center"/>
        </w:trPr>
        <w:tc>
          <w:tcPr>
            <w:tcW w:w="7781" w:type="dxa"/>
            <w:vAlign w:val="center"/>
          </w:tcPr>
          <w:p w14:paraId="612CC29B" w14:textId="77777777" w:rsidR="0007176C" w:rsidRDefault="0007176C">
            <w:pPr>
              <w:rPr>
                <w:rFonts w:ascii="Palatino Linotype" w:eastAsia="Palatino Linotype" w:hAnsi="Palatino Linotype" w:cs="Palatino Linotype"/>
                <w:i/>
                <w:sz w:val="22"/>
                <w:szCs w:val="22"/>
              </w:rPr>
            </w:pPr>
          </w:p>
        </w:tc>
      </w:tr>
      <w:tr w:rsidR="0007176C" w14:paraId="7CA2B8F7" w14:textId="77777777">
        <w:trPr>
          <w:trHeight w:val="146"/>
          <w:jc w:val="center"/>
        </w:trPr>
        <w:tc>
          <w:tcPr>
            <w:tcW w:w="7781" w:type="dxa"/>
            <w:vAlign w:val="center"/>
          </w:tcPr>
          <w:p w14:paraId="6A91F64C" w14:textId="77777777" w:rsidR="0007176C" w:rsidRDefault="0075532F">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Mtra. Silvia Karina Montes de Oca Acevedo</w:t>
            </w:r>
          </w:p>
        </w:tc>
      </w:tr>
    </w:tbl>
    <w:p w14:paraId="099EE980" w14:textId="77777777" w:rsidR="0007176C" w:rsidRDefault="0007176C">
      <w:pPr>
        <w:pBdr>
          <w:top w:val="nil"/>
          <w:left w:val="nil"/>
          <w:bottom w:val="nil"/>
          <w:right w:val="nil"/>
          <w:between w:val="nil"/>
        </w:pBdr>
        <w:tabs>
          <w:tab w:val="left" w:pos="0"/>
        </w:tabs>
        <w:spacing w:line="360" w:lineRule="auto"/>
        <w:ind w:left="720" w:right="34"/>
        <w:jc w:val="both"/>
        <w:rPr>
          <w:rFonts w:ascii="Palatino Linotype" w:eastAsia="Palatino Linotype" w:hAnsi="Palatino Linotype" w:cs="Palatino Linotype"/>
          <w:color w:val="000000"/>
          <w:sz w:val="22"/>
          <w:szCs w:val="22"/>
        </w:rPr>
      </w:pPr>
    </w:p>
    <w:p w14:paraId="30707A17" w14:textId="77777777" w:rsidR="0007176C" w:rsidRDefault="0075532F">
      <w:pPr>
        <w:numPr>
          <w:ilvl w:val="0"/>
          <w:numId w:val="3"/>
        </w:numPr>
        <w:pBdr>
          <w:top w:val="nil"/>
          <w:left w:val="nil"/>
          <w:bottom w:val="nil"/>
          <w:right w:val="nil"/>
          <w:between w:val="nil"/>
        </w:pBdr>
        <w:tabs>
          <w:tab w:val="left" w:pos="0"/>
        </w:tabs>
        <w:spacing w:line="360" w:lineRule="auto"/>
        <w:ind w:right="34"/>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lastRenderedPageBreak/>
        <w:t xml:space="preserve">A la respuesta el Sujeto Obligado adjuntó el archivo denominado </w:t>
      </w:r>
      <w:r>
        <w:rPr>
          <w:rFonts w:ascii="Palatino Linotype" w:eastAsia="Palatino Linotype" w:hAnsi="Palatino Linotype" w:cs="Palatino Linotype"/>
          <w:b/>
          <w:color w:val="000000"/>
          <w:sz w:val="22"/>
          <w:szCs w:val="22"/>
          <w:u w:val="single"/>
        </w:rPr>
        <w:t>oficio_494.pdf</w:t>
      </w:r>
      <w:r>
        <w:rPr>
          <w:rFonts w:ascii="Palatino Linotype" w:eastAsia="Palatino Linotype" w:hAnsi="Palatino Linotype" w:cs="Palatino Linotype"/>
          <w:color w:val="000000"/>
          <w:sz w:val="22"/>
          <w:szCs w:val="22"/>
        </w:rPr>
        <w:t xml:space="preserve">, en el que consta el oficio número </w:t>
      </w:r>
      <w:proofErr w:type="spellStart"/>
      <w:r>
        <w:rPr>
          <w:rFonts w:ascii="Palatino Linotype" w:eastAsia="Palatino Linotype" w:hAnsi="Palatino Linotype" w:cs="Palatino Linotype"/>
          <w:color w:val="000000"/>
          <w:sz w:val="22"/>
          <w:szCs w:val="22"/>
        </w:rPr>
        <w:t>DDETyA</w:t>
      </w:r>
      <w:proofErr w:type="spellEnd"/>
      <w:r>
        <w:rPr>
          <w:rFonts w:ascii="Palatino Linotype" w:eastAsia="Palatino Linotype" w:hAnsi="Palatino Linotype" w:cs="Palatino Linotype"/>
          <w:color w:val="000000"/>
          <w:sz w:val="22"/>
          <w:szCs w:val="22"/>
        </w:rPr>
        <w:t xml:space="preserve">/494/2024 de fecha catorce de mayo de dos mil veinticuatro, suscrito por el Encargado del Despacho de la Dirección de Desarrollo Económico, Turístico y Artesanal, en el que señaló que la información de los puntos 1, 2, 3 y 4 puede ser consultada en la liga electrónica que adjuntó, en la fracción XXXII (concesiones, contratos, convenios, permisos, licencias o autorizaciones otorgados). </w:t>
      </w:r>
    </w:p>
    <w:p w14:paraId="66088CBC" w14:textId="77777777" w:rsidR="0007176C" w:rsidRDefault="0007176C">
      <w:pPr>
        <w:pBdr>
          <w:top w:val="nil"/>
          <w:left w:val="nil"/>
          <w:bottom w:val="nil"/>
          <w:right w:val="nil"/>
          <w:between w:val="nil"/>
        </w:pBdr>
        <w:tabs>
          <w:tab w:val="left" w:pos="0"/>
        </w:tabs>
        <w:spacing w:line="360" w:lineRule="auto"/>
        <w:ind w:left="720" w:right="34"/>
        <w:jc w:val="both"/>
        <w:rPr>
          <w:rFonts w:ascii="Palatino Linotype" w:eastAsia="Palatino Linotype" w:hAnsi="Palatino Linotype" w:cs="Palatino Linotype"/>
          <w:sz w:val="22"/>
          <w:szCs w:val="22"/>
        </w:rPr>
      </w:pPr>
    </w:p>
    <w:p w14:paraId="710BF3F7" w14:textId="77777777" w:rsidR="0007176C" w:rsidRDefault="0075532F">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En el veinticuatro (24) de mayo de dos mil veinticuatro</w:t>
      </w: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el solicitante interpuso el recurso de revisión, señalando como:</w:t>
      </w:r>
    </w:p>
    <w:p w14:paraId="729B4B9B" w14:textId="77777777" w:rsidR="0007176C" w:rsidRDefault="0007176C">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sz w:val="22"/>
          <w:szCs w:val="22"/>
        </w:rPr>
      </w:pPr>
    </w:p>
    <w:p w14:paraId="4AB06355" w14:textId="77777777" w:rsidR="0007176C" w:rsidRDefault="0075532F">
      <w:pPr>
        <w:tabs>
          <w:tab w:val="left" w:pos="851"/>
          <w:tab w:val="left" w:pos="8222"/>
        </w:tabs>
        <w:spacing w:line="360" w:lineRule="auto"/>
        <w:ind w:left="851"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sz w:val="22"/>
          <w:szCs w:val="22"/>
        </w:rPr>
        <w:t>“</w:t>
      </w:r>
      <w:r>
        <w:rPr>
          <w:rFonts w:ascii="Palatino Linotype" w:eastAsia="Palatino Linotype" w:hAnsi="Palatino Linotype" w:cs="Palatino Linotype"/>
          <w:i/>
          <w:color w:val="000000"/>
          <w:sz w:val="22"/>
          <w:szCs w:val="22"/>
        </w:rPr>
        <w:t>Falta de contestación en tiempo y forma por parte del Sujeto Obligado.”</w:t>
      </w:r>
      <w:r>
        <w:rPr>
          <w:rFonts w:ascii="Palatino Linotype" w:eastAsia="Palatino Linotype" w:hAnsi="Palatino Linotype" w:cs="Palatino Linotype"/>
          <w:i/>
          <w:sz w:val="22"/>
          <w:szCs w:val="22"/>
        </w:rPr>
        <w:t xml:space="preserve"> (Sic) </w:t>
      </w:r>
    </w:p>
    <w:p w14:paraId="6BDF8E9D" w14:textId="77777777" w:rsidR="0007176C" w:rsidRDefault="0007176C">
      <w:pPr>
        <w:tabs>
          <w:tab w:val="left" w:pos="0"/>
        </w:tabs>
        <w:spacing w:line="360" w:lineRule="auto"/>
        <w:ind w:left="567" w:hanging="141"/>
        <w:rPr>
          <w:rFonts w:ascii="Palatino Linotype" w:eastAsia="Palatino Linotype" w:hAnsi="Palatino Linotype" w:cs="Palatino Linotype"/>
          <w:i/>
          <w:sz w:val="22"/>
          <w:szCs w:val="22"/>
        </w:rPr>
      </w:pPr>
    </w:p>
    <w:p w14:paraId="7A6F1BF6" w14:textId="77777777" w:rsidR="0007176C" w:rsidRDefault="0075532F">
      <w:pPr>
        <w:tabs>
          <w:tab w:val="left" w:pos="851"/>
        </w:tabs>
        <w:spacing w:line="360" w:lineRule="auto"/>
        <w:ind w:left="851"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Razones o Motivos de inconformidad: “</w:t>
      </w:r>
      <w:r>
        <w:rPr>
          <w:rFonts w:ascii="Palatino Linotype" w:eastAsia="Palatino Linotype" w:hAnsi="Palatino Linotype" w:cs="Palatino Linotype"/>
          <w:i/>
          <w:sz w:val="22"/>
          <w:szCs w:val="22"/>
        </w:rPr>
        <w:t xml:space="preserve">De acuerdo a la Constitución Política de los Estados Unidos Mexicanos (CPEUM), en su artículo 6, apartado A, fracción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combinación con el artículo 1 de la CPEUM,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w:t>
      </w:r>
      <w:r>
        <w:rPr>
          <w:rFonts w:ascii="Palatino Linotype" w:eastAsia="Palatino Linotype" w:hAnsi="Palatino Linotype" w:cs="Palatino Linotype"/>
          <w:i/>
          <w:sz w:val="22"/>
          <w:szCs w:val="22"/>
        </w:rPr>
        <w:lastRenderedPageBreak/>
        <w:t xml:space="preserve">términos que establezca la ley." Por lo </w:t>
      </w:r>
      <w:proofErr w:type="spellStart"/>
      <w:r>
        <w:rPr>
          <w:rFonts w:ascii="Palatino Linotype" w:eastAsia="Palatino Linotype" w:hAnsi="Palatino Linotype" w:cs="Palatino Linotype"/>
          <w:i/>
          <w:sz w:val="22"/>
          <w:szCs w:val="22"/>
        </w:rPr>
        <w:t>cuál</w:t>
      </w:r>
      <w:proofErr w:type="spellEnd"/>
      <w:r>
        <w:rPr>
          <w:rFonts w:ascii="Palatino Linotype" w:eastAsia="Palatino Linotype" w:hAnsi="Palatino Linotype" w:cs="Palatino Linotype"/>
          <w:i/>
          <w:sz w:val="22"/>
          <w:szCs w:val="22"/>
        </w:rPr>
        <w:t xml:space="preserve"> es una violación a mi derecho humano de acceso a la información por parte del sujeto obligado, el H. Ayuntamiento de Metepec. En el ámbito internacional, el Estado Mexicano forma parte de diversos tratados que establecen estándares vinculantes para garantizar el derecho fundamental de las personas a buscar, recibir y difundir información; dentro de los cuáles se encuentran: La Declaración Universal de Derechos Humanos (DUDH), adoptada por la Asamblea General de las Naciones Unidas en 1948, proclama en su artículo 19 el derecho a la libertad de opinión y expresión, incluyendo el acceso a la información como parte integral de este derecho. El Pacto Internacional de Derechos Civiles y Políticos (PIDCP), ratificado por numerosos estados, consagra en su artículo 19 el derecho a la libertad de expresión, abordando específicamente el acceso a la información como un componente esencial de este derecho. La Convención Americana sobre Derechos Humanos (CADH), también conocida como Pacto de San José, garantiza en su artículo 13 el derecho a la libertad de pensamiento y expresión, reconociendo la importancia del acceso a la información en sociedades democráticas. Estos tratados internacionales establecen obligaciones para los Estados partes en cuanto al acceso a la información, como un derecho humano fundamental. Como recurso de revisión, es esencial tener en cuenta estos estándares internacionales al evaluar cualquier restricción o limitación al acceso a la información, asegurando así que se respeten mis derechos.” (sic)</w:t>
      </w:r>
    </w:p>
    <w:p w14:paraId="1390A12F" w14:textId="77777777" w:rsidR="0007176C" w:rsidRDefault="0007176C">
      <w:pPr>
        <w:tabs>
          <w:tab w:val="left" w:pos="851"/>
        </w:tabs>
        <w:spacing w:line="360" w:lineRule="auto"/>
        <w:ind w:right="567"/>
        <w:jc w:val="both"/>
        <w:rPr>
          <w:rFonts w:ascii="Palatino Linotype" w:eastAsia="Palatino Linotype" w:hAnsi="Palatino Linotype" w:cs="Palatino Linotype"/>
          <w:i/>
          <w:sz w:val="22"/>
          <w:szCs w:val="22"/>
        </w:rPr>
      </w:pPr>
    </w:p>
    <w:p w14:paraId="2E844272" w14:textId="77777777" w:rsidR="0007176C" w:rsidRDefault="0075532F">
      <w:pPr>
        <w:numPr>
          <w:ilvl w:val="0"/>
          <w:numId w:val="1"/>
        </w:numPr>
        <w:spacing w:line="360" w:lineRule="auto"/>
        <w:ind w:left="0"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sz w:val="22"/>
          <w:szCs w:val="22"/>
        </w:rPr>
        <w:t xml:space="preserve">Se registró el recurso de revisión bajo el número de expediente al rubro indicado, asimismo con fundamento en lo dispuesto por el artículo 185 fracción I de la Ley de Transparencia y Acceso a la Información Pública del Estado de México y Municipios se turnó a la </w:t>
      </w:r>
      <w:r>
        <w:rPr>
          <w:rFonts w:ascii="Palatino Linotype" w:eastAsia="Palatino Linotype" w:hAnsi="Palatino Linotype" w:cs="Palatino Linotype"/>
          <w:b/>
          <w:sz w:val="22"/>
          <w:szCs w:val="22"/>
        </w:rPr>
        <w:t>Comisionada María del Rosario Mejía Ayala</w:t>
      </w:r>
      <w:r>
        <w:rPr>
          <w:rFonts w:ascii="Palatino Linotype" w:eastAsia="Palatino Linotype" w:hAnsi="Palatino Linotype" w:cs="Palatino Linotype"/>
          <w:sz w:val="22"/>
          <w:szCs w:val="22"/>
        </w:rPr>
        <w:t xml:space="preserve"> con el objeto de su análisis.</w:t>
      </w:r>
    </w:p>
    <w:p w14:paraId="22F5D600" w14:textId="77777777" w:rsidR="0007176C" w:rsidRDefault="0007176C">
      <w:pPr>
        <w:spacing w:line="360" w:lineRule="auto"/>
        <w:jc w:val="both"/>
        <w:rPr>
          <w:rFonts w:ascii="Palatino Linotype" w:eastAsia="Palatino Linotype" w:hAnsi="Palatino Linotype" w:cs="Palatino Linotype"/>
          <w:i/>
          <w:color w:val="000000"/>
          <w:sz w:val="22"/>
          <w:szCs w:val="22"/>
        </w:rPr>
      </w:pPr>
    </w:p>
    <w:p w14:paraId="4C1F7585" w14:textId="77777777" w:rsidR="0007176C" w:rsidRDefault="0075532F">
      <w:pPr>
        <w:numPr>
          <w:ilvl w:val="0"/>
          <w:numId w:val="1"/>
        </w:numPr>
        <w:spacing w:line="360" w:lineRule="auto"/>
        <w:ind w:left="0"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sz w:val="22"/>
          <w:szCs w:val="22"/>
        </w:rPr>
        <w:lastRenderedPageBreak/>
        <w:t xml:space="preserve">La Comisionada Ponente con fundamento en lo dispuesto por el artículo 185 fracción II de la ley de la materia, a través del acuerdo de admisión del veintisiete (27) de mayo de dos mil veinticuatro, puso a disposición de las partes el expediente electrónico vía Sistema de Acceso a la Información Mexiquense </w:t>
      </w:r>
      <w:r>
        <w:rPr>
          <w:rFonts w:ascii="Palatino Linotype" w:eastAsia="Palatino Linotype" w:hAnsi="Palatino Linotype" w:cs="Palatino Linotype"/>
          <w:b/>
          <w:sz w:val="22"/>
          <w:szCs w:val="22"/>
        </w:rPr>
        <w:t xml:space="preserve">(SAIMEX) </w:t>
      </w:r>
      <w:r>
        <w:rPr>
          <w:rFonts w:ascii="Palatino Linotype" w:eastAsia="Palatino Linotype" w:hAnsi="Palatino Linotype" w:cs="Palatino Linotype"/>
          <w:sz w:val="22"/>
          <w:szCs w:val="22"/>
        </w:rPr>
        <w:t xml:space="preserve">a efecto de que en un plazo máximo de siete días manifestaran lo que a derecho convinieran, ofrecieran pruebas y alegatos según corresponda al caso concreto, de esta forma para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presentara el Informe Justificado procedente.  </w:t>
      </w:r>
    </w:p>
    <w:p w14:paraId="6DEC6002" w14:textId="77777777" w:rsidR="0007176C" w:rsidRDefault="0007176C">
      <w:pPr>
        <w:spacing w:line="360" w:lineRule="auto"/>
        <w:jc w:val="both"/>
        <w:rPr>
          <w:rFonts w:ascii="Palatino Linotype" w:eastAsia="Palatino Linotype" w:hAnsi="Palatino Linotype" w:cs="Palatino Linotype"/>
          <w:i/>
          <w:color w:val="000000"/>
          <w:sz w:val="22"/>
          <w:szCs w:val="22"/>
        </w:rPr>
      </w:pPr>
    </w:p>
    <w:p w14:paraId="202C0DC3" w14:textId="77777777" w:rsidR="0007176C" w:rsidRDefault="0075532F">
      <w:pPr>
        <w:numPr>
          <w:ilvl w:val="0"/>
          <w:numId w:val="1"/>
        </w:numPr>
        <w:spacing w:line="360" w:lineRule="auto"/>
        <w:ind w:left="0"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De las constancias que obran en el expediente electrónico SAIMEX, se advierte que el particular no realizó manifestaciones, ni ofreció pruebas o alegatos que a su derecho conviniera; por su parte, el Sujeto Obligado  remitió informe justificado el trece (13) de junio y primero de julio de dos mil veinticuatro, el cual fue puesto a la vista del particular el dieciséis (16) de octubre de dos mil veinticuatro, a través de los archivos que, grosso modo, se describen enseguida:</w:t>
      </w:r>
    </w:p>
    <w:p w14:paraId="5518AE02" w14:textId="77777777" w:rsidR="0007176C" w:rsidRDefault="0007176C">
      <w:pPr>
        <w:pBdr>
          <w:top w:val="nil"/>
          <w:left w:val="nil"/>
          <w:bottom w:val="nil"/>
          <w:right w:val="nil"/>
          <w:between w:val="nil"/>
        </w:pBdr>
        <w:ind w:left="720"/>
        <w:rPr>
          <w:rFonts w:ascii="Palatino Linotype" w:eastAsia="Palatino Linotype" w:hAnsi="Palatino Linotype" w:cs="Palatino Linotype"/>
          <w:b/>
          <w:color w:val="000000"/>
          <w:sz w:val="22"/>
          <w:szCs w:val="22"/>
        </w:rPr>
      </w:pPr>
    </w:p>
    <w:p w14:paraId="2ED85719" w14:textId="77777777" w:rsidR="0007176C" w:rsidRDefault="00587584">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8">
        <w:r w:rsidR="0075532F">
          <w:rPr>
            <w:rFonts w:ascii="Palatino Linotype" w:eastAsia="Palatino Linotype" w:hAnsi="Palatino Linotype" w:cs="Palatino Linotype"/>
            <w:b/>
            <w:color w:val="000000"/>
            <w:sz w:val="22"/>
            <w:szCs w:val="22"/>
            <w:u w:val="single"/>
          </w:rPr>
          <w:t>00193-DESARROLLO ECONOMICO.pdf</w:t>
        </w:r>
      </w:hyperlink>
      <w:r w:rsidR="0075532F">
        <w:rPr>
          <w:rFonts w:ascii="Palatino Linotype" w:eastAsia="Palatino Linotype" w:hAnsi="Palatino Linotype" w:cs="Palatino Linotype"/>
          <w:color w:val="000000"/>
          <w:sz w:val="22"/>
          <w:szCs w:val="22"/>
        </w:rPr>
        <w:t xml:space="preserve">: oficio </w:t>
      </w:r>
      <w:proofErr w:type="spellStart"/>
      <w:r w:rsidR="0075532F">
        <w:rPr>
          <w:rFonts w:ascii="Palatino Linotype" w:eastAsia="Palatino Linotype" w:hAnsi="Palatino Linotype" w:cs="Palatino Linotype"/>
          <w:color w:val="000000"/>
          <w:sz w:val="22"/>
          <w:szCs w:val="22"/>
        </w:rPr>
        <w:t>DTyGA</w:t>
      </w:r>
      <w:proofErr w:type="spellEnd"/>
      <w:r w:rsidR="0075532F">
        <w:rPr>
          <w:rFonts w:ascii="Palatino Linotype" w:eastAsia="Palatino Linotype" w:hAnsi="Palatino Linotype" w:cs="Palatino Linotype"/>
          <w:color w:val="000000"/>
          <w:sz w:val="22"/>
          <w:szCs w:val="22"/>
        </w:rPr>
        <w:t xml:space="preserve">/MET/547/2024 de fecha trece (13) de junio de dos mil veinticuatro, suscrito por el Director de Transparencia y Gobierno Abierto y dirigido a la Directora de Desarrollo Económico, Turístico y Artesanal, como notificación del recurso de revisión y en requerimiento de información. </w:t>
      </w:r>
    </w:p>
    <w:p w14:paraId="3C9221CA" w14:textId="77777777" w:rsidR="0007176C" w:rsidRDefault="0007176C">
      <w:pPr>
        <w:pBdr>
          <w:top w:val="nil"/>
          <w:left w:val="nil"/>
          <w:bottom w:val="nil"/>
          <w:right w:val="nil"/>
          <w:between w:val="nil"/>
        </w:pBdr>
        <w:spacing w:line="360" w:lineRule="auto"/>
        <w:ind w:left="720"/>
        <w:jc w:val="both"/>
        <w:rPr>
          <w:rFonts w:ascii="Century Gothic" w:eastAsia="Century Gothic" w:hAnsi="Century Gothic" w:cs="Century Gothic"/>
          <w:color w:val="000000"/>
          <w:sz w:val="22"/>
          <w:szCs w:val="22"/>
        </w:rPr>
      </w:pPr>
    </w:p>
    <w:p w14:paraId="4D2715B4" w14:textId="77777777" w:rsidR="0007176C" w:rsidRDefault="00587584">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9">
        <w:r w:rsidR="0075532F">
          <w:rPr>
            <w:rFonts w:ascii="Palatino Linotype" w:eastAsia="Palatino Linotype" w:hAnsi="Palatino Linotype" w:cs="Palatino Linotype"/>
            <w:b/>
            <w:color w:val="000000"/>
            <w:sz w:val="22"/>
            <w:szCs w:val="22"/>
            <w:u w:val="single"/>
          </w:rPr>
          <w:t>SOLIC 193 RR 3258 DES ECO (2).PDF</w:t>
        </w:r>
      </w:hyperlink>
      <w:r w:rsidR="0075532F">
        <w:rPr>
          <w:rFonts w:ascii="Palatino Linotype" w:eastAsia="Palatino Linotype" w:hAnsi="Palatino Linotype" w:cs="Palatino Linotype"/>
          <w:color w:val="000000"/>
          <w:sz w:val="22"/>
          <w:szCs w:val="22"/>
        </w:rPr>
        <w:t xml:space="preserve">: Oficio </w:t>
      </w:r>
      <w:proofErr w:type="spellStart"/>
      <w:r w:rsidR="0075532F">
        <w:rPr>
          <w:rFonts w:ascii="Palatino Linotype" w:eastAsia="Palatino Linotype" w:hAnsi="Palatino Linotype" w:cs="Palatino Linotype"/>
          <w:color w:val="000000"/>
          <w:sz w:val="22"/>
          <w:szCs w:val="22"/>
        </w:rPr>
        <w:t>DDETyA</w:t>
      </w:r>
      <w:proofErr w:type="spellEnd"/>
      <w:r w:rsidR="0075532F">
        <w:rPr>
          <w:rFonts w:ascii="Palatino Linotype" w:eastAsia="Palatino Linotype" w:hAnsi="Palatino Linotype" w:cs="Palatino Linotype"/>
          <w:color w:val="000000"/>
          <w:sz w:val="22"/>
          <w:szCs w:val="22"/>
        </w:rPr>
        <w:t xml:space="preserve">/561/2024, de fecha catorce de junio de dos mil veinticuatro, suscrito por la Directora de Desarrollo Económico, Turístico y Artesanal, en el que de forma medular, ratificó su respuesta. </w:t>
      </w:r>
    </w:p>
    <w:p w14:paraId="6F7873A1" w14:textId="77777777" w:rsidR="0007176C" w:rsidRDefault="0007176C">
      <w:pPr>
        <w:spacing w:line="360" w:lineRule="auto"/>
        <w:jc w:val="both"/>
        <w:rPr>
          <w:rFonts w:ascii="Palatino Linotype" w:eastAsia="Palatino Linotype" w:hAnsi="Palatino Linotype" w:cs="Palatino Linotype"/>
          <w:b/>
          <w:sz w:val="22"/>
          <w:szCs w:val="22"/>
        </w:rPr>
      </w:pPr>
    </w:p>
    <w:p w14:paraId="7AF8CE23" w14:textId="77777777" w:rsidR="0007176C" w:rsidRDefault="0007176C">
      <w:pPr>
        <w:pBdr>
          <w:top w:val="nil"/>
          <w:left w:val="nil"/>
          <w:bottom w:val="nil"/>
          <w:right w:val="nil"/>
          <w:between w:val="nil"/>
        </w:pBdr>
        <w:ind w:left="720"/>
        <w:rPr>
          <w:rFonts w:ascii="Palatino Linotype" w:eastAsia="Palatino Linotype" w:hAnsi="Palatino Linotype" w:cs="Palatino Linotype"/>
          <w:b/>
          <w:color w:val="000000"/>
          <w:sz w:val="22"/>
          <w:szCs w:val="22"/>
        </w:rPr>
      </w:pPr>
    </w:p>
    <w:p w14:paraId="36090F39" w14:textId="77777777" w:rsidR="0007176C" w:rsidRDefault="0075532F">
      <w:pPr>
        <w:numPr>
          <w:ilvl w:val="0"/>
          <w:numId w:val="1"/>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catorce (14) de agosto de dos mil veinticuatro, se notificó el acuerdo a través del cual se aprobó la ampliación de plazo para emitir resolución. </w:t>
      </w:r>
    </w:p>
    <w:p w14:paraId="1499D6F3" w14:textId="77777777" w:rsidR="0007176C" w:rsidRDefault="0007176C">
      <w:pPr>
        <w:spacing w:line="360" w:lineRule="auto"/>
        <w:jc w:val="both"/>
        <w:rPr>
          <w:rFonts w:ascii="Palatino Linotype" w:eastAsia="Palatino Linotype" w:hAnsi="Palatino Linotype" w:cs="Palatino Linotype"/>
          <w:sz w:val="22"/>
          <w:szCs w:val="22"/>
        </w:rPr>
      </w:pPr>
    </w:p>
    <w:p w14:paraId="6CD7E890" w14:textId="77777777" w:rsidR="0007176C" w:rsidRDefault="007553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Este organismo garante no pasa por alto justificar, que la dilación en la resolución del presente asunto encuentra justificación en el alto número de recursos de revisión, circunstancia atípica que ha rebasado las capacidades técnicas y humanas del personal encargado de la proyección de las resoluciones a dichos medios de impugnación.</w:t>
      </w:r>
    </w:p>
    <w:p w14:paraId="3201D6AC" w14:textId="77777777" w:rsidR="0007176C" w:rsidRDefault="0007176C">
      <w:pPr>
        <w:spacing w:line="360" w:lineRule="auto"/>
        <w:rPr>
          <w:rFonts w:ascii="Palatino Linotype" w:eastAsia="Palatino Linotype" w:hAnsi="Palatino Linotype" w:cs="Palatino Linotype"/>
          <w:sz w:val="22"/>
          <w:szCs w:val="22"/>
        </w:rPr>
      </w:pPr>
    </w:p>
    <w:p w14:paraId="0B954FCA" w14:textId="77777777" w:rsidR="0007176C" w:rsidRDefault="0075532F">
      <w:pPr>
        <w:numPr>
          <w:ilvl w:val="0"/>
          <w:numId w:val="1"/>
        </w:numPr>
        <w:spacing w:line="360" w:lineRule="auto"/>
        <w:ind w:left="0"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7A22C0E9" w14:textId="77777777" w:rsidR="0007176C" w:rsidRDefault="0007176C">
      <w:pPr>
        <w:spacing w:line="360" w:lineRule="auto"/>
        <w:rPr>
          <w:rFonts w:ascii="Palatino Linotype" w:eastAsia="Palatino Linotype" w:hAnsi="Palatino Linotype" w:cs="Palatino Linotype"/>
          <w:sz w:val="22"/>
          <w:szCs w:val="22"/>
        </w:rPr>
      </w:pPr>
    </w:p>
    <w:p w14:paraId="224FA441" w14:textId="77777777" w:rsidR="0007176C" w:rsidRDefault="0075532F">
      <w:pPr>
        <w:numPr>
          <w:ilvl w:val="0"/>
          <w:numId w:val="1"/>
        </w:numPr>
        <w:spacing w:line="360" w:lineRule="auto"/>
        <w:ind w:left="0"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45D23F5" w14:textId="77777777" w:rsidR="0007176C" w:rsidRDefault="0007176C">
      <w:pPr>
        <w:spacing w:line="360" w:lineRule="auto"/>
        <w:rPr>
          <w:rFonts w:ascii="Palatino Linotype" w:eastAsia="Palatino Linotype" w:hAnsi="Palatino Linotype" w:cs="Palatino Linotype"/>
          <w:sz w:val="22"/>
          <w:szCs w:val="22"/>
        </w:rPr>
      </w:pPr>
    </w:p>
    <w:p w14:paraId="64395FBE" w14:textId="77777777" w:rsidR="0007176C" w:rsidRDefault="0075532F">
      <w:pPr>
        <w:numPr>
          <w:ilvl w:val="0"/>
          <w:numId w:val="1"/>
        </w:numPr>
        <w:spacing w:line="360" w:lineRule="auto"/>
        <w:ind w:left="0"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81AF1E4" w14:textId="77777777" w:rsidR="0007176C" w:rsidRDefault="0007176C">
      <w:pPr>
        <w:pBdr>
          <w:top w:val="nil"/>
          <w:left w:val="nil"/>
          <w:bottom w:val="nil"/>
          <w:right w:val="nil"/>
          <w:between w:val="nil"/>
        </w:pBdr>
        <w:ind w:left="720"/>
        <w:rPr>
          <w:rFonts w:ascii="Palatino Linotype" w:eastAsia="Palatino Linotype" w:hAnsi="Palatino Linotype" w:cs="Palatino Linotype"/>
          <w:b/>
          <w:color w:val="000000"/>
          <w:sz w:val="22"/>
          <w:szCs w:val="22"/>
        </w:rPr>
      </w:pPr>
    </w:p>
    <w:p w14:paraId="0CBE6098" w14:textId="77777777" w:rsidR="0007176C" w:rsidRDefault="0007176C">
      <w:pPr>
        <w:spacing w:line="360" w:lineRule="auto"/>
        <w:jc w:val="both"/>
        <w:rPr>
          <w:rFonts w:ascii="Palatino Linotype" w:eastAsia="Palatino Linotype" w:hAnsi="Palatino Linotype" w:cs="Palatino Linotype"/>
          <w:b/>
          <w:sz w:val="22"/>
          <w:szCs w:val="22"/>
        </w:rPr>
      </w:pPr>
    </w:p>
    <w:p w14:paraId="7E8C537F" w14:textId="77777777" w:rsidR="0007176C" w:rsidRDefault="0075532F">
      <w:pPr>
        <w:numPr>
          <w:ilvl w:val="0"/>
          <w:numId w:val="1"/>
        </w:numPr>
        <w:spacing w:line="360" w:lineRule="auto"/>
        <w:ind w:left="0"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 dicha dilación atendiendo a los siguientes criterios:   </w:t>
      </w:r>
    </w:p>
    <w:p w14:paraId="686C3CC0" w14:textId="77777777" w:rsidR="0007176C" w:rsidRDefault="0007176C">
      <w:pPr>
        <w:spacing w:line="360" w:lineRule="auto"/>
        <w:jc w:val="both"/>
        <w:rPr>
          <w:rFonts w:ascii="Palatino Linotype" w:eastAsia="Palatino Linotype" w:hAnsi="Palatino Linotype" w:cs="Palatino Linotype"/>
          <w:b/>
          <w:sz w:val="22"/>
          <w:szCs w:val="22"/>
        </w:rPr>
      </w:pPr>
    </w:p>
    <w:p w14:paraId="1B637748" w14:textId="77777777" w:rsidR="0007176C" w:rsidRDefault="0075532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51E3BD5A" w14:textId="77777777" w:rsidR="0007176C" w:rsidRDefault="0075532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28E40861" w14:textId="77777777" w:rsidR="0007176C" w:rsidRDefault="0075532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4F222D2E" w14:textId="77777777" w:rsidR="0007176C" w:rsidRDefault="0075532F">
      <w:pPr>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6D2C2389" w14:textId="77777777" w:rsidR="0007176C" w:rsidRDefault="0007176C">
      <w:pPr>
        <w:spacing w:line="360" w:lineRule="auto"/>
        <w:rPr>
          <w:rFonts w:ascii="Palatino Linotype" w:eastAsia="Palatino Linotype" w:hAnsi="Palatino Linotype" w:cs="Palatino Linotype"/>
          <w:sz w:val="22"/>
          <w:szCs w:val="22"/>
        </w:rPr>
      </w:pPr>
    </w:p>
    <w:p w14:paraId="515C3934" w14:textId="77777777" w:rsidR="0007176C" w:rsidRDefault="0075532F">
      <w:pPr>
        <w:numPr>
          <w:ilvl w:val="0"/>
          <w:numId w:val="1"/>
        </w:numPr>
        <w:spacing w:line="360" w:lineRule="auto"/>
        <w:ind w:left="0"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A0B523C" w14:textId="77777777" w:rsidR="0007176C" w:rsidRDefault="0007176C">
      <w:pPr>
        <w:spacing w:line="360" w:lineRule="auto"/>
        <w:jc w:val="both"/>
        <w:rPr>
          <w:rFonts w:ascii="Palatino Linotype" w:eastAsia="Palatino Linotype" w:hAnsi="Palatino Linotype" w:cs="Palatino Linotype"/>
          <w:b/>
          <w:sz w:val="22"/>
          <w:szCs w:val="22"/>
        </w:rPr>
      </w:pPr>
    </w:p>
    <w:p w14:paraId="7F5EB989" w14:textId="77777777" w:rsidR="0007176C" w:rsidRDefault="0075532F">
      <w:pPr>
        <w:numPr>
          <w:ilvl w:val="0"/>
          <w:numId w:val="1"/>
        </w:numPr>
        <w:spacing w:line="360" w:lineRule="auto"/>
        <w:ind w:left="0"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sz w:val="22"/>
          <w:szCs w:val="22"/>
        </w:rPr>
        <w:t>, visible en la Gaceta del Seminario Judicial de la Federación con el registro digital 205635.</w:t>
      </w:r>
    </w:p>
    <w:p w14:paraId="7000B2A1" w14:textId="77777777" w:rsidR="0007176C" w:rsidRDefault="0007176C">
      <w:pPr>
        <w:spacing w:line="360" w:lineRule="auto"/>
        <w:rPr>
          <w:rFonts w:ascii="Palatino Linotype" w:eastAsia="Palatino Linotype" w:hAnsi="Palatino Linotype" w:cs="Palatino Linotype"/>
          <w:sz w:val="22"/>
          <w:szCs w:val="22"/>
        </w:rPr>
      </w:pPr>
    </w:p>
    <w:p w14:paraId="65D1C00C" w14:textId="77777777" w:rsidR="0007176C" w:rsidRDefault="0075532F">
      <w:pPr>
        <w:numPr>
          <w:ilvl w:val="0"/>
          <w:numId w:val="1"/>
        </w:numPr>
        <w:spacing w:line="360" w:lineRule="auto"/>
        <w:ind w:left="0"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AC18C6A" w14:textId="77777777" w:rsidR="0007176C" w:rsidRDefault="0007176C">
      <w:pPr>
        <w:spacing w:line="360" w:lineRule="auto"/>
        <w:rPr>
          <w:rFonts w:ascii="Palatino Linotype" w:eastAsia="Palatino Linotype" w:hAnsi="Palatino Linotype" w:cs="Palatino Linotype"/>
          <w:sz w:val="22"/>
          <w:szCs w:val="22"/>
        </w:rPr>
      </w:pPr>
    </w:p>
    <w:p w14:paraId="2E34823F" w14:textId="77777777" w:rsidR="0007176C" w:rsidRDefault="0075532F">
      <w:pPr>
        <w:numPr>
          <w:ilvl w:val="0"/>
          <w:numId w:val="1"/>
        </w:numPr>
        <w:spacing w:line="360" w:lineRule="auto"/>
        <w:ind w:left="0"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2F756628" w14:textId="77777777" w:rsidR="0007176C" w:rsidRDefault="0007176C">
      <w:pPr>
        <w:spacing w:line="360" w:lineRule="auto"/>
        <w:rPr>
          <w:rFonts w:ascii="Palatino Linotype" w:eastAsia="Palatino Linotype" w:hAnsi="Palatino Linotype" w:cs="Palatino Linotype"/>
          <w:sz w:val="22"/>
          <w:szCs w:val="22"/>
        </w:rPr>
      </w:pPr>
    </w:p>
    <w:p w14:paraId="45DCDA02" w14:textId="77777777" w:rsidR="0007176C" w:rsidRDefault="0075532F">
      <w:pPr>
        <w:numPr>
          <w:ilvl w:val="0"/>
          <w:numId w:val="1"/>
        </w:numPr>
        <w:spacing w:line="360" w:lineRule="auto"/>
        <w:ind w:left="0"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44A45186" w14:textId="77777777" w:rsidR="0007176C" w:rsidRDefault="0007176C">
      <w:pPr>
        <w:spacing w:line="360" w:lineRule="auto"/>
        <w:jc w:val="both"/>
        <w:rPr>
          <w:rFonts w:ascii="Palatino Linotype" w:eastAsia="Palatino Linotype" w:hAnsi="Palatino Linotype" w:cs="Palatino Linotype"/>
          <w:b/>
          <w:sz w:val="22"/>
          <w:szCs w:val="22"/>
        </w:rPr>
      </w:pPr>
    </w:p>
    <w:p w14:paraId="6ED85080" w14:textId="77777777" w:rsidR="0007176C" w:rsidRDefault="0075532F">
      <w:pPr>
        <w:spacing w:line="360" w:lineRule="auto"/>
        <w:ind w:left="851" w:right="82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Seminario Judicial de la Federación y su gaceta, con el registro digital 2002351.</w:t>
      </w:r>
    </w:p>
    <w:p w14:paraId="7B9541FF" w14:textId="77777777" w:rsidR="0007176C" w:rsidRDefault="0007176C">
      <w:pPr>
        <w:spacing w:line="360" w:lineRule="auto"/>
        <w:ind w:left="851" w:right="822"/>
        <w:jc w:val="both"/>
        <w:rPr>
          <w:rFonts w:ascii="Palatino Linotype" w:eastAsia="Palatino Linotype" w:hAnsi="Palatino Linotype" w:cs="Palatino Linotype"/>
          <w:b/>
          <w:sz w:val="22"/>
          <w:szCs w:val="22"/>
        </w:rPr>
      </w:pPr>
    </w:p>
    <w:p w14:paraId="2811CB73" w14:textId="77777777" w:rsidR="0007176C" w:rsidRDefault="0075532F">
      <w:pPr>
        <w:spacing w:line="360" w:lineRule="auto"/>
        <w:ind w:left="851" w:right="822"/>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 xml:space="preserve">“PLAZO RAZONABLE PARA RESOLVER. CONCEPTO Y ELEMENTOS QUE LO INTEGRAN A LA LUZ DEL DERECHO INTERNACIONAL DE LOS </w:t>
      </w:r>
      <w:r>
        <w:rPr>
          <w:rFonts w:ascii="Palatino Linotype" w:eastAsia="Palatino Linotype" w:hAnsi="Palatino Linotype" w:cs="Palatino Linotype"/>
          <w:i/>
          <w:sz w:val="22"/>
          <w:szCs w:val="22"/>
        </w:rPr>
        <w:lastRenderedPageBreak/>
        <w:t>DERECHOS HUMANOS.”</w:t>
      </w:r>
      <w:r>
        <w:rPr>
          <w:rFonts w:ascii="Palatino Linotype" w:eastAsia="Palatino Linotype" w:hAnsi="Palatino Linotype" w:cs="Palatino Linotype"/>
          <w:sz w:val="22"/>
          <w:szCs w:val="22"/>
        </w:rPr>
        <w:t>, visible en el Seminario Judicial de la Federación y su gaceta, con el registro digital 2002350.</w:t>
      </w:r>
    </w:p>
    <w:p w14:paraId="4DB6BF56" w14:textId="77777777" w:rsidR="0007176C" w:rsidRDefault="0007176C">
      <w:pPr>
        <w:spacing w:line="360" w:lineRule="auto"/>
        <w:ind w:right="822"/>
        <w:jc w:val="both"/>
        <w:rPr>
          <w:rFonts w:ascii="Palatino Linotype" w:eastAsia="Palatino Linotype" w:hAnsi="Palatino Linotype" w:cs="Palatino Linotype"/>
          <w:i/>
          <w:sz w:val="22"/>
          <w:szCs w:val="22"/>
        </w:rPr>
      </w:pPr>
    </w:p>
    <w:p w14:paraId="76D727CC" w14:textId="77777777" w:rsidR="0007176C" w:rsidRDefault="0075532F">
      <w:pPr>
        <w:numPr>
          <w:ilvl w:val="0"/>
          <w:numId w:val="1"/>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ello, este Organismo Garante comprometido con la tutela de los derechos humanos confiados, señala que este exceso de plazo legal para resolver el presente asunto, resulta de carácter excepcional. </w:t>
      </w:r>
    </w:p>
    <w:p w14:paraId="371EA9FB" w14:textId="77777777" w:rsidR="0007176C" w:rsidRDefault="0007176C">
      <w:pPr>
        <w:spacing w:line="360" w:lineRule="auto"/>
        <w:jc w:val="both"/>
        <w:rPr>
          <w:rFonts w:ascii="Palatino Linotype" w:eastAsia="Palatino Linotype" w:hAnsi="Palatino Linotype" w:cs="Palatino Linotype"/>
          <w:i/>
          <w:color w:val="000000"/>
          <w:sz w:val="22"/>
          <w:szCs w:val="22"/>
        </w:rPr>
      </w:pPr>
    </w:p>
    <w:p w14:paraId="2E6BD92D" w14:textId="77777777" w:rsidR="0007176C" w:rsidRDefault="0075532F">
      <w:pPr>
        <w:numPr>
          <w:ilvl w:val="0"/>
          <w:numId w:val="1"/>
        </w:numPr>
        <w:spacing w:line="360" w:lineRule="auto"/>
        <w:ind w:left="0"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La Comisionada Ponente decretó el cierre de instrucción mediante acuerdo del cinco (05) de noviembre de dos mil veinticuatro, por lo que, ordenó turnar el expediente a resolución, misma que a continuación se pronuncia.</w:t>
      </w:r>
    </w:p>
    <w:p w14:paraId="7A7768C3" w14:textId="77777777" w:rsidR="0007176C" w:rsidRDefault="0007176C">
      <w:pPr>
        <w:spacing w:line="360" w:lineRule="auto"/>
        <w:jc w:val="both"/>
        <w:rPr>
          <w:rFonts w:ascii="Palatino Linotype" w:eastAsia="Palatino Linotype" w:hAnsi="Palatino Linotype" w:cs="Palatino Linotype"/>
          <w:b/>
          <w:sz w:val="22"/>
          <w:szCs w:val="22"/>
        </w:rPr>
      </w:pPr>
    </w:p>
    <w:p w14:paraId="51FB03BD" w14:textId="77777777" w:rsidR="0007176C" w:rsidRDefault="0075532F">
      <w:pPr>
        <w:keepNext/>
        <w:keepLines/>
        <w:spacing w:line="360" w:lineRule="auto"/>
        <w:jc w:val="center"/>
        <w:rPr>
          <w:rFonts w:ascii="Palatino Linotype" w:eastAsia="Palatino Linotype" w:hAnsi="Palatino Linotype" w:cs="Palatino Linotype"/>
          <w:b/>
          <w:sz w:val="22"/>
          <w:szCs w:val="22"/>
        </w:rPr>
      </w:pPr>
      <w:bookmarkStart w:id="1" w:name="_heading=h.1fob9te" w:colFirst="0" w:colLast="0"/>
      <w:bookmarkEnd w:id="1"/>
      <w:r>
        <w:rPr>
          <w:rFonts w:ascii="Palatino Linotype" w:eastAsia="Palatino Linotype" w:hAnsi="Palatino Linotype" w:cs="Palatino Linotype"/>
          <w:b/>
          <w:sz w:val="22"/>
          <w:szCs w:val="22"/>
        </w:rPr>
        <w:t>CONSIDERANDO</w:t>
      </w:r>
    </w:p>
    <w:p w14:paraId="25CB5017" w14:textId="77777777" w:rsidR="0007176C" w:rsidRDefault="0007176C">
      <w:pPr>
        <w:keepNext/>
        <w:keepLines/>
        <w:spacing w:line="360" w:lineRule="auto"/>
        <w:jc w:val="center"/>
        <w:rPr>
          <w:rFonts w:ascii="Palatino Linotype" w:eastAsia="Palatino Linotype" w:hAnsi="Palatino Linotype" w:cs="Palatino Linotype"/>
          <w:b/>
          <w:sz w:val="22"/>
          <w:szCs w:val="22"/>
        </w:rPr>
      </w:pPr>
    </w:p>
    <w:p w14:paraId="03CC4173" w14:textId="77777777" w:rsidR="0007176C" w:rsidRDefault="0075532F">
      <w:pPr>
        <w:keepNext/>
        <w:keepLines/>
        <w:spacing w:line="360" w:lineRule="auto"/>
        <w:rPr>
          <w:rFonts w:ascii="Palatino Linotype" w:eastAsia="Palatino Linotype" w:hAnsi="Palatino Linotype" w:cs="Palatino Linotype"/>
          <w:b/>
          <w:sz w:val="22"/>
          <w:szCs w:val="22"/>
        </w:rPr>
      </w:pPr>
      <w:bookmarkStart w:id="2" w:name="_heading=h.3znysh7" w:colFirst="0" w:colLast="0"/>
      <w:bookmarkEnd w:id="2"/>
      <w:r>
        <w:rPr>
          <w:rFonts w:ascii="Palatino Linotype" w:eastAsia="Palatino Linotype" w:hAnsi="Palatino Linotype" w:cs="Palatino Linotype"/>
          <w:b/>
          <w:sz w:val="22"/>
          <w:szCs w:val="22"/>
        </w:rPr>
        <w:t>PRIMERO. De la competencia.</w:t>
      </w:r>
    </w:p>
    <w:p w14:paraId="4DF78A01" w14:textId="77777777" w:rsidR="0007176C" w:rsidRDefault="0007176C">
      <w:pPr>
        <w:spacing w:line="360" w:lineRule="auto"/>
        <w:jc w:val="both"/>
        <w:rPr>
          <w:rFonts w:ascii="Palatino Linotype" w:eastAsia="Palatino Linotype" w:hAnsi="Palatino Linotype" w:cs="Palatino Linotype"/>
          <w:b/>
          <w:sz w:val="22"/>
          <w:szCs w:val="22"/>
        </w:rPr>
      </w:pPr>
    </w:p>
    <w:p w14:paraId="2C762F2B" w14:textId="77777777" w:rsidR="0007176C" w:rsidRDefault="0075532F">
      <w:pPr>
        <w:numPr>
          <w:ilvl w:val="0"/>
          <w:numId w:val="1"/>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Pr>
          <w:rFonts w:ascii="Palatino Linotype" w:eastAsia="Palatino Linotype" w:hAnsi="Palatino Linotype" w:cs="Palatino Linotype"/>
          <w:b/>
          <w:color w:val="000000"/>
          <w:sz w:val="22"/>
          <w:szCs w:val="22"/>
        </w:rPr>
        <w:t>Constitución Política de los Estados Unidos Mexicanos</w:t>
      </w:r>
      <w:r>
        <w:rPr>
          <w:rFonts w:ascii="Palatino Linotype" w:eastAsia="Palatino Linotype" w:hAnsi="Palatino Linotype" w:cs="Palatino Linotype"/>
          <w:color w:val="000000"/>
          <w:sz w:val="22"/>
          <w:szCs w:val="22"/>
        </w:rPr>
        <w:t xml:space="preserve">; 5, párrafos trigésimo segundo y trigésimo tercero, fracciones IV y V, de la </w:t>
      </w:r>
      <w:r>
        <w:rPr>
          <w:rFonts w:ascii="Palatino Linotype" w:eastAsia="Palatino Linotype" w:hAnsi="Palatino Linotype" w:cs="Palatino Linotype"/>
          <w:b/>
          <w:color w:val="000000"/>
          <w:sz w:val="22"/>
          <w:szCs w:val="22"/>
        </w:rPr>
        <w:t>Constitución Política del Estado Libre y Soberano de México</w:t>
      </w:r>
      <w:r>
        <w:rPr>
          <w:rFonts w:ascii="Palatino Linotype" w:eastAsia="Palatino Linotype" w:hAnsi="Palatino Linotype" w:cs="Palatino Linotype"/>
          <w:color w:val="000000"/>
          <w:sz w:val="22"/>
          <w:szCs w:val="22"/>
        </w:rPr>
        <w:t xml:space="preserve">; artículos 1, 2 fracción II, 13, 29, 36 fracciones I y II, 176, 178, 179, 181 párrafo tercero y 185 de la </w:t>
      </w:r>
      <w:r>
        <w:rPr>
          <w:rFonts w:ascii="Palatino Linotype" w:eastAsia="Palatino Linotype" w:hAnsi="Palatino Linotype" w:cs="Palatino Linotype"/>
          <w:b/>
          <w:color w:val="000000"/>
          <w:sz w:val="22"/>
          <w:szCs w:val="22"/>
        </w:rPr>
        <w:t>Ley de Transparencia y Acceso a la Información Pública del Estado de México y Municipios</w:t>
      </w:r>
      <w:r>
        <w:rPr>
          <w:rFonts w:ascii="Palatino Linotype" w:eastAsia="Palatino Linotype" w:hAnsi="Palatino Linotype" w:cs="Palatino Linotype"/>
          <w:color w:val="000000"/>
          <w:sz w:val="22"/>
          <w:szCs w:val="22"/>
        </w:rPr>
        <w:t xml:space="preserve">; y 7, 9 fracciones I y XXIII, y 11 del </w:t>
      </w:r>
      <w:r>
        <w:rPr>
          <w:rFonts w:ascii="Palatino Linotype" w:eastAsia="Palatino Linotype" w:hAnsi="Palatino Linotype" w:cs="Palatino Linotype"/>
          <w:b/>
          <w:color w:val="000000"/>
          <w:sz w:val="22"/>
          <w:szCs w:val="22"/>
        </w:rPr>
        <w:t>Reglamento Interior del Instituto de Transparencia, Acceso a la Información Pública y Protección de Datos Personales del Estado de México y Municipios.</w:t>
      </w:r>
    </w:p>
    <w:p w14:paraId="4CFC4030" w14:textId="77777777" w:rsidR="0007176C" w:rsidRDefault="0075532F">
      <w:pPr>
        <w:keepNext/>
        <w:keepLines/>
        <w:spacing w:line="360" w:lineRule="auto"/>
        <w:rPr>
          <w:rFonts w:ascii="Palatino Linotype" w:eastAsia="Palatino Linotype" w:hAnsi="Palatino Linotype" w:cs="Palatino Linotype"/>
          <w:b/>
          <w:sz w:val="22"/>
          <w:szCs w:val="22"/>
        </w:rPr>
      </w:pPr>
      <w:bookmarkStart w:id="3" w:name="_heading=h.2et92p0" w:colFirst="0" w:colLast="0"/>
      <w:bookmarkEnd w:id="3"/>
      <w:r>
        <w:rPr>
          <w:rFonts w:ascii="Palatino Linotype" w:eastAsia="Palatino Linotype" w:hAnsi="Palatino Linotype" w:cs="Palatino Linotype"/>
          <w:b/>
          <w:sz w:val="22"/>
          <w:szCs w:val="22"/>
        </w:rPr>
        <w:lastRenderedPageBreak/>
        <w:t>SEGUNDO. De la oportunidad y procedencia.</w:t>
      </w:r>
    </w:p>
    <w:p w14:paraId="04375ACA" w14:textId="77777777" w:rsidR="0007176C" w:rsidRDefault="0007176C">
      <w:pPr>
        <w:keepNext/>
        <w:keepLines/>
        <w:spacing w:line="360" w:lineRule="auto"/>
        <w:rPr>
          <w:rFonts w:ascii="Palatino Linotype" w:eastAsia="Palatino Linotype" w:hAnsi="Palatino Linotype" w:cs="Palatino Linotype"/>
          <w:b/>
          <w:sz w:val="22"/>
          <w:szCs w:val="22"/>
        </w:rPr>
      </w:pPr>
    </w:p>
    <w:p w14:paraId="5AA2B9B1" w14:textId="77777777" w:rsidR="0007176C" w:rsidRDefault="0075532F">
      <w:pPr>
        <w:numPr>
          <w:ilvl w:val="0"/>
          <w:numId w:val="1"/>
        </w:numPr>
        <w:spacing w:line="360" w:lineRule="auto"/>
        <w:ind w:left="0" w:right="48"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medio de impugnación fue presentado a través del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entregó respuesta el día catorce (14) de mayo de dos mil veinticuatro, de tal forma que el plazo para interponer el recurso transcurrió del quince (15) de mayo al cuatro (04) de junio de dos mil veinticuatro, de acuerdo al calendario oficial del Instituto de Transparencia del Estado de México y Municipios; en consecuencia, si el particular presentó su inconformidad el día veinticinco (25) de mayo de dos mil veinticuatro, se encuentra dentro de los márgenes temporales previstos en el artículo 178 de la </w:t>
      </w:r>
      <w:r>
        <w:rPr>
          <w:rFonts w:ascii="Palatino Linotype" w:eastAsia="Palatino Linotype" w:hAnsi="Palatino Linotype" w:cs="Palatino Linotype"/>
          <w:b/>
          <w:sz w:val="22"/>
          <w:szCs w:val="22"/>
        </w:rPr>
        <w:t xml:space="preserve">Ley de Transparencia y Acceso a la Información Pública del Estado de México y Municipios </w:t>
      </w:r>
      <w:r>
        <w:rPr>
          <w:rFonts w:ascii="Palatino Linotype" w:eastAsia="Palatino Linotype" w:hAnsi="Palatino Linotype" w:cs="Palatino Linotype"/>
          <w:sz w:val="22"/>
          <w:szCs w:val="22"/>
        </w:rPr>
        <w:t xml:space="preserve">vigente. </w:t>
      </w:r>
    </w:p>
    <w:p w14:paraId="2FBAB1FD" w14:textId="77777777" w:rsidR="0007176C" w:rsidRDefault="0007176C">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284B05F6" w14:textId="77777777" w:rsidR="0007176C" w:rsidRDefault="0075532F">
      <w:pPr>
        <w:numPr>
          <w:ilvl w:val="0"/>
          <w:numId w:val="1"/>
        </w:numPr>
        <w:spacing w:line="360" w:lineRule="auto"/>
        <w:ind w:left="0" w:right="49"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1307A0B" w14:textId="77777777" w:rsidR="0007176C" w:rsidRDefault="0007176C">
      <w:pPr>
        <w:spacing w:line="360" w:lineRule="auto"/>
        <w:ind w:right="49"/>
        <w:jc w:val="both"/>
        <w:rPr>
          <w:rFonts w:ascii="Palatino Linotype" w:eastAsia="Palatino Linotype" w:hAnsi="Palatino Linotype" w:cs="Palatino Linotype"/>
          <w:b/>
          <w:sz w:val="22"/>
          <w:szCs w:val="22"/>
        </w:rPr>
      </w:pPr>
    </w:p>
    <w:p w14:paraId="1BC6E35F" w14:textId="77777777" w:rsidR="0007176C" w:rsidRDefault="0075532F">
      <w:pPr>
        <w:keepNext/>
        <w:keepLines/>
        <w:spacing w:line="360" w:lineRule="auto"/>
        <w:ind w:right="48"/>
        <w:rPr>
          <w:rFonts w:ascii="Palatino Linotype" w:eastAsia="Palatino Linotype" w:hAnsi="Palatino Linotype" w:cs="Palatino Linotype"/>
          <w:b/>
          <w:sz w:val="22"/>
          <w:szCs w:val="22"/>
        </w:rPr>
      </w:pPr>
      <w:bookmarkStart w:id="4" w:name="_heading=h.tyjcwt" w:colFirst="0" w:colLast="0"/>
      <w:bookmarkEnd w:id="4"/>
      <w:r>
        <w:rPr>
          <w:rFonts w:ascii="Palatino Linotype" w:eastAsia="Palatino Linotype" w:hAnsi="Palatino Linotype" w:cs="Palatino Linotype"/>
          <w:b/>
          <w:sz w:val="22"/>
          <w:szCs w:val="22"/>
        </w:rPr>
        <w:t>TERCERO. Planteamiento de la Litis.</w:t>
      </w:r>
    </w:p>
    <w:p w14:paraId="380D7227" w14:textId="77777777" w:rsidR="0007176C" w:rsidRDefault="0007176C">
      <w:pPr>
        <w:keepNext/>
        <w:keepLines/>
        <w:spacing w:line="360" w:lineRule="auto"/>
        <w:ind w:right="48"/>
        <w:rPr>
          <w:rFonts w:ascii="Palatino Linotype" w:eastAsia="Palatino Linotype" w:hAnsi="Palatino Linotype" w:cs="Palatino Linotype"/>
          <w:b/>
          <w:sz w:val="22"/>
          <w:szCs w:val="22"/>
        </w:rPr>
      </w:pPr>
    </w:p>
    <w:p w14:paraId="76E1164F" w14:textId="77777777" w:rsidR="0007176C" w:rsidRDefault="0075532F">
      <w:pPr>
        <w:numPr>
          <w:ilvl w:val="0"/>
          <w:numId w:val="1"/>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 xml:space="preserve">El particular solicitó, de la unidad económica “Templo </w:t>
      </w:r>
      <w:proofErr w:type="spellStart"/>
      <w:r>
        <w:rPr>
          <w:rFonts w:ascii="Palatino Linotype" w:eastAsia="Palatino Linotype" w:hAnsi="Palatino Linotype" w:cs="Palatino Linotype"/>
          <w:color w:val="000000"/>
          <w:sz w:val="22"/>
          <w:szCs w:val="22"/>
        </w:rPr>
        <w:t>Rooftop</w:t>
      </w:r>
      <w:proofErr w:type="spellEnd"/>
      <w:r>
        <w:rPr>
          <w:rFonts w:ascii="Palatino Linotype" w:eastAsia="Palatino Linotype" w:hAnsi="Palatino Linotype" w:cs="Palatino Linotype"/>
          <w:color w:val="000000"/>
          <w:sz w:val="22"/>
          <w:szCs w:val="22"/>
        </w:rPr>
        <w:t xml:space="preserve"> Metepec”, con domicilio en calle Porfirio Díaz 12, Espíritu Santo, 52140 Metepec, México, la licencia de funcionamiento, permiso, giro comercial y confirmación del domicilio. </w:t>
      </w:r>
    </w:p>
    <w:p w14:paraId="3421D43A" w14:textId="77777777" w:rsidR="0007176C" w:rsidRDefault="0007176C">
      <w:pPr>
        <w:pBdr>
          <w:top w:val="nil"/>
          <w:left w:val="nil"/>
          <w:bottom w:val="nil"/>
          <w:right w:val="nil"/>
          <w:between w:val="nil"/>
        </w:pBdr>
        <w:spacing w:line="360" w:lineRule="auto"/>
        <w:ind w:right="48"/>
        <w:jc w:val="both"/>
        <w:rPr>
          <w:rFonts w:ascii="Palatino Linotype" w:eastAsia="Palatino Linotype" w:hAnsi="Palatino Linotype" w:cs="Palatino Linotype"/>
          <w:i/>
          <w:color w:val="000000"/>
          <w:sz w:val="22"/>
          <w:szCs w:val="22"/>
        </w:rPr>
      </w:pPr>
    </w:p>
    <w:p w14:paraId="10D794E8" w14:textId="77777777" w:rsidR="0007176C" w:rsidRDefault="0075532F">
      <w:pPr>
        <w:numPr>
          <w:ilvl w:val="0"/>
          <w:numId w:val="1"/>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 xml:space="preserve">En respuesta, el Sujeto Obligado entregó una liga electrónica en la que manifestó se localiza toda la información solicitada. Posteriormente, el hoy Recurrente interpuso recurso </w:t>
      </w:r>
      <w:r>
        <w:rPr>
          <w:rFonts w:ascii="Palatino Linotype" w:eastAsia="Palatino Linotype" w:hAnsi="Palatino Linotype" w:cs="Palatino Linotype"/>
          <w:color w:val="000000"/>
          <w:sz w:val="22"/>
          <w:szCs w:val="22"/>
        </w:rPr>
        <w:lastRenderedPageBreak/>
        <w:t xml:space="preserve">de revisión en el que señaló su inconformidad, de forma medular, por la negativa de la información. </w:t>
      </w:r>
    </w:p>
    <w:p w14:paraId="397847F9" w14:textId="77777777" w:rsidR="0007176C" w:rsidRDefault="0007176C">
      <w:pPr>
        <w:tabs>
          <w:tab w:val="left" w:pos="0"/>
        </w:tabs>
        <w:spacing w:line="360" w:lineRule="auto"/>
        <w:ind w:right="34"/>
        <w:jc w:val="both"/>
        <w:rPr>
          <w:rFonts w:ascii="Palatino Linotype" w:eastAsia="Palatino Linotype" w:hAnsi="Palatino Linotype" w:cs="Palatino Linotype"/>
          <w:i/>
          <w:sz w:val="22"/>
          <w:szCs w:val="22"/>
        </w:rPr>
      </w:pPr>
    </w:p>
    <w:p w14:paraId="566DDE11" w14:textId="77777777" w:rsidR="0007176C" w:rsidRDefault="0075532F">
      <w:pPr>
        <w:numPr>
          <w:ilvl w:val="0"/>
          <w:numId w:val="1"/>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consecuencia, la Litis a resolver en este recurso, se circunscribe a determinar si la respuesta colma con lo solicitado o si se actualiza la causal de procedencia prevista en el artículo 179, fracción I de la Ley de Transparencia y Acceso a la Información Pública del Estado de México y Municipios; que establece la negativa de la información.</w:t>
      </w:r>
    </w:p>
    <w:p w14:paraId="4FED1E5F" w14:textId="77777777" w:rsidR="0007176C" w:rsidRDefault="0007176C">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sz w:val="22"/>
          <w:szCs w:val="22"/>
        </w:rPr>
      </w:pPr>
    </w:p>
    <w:p w14:paraId="56B30770" w14:textId="77777777" w:rsidR="0007176C" w:rsidRDefault="0075532F">
      <w:pPr>
        <w:pStyle w:val="Ttulo1"/>
        <w:spacing w:before="0" w:line="360" w:lineRule="auto"/>
        <w:rPr>
          <w:rFonts w:ascii="Palatino Linotype" w:eastAsia="Palatino Linotype" w:hAnsi="Palatino Linotype" w:cs="Palatino Linotype"/>
          <w:b/>
          <w:color w:val="000000"/>
          <w:sz w:val="22"/>
          <w:szCs w:val="22"/>
        </w:rPr>
      </w:pPr>
      <w:bookmarkStart w:id="5" w:name="_heading=h.3dy6vkm" w:colFirst="0" w:colLast="0"/>
      <w:bookmarkEnd w:id="5"/>
      <w:r>
        <w:rPr>
          <w:rFonts w:ascii="Palatino Linotype" w:eastAsia="Palatino Linotype" w:hAnsi="Palatino Linotype" w:cs="Palatino Linotype"/>
          <w:b/>
          <w:color w:val="000000"/>
          <w:sz w:val="22"/>
          <w:szCs w:val="22"/>
        </w:rPr>
        <w:t>CUARTO. Del estudio y resolución del recurso de revisión.</w:t>
      </w:r>
    </w:p>
    <w:p w14:paraId="2D31473A" w14:textId="77777777" w:rsidR="0007176C" w:rsidRDefault="0007176C">
      <w:pPr>
        <w:spacing w:line="360" w:lineRule="auto"/>
        <w:ind w:right="49"/>
        <w:jc w:val="both"/>
        <w:rPr>
          <w:rFonts w:ascii="Palatino Linotype" w:eastAsia="Palatino Linotype" w:hAnsi="Palatino Linotype" w:cs="Palatino Linotype"/>
          <w:sz w:val="22"/>
          <w:szCs w:val="22"/>
        </w:rPr>
      </w:pPr>
      <w:bookmarkStart w:id="6" w:name="_heading=h.1t3h5sf" w:colFirst="0" w:colLast="0"/>
      <w:bookmarkEnd w:id="6"/>
    </w:p>
    <w:p w14:paraId="5686595B" w14:textId="77777777" w:rsidR="0007176C" w:rsidRDefault="0075532F">
      <w:pPr>
        <w:pStyle w:val="Ttulo1"/>
        <w:spacing w:before="0" w:line="360" w:lineRule="auto"/>
        <w:rPr>
          <w:rFonts w:ascii="Palatino Linotype" w:eastAsia="Palatino Linotype" w:hAnsi="Palatino Linotype" w:cs="Palatino Linotype"/>
          <w:b/>
          <w:color w:val="000000"/>
          <w:sz w:val="22"/>
          <w:szCs w:val="22"/>
        </w:rPr>
      </w:pPr>
      <w:bookmarkStart w:id="7" w:name="_heading=h.4d34og8" w:colFirst="0" w:colLast="0"/>
      <w:bookmarkEnd w:id="7"/>
      <w:r>
        <w:rPr>
          <w:rFonts w:ascii="Palatino Linotype" w:eastAsia="Palatino Linotype" w:hAnsi="Palatino Linotype" w:cs="Palatino Linotype"/>
          <w:b/>
          <w:color w:val="000000"/>
          <w:sz w:val="22"/>
          <w:szCs w:val="22"/>
        </w:rPr>
        <w:t>De la información solicitada y la respuesta del Sujeto Obligado</w:t>
      </w:r>
    </w:p>
    <w:p w14:paraId="7B1ED75D" w14:textId="77777777" w:rsidR="0007176C" w:rsidRDefault="0007176C">
      <w:pPr>
        <w:rPr>
          <w:sz w:val="22"/>
          <w:szCs w:val="22"/>
        </w:rPr>
      </w:pPr>
    </w:p>
    <w:p w14:paraId="69390CC9" w14:textId="77777777" w:rsidR="0007176C" w:rsidRDefault="007553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4CAC5A8D" w14:textId="77777777" w:rsidR="0007176C" w:rsidRDefault="0007176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0B1AC3C5" w14:textId="77777777" w:rsidR="0007176C" w:rsidRDefault="0075532F">
      <w:pPr>
        <w:numPr>
          <w:ilvl w:val="0"/>
          <w:numId w:val="1"/>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Primeramente, debemos recapitular que el particular solicitó de la unidad económica “Templo </w:t>
      </w:r>
      <w:proofErr w:type="spellStart"/>
      <w:r>
        <w:rPr>
          <w:rFonts w:ascii="Palatino Linotype" w:eastAsia="Palatino Linotype" w:hAnsi="Palatino Linotype" w:cs="Palatino Linotype"/>
          <w:color w:val="000000"/>
          <w:sz w:val="22"/>
          <w:szCs w:val="22"/>
        </w:rPr>
        <w:t>Rooftop</w:t>
      </w:r>
      <w:proofErr w:type="spellEnd"/>
      <w:r>
        <w:rPr>
          <w:rFonts w:ascii="Palatino Linotype" w:eastAsia="Palatino Linotype" w:hAnsi="Palatino Linotype" w:cs="Palatino Linotype"/>
          <w:color w:val="000000"/>
          <w:sz w:val="22"/>
          <w:szCs w:val="22"/>
        </w:rPr>
        <w:t xml:space="preserve"> Metepec”, con domicilio en calle Porfirio Díaz 12, Espíritu Santo, 52140 Metepec, México, la licencia de funcionamiento, permiso, giro comercial y confirmación del domicilio.  En respuesta, el Sujeto Obligado entregó una liga electrónica en la que manifestó se localiza toda la información solicitada.</w:t>
      </w:r>
    </w:p>
    <w:p w14:paraId="1CD5094D" w14:textId="77777777" w:rsidR="0007176C" w:rsidRDefault="0007176C">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33D2934F" w14:textId="77777777" w:rsidR="0007176C" w:rsidRDefault="0007176C">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sz w:val="22"/>
          <w:szCs w:val="22"/>
        </w:rPr>
      </w:pPr>
    </w:p>
    <w:p w14:paraId="306A0A5A" w14:textId="77777777" w:rsidR="0007176C" w:rsidRDefault="007553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Derivado de la naturaleza de la información que fue solicitada, es necesario traer a contexto la Ley Orgánica Municipal del Estado de México, la cual contiene lo siguiente:</w:t>
      </w:r>
    </w:p>
    <w:p w14:paraId="6F1BF190" w14:textId="77777777" w:rsidR="0007176C" w:rsidRDefault="0007176C">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1E0F1D79" w14:textId="77777777" w:rsidR="0007176C" w:rsidRDefault="0007176C">
      <w:pPr>
        <w:pBdr>
          <w:top w:val="nil"/>
          <w:left w:val="nil"/>
          <w:bottom w:val="nil"/>
          <w:right w:val="nil"/>
          <w:between w:val="nil"/>
        </w:pBdr>
        <w:spacing w:line="360" w:lineRule="auto"/>
        <w:ind w:left="851" w:right="822"/>
        <w:jc w:val="both"/>
        <w:rPr>
          <w:rFonts w:ascii="Palatino Linotype" w:eastAsia="Palatino Linotype" w:hAnsi="Palatino Linotype" w:cs="Palatino Linotype"/>
          <w:color w:val="000000"/>
          <w:sz w:val="22"/>
          <w:szCs w:val="22"/>
        </w:rPr>
      </w:pPr>
    </w:p>
    <w:p w14:paraId="44EA5DAF" w14:textId="77777777" w:rsidR="0007176C" w:rsidRDefault="0075532F">
      <w:pPr>
        <w:pBdr>
          <w:top w:val="nil"/>
          <w:left w:val="nil"/>
          <w:bottom w:val="nil"/>
          <w:right w:val="nil"/>
          <w:between w:val="nil"/>
        </w:pBdr>
        <w:spacing w:line="360" w:lineRule="auto"/>
        <w:ind w:left="851" w:right="822"/>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CAPITULO TERCERO</w:t>
      </w:r>
    </w:p>
    <w:p w14:paraId="6E18DB49" w14:textId="77777777" w:rsidR="0007176C" w:rsidRDefault="0075532F">
      <w:pPr>
        <w:pBdr>
          <w:top w:val="nil"/>
          <w:left w:val="nil"/>
          <w:bottom w:val="nil"/>
          <w:right w:val="nil"/>
          <w:between w:val="nil"/>
        </w:pBdr>
        <w:spacing w:line="360" w:lineRule="auto"/>
        <w:ind w:left="851" w:right="822"/>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ATRIBUCIONES DE LOS AYUNTAMIENTOS</w:t>
      </w:r>
    </w:p>
    <w:p w14:paraId="4AA1821F" w14:textId="77777777" w:rsidR="0007176C" w:rsidRDefault="0075532F">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31.- Son atribuciones de los ayuntamientos:</w:t>
      </w:r>
    </w:p>
    <w:p w14:paraId="3109A9D1" w14:textId="77777777" w:rsidR="0007176C" w:rsidRDefault="0075532F">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5AC48680" w14:textId="77777777" w:rsidR="0007176C" w:rsidRDefault="0075532F">
      <w:pPr>
        <w:spacing w:line="360" w:lineRule="auto"/>
        <w:ind w:left="851" w:right="82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 Ter. Aprobar y promover un programa para el otorgamiento de la licencia o permiso provisional de funcionamiento para negocios de bajo riesgo que no impliquen riesgos sanitarios, ambientales o de protección civil, conforme al Catálogo Mexiquense de Actividades Industriales, Comerciales y de Servicios de Bajo Riesgo, consignado en la Ley de la materia, mismo que deberá publicarse dentro de los primeros 30 días naturales de cada Ejercicio Fiscal y será aplicable hasta la publicación del siguiente catálogo.</w:t>
      </w:r>
    </w:p>
    <w:p w14:paraId="4068B298" w14:textId="77777777" w:rsidR="0007176C" w:rsidRDefault="0007176C">
      <w:pPr>
        <w:spacing w:line="360" w:lineRule="auto"/>
        <w:ind w:left="851" w:right="822"/>
        <w:jc w:val="both"/>
        <w:rPr>
          <w:rFonts w:ascii="Palatino Linotype" w:eastAsia="Palatino Linotype" w:hAnsi="Palatino Linotype" w:cs="Palatino Linotype"/>
          <w:i/>
          <w:sz w:val="22"/>
          <w:szCs w:val="22"/>
        </w:rPr>
      </w:pPr>
    </w:p>
    <w:p w14:paraId="0B983FBF" w14:textId="77777777" w:rsidR="0007176C" w:rsidRDefault="0075532F">
      <w:pPr>
        <w:spacing w:line="360"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XXIV </w:t>
      </w:r>
      <w:proofErr w:type="spellStart"/>
      <w:r>
        <w:rPr>
          <w:rFonts w:ascii="Palatino Linotype" w:eastAsia="Palatino Linotype" w:hAnsi="Palatino Linotype" w:cs="Palatino Linotype"/>
          <w:i/>
          <w:sz w:val="22"/>
          <w:szCs w:val="22"/>
        </w:rPr>
        <w:t>Quáter</w:t>
      </w:r>
      <w:proofErr w:type="spellEnd"/>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Otorgar licencias de</w:t>
      </w:r>
      <w:r>
        <w:rPr>
          <w:rFonts w:ascii="Palatino Linotype" w:eastAsia="Palatino Linotype" w:hAnsi="Palatino Linotype" w:cs="Palatino Linotype"/>
          <w:i/>
          <w:sz w:val="22"/>
          <w:szCs w:val="22"/>
        </w:rPr>
        <w:t xml:space="preserve"> construcción y </w:t>
      </w:r>
      <w:r>
        <w:rPr>
          <w:rFonts w:ascii="Palatino Linotype" w:eastAsia="Palatino Linotype" w:hAnsi="Palatino Linotype" w:cs="Palatino Linotype"/>
          <w:b/>
          <w:i/>
          <w:sz w:val="22"/>
          <w:szCs w:val="22"/>
        </w:rPr>
        <w:t xml:space="preserve">permisos </w:t>
      </w:r>
      <w:r>
        <w:rPr>
          <w:rFonts w:ascii="Palatino Linotype" w:eastAsia="Palatino Linotype" w:hAnsi="Palatino Linotype" w:cs="Palatino Linotype"/>
          <w:i/>
          <w:sz w:val="22"/>
          <w:szCs w:val="22"/>
        </w:rPr>
        <w:t xml:space="preserve">de </w:t>
      </w:r>
      <w:r>
        <w:rPr>
          <w:rFonts w:ascii="Palatino Linotype" w:eastAsia="Palatino Linotype" w:hAnsi="Palatino Linotype" w:cs="Palatino Linotype"/>
          <w:b/>
          <w:i/>
          <w:sz w:val="22"/>
          <w:szCs w:val="22"/>
        </w:rPr>
        <w:t>funcionamiento de unidades económicas</w:t>
      </w:r>
      <w:r>
        <w:rPr>
          <w:rFonts w:ascii="Palatino Linotype" w:eastAsia="Palatino Linotype" w:hAnsi="Palatino Linotype" w:cs="Palatino Linotype"/>
          <w:i/>
          <w:sz w:val="22"/>
          <w:szCs w:val="22"/>
        </w:rPr>
        <w:t xml:space="preserve"> o establecimientos destinados a la enajenación, reparación o mantenimiento de vehículos automotores usados y autopartes nuevas y usadas, así como de parques y desarrollos industriales, urbanos y de servicios de conformidad con la Evaluación de Impacto Estatal.  </w:t>
      </w:r>
    </w:p>
    <w:p w14:paraId="6AD243A6" w14:textId="77777777" w:rsidR="0007176C" w:rsidRDefault="0075532F">
      <w:pPr>
        <w:spacing w:line="360"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Para los efectos de la presente fracción, la licencia o permiso correspondiente se expedirá en un plazo no mayor a diez días hábiles contados a partir de la presentación del Dictamen de Giro aprobado.  </w:t>
      </w:r>
    </w:p>
    <w:p w14:paraId="1F7A192A" w14:textId="77777777" w:rsidR="0007176C" w:rsidRDefault="0075532F">
      <w:pPr>
        <w:spacing w:line="360"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Tratándose de obras, unidades económicas, inversiones o proyectos que requieran Evaluación de Impacto Estatal la licencia o permiso correspondiente deberá </w:t>
      </w:r>
      <w:r>
        <w:rPr>
          <w:rFonts w:ascii="Palatino Linotype" w:eastAsia="Palatino Linotype" w:hAnsi="Palatino Linotype" w:cs="Palatino Linotype"/>
          <w:i/>
          <w:sz w:val="22"/>
          <w:szCs w:val="22"/>
        </w:rPr>
        <w:lastRenderedPageBreak/>
        <w:t xml:space="preserve">otorgarse, en un plazo no mayor a veinte días hábiles, contados a partir de que le sea presentada la Evaluación de Impacto Estatal correspondiente, y cuando el solicitante presente el acuerdo de aceptación a la solicitud de Evaluación de Impacto Estatal. </w:t>
      </w:r>
    </w:p>
    <w:p w14:paraId="2A241C6D" w14:textId="77777777" w:rsidR="0007176C" w:rsidRDefault="0007176C">
      <w:pPr>
        <w:spacing w:line="360" w:lineRule="auto"/>
        <w:ind w:left="851" w:right="822"/>
        <w:jc w:val="both"/>
        <w:rPr>
          <w:rFonts w:ascii="Palatino Linotype" w:eastAsia="Palatino Linotype" w:hAnsi="Palatino Linotype" w:cs="Palatino Linotype"/>
          <w:i/>
          <w:sz w:val="22"/>
          <w:szCs w:val="22"/>
        </w:rPr>
      </w:pPr>
    </w:p>
    <w:p w14:paraId="466355F8" w14:textId="77777777" w:rsidR="0007176C" w:rsidRDefault="0075532F">
      <w:pPr>
        <w:spacing w:line="360"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XXIV. Quinques. Otorgar licencia de funcionamiento, previa presentación del Dictamen de Giro, a las unidades económicas que tengan como actividad complementaria o principal la venta de bebidas alcohólicas.</w:t>
      </w:r>
      <w:r>
        <w:rPr>
          <w:rFonts w:ascii="Palatino Linotype" w:eastAsia="Palatino Linotype" w:hAnsi="Palatino Linotype" w:cs="Palatino Linotype"/>
          <w:i/>
          <w:sz w:val="22"/>
          <w:szCs w:val="22"/>
        </w:rPr>
        <w:t xml:space="preserve"> Esta licencia tendrá una vigencia de cinco años y deberá ser refrendada de manera anual, con independencia de que puedan ser sujetos de visitas de verificación para constatar el cumplimiento de las disposiciones jurídicas aplicables.  </w:t>
      </w:r>
    </w:p>
    <w:p w14:paraId="6BE5D2CC" w14:textId="77777777" w:rsidR="0007176C" w:rsidRDefault="0007176C">
      <w:pPr>
        <w:spacing w:line="360" w:lineRule="auto"/>
        <w:ind w:left="851" w:right="822"/>
        <w:jc w:val="both"/>
        <w:rPr>
          <w:rFonts w:ascii="Palatino Linotype" w:eastAsia="Palatino Linotype" w:hAnsi="Palatino Linotype" w:cs="Palatino Linotype"/>
          <w:i/>
          <w:sz w:val="22"/>
          <w:szCs w:val="22"/>
        </w:rPr>
      </w:pPr>
    </w:p>
    <w:p w14:paraId="6AD4D5CA" w14:textId="77777777" w:rsidR="0007176C" w:rsidRDefault="0075532F">
      <w:pPr>
        <w:spacing w:line="360" w:lineRule="auto"/>
        <w:ind w:left="851" w:right="82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Una vez presentado el Dictamen de Giro aprobado, se expedirá la licencia de funcionamiento en un plazo no mayor a diez días hábiles.  </w:t>
      </w:r>
    </w:p>
    <w:p w14:paraId="021AA5FD" w14:textId="77777777" w:rsidR="0007176C" w:rsidRDefault="0007176C">
      <w:pPr>
        <w:spacing w:line="360" w:lineRule="auto"/>
        <w:ind w:left="851" w:right="822"/>
        <w:jc w:val="both"/>
        <w:rPr>
          <w:rFonts w:ascii="Palatino Linotype" w:eastAsia="Palatino Linotype" w:hAnsi="Palatino Linotype" w:cs="Palatino Linotype"/>
          <w:i/>
          <w:sz w:val="22"/>
          <w:szCs w:val="22"/>
        </w:rPr>
      </w:pPr>
    </w:p>
    <w:p w14:paraId="535E9B46" w14:textId="77777777" w:rsidR="0007176C" w:rsidRDefault="0075532F">
      <w:pPr>
        <w:spacing w:line="360"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el refrendo anual no es necesario obtener un nuevo Dictamen de Giro siempre y cuando, no se modifiquen la superficie de la unidad económica, su aforo o su actividad económica;</w:t>
      </w:r>
    </w:p>
    <w:p w14:paraId="6F77A764" w14:textId="77777777" w:rsidR="0007176C" w:rsidRDefault="0075532F">
      <w:pPr>
        <w:spacing w:line="360"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C5DABCD" w14:textId="77777777" w:rsidR="0007176C" w:rsidRDefault="0075532F">
      <w:pPr>
        <w:spacing w:line="360"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XLIV. Crear el Registro Municipal de Unidades Económicas, donde se especifique la licencia de funcionamiento con la actividad de la unidad económica e impacto que generen, así como las demás características que se determinen;</w:t>
      </w:r>
    </w:p>
    <w:p w14:paraId="1094B6B6" w14:textId="77777777" w:rsidR="0007176C" w:rsidRDefault="0007176C">
      <w:pPr>
        <w:spacing w:line="360" w:lineRule="auto"/>
        <w:ind w:left="851" w:right="822"/>
        <w:jc w:val="both"/>
        <w:rPr>
          <w:rFonts w:ascii="Palatino Linotype" w:eastAsia="Palatino Linotype" w:hAnsi="Palatino Linotype" w:cs="Palatino Linotype"/>
          <w:i/>
          <w:sz w:val="22"/>
          <w:szCs w:val="22"/>
        </w:rPr>
      </w:pPr>
    </w:p>
    <w:p w14:paraId="3432126D" w14:textId="77777777" w:rsidR="0007176C" w:rsidRDefault="0075532F">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96 </w:t>
      </w:r>
      <w:proofErr w:type="spellStart"/>
      <w:r>
        <w:rPr>
          <w:rFonts w:ascii="Palatino Linotype" w:eastAsia="Palatino Linotype" w:hAnsi="Palatino Linotype" w:cs="Palatino Linotype"/>
          <w:i/>
          <w:color w:val="000000"/>
          <w:sz w:val="22"/>
          <w:szCs w:val="22"/>
        </w:rPr>
        <w:t>Quáter</w:t>
      </w:r>
      <w:proofErr w:type="spellEnd"/>
      <w:r>
        <w:rPr>
          <w:rFonts w:ascii="Palatino Linotype" w:eastAsia="Palatino Linotype" w:hAnsi="Palatino Linotype" w:cs="Palatino Linotype"/>
          <w:i/>
          <w:color w:val="000000"/>
          <w:sz w:val="22"/>
          <w:szCs w:val="22"/>
        </w:rPr>
        <w:t>.- El Titular de la Dirección de Desarrollo Económico Municipal o el Titular de la Unidad Administrativa equivalente, tiene las siguientes atribuciones:</w:t>
      </w:r>
    </w:p>
    <w:p w14:paraId="7FF99CCF" w14:textId="77777777" w:rsidR="0007176C" w:rsidRDefault="0075532F">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2601C0C4" w14:textId="77777777" w:rsidR="0007176C" w:rsidRDefault="0075532F">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II Bis. Impulsar y difundir la simplificación de trámites y reducción de plazos para el otorgamiento de permisos, licencias y autorizaciones del orden municipal, de conformidad con la Ley para la Mejora Regulatoria del Estado de México y Municipios, la Ley de Competitividad y Ordenamiento Comercial del Estado de México, la Ley de Fomento Económico del Estado de México, sus respectivos reglamentos y demás disposiciones jurídicas aplicables.</w:t>
      </w:r>
    </w:p>
    <w:p w14:paraId="2C4CD394" w14:textId="77777777" w:rsidR="0007176C" w:rsidRDefault="0007176C">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p>
    <w:p w14:paraId="1A5DAD55" w14:textId="77777777" w:rsidR="0007176C" w:rsidRDefault="0075532F">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XVIII. Conducir la coordinación interinstitucional de las dependencias municipales a las que corresponda conocer sobre el otorgamiento de permisos y licencias para la apertura y funcionamiento de unidades económicas;  </w:t>
      </w:r>
    </w:p>
    <w:p w14:paraId="16CF642F" w14:textId="77777777" w:rsidR="0007176C" w:rsidRDefault="0007176C">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p>
    <w:p w14:paraId="2D430B6F" w14:textId="77777777" w:rsidR="0007176C" w:rsidRDefault="0075532F">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Para tal efecto, deberá garantizar que el otorgamiento de la licencia no esté sujeto al pago de contribuciones ni a donación alguna; la exigencia de cargas tributarias, dádivas o cualquier otro concepto que condicione su expedición será sancionada en términos de la Ley de Responsabilidades Administrativas del Estado de México y Municipios;  </w:t>
      </w:r>
    </w:p>
    <w:p w14:paraId="001A692F" w14:textId="77777777" w:rsidR="0007176C" w:rsidRDefault="0007176C">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p>
    <w:p w14:paraId="1041EAF9" w14:textId="77777777" w:rsidR="0007176C" w:rsidRDefault="0075532F">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XIX. Operar y actualizar el Registro Municipal de Unidades Económicas de los permisos o licencias de funcionamiento otorgadas a las unidades económicas respectivas, así como remitir dentro de los cinco días hábiles siguientes los datos generados al Sistema que al efecto integre la Secretaría de Desarrollo Económico, a la Secretaría de Seguridad y a la Fiscalía General de Justicia del Estado de México, la información respectiva;  </w:t>
      </w:r>
    </w:p>
    <w:p w14:paraId="4BDFFD18" w14:textId="77777777" w:rsidR="0007176C" w:rsidRDefault="0007176C">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p>
    <w:p w14:paraId="6AFD511F" w14:textId="77777777" w:rsidR="0007176C" w:rsidRDefault="0075532F">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XX. Crear y actualizar el Registro de las Unidades Económicas que cuenten con el Dictamen de Giro, para la solicitud o refrendo de las licencias de funcionamiento;</w:t>
      </w:r>
    </w:p>
    <w:p w14:paraId="131E08A7" w14:textId="77777777" w:rsidR="0007176C" w:rsidRDefault="0007176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023EA1D9" w14:textId="77777777" w:rsidR="0007176C" w:rsidRDefault="007553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 así que, de acuerdo a la normatividad en cita, el Ayuntamiento tiene la atribución de emitir licencias de funcionamiento y permisos a las unidades económicas, a través de la Dirección de Desarrollo Económico Municipal o equivalente.</w:t>
      </w:r>
    </w:p>
    <w:p w14:paraId="37D3B7A2" w14:textId="77777777" w:rsidR="0007176C" w:rsidRDefault="0007176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038855D" w14:textId="77777777" w:rsidR="0007176C" w:rsidRDefault="0075532F">
      <w:pPr>
        <w:numPr>
          <w:ilvl w:val="0"/>
          <w:numId w:val="1"/>
        </w:numPr>
        <w:pBdr>
          <w:top w:val="nil"/>
          <w:left w:val="nil"/>
          <w:bottom w:val="nil"/>
          <w:right w:val="nil"/>
          <w:between w:val="nil"/>
        </w:pBdr>
        <w:spacing w:after="160"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su parte, La Ley de Competitividad y Ordenamiento Comercial del Estado de México, define a la licencia de funcionamiento como el acto administrativo que emite la autoridad, por la cual autoriza a persona física o jurídico colectiva a desarrollar actividades económicas. Asimismo, dicho ordenamiento legal establece lo siguiente:</w:t>
      </w:r>
    </w:p>
    <w:p w14:paraId="23612484" w14:textId="77777777" w:rsidR="0007176C" w:rsidRDefault="0007176C">
      <w:pPr>
        <w:spacing w:line="276" w:lineRule="auto"/>
        <w:jc w:val="both"/>
        <w:rPr>
          <w:rFonts w:ascii="Palatino Linotype" w:eastAsia="Palatino Linotype" w:hAnsi="Palatino Linotype" w:cs="Palatino Linotype"/>
          <w:sz w:val="22"/>
          <w:szCs w:val="22"/>
        </w:rPr>
      </w:pPr>
    </w:p>
    <w:p w14:paraId="60C2ACB9" w14:textId="77777777" w:rsidR="0007176C" w:rsidRDefault="0075532F">
      <w:pPr>
        <w:spacing w:line="276" w:lineRule="auto"/>
        <w:ind w:left="851" w:right="82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2. Para los efectos de esta Ley, se entenderá por:</w:t>
      </w:r>
    </w:p>
    <w:p w14:paraId="27692E11"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9191B7E"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XV. Licencia de funcionamiento:</w:t>
      </w:r>
      <w:r>
        <w:rPr>
          <w:rFonts w:ascii="Palatino Linotype" w:eastAsia="Palatino Linotype" w:hAnsi="Palatino Linotype" w:cs="Palatino Linotype"/>
          <w:i/>
          <w:sz w:val="22"/>
          <w:szCs w:val="22"/>
        </w:rPr>
        <w:t xml:space="preserve"> Al acto administrativo que emite la autoridad, por el cual autoriza a una persona física o jurídica colectiva a desarrollar actividades económicas.</w:t>
      </w:r>
    </w:p>
    <w:p w14:paraId="23407808"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w:t>
      </w:r>
    </w:p>
    <w:p w14:paraId="7B499AC7" w14:textId="77777777" w:rsidR="0007176C" w:rsidRDefault="0075532F">
      <w:pPr>
        <w:spacing w:line="276" w:lineRule="auto"/>
        <w:ind w:left="851" w:right="82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XIX. Permiso: Al que se expide al solicitante para que realice una actividad económica.</w:t>
      </w:r>
    </w:p>
    <w:p w14:paraId="51C3B642"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C33E674" w14:textId="77777777" w:rsidR="0007176C" w:rsidRDefault="0075532F">
      <w:pPr>
        <w:spacing w:line="276" w:lineRule="auto"/>
        <w:ind w:left="851" w:right="82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4. Son autoridades encargadas de la aplicación de esta Ley las siguientes:</w:t>
      </w:r>
    </w:p>
    <w:p w14:paraId="4E1CE03C"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4D32D72"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VIII. Ayuntamientos.</w:t>
      </w:r>
    </w:p>
    <w:p w14:paraId="74834B79"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BF351B9" w14:textId="77777777" w:rsidR="0007176C" w:rsidRDefault="0007176C">
      <w:pPr>
        <w:spacing w:line="276" w:lineRule="auto"/>
        <w:jc w:val="both"/>
        <w:rPr>
          <w:rFonts w:ascii="Palatino Linotype" w:eastAsia="Palatino Linotype" w:hAnsi="Palatino Linotype" w:cs="Palatino Linotype"/>
          <w:sz w:val="22"/>
          <w:szCs w:val="22"/>
        </w:rPr>
      </w:pPr>
    </w:p>
    <w:p w14:paraId="70930E48"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7. Corresponde a los municipios</w:t>
      </w:r>
      <w:r>
        <w:rPr>
          <w:rFonts w:ascii="Palatino Linotype" w:eastAsia="Palatino Linotype" w:hAnsi="Palatino Linotype" w:cs="Palatino Linotype"/>
          <w:i/>
          <w:sz w:val="22"/>
          <w:szCs w:val="22"/>
        </w:rPr>
        <w:t xml:space="preserve">: </w:t>
      </w:r>
    </w:p>
    <w:p w14:paraId="5497C589" w14:textId="77777777" w:rsidR="0007176C" w:rsidRDefault="0007176C">
      <w:pPr>
        <w:spacing w:line="276" w:lineRule="auto"/>
        <w:ind w:left="851" w:right="822"/>
        <w:jc w:val="both"/>
        <w:rPr>
          <w:rFonts w:ascii="Palatino Linotype" w:eastAsia="Palatino Linotype" w:hAnsi="Palatino Linotype" w:cs="Palatino Linotype"/>
          <w:i/>
          <w:sz w:val="22"/>
          <w:szCs w:val="22"/>
        </w:rPr>
      </w:pPr>
    </w:p>
    <w:p w14:paraId="5D81E977" w14:textId="77777777" w:rsidR="0007176C" w:rsidRDefault="0075532F">
      <w:pPr>
        <w:spacing w:line="276" w:lineRule="auto"/>
        <w:ind w:left="851" w:right="82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I. Crear el registro municipal, donde se especifica la licencia de funcionamiento con la actividad de la unidad económica e impacto que generen, así como las demás características que se determinen. </w:t>
      </w:r>
    </w:p>
    <w:p w14:paraId="5BE66C1F"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Integrar y operar la ventanilla única. </w:t>
      </w:r>
    </w:p>
    <w:p w14:paraId="31CEBEB3"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III. Operar, digitalizar y mantener, semanalmente actualizado, el registro municipal, a través de la Dirección de Desarrollo Económico o su equivalente, que opere en su demarcación, el cual deberá publicarse en el portal de Internet del municipio. </w:t>
      </w:r>
    </w:p>
    <w:p w14:paraId="63769FE8"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IV. Enviar, dentro de los cinco días hábiles siguientes de cada mes calendario la actualización de su registro municipal, el informe correspondiente a las autoridades estatales, para actualizar el registro estatal. </w:t>
      </w:r>
    </w:p>
    <w:p w14:paraId="58E1810A"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 Resguardar y actualizar el archivo físico y digital con los documentos requeridos por las leyes para la expedición y refrendo de las licencias correspondientes. </w:t>
      </w:r>
    </w:p>
    <w:p w14:paraId="5E203CD7"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 Ordenar visitas de verificación a las unidades económicas que operen en su demarcación. </w:t>
      </w:r>
    </w:p>
    <w:p w14:paraId="15CAE6A4"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 En términos de los ordenamientos aplicables, substanciar el procedimiento de las visitas de verificación administrativa que se hayan practicado. </w:t>
      </w:r>
    </w:p>
    <w:p w14:paraId="23FECF96"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VIII. Determinar y ordenar las medidas de seguridad e imponer las sanciones previstas en esta Ley. </w:t>
      </w:r>
    </w:p>
    <w:p w14:paraId="016E7534"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IX. Prevenir las adicciones, restringiendo el expendio, consumo de bebidas alcohólicas, tabaco u otras substancias que las provoquen en las distintas instalaciones recreativas y deportivas, o con motivo de la realización de festejos populares o tradicionales, conforme a las disposiciones aplicables. </w:t>
      </w:r>
    </w:p>
    <w:p w14:paraId="0592F8DA"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 Las demás que le confieran esta Ley y otras disposiciones aplicables.</w:t>
      </w:r>
    </w:p>
    <w:p w14:paraId="72617612" w14:textId="77777777" w:rsidR="0007176C" w:rsidRDefault="0007176C">
      <w:pPr>
        <w:spacing w:line="276" w:lineRule="auto"/>
        <w:ind w:left="851" w:right="822"/>
        <w:jc w:val="both"/>
        <w:rPr>
          <w:rFonts w:ascii="Palatino Linotype" w:eastAsia="Palatino Linotype" w:hAnsi="Palatino Linotype" w:cs="Palatino Linotype"/>
          <w:i/>
          <w:sz w:val="22"/>
          <w:szCs w:val="22"/>
        </w:rPr>
      </w:pPr>
    </w:p>
    <w:p w14:paraId="1FFB82B1" w14:textId="77777777" w:rsidR="0007176C" w:rsidRDefault="0075532F">
      <w:pPr>
        <w:spacing w:line="276" w:lineRule="auto"/>
        <w:ind w:left="851" w:right="822"/>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TÍTULO SEGUNDO</w:t>
      </w:r>
    </w:p>
    <w:p w14:paraId="0ED174FB" w14:textId="77777777" w:rsidR="0007176C" w:rsidRDefault="0075532F">
      <w:pPr>
        <w:spacing w:line="276" w:lineRule="auto"/>
        <w:ind w:left="851" w:right="822"/>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 LAS UNIDADES ECONÓMICAS</w:t>
      </w:r>
    </w:p>
    <w:p w14:paraId="148168E6" w14:textId="77777777" w:rsidR="0007176C" w:rsidRDefault="0075532F">
      <w:pPr>
        <w:spacing w:line="276" w:lineRule="auto"/>
        <w:ind w:left="851" w:right="822"/>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CAPÍTULO I</w:t>
      </w:r>
    </w:p>
    <w:p w14:paraId="43A1FD5F" w14:textId="77777777" w:rsidR="0007176C" w:rsidRDefault="0075532F">
      <w:pPr>
        <w:spacing w:line="276" w:lineRule="auto"/>
        <w:ind w:left="851" w:right="822"/>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 LAS OBLIGACIONES Y PROHIBICIONES</w:t>
      </w:r>
    </w:p>
    <w:p w14:paraId="3881F9BB" w14:textId="77777777" w:rsidR="0007176C" w:rsidRDefault="0075532F">
      <w:pPr>
        <w:spacing w:line="276" w:lineRule="auto"/>
        <w:ind w:left="851" w:right="822"/>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 LOS TITULARES Y/O DEPENDIENTES</w:t>
      </w:r>
    </w:p>
    <w:p w14:paraId="6D565B10" w14:textId="77777777" w:rsidR="0007176C" w:rsidRDefault="0075532F">
      <w:pPr>
        <w:spacing w:line="276" w:lineRule="auto"/>
        <w:ind w:left="851" w:right="82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Artículo 21. Los titulares de las unidades económicas tienen las obligaciones siguientes: </w:t>
      </w:r>
    </w:p>
    <w:p w14:paraId="24F076BD"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Destinar el local exclusivamente para la actividad autorizada en el Dictamen de Giro, permiso o licencia de funcionamiento,</w:t>
      </w:r>
      <w:r>
        <w:rPr>
          <w:rFonts w:ascii="Palatino Linotype" w:eastAsia="Palatino Linotype" w:hAnsi="Palatino Linotype" w:cs="Palatino Linotype"/>
          <w:i/>
          <w:sz w:val="22"/>
          <w:szCs w:val="22"/>
        </w:rPr>
        <w:t xml:space="preserve"> según sea el caso. </w:t>
      </w:r>
    </w:p>
    <w:p w14:paraId="3808094D"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Adoptar todas las medidas que sean necesarias para evitar la comisión de conductas ilícitas o lesivas a la persona humana o se incite a estas. </w:t>
      </w:r>
    </w:p>
    <w:p w14:paraId="2759A43E"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Tener en la unidad económica el original o copia certificada del Dictamen de Giro, permiso o licencia de funcionamiento, según sea el caso. </w:t>
      </w:r>
    </w:p>
    <w:p w14:paraId="34FEAD20"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IV. Refrendar el permiso o licencia de funcionamiento. </w:t>
      </w:r>
    </w:p>
    <w:p w14:paraId="29446CDC"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V. Permitir al servidor público el acceso a la unidad económica para que realice las funciones de verificación. </w:t>
      </w:r>
    </w:p>
    <w:p w14:paraId="4110EB4B"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 Cumplir con los horarios que fije esta Ley y no permitir que los clientes permanezcan en su interior después del horario autorizado. </w:t>
      </w:r>
    </w:p>
    <w:p w14:paraId="411F7F00"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 Acatar la suspensión de actividades en las fechas y horarios específicos que determinen las autoridades. </w:t>
      </w:r>
    </w:p>
    <w:p w14:paraId="70580C46"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VIII. Permitir el libre acceso a personas con discapacidad, ciegas o débiles visuales guiadas de un perro, el cual deberá contar con bozal. </w:t>
      </w:r>
    </w:p>
    <w:p w14:paraId="7CDBBB22"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IX. Exhibir y/o señalar en un lugar visible al público y con caracteres legibles: </w:t>
      </w:r>
    </w:p>
    <w:p w14:paraId="14A70229"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 El horario de prestación de servicios y de venta de bebidas alcohólicas. </w:t>
      </w:r>
    </w:p>
    <w:p w14:paraId="660AADA4"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b) Un croquis que ubique claramente las rutas de evacuación, cuando la unidad económica tenga una superficie mayor a los cien metros cuadrados. </w:t>
      </w:r>
    </w:p>
    <w:p w14:paraId="42B4691C"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 La capacidad de aforo manifestada en el permiso de funcionamiento o licencia de funcionamiento. </w:t>
      </w:r>
    </w:p>
    <w:p w14:paraId="1E312CAB"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 Contar con personal capacitado y botiquín equipado con medicinas, material e instrumentos de curación necesarios para brindar primeros auxilios, en caso de reunir a más de 50 personas, entre clientes y empleados. </w:t>
      </w:r>
    </w:p>
    <w:p w14:paraId="5F8B5943"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XI. Vigilar que se conserve la seguridad de los usuarios, empleados y dependientes dentro de la unidad económica, así como coadyuvar a que con su funcionamiento no se altere el orden público de las zonas aledañas. En caso de no ocurrir así, los titulares o sus dependientes deberán dar aviso inmediato a las autoridades competentes en materia de seguridad pública. </w:t>
      </w:r>
    </w:p>
    <w:p w14:paraId="7FEC4191"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XII. Contar con los cajones de estacionamiento que determine la autoridad competente. </w:t>
      </w:r>
    </w:p>
    <w:p w14:paraId="259C5CE6"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XIII. Darse de alta en el Servicio de Administración Tributaria, una vez reunidos todos los requisitos y autorizaciones, previo a la expedición de la licencia de funcionamiento, cuando se trate de unidades económicas de bajo impacto. </w:t>
      </w:r>
    </w:p>
    <w:p w14:paraId="7AA4BBE4"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XIV. Atender las disposiciones en materia de control y humo del tabaco. </w:t>
      </w:r>
    </w:p>
    <w:p w14:paraId="1CC91FF4"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XV. Señalar y tener a la vista del público las salidas de emergencia, así como la localización de extintores y otros dispositivos para el control de siniestros. </w:t>
      </w:r>
    </w:p>
    <w:p w14:paraId="6ADB8C82"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XVI. Permitir el libre acceso a las instalaciones sanitarias a mujeres embarazadas y adultos mayores. </w:t>
      </w:r>
    </w:p>
    <w:p w14:paraId="03AA5243" w14:textId="77777777" w:rsidR="0007176C" w:rsidRDefault="0075532F">
      <w:pPr>
        <w:spacing w:line="276"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XVII. Las demás que le confieran esta Ley y otras disposiciones aplicables.</w:t>
      </w:r>
    </w:p>
    <w:p w14:paraId="382291B5" w14:textId="77777777" w:rsidR="0007176C" w:rsidRDefault="0007176C">
      <w:pPr>
        <w:spacing w:line="360" w:lineRule="auto"/>
        <w:jc w:val="both"/>
        <w:rPr>
          <w:rFonts w:ascii="Palatino Linotype" w:eastAsia="Palatino Linotype" w:hAnsi="Palatino Linotype" w:cs="Palatino Linotype"/>
          <w:sz w:val="22"/>
          <w:szCs w:val="22"/>
        </w:rPr>
      </w:pPr>
    </w:p>
    <w:p w14:paraId="213C9D87" w14:textId="77777777" w:rsidR="0007176C" w:rsidRDefault="0075532F">
      <w:pPr>
        <w:numPr>
          <w:ilvl w:val="0"/>
          <w:numId w:val="1"/>
        </w:numPr>
        <w:spacing w:after="160"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De lo anterior, se advierte que cada Unidad Económica dentro de los territorios municipales, debe contar </w:t>
      </w:r>
      <w:r>
        <w:rPr>
          <w:rFonts w:ascii="Palatino Linotype" w:eastAsia="Palatino Linotype" w:hAnsi="Palatino Linotype" w:cs="Palatino Linotype"/>
          <w:b/>
          <w:sz w:val="22"/>
          <w:szCs w:val="22"/>
        </w:rPr>
        <w:t>con su dictamen de giro, licencia o permiso de funcionamiento</w:t>
      </w:r>
      <w:r>
        <w:rPr>
          <w:rFonts w:ascii="Palatino Linotype" w:eastAsia="Palatino Linotype" w:hAnsi="Palatino Linotype" w:cs="Palatino Linotype"/>
          <w:sz w:val="22"/>
          <w:szCs w:val="22"/>
        </w:rPr>
        <w:t xml:space="preserve">, así como la obligación de refrendar el permiso o la licencia. Para tal efecto, los Ayuntamientos, cuentan con un apartado de trámites y servicios, en el cual, la ciudadanía podrá encontrar toda la información necesaria para realizar el alta de las unidades económicas, tales como los requisitos, tiempos de duración de trámite y de respuesta, así como costos que debe cubrir. </w:t>
      </w:r>
    </w:p>
    <w:p w14:paraId="2D74168A" w14:textId="77777777" w:rsidR="0007176C" w:rsidRDefault="0075532F">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Bajo esa misma premisa, en su artículo 10 refiere que los registros tienen como finalidad crear una base de datos confiable, actualizada e integrada de las unidades económicas que se </w:t>
      </w:r>
      <w:proofErr w:type="spellStart"/>
      <w:r>
        <w:rPr>
          <w:rFonts w:ascii="Palatino Linotype" w:eastAsia="Palatino Linotype" w:hAnsi="Palatino Linotype" w:cs="Palatino Linotype"/>
          <w:color w:val="000000"/>
          <w:sz w:val="22"/>
          <w:szCs w:val="22"/>
        </w:rPr>
        <w:t>aperturen</w:t>
      </w:r>
      <w:proofErr w:type="spellEnd"/>
      <w:r>
        <w:rPr>
          <w:rFonts w:ascii="Palatino Linotype" w:eastAsia="Palatino Linotype" w:hAnsi="Palatino Linotype" w:cs="Palatino Linotype"/>
          <w:color w:val="000000"/>
          <w:sz w:val="22"/>
          <w:szCs w:val="22"/>
        </w:rPr>
        <w:t xml:space="preserve">, mismos que contendrán por lo menos los siguientes datos: </w:t>
      </w:r>
    </w:p>
    <w:p w14:paraId="59918572" w14:textId="77777777" w:rsidR="0007176C" w:rsidRDefault="0007176C">
      <w:pPr>
        <w:spacing w:line="360" w:lineRule="auto"/>
        <w:ind w:right="49"/>
        <w:jc w:val="both"/>
        <w:rPr>
          <w:rFonts w:ascii="Palatino Linotype" w:eastAsia="Palatino Linotype" w:hAnsi="Palatino Linotype" w:cs="Palatino Linotype"/>
          <w:sz w:val="22"/>
          <w:szCs w:val="22"/>
        </w:rPr>
      </w:pPr>
    </w:p>
    <w:p w14:paraId="3EB95409" w14:textId="77777777" w:rsidR="0007176C" w:rsidRDefault="0075532F">
      <w:pPr>
        <w:pBdr>
          <w:top w:val="nil"/>
          <w:left w:val="nil"/>
          <w:bottom w:val="nil"/>
          <w:right w:val="nil"/>
          <w:between w:val="nil"/>
        </w:pBdr>
        <w:spacing w:line="276"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b/>
          <w:i/>
          <w:color w:val="000000"/>
          <w:sz w:val="22"/>
          <w:szCs w:val="22"/>
        </w:rPr>
        <w:t>Artículo 10</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 xml:space="preserve">Los registros tienen como finalidad crear una base de datos confiable, </w:t>
      </w:r>
      <w:r>
        <w:rPr>
          <w:rFonts w:ascii="Palatino Linotype" w:eastAsia="Palatino Linotype" w:hAnsi="Palatino Linotype" w:cs="Palatino Linotype"/>
          <w:i/>
          <w:color w:val="000000"/>
          <w:sz w:val="22"/>
          <w:szCs w:val="22"/>
        </w:rPr>
        <w:t xml:space="preserve">actualizada e integrada a nivel estatal y municipal de las unidades económicas que se </w:t>
      </w:r>
      <w:proofErr w:type="spellStart"/>
      <w:r>
        <w:rPr>
          <w:rFonts w:ascii="Palatino Linotype" w:eastAsia="Palatino Linotype" w:hAnsi="Palatino Linotype" w:cs="Palatino Linotype"/>
          <w:i/>
          <w:color w:val="000000"/>
          <w:sz w:val="22"/>
          <w:szCs w:val="22"/>
        </w:rPr>
        <w:t>aperturen</w:t>
      </w:r>
      <w:proofErr w:type="spellEnd"/>
      <w:r>
        <w:rPr>
          <w:rFonts w:ascii="Palatino Linotype" w:eastAsia="Palatino Linotype" w:hAnsi="Palatino Linotype" w:cs="Palatino Linotype"/>
          <w:i/>
          <w:color w:val="000000"/>
          <w:sz w:val="22"/>
          <w:szCs w:val="22"/>
        </w:rPr>
        <w:t xml:space="preserve"> en el territorio de la Entidad.</w:t>
      </w:r>
    </w:p>
    <w:p w14:paraId="66D9AD24" w14:textId="77777777" w:rsidR="0007176C" w:rsidRDefault="0007176C">
      <w:pPr>
        <w:pBdr>
          <w:top w:val="nil"/>
          <w:left w:val="nil"/>
          <w:bottom w:val="nil"/>
          <w:right w:val="nil"/>
          <w:between w:val="nil"/>
        </w:pBdr>
        <w:spacing w:line="276" w:lineRule="auto"/>
        <w:ind w:left="851" w:right="822"/>
        <w:jc w:val="both"/>
        <w:rPr>
          <w:rFonts w:ascii="Palatino Linotype" w:eastAsia="Palatino Linotype" w:hAnsi="Palatino Linotype" w:cs="Palatino Linotype"/>
          <w:i/>
          <w:color w:val="000000"/>
          <w:sz w:val="22"/>
          <w:szCs w:val="22"/>
        </w:rPr>
      </w:pPr>
    </w:p>
    <w:p w14:paraId="47D4300B" w14:textId="77777777" w:rsidR="0007176C" w:rsidRDefault="0075532F">
      <w:pPr>
        <w:pBdr>
          <w:top w:val="nil"/>
          <w:left w:val="nil"/>
          <w:bottom w:val="nil"/>
          <w:right w:val="nil"/>
          <w:between w:val="nil"/>
        </w:pBdr>
        <w:spacing w:line="276"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11.</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El registro incluirá al menos los datos siguientes</w:t>
      </w:r>
      <w:r>
        <w:rPr>
          <w:rFonts w:ascii="Palatino Linotype" w:eastAsia="Palatino Linotype" w:hAnsi="Palatino Linotype" w:cs="Palatino Linotype"/>
          <w:i/>
          <w:color w:val="000000"/>
          <w:sz w:val="22"/>
          <w:szCs w:val="22"/>
        </w:rPr>
        <w:t>:</w:t>
      </w:r>
    </w:p>
    <w:p w14:paraId="3243FA67" w14:textId="77777777" w:rsidR="0007176C" w:rsidRDefault="0075532F">
      <w:pPr>
        <w:pBdr>
          <w:top w:val="nil"/>
          <w:left w:val="nil"/>
          <w:bottom w:val="nil"/>
          <w:right w:val="nil"/>
          <w:between w:val="nil"/>
        </w:pBdr>
        <w:spacing w:line="276"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Clave única, que se integrará de una serie alfanumérica.</w:t>
      </w:r>
    </w:p>
    <w:p w14:paraId="74EA042D" w14:textId="77777777" w:rsidR="0007176C" w:rsidRDefault="0075532F">
      <w:pPr>
        <w:pBdr>
          <w:top w:val="nil"/>
          <w:left w:val="nil"/>
          <w:bottom w:val="nil"/>
          <w:right w:val="nil"/>
          <w:between w:val="nil"/>
        </w:pBdr>
        <w:spacing w:line="276"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Nombre del municipio.</w:t>
      </w:r>
    </w:p>
    <w:p w14:paraId="50AF2C7B" w14:textId="77777777" w:rsidR="0007176C" w:rsidRDefault="0075532F">
      <w:pPr>
        <w:pBdr>
          <w:top w:val="nil"/>
          <w:left w:val="nil"/>
          <w:bottom w:val="nil"/>
          <w:right w:val="nil"/>
          <w:between w:val="nil"/>
        </w:pBdr>
        <w:spacing w:line="276" w:lineRule="auto"/>
        <w:ind w:left="851" w:right="82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III. Nombre del titular.</w:t>
      </w:r>
    </w:p>
    <w:p w14:paraId="6B4A4784" w14:textId="77777777" w:rsidR="0007176C" w:rsidRDefault="0075532F">
      <w:pPr>
        <w:pBdr>
          <w:top w:val="nil"/>
          <w:left w:val="nil"/>
          <w:bottom w:val="nil"/>
          <w:right w:val="nil"/>
          <w:between w:val="nil"/>
        </w:pBdr>
        <w:spacing w:line="276" w:lineRule="auto"/>
        <w:ind w:left="851" w:right="82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IV. Actividad económica.</w:t>
      </w:r>
    </w:p>
    <w:p w14:paraId="1BA6952E" w14:textId="77777777" w:rsidR="0007176C" w:rsidRDefault="0075532F">
      <w:pPr>
        <w:pBdr>
          <w:top w:val="nil"/>
          <w:left w:val="nil"/>
          <w:bottom w:val="nil"/>
          <w:right w:val="nil"/>
          <w:between w:val="nil"/>
        </w:pBdr>
        <w:spacing w:line="276"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 Fecha de inicio de actividades.</w:t>
      </w:r>
    </w:p>
    <w:p w14:paraId="60B5D3DC" w14:textId="77777777" w:rsidR="0007176C" w:rsidRDefault="0075532F">
      <w:pPr>
        <w:pBdr>
          <w:top w:val="nil"/>
          <w:left w:val="nil"/>
          <w:bottom w:val="nil"/>
          <w:right w:val="nil"/>
          <w:between w:val="nil"/>
        </w:pBdr>
        <w:spacing w:line="276"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 Tipo de impacto.</w:t>
      </w:r>
    </w:p>
    <w:p w14:paraId="3A8D8A12" w14:textId="77777777" w:rsidR="0007176C" w:rsidRDefault="0075532F">
      <w:pPr>
        <w:pBdr>
          <w:top w:val="nil"/>
          <w:left w:val="nil"/>
          <w:bottom w:val="nil"/>
          <w:right w:val="nil"/>
          <w:between w:val="nil"/>
        </w:pBdr>
        <w:spacing w:line="276" w:lineRule="auto"/>
        <w:ind w:left="851" w:right="82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VII. Domicilio de la unidad económica.</w:t>
      </w:r>
    </w:p>
    <w:p w14:paraId="62F6A4A3" w14:textId="77777777" w:rsidR="0007176C" w:rsidRDefault="0075532F">
      <w:pPr>
        <w:pBdr>
          <w:top w:val="nil"/>
          <w:left w:val="nil"/>
          <w:bottom w:val="nil"/>
          <w:right w:val="nil"/>
          <w:between w:val="nil"/>
        </w:pBdr>
        <w:spacing w:line="276"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VIII. Visitas y procedimientos de verificación en su caso.</w:t>
      </w:r>
    </w:p>
    <w:p w14:paraId="2B16E1B9" w14:textId="77777777" w:rsidR="0007176C" w:rsidRDefault="0075532F">
      <w:pPr>
        <w:pBdr>
          <w:top w:val="nil"/>
          <w:left w:val="nil"/>
          <w:bottom w:val="nil"/>
          <w:right w:val="nil"/>
          <w:between w:val="nil"/>
        </w:pBdr>
        <w:spacing w:line="276"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IX. Sanciones en su caso.</w:t>
      </w:r>
    </w:p>
    <w:p w14:paraId="27DE4E40" w14:textId="77777777" w:rsidR="0007176C" w:rsidRDefault="0075532F">
      <w:pPr>
        <w:pBdr>
          <w:top w:val="nil"/>
          <w:left w:val="nil"/>
          <w:bottom w:val="nil"/>
          <w:right w:val="nil"/>
          <w:between w:val="nil"/>
        </w:pBdr>
        <w:spacing w:line="276"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 Las demás que le confieran esta Ley y otras disposiciones aplicables.”</w:t>
      </w:r>
    </w:p>
    <w:p w14:paraId="166CB123" w14:textId="77777777" w:rsidR="0007176C" w:rsidRDefault="0007176C">
      <w:pPr>
        <w:pBdr>
          <w:top w:val="nil"/>
          <w:left w:val="nil"/>
          <w:bottom w:val="nil"/>
          <w:right w:val="nil"/>
          <w:between w:val="nil"/>
        </w:pBdr>
        <w:spacing w:line="360" w:lineRule="auto"/>
        <w:ind w:left="851" w:right="822"/>
        <w:jc w:val="both"/>
        <w:rPr>
          <w:rFonts w:ascii="Palatino Linotype" w:eastAsia="Palatino Linotype" w:hAnsi="Palatino Linotype" w:cs="Palatino Linotype"/>
          <w:color w:val="000000"/>
          <w:sz w:val="22"/>
          <w:szCs w:val="22"/>
        </w:rPr>
      </w:pPr>
    </w:p>
    <w:p w14:paraId="62D454EB" w14:textId="77777777" w:rsidR="0007176C" w:rsidRDefault="0075532F">
      <w:pPr>
        <w:pBdr>
          <w:top w:val="nil"/>
          <w:left w:val="nil"/>
          <w:bottom w:val="nil"/>
          <w:right w:val="nil"/>
          <w:between w:val="nil"/>
        </w:pBdr>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16. Las ventanillas, en los diferentes ámbitos de su competencia, gestionarán los trámites siguientes:</w:t>
      </w:r>
      <w:r>
        <w:rPr>
          <w:rFonts w:ascii="Palatino Linotype" w:eastAsia="Palatino Linotype" w:hAnsi="Palatino Linotype" w:cs="Palatino Linotype"/>
          <w:i/>
          <w:color w:val="000000"/>
          <w:sz w:val="22"/>
          <w:szCs w:val="22"/>
        </w:rPr>
        <w:t xml:space="preserve"> </w:t>
      </w:r>
    </w:p>
    <w:p w14:paraId="06CAA6F9" w14:textId="77777777" w:rsidR="0007176C" w:rsidRDefault="0075532F">
      <w:pPr>
        <w:pBdr>
          <w:top w:val="nil"/>
          <w:left w:val="nil"/>
          <w:bottom w:val="nil"/>
          <w:right w:val="nil"/>
          <w:between w:val="nil"/>
        </w:pBdr>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27744BA4" w14:textId="77777777" w:rsidR="0007176C" w:rsidRDefault="0075532F">
      <w:pPr>
        <w:pBdr>
          <w:top w:val="nil"/>
          <w:left w:val="nil"/>
          <w:bottom w:val="nil"/>
          <w:right w:val="nil"/>
          <w:between w:val="nil"/>
        </w:pBdr>
        <w:ind w:left="851" w:right="82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II. Licencias</w:t>
      </w:r>
    </w:p>
    <w:p w14:paraId="33869A5C" w14:textId="77777777" w:rsidR="0007176C" w:rsidRDefault="0007176C">
      <w:pPr>
        <w:pBdr>
          <w:top w:val="nil"/>
          <w:left w:val="nil"/>
          <w:bottom w:val="nil"/>
          <w:right w:val="nil"/>
          <w:between w:val="nil"/>
        </w:pBdr>
        <w:ind w:left="851" w:right="822"/>
        <w:jc w:val="both"/>
        <w:rPr>
          <w:rFonts w:ascii="Palatino Linotype" w:eastAsia="Palatino Linotype" w:hAnsi="Palatino Linotype" w:cs="Palatino Linotype"/>
          <w:b/>
          <w:i/>
          <w:color w:val="000000"/>
          <w:sz w:val="22"/>
          <w:szCs w:val="22"/>
        </w:rPr>
      </w:pPr>
    </w:p>
    <w:p w14:paraId="4DDC95B6" w14:textId="77777777" w:rsidR="0007176C" w:rsidRDefault="0075532F">
      <w:pPr>
        <w:pBdr>
          <w:top w:val="nil"/>
          <w:left w:val="nil"/>
          <w:bottom w:val="nil"/>
          <w:right w:val="nil"/>
          <w:between w:val="nil"/>
        </w:pBdr>
        <w:ind w:left="851" w:right="822"/>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“DE LOS REQUISITOS PARA OBTENER PERMISO O LICENCIA DE FUNCIONAMIENTO PARA LAS UNIDADES ECONÓMICAS DE MEDIANO Y ALTO IMPACTO</w:t>
      </w:r>
    </w:p>
    <w:p w14:paraId="22683C3D" w14:textId="77777777" w:rsidR="0007176C" w:rsidRDefault="0007176C">
      <w:pPr>
        <w:pBdr>
          <w:top w:val="nil"/>
          <w:left w:val="nil"/>
          <w:bottom w:val="nil"/>
          <w:right w:val="nil"/>
          <w:between w:val="nil"/>
        </w:pBdr>
        <w:ind w:left="851" w:right="822"/>
        <w:rPr>
          <w:rFonts w:ascii="Palatino Linotype" w:eastAsia="Palatino Linotype" w:hAnsi="Palatino Linotype" w:cs="Palatino Linotype"/>
          <w:b/>
          <w:i/>
          <w:color w:val="000000"/>
          <w:sz w:val="22"/>
          <w:szCs w:val="22"/>
        </w:rPr>
      </w:pPr>
    </w:p>
    <w:p w14:paraId="13DBB0D4" w14:textId="77777777" w:rsidR="0007176C" w:rsidRDefault="0075532F">
      <w:pPr>
        <w:pBdr>
          <w:top w:val="nil"/>
          <w:left w:val="nil"/>
          <w:bottom w:val="nil"/>
          <w:right w:val="nil"/>
          <w:between w:val="nil"/>
        </w:pBdr>
        <w:ind w:left="851" w:right="82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Artículo 66. Para la obtención de un permiso o licencia de funcionamiento, los solicitantes o representante legal tendrán que cumplir los requisitos siguientes:</w:t>
      </w:r>
    </w:p>
    <w:p w14:paraId="6E1B5F1F" w14:textId="77777777" w:rsidR="0007176C" w:rsidRDefault="0007176C">
      <w:pPr>
        <w:pBdr>
          <w:top w:val="nil"/>
          <w:left w:val="nil"/>
          <w:bottom w:val="nil"/>
          <w:right w:val="nil"/>
          <w:between w:val="nil"/>
        </w:pBdr>
        <w:ind w:left="851" w:right="822"/>
        <w:jc w:val="both"/>
        <w:rPr>
          <w:rFonts w:ascii="Palatino Linotype" w:eastAsia="Palatino Linotype" w:hAnsi="Palatino Linotype" w:cs="Palatino Linotype"/>
          <w:b/>
          <w:i/>
          <w:color w:val="000000"/>
          <w:sz w:val="22"/>
          <w:szCs w:val="22"/>
        </w:rPr>
      </w:pPr>
    </w:p>
    <w:p w14:paraId="2B1D2B9D" w14:textId="77777777" w:rsidR="0007176C" w:rsidRDefault="0075532F">
      <w:pPr>
        <w:pBdr>
          <w:top w:val="nil"/>
          <w:left w:val="nil"/>
          <w:bottom w:val="nil"/>
          <w:right w:val="nil"/>
          <w:between w:val="nil"/>
        </w:pBdr>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Solicitud en la que se señale la razón social del solicitante, así como domicilio para oír y recibir notificaciones y dirección de correo electrónico para los efectos de esta Ley. En caso de que el solicitante sea persona física se cotejarán los datos de la credencial para votar con fotografía. </w:t>
      </w:r>
    </w:p>
    <w:p w14:paraId="191EE98C" w14:textId="77777777" w:rsidR="0007176C" w:rsidRDefault="0075532F">
      <w:pPr>
        <w:pBdr>
          <w:top w:val="nil"/>
          <w:left w:val="nil"/>
          <w:bottom w:val="nil"/>
          <w:right w:val="nil"/>
          <w:between w:val="nil"/>
        </w:pBdr>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Actividad económica que se pretende operar. </w:t>
      </w:r>
    </w:p>
    <w:p w14:paraId="51F26C96" w14:textId="77777777" w:rsidR="0007176C" w:rsidRDefault="0075532F">
      <w:pPr>
        <w:pBdr>
          <w:top w:val="nil"/>
          <w:left w:val="nil"/>
          <w:bottom w:val="nil"/>
          <w:right w:val="nil"/>
          <w:between w:val="nil"/>
        </w:pBdr>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Datos de la licencia de uso del suelo que señale el permitido para la actividad económica que se pretende operar. </w:t>
      </w:r>
    </w:p>
    <w:p w14:paraId="5C3C9054" w14:textId="77777777" w:rsidR="0007176C" w:rsidRDefault="0075532F">
      <w:pPr>
        <w:pBdr>
          <w:top w:val="nil"/>
          <w:left w:val="nil"/>
          <w:bottom w:val="nil"/>
          <w:right w:val="nil"/>
          <w:between w:val="nil"/>
        </w:pBdr>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IV. Que cuenta con los cajones de estacionamiento que determine la autoridad correspondiente. </w:t>
      </w:r>
    </w:p>
    <w:p w14:paraId="1A79DE8E" w14:textId="77777777" w:rsidR="0007176C" w:rsidRDefault="0075532F">
      <w:pPr>
        <w:pBdr>
          <w:top w:val="nil"/>
          <w:left w:val="nil"/>
          <w:bottom w:val="nil"/>
          <w:right w:val="nil"/>
          <w:between w:val="nil"/>
        </w:pBdr>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La capacidad de aforo respectiva. </w:t>
      </w:r>
    </w:p>
    <w:p w14:paraId="505BA09D" w14:textId="77777777" w:rsidR="0007176C" w:rsidRDefault="0075532F">
      <w:pPr>
        <w:pBdr>
          <w:top w:val="nil"/>
          <w:left w:val="nil"/>
          <w:bottom w:val="nil"/>
          <w:right w:val="nil"/>
          <w:between w:val="nil"/>
        </w:pBdr>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Dar cuenta del programa interno de protección civil. </w:t>
      </w:r>
    </w:p>
    <w:p w14:paraId="662D7542" w14:textId="77777777" w:rsidR="0007176C" w:rsidRDefault="0075532F">
      <w:pPr>
        <w:pBdr>
          <w:top w:val="nil"/>
          <w:left w:val="nil"/>
          <w:bottom w:val="nil"/>
          <w:right w:val="nil"/>
          <w:between w:val="nil"/>
        </w:pBdr>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VII. Dictamen de Giro o permiso, en su caso, emitido por la autoridad municipal. </w:t>
      </w:r>
    </w:p>
    <w:p w14:paraId="78F85717" w14:textId="77777777" w:rsidR="0007176C" w:rsidRDefault="0075532F">
      <w:pPr>
        <w:pBdr>
          <w:top w:val="nil"/>
          <w:left w:val="nil"/>
          <w:bottom w:val="nil"/>
          <w:right w:val="nil"/>
          <w:between w:val="nil"/>
        </w:pBdr>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VIII. Para el caso de las unidades económicas de alto impacto deberá manifestar que cuenta con el sistema de seguridad a que hace referencia esta Ley. </w:t>
      </w:r>
    </w:p>
    <w:p w14:paraId="6A31FFB2" w14:textId="77777777" w:rsidR="0007176C" w:rsidRDefault="0075532F">
      <w:pPr>
        <w:pBdr>
          <w:top w:val="nil"/>
          <w:left w:val="nil"/>
          <w:bottom w:val="nil"/>
          <w:right w:val="nil"/>
          <w:between w:val="nil"/>
        </w:pBdr>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Una vez cubiertos los requisitos señalados en el presente artículo y en caso de ser procedente el permiso o licencia de funcionamiento, la autoridad hará del conocimiento al solicitante o representante legal el monto a cubrir por los derechos correspondientes, una vez cubiertos se otorgará el permiso o licencia de funcionamiento.”</w:t>
      </w:r>
    </w:p>
    <w:p w14:paraId="1B2B30B3" w14:textId="77777777" w:rsidR="0007176C" w:rsidRDefault="0075532F">
      <w:pPr>
        <w:pBdr>
          <w:top w:val="nil"/>
          <w:left w:val="nil"/>
          <w:bottom w:val="nil"/>
          <w:right w:val="nil"/>
          <w:between w:val="nil"/>
        </w:pBdr>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(Énfasis añadido)</w:t>
      </w:r>
    </w:p>
    <w:p w14:paraId="62F7FF1E" w14:textId="77777777" w:rsidR="0007176C" w:rsidRDefault="0007176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F0315A9" w14:textId="77777777" w:rsidR="0007176C" w:rsidRDefault="007553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las porciones legales citadas, se desprende que una licencia de funcionamiento es un acto administrativo que emite la autoridad, por el cual autoriza a una persona física o jurídica colectiva a desarrollar actividades económicas dentro de un límite territorial. Por su parte, específicamente en el artículo 2°, fracciones XXXIII, XXXIV y XXXV, de dicho ordenamiento jurídico, establece tres tipos de unidades económicas, a saber, las siguientes: </w:t>
      </w:r>
    </w:p>
    <w:p w14:paraId="1462E697" w14:textId="77777777" w:rsidR="0007176C" w:rsidRDefault="0007176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134DB70" w14:textId="77777777" w:rsidR="0007176C" w:rsidRDefault="0075532F">
      <w:pPr>
        <w:widowControl w:val="0"/>
        <w:pBdr>
          <w:top w:val="nil"/>
          <w:left w:val="nil"/>
          <w:bottom w:val="nil"/>
          <w:right w:val="nil"/>
          <w:between w:val="nil"/>
        </w:pBdr>
        <w:tabs>
          <w:tab w:val="center" w:pos="4522"/>
        </w:tabs>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XXXIII. Unidad económica de alto impacto:</w:t>
      </w:r>
      <w:r>
        <w:rPr>
          <w:rFonts w:ascii="Palatino Linotype" w:eastAsia="Palatino Linotype" w:hAnsi="Palatino Linotype" w:cs="Palatino Linotype"/>
          <w:i/>
          <w:color w:val="000000"/>
          <w:sz w:val="22"/>
          <w:szCs w:val="22"/>
        </w:rPr>
        <w:t xml:space="preserve"> A la que tiene como actividad principal la venta de bebidas alcohólicas para su consumo inmediato y todas aquellas que requieran de Dictamen de Giro en los términos previstos por las disposiciones jurídicas correspondientes; </w:t>
      </w:r>
    </w:p>
    <w:p w14:paraId="53D33473" w14:textId="77777777" w:rsidR="0007176C" w:rsidRDefault="0075532F">
      <w:pPr>
        <w:widowControl w:val="0"/>
        <w:pBdr>
          <w:top w:val="nil"/>
          <w:left w:val="nil"/>
          <w:bottom w:val="nil"/>
          <w:right w:val="nil"/>
          <w:between w:val="nil"/>
        </w:pBdr>
        <w:tabs>
          <w:tab w:val="center" w:pos="4522"/>
        </w:tabs>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XXXIV. Unidad económica de bajo impacto:</w:t>
      </w:r>
      <w:r>
        <w:rPr>
          <w:rFonts w:ascii="Palatino Linotype" w:eastAsia="Palatino Linotype" w:hAnsi="Palatino Linotype" w:cs="Palatino Linotype"/>
          <w:i/>
          <w:color w:val="000000"/>
          <w:sz w:val="22"/>
          <w:szCs w:val="22"/>
        </w:rPr>
        <w:t xml:space="preserve"> A las que se les autoriza la venta de bebidas alcohólicas en envase cerrado y no sean para el consumo inmediato, y las demás que no se encuentren comprendidas en mediano y alto impacto. </w:t>
      </w:r>
    </w:p>
    <w:p w14:paraId="688FF4AB" w14:textId="77777777" w:rsidR="0007176C" w:rsidRDefault="0075532F">
      <w:pPr>
        <w:widowControl w:val="0"/>
        <w:pBdr>
          <w:top w:val="nil"/>
          <w:left w:val="nil"/>
          <w:bottom w:val="nil"/>
          <w:right w:val="nil"/>
          <w:between w:val="nil"/>
        </w:pBdr>
        <w:tabs>
          <w:tab w:val="center" w:pos="4522"/>
        </w:tabs>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XXXV. Unidad económica de mediano impacto:</w:t>
      </w:r>
      <w:r>
        <w:rPr>
          <w:rFonts w:ascii="Palatino Linotype" w:eastAsia="Palatino Linotype" w:hAnsi="Palatino Linotype" w:cs="Palatino Linotype"/>
          <w:i/>
          <w:color w:val="000000"/>
          <w:sz w:val="22"/>
          <w:szCs w:val="22"/>
        </w:rPr>
        <w:t xml:space="preserve"> A las que se les autoriza la venta de bebidas alcohólicas para consumo inmediato, siendo otra su actividad principal.</w:t>
      </w:r>
    </w:p>
    <w:p w14:paraId="75AA3C9A" w14:textId="77777777" w:rsidR="0007176C" w:rsidRDefault="0007176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1EE3E326" w14:textId="77777777" w:rsidR="0007176C" w:rsidRDefault="007553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Una vez precisado lo anterior, d</w:t>
      </w:r>
      <w:r>
        <w:rPr>
          <w:rFonts w:ascii="Palatino Linotype" w:eastAsia="Palatino Linotype" w:hAnsi="Palatino Linotype" w:cs="Palatino Linotype"/>
          <w:sz w:val="22"/>
          <w:szCs w:val="22"/>
        </w:rPr>
        <w:t xml:space="preserve">ebemos mencionar que el acceso a la información es un derecho humano constitucional y convencionalmente reconocido y para tal efecto el párrafo tercero del artículo primero de la Constitución Política de los Estados Unidos Mexicanos establece que el deber de todas las autoridades, </w:t>
      </w:r>
      <w:r>
        <w:rPr>
          <w:rFonts w:ascii="Palatino Linotype" w:eastAsia="Palatino Linotype" w:hAnsi="Palatino Linotype" w:cs="Palatino Linotype"/>
          <w:i/>
          <w:sz w:val="22"/>
          <w:szCs w:val="22"/>
        </w:rPr>
        <w:t xml:space="preserve">en el ámbito de sus atribuciones, de promover, respetar, proteger y </w:t>
      </w:r>
      <w:r>
        <w:rPr>
          <w:rFonts w:ascii="Palatino Linotype" w:eastAsia="Palatino Linotype" w:hAnsi="Palatino Linotype" w:cs="Palatino Linotype"/>
          <w:b/>
          <w:i/>
          <w:sz w:val="22"/>
          <w:szCs w:val="22"/>
        </w:rPr>
        <w:t>garantizar</w:t>
      </w:r>
      <w:r>
        <w:rPr>
          <w:rFonts w:ascii="Palatino Linotype" w:eastAsia="Palatino Linotype" w:hAnsi="Palatino Linotype" w:cs="Palatino Linotype"/>
          <w:i/>
          <w:sz w:val="22"/>
          <w:szCs w:val="22"/>
        </w:rPr>
        <w:t xml:space="preserve"> los derechos humanos. </w:t>
      </w:r>
      <w:r>
        <w:rPr>
          <w:rFonts w:ascii="Palatino Linotype" w:eastAsia="Palatino Linotype" w:hAnsi="Palatino Linotype" w:cs="Palatino Linotype"/>
          <w:b/>
          <w:i/>
          <w:sz w:val="22"/>
          <w:szCs w:val="22"/>
        </w:rPr>
        <w:t>En cuanto al derecho de acceso a la información, la Ley de Transparencia y Acceso a la Información Pública del Estado de México y Municipios prevé establece que e</w:t>
      </w:r>
      <w:r>
        <w:rPr>
          <w:rFonts w:ascii="Palatino Linotype" w:eastAsia="Palatino Linotype" w:hAnsi="Palatino Linotype" w:cs="Palatino Linotype"/>
          <w:i/>
          <w:sz w:val="22"/>
          <w:szCs w:val="22"/>
        </w:rPr>
        <w:t>l procedimiento de acceso a la información es la garantía primaria del derecho en cuestión y se rige por los principios de simplicidad, rapidez y gratuidad del procedimiento, auxilio y orientación a los particulares</w:t>
      </w:r>
      <w:r>
        <w:rPr>
          <w:i/>
          <w:sz w:val="22"/>
          <w:szCs w:val="22"/>
          <w:vertAlign w:val="superscript"/>
        </w:rPr>
        <w:footnoteReference w:id="1"/>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sz w:val="22"/>
          <w:szCs w:val="22"/>
        </w:rPr>
        <w:t>asimismo establece</w:t>
      </w:r>
      <w:r>
        <w:rPr>
          <w:rFonts w:ascii="Palatino Linotype" w:eastAsia="Palatino Linotype" w:hAnsi="Palatino Linotype" w:cs="Palatino Linotype"/>
          <w:i/>
          <w:sz w:val="22"/>
          <w:szCs w:val="22"/>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278DDE61" w14:textId="77777777" w:rsidR="0007176C" w:rsidRDefault="0007176C">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08990436" w14:textId="77777777" w:rsidR="0007176C" w:rsidRDefault="007553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71433E57" w14:textId="77777777" w:rsidR="0007176C" w:rsidRDefault="0007176C">
      <w:pPr>
        <w:pBdr>
          <w:top w:val="nil"/>
          <w:left w:val="nil"/>
          <w:bottom w:val="nil"/>
          <w:right w:val="nil"/>
          <w:between w:val="nil"/>
        </w:pBdr>
        <w:rPr>
          <w:rFonts w:ascii="Palatino Linotype" w:eastAsia="Palatino Linotype" w:hAnsi="Palatino Linotype" w:cs="Palatino Linotype"/>
          <w:color w:val="000000"/>
          <w:sz w:val="22"/>
          <w:szCs w:val="22"/>
        </w:rPr>
      </w:pPr>
    </w:p>
    <w:p w14:paraId="3BBB8EAF" w14:textId="77777777" w:rsidR="0007176C" w:rsidRDefault="007553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Es así que, su obligación es </w:t>
      </w:r>
      <w:r>
        <w:rPr>
          <w:rFonts w:ascii="Palatino Linotype" w:eastAsia="Palatino Linotype" w:hAnsi="Palatino Linotype" w:cs="Palatino Linotype"/>
          <w:i/>
          <w:color w:val="000000"/>
          <w:sz w:val="22"/>
          <w:szCs w:val="22"/>
        </w:rPr>
        <w:t>realizar, con efectividad, los trámites internos necesarios para la atención de las solicitudes de información</w:t>
      </w:r>
      <w:r>
        <w:rPr>
          <w:rFonts w:ascii="Century Gothic" w:eastAsia="Century Gothic" w:hAnsi="Century Gothic" w:cs="Century Gothic"/>
          <w:color w:val="000000"/>
          <w:sz w:val="22"/>
          <w:szCs w:val="22"/>
          <w:vertAlign w:val="superscript"/>
        </w:rPr>
        <w:footnoteReference w:id="2"/>
      </w:r>
      <w:r>
        <w:rPr>
          <w:rFonts w:ascii="Palatino Linotype" w:eastAsia="Palatino Linotype" w:hAnsi="Palatino Linotype" w:cs="Palatino Linotype"/>
          <w:color w:val="000000"/>
          <w:sz w:val="22"/>
          <w:szCs w:val="22"/>
        </w:rPr>
        <w:t>, es decir, deben otorgar respuestas concisas, contundentes y sobre todo que den la certeza de los actos que realizan.</w:t>
      </w:r>
    </w:p>
    <w:p w14:paraId="255DABD0" w14:textId="77777777" w:rsidR="0007176C" w:rsidRDefault="0007176C">
      <w:pPr>
        <w:pBdr>
          <w:top w:val="nil"/>
          <w:left w:val="nil"/>
          <w:bottom w:val="nil"/>
          <w:right w:val="nil"/>
          <w:between w:val="nil"/>
        </w:pBdr>
        <w:rPr>
          <w:rFonts w:ascii="Palatino Linotype" w:eastAsia="Palatino Linotype" w:hAnsi="Palatino Linotype" w:cs="Palatino Linotype"/>
          <w:color w:val="000000"/>
          <w:sz w:val="22"/>
          <w:szCs w:val="22"/>
        </w:rPr>
      </w:pPr>
    </w:p>
    <w:p w14:paraId="1595150B" w14:textId="77777777" w:rsidR="0007176C" w:rsidRDefault="007553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Al respecto, es menester hacer referencia a lo establecido en los artículos 50, 53 fracciones II, IV y V, 58, 59 fracciones I y II, y 162 de la Ley de Transparencia y Acceso a la Información del Estado de México y Municipios, que a la letra estipulan lo siguiente:</w:t>
      </w:r>
    </w:p>
    <w:p w14:paraId="13550F9B" w14:textId="77777777" w:rsidR="0007176C" w:rsidRDefault="0007176C">
      <w:pPr>
        <w:spacing w:line="360" w:lineRule="auto"/>
        <w:jc w:val="both"/>
        <w:rPr>
          <w:rFonts w:ascii="Palatino Linotype" w:eastAsia="Palatino Linotype" w:hAnsi="Palatino Linotype" w:cs="Palatino Linotype"/>
          <w:sz w:val="22"/>
          <w:szCs w:val="22"/>
        </w:rPr>
      </w:pPr>
    </w:p>
    <w:p w14:paraId="41446129" w14:textId="77777777" w:rsidR="0007176C" w:rsidRDefault="0075532F">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50. </w:t>
      </w:r>
      <w:r>
        <w:rPr>
          <w:rFonts w:ascii="Palatino Linotype" w:eastAsia="Palatino Linotype" w:hAnsi="Palatino Linotype" w:cs="Palatino Linotype"/>
          <w:i/>
          <w:sz w:val="22"/>
          <w:szCs w:val="22"/>
        </w:rPr>
        <w:t>Los sujetos obligados contarán con un área responsable para la atención de las solicitudes de información, a la que se le denominará Unidad de Transparencia.</w:t>
      </w:r>
    </w:p>
    <w:p w14:paraId="7750300B" w14:textId="77777777" w:rsidR="0007176C" w:rsidRDefault="0007176C">
      <w:pPr>
        <w:ind w:left="567" w:right="616"/>
        <w:jc w:val="both"/>
        <w:rPr>
          <w:rFonts w:ascii="Palatino Linotype" w:eastAsia="Palatino Linotype" w:hAnsi="Palatino Linotype" w:cs="Palatino Linotype"/>
          <w:i/>
          <w:sz w:val="22"/>
          <w:szCs w:val="22"/>
        </w:rPr>
      </w:pPr>
    </w:p>
    <w:p w14:paraId="5A500124" w14:textId="77777777" w:rsidR="0007176C" w:rsidRDefault="0075532F">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53. </w:t>
      </w:r>
      <w:r>
        <w:rPr>
          <w:rFonts w:ascii="Palatino Linotype" w:eastAsia="Palatino Linotype" w:hAnsi="Palatino Linotype" w:cs="Palatino Linotype"/>
          <w:i/>
          <w:sz w:val="22"/>
          <w:szCs w:val="22"/>
        </w:rPr>
        <w:t>Las Unidades de Transparencia tendrán las siguientes funciones:</w:t>
      </w:r>
    </w:p>
    <w:p w14:paraId="4A48B8B0" w14:textId="77777777" w:rsidR="0007176C" w:rsidRDefault="0075532F">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2E22661" w14:textId="77777777" w:rsidR="0007176C" w:rsidRDefault="0075532F">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Recibir, tramitar y dar respuesta a las solicitudes de acceso a la información;</w:t>
      </w:r>
    </w:p>
    <w:p w14:paraId="18E74D67" w14:textId="77777777" w:rsidR="0007176C" w:rsidRDefault="0075532F">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C912D0D" w14:textId="77777777" w:rsidR="0007176C" w:rsidRDefault="0075532F">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IV.</w:t>
      </w:r>
      <w:r>
        <w:rPr>
          <w:rFonts w:ascii="Palatino Linotype" w:eastAsia="Palatino Linotype" w:hAnsi="Palatino Linotype" w:cs="Palatino Linotype"/>
          <w:i/>
          <w:sz w:val="22"/>
          <w:szCs w:val="22"/>
        </w:rPr>
        <w:t xml:space="preserve"> Realizar, con efectividad, los trámites internos necesarios para la atención de las solicitudes de acceso a la información;</w:t>
      </w:r>
    </w:p>
    <w:p w14:paraId="687A343F" w14:textId="77777777" w:rsidR="0007176C" w:rsidRDefault="0075532F">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w:t>
      </w:r>
      <w:r>
        <w:rPr>
          <w:rFonts w:ascii="Palatino Linotype" w:eastAsia="Palatino Linotype" w:hAnsi="Palatino Linotype" w:cs="Palatino Linotype"/>
          <w:i/>
          <w:sz w:val="22"/>
          <w:szCs w:val="22"/>
        </w:rPr>
        <w:t xml:space="preserve"> Entregar, en su caso, a los particulares la información solicitada;</w:t>
      </w:r>
    </w:p>
    <w:p w14:paraId="33333DB6" w14:textId="77777777" w:rsidR="0007176C" w:rsidRDefault="0075532F">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FD34D60" w14:textId="77777777" w:rsidR="0007176C" w:rsidRDefault="0007176C">
      <w:pPr>
        <w:ind w:left="567" w:right="616"/>
        <w:jc w:val="both"/>
        <w:rPr>
          <w:rFonts w:ascii="Palatino Linotype" w:eastAsia="Palatino Linotype" w:hAnsi="Palatino Linotype" w:cs="Palatino Linotype"/>
          <w:i/>
          <w:sz w:val="22"/>
          <w:szCs w:val="22"/>
        </w:rPr>
      </w:pPr>
    </w:p>
    <w:p w14:paraId="784C490B" w14:textId="77777777" w:rsidR="0007176C" w:rsidRDefault="0075532F">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 xml:space="preserve">Artículo 58. </w:t>
      </w:r>
      <w:r>
        <w:rPr>
          <w:rFonts w:ascii="Palatino Linotype" w:eastAsia="Palatino Linotype" w:hAnsi="Palatino Linotype" w:cs="Palatino Linotype"/>
          <w:i/>
          <w:sz w:val="22"/>
          <w:szCs w:val="22"/>
        </w:rPr>
        <w:t>Los servidores públicos habilitados serán designados por el titular del sujeto obligado a propuesta del responsable de la Unidad de Transparencia.</w:t>
      </w:r>
    </w:p>
    <w:p w14:paraId="219B1DCA" w14:textId="77777777" w:rsidR="0007176C" w:rsidRDefault="0007176C">
      <w:pPr>
        <w:ind w:left="567" w:right="616"/>
        <w:jc w:val="both"/>
        <w:rPr>
          <w:rFonts w:ascii="Palatino Linotype" w:eastAsia="Palatino Linotype" w:hAnsi="Palatino Linotype" w:cs="Palatino Linotype"/>
          <w:i/>
          <w:sz w:val="22"/>
          <w:szCs w:val="22"/>
        </w:rPr>
      </w:pPr>
    </w:p>
    <w:p w14:paraId="56D28C59" w14:textId="77777777" w:rsidR="0007176C" w:rsidRDefault="0075532F">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59. </w:t>
      </w:r>
      <w:r>
        <w:rPr>
          <w:rFonts w:ascii="Palatino Linotype" w:eastAsia="Palatino Linotype" w:hAnsi="Palatino Linotype" w:cs="Palatino Linotype"/>
          <w:i/>
          <w:sz w:val="22"/>
          <w:szCs w:val="22"/>
        </w:rPr>
        <w:t>Los servidores públicos habilitados tendrán las funciones siguientes:</w:t>
      </w:r>
    </w:p>
    <w:p w14:paraId="665F147C" w14:textId="77777777" w:rsidR="0007176C" w:rsidRDefault="0007176C">
      <w:pPr>
        <w:ind w:left="567" w:right="616"/>
        <w:jc w:val="both"/>
        <w:rPr>
          <w:rFonts w:ascii="Palatino Linotype" w:eastAsia="Palatino Linotype" w:hAnsi="Palatino Linotype" w:cs="Palatino Linotype"/>
          <w:i/>
          <w:sz w:val="22"/>
          <w:szCs w:val="22"/>
        </w:rPr>
      </w:pPr>
    </w:p>
    <w:p w14:paraId="68A1D74D" w14:textId="77777777" w:rsidR="0007176C" w:rsidRDefault="0075532F">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Localizar la información que le solicite la Unidad de Transparencia;</w:t>
      </w:r>
    </w:p>
    <w:p w14:paraId="23CD8149" w14:textId="77777777" w:rsidR="0007176C" w:rsidRDefault="0075532F">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Proporcionar la información que obre en los archivos y que le sea solicitada por la Unidad de Transparencia;</w:t>
      </w:r>
    </w:p>
    <w:p w14:paraId="1DE59EF8" w14:textId="77777777" w:rsidR="0007176C" w:rsidRDefault="0075532F">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D105495" w14:textId="77777777" w:rsidR="0007176C" w:rsidRDefault="0007176C">
      <w:pPr>
        <w:ind w:left="567" w:right="616"/>
        <w:jc w:val="both"/>
        <w:rPr>
          <w:rFonts w:ascii="Palatino Linotype" w:eastAsia="Palatino Linotype" w:hAnsi="Palatino Linotype" w:cs="Palatino Linotype"/>
          <w:i/>
          <w:sz w:val="22"/>
          <w:szCs w:val="22"/>
        </w:rPr>
      </w:pPr>
    </w:p>
    <w:p w14:paraId="46898C5B" w14:textId="77777777" w:rsidR="0007176C" w:rsidRDefault="0075532F">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162. </w:t>
      </w:r>
      <w:r>
        <w:rPr>
          <w:rFonts w:ascii="Palatino Linotype" w:eastAsia="Palatino Linotype" w:hAnsi="Palatino Linotype" w:cs="Palatino Linotype"/>
          <w:i/>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25DA49B0" w14:textId="77777777" w:rsidR="0007176C" w:rsidRDefault="0007176C">
      <w:pPr>
        <w:spacing w:line="360" w:lineRule="auto"/>
        <w:jc w:val="both"/>
        <w:rPr>
          <w:rFonts w:ascii="Palatino Linotype" w:eastAsia="Palatino Linotype" w:hAnsi="Palatino Linotype" w:cs="Palatino Linotype"/>
          <w:sz w:val="22"/>
          <w:szCs w:val="22"/>
        </w:rPr>
      </w:pPr>
    </w:p>
    <w:p w14:paraId="4249BB7B" w14:textId="77777777" w:rsidR="0007176C" w:rsidRDefault="007553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los artículos citados se desprende que las Unidades de Transparencia de los sujetos obligados son las encargadas de tramitar internamente 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 Unidades de Transparencia turnar a todas las áreas que se consideren competentes para que realicen una búsqueda exhaustiva y razonable de la información solicitada a fin de que ésta sea entregada a los solicitantes.</w:t>
      </w:r>
    </w:p>
    <w:p w14:paraId="21AA2FA8" w14:textId="77777777" w:rsidR="0007176C" w:rsidRDefault="0007176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18F30EEF" w14:textId="77777777" w:rsidR="0007176C" w:rsidRDefault="007553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3F90A491" w14:textId="77777777" w:rsidR="0007176C" w:rsidRDefault="0007176C">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2B061BEE" w14:textId="77777777" w:rsidR="0007176C" w:rsidRDefault="007553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En el presente asunto, la respuesta fue emitida por el Encargado de Despacho de la Dirección de Desarrollo Económico, Turístico y Artesanal, quien de acuerdo al artículo 3.130 del Código de Reglamentación Municipal de Metepec, establece que la Dirección tiene entre sus atribuciones otorgar permisos y licencias de funcionamiento, por lo tanto, la respuesta fue entregada por el servidor público que de acuerdo a sus facultades, genera, posee o administra la información solicitada. </w:t>
      </w:r>
    </w:p>
    <w:p w14:paraId="246A375B" w14:textId="77777777" w:rsidR="0007176C" w:rsidRDefault="0007176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19DA52E3" w14:textId="77777777" w:rsidR="0007176C" w:rsidRDefault="007553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Ahora bien,  la Ley en la materia en términos generales, establece que como uno de los objetivos con el que cuenta es el de garantizar a toda persona el derecho de acceso a la información pública, mediante los procedimientos establecidos de forma </w:t>
      </w:r>
      <w:r>
        <w:rPr>
          <w:rFonts w:ascii="Palatino Linotype" w:eastAsia="Palatino Linotype" w:hAnsi="Palatino Linotype" w:cs="Palatino Linotype"/>
          <w:b/>
          <w:color w:val="000000"/>
          <w:sz w:val="22"/>
          <w:szCs w:val="22"/>
        </w:rPr>
        <w:t>sencilla</w:t>
      </w:r>
      <w:r>
        <w:rPr>
          <w:rFonts w:ascii="Palatino Linotype" w:eastAsia="Palatino Linotype" w:hAnsi="Palatino Linotype" w:cs="Palatino Linotype"/>
          <w:color w:val="000000"/>
          <w:sz w:val="22"/>
          <w:szCs w:val="22"/>
        </w:rPr>
        <w:t xml:space="preserve">, expeditos, </w:t>
      </w:r>
      <w:r>
        <w:rPr>
          <w:rFonts w:ascii="Palatino Linotype" w:eastAsia="Palatino Linotype" w:hAnsi="Palatino Linotype" w:cs="Palatino Linotype"/>
          <w:b/>
          <w:color w:val="000000"/>
          <w:sz w:val="22"/>
          <w:szCs w:val="22"/>
        </w:rPr>
        <w:t>oportunos</w:t>
      </w:r>
      <w:r>
        <w:rPr>
          <w:rFonts w:ascii="Palatino Linotype" w:eastAsia="Palatino Linotype" w:hAnsi="Palatino Linotype" w:cs="Palatino Linotype"/>
          <w:color w:val="000000"/>
          <w:sz w:val="22"/>
          <w:szCs w:val="22"/>
        </w:rPr>
        <w:t xml:space="preserve"> y gratuitos, y con ello contribuir a la mejora de procedimientos y mecanismos que permitan trasparentar la gestión pública y mejora la toma decisiones, a través de la difusión de la información que obra en poder de los sujeto obligados.</w:t>
      </w:r>
    </w:p>
    <w:p w14:paraId="67AA841D" w14:textId="77777777" w:rsidR="0007176C" w:rsidRDefault="0007176C">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139B287A" w14:textId="77777777" w:rsidR="0007176C" w:rsidRDefault="007553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formato prediseñado para que los particulares formulen su solicitud de acceso a la información contiene opciones para seleccionar la modalidad de entrega de la información. En el presente asunto en particular, se solicitó la información a través del SAIMEX. En consecuencia, lo idóneo es que, los Sujetos Obligados proporcionen la información por el medio solicitado; no obstante, la Ley de Transparencia y Acceso</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a la Información Pública del Estado de México y Municipios establece dos puntos importantes que impactan sobre la modalidad de entrega de la información.</w:t>
      </w:r>
    </w:p>
    <w:p w14:paraId="426C7EED" w14:textId="77777777" w:rsidR="0007176C" w:rsidRDefault="0007176C">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574E2330" w14:textId="77777777" w:rsidR="0007176C" w:rsidRDefault="007553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primer punto a analizar es que la ley en materia contempla </w:t>
      </w:r>
      <w:r>
        <w:rPr>
          <w:rFonts w:ascii="Palatino Linotype" w:eastAsia="Palatino Linotype" w:hAnsi="Palatino Linotype" w:cs="Palatino Linotype"/>
          <w:b/>
          <w:color w:val="000000"/>
          <w:sz w:val="22"/>
          <w:szCs w:val="22"/>
        </w:rPr>
        <w:t>información pública de oficio</w:t>
      </w:r>
      <w:r>
        <w:rPr>
          <w:rFonts w:ascii="Palatino Linotype" w:eastAsia="Palatino Linotype" w:hAnsi="Palatino Linotype" w:cs="Palatino Linotype"/>
          <w:color w:val="000000"/>
          <w:sz w:val="22"/>
          <w:szCs w:val="22"/>
        </w:rPr>
        <w:t xml:space="preserve"> que los Sujetos Obligados deben poner a disposición del público de manera permanente y actualizada de forma sencilla, precisa y entendible, en los respectivos medios electrónicos la información pública que generen, administren o posean.</w:t>
      </w:r>
    </w:p>
    <w:p w14:paraId="6BA8C126" w14:textId="77777777" w:rsidR="0007176C" w:rsidRDefault="0007176C">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4406D168" w14:textId="77777777" w:rsidR="0007176C" w:rsidRDefault="007553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El segundo punto a analizar y que guarda estricta relación con el punto anterior, se encuentra en el artículo 161 de la citada Ley de Transparencia Local:</w:t>
      </w:r>
    </w:p>
    <w:p w14:paraId="549C4D55" w14:textId="77777777" w:rsidR="0007176C" w:rsidRDefault="0007176C">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0B4FABD2" w14:textId="77777777" w:rsidR="0007176C" w:rsidRDefault="0075532F">
      <w:pPr>
        <w:spacing w:line="360"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161. Cuando la información requerida por el solicitante ya esté disponible</w:t>
      </w:r>
      <w:r>
        <w:rPr>
          <w:rFonts w:ascii="Palatino Linotype" w:eastAsia="Palatino Linotype" w:hAnsi="Palatino Linotype" w:cs="Palatino Linotype"/>
          <w:i/>
          <w:sz w:val="22"/>
          <w:szCs w:val="22"/>
        </w:rPr>
        <w:t xml:space="preserve"> al público en medios impresos, tales como libros, compendios, trípticos, registros públicos, </w:t>
      </w:r>
      <w:r>
        <w:rPr>
          <w:rFonts w:ascii="Palatino Linotype" w:eastAsia="Palatino Linotype" w:hAnsi="Palatino Linotype" w:cs="Palatino Linotype"/>
          <w:b/>
          <w:i/>
          <w:sz w:val="22"/>
          <w:szCs w:val="22"/>
        </w:rPr>
        <w:t xml:space="preserve">en formatos electrónicos disponibles en Internet </w:t>
      </w:r>
      <w:r>
        <w:rPr>
          <w:rFonts w:ascii="Palatino Linotype" w:eastAsia="Palatino Linotype" w:hAnsi="Palatino Linotype" w:cs="Palatino Linotype"/>
          <w:i/>
          <w:sz w:val="22"/>
          <w:szCs w:val="22"/>
        </w:rPr>
        <w:t xml:space="preserve">o en cualquier otro medio, se le hará saber por el medio requerido por el solicitante la fuente, el lugar y la forma en que puede consultar, reproducir o adquirir dicha información </w:t>
      </w:r>
      <w:r>
        <w:rPr>
          <w:rFonts w:ascii="Palatino Linotype" w:eastAsia="Palatino Linotype" w:hAnsi="Palatino Linotype" w:cs="Palatino Linotype"/>
          <w:b/>
          <w:i/>
          <w:sz w:val="22"/>
          <w:szCs w:val="22"/>
        </w:rPr>
        <w:t>en un plazo no mayor a cinco días hábiles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La fuente deberá ser precisa y concreta y no debe implicar que el solicitante realice una búsqueda en toda la información que se encuentre disponible</w:t>
      </w:r>
      <w:r>
        <w:rPr>
          <w:rFonts w:ascii="Palatino Linotype" w:eastAsia="Palatino Linotype" w:hAnsi="Palatino Linotype" w:cs="Palatino Linotype"/>
          <w:i/>
          <w:sz w:val="22"/>
          <w:szCs w:val="22"/>
        </w:rPr>
        <w:t>.</w:t>
      </w:r>
    </w:p>
    <w:p w14:paraId="0A7F4706" w14:textId="77777777" w:rsidR="0007176C" w:rsidRDefault="0075532F">
      <w:pPr>
        <w:numPr>
          <w:ilvl w:val="0"/>
          <w:numId w:val="1"/>
        </w:numPr>
        <w:pBdr>
          <w:top w:val="nil"/>
          <w:left w:val="nil"/>
          <w:bottom w:val="nil"/>
          <w:right w:val="nil"/>
          <w:between w:val="nil"/>
        </w:pBdr>
        <w:tabs>
          <w:tab w:val="left" w:pos="851"/>
        </w:tabs>
        <w:spacing w:before="240" w:line="360" w:lineRule="auto"/>
        <w:ind w:left="0" w:right="49"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Es así que, toda aquella información que sea requerida por los particulares pero que, previamente se encuentre disponible en sitios electrónicos, como puede ser de manera enunciativa más no limitativa, el sitio oficial del Sujeto Obligado o el portal IPOMEX o las páginas institucionales. Los Sujetos Obligado pueden indicar la dirección electrónica donde obra la información solicitada. Esta dirección electrónica debe ser precisa, de tal modo que no implique realizar una búsqueda en toda la información que ahí se encuentre. Además, debe ir acompañada del procedimiento a seguir, en caso de que la información se encuentre en distintos puntos del sitio electrónico referido.</w:t>
      </w:r>
    </w:p>
    <w:p w14:paraId="4FD45957" w14:textId="77777777" w:rsidR="0007176C" w:rsidRDefault="0007176C">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i/>
          <w:color w:val="000000"/>
          <w:sz w:val="22"/>
          <w:szCs w:val="22"/>
        </w:rPr>
      </w:pPr>
    </w:p>
    <w:p w14:paraId="2074463C" w14:textId="77777777" w:rsidR="0007176C" w:rsidRDefault="0075532F">
      <w:pPr>
        <w:numPr>
          <w:ilvl w:val="0"/>
          <w:numId w:val="1"/>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La orientación</w:t>
      </w:r>
      <w:r>
        <w:rPr>
          <w:rFonts w:ascii="Palatino Linotype" w:eastAsia="Palatino Linotype" w:hAnsi="Palatino Linotype" w:cs="Palatino Linotype"/>
          <w:color w:val="000000"/>
          <w:sz w:val="22"/>
          <w:szCs w:val="22"/>
        </w:rPr>
        <w:t xml:space="preserve"> que realicen los Sujetos Obligados a los sitios electrónicos para la consulta de la información </w:t>
      </w:r>
      <w:r>
        <w:rPr>
          <w:rFonts w:ascii="Palatino Linotype" w:eastAsia="Palatino Linotype" w:hAnsi="Palatino Linotype" w:cs="Palatino Linotype"/>
          <w:b/>
          <w:color w:val="000000"/>
          <w:sz w:val="22"/>
          <w:szCs w:val="22"/>
        </w:rPr>
        <w:t>debe cumplir con las características de tiempo y forma.</w:t>
      </w:r>
    </w:p>
    <w:p w14:paraId="27B7274B" w14:textId="77777777" w:rsidR="0007176C" w:rsidRDefault="0007176C">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386B2444" w14:textId="77777777" w:rsidR="0007176C" w:rsidRDefault="0075532F">
      <w:pPr>
        <w:numPr>
          <w:ilvl w:val="0"/>
          <w:numId w:val="1"/>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 xml:space="preserve">Para que la orientación se encuentre en tiempo, debe realizarse en un plazo no mayor a cinco días hábiles. En este caso, el Recurrente presentó su solicitud en fecha diecisiete (17) de septiembre, por lo que, el plazo de cinco días para señalar los sitios electrónicos en donde </w:t>
      </w:r>
      <w:r>
        <w:rPr>
          <w:rFonts w:ascii="Palatino Linotype" w:eastAsia="Palatino Linotype" w:hAnsi="Palatino Linotype" w:cs="Palatino Linotype"/>
          <w:color w:val="000000"/>
          <w:sz w:val="22"/>
          <w:szCs w:val="22"/>
        </w:rPr>
        <w:lastRenderedPageBreak/>
        <w:t xml:space="preserve">obra la información transcurrió del dieciocho (18) al veinticuatro (24) de septiembre de dos mil veinticuatro; el Sujeto Obligado dio respuesta el nueve (09) de octubre de dos mil veinticuatro, por lo que evidentemente se encuentra fuera del plazo que señala la normatividad en materia, lo que trae como consecuencia que </w:t>
      </w:r>
      <w:r>
        <w:rPr>
          <w:rFonts w:ascii="Palatino Linotype" w:eastAsia="Palatino Linotype" w:hAnsi="Palatino Linotype" w:cs="Palatino Linotype"/>
          <w:b/>
          <w:color w:val="000000"/>
          <w:sz w:val="22"/>
          <w:szCs w:val="22"/>
        </w:rPr>
        <w:t>la orientación no se encuentre en tiempo</w:t>
      </w:r>
      <w:r>
        <w:rPr>
          <w:rFonts w:ascii="Palatino Linotype" w:eastAsia="Palatino Linotype" w:hAnsi="Palatino Linotype" w:cs="Palatino Linotype"/>
          <w:color w:val="000000"/>
          <w:sz w:val="22"/>
          <w:szCs w:val="22"/>
        </w:rPr>
        <w:t>.</w:t>
      </w:r>
    </w:p>
    <w:p w14:paraId="015B0B24" w14:textId="77777777" w:rsidR="0007176C" w:rsidRDefault="0007176C">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1CC70DAA" w14:textId="77777777" w:rsidR="0007176C" w:rsidRDefault="0075532F">
      <w:pPr>
        <w:numPr>
          <w:ilvl w:val="0"/>
          <w:numId w:val="1"/>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Ahora bien, la normatividad en materia establece que las direcciones electrónicas deben ser precisas, de tal modo que no implique que el Recurrente deba de realizar una búsqueda dentro de toda la información disponible.</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color w:val="000000"/>
          <w:sz w:val="22"/>
          <w:szCs w:val="22"/>
        </w:rPr>
        <w:t xml:space="preserve">Además, debe ir acompañada del procedimiento a seguir, en caso de que la información se encuentre en distintos puntos del sitio electrónico referido. En el presente caso, el Sujeto Obligado señaló un link de la siguiente manera: </w:t>
      </w:r>
    </w:p>
    <w:p w14:paraId="1B640555" w14:textId="77777777" w:rsidR="0007176C" w:rsidRDefault="0007176C">
      <w:pPr>
        <w:pBdr>
          <w:top w:val="nil"/>
          <w:left w:val="nil"/>
          <w:bottom w:val="nil"/>
          <w:right w:val="nil"/>
          <w:between w:val="nil"/>
        </w:pBdr>
        <w:ind w:left="720"/>
        <w:rPr>
          <w:rFonts w:ascii="Palatino Linotype" w:eastAsia="Palatino Linotype" w:hAnsi="Palatino Linotype" w:cs="Palatino Linotype"/>
          <w:i/>
          <w:color w:val="000000"/>
          <w:sz w:val="22"/>
          <w:szCs w:val="22"/>
        </w:rPr>
      </w:pPr>
    </w:p>
    <w:p w14:paraId="672D534C" w14:textId="77777777" w:rsidR="0007176C" w:rsidRDefault="0075532F">
      <w:pPr>
        <w:pBdr>
          <w:top w:val="nil"/>
          <w:left w:val="nil"/>
          <w:bottom w:val="nil"/>
          <w:right w:val="nil"/>
          <w:between w:val="nil"/>
        </w:pBdr>
        <w:tabs>
          <w:tab w:val="left" w:pos="851"/>
        </w:tabs>
        <w:spacing w:line="360" w:lineRule="auto"/>
        <w:ind w:right="49"/>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noProof/>
          <w:color w:val="000000"/>
          <w:sz w:val="22"/>
          <w:szCs w:val="22"/>
        </w:rPr>
        <w:drawing>
          <wp:inline distT="0" distB="0" distL="0" distR="0" wp14:anchorId="4BBA636C" wp14:editId="488501F2">
            <wp:extent cx="5585489" cy="373227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585489" cy="3732270"/>
                    </a:xfrm>
                    <a:prstGeom prst="rect">
                      <a:avLst/>
                    </a:prstGeom>
                    <a:ln/>
                  </pic:spPr>
                </pic:pic>
              </a:graphicData>
            </a:graphic>
          </wp:inline>
        </w:drawing>
      </w:r>
    </w:p>
    <w:p w14:paraId="50E182C2" w14:textId="77777777" w:rsidR="0007176C" w:rsidRDefault="0075532F">
      <w:pPr>
        <w:numPr>
          <w:ilvl w:val="0"/>
          <w:numId w:val="1"/>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color w:val="222222"/>
          <w:sz w:val="22"/>
          <w:szCs w:val="22"/>
        </w:rPr>
        <w:lastRenderedPageBreak/>
        <w:t xml:space="preserve">Como se advierte, </w:t>
      </w:r>
      <w:r>
        <w:rPr>
          <w:rFonts w:ascii="Palatino Linotype" w:eastAsia="Palatino Linotype" w:hAnsi="Palatino Linotype" w:cs="Palatino Linotype"/>
          <w:sz w:val="22"/>
          <w:szCs w:val="22"/>
        </w:rPr>
        <w:t xml:space="preserve">la liga electrónica no se entregó en datos abiertos, es decir, que para el particular pueda acceder a la información debe realizar una transcripción de la misma, lo que implica que el momento de hacerlo pueda cometer algún error y no pueda acceder a la información. </w:t>
      </w:r>
    </w:p>
    <w:p w14:paraId="76621D19" w14:textId="77777777" w:rsidR="0007176C" w:rsidRDefault="0007176C">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222222"/>
          <w:sz w:val="22"/>
          <w:szCs w:val="22"/>
        </w:rPr>
      </w:pPr>
    </w:p>
    <w:p w14:paraId="2D033302" w14:textId="77777777" w:rsidR="0007176C" w:rsidRDefault="0075532F">
      <w:pPr>
        <w:numPr>
          <w:ilvl w:val="0"/>
          <w:numId w:val="1"/>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color w:val="222222"/>
          <w:sz w:val="22"/>
          <w:szCs w:val="22"/>
        </w:rPr>
        <w:t>Así, es oportuno mencionar lo que debemos entender por datos abiertos, siendo estos los datos digitales de carácter público que pueden ser usados, reutilizados y redistribuidos por cualquier interesado y que tienen como característica ser accesibles, integrales, gratuitos, no discriminatorios, oportunos, permanentes, primarios, legibles por las máquinas, en formatos abiertos y de libre uso.  En este mismo sentido, nuestra Ley de Transparencia y Acceso a la Información Pública del Estado de México y Municipios, expresa en su artículo 3, de manera textual lo siguiente:</w:t>
      </w:r>
    </w:p>
    <w:p w14:paraId="6EC88EFE" w14:textId="77777777" w:rsidR="0007176C" w:rsidRDefault="0007176C">
      <w:pPr>
        <w:pBdr>
          <w:top w:val="nil"/>
          <w:left w:val="nil"/>
          <w:bottom w:val="nil"/>
          <w:right w:val="nil"/>
          <w:between w:val="nil"/>
        </w:pBdr>
        <w:shd w:val="clear" w:color="auto" w:fill="FFFFFF"/>
        <w:ind w:left="360"/>
        <w:jc w:val="both"/>
        <w:rPr>
          <w:rFonts w:ascii="Palatino Linotype" w:eastAsia="Palatino Linotype" w:hAnsi="Palatino Linotype" w:cs="Palatino Linotype"/>
          <w:color w:val="222222"/>
          <w:sz w:val="22"/>
          <w:szCs w:val="22"/>
        </w:rPr>
      </w:pPr>
    </w:p>
    <w:p w14:paraId="1F229A1D" w14:textId="77777777" w:rsidR="0007176C" w:rsidRDefault="0075532F">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b/>
          <w:i/>
          <w:color w:val="222222"/>
          <w:sz w:val="22"/>
          <w:szCs w:val="22"/>
        </w:rPr>
        <w:t>“VIII. Datos abiertos: Los datos digitales de carácter público que son accesibles en línea que pueden ser usados, reutilizados y redistribuidos por cualquier interesado y que tienen las siguientes características:</w:t>
      </w:r>
    </w:p>
    <w:p w14:paraId="0D7F1D7C" w14:textId="77777777" w:rsidR="0007176C" w:rsidRDefault="0075532F">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222222"/>
          <w:sz w:val="22"/>
          <w:szCs w:val="22"/>
        </w:rPr>
        <w:t>a) Accesibles: Los datos están disponibles para la gama más amplia de usuarios, para cualquier propósito;</w:t>
      </w:r>
    </w:p>
    <w:p w14:paraId="609AD471" w14:textId="77777777" w:rsidR="0007176C" w:rsidRDefault="0075532F">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222222"/>
          <w:sz w:val="22"/>
          <w:szCs w:val="22"/>
        </w:rPr>
        <w:t>b) Integrales: Contienen el tema que describen a detalle y con los metadatos necesarios;</w:t>
      </w:r>
    </w:p>
    <w:p w14:paraId="2ED4EE4F" w14:textId="77777777" w:rsidR="0007176C" w:rsidRDefault="0075532F">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222222"/>
          <w:sz w:val="22"/>
          <w:szCs w:val="22"/>
        </w:rPr>
        <w:t>c) Gratuitos: Se obtienen sin entregar a cambio contraprestación alguna;</w:t>
      </w:r>
    </w:p>
    <w:p w14:paraId="39C71ED2" w14:textId="77777777" w:rsidR="0007176C" w:rsidRDefault="0075532F">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222222"/>
          <w:sz w:val="22"/>
          <w:szCs w:val="22"/>
        </w:rPr>
        <w:t>d) No discriminatorios: Los datos están disponibles para cualquier persona, sin necesidad de registro;</w:t>
      </w:r>
    </w:p>
    <w:p w14:paraId="26F63B21" w14:textId="77777777" w:rsidR="0007176C" w:rsidRDefault="0075532F">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222222"/>
          <w:sz w:val="22"/>
          <w:szCs w:val="22"/>
        </w:rPr>
        <w:t>e) Oportunos: Son actualizados, periódicamente, conforme se generen;</w:t>
      </w:r>
    </w:p>
    <w:p w14:paraId="4F47167D" w14:textId="77777777" w:rsidR="0007176C" w:rsidRDefault="0075532F">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222222"/>
          <w:sz w:val="22"/>
          <w:szCs w:val="22"/>
        </w:rPr>
        <w:t>f) Permanentes: Se conservan en el tiempo, para lo cual, las versiones históricas relevantes para uso público se mantendrán disponibles con identificadores adecuados al efecto;</w:t>
      </w:r>
    </w:p>
    <w:p w14:paraId="75368768" w14:textId="77777777" w:rsidR="0007176C" w:rsidRDefault="0075532F">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222222"/>
          <w:sz w:val="22"/>
          <w:szCs w:val="22"/>
        </w:rPr>
        <w:t>g) Primarios: Provienen de la fuente de origen con el máximo nivel de desagregación posible;</w:t>
      </w:r>
    </w:p>
    <w:p w14:paraId="47F5A45B" w14:textId="77777777" w:rsidR="0007176C" w:rsidRDefault="0075532F">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222222"/>
          <w:sz w:val="22"/>
          <w:szCs w:val="22"/>
        </w:rPr>
        <w:lastRenderedPageBreak/>
        <w:t>h) Legibles por máquinas: Deberán estar estructurados, total o parcialmente, para ser procesados e interpretados por equipos electrónicos de manera automática;</w:t>
      </w:r>
    </w:p>
    <w:p w14:paraId="35AF0F66" w14:textId="77777777" w:rsidR="0007176C" w:rsidRDefault="0075532F">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b/>
          <w:i/>
          <w:color w:val="222222"/>
          <w:sz w:val="22"/>
          <w:szCs w:val="22"/>
        </w:rPr>
        <w:t>i) En formatos abiertos: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w:t>
      </w:r>
      <w:r>
        <w:rPr>
          <w:rFonts w:ascii="Palatino Linotype" w:eastAsia="Palatino Linotype" w:hAnsi="Palatino Linotype" w:cs="Palatino Linotype"/>
          <w:i/>
          <w:color w:val="222222"/>
          <w:sz w:val="22"/>
          <w:szCs w:val="22"/>
        </w:rPr>
        <w:t>; y</w:t>
      </w:r>
    </w:p>
    <w:p w14:paraId="17EE9BD1" w14:textId="77777777" w:rsidR="0007176C" w:rsidRDefault="0075532F">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222222"/>
          <w:sz w:val="22"/>
          <w:szCs w:val="22"/>
        </w:rPr>
        <w:t>j) De libre uso: Citan la fuente de origen como único requerimiento para ser utilizados libremente.</w:t>
      </w:r>
    </w:p>
    <w:p w14:paraId="37DC59A6" w14:textId="77777777" w:rsidR="0007176C" w:rsidRDefault="0075532F">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t>(Énfasis añadido)</w:t>
      </w:r>
    </w:p>
    <w:p w14:paraId="1B67FC0A" w14:textId="77777777" w:rsidR="0007176C" w:rsidRDefault="0007176C">
      <w:pPr>
        <w:pBdr>
          <w:top w:val="nil"/>
          <w:left w:val="nil"/>
          <w:bottom w:val="nil"/>
          <w:right w:val="nil"/>
          <w:between w:val="nil"/>
        </w:pBdr>
        <w:shd w:val="clear" w:color="auto" w:fill="FFFFFF"/>
        <w:ind w:left="360" w:right="616"/>
        <w:jc w:val="both"/>
        <w:rPr>
          <w:rFonts w:ascii="Palatino Linotype" w:eastAsia="Palatino Linotype" w:hAnsi="Palatino Linotype" w:cs="Palatino Linotype"/>
          <w:color w:val="222222"/>
          <w:sz w:val="22"/>
          <w:szCs w:val="22"/>
        </w:rPr>
      </w:pPr>
    </w:p>
    <w:p w14:paraId="7F3CD116" w14:textId="77777777" w:rsidR="0007176C" w:rsidRDefault="0007176C">
      <w:pPr>
        <w:pBdr>
          <w:top w:val="nil"/>
          <w:left w:val="nil"/>
          <w:bottom w:val="nil"/>
          <w:right w:val="nil"/>
          <w:between w:val="nil"/>
        </w:pBdr>
        <w:shd w:val="clear" w:color="auto" w:fill="FFFFFF"/>
        <w:ind w:left="360" w:right="616"/>
        <w:jc w:val="both"/>
        <w:rPr>
          <w:rFonts w:ascii="Palatino Linotype" w:eastAsia="Palatino Linotype" w:hAnsi="Palatino Linotype" w:cs="Palatino Linotype"/>
          <w:color w:val="222222"/>
          <w:sz w:val="22"/>
          <w:szCs w:val="22"/>
        </w:rPr>
      </w:pPr>
    </w:p>
    <w:p w14:paraId="5B2E47CE" w14:textId="77777777" w:rsidR="0007176C" w:rsidRDefault="0075532F">
      <w:pPr>
        <w:numPr>
          <w:ilvl w:val="0"/>
          <w:numId w:val="1"/>
        </w:numPr>
        <w:pBdr>
          <w:top w:val="nil"/>
          <w:left w:val="nil"/>
          <w:bottom w:val="nil"/>
          <w:right w:val="nil"/>
          <w:between w:val="nil"/>
        </w:pBdr>
        <w:shd w:val="clear" w:color="auto" w:fill="FFFFFF"/>
        <w:spacing w:line="360" w:lineRule="auto"/>
        <w:ind w:left="0" w:hanging="142"/>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color w:val="222222"/>
          <w:sz w:val="22"/>
          <w:szCs w:val="22"/>
        </w:rPr>
        <w:t>El dispositivo legal estatal aplicable a la materia, establece en su artículo 41 que el Instituto promoverá la publicación de la información en datos abiertos y accesibles, de tal manera que este Órgano Garante se encuentra en posibilidades de ordenar al </w:t>
      </w:r>
      <w:r>
        <w:rPr>
          <w:rFonts w:ascii="Palatino Linotype" w:eastAsia="Palatino Linotype" w:hAnsi="Palatino Linotype" w:cs="Palatino Linotype"/>
          <w:b/>
          <w:color w:val="222222"/>
          <w:sz w:val="22"/>
          <w:szCs w:val="22"/>
        </w:rPr>
        <w:t>Sujeto Obligado, en caso de tener la información en formatos abiertos </w:t>
      </w:r>
      <w:r>
        <w:rPr>
          <w:rFonts w:ascii="Palatino Linotype" w:eastAsia="Palatino Linotype" w:hAnsi="Palatino Linotype" w:cs="Palatino Linotype"/>
          <w:color w:val="222222"/>
          <w:sz w:val="22"/>
          <w:szCs w:val="22"/>
        </w:rPr>
        <w:t xml:space="preserve">entregar la misma en el formato solicitado. Por lo tanto, con la información entrega en respuesta, no se puede tener por atendido el derecho de acceso a la información del particular, pues no se atendió la solicitud en términos de los señalado en el artículo 161 de la Ley de Transparencia y Acceso a la Información Pública del Estado de México y Municipios. </w:t>
      </w:r>
    </w:p>
    <w:p w14:paraId="19858BC5" w14:textId="77777777" w:rsidR="0007176C" w:rsidRDefault="0007176C">
      <w:p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color w:val="222222"/>
          <w:sz w:val="22"/>
          <w:szCs w:val="22"/>
        </w:rPr>
      </w:pPr>
    </w:p>
    <w:p w14:paraId="334FC78E" w14:textId="77777777" w:rsidR="0007176C" w:rsidRDefault="0075532F">
      <w:pPr>
        <w:numPr>
          <w:ilvl w:val="0"/>
          <w:numId w:val="1"/>
        </w:numPr>
        <w:pBdr>
          <w:top w:val="nil"/>
          <w:left w:val="nil"/>
          <w:bottom w:val="nil"/>
          <w:right w:val="nil"/>
          <w:between w:val="nil"/>
        </w:pBdr>
        <w:shd w:val="clear" w:color="auto" w:fill="FFFFFF"/>
        <w:spacing w:line="360" w:lineRule="auto"/>
        <w:ind w:left="0" w:hanging="142"/>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color w:val="222222"/>
          <w:sz w:val="22"/>
          <w:szCs w:val="22"/>
        </w:rPr>
        <w:t xml:space="preserve">Por otro lado, </w:t>
      </w:r>
      <w:r>
        <w:rPr>
          <w:rFonts w:ascii="Palatino Linotype" w:eastAsia="Palatino Linotype" w:hAnsi="Palatino Linotype" w:cs="Palatino Linotype"/>
          <w:color w:val="000000"/>
          <w:sz w:val="22"/>
          <w:szCs w:val="22"/>
        </w:rPr>
        <w:t>tratándose de permisos, concesiones o licencias, es criterio de este Organismo Garante, que el nombre del titular, giro y domicilio del establecimiento, es información que es considerada como pública, por así determinarlo el artículo 92 fracción XXXII, de la Ley de la Materia, que señala:</w:t>
      </w:r>
    </w:p>
    <w:p w14:paraId="16A754E6" w14:textId="77777777" w:rsidR="0007176C" w:rsidRDefault="0007176C">
      <w:pPr>
        <w:spacing w:after="120" w:line="360" w:lineRule="auto"/>
        <w:jc w:val="both"/>
        <w:rPr>
          <w:rFonts w:ascii="Palatino Linotype" w:eastAsia="Palatino Linotype" w:hAnsi="Palatino Linotype" w:cs="Palatino Linotype"/>
          <w:sz w:val="22"/>
          <w:szCs w:val="22"/>
        </w:rPr>
      </w:pPr>
    </w:p>
    <w:p w14:paraId="2C70CBE1" w14:textId="77777777" w:rsidR="0007176C" w:rsidRDefault="0075532F">
      <w:pPr>
        <w:spacing w:before="120" w:after="240" w:line="360"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92. </w:t>
      </w:r>
      <w:r>
        <w:rPr>
          <w:rFonts w:ascii="Palatino Linotype" w:eastAsia="Palatino Linotype" w:hAnsi="Palatino Linotype" w:cs="Palatino Linotype"/>
          <w:b/>
          <w:i/>
          <w:sz w:val="22"/>
          <w:szCs w:val="22"/>
        </w:rPr>
        <w:t xml:space="preserve">Los sujetos obligados deberán poner a disposición del público de manera permanente y actualizada de forma sencilla, precisa y entendible, </w:t>
      </w:r>
      <w:r>
        <w:rPr>
          <w:rFonts w:ascii="Palatino Linotype" w:eastAsia="Palatino Linotype" w:hAnsi="Palatino Linotype" w:cs="Palatino Linotype"/>
          <w:b/>
          <w:i/>
          <w:sz w:val="22"/>
          <w:szCs w:val="22"/>
        </w:rPr>
        <w:lastRenderedPageBreak/>
        <w:t>en los respectivos medios electrónicos, de acuerdo con sus facultades, atribuciones, funciones u objeto social, según corresponda, la información, por lo menos</w:t>
      </w:r>
      <w:r>
        <w:rPr>
          <w:rFonts w:ascii="Palatino Linotype" w:eastAsia="Palatino Linotype" w:hAnsi="Palatino Linotype" w:cs="Palatino Linotype"/>
          <w:i/>
          <w:sz w:val="22"/>
          <w:szCs w:val="22"/>
        </w:rPr>
        <w:t xml:space="preserve">, de los temas, </w:t>
      </w:r>
      <w:r>
        <w:rPr>
          <w:rFonts w:ascii="Palatino Linotype" w:eastAsia="Palatino Linotype" w:hAnsi="Palatino Linotype" w:cs="Palatino Linotype"/>
          <w:b/>
          <w:i/>
          <w:sz w:val="22"/>
          <w:szCs w:val="22"/>
        </w:rPr>
        <w:t>documentos</w:t>
      </w:r>
      <w:r>
        <w:rPr>
          <w:rFonts w:ascii="Palatino Linotype" w:eastAsia="Palatino Linotype" w:hAnsi="Palatino Linotype" w:cs="Palatino Linotype"/>
          <w:i/>
          <w:sz w:val="22"/>
          <w:szCs w:val="22"/>
        </w:rPr>
        <w:t xml:space="preserve"> y políticas </w:t>
      </w:r>
      <w:r>
        <w:rPr>
          <w:rFonts w:ascii="Palatino Linotype" w:eastAsia="Palatino Linotype" w:hAnsi="Palatino Linotype" w:cs="Palatino Linotype"/>
          <w:b/>
          <w:i/>
          <w:sz w:val="22"/>
          <w:szCs w:val="22"/>
        </w:rPr>
        <w:t>que a continuación se señalan</w:t>
      </w:r>
      <w:r>
        <w:rPr>
          <w:rFonts w:ascii="Palatino Linotype" w:eastAsia="Palatino Linotype" w:hAnsi="Palatino Linotype" w:cs="Palatino Linotype"/>
          <w:i/>
          <w:sz w:val="22"/>
          <w:szCs w:val="22"/>
        </w:rPr>
        <w:t>:</w:t>
      </w:r>
    </w:p>
    <w:p w14:paraId="7E4A45C9" w14:textId="77777777" w:rsidR="0007176C" w:rsidRDefault="0075532F">
      <w:pPr>
        <w:spacing w:before="240" w:after="240" w:line="360"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XXXII. Las</w:t>
      </w:r>
      <w:r>
        <w:rPr>
          <w:rFonts w:ascii="Palatino Linotype" w:eastAsia="Palatino Linotype" w:hAnsi="Palatino Linotype" w:cs="Palatino Linotype"/>
          <w:i/>
          <w:sz w:val="22"/>
          <w:szCs w:val="22"/>
        </w:rPr>
        <w:t xml:space="preserve"> concesiones, contratos, convenios, </w:t>
      </w:r>
      <w:r>
        <w:rPr>
          <w:rFonts w:ascii="Palatino Linotype" w:eastAsia="Palatino Linotype" w:hAnsi="Palatino Linotype" w:cs="Palatino Linotype"/>
          <w:b/>
          <w:i/>
          <w:sz w:val="22"/>
          <w:szCs w:val="22"/>
        </w:rPr>
        <w:t>permisos,</w:t>
      </w:r>
      <w:r>
        <w:rPr>
          <w:rFonts w:ascii="Palatino Linotype" w:eastAsia="Palatino Linotype" w:hAnsi="Palatino Linotype" w:cs="Palatino Linotype"/>
          <w:i/>
          <w:sz w:val="22"/>
          <w:szCs w:val="22"/>
        </w:rPr>
        <w:t xml:space="preserve"> licencias o </w:t>
      </w:r>
      <w:r>
        <w:rPr>
          <w:rFonts w:ascii="Palatino Linotype" w:eastAsia="Palatino Linotype" w:hAnsi="Palatino Linotype" w:cs="Palatino Linotype"/>
          <w:b/>
          <w:i/>
          <w:sz w:val="22"/>
          <w:szCs w:val="22"/>
        </w:rPr>
        <w:t>autorizaciones otorgados,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especificando los titulares de aquéllos, debiendo publicarse su objeto, nombre o razón social del titular, vigencia, tipo, términos, condiciones, </w:t>
      </w:r>
      <w:r>
        <w:rPr>
          <w:rFonts w:ascii="Palatino Linotype" w:eastAsia="Palatino Linotype" w:hAnsi="Palatino Linotype" w:cs="Palatino Linotype"/>
          <w:i/>
          <w:sz w:val="22"/>
          <w:szCs w:val="22"/>
        </w:rPr>
        <w:t>monto y modificaciones,</w:t>
      </w:r>
      <w:r>
        <w:rPr>
          <w:rFonts w:ascii="Palatino Linotype" w:eastAsia="Palatino Linotype" w:hAnsi="Palatino Linotype" w:cs="Palatino Linotype"/>
          <w:b/>
          <w:i/>
          <w:sz w:val="22"/>
          <w:szCs w:val="22"/>
        </w:rPr>
        <w:t xml:space="preserve"> así como si el procedimiento involucra el aprovechamiento de bienes, </w:t>
      </w:r>
      <w:r>
        <w:rPr>
          <w:rFonts w:ascii="Palatino Linotype" w:eastAsia="Palatino Linotype" w:hAnsi="Palatino Linotype" w:cs="Palatino Linotype"/>
          <w:i/>
          <w:sz w:val="22"/>
          <w:szCs w:val="22"/>
        </w:rPr>
        <w:t>servicios y/o recursos</w:t>
      </w:r>
      <w:r>
        <w:rPr>
          <w:rFonts w:ascii="Palatino Linotype" w:eastAsia="Palatino Linotype" w:hAnsi="Palatino Linotype" w:cs="Palatino Linotype"/>
          <w:b/>
          <w:i/>
          <w:sz w:val="22"/>
          <w:szCs w:val="22"/>
        </w:rPr>
        <w:t xml:space="preserve"> públicos</w:t>
      </w:r>
      <w:r>
        <w:rPr>
          <w:rFonts w:ascii="Palatino Linotype" w:eastAsia="Palatino Linotype" w:hAnsi="Palatino Linotype" w:cs="Palatino Linotype"/>
          <w:i/>
          <w:sz w:val="22"/>
          <w:szCs w:val="22"/>
        </w:rPr>
        <w:t>…” (Sic)</w:t>
      </w:r>
    </w:p>
    <w:p w14:paraId="02642211" w14:textId="77777777" w:rsidR="0007176C" w:rsidRDefault="007553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Lo que se robustece con lo señalado por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que señalan al respecto:</w:t>
      </w:r>
    </w:p>
    <w:p w14:paraId="567B84F8" w14:textId="77777777" w:rsidR="0007176C" w:rsidRDefault="0007176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BA91109" w14:textId="77777777" w:rsidR="0007176C" w:rsidRDefault="0075532F">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XXVII. 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 </w:t>
      </w:r>
    </w:p>
    <w:p w14:paraId="7FFF692C" w14:textId="77777777" w:rsidR="0007176C" w:rsidRDefault="0075532F">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Los sujetos obligados publicarán información relativa a cualquier tipo de concesión, contratos, convenios, permisos, licencias o autorizaciones otorgados, así como aquellos instrumentos jurídicos que involucran el aprovechamiento de bienes, </w:t>
      </w:r>
      <w:r>
        <w:rPr>
          <w:rFonts w:ascii="Palatino Linotype" w:eastAsia="Palatino Linotype" w:hAnsi="Palatino Linotype" w:cs="Palatino Linotype"/>
          <w:i/>
          <w:color w:val="000000"/>
          <w:sz w:val="22"/>
          <w:szCs w:val="22"/>
        </w:rPr>
        <w:lastRenderedPageBreak/>
        <w:t>servicios o recursos públicos por un tercero a cambio de una contraprestación económica en beneficio del sujeto obligado, de acuerdo con sus atribuciones establecidas en la Constitución Política de los Estados Unidos Mexicanos y la constitución de cada entidad federativa, así como la respectiva ley orgánica de las administraciones públicas estatales y municipales.</w:t>
      </w:r>
    </w:p>
    <w:p w14:paraId="0472B433" w14:textId="77777777" w:rsidR="0007176C" w:rsidRDefault="0075532F">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La información se organizará por acto jurídico y respecto de cada uno se especificará su tipo, de acuerdo con lo siguiente: </w:t>
      </w:r>
    </w:p>
    <w:p w14:paraId="3F77BBB4" w14:textId="77777777" w:rsidR="0007176C" w:rsidRDefault="0075532F">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6F68C48D" w14:textId="77777777" w:rsidR="0007176C" w:rsidRDefault="0075532F">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Licencia de uso de suelo, de construcción, de anuncios, de conducir vehículos particulares y/o que presten un servicio público, de explotación de yacimientos de materiales pétreos, de exploración y extracción del petróleo, etcétera. </w:t>
      </w:r>
    </w:p>
    <w:p w14:paraId="21493F19" w14:textId="77777777" w:rsidR="0007176C" w:rsidRDefault="0075532F">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12066EE3" w14:textId="77777777" w:rsidR="0007176C" w:rsidRDefault="0007176C">
      <w:p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color w:val="222222"/>
          <w:sz w:val="22"/>
          <w:szCs w:val="22"/>
        </w:rPr>
      </w:pPr>
    </w:p>
    <w:p w14:paraId="1BD8B4E9" w14:textId="77777777" w:rsidR="0007176C" w:rsidRDefault="0075532F">
      <w:pPr>
        <w:numPr>
          <w:ilvl w:val="0"/>
          <w:numId w:val="1"/>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consecuencia, una vez analizadas las constancias que integran el expediente electrónico, y en mérito de lo expuesto en líneas anteriores, resultan fundadas las razones o motivos de inconformidad hechos valer por el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dentro del recurso de revisión </w:t>
      </w:r>
      <w:r>
        <w:rPr>
          <w:rFonts w:ascii="Palatino Linotype" w:eastAsia="Palatino Linotype" w:hAnsi="Palatino Linotype" w:cs="Palatino Linotype"/>
          <w:b/>
          <w:sz w:val="22"/>
          <w:szCs w:val="22"/>
        </w:rPr>
        <w:t>03258/INFOEM/IP/RR/2024</w:t>
      </w:r>
      <w:r>
        <w:rPr>
          <w:rFonts w:ascii="Palatino Linotype" w:eastAsia="Palatino Linotype" w:hAnsi="Palatino Linotype" w:cs="Palatino Linotype"/>
          <w:sz w:val="22"/>
          <w:szCs w:val="22"/>
        </w:rPr>
        <w:t xml:space="preserve">; por ello, y con fundamento en la fracción III del numeral 186 de la Ley de Transparencia y Acceso a la Información Pública del Estado de México y Municipios, se </w:t>
      </w:r>
      <w:r>
        <w:rPr>
          <w:rFonts w:ascii="Palatino Linotype" w:eastAsia="Palatino Linotype" w:hAnsi="Palatino Linotype" w:cs="Palatino Linotype"/>
          <w:b/>
          <w:sz w:val="22"/>
          <w:szCs w:val="22"/>
        </w:rPr>
        <w:t>REVOCA</w:t>
      </w:r>
      <w:r>
        <w:rPr>
          <w:rFonts w:ascii="Palatino Linotype" w:eastAsia="Palatino Linotype" w:hAnsi="Palatino Linotype" w:cs="Palatino Linotype"/>
          <w:sz w:val="22"/>
          <w:szCs w:val="22"/>
        </w:rPr>
        <w:t xml:space="preserve"> la respuesta del Sujeto Obligado. </w:t>
      </w:r>
    </w:p>
    <w:p w14:paraId="63A11C32" w14:textId="77777777" w:rsidR="0007176C" w:rsidRDefault="0007176C">
      <w:pPr>
        <w:spacing w:line="360" w:lineRule="auto"/>
        <w:jc w:val="both"/>
        <w:rPr>
          <w:rFonts w:ascii="Palatino Linotype" w:eastAsia="Palatino Linotype" w:hAnsi="Palatino Linotype" w:cs="Palatino Linotype"/>
          <w:b/>
          <w:sz w:val="22"/>
          <w:szCs w:val="22"/>
        </w:rPr>
      </w:pPr>
    </w:p>
    <w:p w14:paraId="36C383EE" w14:textId="77777777" w:rsidR="0007176C" w:rsidRDefault="0075532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sz w:val="22"/>
          <w:szCs w:val="22"/>
        </w:rPr>
      </w:pPr>
      <w:bookmarkStart w:id="8" w:name="_heading=h.2s8eyo1" w:colFirst="0" w:colLast="0"/>
      <w:bookmarkEnd w:id="8"/>
      <w:r>
        <w:rPr>
          <w:rFonts w:ascii="Palatino Linotype" w:eastAsia="Palatino Linotype" w:hAnsi="Palatino Linotype" w:cs="Palatino Linotype"/>
          <w:b/>
          <w:color w:val="000000"/>
          <w:sz w:val="22"/>
          <w:szCs w:val="22"/>
        </w:rPr>
        <w:t>QUINTO. De la versión pública.</w:t>
      </w:r>
    </w:p>
    <w:p w14:paraId="05A90C2B" w14:textId="77777777" w:rsidR="0007176C" w:rsidRDefault="0007176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14:paraId="414484C5" w14:textId="77777777" w:rsidR="0007176C" w:rsidRDefault="0075532F">
      <w:pPr>
        <w:numPr>
          <w:ilvl w:val="0"/>
          <w:numId w:val="1"/>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Debe destacarse que, debido a la naturaleza de la información solicitada</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w:t>
      </w:r>
      <w:r>
        <w:rPr>
          <w:rFonts w:ascii="Palatino Linotype" w:eastAsia="Palatino Linotype" w:hAnsi="Palatino Linotype" w:cs="Palatino Linotype"/>
          <w:color w:val="000000"/>
          <w:sz w:val="22"/>
          <w:szCs w:val="22"/>
        </w:rPr>
        <w:lastRenderedPageBreak/>
        <w:t>servidores públicos y en su caso generar la versión pública de los documentos por las consideraciones que se estimen pertinentes.</w:t>
      </w:r>
    </w:p>
    <w:p w14:paraId="7CA6476A" w14:textId="77777777" w:rsidR="0007176C" w:rsidRDefault="0007176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14:paraId="120EA326" w14:textId="77777777" w:rsidR="0007176C" w:rsidRDefault="0075532F">
      <w:pPr>
        <w:numPr>
          <w:ilvl w:val="0"/>
          <w:numId w:val="1"/>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clasificación total o parcial de la información requerida, mediante solicitud de acceso a la información pública, constituye una restricción al derecho humano de acceso a la información, por lo que es menester reiterar los mismos:</w:t>
      </w:r>
    </w:p>
    <w:p w14:paraId="5695A32C" w14:textId="77777777" w:rsidR="0007176C" w:rsidRDefault="0007176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tbl>
      <w:tblPr>
        <w:tblStyle w:val="a1"/>
        <w:tblW w:w="8828"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838"/>
        <w:gridCol w:w="6990"/>
      </w:tblGrid>
      <w:tr w:rsidR="0007176C" w14:paraId="7C46D97C" w14:textId="77777777">
        <w:tc>
          <w:tcPr>
            <w:tcW w:w="1838" w:type="dxa"/>
          </w:tcPr>
          <w:p w14:paraId="45A1BBEE" w14:textId="77777777" w:rsidR="0007176C" w:rsidRDefault="0075532F">
            <w:pPr>
              <w:spacing w:line="360" w:lineRule="auto"/>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 Requisitos previos.</w:t>
            </w:r>
          </w:p>
        </w:tc>
        <w:tc>
          <w:tcPr>
            <w:tcW w:w="6990" w:type="dxa"/>
          </w:tcPr>
          <w:p w14:paraId="68B37758" w14:textId="77777777" w:rsidR="0007176C" w:rsidRDefault="0075532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47F65BA9" w14:textId="77777777" w:rsidR="0007176C" w:rsidRDefault="0075532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hacerlo tienen que precisar de qué información se trata, señalando el supuesto de clasificación (confidencialidad o reserva).</w:t>
            </w:r>
          </w:p>
          <w:p w14:paraId="5127436D" w14:textId="77777777" w:rsidR="0007176C" w:rsidRDefault="0075532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se debe señalar el procedimiento, de los tres que establecen los artículos 132 y 106 de la Ley Estatal y General, respectivamente.</w:t>
            </w:r>
          </w:p>
          <w:p w14:paraId="6A528F0D" w14:textId="77777777" w:rsidR="0007176C" w:rsidRDefault="0075532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último de estos requisitos previos consiste en que no se pueden emitir acuerdos de carácter general ni particular, esto es, </w:t>
            </w:r>
            <w:r>
              <w:rPr>
                <w:rFonts w:ascii="Palatino Linotype" w:eastAsia="Palatino Linotype" w:hAnsi="Palatino Linotype" w:cs="Palatino Linotype"/>
                <w:sz w:val="22"/>
                <w:szCs w:val="22"/>
                <w:u w:val="single"/>
              </w:rPr>
              <w:t xml:space="preserve">no se puede hacer un acuerdo para clasificar de manera general todos los documentos de un expediente o área,  </w:t>
            </w:r>
            <w:r>
              <w:rPr>
                <w:rFonts w:ascii="Palatino Linotype" w:eastAsia="Palatino Linotype" w:hAnsi="Palatino Linotype" w:cs="Palatino Linotype"/>
                <w:sz w:val="22"/>
                <w:szCs w:val="22"/>
              </w:rPr>
              <w:t>sin individualizar su análisis y tampoco se puede hacer un acuerdo por cada dato que se vaya a clasificar dentro de un documento con diez datos, por ejemplo, susceptibles de ser clasificados.</w:t>
            </w:r>
          </w:p>
        </w:tc>
      </w:tr>
      <w:tr w:rsidR="0007176C" w14:paraId="7DA53AAF" w14:textId="77777777">
        <w:tc>
          <w:tcPr>
            <w:tcW w:w="1838" w:type="dxa"/>
          </w:tcPr>
          <w:p w14:paraId="45125C3D" w14:textId="77777777" w:rsidR="0007176C" w:rsidRDefault="0075532F">
            <w:pPr>
              <w:spacing w:line="360" w:lineRule="auto"/>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b) Supuestos de clasificación.</w:t>
            </w:r>
          </w:p>
        </w:tc>
        <w:tc>
          <w:tcPr>
            <w:tcW w:w="6990" w:type="dxa"/>
          </w:tcPr>
          <w:p w14:paraId="6C69631A" w14:textId="77777777" w:rsidR="0007176C" w:rsidRDefault="0075532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14:paraId="220BDF92" w14:textId="77777777" w:rsidR="0007176C" w:rsidRDefault="0075532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C8CB915" w14:textId="77777777" w:rsidR="0007176C" w:rsidRDefault="0075532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07176C" w14:paraId="1FD9A98A" w14:textId="77777777">
        <w:tc>
          <w:tcPr>
            <w:tcW w:w="1838" w:type="dxa"/>
          </w:tcPr>
          <w:p w14:paraId="46C94688" w14:textId="77777777" w:rsidR="0007176C" w:rsidRDefault="0075532F">
            <w:pPr>
              <w:spacing w:line="360" w:lineRule="auto"/>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 Formalidades para emitir el acuerdo de clasificación.</w:t>
            </w:r>
          </w:p>
        </w:tc>
        <w:tc>
          <w:tcPr>
            <w:tcW w:w="6990" w:type="dxa"/>
          </w:tcPr>
          <w:p w14:paraId="32A3AC18" w14:textId="77777777" w:rsidR="0007176C" w:rsidRDefault="0075532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14:paraId="4C0DE2A5" w14:textId="77777777" w:rsidR="0007176C" w:rsidRDefault="0075532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 necesario que </w:t>
            </w:r>
            <w:r>
              <w:rPr>
                <w:rFonts w:ascii="Palatino Linotype" w:eastAsia="Palatino Linotype" w:hAnsi="Palatino Linotype" w:cs="Palatino Linotype"/>
                <w:b/>
                <w:sz w:val="22"/>
                <w:szCs w:val="22"/>
                <w:u w:val="single"/>
              </w:rPr>
              <w:t>el acto reúna con los requisitos elementales</w:t>
            </w:r>
            <w:r>
              <w:rPr>
                <w:rFonts w:ascii="Palatino Linotype" w:eastAsia="Palatino Linotype" w:hAnsi="Palatino Linotype" w:cs="Palatino Linotype"/>
                <w:sz w:val="22"/>
                <w:szCs w:val="22"/>
              </w:rPr>
              <w:t>, entre ellos, que la autoridad que va a emitir el acto de autoridad sea la legalmente facultada para ello.</w:t>
            </w:r>
          </w:p>
          <w:p w14:paraId="4BBCAA2F" w14:textId="77777777" w:rsidR="0007176C" w:rsidRDefault="0075532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w:t>
            </w:r>
            <w:r>
              <w:rPr>
                <w:rFonts w:ascii="Palatino Linotype" w:eastAsia="Palatino Linotype" w:hAnsi="Palatino Linotype" w:cs="Palatino Linotype"/>
                <w:sz w:val="22"/>
                <w:szCs w:val="22"/>
              </w:rPr>
              <w:lastRenderedPageBreak/>
              <w:t>titulares de áreas y que son sujetas a control, en primera instancia, por el Comité de Transparencia.</w:t>
            </w:r>
          </w:p>
        </w:tc>
      </w:tr>
      <w:tr w:rsidR="0007176C" w14:paraId="536DF8A9" w14:textId="77777777">
        <w:tc>
          <w:tcPr>
            <w:tcW w:w="1838" w:type="dxa"/>
          </w:tcPr>
          <w:p w14:paraId="7C49CC26" w14:textId="77777777" w:rsidR="0007176C" w:rsidRDefault="0007176C">
            <w:pPr>
              <w:spacing w:line="360" w:lineRule="auto"/>
              <w:rPr>
                <w:rFonts w:ascii="Palatino Linotype" w:eastAsia="Palatino Linotype" w:hAnsi="Palatino Linotype" w:cs="Palatino Linotype"/>
                <w:sz w:val="22"/>
                <w:szCs w:val="22"/>
              </w:rPr>
            </w:pPr>
          </w:p>
          <w:p w14:paraId="3629D6C6" w14:textId="77777777" w:rsidR="0007176C" w:rsidRDefault="0075532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 Requisitos de fondo del acuerdo de clasificación. </w:t>
            </w:r>
          </w:p>
        </w:tc>
        <w:tc>
          <w:tcPr>
            <w:tcW w:w="6990" w:type="dxa"/>
          </w:tcPr>
          <w:p w14:paraId="7E214544" w14:textId="77777777" w:rsidR="0007176C" w:rsidRDefault="0075532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sz w:val="22"/>
                <w:szCs w:val="22"/>
              </w:rPr>
              <w:t>Sujetos Obligados</w:t>
            </w:r>
            <w:r>
              <w:rPr>
                <w:rFonts w:ascii="Palatino Linotype" w:eastAsia="Palatino Linotype" w:hAnsi="Palatino Linotype" w:cs="Palatino Linotype"/>
                <w:sz w:val="22"/>
                <w:szCs w:val="22"/>
              </w:rPr>
              <w:t xml:space="preserve">, por lo que deberán fundar y motivar debidamente la clasificación. </w:t>
            </w:r>
          </w:p>
          <w:p w14:paraId="5D6B2BA6" w14:textId="77777777" w:rsidR="0007176C" w:rsidRDefault="0075532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lo anterior, se desprende que para una correcta </w:t>
            </w:r>
            <w:r>
              <w:rPr>
                <w:rFonts w:ascii="Palatino Linotype" w:eastAsia="Palatino Linotype" w:hAnsi="Palatino Linotype" w:cs="Palatino Linotype"/>
                <w:b/>
                <w:sz w:val="22"/>
                <w:szCs w:val="22"/>
              </w:rPr>
              <w:t>clasificación total o parcial</w:t>
            </w:r>
            <w:r>
              <w:rPr>
                <w:rFonts w:ascii="Palatino Linotype" w:eastAsia="Palatino Linotype" w:hAnsi="Palatino Linotype" w:cs="Palatino Linotype"/>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3767983" w14:textId="77777777" w:rsidR="0007176C" w:rsidRDefault="0075532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23207A3F" w14:textId="77777777" w:rsidR="0007176C" w:rsidRDefault="0075532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mismo sentido, el numeral trigésimo tercero fracción V de los Lineamientos Generales, precisa que para motivar la clasificación se deben acreditar las circunstancias de tiempo, modo y lugar.</w:t>
            </w:r>
          </w:p>
          <w:p w14:paraId="2FFE8CD8" w14:textId="77777777" w:rsidR="0007176C" w:rsidRDefault="0075532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Ahora bien, </w:t>
            </w:r>
            <w:r>
              <w:rPr>
                <w:rFonts w:ascii="Palatino Linotype" w:eastAsia="Palatino Linotype" w:hAnsi="Palatino Linotype" w:cs="Palatino Linotype"/>
                <w:b/>
                <w:sz w:val="22"/>
                <w:szCs w:val="22"/>
                <w:u w:val="single"/>
              </w:rPr>
              <w:t>para cada caso además de fundar y motivar</w:t>
            </w:r>
            <w:r>
              <w:rPr>
                <w:rFonts w:ascii="Palatino Linotype" w:eastAsia="Palatino Linotype" w:hAnsi="Palatino Linotype" w:cs="Palatino Linotype"/>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07176C" w14:paraId="5A353AF7" w14:textId="77777777">
        <w:tc>
          <w:tcPr>
            <w:tcW w:w="1838" w:type="dxa"/>
          </w:tcPr>
          <w:p w14:paraId="3CE93C18" w14:textId="77777777" w:rsidR="0007176C" w:rsidRDefault="0075532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 Condiciones especiales de la clasificación de la información como confidencial. </w:t>
            </w:r>
          </w:p>
          <w:p w14:paraId="5AB3303F" w14:textId="77777777" w:rsidR="0007176C" w:rsidRDefault="0007176C">
            <w:pPr>
              <w:spacing w:line="360" w:lineRule="auto"/>
              <w:rPr>
                <w:rFonts w:ascii="Palatino Linotype" w:eastAsia="Palatino Linotype" w:hAnsi="Palatino Linotype" w:cs="Palatino Linotype"/>
                <w:sz w:val="22"/>
                <w:szCs w:val="22"/>
              </w:rPr>
            </w:pPr>
          </w:p>
        </w:tc>
        <w:tc>
          <w:tcPr>
            <w:tcW w:w="6990" w:type="dxa"/>
          </w:tcPr>
          <w:p w14:paraId="274EBE53" w14:textId="77777777" w:rsidR="0007176C" w:rsidRDefault="0075532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Los artículos 148 y 120 de la Ley Estatal y de la Ley General, respectivamente, establecen que aun tratándose de datos personales, se podrán proporcionar, incluso sin solicitar el consentimiento de su titular. </w:t>
            </w:r>
          </w:p>
          <w:p w14:paraId="12E83D0A" w14:textId="77777777" w:rsidR="0007176C" w:rsidRDefault="0075532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27A55A9" w14:textId="77777777" w:rsidR="0007176C" w:rsidRDefault="0075532F">
            <w:pPr>
              <w:spacing w:line="360" w:lineRule="auto"/>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4723F843" w14:textId="77777777" w:rsidR="0007176C" w:rsidRDefault="0007176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49F7F6B5" w14:textId="77777777" w:rsidR="0007176C" w:rsidRDefault="0075532F">
      <w:pPr>
        <w:numPr>
          <w:ilvl w:val="0"/>
          <w:numId w:val="1"/>
        </w:numPr>
        <w:spacing w:line="360" w:lineRule="auto"/>
        <w:ind w:left="0" w:right="49"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Respecto al nombre en las licencias de funcionamiento, se considera que el nombre de una persona se integra con el sustantivo propio y el primer apellido de los padres, en el orden que, de común acuerdo determinen; asimismo es la manifestación principal del derecho subjetivo a la personalidad y atributo de esta en términos del artículo 2.3 del Código Civil del </w:t>
      </w:r>
      <w:r>
        <w:rPr>
          <w:rFonts w:ascii="Palatino Linotype" w:eastAsia="Palatino Linotype" w:hAnsi="Palatino Linotype" w:cs="Palatino Linotype"/>
          <w:sz w:val="22"/>
          <w:szCs w:val="22"/>
        </w:rPr>
        <w:lastRenderedPageBreak/>
        <w:t xml:space="preserve">Estado de México, de tal suerte, el nombre </w:t>
      </w:r>
      <w:r>
        <w:rPr>
          <w:rFonts w:ascii="Palatino Linotype" w:eastAsia="Palatino Linotype" w:hAnsi="Palatino Linotype" w:cs="Palatino Linotype"/>
          <w:i/>
          <w:sz w:val="22"/>
          <w:szCs w:val="22"/>
        </w:rPr>
        <w:t>per se</w:t>
      </w:r>
      <w:r>
        <w:rPr>
          <w:rFonts w:ascii="Palatino Linotype" w:eastAsia="Palatino Linotype" w:hAnsi="Palatino Linotype" w:cs="Palatino Linotype"/>
          <w:sz w:val="22"/>
          <w:szCs w:val="22"/>
        </w:rPr>
        <w:t xml:space="preserve"> es un elemento que hace a una persona física identificada o identificable, por lo que, se considera un dato personal.</w:t>
      </w:r>
    </w:p>
    <w:p w14:paraId="48C06BD3" w14:textId="77777777" w:rsidR="0007176C" w:rsidRDefault="0007176C">
      <w:pPr>
        <w:spacing w:line="360" w:lineRule="auto"/>
        <w:ind w:right="49"/>
        <w:jc w:val="both"/>
        <w:rPr>
          <w:rFonts w:ascii="Palatino Linotype" w:eastAsia="Palatino Linotype" w:hAnsi="Palatino Linotype" w:cs="Palatino Linotype"/>
          <w:b/>
          <w:sz w:val="22"/>
          <w:szCs w:val="22"/>
        </w:rPr>
      </w:pPr>
    </w:p>
    <w:p w14:paraId="18F550FA" w14:textId="77777777" w:rsidR="0007176C" w:rsidRDefault="0075532F">
      <w:pPr>
        <w:numPr>
          <w:ilvl w:val="0"/>
          <w:numId w:val="1"/>
        </w:numPr>
        <w:spacing w:line="360" w:lineRule="auto"/>
        <w:ind w:left="0" w:right="49"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Sobre el tema, se tiene presente que este Instituto emitió el Criterio Relevante 01/18, de la Segunda Época de este Instituto, que establece que el nombre del titular de una licencia (persona física), como en el caso que nos ocupa, es información confidencial, cuando no involucra aprovechamiento de recursos públicos.</w:t>
      </w:r>
    </w:p>
    <w:p w14:paraId="163039B3" w14:textId="77777777" w:rsidR="0007176C" w:rsidRDefault="0007176C">
      <w:pPr>
        <w:pBdr>
          <w:top w:val="nil"/>
          <w:left w:val="nil"/>
          <w:bottom w:val="nil"/>
          <w:right w:val="nil"/>
          <w:between w:val="nil"/>
        </w:pBdr>
        <w:spacing w:line="360" w:lineRule="auto"/>
        <w:ind w:left="644"/>
        <w:jc w:val="both"/>
        <w:rPr>
          <w:rFonts w:ascii="Palatino Linotype" w:eastAsia="Palatino Linotype" w:hAnsi="Palatino Linotype" w:cs="Palatino Linotype"/>
          <w:color w:val="000000"/>
          <w:sz w:val="22"/>
          <w:szCs w:val="22"/>
        </w:rPr>
      </w:pPr>
    </w:p>
    <w:p w14:paraId="53224851" w14:textId="77777777" w:rsidR="0007176C" w:rsidRDefault="0075532F">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“Nombre del titular de una licencia que no involucre el aprovechamiento de bienes, servicios y/o recursos públicos, constituye un dato personal susceptible de clasificar como confidencial.</w:t>
      </w:r>
      <w:r>
        <w:rPr>
          <w:rFonts w:ascii="Palatino Linotype" w:eastAsia="Palatino Linotype" w:hAnsi="Palatino Linotype" w:cs="Palatino Linotype"/>
          <w:i/>
          <w:color w:val="000000"/>
          <w:sz w:val="22"/>
          <w:szCs w:val="22"/>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w:t>
      </w:r>
      <w:r>
        <w:rPr>
          <w:rFonts w:ascii="Palatino Linotype" w:eastAsia="Palatino Linotype" w:hAnsi="Palatino Linotype" w:cs="Palatino Linotype"/>
          <w:i/>
          <w:color w:val="000000"/>
          <w:sz w:val="22"/>
          <w:szCs w:val="22"/>
        </w:rPr>
        <w:lastRenderedPageBreak/>
        <w:t>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14:paraId="653D1F6B" w14:textId="77777777" w:rsidR="0007176C" w:rsidRDefault="0007176C">
      <w:pPr>
        <w:pBdr>
          <w:top w:val="nil"/>
          <w:left w:val="nil"/>
          <w:bottom w:val="nil"/>
          <w:right w:val="nil"/>
          <w:between w:val="nil"/>
        </w:pBdr>
        <w:spacing w:line="360" w:lineRule="auto"/>
        <w:ind w:left="644" w:right="-93"/>
        <w:jc w:val="both"/>
        <w:rPr>
          <w:rFonts w:ascii="Palatino Linotype" w:eastAsia="Palatino Linotype" w:hAnsi="Palatino Linotype" w:cs="Palatino Linotype"/>
          <w:color w:val="000000"/>
          <w:sz w:val="22"/>
          <w:szCs w:val="22"/>
        </w:rPr>
      </w:pPr>
    </w:p>
    <w:p w14:paraId="74EB3D76" w14:textId="77777777" w:rsidR="0007176C" w:rsidRDefault="0075532F">
      <w:pPr>
        <w:numPr>
          <w:ilvl w:val="0"/>
          <w:numId w:val="1"/>
        </w:numPr>
        <w:pBdr>
          <w:top w:val="nil"/>
          <w:left w:val="nil"/>
          <w:bottom w:val="nil"/>
          <w:right w:val="nil"/>
          <w:between w:val="nil"/>
        </w:pBdr>
        <w:spacing w:line="360" w:lineRule="auto"/>
        <w:ind w:left="0" w:right="-93"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el Criterio en cita, se argumenta que si bien el nombre de los titulares de las licencias es un dato de carácter público, en términos del artículo 92, fracción XXXII de la Ley de Transparencia y Acceso a la Información Pública del Estado de México y Municipios, dicho precepto legal debe ser interpretado de manera armónica y sistemática, pues la intromisión a los datos personales de particulares únicamente se verá justificada cuando involucre el aprovechamiento de bienes, servicios o recursos públicos; por lo que constituye un dato personal, a menos que se actualice alguno de los supuestos previamente señalados.</w:t>
      </w:r>
    </w:p>
    <w:p w14:paraId="7FA1BFCA" w14:textId="77777777" w:rsidR="0007176C" w:rsidRDefault="0007176C">
      <w:pPr>
        <w:pBdr>
          <w:top w:val="nil"/>
          <w:left w:val="nil"/>
          <w:bottom w:val="nil"/>
          <w:right w:val="nil"/>
          <w:between w:val="nil"/>
        </w:pBdr>
        <w:spacing w:line="360" w:lineRule="auto"/>
        <w:ind w:right="-93"/>
        <w:jc w:val="both"/>
        <w:rPr>
          <w:rFonts w:ascii="Palatino Linotype" w:eastAsia="Palatino Linotype" w:hAnsi="Palatino Linotype" w:cs="Palatino Linotype"/>
          <w:color w:val="000000"/>
          <w:sz w:val="22"/>
          <w:szCs w:val="22"/>
        </w:rPr>
      </w:pPr>
    </w:p>
    <w:p w14:paraId="7B47A62F" w14:textId="77777777" w:rsidR="0007176C" w:rsidRDefault="0075532F">
      <w:pPr>
        <w:numPr>
          <w:ilvl w:val="0"/>
          <w:numId w:val="1"/>
        </w:numPr>
        <w:pBdr>
          <w:top w:val="nil"/>
          <w:left w:val="nil"/>
          <w:bottom w:val="nil"/>
          <w:right w:val="nil"/>
          <w:between w:val="nil"/>
        </w:pBdr>
        <w:spacing w:line="360" w:lineRule="auto"/>
        <w:ind w:left="0" w:right="-93"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No obstante, se considera que el nombre localizado en una licencia de funcionamiento, guarda cierto interés público, dado que cualquier actividad comercial, industrial o económica, es regulada por el Municipio dentro de su circunscripción territorial, pues ayuda a transparentar la gestión pública.</w:t>
      </w:r>
    </w:p>
    <w:p w14:paraId="06BF5862" w14:textId="77777777" w:rsidR="0007176C" w:rsidRDefault="0007176C">
      <w:pPr>
        <w:pBdr>
          <w:top w:val="nil"/>
          <w:left w:val="nil"/>
          <w:bottom w:val="nil"/>
          <w:right w:val="nil"/>
          <w:between w:val="nil"/>
        </w:pBdr>
        <w:spacing w:line="360" w:lineRule="auto"/>
        <w:ind w:right="-93"/>
        <w:jc w:val="both"/>
        <w:rPr>
          <w:rFonts w:ascii="Palatino Linotype" w:eastAsia="Palatino Linotype" w:hAnsi="Palatino Linotype" w:cs="Palatino Linotype"/>
          <w:color w:val="000000"/>
          <w:sz w:val="22"/>
          <w:szCs w:val="22"/>
        </w:rPr>
      </w:pPr>
    </w:p>
    <w:p w14:paraId="75AE4C17" w14:textId="77777777" w:rsidR="0007176C" w:rsidRDefault="0075532F">
      <w:pPr>
        <w:numPr>
          <w:ilvl w:val="0"/>
          <w:numId w:val="1"/>
        </w:numPr>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Del Registro Federal de Contribuyentes (RFC), en las licencias de funcionamiento, puede ser de personas físicas y morales.</w:t>
      </w:r>
    </w:p>
    <w:p w14:paraId="3AA9F9CE" w14:textId="77777777" w:rsidR="0007176C" w:rsidRDefault="0007176C">
      <w:pPr>
        <w:spacing w:line="360" w:lineRule="auto"/>
        <w:jc w:val="both"/>
        <w:rPr>
          <w:rFonts w:ascii="Palatino Linotype" w:eastAsia="Palatino Linotype" w:hAnsi="Palatino Linotype" w:cs="Palatino Linotype"/>
          <w:sz w:val="22"/>
          <w:szCs w:val="22"/>
        </w:rPr>
      </w:pPr>
    </w:p>
    <w:p w14:paraId="25E11999" w14:textId="77777777" w:rsidR="0007176C" w:rsidRDefault="007553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El Registro Federal de Contribuyentes de personas físicas,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479FBA2E" w14:textId="77777777" w:rsidR="0007176C" w:rsidRDefault="0007176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5B64802" w14:textId="77777777" w:rsidR="0007176C" w:rsidRDefault="007553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Lo anterior, resulta congruente con el Criterio 19/17 emitido por el Instituto Nacional de Transparencia, Acceso a la Información y Protección de Datos Personales, en el cual se señala lo siguiente:</w:t>
      </w:r>
    </w:p>
    <w:p w14:paraId="4CF551A3" w14:textId="77777777" w:rsidR="0007176C" w:rsidRDefault="0007176C">
      <w:pPr>
        <w:spacing w:line="360" w:lineRule="auto"/>
        <w:jc w:val="both"/>
        <w:rPr>
          <w:rFonts w:ascii="Palatino Linotype" w:eastAsia="Palatino Linotype" w:hAnsi="Palatino Linotype" w:cs="Palatino Linotype"/>
          <w:sz w:val="22"/>
          <w:szCs w:val="22"/>
        </w:rPr>
      </w:pPr>
    </w:p>
    <w:p w14:paraId="7A49BD0B" w14:textId="77777777" w:rsidR="0007176C" w:rsidRDefault="0075532F">
      <w:pPr>
        <w:pBdr>
          <w:top w:val="nil"/>
          <w:left w:val="nil"/>
          <w:bottom w:val="nil"/>
          <w:right w:val="nil"/>
          <w:between w:val="nil"/>
        </w:pBdr>
        <w:spacing w:line="276"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“Registro Federal de Contribuyentes (RFC) de personas físicas.</w:t>
      </w:r>
      <w:r>
        <w:rPr>
          <w:rFonts w:ascii="Palatino Linotype" w:eastAsia="Palatino Linotype" w:hAnsi="Palatino Linotype" w:cs="Palatino Linotype"/>
          <w:i/>
          <w:color w:val="000000"/>
          <w:sz w:val="22"/>
          <w:szCs w:val="22"/>
        </w:rPr>
        <w:t xml:space="preserve"> El RFC es una clave de carácter fiscal, única e irrepetible, que permite identificar al titular, su edad y fecha de nacimiento, por lo que es un dato personal de carácter confidencial.”</w:t>
      </w:r>
    </w:p>
    <w:p w14:paraId="79E63F3C" w14:textId="77777777" w:rsidR="0007176C" w:rsidRDefault="0007176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1114E4E6" w14:textId="77777777" w:rsidR="0007176C" w:rsidRDefault="0075532F">
      <w:pPr>
        <w:widowControl w:val="0"/>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tal suerte, el Registro Federal de Contribuyentes de los servidores públicos no guarda relación con la transparencia de los recursos públicos, por lo que constituye un dato personal confidencial al actualizar el supuesto normativo del artículo 143, fracción I, de la Ley de Transparencia y Acceso a la Información Pública del Estado de México y Municipio.</w:t>
      </w:r>
    </w:p>
    <w:p w14:paraId="699E0805" w14:textId="77777777" w:rsidR="0007176C" w:rsidRDefault="0007176C">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EA6980E" w14:textId="77777777" w:rsidR="0007176C" w:rsidRDefault="0075532F">
      <w:pPr>
        <w:widowControl w:val="0"/>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Registro Federal de Contribuyentes de Persona Moral, inicia con un preinscripción por Internet y se concluye en cualquier Administración Desconcentrada de Servicios al Contribuyente, en donde aquellas personas que realicen el trámite tendrán que entregar ciertos documentos, que para las personas jurídico colectivas, serán, entre otros, la copia certificada del documento constitutivo debidamente protocolizado, comprobante de domicilio, identificación personal, número de folio asignado que se le proporcionó al realizar el envío de su preinscripción y copia certificada del poder notarial con el que se acredite la </w:t>
      </w:r>
      <w:r>
        <w:rPr>
          <w:rFonts w:ascii="Palatino Linotype" w:eastAsia="Palatino Linotype" w:hAnsi="Palatino Linotype" w:cs="Palatino Linotype"/>
          <w:color w:val="000000"/>
          <w:sz w:val="22"/>
          <w:szCs w:val="22"/>
        </w:rPr>
        <w:lastRenderedPageBreak/>
        <w:t xml:space="preserve">personalidad del representante legal, o carta poder firmada ante dos testigos y ratificadas las firmas ante las autoridades fiscales o ante notario o fedatario público. </w:t>
      </w:r>
    </w:p>
    <w:p w14:paraId="0824550A" w14:textId="77777777" w:rsidR="0007176C" w:rsidRDefault="0007176C">
      <w:pPr>
        <w:pBdr>
          <w:top w:val="nil"/>
          <w:left w:val="nil"/>
          <w:bottom w:val="nil"/>
          <w:right w:val="nil"/>
          <w:between w:val="nil"/>
        </w:pBdr>
        <w:spacing w:line="360" w:lineRule="auto"/>
        <w:ind w:right="-93"/>
        <w:jc w:val="both"/>
        <w:rPr>
          <w:rFonts w:ascii="Palatino Linotype" w:eastAsia="Palatino Linotype" w:hAnsi="Palatino Linotype" w:cs="Palatino Linotype"/>
          <w:color w:val="000000"/>
          <w:sz w:val="22"/>
          <w:szCs w:val="22"/>
        </w:rPr>
      </w:pPr>
    </w:p>
    <w:p w14:paraId="74DF0F29" w14:textId="77777777" w:rsidR="0007176C" w:rsidRDefault="0075532F">
      <w:pPr>
        <w:numPr>
          <w:ilvl w:val="0"/>
          <w:numId w:val="1"/>
        </w:numPr>
        <w:pBdr>
          <w:top w:val="nil"/>
          <w:left w:val="nil"/>
          <w:bottom w:val="nil"/>
          <w:right w:val="nil"/>
          <w:between w:val="nil"/>
        </w:pBdr>
        <w:spacing w:line="360" w:lineRule="auto"/>
        <w:ind w:left="0" w:right="-93"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Derivado del trámite se obtiene, entre otros, la </w:t>
      </w:r>
      <w:r>
        <w:rPr>
          <w:rFonts w:ascii="Palatino Linotype" w:eastAsia="Palatino Linotype" w:hAnsi="Palatino Linotype" w:cs="Palatino Linotype"/>
          <w:b/>
          <w:color w:val="000000"/>
          <w:sz w:val="22"/>
          <w:szCs w:val="22"/>
        </w:rPr>
        <w:t>cédula de identificación fiscal o constancia de registro.</w:t>
      </w:r>
    </w:p>
    <w:p w14:paraId="2C559061" w14:textId="77777777" w:rsidR="0007176C" w:rsidRDefault="0007176C">
      <w:pPr>
        <w:pBdr>
          <w:top w:val="nil"/>
          <w:left w:val="nil"/>
          <w:bottom w:val="nil"/>
          <w:right w:val="nil"/>
          <w:between w:val="nil"/>
        </w:pBdr>
        <w:spacing w:line="360" w:lineRule="auto"/>
        <w:ind w:right="-93"/>
        <w:jc w:val="both"/>
        <w:rPr>
          <w:rFonts w:ascii="Palatino Linotype" w:eastAsia="Palatino Linotype" w:hAnsi="Palatino Linotype" w:cs="Palatino Linotype"/>
          <w:color w:val="000000"/>
          <w:sz w:val="22"/>
          <w:szCs w:val="22"/>
        </w:rPr>
      </w:pPr>
    </w:p>
    <w:p w14:paraId="6990B612" w14:textId="77777777" w:rsidR="0007176C" w:rsidRDefault="0075532F">
      <w:pPr>
        <w:widowControl w:val="0"/>
        <w:numPr>
          <w:ilvl w:val="0"/>
          <w:numId w:val="1"/>
        </w:numPr>
        <w:pBdr>
          <w:top w:val="nil"/>
          <w:left w:val="nil"/>
          <w:bottom w:val="nil"/>
          <w:right w:val="nil"/>
          <w:between w:val="nil"/>
        </w:pBdr>
        <w:spacing w:line="360" w:lineRule="auto"/>
        <w:ind w:left="0" w:right="-91"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ende, la información correspondiente al Registro Federal de Contribuyentes de una persona moral da cuenta del cumplimiento o no en sus obligaciones fiscales; por tanto, no se actualiza su clasificación como confidencial.</w:t>
      </w:r>
    </w:p>
    <w:p w14:paraId="6FA5D2C3" w14:textId="77777777" w:rsidR="0007176C" w:rsidRDefault="0007176C">
      <w:pPr>
        <w:pBdr>
          <w:top w:val="nil"/>
          <w:left w:val="nil"/>
          <w:bottom w:val="nil"/>
          <w:right w:val="nil"/>
          <w:between w:val="nil"/>
        </w:pBdr>
        <w:spacing w:line="360" w:lineRule="auto"/>
        <w:rPr>
          <w:rFonts w:ascii="Palatino Linotype" w:eastAsia="Palatino Linotype" w:hAnsi="Palatino Linotype" w:cs="Palatino Linotype"/>
          <w:b/>
          <w:color w:val="000000"/>
          <w:sz w:val="22"/>
          <w:szCs w:val="22"/>
        </w:rPr>
      </w:pPr>
    </w:p>
    <w:p w14:paraId="47937734" w14:textId="77777777" w:rsidR="0007176C" w:rsidRDefault="0075532F">
      <w:pPr>
        <w:numPr>
          <w:ilvl w:val="0"/>
          <w:numId w:val="1"/>
        </w:numPr>
        <w:pBdr>
          <w:top w:val="nil"/>
          <w:left w:val="nil"/>
          <w:bottom w:val="nil"/>
          <w:right w:val="nil"/>
          <w:between w:val="nil"/>
        </w:pBdr>
        <w:spacing w:line="360" w:lineRule="auto"/>
        <w:ind w:left="0" w:right="-93"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Además, resulta aplicable el Criterio de interpretación, con clave de control SO/008/2019, de la Segunda Época, emitido por el Instituto Nacional de Transparencia, Acceso a la Información y Protección de Datos Personales, que precisa que el Registro Federal de Contribuyentes de personas morales, es público, al no referir a hechos o actos de carácter económico, contable, jurídico o administrativo que sean útiles o representen una ventaja a sus competidores.</w:t>
      </w:r>
    </w:p>
    <w:p w14:paraId="7F50E32C" w14:textId="77777777" w:rsidR="0007176C" w:rsidRDefault="0007176C">
      <w:pPr>
        <w:pBdr>
          <w:top w:val="nil"/>
          <w:left w:val="nil"/>
          <w:bottom w:val="nil"/>
          <w:right w:val="nil"/>
          <w:between w:val="nil"/>
        </w:pBdr>
        <w:spacing w:line="360" w:lineRule="auto"/>
        <w:ind w:right="-93"/>
        <w:jc w:val="both"/>
        <w:rPr>
          <w:rFonts w:ascii="Palatino Linotype" w:eastAsia="Palatino Linotype" w:hAnsi="Palatino Linotype" w:cs="Palatino Linotype"/>
          <w:color w:val="000000"/>
          <w:sz w:val="22"/>
          <w:szCs w:val="22"/>
        </w:rPr>
      </w:pPr>
    </w:p>
    <w:p w14:paraId="5D2814A8" w14:textId="77777777" w:rsidR="0007176C" w:rsidRDefault="0075532F">
      <w:pPr>
        <w:numPr>
          <w:ilvl w:val="0"/>
          <w:numId w:val="1"/>
        </w:numPr>
        <w:pBdr>
          <w:top w:val="nil"/>
          <w:left w:val="nil"/>
          <w:bottom w:val="nil"/>
          <w:right w:val="nil"/>
          <w:between w:val="nil"/>
        </w:pBdr>
        <w:spacing w:line="360" w:lineRule="auto"/>
        <w:ind w:left="0" w:right="-93"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tales circunstancias, el Registro Federal de Contribuyentes de personas morales, no actualizan la causal de clasificación, prevista en el artículo 143, fracción I de la Ley de Transparencia y Acceso a la Información Pública del Estado de México y Municipios, al ser de naturaleza pública.</w:t>
      </w:r>
    </w:p>
    <w:p w14:paraId="65AD4CAB" w14:textId="77777777" w:rsidR="0007176C" w:rsidRDefault="0007176C">
      <w:pPr>
        <w:pBdr>
          <w:top w:val="nil"/>
          <w:left w:val="nil"/>
          <w:bottom w:val="nil"/>
          <w:right w:val="nil"/>
          <w:between w:val="nil"/>
        </w:pBdr>
        <w:spacing w:line="360" w:lineRule="auto"/>
        <w:ind w:right="-93"/>
        <w:jc w:val="both"/>
        <w:rPr>
          <w:rFonts w:ascii="Palatino Linotype" w:eastAsia="Palatino Linotype" w:hAnsi="Palatino Linotype" w:cs="Palatino Linotype"/>
          <w:color w:val="000000"/>
          <w:sz w:val="22"/>
          <w:szCs w:val="22"/>
        </w:rPr>
      </w:pPr>
    </w:p>
    <w:p w14:paraId="44631B94" w14:textId="77777777" w:rsidR="0007176C" w:rsidRDefault="0075532F">
      <w:pPr>
        <w:numPr>
          <w:ilvl w:val="0"/>
          <w:numId w:val="1"/>
        </w:numPr>
        <w:pBdr>
          <w:top w:val="nil"/>
          <w:left w:val="nil"/>
          <w:bottom w:val="nil"/>
          <w:right w:val="nil"/>
          <w:between w:val="nil"/>
        </w:pBdr>
        <w:spacing w:line="360" w:lineRule="auto"/>
        <w:ind w:left="0" w:right="-93"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Respecto de la clave catastral en las licencias de funcionamiento, es un criterio mayoritario de este Pleno que ese elemento debe ser testado tomando en cuenta que el artículo 179 fracción I del Código Financiero del Estado de México y Municipios refiere que la clave catastral es un código alfanumérico único e irrepetible, que se asigna para efectos de </w:t>
      </w:r>
      <w:r>
        <w:rPr>
          <w:rFonts w:ascii="Palatino Linotype" w:eastAsia="Palatino Linotype" w:hAnsi="Palatino Linotype" w:cs="Palatino Linotype"/>
          <w:color w:val="000000"/>
          <w:sz w:val="22"/>
          <w:szCs w:val="22"/>
        </w:rPr>
        <w:lastRenderedPageBreak/>
        <w:t>localización geográfica, identificación, inscripción, control y registro de los inmuebles; el cual está integrado de dieciséis caracteres: los primeros tres identifican el código del municipio, los dos siguientes a la zona catastral, los subsecuentes tres a la manzana y las últimas dos posiciones identifican el número de lote o predio; en ese sentido, se advierte que el dato en comento, hace referencia a un predio determinado, en el presente caso, a un baldío destinado a casa habitación.</w:t>
      </w:r>
    </w:p>
    <w:p w14:paraId="2925E657" w14:textId="77777777" w:rsidR="0007176C" w:rsidRDefault="0007176C">
      <w:pPr>
        <w:pBdr>
          <w:top w:val="nil"/>
          <w:left w:val="nil"/>
          <w:bottom w:val="nil"/>
          <w:right w:val="nil"/>
          <w:between w:val="nil"/>
        </w:pBdr>
        <w:spacing w:line="360" w:lineRule="auto"/>
        <w:ind w:right="-93"/>
        <w:jc w:val="both"/>
        <w:rPr>
          <w:rFonts w:ascii="Palatino Linotype" w:eastAsia="Palatino Linotype" w:hAnsi="Palatino Linotype" w:cs="Palatino Linotype"/>
          <w:color w:val="000000"/>
          <w:sz w:val="22"/>
          <w:szCs w:val="22"/>
        </w:rPr>
      </w:pPr>
    </w:p>
    <w:p w14:paraId="2E026ED3" w14:textId="77777777" w:rsidR="0007176C" w:rsidRDefault="0075532F">
      <w:pPr>
        <w:numPr>
          <w:ilvl w:val="0"/>
          <w:numId w:val="1"/>
        </w:numPr>
        <w:pBdr>
          <w:top w:val="nil"/>
          <w:left w:val="nil"/>
          <w:bottom w:val="nil"/>
          <w:right w:val="nil"/>
          <w:between w:val="nil"/>
        </w:pBdr>
        <w:spacing w:line="360" w:lineRule="auto"/>
        <w:ind w:left="0" w:right="-93"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“Diccionario de Datos catastrales Escala 1:1000” del Instituto Nacional de Estadística y Geografía (INEGI), contempla en su Glosario la definición de la Clave Catastral, la cual, apunta lo siguiente:</w:t>
      </w:r>
    </w:p>
    <w:p w14:paraId="2E62589D" w14:textId="77777777" w:rsidR="0007176C" w:rsidRDefault="0007176C">
      <w:pPr>
        <w:rPr>
          <w:rFonts w:ascii="Palatino Linotype" w:eastAsia="Palatino Linotype" w:hAnsi="Palatino Linotype" w:cs="Palatino Linotype"/>
          <w:sz w:val="22"/>
          <w:szCs w:val="22"/>
        </w:rPr>
      </w:pPr>
    </w:p>
    <w:p w14:paraId="0DEE4F36" w14:textId="77777777" w:rsidR="0007176C" w:rsidRDefault="0075532F">
      <w:pPr>
        <w:pBdr>
          <w:top w:val="nil"/>
          <w:left w:val="nil"/>
          <w:bottom w:val="nil"/>
          <w:right w:val="nil"/>
          <w:between w:val="nil"/>
        </w:pBdr>
        <w:spacing w:line="276"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Clave Catastral</w:t>
      </w:r>
      <w:r>
        <w:rPr>
          <w:rFonts w:ascii="Palatino Linotype" w:eastAsia="Palatino Linotype" w:hAnsi="Palatino Linotype" w:cs="Palatino Linotype"/>
          <w:i/>
          <w:color w:val="000000"/>
          <w:sz w:val="22"/>
          <w:szCs w:val="22"/>
        </w:rPr>
        <w:t>: El código que identifica al predio de forma única para su localización geográfica, mismo que es asignado a cada uno de ellos en el momento de su inscripción en el padrón catastral por las Unidades del Estado con atribuciones catastrales.</w:t>
      </w:r>
    </w:p>
    <w:p w14:paraId="0A618BBC" w14:textId="77777777" w:rsidR="0007176C" w:rsidRDefault="0007176C">
      <w:pPr>
        <w:rPr>
          <w:rFonts w:ascii="Palatino Linotype" w:eastAsia="Palatino Linotype" w:hAnsi="Palatino Linotype" w:cs="Palatino Linotype"/>
          <w:sz w:val="22"/>
          <w:szCs w:val="22"/>
        </w:rPr>
      </w:pPr>
    </w:p>
    <w:p w14:paraId="5B3A58DA" w14:textId="77777777" w:rsidR="0007176C" w:rsidRDefault="007553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Asimismo, dicho diccionario hace referencia a dos tipos de Claves Catastrales, siendo éstas la Estándar y la Original, que se definen como se observa a continuación: </w:t>
      </w:r>
    </w:p>
    <w:p w14:paraId="686F8DD1" w14:textId="77777777" w:rsidR="0007176C" w:rsidRDefault="0007176C">
      <w:pPr>
        <w:rPr>
          <w:rFonts w:ascii="Palatino Linotype" w:eastAsia="Palatino Linotype" w:hAnsi="Palatino Linotype" w:cs="Palatino Linotype"/>
          <w:sz w:val="22"/>
          <w:szCs w:val="22"/>
        </w:rPr>
      </w:pPr>
    </w:p>
    <w:p w14:paraId="1AA076FA" w14:textId="77777777" w:rsidR="0007176C" w:rsidRDefault="0075532F">
      <w:pPr>
        <w:pBdr>
          <w:top w:val="nil"/>
          <w:left w:val="nil"/>
          <w:bottom w:val="nil"/>
          <w:right w:val="nil"/>
          <w:between w:val="nil"/>
        </w:pBdr>
        <w:spacing w:line="276"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CLAVE CATASTRAL ESTÁNDAR</w:t>
      </w:r>
      <w:r>
        <w:rPr>
          <w:rFonts w:ascii="Palatino Linotype" w:eastAsia="Palatino Linotype" w:hAnsi="Palatino Linotype" w:cs="Palatino Linotype"/>
          <w:i/>
          <w:color w:val="000000"/>
          <w:sz w:val="22"/>
          <w:szCs w:val="22"/>
        </w:rPr>
        <w:t>: Código de 31 caracteres conformado por elementos administrativos y que identifica al objeto espacial en forma única para su localización, compuesto por: Estado (2) + Región Catastral (3) + Municipio (3) + Zona Catastral (2) + Localidad (4) + Sector Catastral (3) + Manzana (3) + Predio (5) + Condominio: edificio (2) y unidad (4).</w:t>
      </w:r>
    </w:p>
    <w:p w14:paraId="19010574" w14:textId="77777777" w:rsidR="0007176C" w:rsidRDefault="0007176C">
      <w:pPr>
        <w:pBdr>
          <w:top w:val="nil"/>
          <w:left w:val="nil"/>
          <w:bottom w:val="nil"/>
          <w:right w:val="nil"/>
          <w:between w:val="nil"/>
        </w:pBdr>
        <w:spacing w:line="276" w:lineRule="auto"/>
        <w:ind w:left="851" w:right="822"/>
        <w:jc w:val="both"/>
        <w:rPr>
          <w:rFonts w:ascii="Palatino Linotype" w:eastAsia="Palatino Linotype" w:hAnsi="Palatino Linotype" w:cs="Palatino Linotype"/>
          <w:i/>
          <w:color w:val="000000"/>
          <w:sz w:val="22"/>
          <w:szCs w:val="22"/>
        </w:rPr>
      </w:pPr>
    </w:p>
    <w:p w14:paraId="573AE232" w14:textId="77777777" w:rsidR="0007176C" w:rsidRDefault="0075532F">
      <w:pPr>
        <w:pBdr>
          <w:top w:val="nil"/>
          <w:left w:val="nil"/>
          <w:bottom w:val="nil"/>
          <w:right w:val="nil"/>
          <w:between w:val="nil"/>
        </w:pBdr>
        <w:spacing w:line="276"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CLAVE CATASTRAL ORIGINAL</w:t>
      </w:r>
      <w:r>
        <w:rPr>
          <w:rFonts w:ascii="Palatino Linotype" w:eastAsia="Palatino Linotype" w:hAnsi="Palatino Linotype" w:cs="Palatino Linotype"/>
          <w:i/>
          <w:color w:val="000000"/>
          <w:sz w:val="22"/>
          <w:szCs w:val="22"/>
        </w:rPr>
        <w:t>: Código que identifica al objeto espacial, el cual es asignado por el Catastro Estatal, Municipal o por el Registro Agrario Nacional.</w:t>
      </w:r>
    </w:p>
    <w:p w14:paraId="090474B4" w14:textId="77777777" w:rsidR="0007176C" w:rsidRDefault="0007176C">
      <w:pPr>
        <w:rPr>
          <w:rFonts w:ascii="Palatino Linotype" w:eastAsia="Palatino Linotype" w:hAnsi="Palatino Linotype" w:cs="Palatino Linotype"/>
          <w:sz w:val="22"/>
          <w:szCs w:val="22"/>
        </w:rPr>
      </w:pPr>
    </w:p>
    <w:p w14:paraId="0AFDDD62" w14:textId="77777777" w:rsidR="0007176C" w:rsidRDefault="007553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ese orden de ideas, la Ley de Transparencia y Acceso a la Información Pública del Estado de México y Municipios, en el ya citada fracción IX del artículo 3, establece que se debe </w:t>
      </w:r>
      <w:r>
        <w:rPr>
          <w:rFonts w:ascii="Palatino Linotype" w:eastAsia="Palatino Linotype" w:hAnsi="Palatino Linotype" w:cs="Palatino Linotype"/>
          <w:color w:val="000000"/>
          <w:sz w:val="22"/>
          <w:szCs w:val="22"/>
        </w:rPr>
        <w:lastRenderedPageBreak/>
        <w:t>entender como datos personales a la información concerniente a una persona, identificada o identificable según lo dispuesto por la también referida Ley de Protección de Datos Personales del Estado de México. Tiene apoyo a lo expresado, lo contemplado en la siguiente tesis jurisprudencial.</w:t>
      </w:r>
    </w:p>
    <w:p w14:paraId="4822B0B9" w14:textId="77777777" w:rsidR="0007176C" w:rsidRDefault="0007176C">
      <w:pPr>
        <w:rPr>
          <w:rFonts w:ascii="Palatino Linotype" w:eastAsia="Palatino Linotype" w:hAnsi="Palatino Linotype" w:cs="Palatino Linotype"/>
          <w:sz w:val="22"/>
          <w:szCs w:val="22"/>
        </w:rPr>
      </w:pPr>
    </w:p>
    <w:p w14:paraId="75E284EB" w14:textId="77777777" w:rsidR="0007176C" w:rsidRDefault="0075532F">
      <w:pPr>
        <w:pBdr>
          <w:top w:val="nil"/>
          <w:left w:val="nil"/>
          <w:bottom w:val="nil"/>
          <w:right w:val="nil"/>
          <w:between w:val="nil"/>
        </w:pBdr>
        <w:spacing w:line="276" w:lineRule="auto"/>
        <w:ind w:left="851" w:right="82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DERECHO A LA VIDA PRIVADA. ALCANCE DE SU PROTECCIÓN POR EL ESTADO. </w:t>
      </w:r>
    </w:p>
    <w:p w14:paraId="0E1211CD" w14:textId="77777777" w:rsidR="0007176C" w:rsidRDefault="0075532F">
      <w:pPr>
        <w:pBdr>
          <w:top w:val="nil"/>
          <w:left w:val="nil"/>
          <w:bottom w:val="nil"/>
          <w:right w:val="nil"/>
          <w:between w:val="nil"/>
        </w:pBdr>
        <w:spacing w:line="276"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Al igual que otros derechos fundamentales, el derecho a la vida privada no es absoluto, sino que puede restringirse en la medida en que las injerencias en éste no sean abusivas o arbitrarias. Así, la Corte Interamericana de Derechos Humanos ha sostenido que el ámbito de la privacidad se caracteriza por quedar exento e inmune a las invasiones o agresiones abusivas o arbitrarias de terceros o de la autoridad pública, y prohíbe ese tipo de injerencias en la vida privada de las personas, enunciando diversos ámbitos de ésta, como la vida privada de sus familias. Ahora bien, el Estado debe adoptar medidas positivas para impedir que la intimidad personal y familiar se vulnere por personas ajenas, pero no puede impedir a quien decide difundir aspectos de su vida privada que lo haga, so pretexto de proteger a la familia, pues en ese caso, ya no se está frente a la difusión de la información por parte de un tercero, que es ajeno a ésta, sino que se estaría limitando el derecho de una persona de divulgar la información que le es propia. En resumen, lo que la Constitución Política de los Estados Unidos Mexicanos y las convenciones internacionales buscan impedir es que terceros difundan información de la vida privada ajena, sin consentimiento del titular; de ahí que si la injerencia en la vida privada de que se duele el tercero perjudicado, consiste en la difusión que hicieron otros miembros de su familia, sobre hechos que conciernen a la vida privada de ellas, y que involucran a éste, como causante de la afectación sufrida por ellas, entonces no puede considerarse que dicha difusión resulte arbitraria o abusiva, puesto que se realizó en ejercicio del legítimo derecho que les asiste de difundir información que les es propia, en la medida en que sea veraz, y que las expresiones utilizadas estén protegidas constitucionalmente, por no ser absolutamente vejatorias, esto es, ofensivas, oprobiosas o impertinentes, según el contexto.</w:t>
      </w:r>
    </w:p>
    <w:p w14:paraId="6641A4A3" w14:textId="77777777" w:rsidR="0007176C" w:rsidRDefault="0007176C">
      <w:pPr>
        <w:pBdr>
          <w:top w:val="nil"/>
          <w:left w:val="nil"/>
          <w:bottom w:val="nil"/>
          <w:right w:val="nil"/>
          <w:between w:val="nil"/>
        </w:pBdr>
        <w:spacing w:line="276" w:lineRule="auto"/>
        <w:ind w:left="851" w:right="822"/>
        <w:jc w:val="both"/>
        <w:rPr>
          <w:rFonts w:ascii="Palatino Linotype" w:eastAsia="Palatino Linotype" w:hAnsi="Palatino Linotype" w:cs="Palatino Linotype"/>
          <w:i/>
          <w:color w:val="000000"/>
          <w:sz w:val="22"/>
          <w:szCs w:val="22"/>
        </w:rPr>
      </w:pPr>
    </w:p>
    <w:p w14:paraId="7F55DFC5" w14:textId="77777777" w:rsidR="0007176C" w:rsidRDefault="0075532F">
      <w:pPr>
        <w:pBdr>
          <w:top w:val="nil"/>
          <w:left w:val="nil"/>
          <w:bottom w:val="nil"/>
          <w:right w:val="nil"/>
          <w:between w:val="nil"/>
        </w:pBdr>
        <w:spacing w:line="276" w:lineRule="auto"/>
        <w:ind w:left="851" w:right="82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INFORMACIÓN CONFIDENCIAL. LÍMITE AL DERECHO DE ACCESO A LA INFORMACIÓN (LEY FEDERAL DE TRANSPARENCIA Y ACCESO A LA INFORMACIÓN PÚBLICA GUBERNAMENTAL).</w:t>
      </w:r>
    </w:p>
    <w:p w14:paraId="1C76919D" w14:textId="77777777" w:rsidR="0007176C" w:rsidRDefault="0075532F">
      <w:pPr>
        <w:pBdr>
          <w:top w:val="nil"/>
          <w:left w:val="nil"/>
          <w:bottom w:val="nil"/>
          <w:right w:val="nil"/>
          <w:between w:val="nil"/>
        </w:pBdr>
        <w:spacing w:line="276"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Las fracciones I y II del segundo párrafo del artículo 6o. de la Constitución Política de los Estados Unidos Mexicanos, establecen que el derecho de acceso a la información puede limitarse en virtud del interés público y de la vida privada y los datos personales. Dichas fracciones sólo enuncian los fines constitucionalmente válidos o legítimos para establecer limitaciones al citado derecho, sin embargo, ambas remiten a la legislación secundaria para el desarrollo de los supuestos específicos en que procedan las excepciones que busquen proteger los bienes constitucionales enunciados como límites al derecho de acceso a la información. Así, en cumplimiento al mandato constitucional, la Ley Federal de Transparencia y Acceso a la Información Pública Gubernamental establece dos criterios bajo los cuales la información podrá clasificarse y, con ello, limitar el acceso de los particulares a la misma: el de información confidencial y el de información reservada. En lo que respecta al límite previsto en la Constitución, referente a la vida privada y los datos personales, el artículo 18 de la ley estableció como criterio de clasificación el de información confidencial, el cual restringe el acceso a la información que contenga datos personales que requieran el consentimiento de los individuos para su difusión, distribución o comercialización. Lo anterior también tiene un sustento constitucional en lo dispuesto en el segundo párrafo del artículo 16 constitucional, el cual reconoce que el derecho a la protección de datos personales —así como al acceso, rectificación y cancelación de los mismos— debe ser tutelado por regla general, salvo los casos excepcionales que se prevean en la legislación secundaria; así como en la fracción V, del apartado C, del artículo 20 constitucional, que protege la identidad y datos personales de las víctimas y ofendidos que sean parte en procedimientos penales. Así pues, existe un derecho de acceso a la información pública que rige como regla general, aunque limitado, en forma también genérica, por el derecho a la protección de datos personales. Por lo anterior, el acceso público —para todas las personas independientemente del interés que pudieren tener— a los datos personales distintos a los del propio solicitante de información sólo procede en ciertos supuestos, reconocidos expresamente por las leyes respectivas. Adicionalmente, la información confidencial puede dar lugar a la clasificación de un documento en su totalidad o de ciertas partes o pasajes del mismo, pues puede darse </w:t>
      </w:r>
      <w:r>
        <w:rPr>
          <w:rFonts w:ascii="Palatino Linotype" w:eastAsia="Palatino Linotype" w:hAnsi="Palatino Linotype" w:cs="Palatino Linotype"/>
          <w:i/>
          <w:color w:val="000000"/>
          <w:sz w:val="22"/>
          <w:szCs w:val="22"/>
        </w:rPr>
        <w:lastRenderedPageBreak/>
        <w:t>el caso de un documento público que sólo en una sección contenga datos confidenciales. Por último, y conforme a lo dispuesto en el artículo 21 de la ley, la restricción de acceso a la información confidencial no es absoluta, pues puede permitirse su difusión, distribución o comercialización si se obtiene el consentimiento expreso de la persona a que haga referencia la información.</w:t>
      </w:r>
    </w:p>
    <w:p w14:paraId="0BBCF00E" w14:textId="77777777" w:rsidR="0007176C" w:rsidRDefault="0007176C">
      <w:pPr>
        <w:rPr>
          <w:rFonts w:ascii="Palatino Linotype" w:eastAsia="Palatino Linotype" w:hAnsi="Palatino Linotype" w:cs="Palatino Linotype"/>
          <w:sz w:val="22"/>
          <w:szCs w:val="22"/>
        </w:rPr>
      </w:pPr>
    </w:p>
    <w:p w14:paraId="6A520F84" w14:textId="77777777" w:rsidR="0007176C" w:rsidRDefault="007553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los conceptos antepuestos, se llega a la conclusión que la clave catastral es una serie de elementos que hacen identificable un inmueble para su localización geográfica y posterior inscripción al padrón catastral de cada Entidad Federativa, existiendo la posibilidad, incluso, de revelar información inherente al patrimonio del propietario de dicho predio o inmueble, lo que no otorga ni certeza jurídica ni abona a la transparencia, ya que no se trata de actos de autoridad que ayuden a hacer público el quehacer de los servidores, por lo cual se considera que no es procedente la entrega de dicho dato.</w:t>
      </w:r>
    </w:p>
    <w:p w14:paraId="692A3143" w14:textId="77777777" w:rsidR="0007176C" w:rsidRDefault="0007176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12B0D047" w14:textId="77777777" w:rsidR="0007176C" w:rsidRDefault="007553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Asimismo, si entre los documentos que contenga el expediente se encontraran algunos que por su naturaleza deban ser clasificados en su totalidad, de manera enunciativa más no limitativa, credencial de elector, pasaporte, entre otros, el Sujeto Obligado deberá elaborar y poner a disposición del particular el acuerdo correspondiente emitido por el Comité de Transparencia.</w:t>
      </w:r>
    </w:p>
    <w:p w14:paraId="2432EDB7" w14:textId="77777777" w:rsidR="0007176C" w:rsidRDefault="0007176C">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50D6489E" w14:textId="77777777" w:rsidR="0007176C" w:rsidRDefault="0007176C">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sz w:val="22"/>
          <w:szCs w:val="22"/>
        </w:rPr>
      </w:pPr>
    </w:p>
    <w:p w14:paraId="47ACA5A6" w14:textId="77777777" w:rsidR="0007176C" w:rsidRPr="00E52309" w:rsidRDefault="0075532F" w:rsidP="00E5230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lo anteriormente expuesto y fundado, este </w:t>
      </w:r>
      <w:r>
        <w:rPr>
          <w:rFonts w:ascii="Palatino Linotype" w:eastAsia="Palatino Linotype" w:hAnsi="Palatino Linotype" w:cs="Palatino Linotype"/>
          <w:b/>
          <w:color w:val="000000"/>
          <w:sz w:val="22"/>
          <w:szCs w:val="22"/>
        </w:rPr>
        <w:t>ÓRGANO GARANTE</w:t>
      </w:r>
      <w:r>
        <w:rPr>
          <w:rFonts w:ascii="Palatino Linotype" w:eastAsia="Palatino Linotype" w:hAnsi="Palatino Linotype" w:cs="Palatino Linotype"/>
          <w:color w:val="000000"/>
          <w:sz w:val="22"/>
          <w:szCs w:val="22"/>
        </w:rPr>
        <w:t xml:space="preserve"> emite los siguientes:</w:t>
      </w:r>
    </w:p>
    <w:p w14:paraId="455B9963" w14:textId="77777777" w:rsidR="0007176C" w:rsidRDefault="0075532F">
      <w:pPr>
        <w:keepNext/>
        <w:keepLines/>
        <w:spacing w:line="360" w:lineRule="auto"/>
        <w:jc w:val="center"/>
        <w:rPr>
          <w:rFonts w:ascii="Palatino Linotype" w:eastAsia="Palatino Linotype" w:hAnsi="Palatino Linotype" w:cs="Palatino Linotype"/>
          <w:b/>
          <w:color w:val="000000"/>
          <w:sz w:val="22"/>
          <w:szCs w:val="22"/>
        </w:rPr>
      </w:pPr>
      <w:bookmarkStart w:id="9" w:name="_heading=h.17dp8vu" w:colFirst="0" w:colLast="0"/>
      <w:bookmarkEnd w:id="9"/>
      <w:r>
        <w:rPr>
          <w:rFonts w:ascii="Palatino Linotype" w:eastAsia="Palatino Linotype" w:hAnsi="Palatino Linotype" w:cs="Palatino Linotype"/>
          <w:b/>
          <w:color w:val="000000"/>
          <w:sz w:val="22"/>
          <w:szCs w:val="22"/>
        </w:rPr>
        <w:t>R E S O L U T I V O S</w:t>
      </w:r>
    </w:p>
    <w:p w14:paraId="66183AC3" w14:textId="77777777" w:rsidR="0007176C" w:rsidRDefault="0007176C">
      <w:pPr>
        <w:keepNext/>
        <w:keepLines/>
        <w:spacing w:line="360" w:lineRule="auto"/>
        <w:jc w:val="center"/>
        <w:rPr>
          <w:rFonts w:ascii="Palatino Linotype" w:eastAsia="Palatino Linotype" w:hAnsi="Palatino Linotype" w:cs="Palatino Linotype"/>
          <w:b/>
          <w:color w:val="000000"/>
          <w:sz w:val="22"/>
          <w:szCs w:val="22"/>
        </w:rPr>
      </w:pPr>
    </w:p>
    <w:p w14:paraId="4A9335D6" w14:textId="77777777" w:rsidR="0007176C" w:rsidRDefault="0075532F">
      <w:pPr>
        <w:spacing w:line="360" w:lineRule="auto"/>
        <w:ind w:right="48"/>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sz w:val="22"/>
          <w:szCs w:val="22"/>
        </w:rPr>
        <w:t>Resultan fundadas las</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razones o motivos de inconformidad hechos valer en el recurso de revisión </w:t>
      </w:r>
      <w:r>
        <w:rPr>
          <w:rFonts w:ascii="Palatino Linotype" w:eastAsia="Palatino Linotype" w:hAnsi="Palatino Linotype" w:cs="Palatino Linotype"/>
          <w:b/>
          <w:sz w:val="22"/>
          <w:szCs w:val="22"/>
        </w:rPr>
        <w:t xml:space="preserve">03258/INFOEM/IP/RR/2024, </w:t>
      </w:r>
      <w:r>
        <w:rPr>
          <w:rFonts w:ascii="Palatino Linotype" w:eastAsia="Palatino Linotype" w:hAnsi="Palatino Linotype" w:cs="Palatino Linotype"/>
          <w:sz w:val="22"/>
          <w:szCs w:val="22"/>
        </w:rPr>
        <w:t xml:space="preserve">en términos del </w:t>
      </w:r>
      <w:r>
        <w:rPr>
          <w:rFonts w:ascii="Palatino Linotype" w:eastAsia="Palatino Linotype" w:hAnsi="Palatino Linotype" w:cs="Palatino Linotype"/>
          <w:b/>
          <w:sz w:val="22"/>
          <w:szCs w:val="22"/>
        </w:rPr>
        <w:t>Considerando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CUARTO y QUINTO de</w:t>
      </w:r>
      <w:r>
        <w:rPr>
          <w:rFonts w:ascii="Palatino Linotype" w:eastAsia="Palatino Linotype" w:hAnsi="Palatino Linotype" w:cs="Palatino Linotype"/>
          <w:sz w:val="22"/>
          <w:szCs w:val="22"/>
        </w:rPr>
        <w:t xml:space="preserve"> la presente resolución.</w:t>
      </w:r>
    </w:p>
    <w:p w14:paraId="0C853B45" w14:textId="77777777" w:rsidR="0007176C" w:rsidRDefault="0007176C">
      <w:pPr>
        <w:spacing w:line="360" w:lineRule="auto"/>
        <w:ind w:right="48"/>
        <w:jc w:val="both"/>
        <w:rPr>
          <w:rFonts w:ascii="Palatino Linotype" w:eastAsia="Palatino Linotype" w:hAnsi="Palatino Linotype" w:cs="Palatino Linotype"/>
          <w:sz w:val="22"/>
          <w:szCs w:val="22"/>
        </w:rPr>
      </w:pPr>
    </w:p>
    <w:p w14:paraId="6E3F8873" w14:textId="77777777" w:rsidR="0007176C" w:rsidRDefault="0075532F">
      <w:pPr>
        <w:spacing w:line="360" w:lineRule="auto"/>
        <w:ind w:right="48"/>
        <w:jc w:val="both"/>
        <w:rPr>
          <w:rFonts w:ascii="Palatino Linotype" w:eastAsia="Palatino Linotype" w:hAnsi="Palatino Linotype" w:cs="Palatino Linotype"/>
          <w:sz w:val="22"/>
          <w:szCs w:val="22"/>
        </w:rPr>
      </w:pPr>
      <w:bookmarkStart w:id="10" w:name="_heading=h.3rdcrjn" w:colFirst="0" w:colLast="0"/>
      <w:bookmarkEnd w:id="10"/>
      <w:r>
        <w:rPr>
          <w:rFonts w:ascii="Palatino Linotype" w:eastAsia="Palatino Linotype" w:hAnsi="Palatino Linotype" w:cs="Palatino Linotype"/>
          <w:b/>
          <w:sz w:val="22"/>
          <w:szCs w:val="22"/>
        </w:rPr>
        <w:t>SEGUNDO.</w:t>
      </w:r>
      <w:r>
        <w:rPr>
          <w:rFonts w:ascii="Palatino Linotype" w:eastAsia="Palatino Linotype" w:hAnsi="Palatino Linotype" w:cs="Palatino Linotype"/>
          <w:color w:val="2F5496"/>
          <w:sz w:val="22"/>
          <w:szCs w:val="22"/>
        </w:rPr>
        <w:t xml:space="preserve"> </w:t>
      </w:r>
      <w:r>
        <w:rPr>
          <w:rFonts w:ascii="Palatino Linotype" w:eastAsia="Palatino Linotype" w:hAnsi="Palatino Linotype" w:cs="Palatino Linotype"/>
          <w:sz w:val="22"/>
          <w:szCs w:val="22"/>
        </w:rPr>
        <w:t>Se</w:t>
      </w:r>
      <w:r>
        <w:rPr>
          <w:rFonts w:ascii="Palatino Linotype" w:eastAsia="Palatino Linotype" w:hAnsi="Palatino Linotype" w:cs="Palatino Linotype"/>
          <w:b/>
          <w:sz w:val="22"/>
          <w:szCs w:val="22"/>
        </w:rPr>
        <w:t xml:space="preserve"> MODIFICA </w:t>
      </w:r>
      <w:r>
        <w:rPr>
          <w:rFonts w:ascii="Palatino Linotype" w:eastAsia="Palatino Linotype" w:hAnsi="Palatino Linotype" w:cs="Palatino Linotype"/>
          <w:sz w:val="22"/>
          <w:szCs w:val="22"/>
        </w:rPr>
        <w:t xml:space="preserve">la respuesta emitida por el </w:t>
      </w:r>
      <w:r>
        <w:rPr>
          <w:rFonts w:ascii="Palatino Linotype" w:eastAsia="Palatino Linotype" w:hAnsi="Palatino Linotype" w:cs="Palatino Linotype"/>
          <w:b/>
          <w:sz w:val="22"/>
          <w:szCs w:val="22"/>
        </w:rPr>
        <w:t xml:space="preserve">Ayuntamiento de Metepec </w:t>
      </w:r>
      <w:r>
        <w:rPr>
          <w:rFonts w:ascii="Palatino Linotype" w:eastAsia="Palatino Linotype" w:hAnsi="Palatino Linotype" w:cs="Palatino Linotype"/>
          <w:sz w:val="22"/>
          <w:szCs w:val="22"/>
        </w:rPr>
        <w:t>y se</w:t>
      </w:r>
      <w:r>
        <w:rPr>
          <w:rFonts w:ascii="Palatino Linotype" w:eastAsia="Palatino Linotype" w:hAnsi="Palatino Linotype" w:cs="Palatino Linotype"/>
          <w:b/>
          <w:sz w:val="22"/>
          <w:szCs w:val="22"/>
        </w:rPr>
        <w:t xml:space="preserve"> ORDENA </w:t>
      </w:r>
      <w:r>
        <w:rPr>
          <w:rFonts w:ascii="Palatino Linotype" w:eastAsia="Palatino Linotype" w:hAnsi="Palatino Linotype" w:cs="Palatino Linotype"/>
          <w:sz w:val="22"/>
          <w:szCs w:val="22"/>
        </w:rPr>
        <w:t>entregar vía Sistema de Accesos a la Información Mexiquense (SAIMEX), en versión pública, la siguiente información:</w:t>
      </w:r>
    </w:p>
    <w:p w14:paraId="1662A16F" w14:textId="77777777" w:rsidR="0007176C" w:rsidRDefault="0007176C">
      <w:pPr>
        <w:spacing w:line="360" w:lineRule="auto"/>
        <w:ind w:right="48"/>
        <w:jc w:val="both"/>
        <w:rPr>
          <w:rFonts w:ascii="Palatino Linotype" w:eastAsia="Palatino Linotype" w:hAnsi="Palatino Linotype" w:cs="Palatino Linotype"/>
          <w:sz w:val="22"/>
          <w:szCs w:val="22"/>
        </w:rPr>
      </w:pPr>
    </w:p>
    <w:p w14:paraId="60D7EA53" w14:textId="77777777" w:rsidR="0007176C" w:rsidRPr="00E52309" w:rsidRDefault="0075532F">
      <w:pPr>
        <w:numPr>
          <w:ilvl w:val="0"/>
          <w:numId w:val="4"/>
        </w:numPr>
        <w:pBdr>
          <w:top w:val="nil"/>
          <w:left w:val="nil"/>
          <w:bottom w:val="nil"/>
          <w:right w:val="nil"/>
          <w:between w:val="nil"/>
        </w:pBdr>
        <w:spacing w:line="360" w:lineRule="auto"/>
        <w:ind w:right="822"/>
        <w:jc w:val="both"/>
        <w:rPr>
          <w:rFonts w:ascii="Palatino Linotype" w:eastAsia="Palatino Linotype" w:hAnsi="Palatino Linotype" w:cs="Palatino Linotype"/>
          <w:b/>
          <w:color w:val="000000"/>
          <w:sz w:val="22"/>
          <w:szCs w:val="22"/>
        </w:rPr>
      </w:pPr>
      <w:r w:rsidRPr="00E52309">
        <w:rPr>
          <w:rFonts w:ascii="Palatino Linotype" w:eastAsia="Palatino Linotype" w:hAnsi="Palatino Linotype" w:cs="Palatino Linotype"/>
          <w:b/>
          <w:color w:val="000000"/>
          <w:sz w:val="22"/>
          <w:szCs w:val="22"/>
        </w:rPr>
        <w:t xml:space="preserve">De la Unidad Económica referida en la solicitud de información, </w:t>
      </w:r>
      <w:r w:rsidR="00481DF5" w:rsidRPr="00E52309">
        <w:rPr>
          <w:rFonts w:ascii="Palatino Linotype" w:eastAsia="Palatino Linotype" w:hAnsi="Palatino Linotype" w:cs="Palatino Linotype"/>
          <w:b/>
          <w:color w:val="000000"/>
          <w:sz w:val="22"/>
          <w:szCs w:val="22"/>
        </w:rPr>
        <w:t xml:space="preserve">soporte documental donde conste, </w:t>
      </w:r>
      <w:r w:rsidRPr="00E52309">
        <w:rPr>
          <w:rFonts w:ascii="Palatino Linotype" w:eastAsia="Palatino Linotype" w:hAnsi="Palatino Linotype" w:cs="Palatino Linotype"/>
          <w:b/>
          <w:color w:val="000000"/>
          <w:sz w:val="22"/>
          <w:szCs w:val="22"/>
        </w:rPr>
        <w:t>Licencia de funcionamie</w:t>
      </w:r>
      <w:r w:rsidR="00481DF5" w:rsidRPr="00E52309">
        <w:rPr>
          <w:rFonts w:ascii="Palatino Linotype" w:eastAsia="Palatino Linotype" w:hAnsi="Palatino Linotype" w:cs="Palatino Linotype"/>
          <w:b/>
          <w:color w:val="000000"/>
          <w:sz w:val="22"/>
          <w:szCs w:val="22"/>
        </w:rPr>
        <w:t xml:space="preserve">nto, permiso, giro y domicilio, a la fecha de la solicitud. </w:t>
      </w:r>
    </w:p>
    <w:p w14:paraId="56456B89" w14:textId="77777777" w:rsidR="0007176C" w:rsidRDefault="0007176C">
      <w:pPr>
        <w:spacing w:line="360" w:lineRule="auto"/>
        <w:ind w:right="567"/>
        <w:jc w:val="both"/>
        <w:rPr>
          <w:rFonts w:ascii="Palatino Linotype" w:eastAsia="Palatino Linotype" w:hAnsi="Palatino Linotype" w:cs="Palatino Linotype"/>
          <w:b/>
          <w:color w:val="000000"/>
          <w:sz w:val="22"/>
          <w:szCs w:val="22"/>
        </w:rPr>
      </w:pPr>
      <w:bookmarkStart w:id="11" w:name="_heading=h.gjdgxs" w:colFirst="0" w:colLast="0"/>
      <w:bookmarkEnd w:id="11"/>
    </w:p>
    <w:p w14:paraId="403B4A80" w14:textId="77777777" w:rsidR="0007176C" w:rsidRDefault="0075532F">
      <w:pPr>
        <w:tabs>
          <w:tab w:val="left" w:pos="8080"/>
        </w:tabs>
        <w:spacing w:line="360" w:lineRule="auto"/>
        <w:ind w:right="48"/>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Pr>
          <w:rFonts w:ascii="Palatino Linotype" w:eastAsia="Palatino Linotype" w:hAnsi="Palatino Linotype" w:cs="Palatino Linotype"/>
          <w:b/>
          <w:sz w:val="22"/>
          <w:szCs w:val="22"/>
        </w:rPr>
        <w:t>EL RECURRENTE.</w:t>
      </w:r>
    </w:p>
    <w:p w14:paraId="3DA5E146" w14:textId="77777777" w:rsidR="0007176C" w:rsidRDefault="0007176C">
      <w:pPr>
        <w:tabs>
          <w:tab w:val="left" w:pos="8080"/>
        </w:tabs>
        <w:spacing w:line="360" w:lineRule="auto"/>
        <w:ind w:right="48"/>
        <w:jc w:val="both"/>
        <w:rPr>
          <w:rFonts w:ascii="Palatino Linotype" w:eastAsia="Palatino Linotype" w:hAnsi="Palatino Linotype" w:cs="Palatino Linotype"/>
          <w:b/>
          <w:sz w:val="22"/>
          <w:szCs w:val="22"/>
        </w:rPr>
      </w:pPr>
    </w:p>
    <w:p w14:paraId="1FC00CEE" w14:textId="77777777" w:rsidR="0007176C" w:rsidRDefault="0075532F">
      <w:pPr>
        <w:tabs>
          <w:tab w:val="left" w:pos="8080"/>
        </w:tabs>
        <w:spacing w:line="360" w:lineRule="auto"/>
        <w:ind w:right="48"/>
        <w:jc w:val="both"/>
        <w:rPr>
          <w:rFonts w:ascii="Palatino Linotype" w:eastAsia="Palatino Linotype" w:hAnsi="Palatino Linotype" w:cs="Palatino Linotype"/>
          <w:color w:val="222222"/>
          <w:sz w:val="22"/>
          <w:szCs w:val="22"/>
          <w:highlight w:val="white"/>
        </w:rPr>
      </w:pPr>
      <w:r>
        <w:rPr>
          <w:rFonts w:ascii="Palatino Linotype" w:eastAsia="Palatino Linotype" w:hAnsi="Palatino Linotype" w:cs="Palatino Linotype"/>
          <w:b/>
          <w:sz w:val="22"/>
          <w:szCs w:val="22"/>
        </w:rPr>
        <w:t xml:space="preserve">TERCERO. Notifíquese </w:t>
      </w:r>
      <w:r>
        <w:rPr>
          <w:rFonts w:ascii="Palatino Linotype" w:eastAsia="Palatino Linotype" w:hAnsi="Palatino Linotype" w:cs="Palatino Linotype"/>
          <w:sz w:val="22"/>
          <w:szCs w:val="22"/>
        </w:rPr>
        <w:t>vía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5BCB96A" w14:textId="77777777" w:rsidR="0007176C" w:rsidRDefault="0007176C">
      <w:pPr>
        <w:tabs>
          <w:tab w:val="left" w:pos="8080"/>
        </w:tabs>
        <w:spacing w:line="360" w:lineRule="auto"/>
        <w:ind w:right="48"/>
        <w:jc w:val="both"/>
        <w:rPr>
          <w:rFonts w:ascii="Palatino Linotype" w:eastAsia="Palatino Linotype" w:hAnsi="Palatino Linotype" w:cs="Palatino Linotype"/>
          <w:color w:val="222222"/>
          <w:sz w:val="22"/>
          <w:szCs w:val="22"/>
          <w:highlight w:val="white"/>
        </w:rPr>
      </w:pPr>
    </w:p>
    <w:p w14:paraId="5421DEC4" w14:textId="77777777" w:rsidR="0007176C" w:rsidRDefault="0075532F">
      <w:pPr>
        <w:shd w:val="clear" w:color="auto" w:fill="FFFFFF"/>
        <w:spacing w:line="360" w:lineRule="auto"/>
        <w:ind w:right="48"/>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CUARTO. Notifíquese al RECURRENTE</w:t>
      </w:r>
      <w:r>
        <w:rPr>
          <w:rFonts w:ascii="Palatino Linotype" w:eastAsia="Palatino Linotype" w:hAnsi="Palatino Linotype" w:cs="Palatino Linotype"/>
          <w:sz w:val="22"/>
          <w:szCs w:val="22"/>
        </w:rPr>
        <w:t xml:space="preserve"> la presente resolución vía SAIMEX.</w:t>
      </w:r>
    </w:p>
    <w:p w14:paraId="326BD514" w14:textId="77777777" w:rsidR="0007176C" w:rsidRDefault="0007176C">
      <w:pPr>
        <w:shd w:val="clear" w:color="auto" w:fill="FFFFFF"/>
        <w:spacing w:line="360" w:lineRule="auto"/>
        <w:ind w:right="48"/>
        <w:jc w:val="both"/>
        <w:rPr>
          <w:rFonts w:ascii="Palatino Linotype" w:eastAsia="Palatino Linotype" w:hAnsi="Palatino Linotype" w:cs="Palatino Linotype"/>
          <w:b/>
          <w:color w:val="FF0000"/>
          <w:sz w:val="22"/>
          <w:szCs w:val="22"/>
        </w:rPr>
      </w:pPr>
    </w:p>
    <w:p w14:paraId="6DDA2BDE" w14:textId="77777777" w:rsidR="0007176C" w:rsidRDefault="0075532F">
      <w:pPr>
        <w:spacing w:line="360" w:lineRule="auto"/>
        <w:ind w:right="48"/>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QUINTO.</w:t>
      </w:r>
      <w:r>
        <w:rPr>
          <w:rFonts w:ascii="Palatino Linotype" w:eastAsia="Palatino Linotype" w:hAnsi="Palatino Linotype" w:cs="Palatino Linotype"/>
          <w:sz w:val="22"/>
          <w:szCs w:val="22"/>
        </w:rPr>
        <w:t xml:space="preserve"> Se hace del conocimiento del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65D1C80D" w14:textId="77777777" w:rsidR="0007176C" w:rsidRDefault="0007176C">
      <w:pPr>
        <w:spacing w:line="360" w:lineRule="auto"/>
        <w:ind w:right="48"/>
        <w:jc w:val="both"/>
        <w:rPr>
          <w:rFonts w:ascii="Palatino Linotype" w:eastAsia="Palatino Linotype" w:hAnsi="Palatino Linotype" w:cs="Palatino Linotype"/>
          <w:color w:val="000000"/>
          <w:sz w:val="22"/>
          <w:szCs w:val="22"/>
          <w:highlight w:val="white"/>
        </w:rPr>
      </w:pPr>
    </w:p>
    <w:p w14:paraId="3BF483D9" w14:textId="77777777" w:rsidR="0007176C" w:rsidRDefault="0075532F">
      <w:pPr>
        <w:spacing w:line="360" w:lineRule="auto"/>
        <w:ind w:right="48"/>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00000"/>
          <w:sz w:val="22"/>
          <w:szCs w:val="22"/>
          <w:highlight w:val="white"/>
        </w:rPr>
        <w:t xml:space="preserve">SEXTO. </w:t>
      </w:r>
      <w:r>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E72EF9A" w14:textId="77777777" w:rsidR="0007176C" w:rsidRDefault="0007176C">
      <w:pPr>
        <w:shd w:val="clear" w:color="auto" w:fill="FFFFFF"/>
        <w:spacing w:line="360" w:lineRule="auto"/>
        <w:jc w:val="both"/>
        <w:rPr>
          <w:rFonts w:ascii="Palatino Linotype" w:eastAsia="Palatino Linotype" w:hAnsi="Palatino Linotype" w:cs="Palatino Linotype"/>
          <w:sz w:val="22"/>
          <w:szCs w:val="22"/>
        </w:rPr>
      </w:pPr>
    </w:p>
    <w:p w14:paraId="0A5EC3A3" w14:textId="77777777" w:rsidR="00E52309" w:rsidRDefault="00CF0B06" w:rsidP="00CF0B06">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1E09D3">
        <w:rPr>
          <w:rFonts w:ascii="Palatino Linotype" w:hAnsi="Palatino Linotype"/>
        </w:rPr>
        <w:t xml:space="preserve"> EMITIENDO VOTO PARTICULAR</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NOVENA </w:t>
      </w:r>
      <w:r w:rsidRPr="003C7186">
        <w:rPr>
          <w:rFonts w:ascii="Palatino Linotype" w:hAnsi="Palatino Linotype"/>
        </w:rPr>
        <w:t xml:space="preserve">SESIÓN ORDINARIA CELEBRADA EL </w:t>
      </w:r>
      <w:r>
        <w:rPr>
          <w:rFonts w:ascii="Palatino Linotype" w:hAnsi="Palatino Linotype"/>
        </w:rPr>
        <w:t>TRECE</w:t>
      </w:r>
      <w:r w:rsidRPr="003C7186">
        <w:rPr>
          <w:rFonts w:ascii="Palatino Linotype" w:hAnsi="Palatino Linotype"/>
        </w:rPr>
        <w:t xml:space="preserve"> </w:t>
      </w:r>
      <w:r>
        <w:rPr>
          <w:rFonts w:ascii="Palatino Linotype" w:hAnsi="Palatino Linotype"/>
        </w:rPr>
        <w:t>(13) DE NOVIEMBRE</w:t>
      </w:r>
      <w:r w:rsidRPr="003C7186">
        <w:rPr>
          <w:rFonts w:ascii="Palatino Linotype" w:hAnsi="Palatino Linotype"/>
        </w:rPr>
        <w:t xml:space="preserve"> DE DOS MIL VEINTICUATRO, ANTE EL SECRETARIO TÉCNICO DEL PLENO ALEXIS TAPIA RAMÍREZ. </w:t>
      </w:r>
    </w:p>
    <w:p w14:paraId="7083EBC6" w14:textId="77777777" w:rsidR="00E52309" w:rsidRDefault="00E52309">
      <w:pPr>
        <w:rPr>
          <w:rFonts w:ascii="Palatino Linotype" w:hAnsi="Palatino Linotype"/>
        </w:rPr>
      </w:pPr>
      <w:r>
        <w:rPr>
          <w:rFonts w:ascii="Palatino Linotype" w:hAnsi="Palatino Linotype"/>
        </w:rPr>
        <w:br w:type="page"/>
      </w:r>
    </w:p>
    <w:p w14:paraId="0FF9078A" w14:textId="77777777" w:rsidR="00CF0B06" w:rsidRPr="003C7186" w:rsidRDefault="00CF0B06" w:rsidP="00CF0B06">
      <w:pPr>
        <w:spacing w:line="360" w:lineRule="auto"/>
        <w:ind w:left="-142" w:right="-234" w:firstLine="1"/>
        <w:jc w:val="both"/>
        <w:rPr>
          <w:rFonts w:ascii="Palatino Linotype" w:hAnsi="Palatino Linotype"/>
        </w:rPr>
      </w:pPr>
    </w:p>
    <w:p w14:paraId="5FA2EF4E" w14:textId="77777777" w:rsidR="00CF0B06" w:rsidRPr="00902BA4" w:rsidRDefault="00CF0B06" w:rsidP="00CF0B06">
      <w:pPr>
        <w:widowControl w:val="0"/>
        <w:autoSpaceDE w:val="0"/>
        <w:autoSpaceDN w:val="0"/>
        <w:adjustRightInd w:val="0"/>
        <w:spacing w:after="200" w:line="276" w:lineRule="auto"/>
        <w:ind w:left="-142" w:right="-234"/>
        <w:rPr>
          <w:rFonts w:ascii="Calibri" w:hAnsi="Calibri" w:cs="Calibri"/>
        </w:rPr>
      </w:pPr>
    </w:p>
    <w:p w14:paraId="08C369B1" w14:textId="77777777" w:rsidR="0007176C" w:rsidRDefault="0007176C">
      <w:pPr>
        <w:rPr>
          <w:sz w:val="22"/>
          <w:szCs w:val="22"/>
        </w:rPr>
      </w:pPr>
    </w:p>
    <w:sectPr w:rsidR="0007176C">
      <w:headerReference w:type="even" r:id="rId11"/>
      <w:headerReference w:type="default" r:id="rId12"/>
      <w:footerReference w:type="default" r:id="rId13"/>
      <w:headerReference w:type="first" r:id="rId14"/>
      <w:footerReference w:type="first" r:id="rId15"/>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CD2F3" w14:textId="77777777" w:rsidR="00587584" w:rsidRDefault="00587584">
      <w:r>
        <w:separator/>
      </w:r>
    </w:p>
  </w:endnote>
  <w:endnote w:type="continuationSeparator" w:id="0">
    <w:p w14:paraId="70823FB7" w14:textId="77777777" w:rsidR="00587584" w:rsidRDefault="0058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3A5BC" w14:textId="77777777" w:rsidR="0007176C" w:rsidRDefault="0075532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26613F">
      <w:rPr>
        <w:b/>
        <w:noProof/>
        <w:color w:val="000000"/>
      </w:rPr>
      <w:t>43</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26613F">
      <w:rPr>
        <w:b/>
        <w:noProof/>
        <w:color w:val="000000"/>
      </w:rPr>
      <w:t>45</w:t>
    </w:r>
    <w:r>
      <w:rPr>
        <w:b/>
        <w:color w:val="000000"/>
      </w:rPr>
      <w:fldChar w:fldCharType="end"/>
    </w:r>
  </w:p>
  <w:p w14:paraId="58EA1D6C" w14:textId="77777777" w:rsidR="0007176C" w:rsidRDefault="0007176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D8B4" w14:textId="77777777" w:rsidR="0007176C" w:rsidRDefault="0075532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26613F">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26613F">
      <w:rPr>
        <w:b/>
        <w:noProof/>
        <w:color w:val="000000"/>
      </w:rPr>
      <w:t>45</w:t>
    </w:r>
    <w:r>
      <w:rPr>
        <w:b/>
        <w:color w:val="000000"/>
      </w:rPr>
      <w:fldChar w:fldCharType="end"/>
    </w:r>
  </w:p>
  <w:p w14:paraId="5ABC6707" w14:textId="77777777" w:rsidR="0007176C" w:rsidRDefault="0007176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3FA1C" w14:textId="77777777" w:rsidR="00587584" w:rsidRDefault="00587584">
      <w:r>
        <w:separator/>
      </w:r>
    </w:p>
  </w:footnote>
  <w:footnote w:type="continuationSeparator" w:id="0">
    <w:p w14:paraId="7E99A21C" w14:textId="77777777" w:rsidR="00587584" w:rsidRDefault="00587584">
      <w:r>
        <w:continuationSeparator/>
      </w:r>
    </w:p>
  </w:footnote>
  <w:footnote w:id="1">
    <w:p w14:paraId="0EDC5021" w14:textId="77777777" w:rsidR="0007176C" w:rsidRDefault="0075532F">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Ley de Transparencia y Acceso a la Información Pública del Estado de México y Municipios.</w:t>
      </w:r>
    </w:p>
    <w:p w14:paraId="34FAA907" w14:textId="77777777" w:rsidR="0007176C" w:rsidRDefault="0075532F">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Artículo 151. Ibídem.</w:t>
      </w:r>
    </w:p>
  </w:footnote>
  <w:footnote w:id="2">
    <w:p w14:paraId="0F333D60" w14:textId="77777777" w:rsidR="0007176C" w:rsidRDefault="0075532F">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Fracción IV. Artículo 53.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9DD6" w14:textId="77777777" w:rsidR="0007176C" w:rsidRDefault="00587584">
    <w:pPr>
      <w:pBdr>
        <w:top w:val="nil"/>
        <w:left w:val="nil"/>
        <w:bottom w:val="nil"/>
        <w:right w:val="nil"/>
        <w:between w:val="nil"/>
      </w:pBdr>
      <w:tabs>
        <w:tab w:val="center" w:pos="4419"/>
        <w:tab w:val="right" w:pos="8838"/>
      </w:tabs>
      <w:rPr>
        <w:color w:val="000000"/>
      </w:rPr>
    </w:pPr>
    <w:r>
      <w:rPr>
        <w:color w:val="000000"/>
      </w:rPr>
      <w:pict w14:anchorId="2066D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1FE6" w14:textId="77777777" w:rsidR="0007176C" w:rsidRDefault="0007176C">
    <w:pPr>
      <w:widowControl w:val="0"/>
      <w:pBdr>
        <w:top w:val="nil"/>
        <w:left w:val="nil"/>
        <w:bottom w:val="nil"/>
        <w:right w:val="nil"/>
        <w:between w:val="nil"/>
      </w:pBdr>
      <w:spacing w:line="276" w:lineRule="auto"/>
      <w:rPr>
        <w:color w:val="000000"/>
      </w:rPr>
    </w:pPr>
  </w:p>
  <w:tbl>
    <w:tblPr>
      <w:tblStyle w:val="a2"/>
      <w:tblW w:w="9214" w:type="dxa"/>
      <w:tblInd w:w="0" w:type="dxa"/>
      <w:tblLayout w:type="fixed"/>
      <w:tblLook w:val="0400" w:firstRow="0" w:lastRow="0" w:firstColumn="0" w:lastColumn="0" w:noHBand="0" w:noVBand="1"/>
    </w:tblPr>
    <w:tblGrid>
      <w:gridCol w:w="2268"/>
      <w:gridCol w:w="6946"/>
    </w:tblGrid>
    <w:tr w:rsidR="0007176C" w14:paraId="145741F2" w14:textId="77777777">
      <w:trPr>
        <w:trHeight w:val="1435"/>
      </w:trPr>
      <w:tc>
        <w:tcPr>
          <w:tcW w:w="2268" w:type="dxa"/>
          <w:shd w:val="clear" w:color="auto" w:fill="auto"/>
        </w:tcPr>
        <w:p w14:paraId="46249B70" w14:textId="77777777" w:rsidR="0007176C" w:rsidRDefault="0007176C">
          <w:pPr>
            <w:tabs>
              <w:tab w:val="right" w:pos="4273"/>
            </w:tabs>
            <w:rPr>
              <w:rFonts w:ascii="Garamond" w:eastAsia="Garamond" w:hAnsi="Garamond" w:cs="Garamond"/>
              <w:sz w:val="16"/>
              <w:szCs w:val="16"/>
            </w:rPr>
          </w:pPr>
        </w:p>
      </w:tc>
      <w:tc>
        <w:tcPr>
          <w:tcW w:w="6946" w:type="dxa"/>
          <w:shd w:val="clear" w:color="auto" w:fill="auto"/>
        </w:tcPr>
        <w:p w14:paraId="056BEC36" w14:textId="77777777" w:rsidR="0007176C" w:rsidRDefault="0007176C"/>
        <w:tbl>
          <w:tblPr>
            <w:tblStyle w:val="a3"/>
            <w:tblW w:w="6662" w:type="dxa"/>
            <w:tblInd w:w="40" w:type="dxa"/>
            <w:tblLayout w:type="fixed"/>
            <w:tblLook w:val="0400" w:firstRow="0" w:lastRow="0" w:firstColumn="0" w:lastColumn="0" w:noHBand="0" w:noVBand="1"/>
          </w:tblPr>
          <w:tblGrid>
            <w:gridCol w:w="2551"/>
            <w:gridCol w:w="4111"/>
          </w:tblGrid>
          <w:tr w:rsidR="0007176C" w14:paraId="42152CD7" w14:textId="77777777">
            <w:trPr>
              <w:trHeight w:val="150"/>
            </w:trPr>
            <w:tc>
              <w:tcPr>
                <w:tcW w:w="2551" w:type="dxa"/>
                <w:shd w:val="clear" w:color="auto" w:fill="auto"/>
              </w:tcPr>
              <w:p w14:paraId="185182E6" w14:textId="77777777" w:rsidR="0007176C" w:rsidRDefault="0075532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14:paraId="0A177CA3" w14:textId="77777777" w:rsidR="0007176C" w:rsidRDefault="0075532F">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03258/INFOEM/IP/RR/2024</w:t>
                </w:r>
              </w:p>
            </w:tc>
          </w:tr>
          <w:tr w:rsidR="0007176C" w14:paraId="53FD0376" w14:textId="77777777">
            <w:trPr>
              <w:trHeight w:val="295"/>
            </w:trPr>
            <w:tc>
              <w:tcPr>
                <w:tcW w:w="2551" w:type="dxa"/>
                <w:shd w:val="clear" w:color="auto" w:fill="auto"/>
              </w:tcPr>
              <w:p w14:paraId="416613B7" w14:textId="77777777" w:rsidR="0007176C" w:rsidRDefault="0075532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14:paraId="040F24A2" w14:textId="77777777" w:rsidR="0007176C" w:rsidRDefault="0075532F">
                <w:pPr>
                  <w:tabs>
                    <w:tab w:val="left" w:pos="2834"/>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Metepec</w:t>
                </w:r>
              </w:p>
            </w:tc>
          </w:tr>
          <w:tr w:rsidR="0007176C" w14:paraId="1616D0D9" w14:textId="77777777">
            <w:trPr>
              <w:trHeight w:val="295"/>
            </w:trPr>
            <w:tc>
              <w:tcPr>
                <w:tcW w:w="2551" w:type="dxa"/>
                <w:shd w:val="clear" w:color="auto" w:fill="auto"/>
              </w:tcPr>
              <w:p w14:paraId="2C7AB0F1" w14:textId="77777777" w:rsidR="0007176C" w:rsidRDefault="0075532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14:paraId="79E2D6AD" w14:textId="77777777" w:rsidR="0007176C" w:rsidRDefault="0075532F">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0E52B5D8" w14:textId="77777777" w:rsidR="0007176C" w:rsidRDefault="0007176C">
                <w:pPr>
                  <w:tabs>
                    <w:tab w:val="right" w:pos="8838"/>
                  </w:tabs>
                  <w:ind w:left="-108" w:right="171"/>
                  <w:jc w:val="both"/>
                  <w:rPr>
                    <w:rFonts w:ascii="Palatino Linotype" w:eastAsia="Palatino Linotype" w:hAnsi="Palatino Linotype" w:cs="Palatino Linotype"/>
                    <w:b/>
                    <w:sz w:val="22"/>
                    <w:szCs w:val="22"/>
                  </w:rPr>
                </w:pPr>
              </w:p>
            </w:tc>
          </w:tr>
        </w:tbl>
        <w:p w14:paraId="0456E336" w14:textId="77777777" w:rsidR="0007176C" w:rsidRDefault="0007176C">
          <w:pPr>
            <w:tabs>
              <w:tab w:val="right" w:pos="8838"/>
            </w:tabs>
            <w:ind w:left="-28"/>
            <w:jc w:val="both"/>
            <w:rPr>
              <w:rFonts w:ascii="Arial" w:eastAsia="Arial" w:hAnsi="Arial" w:cs="Arial"/>
              <w:b/>
              <w:sz w:val="22"/>
              <w:szCs w:val="22"/>
            </w:rPr>
          </w:pPr>
        </w:p>
      </w:tc>
    </w:tr>
  </w:tbl>
  <w:p w14:paraId="7289A4A5" w14:textId="77777777" w:rsidR="0007176C" w:rsidRDefault="00587584">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24E335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8C3A" w14:textId="77777777" w:rsidR="0007176C" w:rsidRDefault="0007176C">
    <w:pPr>
      <w:widowControl w:val="0"/>
      <w:pBdr>
        <w:top w:val="nil"/>
        <w:left w:val="nil"/>
        <w:bottom w:val="nil"/>
        <w:right w:val="nil"/>
        <w:between w:val="nil"/>
      </w:pBdr>
      <w:spacing w:line="276" w:lineRule="auto"/>
      <w:rPr>
        <w:color w:val="000000"/>
        <w:sz w:val="14"/>
        <w:szCs w:val="14"/>
      </w:rPr>
    </w:pPr>
  </w:p>
  <w:tbl>
    <w:tblPr>
      <w:tblStyle w:val="a4"/>
      <w:tblW w:w="9072" w:type="dxa"/>
      <w:tblInd w:w="0" w:type="dxa"/>
      <w:tblLayout w:type="fixed"/>
      <w:tblLook w:val="0400" w:firstRow="0" w:lastRow="0" w:firstColumn="0" w:lastColumn="0" w:noHBand="0" w:noVBand="1"/>
    </w:tblPr>
    <w:tblGrid>
      <w:gridCol w:w="2268"/>
      <w:gridCol w:w="6804"/>
    </w:tblGrid>
    <w:tr w:rsidR="0007176C" w14:paraId="48A68430" w14:textId="77777777">
      <w:trPr>
        <w:trHeight w:val="1435"/>
      </w:trPr>
      <w:tc>
        <w:tcPr>
          <w:tcW w:w="2268" w:type="dxa"/>
          <w:shd w:val="clear" w:color="auto" w:fill="auto"/>
        </w:tcPr>
        <w:p w14:paraId="238C52AE" w14:textId="77777777" w:rsidR="0007176C" w:rsidRDefault="0007176C">
          <w:pPr>
            <w:tabs>
              <w:tab w:val="right" w:pos="4273"/>
            </w:tabs>
            <w:rPr>
              <w:rFonts w:ascii="Garamond" w:eastAsia="Garamond" w:hAnsi="Garamond" w:cs="Garamond"/>
              <w:sz w:val="22"/>
              <w:szCs w:val="22"/>
            </w:rPr>
          </w:pPr>
        </w:p>
      </w:tc>
      <w:tc>
        <w:tcPr>
          <w:tcW w:w="6804" w:type="dxa"/>
          <w:shd w:val="clear" w:color="auto" w:fill="auto"/>
        </w:tcPr>
        <w:p w14:paraId="594CAD3C" w14:textId="77777777" w:rsidR="0007176C" w:rsidRDefault="0007176C">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5"/>
            <w:tblW w:w="6662" w:type="dxa"/>
            <w:tblInd w:w="40" w:type="dxa"/>
            <w:tblLayout w:type="fixed"/>
            <w:tblLook w:val="0400" w:firstRow="0" w:lastRow="0" w:firstColumn="0" w:lastColumn="0" w:noHBand="0" w:noVBand="1"/>
          </w:tblPr>
          <w:tblGrid>
            <w:gridCol w:w="2444"/>
            <w:gridCol w:w="4218"/>
          </w:tblGrid>
          <w:tr w:rsidR="0007176C" w14:paraId="4F58EC71" w14:textId="77777777">
            <w:trPr>
              <w:trHeight w:val="144"/>
            </w:trPr>
            <w:tc>
              <w:tcPr>
                <w:tcW w:w="2444" w:type="dxa"/>
                <w:shd w:val="clear" w:color="auto" w:fill="auto"/>
              </w:tcPr>
              <w:p w14:paraId="6D9EB055" w14:textId="77777777" w:rsidR="0007176C" w:rsidRDefault="0075532F">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14:paraId="7BDFAF67" w14:textId="77777777" w:rsidR="0007176C" w:rsidRDefault="0075532F">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03258/INFOEM/IP/RR/2024</w:t>
                </w:r>
              </w:p>
            </w:tc>
          </w:tr>
          <w:tr w:rsidR="0007176C" w14:paraId="280D2E94" w14:textId="77777777">
            <w:trPr>
              <w:trHeight w:val="144"/>
            </w:trPr>
            <w:tc>
              <w:tcPr>
                <w:tcW w:w="2444" w:type="dxa"/>
                <w:shd w:val="clear" w:color="auto" w:fill="auto"/>
              </w:tcPr>
              <w:p w14:paraId="217385CB" w14:textId="77777777" w:rsidR="0007176C" w:rsidRDefault="0075532F">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14:paraId="67E06EF2" w14:textId="0B1E456A" w:rsidR="0007176C" w:rsidRDefault="0075532F">
                <w:pPr>
                  <w:tabs>
                    <w:tab w:val="left" w:pos="3122"/>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w:t>
                </w:r>
                <w:r w:rsidR="001B7D88">
                  <w:rPr>
                    <w:rFonts w:ascii="Palatino Linotype" w:eastAsia="Palatino Linotype" w:hAnsi="Palatino Linotype" w:cs="Palatino Linotype"/>
                    <w:sz w:val="22"/>
                    <w:szCs w:val="22"/>
                  </w:rPr>
                  <w:t xml:space="preserve">XXX </w:t>
                </w:r>
                <w:proofErr w:type="spellStart"/>
                <w:r w:rsidR="001B7D88">
                  <w:rPr>
                    <w:rFonts w:ascii="Palatino Linotype" w:eastAsia="Palatino Linotype" w:hAnsi="Palatino Linotype" w:cs="Palatino Linotype"/>
                    <w:sz w:val="22"/>
                    <w:szCs w:val="22"/>
                  </w:rPr>
                  <w:t>XXX</w:t>
                </w:r>
                <w:proofErr w:type="spellEnd"/>
              </w:p>
            </w:tc>
          </w:tr>
          <w:tr w:rsidR="0007176C" w14:paraId="46A88EF6" w14:textId="77777777">
            <w:trPr>
              <w:trHeight w:val="283"/>
            </w:trPr>
            <w:tc>
              <w:tcPr>
                <w:tcW w:w="2444" w:type="dxa"/>
                <w:shd w:val="clear" w:color="auto" w:fill="auto"/>
              </w:tcPr>
              <w:p w14:paraId="1CC0B67D" w14:textId="77777777" w:rsidR="0007176C" w:rsidRDefault="0075532F">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14:paraId="2825A145" w14:textId="77777777" w:rsidR="0007176C" w:rsidRDefault="0075532F">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Metepec</w:t>
                </w:r>
              </w:p>
            </w:tc>
          </w:tr>
          <w:tr w:rsidR="0007176C" w14:paraId="6D872DB5" w14:textId="77777777">
            <w:trPr>
              <w:trHeight w:val="283"/>
            </w:trPr>
            <w:tc>
              <w:tcPr>
                <w:tcW w:w="2444" w:type="dxa"/>
                <w:shd w:val="clear" w:color="auto" w:fill="auto"/>
              </w:tcPr>
              <w:p w14:paraId="4B81445D" w14:textId="77777777" w:rsidR="0007176C" w:rsidRDefault="0075532F">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14:paraId="39288B30" w14:textId="77777777" w:rsidR="0007176C" w:rsidRDefault="0075532F">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63707D63" w14:textId="77777777" w:rsidR="0007176C" w:rsidRDefault="0007176C">
                <w:pPr>
                  <w:tabs>
                    <w:tab w:val="right" w:pos="8838"/>
                  </w:tabs>
                  <w:ind w:left="-74" w:right="-105"/>
                  <w:jc w:val="both"/>
                  <w:rPr>
                    <w:rFonts w:ascii="Palatino Linotype" w:eastAsia="Palatino Linotype" w:hAnsi="Palatino Linotype" w:cs="Palatino Linotype"/>
                    <w:b/>
                    <w:sz w:val="22"/>
                    <w:szCs w:val="22"/>
                  </w:rPr>
                </w:pPr>
              </w:p>
            </w:tc>
          </w:tr>
        </w:tbl>
        <w:p w14:paraId="75F1646C" w14:textId="77777777" w:rsidR="0007176C" w:rsidRDefault="0007176C">
          <w:pPr>
            <w:tabs>
              <w:tab w:val="right" w:pos="8838"/>
            </w:tabs>
            <w:ind w:left="-28"/>
            <w:jc w:val="both"/>
            <w:rPr>
              <w:rFonts w:ascii="Arial" w:eastAsia="Arial" w:hAnsi="Arial" w:cs="Arial"/>
              <w:b/>
              <w:sz w:val="22"/>
              <w:szCs w:val="22"/>
            </w:rPr>
          </w:pPr>
        </w:p>
      </w:tc>
    </w:tr>
  </w:tbl>
  <w:p w14:paraId="3729F024" w14:textId="77777777" w:rsidR="0007176C" w:rsidRDefault="00587584">
    <w:pPr>
      <w:pBdr>
        <w:top w:val="nil"/>
        <w:left w:val="nil"/>
        <w:bottom w:val="nil"/>
        <w:right w:val="nil"/>
        <w:between w:val="nil"/>
      </w:pBdr>
      <w:tabs>
        <w:tab w:val="center" w:pos="4419"/>
        <w:tab w:val="right" w:pos="8838"/>
      </w:tabs>
      <w:rPr>
        <w:color w:val="000000"/>
        <w:sz w:val="2"/>
        <w:szCs w:val="2"/>
      </w:rPr>
    </w:pPr>
    <w:r>
      <w:rPr>
        <w:color w:val="000000"/>
        <w:sz w:val="2"/>
        <w:szCs w:val="2"/>
      </w:rPr>
      <w:pict w14:anchorId="3B7B9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47A6B"/>
    <w:multiLevelType w:val="multilevel"/>
    <w:tmpl w:val="5176B2E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714AD8"/>
    <w:multiLevelType w:val="multilevel"/>
    <w:tmpl w:val="EBD28D2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EAE0013"/>
    <w:multiLevelType w:val="multilevel"/>
    <w:tmpl w:val="16AAB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3762BE"/>
    <w:multiLevelType w:val="multilevel"/>
    <w:tmpl w:val="DEF63DF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75A47417"/>
    <w:multiLevelType w:val="multilevel"/>
    <w:tmpl w:val="B55AE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89262582">
    <w:abstractNumId w:val="0"/>
  </w:num>
  <w:num w:numId="2" w16cid:durableId="2134663963">
    <w:abstractNumId w:val="3"/>
  </w:num>
  <w:num w:numId="3" w16cid:durableId="2019772991">
    <w:abstractNumId w:val="4"/>
  </w:num>
  <w:num w:numId="4" w16cid:durableId="1177229085">
    <w:abstractNumId w:val="1"/>
  </w:num>
  <w:num w:numId="5" w16cid:durableId="252470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76C"/>
    <w:rsid w:val="0007176C"/>
    <w:rsid w:val="001B7D88"/>
    <w:rsid w:val="001E09D3"/>
    <w:rsid w:val="0026613F"/>
    <w:rsid w:val="00481DF5"/>
    <w:rsid w:val="005645E4"/>
    <w:rsid w:val="00587584"/>
    <w:rsid w:val="0075532F"/>
    <w:rsid w:val="008B1C0F"/>
    <w:rsid w:val="00CF0B06"/>
    <w:rsid w:val="00E52309"/>
    <w:rsid w:val="00FF71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9AE9A"/>
  <w15:docId w15:val="{A2B28786-EF12-44CD-BE06-B1317E67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320"/>
  </w:style>
  <w:style w:type="paragraph" w:styleId="Ttulo1">
    <w:name w:val="heading 1"/>
    <w:basedOn w:val="Normal"/>
    <w:next w:val="Normal"/>
    <w:link w:val="Ttulo1Car"/>
    <w:uiPriority w:val="9"/>
    <w:qFormat/>
    <w:rsid w:val="000053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005320"/>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005320"/>
    <w:rPr>
      <w:rFonts w:asciiTheme="majorHAnsi" w:eastAsiaTheme="majorEastAsia" w:hAnsiTheme="majorHAnsi" w:cstheme="majorBidi"/>
      <w:color w:val="2E74B5" w:themeColor="accent1" w:themeShade="BF"/>
      <w:sz w:val="32"/>
      <w:szCs w:val="32"/>
      <w:lang w:eastAsia="es-MX"/>
    </w:rPr>
  </w:style>
  <w:style w:type="character" w:customStyle="1" w:styleId="Ttulo3Car">
    <w:name w:val="Título 3 Car"/>
    <w:basedOn w:val="Fuentedeprrafopredeter"/>
    <w:link w:val="Ttulo3"/>
    <w:uiPriority w:val="9"/>
    <w:rsid w:val="00005320"/>
    <w:rPr>
      <w:rFonts w:asciiTheme="majorHAnsi" w:eastAsiaTheme="majorEastAsia" w:hAnsiTheme="majorHAnsi" w:cstheme="majorBidi"/>
      <w:color w:val="1F4D78" w:themeColor="accent1" w:themeShade="7F"/>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05320"/>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005320"/>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005320"/>
    <w:rPr>
      <w:color w:val="0563C1"/>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05320"/>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05320"/>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005320"/>
    <w:rPr>
      <w:vertAlign w:val="superscript"/>
    </w:rPr>
  </w:style>
  <w:style w:type="paragraph" w:styleId="Piedepgina">
    <w:name w:val="footer"/>
    <w:basedOn w:val="Normal"/>
    <w:link w:val="PiedepginaCar"/>
    <w:uiPriority w:val="99"/>
    <w:unhideWhenUsed/>
    <w:rsid w:val="00005320"/>
    <w:pPr>
      <w:tabs>
        <w:tab w:val="center" w:pos="4419"/>
        <w:tab w:val="right" w:pos="8838"/>
      </w:tabs>
    </w:pPr>
  </w:style>
  <w:style w:type="character" w:customStyle="1" w:styleId="PiedepginaCar">
    <w:name w:val="Pie de página Car"/>
    <w:basedOn w:val="Fuentedeprrafopredeter"/>
    <w:link w:val="Piedepgina"/>
    <w:uiPriority w:val="99"/>
    <w:rsid w:val="00005320"/>
    <w:rPr>
      <w:rFonts w:ascii="Times New Roman" w:eastAsia="Times New Roman" w:hAnsi="Times New Roman" w:cs="Times New Roman"/>
      <w:sz w:val="24"/>
      <w:szCs w:val="24"/>
      <w:lang w:eastAsia="es-MX"/>
    </w:rPr>
  </w:style>
  <w:style w:type="paragraph" w:customStyle="1" w:styleId="Fundamentos">
    <w:name w:val="Fundamentos"/>
    <w:basedOn w:val="Normal"/>
    <w:qFormat/>
    <w:rsid w:val="00667116"/>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39179.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aimex.org.mx/saimex/solicitud/downloadAttach/2154566.pag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HBO27Ch1Rmc1RzgK6bCx+L/5hg==">CgMxLjAyCGguZ2pkZ3hzMgloLjMwajB6bGwyCWguMWZvYjl0ZTIJaC4zem55c2g3MgloLjJldDkycDAyCGgudHlqY3d0MgloLjNkeTZ2a20yCWguMXQzaDVzZjIJaC40ZDM0b2c4MgloLjJzOGV5bzEyCWguMTdkcDh2dTIJaC4zcmRjcmpuMghoLmdqZGd4czgAciExMmRiNjlBeVVod3lKeVMwN0dJaTBaUGxZOUo3SXpnalY=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45</Pages>
  <Words>11663</Words>
  <Characters>64149</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inf03m612@outlook.com</cp:lastModifiedBy>
  <cp:revision>7</cp:revision>
  <cp:lastPrinted>2024-11-14T23:33:00Z</cp:lastPrinted>
  <dcterms:created xsi:type="dcterms:W3CDTF">2024-11-05T20:18:00Z</dcterms:created>
  <dcterms:modified xsi:type="dcterms:W3CDTF">2024-11-27T20:25:00Z</dcterms:modified>
</cp:coreProperties>
</file>