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4966ADC1" w:rsidR="00662C69" w:rsidRPr="006C7201" w:rsidRDefault="00D10889" w:rsidP="00B31E90">
      <w:pPr>
        <w:tabs>
          <w:tab w:val="left" w:pos="3465"/>
        </w:tabs>
        <w:spacing w:line="360" w:lineRule="auto"/>
        <w:jc w:val="both"/>
        <w:rPr>
          <w:rFonts w:ascii="Palatino Linotype" w:hAnsi="Palatino Linotype"/>
          <w:color w:val="000000" w:themeColor="text1"/>
        </w:rPr>
      </w:pPr>
      <w:r>
        <w:rPr>
          <w:rFonts w:ascii="Palatino Linotype" w:hAnsi="Palatino Linotype"/>
          <w:color w:val="000000" w:themeColor="text1"/>
        </w:rPr>
        <w:t xml:space="preserve"> </w:t>
      </w:r>
      <w:r w:rsidR="009B11D6" w:rsidRPr="006C7201">
        <w:rPr>
          <w:rFonts w:ascii="Palatino Linotype" w:hAnsi="Palatino Linotype"/>
          <w:color w:val="000000" w:themeColor="text1"/>
        </w:rPr>
        <w:t>R</w:t>
      </w:r>
      <w:r w:rsidR="00662C69" w:rsidRPr="006C7201">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6C7201">
        <w:rPr>
          <w:rFonts w:ascii="Palatino Linotype" w:hAnsi="Palatino Linotype"/>
          <w:color w:val="000000" w:themeColor="text1"/>
        </w:rPr>
        <w:t>icipios, con</w:t>
      </w:r>
      <w:r w:rsidR="00662C69" w:rsidRPr="006C7201">
        <w:rPr>
          <w:rFonts w:ascii="Palatino Linotype" w:hAnsi="Palatino Linotype"/>
          <w:color w:val="000000" w:themeColor="text1"/>
        </w:rPr>
        <w:t xml:space="preserve"> </w:t>
      </w:r>
      <w:r w:rsidR="00485DB6" w:rsidRPr="006C7201">
        <w:rPr>
          <w:rFonts w:ascii="Palatino Linotype" w:hAnsi="Palatino Linotype"/>
          <w:color w:val="000000" w:themeColor="text1"/>
        </w:rPr>
        <w:t xml:space="preserve">domicilio </w:t>
      </w:r>
      <w:r w:rsidR="00662C69" w:rsidRPr="006C7201">
        <w:rPr>
          <w:rFonts w:ascii="Palatino Linotype" w:hAnsi="Palatino Linotype"/>
          <w:color w:val="000000" w:themeColor="text1"/>
        </w:rPr>
        <w:t xml:space="preserve">en Metepec, Estado de México; de </w:t>
      </w:r>
      <w:r w:rsidR="00D7207C" w:rsidRPr="006C7201">
        <w:rPr>
          <w:rFonts w:ascii="Palatino Linotype" w:hAnsi="Palatino Linotype"/>
          <w:color w:val="000000" w:themeColor="text1"/>
        </w:rPr>
        <w:t>diecisiete</w:t>
      </w:r>
      <w:r w:rsidR="007076C5" w:rsidRPr="006C7201">
        <w:rPr>
          <w:rFonts w:ascii="Palatino Linotype" w:hAnsi="Palatino Linotype"/>
          <w:color w:val="000000" w:themeColor="text1"/>
        </w:rPr>
        <w:t xml:space="preserve"> (</w:t>
      </w:r>
      <w:r w:rsidR="00D7207C" w:rsidRPr="006C7201">
        <w:rPr>
          <w:rFonts w:ascii="Palatino Linotype" w:hAnsi="Palatino Linotype"/>
          <w:color w:val="000000" w:themeColor="text1"/>
        </w:rPr>
        <w:t>17</w:t>
      </w:r>
      <w:r w:rsidR="00FE576E" w:rsidRPr="006C7201">
        <w:rPr>
          <w:rFonts w:ascii="Palatino Linotype" w:hAnsi="Palatino Linotype"/>
          <w:color w:val="000000" w:themeColor="text1"/>
        </w:rPr>
        <w:t xml:space="preserve">) de </w:t>
      </w:r>
      <w:r w:rsidR="00AA2ADF" w:rsidRPr="006C7201">
        <w:rPr>
          <w:rFonts w:ascii="Palatino Linotype" w:hAnsi="Palatino Linotype"/>
          <w:color w:val="000000" w:themeColor="text1"/>
        </w:rPr>
        <w:t>enero</w:t>
      </w:r>
      <w:r w:rsidR="002D1AA7" w:rsidRPr="006C7201">
        <w:rPr>
          <w:rFonts w:ascii="Palatino Linotype" w:hAnsi="Palatino Linotype"/>
          <w:color w:val="000000" w:themeColor="text1"/>
        </w:rPr>
        <w:t xml:space="preserve"> de dos mil veinti</w:t>
      </w:r>
      <w:r w:rsidR="00AA2ADF" w:rsidRPr="006C7201">
        <w:rPr>
          <w:rFonts w:ascii="Palatino Linotype" w:hAnsi="Palatino Linotype"/>
          <w:color w:val="000000" w:themeColor="text1"/>
        </w:rPr>
        <w:t>cuatro</w:t>
      </w:r>
      <w:r w:rsidR="00662C69" w:rsidRPr="006C7201">
        <w:rPr>
          <w:rFonts w:ascii="Palatino Linotype" w:hAnsi="Palatino Linotype"/>
          <w:color w:val="000000" w:themeColor="text1"/>
        </w:rPr>
        <w:t>.</w:t>
      </w:r>
    </w:p>
    <w:p w14:paraId="1181C59D" w14:textId="77777777" w:rsidR="00B31E90" w:rsidRPr="006C7201" w:rsidRDefault="00B31E90" w:rsidP="00B31E90">
      <w:pPr>
        <w:tabs>
          <w:tab w:val="left" w:pos="3465"/>
        </w:tabs>
        <w:spacing w:line="360" w:lineRule="auto"/>
        <w:jc w:val="both"/>
        <w:rPr>
          <w:rFonts w:ascii="Palatino Linotype" w:hAnsi="Palatino Linotype"/>
          <w:color w:val="000000" w:themeColor="text1"/>
        </w:rPr>
      </w:pPr>
    </w:p>
    <w:p w14:paraId="04F87235" w14:textId="64B91AE4" w:rsidR="005F0007" w:rsidRPr="006C7201" w:rsidRDefault="00662C69" w:rsidP="00B31E90">
      <w:pPr>
        <w:spacing w:line="360" w:lineRule="auto"/>
        <w:jc w:val="both"/>
        <w:rPr>
          <w:rFonts w:ascii="Palatino Linotype" w:eastAsia="Times New Roman" w:hAnsi="Palatino Linotype" w:cs="Times New Roman"/>
          <w:color w:val="000000" w:themeColor="text1"/>
        </w:rPr>
      </w:pPr>
      <w:r w:rsidRPr="006C7201">
        <w:rPr>
          <w:rFonts w:ascii="Palatino Linotype" w:hAnsi="Palatino Linotype"/>
          <w:b/>
          <w:color w:val="000000" w:themeColor="text1"/>
        </w:rPr>
        <w:t>VISTO</w:t>
      </w:r>
      <w:r w:rsidR="00A33C6D" w:rsidRPr="006C7201">
        <w:rPr>
          <w:rFonts w:ascii="Palatino Linotype" w:hAnsi="Palatino Linotype"/>
          <w:b/>
          <w:color w:val="000000" w:themeColor="text1"/>
        </w:rPr>
        <w:t>S</w:t>
      </w:r>
      <w:r w:rsidRPr="006C7201">
        <w:rPr>
          <w:rFonts w:ascii="Palatino Linotype" w:hAnsi="Palatino Linotype"/>
          <w:color w:val="000000" w:themeColor="text1"/>
        </w:rPr>
        <w:t xml:space="preserve"> </w:t>
      </w:r>
      <w:r w:rsidR="00A33C6D" w:rsidRPr="006C7201">
        <w:rPr>
          <w:rFonts w:ascii="Palatino Linotype" w:hAnsi="Palatino Linotype"/>
          <w:color w:val="000000" w:themeColor="text1"/>
        </w:rPr>
        <w:t>los</w:t>
      </w:r>
      <w:r w:rsidRPr="006C7201">
        <w:rPr>
          <w:rFonts w:ascii="Palatino Linotype" w:hAnsi="Palatino Linotype"/>
          <w:color w:val="000000" w:themeColor="text1"/>
        </w:rPr>
        <w:t xml:space="preserve"> expediente</w:t>
      </w:r>
      <w:r w:rsidR="00A33C6D" w:rsidRPr="006C7201">
        <w:rPr>
          <w:rFonts w:ascii="Palatino Linotype" w:hAnsi="Palatino Linotype"/>
          <w:color w:val="000000" w:themeColor="text1"/>
        </w:rPr>
        <w:t>s</w:t>
      </w:r>
      <w:r w:rsidRPr="006C7201">
        <w:rPr>
          <w:rFonts w:ascii="Palatino Linotype" w:hAnsi="Palatino Linotype"/>
          <w:color w:val="000000" w:themeColor="text1"/>
        </w:rPr>
        <w:t xml:space="preserve"> electrónico</w:t>
      </w:r>
      <w:r w:rsidR="00A33C6D" w:rsidRPr="006C7201">
        <w:rPr>
          <w:rFonts w:ascii="Palatino Linotype" w:hAnsi="Palatino Linotype"/>
          <w:color w:val="000000" w:themeColor="text1"/>
        </w:rPr>
        <w:t>s</w:t>
      </w:r>
      <w:r w:rsidRPr="006C7201">
        <w:rPr>
          <w:rFonts w:ascii="Palatino Linotype" w:hAnsi="Palatino Linotype"/>
          <w:color w:val="000000" w:themeColor="text1"/>
        </w:rPr>
        <w:t xml:space="preserve"> for</w:t>
      </w:r>
      <w:r w:rsidR="00D37494" w:rsidRPr="006C7201">
        <w:rPr>
          <w:rFonts w:ascii="Palatino Linotype" w:hAnsi="Palatino Linotype"/>
          <w:color w:val="000000" w:themeColor="text1"/>
        </w:rPr>
        <w:t>mado</w:t>
      </w:r>
      <w:r w:rsidR="00A33C6D" w:rsidRPr="006C7201">
        <w:rPr>
          <w:rFonts w:ascii="Palatino Linotype" w:hAnsi="Palatino Linotype"/>
          <w:color w:val="000000" w:themeColor="text1"/>
        </w:rPr>
        <w:t>s</w:t>
      </w:r>
      <w:r w:rsidR="00D37494" w:rsidRPr="006C7201">
        <w:rPr>
          <w:rFonts w:ascii="Palatino Linotype" w:hAnsi="Palatino Linotype"/>
          <w:color w:val="000000" w:themeColor="text1"/>
        </w:rPr>
        <w:t xml:space="preserve"> con motivo de</w:t>
      </w:r>
      <w:r w:rsidR="00A33C6D" w:rsidRPr="006C7201">
        <w:rPr>
          <w:rFonts w:ascii="Palatino Linotype" w:hAnsi="Palatino Linotype"/>
          <w:color w:val="000000" w:themeColor="text1"/>
        </w:rPr>
        <w:t xml:space="preserve"> </w:t>
      </w:r>
      <w:r w:rsidR="00D37494" w:rsidRPr="006C7201">
        <w:rPr>
          <w:rFonts w:ascii="Palatino Linotype" w:hAnsi="Palatino Linotype"/>
          <w:color w:val="000000" w:themeColor="text1"/>
        </w:rPr>
        <w:t>l</w:t>
      </w:r>
      <w:r w:rsidR="00A33C6D" w:rsidRPr="006C7201">
        <w:rPr>
          <w:rFonts w:ascii="Palatino Linotype" w:hAnsi="Palatino Linotype"/>
          <w:color w:val="000000" w:themeColor="text1"/>
        </w:rPr>
        <w:t>os</w:t>
      </w:r>
      <w:r w:rsidRPr="006C7201">
        <w:rPr>
          <w:rFonts w:ascii="Palatino Linotype" w:hAnsi="Palatino Linotype"/>
          <w:color w:val="000000" w:themeColor="text1"/>
        </w:rPr>
        <w:t xml:space="preserve"> recurso</w:t>
      </w:r>
      <w:r w:rsidR="00A33C6D" w:rsidRPr="006C7201">
        <w:rPr>
          <w:rFonts w:ascii="Palatino Linotype" w:hAnsi="Palatino Linotype"/>
          <w:color w:val="000000" w:themeColor="text1"/>
        </w:rPr>
        <w:t>s</w:t>
      </w:r>
      <w:r w:rsidRPr="006C7201">
        <w:rPr>
          <w:rFonts w:ascii="Palatino Linotype" w:hAnsi="Palatino Linotype"/>
          <w:color w:val="000000" w:themeColor="text1"/>
        </w:rPr>
        <w:t xml:space="preserve"> de revisión </w:t>
      </w:r>
      <w:r w:rsidR="00093486" w:rsidRPr="006C7201">
        <w:rPr>
          <w:rFonts w:ascii="Palatino Linotype" w:eastAsia="Calibri" w:hAnsi="Palatino Linotype" w:cs="Arial"/>
          <w:b/>
          <w:lang w:val="es-ES"/>
        </w:rPr>
        <w:t>17623</w:t>
      </w:r>
      <w:r w:rsidR="00093486" w:rsidRPr="006C7201">
        <w:rPr>
          <w:rFonts w:ascii="Palatino Linotype" w:hAnsi="Palatino Linotype"/>
          <w:b/>
          <w:szCs w:val="22"/>
        </w:rPr>
        <w:t>/INFOEM/IP/RR/2022</w:t>
      </w:r>
      <w:r w:rsidR="00A33C6D" w:rsidRPr="006C7201">
        <w:rPr>
          <w:rFonts w:ascii="Palatino Linotype" w:hAnsi="Palatino Linotype"/>
          <w:b/>
          <w:sz w:val="28"/>
          <w:szCs w:val="22"/>
        </w:rPr>
        <w:t xml:space="preserve"> </w:t>
      </w:r>
      <w:r w:rsidR="00A33C6D" w:rsidRPr="006C7201">
        <w:rPr>
          <w:rFonts w:ascii="Palatino Linotype" w:hAnsi="Palatino Linotype"/>
          <w:b/>
          <w:szCs w:val="22"/>
        </w:rPr>
        <w:t xml:space="preserve">y </w:t>
      </w:r>
      <w:r w:rsidR="00A33C6D" w:rsidRPr="006C7201">
        <w:rPr>
          <w:rFonts w:ascii="Palatino Linotype" w:eastAsia="Calibri" w:hAnsi="Palatino Linotype" w:cs="Arial"/>
          <w:b/>
          <w:lang w:val="es-ES"/>
        </w:rPr>
        <w:t>1</w:t>
      </w:r>
      <w:r w:rsidR="00093486" w:rsidRPr="006C7201">
        <w:rPr>
          <w:rFonts w:ascii="Palatino Linotype" w:eastAsia="Calibri" w:hAnsi="Palatino Linotype" w:cs="Arial"/>
          <w:b/>
          <w:lang w:val="es-ES"/>
        </w:rPr>
        <w:t>7625</w:t>
      </w:r>
      <w:r w:rsidR="00A33C6D" w:rsidRPr="006C7201">
        <w:rPr>
          <w:rFonts w:ascii="Palatino Linotype" w:hAnsi="Palatino Linotype"/>
          <w:b/>
          <w:szCs w:val="22"/>
        </w:rPr>
        <w:t>/INFOEM/IP/RR/2022</w:t>
      </w:r>
      <w:r w:rsidR="001E62A1" w:rsidRPr="006C7201">
        <w:rPr>
          <w:rFonts w:ascii="Palatino Linotype" w:hAnsi="Palatino Linotype"/>
          <w:b/>
          <w:szCs w:val="22"/>
        </w:rPr>
        <w:t xml:space="preserve"> acumulados</w:t>
      </w:r>
      <w:r w:rsidR="005F1362" w:rsidRPr="006C7201">
        <w:rPr>
          <w:rFonts w:ascii="Palatino Linotype" w:eastAsia="Times New Roman" w:hAnsi="Palatino Linotype" w:cs="Arial"/>
          <w:bCs/>
          <w:color w:val="000000" w:themeColor="text1"/>
        </w:rPr>
        <w:t xml:space="preserve">, </w:t>
      </w:r>
      <w:r w:rsidR="006B31E7" w:rsidRPr="006C7201">
        <w:rPr>
          <w:rFonts w:ascii="Palatino Linotype" w:eastAsia="Times New Roman" w:hAnsi="Palatino Linotype" w:cs="Times New Roman"/>
          <w:color w:val="000000" w:themeColor="text1"/>
        </w:rPr>
        <w:t>interpuesto</w:t>
      </w:r>
      <w:r w:rsidR="00A33C6D" w:rsidRPr="006C7201">
        <w:rPr>
          <w:rFonts w:ascii="Palatino Linotype" w:eastAsia="Times New Roman" w:hAnsi="Palatino Linotype" w:cs="Times New Roman"/>
          <w:color w:val="000000" w:themeColor="text1"/>
        </w:rPr>
        <w:t>s</w:t>
      </w:r>
      <w:r w:rsidR="006B31E7" w:rsidRPr="006C7201">
        <w:rPr>
          <w:rFonts w:ascii="Palatino Linotype" w:eastAsia="Times New Roman" w:hAnsi="Palatino Linotype" w:cs="Times New Roman"/>
          <w:color w:val="000000" w:themeColor="text1"/>
        </w:rPr>
        <w:t xml:space="preserve"> por</w:t>
      </w:r>
      <w:r w:rsidR="0078249C" w:rsidRPr="006C7201">
        <w:rPr>
          <w:rFonts w:ascii="Palatino Linotype" w:eastAsia="Times New Roman" w:hAnsi="Palatino Linotype" w:cs="Times New Roman"/>
          <w:color w:val="000000" w:themeColor="text1"/>
        </w:rPr>
        <w:t xml:space="preserve"> </w:t>
      </w:r>
      <w:r w:rsidR="00E7785D" w:rsidRPr="006C7201">
        <w:rPr>
          <w:rFonts w:ascii="Palatino Linotype" w:hAnsi="Palatino Linotype"/>
          <w:b/>
          <w:szCs w:val="22"/>
        </w:rPr>
        <w:t>un Usuario del Sistema de Acceso a la Información Mexiquense que no proporcionó su nombre</w:t>
      </w:r>
      <w:r w:rsidR="00DC6944" w:rsidRPr="006C7201">
        <w:rPr>
          <w:rFonts w:ascii="Palatino Linotype" w:eastAsia="Times New Roman" w:hAnsi="Palatino Linotype" w:cs="Times New Roman"/>
          <w:color w:val="000000" w:themeColor="text1"/>
        </w:rPr>
        <w:t>,</w:t>
      </w:r>
      <w:r w:rsidR="00D0377B" w:rsidRPr="006C7201">
        <w:rPr>
          <w:rFonts w:ascii="Palatino Linotype" w:eastAsia="Times New Roman" w:hAnsi="Palatino Linotype" w:cs="Times New Roman"/>
          <w:color w:val="000000" w:themeColor="text1"/>
        </w:rPr>
        <w:t xml:space="preserve"> </w:t>
      </w:r>
      <w:r w:rsidR="007076C5" w:rsidRPr="006C7201">
        <w:rPr>
          <w:rFonts w:ascii="Palatino Linotype" w:eastAsia="Times New Roman" w:hAnsi="Palatino Linotype" w:cs="Times New Roman"/>
          <w:color w:val="000000" w:themeColor="text1"/>
        </w:rPr>
        <w:t>en adelante la</w:t>
      </w:r>
      <w:r w:rsidR="00E92215" w:rsidRPr="006C7201">
        <w:rPr>
          <w:rFonts w:ascii="Palatino Linotype" w:eastAsia="Times New Roman" w:hAnsi="Palatino Linotype" w:cs="Times New Roman"/>
          <w:color w:val="000000" w:themeColor="text1"/>
        </w:rPr>
        <w:t xml:space="preserve"> </w:t>
      </w:r>
      <w:r w:rsidR="006B31E7" w:rsidRPr="006C7201">
        <w:rPr>
          <w:rFonts w:ascii="Palatino Linotype" w:eastAsia="Times New Roman" w:hAnsi="Palatino Linotype" w:cs="Times New Roman"/>
          <w:b/>
          <w:bCs/>
          <w:color w:val="000000" w:themeColor="text1"/>
        </w:rPr>
        <w:t>RECURRENTE</w:t>
      </w:r>
      <w:r w:rsidR="00E647FF" w:rsidRPr="006C7201">
        <w:rPr>
          <w:rFonts w:ascii="Palatino Linotype" w:eastAsia="Times New Roman" w:hAnsi="Palatino Linotype" w:cs="Arial"/>
          <w:color w:val="000000" w:themeColor="text1"/>
        </w:rPr>
        <w:t>;</w:t>
      </w:r>
      <w:r w:rsidR="005F1362" w:rsidRPr="006C7201">
        <w:rPr>
          <w:rFonts w:ascii="Palatino Linotype" w:eastAsia="Times New Roman" w:hAnsi="Palatino Linotype" w:cs="Arial"/>
          <w:color w:val="000000" w:themeColor="text1"/>
        </w:rPr>
        <w:t xml:space="preserve"> en contra de la respuesta d</w:t>
      </w:r>
      <w:r w:rsidR="00743FFA" w:rsidRPr="006C7201">
        <w:rPr>
          <w:rFonts w:ascii="Palatino Linotype" w:eastAsia="Times New Roman" w:hAnsi="Palatino Linotype" w:cs="Arial"/>
          <w:color w:val="000000" w:themeColor="text1"/>
        </w:rPr>
        <w:t>e</w:t>
      </w:r>
      <w:r w:rsidR="00E7785D" w:rsidRPr="006C7201">
        <w:rPr>
          <w:rFonts w:ascii="Palatino Linotype" w:eastAsia="Calibri" w:hAnsi="Palatino Linotype" w:cs="Arial"/>
          <w:bCs/>
          <w:lang w:val="es-ES"/>
        </w:rPr>
        <w:t>l</w:t>
      </w:r>
      <w:r w:rsidR="00E7785D" w:rsidRPr="006C7201">
        <w:rPr>
          <w:rFonts w:ascii="Palatino Linotype" w:eastAsia="Calibri" w:hAnsi="Palatino Linotype" w:cs="Arial"/>
          <w:b/>
          <w:bCs/>
          <w:lang w:val="es-ES"/>
        </w:rPr>
        <w:t xml:space="preserve"> </w:t>
      </w:r>
      <w:r w:rsidR="00BB7921" w:rsidRPr="006C7201">
        <w:rPr>
          <w:rFonts w:ascii="Palatino Linotype" w:eastAsia="Calibri" w:hAnsi="Palatino Linotype" w:cs="Arial"/>
          <w:b/>
          <w:bCs/>
          <w:lang w:val="es-ES"/>
        </w:rPr>
        <w:t xml:space="preserve">Ayuntamiento de </w:t>
      </w:r>
      <w:r w:rsidR="00093486" w:rsidRPr="006C7201">
        <w:rPr>
          <w:rFonts w:ascii="Palatino Linotype" w:eastAsia="Calibri" w:hAnsi="Palatino Linotype" w:cs="Arial"/>
          <w:b/>
          <w:bCs/>
          <w:lang w:val="es-ES"/>
        </w:rPr>
        <w:t>San Mateo Atenco</w:t>
      </w:r>
      <w:r w:rsidR="009572EE" w:rsidRPr="006C7201">
        <w:rPr>
          <w:rFonts w:ascii="Palatino Linotype" w:eastAsia="Calibri" w:hAnsi="Palatino Linotype" w:cs="Arial"/>
          <w:color w:val="000000" w:themeColor="text1"/>
          <w:lang w:val="es-ES"/>
        </w:rPr>
        <w:t>,</w:t>
      </w:r>
      <w:r w:rsidR="005F1362" w:rsidRPr="006C7201">
        <w:rPr>
          <w:rFonts w:ascii="Palatino Linotype" w:eastAsia="Calibri" w:hAnsi="Palatino Linotype" w:cs="Arial"/>
          <w:color w:val="000000" w:themeColor="text1"/>
          <w:lang w:val="es-ES"/>
        </w:rPr>
        <w:t xml:space="preserve"> </w:t>
      </w:r>
      <w:r w:rsidR="005F1362" w:rsidRPr="006C7201">
        <w:rPr>
          <w:rFonts w:ascii="Palatino Linotype" w:eastAsia="Times New Roman" w:hAnsi="Palatino Linotype" w:cs="Times New Roman"/>
          <w:color w:val="000000" w:themeColor="text1"/>
        </w:rPr>
        <w:t>en lo sucesivo el</w:t>
      </w:r>
      <w:r w:rsidR="005F1362" w:rsidRPr="006C7201">
        <w:rPr>
          <w:rFonts w:ascii="Palatino Linotype" w:eastAsia="Times New Roman" w:hAnsi="Palatino Linotype" w:cs="Times New Roman"/>
          <w:b/>
          <w:color w:val="000000" w:themeColor="text1"/>
        </w:rPr>
        <w:t xml:space="preserve"> SUJETO OBLIGADO, </w:t>
      </w:r>
      <w:r w:rsidR="005F1362" w:rsidRPr="006C7201">
        <w:rPr>
          <w:rFonts w:ascii="Palatino Linotype" w:eastAsia="Times New Roman" w:hAnsi="Palatino Linotype" w:cs="Times New Roman"/>
          <w:color w:val="000000" w:themeColor="text1"/>
        </w:rPr>
        <w:t>se procede a dictar la presente resolución, con base en los siguientes:</w:t>
      </w:r>
    </w:p>
    <w:p w14:paraId="67790361" w14:textId="77777777" w:rsidR="003F1A79" w:rsidRPr="006C7201" w:rsidRDefault="003F1A79" w:rsidP="00B31E90">
      <w:pPr>
        <w:spacing w:line="360" w:lineRule="auto"/>
        <w:jc w:val="both"/>
        <w:rPr>
          <w:rFonts w:ascii="Palatino Linotype" w:eastAsia="Times New Roman" w:hAnsi="Palatino Linotype" w:cs="Times New Roman"/>
          <w:color w:val="000000" w:themeColor="text1"/>
        </w:rPr>
      </w:pPr>
    </w:p>
    <w:p w14:paraId="769E1410" w14:textId="25E1B89A" w:rsidR="00587366" w:rsidRPr="006C7201" w:rsidRDefault="00662C69" w:rsidP="00B31E90">
      <w:pPr>
        <w:pStyle w:val="Ttulo1"/>
        <w:spacing w:before="0" w:line="360" w:lineRule="auto"/>
        <w:jc w:val="center"/>
        <w:rPr>
          <w:b/>
          <w:color w:val="000000" w:themeColor="text1"/>
        </w:rPr>
      </w:pPr>
      <w:bookmarkStart w:id="0" w:name="_Toc461555884"/>
      <w:bookmarkStart w:id="1" w:name="_Toc466371847"/>
      <w:bookmarkStart w:id="2" w:name="_Toc87456484"/>
      <w:r w:rsidRPr="006C7201">
        <w:rPr>
          <w:b/>
          <w:color w:val="000000" w:themeColor="text1"/>
        </w:rPr>
        <w:t>A</w:t>
      </w:r>
      <w:r w:rsidR="00C967DD" w:rsidRPr="006C7201">
        <w:rPr>
          <w:b/>
          <w:color w:val="000000" w:themeColor="text1"/>
        </w:rPr>
        <w:t xml:space="preserve"> </w:t>
      </w:r>
      <w:r w:rsidRPr="006C7201">
        <w:rPr>
          <w:b/>
          <w:color w:val="000000" w:themeColor="text1"/>
        </w:rPr>
        <w:t>N</w:t>
      </w:r>
      <w:r w:rsidR="00C967DD" w:rsidRPr="006C7201">
        <w:rPr>
          <w:b/>
          <w:color w:val="000000" w:themeColor="text1"/>
        </w:rPr>
        <w:t xml:space="preserve"> </w:t>
      </w:r>
      <w:r w:rsidRPr="006C7201">
        <w:rPr>
          <w:b/>
          <w:color w:val="000000" w:themeColor="text1"/>
        </w:rPr>
        <w:t>T</w:t>
      </w:r>
      <w:r w:rsidR="00C967DD" w:rsidRPr="006C7201">
        <w:rPr>
          <w:b/>
          <w:color w:val="000000" w:themeColor="text1"/>
        </w:rPr>
        <w:t xml:space="preserve"> </w:t>
      </w:r>
      <w:r w:rsidRPr="006C7201">
        <w:rPr>
          <w:b/>
          <w:color w:val="000000" w:themeColor="text1"/>
        </w:rPr>
        <w:t>E</w:t>
      </w:r>
      <w:r w:rsidR="00C967DD" w:rsidRPr="006C7201">
        <w:rPr>
          <w:b/>
          <w:color w:val="000000" w:themeColor="text1"/>
        </w:rPr>
        <w:t xml:space="preserve"> </w:t>
      </w:r>
      <w:r w:rsidRPr="006C7201">
        <w:rPr>
          <w:b/>
          <w:color w:val="000000" w:themeColor="text1"/>
        </w:rPr>
        <w:t>C</w:t>
      </w:r>
      <w:r w:rsidR="00C967DD" w:rsidRPr="006C7201">
        <w:rPr>
          <w:b/>
          <w:color w:val="000000" w:themeColor="text1"/>
        </w:rPr>
        <w:t xml:space="preserve"> </w:t>
      </w:r>
      <w:r w:rsidRPr="006C7201">
        <w:rPr>
          <w:b/>
          <w:color w:val="000000" w:themeColor="text1"/>
        </w:rPr>
        <w:t>E</w:t>
      </w:r>
      <w:r w:rsidR="00C967DD" w:rsidRPr="006C7201">
        <w:rPr>
          <w:b/>
          <w:color w:val="000000" w:themeColor="text1"/>
        </w:rPr>
        <w:t xml:space="preserve"> </w:t>
      </w:r>
      <w:r w:rsidRPr="006C7201">
        <w:rPr>
          <w:b/>
          <w:color w:val="000000" w:themeColor="text1"/>
        </w:rPr>
        <w:t>D</w:t>
      </w:r>
      <w:r w:rsidR="00C967DD" w:rsidRPr="006C7201">
        <w:rPr>
          <w:b/>
          <w:color w:val="000000" w:themeColor="text1"/>
        </w:rPr>
        <w:t xml:space="preserve"> </w:t>
      </w:r>
      <w:r w:rsidRPr="006C7201">
        <w:rPr>
          <w:b/>
          <w:color w:val="000000" w:themeColor="text1"/>
        </w:rPr>
        <w:t>E</w:t>
      </w:r>
      <w:r w:rsidR="00C967DD" w:rsidRPr="006C7201">
        <w:rPr>
          <w:b/>
          <w:color w:val="000000" w:themeColor="text1"/>
        </w:rPr>
        <w:t xml:space="preserve"> </w:t>
      </w:r>
      <w:r w:rsidRPr="006C7201">
        <w:rPr>
          <w:b/>
          <w:color w:val="000000" w:themeColor="text1"/>
        </w:rPr>
        <w:t>N</w:t>
      </w:r>
      <w:r w:rsidR="00C967DD" w:rsidRPr="006C7201">
        <w:rPr>
          <w:b/>
          <w:color w:val="000000" w:themeColor="text1"/>
        </w:rPr>
        <w:t xml:space="preserve"> </w:t>
      </w:r>
      <w:r w:rsidRPr="006C7201">
        <w:rPr>
          <w:b/>
          <w:color w:val="000000" w:themeColor="text1"/>
        </w:rPr>
        <w:t>T</w:t>
      </w:r>
      <w:r w:rsidR="00C967DD" w:rsidRPr="006C7201">
        <w:rPr>
          <w:b/>
          <w:color w:val="000000" w:themeColor="text1"/>
        </w:rPr>
        <w:t xml:space="preserve"> </w:t>
      </w:r>
      <w:r w:rsidRPr="006C7201">
        <w:rPr>
          <w:b/>
          <w:color w:val="000000" w:themeColor="text1"/>
        </w:rPr>
        <w:t>E</w:t>
      </w:r>
      <w:r w:rsidR="00C967DD" w:rsidRPr="006C7201">
        <w:rPr>
          <w:b/>
          <w:color w:val="000000" w:themeColor="text1"/>
        </w:rPr>
        <w:t xml:space="preserve"> </w:t>
      </w:r>
      <w:r w:rsidRPr="006C7201">
        <w:rPr>
          <w:b/>
          <w:color w:val="000000" w:themeColor="text1"/>
        </w:rPr>
        <w:t>S</w:t>
      </w:r>
      <w:bookmarkEnd w:id="0"/>
      <w:bookmarkEnd w:id="1"/>
      <w:bookmarkEnd w:id="2"/>
    </w:p>
    <w:p w14:paraId="5F73BCCB" w14:textId="77777777" w:rsidR="003F1A79" w:rsidRPr="006C7201" w:rsidRDefault="003F1A79" w:rsidP="003F1A79">
      <w:pPr>
        <w:rPr>
          <w:lang w:eastAsia="en-US"/>
        </w:rPr>
      </w:pPr>
    </w:p>
    <w:p w14:paraId="402A4C0A" w14:textId="2A07FD7F" w:rsidR="00D9392E" w:rsidRPr="006C7201" w:rsidRDefault="005F0007" w:rsidP="002D1A9E">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7201">
        <w:rPr>
          <w:rFonts w:ascii="Palatino Linotype" w:eastAsia="Calibri" w:hAnsi="Palatino Linotype" w:cs="Arial"/>
          <w:color w:val="000000" w:themeColor="text1"/>
          <w:lang w:val="es-ES"/>
        </w:rPr>
        <w:t>El</w:t>
      </w:r>
      <w:r w:rsidR="00D9392E" w:rsidRPr="006C7201">
        <w:rPr>
          <w:rFonts w:ascii="Palatino Linotype" w:eastAsia="Calibri" w:hAnsi="Palatino Linotype" w:cs="Arial"/>
          <w:color w:val="000000" w:themeColor="text1"/>
          <w:lang w:val="es-ES"/>
        </w:rPr>
        <w:t xml:space="preserve"> </w:t>
      </w:r>
      <w:r w:rsidR="00093486" w:rsidRPr="006C7201">
        <w:rPr>
          <w:rFonts w:ascii="Palatino Linotype" w:eastAsia="Calibri" w:hAnsi="Palatino Linotype" w:cs="Arial"/>
          <w:color w:val="000000" w:themeColor="text1"/>
          <w:lang w:val="es-ES"/>
        </w:rPr>
        <w:t>quince</w:t>
      </w:r>
      <w:r w:rsidR="002D1A9E" w:rsidRPr="006C7201">
        <w:rPr>
          <w:rFonts w:ascii="Palatino Linotype" w:eastAsia="Calibri" w:hAnsi="Palatino Linotype" w:cs="Arial"/>
          <w:color w:val="000000" w:themeColor="text1"/>
          <w:lang w:val="es-ES"/>
        </w:rPr>
        <w:t xml:space="preserve"> </w:t>
      </w:r>
      <w:r w:rsidR="00E7785D" w:rsidRPr="006C7201">
        <w:rPr>
          <w:rFonts w:ascii="Palatino Linotype" w:eastAsia="Calibri" w:hAnsi="Palatino Linotype" w:cs="Arial"/>
          <w:color w:val="000000" w:themeColor="text1"/>
          <w:lang w:val="es-ES"/>
        </w:rPr>
        <w:t>(</w:t>
      </w:r>
      <w:r w:rsidR="00093486" w:rsidRPr="006C7201">
        <w:rPr>
          <w:rFonts w:ascii="Palatino Linotype" w:eastAsia="Calibri" w:hAnsi="Palatino Linotype" w:cs="Arial"/>
          <w:color w:val="000000" w:themeColor="text1"/>
          <w:lang w:val="es-ES"/>
        </w:rPr>
        <w:t>15</w:t>
      </w:r>
      <w:r w:rsidR="00E7785D" w:rsidRPr="006C7201">
        <w:rPr>
          <w:rFonts w:ascii="Palatino Linotype" w:eastAsia="Calibri" w:hAnsi="Palatino Linotype" w:cs="Arial"/>
          <w:color w:val="000000" w:themeColor="text1"/>
          <w:lang w:val="es-ES"/>
        </w:rPr>
        <w:t>)</w:t>
      </w:r>
      <w:r w:rsidR="00160FDB" w:rsidRPr="006C7201">
        <w:rPr>
          <w:rFonts w:ascii="Palatino Linotype" w:eastAsia="Calibri" w:hAnsi="Palatino Linotype" w:cs="Arial"/>
          <w:color w:val="000000" w:themeColor="text1"/>
          <w:lang w:val="es-ES"/>
        </w:rPr>
        <w:t xml:space="preserve"> </w:t>
      </w:r>
      <w:r w:rsidR="00BB7921" w:rsidRPr="006C7201">
        <w:rPr>
          <w:rFonts w:ascii="Palatino Linotype" w:eastAsia="Calibri" w:hAnsi="Palatino Linotype" w:cs="Arial"/>
          <w:color w:val="000000" w:themeColor="text1"/>
          <w:lang w:val="es-ES"/>
        </w:rPr>
        <w:t xml:space="preserve">de </w:t>
      </w:r>
      <w:r w:rsidR="00093486" w:rsidRPr="006C7201">
        <w:rPr>
          <w:rFonts w:ascii="Palatino Linotype" w:eastAsia="Calibri" w:hAnsi="Palatino Linotype" w:cs="Arial"/>
          <w:color w:val="000000" w:themeColor="text1"/>
          <w:lang w:val="es-ES"/>
        </w:rPr>
        <w:t>noviembre</w:t>
      </w:r>
      <w:r w:rsidR="00BB7921" w:rsidRPr="006C7201">
        <w:rPr>
          <w:rFonts w:ascii="Palatino Linotype" w:eastAsia="Calibri" w:hAnsi="Palatino Linotype" w:cs="Arial"/>
          <w:color w:val="000000" w:themeColor="text1"/>
          <w:lang w:val="es-ES"/>
        </w:rPr>
        <w:t xml:space="preserve"> </w:t>
      </w:r>
      <w:r w:rsidR="00B31E90" w:rsidRPr="006C7201">
        <w:rPr>
          <w:rFonts w:ascii="Palatino Linotype" w:eastAsia="Calibri" w:hAnsi="Palatino Linotype" w:cs="Arial"/>
          <w:color w:val="000000" w:themeColor="text1"/>
          <w:lang w:val="es-ES"/>
        </w:rPr>
        <w:t>de dos mil veinti</w:t>
      </w:r>
      <w:r w:rsidR="00DC6944" w:rsidRPr="006C7201">
        <w:rPr>
          <w:rFonts w:ascii="Palatino Linotype" w:eastAsia="Calibri" w:hAnsi="Palatino Linotype" w:cs="Arial"/>
          <w:color w:val="000000" w:themeColor="text1"/>
          <w:lang w:val="es-ES"/>
        </w:rPr>
        <w:t>dós</w:t>
      </w:r>
      <w:r w:rsidR="005F1362" w:rsidRPr="006C7201">
        <w:rPr>
          <w:rFonts w:ascii="Palatino Linotype" w:eastAsia="Calibri" w:hAnsi="Palatino Linotype" w:cs="Arial"/>
          <w:color w:val="000000" w:themeColor="text1"/>
          <w:lang w:val="es-ES"/>
        </w:rPr>
        <w:t xml:space="preserve">, </w:t>
      </w:r>
      <w:r w:rsidR="004E197E" w:rsidRPr="006C7201">
        <w:rPr>
          <w:rFonts w:ascii="Palatino Linotype" w:eastAsia="Calibri" w:hAnsi="Palatino Linotype" w:cs="Arial"/>
          <w:color w:val="000000" w:themeColor="text1"/>
          <w:lang w:val="es-ES"/>
        </w:rPr>
        <w:t>el</w:t>
      </w:r>
      <w:r w:rsidR="00B31E90" w:rsidRPr="006C7201">
        <w:rPr>
          <w:rFonts w:ascii="Palatino Linotype" w:hAnsi="Palatino Linotype"/>
          <w:color w:val="000000" w:themeColor="text1"/>
        </w:rPr>
        <w:t xml:space="preserve"> particular</w:t>
      </w:r>
      <w:r w:rsidR="005F1362" w:rsidRPr="006C7201">
        <w:rPr>
          <w:rFonts w:ascii="Palatino Linotype" w:hAnsi="Palatino Linotype"/>
          <w:color w:val="000000" w:themeColor="text1"/>
        </w:rPr>
        <w:t xml:space="preserve"> presentó</w:t>
      </w:r>
      <w:r w:rsidR="005F1362" w:rsidRPr="006C7201">
        <w:rPr>
          <w:rFonts w:ascii="Palatino Linotype" w:hAnsi="Palatino Linotype"/>
          <w:b/>
          <w:color w:val="000000" w:themeColor="text1"/>
        </w:rPr>
        <w:t xml:space="preserve"> </w:t>
      </w:r>
      <w:r w:rsidR="00127E68" w:rsidRPr="006C7201">
        <w:rPr>
          <w:rFonts w:ascii="Palatino Linotype" w:hAnsi="Palatino Linotype"/>
          <w:bCs/>
          <w:color w:val="000000" w:themeColor="text1"/>
        </w:rPr>
        <w:t xml:space="preserve">a través </w:t>
      </w:r>
      <w:r w:rsidR="00994E0F" w:rsidRPr="006C7201">
        <w:rPr>
          <w:rFonts w:ascii="Palatino Linotype" w:hAnsi="Palatino Linotype"/>
          <w:bCs/>
          <w:color w:val="000000" w:themeColor="text1"/>
        </w:rPr>
        <w:t>d</w:t>
      </w:r>
      <w:r w:rsidR="000021A0" w:rsidRPr="006C7201">
        <w:rPr>
          <w:rFonts w:ascii="Palatino Linotype" w:hAnsi="Palatino Linotype"/>
          <w:bCs/>
          <w:color w:val="000000" w:themeColor="text1"/>
        </w:rPr>
        <w:t>el</w:t>
      </w:r>
      <w:r w:rsidR="004863BC" w:rsidRPr="006C7201">
        <w:rPr>
          <w:rFonts w:ascii="Palatino Linotype" w:hAnsi="Palatino Linotype"/>
          <w:bCs/>
          <w:color w:val="000000" w:themeColor="text1"/>
        </w:rPr>
        <w:t xml:space="preserve"> </w:t>
      </w:r>
      <w:r w:rsidR="005F1362" w:rsidRPr="006C7201">
        <w:rPr>
          <w:rFonts w:ascii="Palatino Linotype" w:eastAsia="Calibri" w:hAnsi="Palatino Linotype" w:cs="Arial"/>
          <w:color w:val="000000" w:themeColor="text1"/>
          <w:lang w:val="es-ES"/>
        </w:rPr>
        <w:t xml:space="preserve">Sistema de Acceso a la Información Mexiquense </w:t>
      </w:r>
      <w:r w:rsidR="005F1362" w:rsidRPr="006C7201">
        <w:rPr>
          <w:rFonts w:ascii="Palatino Linotype" w:eastAsia="Calibri" w:hAnsi="Palatino Linotype" w:cs="Arial"/>
          <w:bCs/>
          <w:color w:val="000000" w:themeColor="text1"/>
          <w:lang w:val="es-ES"/>
        </w:rPr>
        <w:t>(SAIMEX)</w:t>
      </w:r>
      <w:r w:rsidR="005F1362" w:rsidRPr="006C7201">
        <w:rPr>
          <w:rFonts w:ascii="Palatino Linotype" w:eastAsia="Calibri" w:hAnsi="Palatino Linotype" w:cs="Arial"/>
          <w:color w:val="000000" w:themeColor="text1"/>
          <w:lang w:val="es-ES"/>
        </w:rPr>
        <w:t>, la</w:t>
      </w:r>
      <w:r w:rsidR="004144F7" w:rsidRPr="006C7201">
        <w:rPr>
          <w:rFonts w:ascii="Palatino Linotype" w:eastAsia="Calibri" w:hAnsi="Palatino Linotype" w:cs="Arial"/>
          <w:color w:val="000000" w:themeColor="text1"/>
          <w:lang w:val="es-ES"/>
        </w:rPr>
        <w:t>s</w:t>
      </w:r>
      <w:r w:rsidR="005F1362" w:rsidRPr="006C7201">
        <w:rPr>
          <w:rFonts w:ascii="Palatino Linotype" w:eastAsia="Calibri" w:hAnsi="Palatino Linotype" w:cs="Arial"/>
          <w:color w:val="000000" w:themeColor="text1"/>
          <w:lang w:val="es-ES"/>
        </w:rPr>
        <w:t xml:space="preserve"> solicitud</w:t>
      </w:r>
      <w:r w:rsidR="004144F7" w:rsidRPr="006C7201">
        <w:rPr>
          <w:rFonts w:ascii="Palatino Linotype" w:eastAsia="Calibri" w:hAnsi="Palatino Linotype" w:cs="Arial"/>
          <w:color w:val="000000" w:themeColor="text1"/>
          <w:lang w:val="es-ES"/>
        </w:rPr>
        <w:t>es</w:t>
      </w:r>
      <w:r w:rsidR="005F1362" w:rsidRPr="006C7201">
        <w:rPr>
          <w:rFonts w:ascii="Palatino Linotype" w:eastAsia="Calibri" w:hAnsi="Palatino Linotype" w:cs="Arial"/>
          <w:color w:val="000000" w:themeColor="text1"/>
          <w:lang w:val="es-ES"/>
        </w:rPr>
        <w:t xml:space="preserve"> de información pública registrada</w:t>
      </w:r>
      <w:r w:rsidR="004144F7" w:rsidRPr="006C7201">
        <w:rPr>
          <w:rFonts w:ascii="Palatino Linotype" w:eastAsia="Calibri" w:hAnsi="Palatino Linotype" w:cs="Arial"/>
          <w:color w:val="000000" w:themeColor="text1"/>
          <w:lang w:val="es-ES"/>
        </w:rPr>
        <w:t>s</w:t>
      </w:r>
      <w:r w:rsidR="005F1362" w:rsidRPr="006C7201">
        <w:rPr>
          <w:rFonts w:ascii="Palatino Linotype" w:eastAsia="Calibri" w:hAnsi="Palatino Linotype" w:cs="Arial"/>
          <w:color w:val="000000" w:themeColor="text1"/>
          <w:lang w:val="es-ES"/>
        </w:rPr>
        <w:t xml:space="preserve"> con el número</w:t>
      </w:r>
      <w:r w:rsidR="005F1362" w:rsidRPr="006C7201">
        <w:rPr>
          <w:rFonts w:ascii="Palatino Linotype" w:hAnsi="Palatino Linotype"/>
          <w:b/>
          <w:bCs/>
          <w:color w:val="000000" w:themeColor="text1"/>
        </w:rPr>
        <w:t xml:space="preserve"> </w:t>
      </w:r>
      <w:r w:rsidR="00093486" w:rsidRPr="006C7201">
        <w:rPr>
          <w:rFonts w:ascii="Palatino Linotype" w:hAnsi="Palatino Linotype"/>
          <w:b/>
          <w:bCs/>
          <w:color w:val="000000" w:themeColor="text1"/>
        </w:rPr>
        <w:t>00312/MATEOATE/IP/2022</w:t>
      </w:r>
      <w:r w:rsidR="00A33C6D" w:rsidRPr="006C7201">
        <w:rPr>
          <w:rFonts w:ascii="Palatino Linotype" w:hAnsi="Palatino Linotype"/>
          <w:b/>
          <w:bCs/>
          <w:color w:val="000000" w:themeColor="text1"/>
        </w:rPr>
        <w:t xml:space="preserve"> y </w:t>
      </w:r>
      <w:r w:rsidR="00BB7921" w:rsidRPr="006C7201">
        <w:rPr>
          <w:rFonts w:ascii="Palatino Linotype" w:hAnsi="Palatino Linotype"/>
          <w:b/>
          <w:bCs/>
          <w:color w:val="000000" w:themeColor="text1"/>
        </w:rPr>
        <w:t>003</w:t>
      </w:r>
      <w:r w:rsidR="00093486" w:rsidRPr="006C7201">
        <w:rPr>
          <w:rFonts w:ascii="Palatino Linotype" w:hAnsi="Palatino Linotype"/>
          <w:b/>
          <w:bCs/>
          <w:color w:val="000000" w:themeColor="text1"/>
        </w:rPr>
        <w:t>11</w:t>
      </w:r>
      <w:r w:rsidR="00BB7921" w:rsidRPr="006C7201">
        <w:rPr>
          <w:rFonts w:ascii="Palatino Linotype" w:hAnsi="Palatino Linotype"/>
          <w:b/>
          <w:bCs/>
          <w:color w:val="000000" w:themeColor="text1"/>
        </w:rPr>
        <w:t>/</w:t>
      </w:r>
      <w:r w:rsidR="00093486" w:rsidRPr="006C7201">
        <w:rPr>
          <w:rFonts w:ascii="Palatino Linotype" w:hAnsi="Palatino Linotype"/>
          <w:b/>
          <w:bCs/>
          <w:color w:val="000000" w:themeColor="text1"/>
        </w:rPr>
        <w:t>MATEOATE</w:t>
      </w:r>
      <w:r w:rsidR="00BB7921" w:rsidRPr="006C7201">
        <w:rPr>
          <w:rFonts w:ascii="Palatino Linotype" w:hAnsi="Palatino Linotype"/>
          <w:b/>
          <w:bCs/>
          <w:color w:val="000000" w:themeColor="text1"/>
        </w:rPr>
        <w:t>/IP/2022</w:t>
      </w:r>
      <w:r w:rsidR="005F1362" w:rsidRPr="006C7201">
        <w:rPr>
          <w:rFonts w:ascii="Palatino Linotype" w:hAnsi="Palatino Linotype"/>
          <w:b/>
          <w:bCs/>
          <w:color w:val="000000" w:themeColor="text1"/>
        </w:rPr>
        <w:t>,</w:t>
      </w:r>
      <w:r w:rsidR="005F1362" w:rsidRPr="006C7201">
        <w:rPr>
          <w:rFonts w:ascii="Palatino Linotype" w:eastAsia="Calibri" w:hAnsi="Palatino Linotype" w:cs="Arial"/>
          <w:color w:val="000000" w:themeColor="text1"/>
          <w:lang w:val="es-ES"/>
        </w:rPr>
        <w:t xml:space="preserve"> mediante la</w:t>
      </w:r>
      <w:r w:rsidR="004144F7" w:rsidRPr="006C7201">
        <w:rPr>
          <w:rFonts w:ascii="Palatino Linotype" w:eastAsia="Calibri" w:hAnsi="Palatino Linotype" w:cs="Arial"/>
          <w:color w:val="000000" w:themeColor="text1"/>
          <w:lang w:val="es-ES"/>
        </w:rPr>
        <w:t>s</w:t>
      </w:r>
      <w:r w:rsidR="005F1362" w:rsidRPr="006C7201">
        <w:rPr>
          <w:rFonts w:ascii="Palatino Linotype" w:eastAsia="Calibri" w:hAnsi="Palatino Linotype" w:cs="Arial"/>
          <w:color w:val="000000" w:themeColor="text1"/>
          <w:lang w:val="es-ES"/>
        </w:rPr>
        <w:t xml:space="preserve"> cual</w:t>
      </w:r>
      <w:r w:rsidR="004144F7" w:rsidRPr="006C7201">
        <w:rPr>
          <w:rFonts w:ascii="Palatino Linotype" w:eastAsia="Calibri" w:hAnsi="Palatino Linotype" w:cs="Arial"/>
          <w:color w:val="000000" w:themeColor="text1"/>
          <w:lang w:val="es-ES"/>
        </w:rPr>
        <w:t>es</w:t>
      </w:r>
      <w:r w:rsidR="005F1362" w:rsidRPr="006C7201">
        <w:rPr>
          <w:rFonts w:ascii="Palatino Linotype" w:eastAsia="Calibri" w:hAnsi="Palatino Linotype" w:cs="Arial"/>
          <w:color w:val="000000" w:themeColor="text1"/>
          <w:lang w:val="es-ES"/>
        </w:rPr>
        <w:t xml:space="preserve"> requirió</w:t>
      </w:r>
      <w:r w:rsidR="00022D89" w:rsidRPr="006C7201">
        <w:rPr>
          <w:rFonts w:ascii="Palatino Linotype" w:eastAsia="Calibri" w:hAnsi="Palatino Linotype" w:cs="Arial"/>
          <w:color w:val="000000" w:themeColor="text1"/>
          <w:lang w:val="es-ES"/>
        </w:rPr>
        <w:t xml:space="preserve"> lo siguiente</w:t>
      </w:r>
      <w:r w:rsidR="005F1362" w:rsidRPr="006C7201">
        <w:rPr>
          <w:rFonts w:ascii="Palatino Linotype" w:eastAsia="Calibri" w:hAnsi="Palatino Linotype" w:cs="Arial"/>
          <w:color w:val="000000" w:themeColor="text1"/>
          <w:lang w:val="es-ES"/>
        </w:rPr>
        <w:t>:</w:t>
      </w:r>
    </w:p>
    <w:p w14:paraId="76EB7490" w14:textId="77777777" w:rsidR="00B31E90" w:rsidRPr="006C7201" w:rsidRDefault="00B31E90" w:rsidP="00B31E90">
      <w:pPr>
        <w:pStyle w:val="Prrafodelista"/>
        <w:spacing w:line="276" w:lineRule="auto"/>
        <w:ind w:left="567" w:right="567"/>
        <w:jc w:val="both"/>
        <w:rPr>
          <w:rFonts w:ascii="Palatino Linotype" w:hAnsi="Palatino Linotype"/>
          <w:i/>
          <w:color w:val="000000" w:themeColor="text1"/>
          <w:sz w:val="22"/>
          <w:szCs w:val="22"/>
        </w:rPr>
      </w:pPr>
    </w:p>
    <w:tbl>
      <w:tblPr>
        <w:tblStyle w:val="Tablaconcuadrcula"/>
        <w:tblW w:w="9072" w:type="dxa"/>
        <w:tblInd w:w="137" w:type="dxa"/>
        <w:tblLayout w:type="fixed"/>
        <w:tblLook w:val="04A0" w:firstRow="1" w:lastRow="0" w:firstColumn="1" w:lastColumn="0" w:noHBand="0" w:noVBand="1"/>
      </w:tblPr>
      <w:tblGrid>
        <w:gridCol w:w="2552"/>
        <w:gridCol w:w="2551"/>
        <w:gridCol w:w="3969"/>
      </w:tblGrid>
      <w:tr w:rsidR="004144F7" w:rsidRPr="006C7201" w14:paraId="379F9797" w14:textId="77777777" w:rsidTr="00D7207C">
        <w:tc>
          <w:tcPr>
            <w:tcW w:w="2552" w:type="dxa"/>
            <w:shd w:val="clear" w:color="auto" w:fill="EEECE1" w:themeFill="background2"/>
          </w:tcPr>
          <w:p w14:paraId="3D206BBF" w14:textId="6100F594" w:rsidR="004144F7" w:rsidRPr="006C7201" w:rsidRDefault="004144F7" w:rsidP="004144F7">
            <w:pPr>
              <w:pStyle w:val="Prrafodelista"/>
              <w:spacing w:line="276" w:lineRule="auto"/>
              <w:ind w:left="0" w:right="567"/>
              <w:jc w:val="center"/>
              <w:rPr>
                <w:rFonts w:ascii="Palatino Linotype" w:hAnsi="Palatino Linotype"/>
                <w:b/>
                <w:i/>
                <w:color w:val="000000" w:themeColor="text1"/>
                <w:szCs w:val="22"/>
              </w:rPr>
            </w:pPr>
            <w:r w:rsidRPr="006C7201">
              <w:rPr>
                <w:rFonts w:ascii="Palatino Linotype" w:hAnsi="Palatino Linotype"/>
                <w:b/>
                <w:i/>
                <w:color w:val="000000" w:themeColor="text1"/>
                <w:szCs w:val="22"/>
              </w:rPr>
              <w:t>Solicitud</w:t>
            </w:r>
          </w:p>
        </w:tc>
        <w:tc>
          <w:tcPr>
            <w:tcW w:w="2551" w:type="dxa"/>
            <w:shd w:val="clear" w:color="auto" w:fill="EEECE1" w:themeFill="background2"/>
          </w:tcPr>
          <w:p w14:paraId="1FD25FA5" w14:textId="4F32FBD7" w:rsidR="004144F7" w:rsidRPr="006C7201" w:rsidRDefault="004144F7" w:rsidP="004144F7">
            <w:pPr>
              <w:pStyle w:val="Prrafodelista"/>
              <w:spacing w:line="276" w:lineRule="auto"/>
              <w:ind w:left="0" w:right="175"/>
              <w:jc w:val="center"/>
              <w:rPr>
                <w:rFonts w:ascii="Palatino Linotype" w:hAnsi="Palatino Linotype"/>
                <w:b/>
                <w:i/>
                <w:color w:val="000000" w:themeColor="text1"/>
                <w:szCs w:val="22"/>
              </w:rPr>
            </w:pPr>
            <w:r w:rsidRPr="006C7201">
              <w:rPr>
                <w:rFonts w:ascii="Palatino Linotype" w:hAnsi="Palatino Linotype"/>
                <w:b/>
                <w:i/>
                <w:color w:val="000000" w:themeColor="text1"/>
                <w:szCs w:val="22"/>
              </w:rPr>
              <w:t>Recurso de revisión</w:t>
            </w:r>
          </w:p>
        </w:tc>
        <w:tc>
          <w:tcPr>
            <w:tcW w:w="3969" w:type="dxa"/>
            <w:shd w:val="clear" w:color="auto" w:fill="EEECE1" w:themeFill="background2"/>
          </w:tcPr>
          <w:p w14:paraId="64AC0DF0" w14:textId="0E60FBF9" w:rsidR="004144F7" w:rsidRPr="006C7201" w:rsidRDefault="004144F7" w:rsidP="004144F7">
            <w:pPr>
              <w:pStyle w:val="Prrafodelista"/>
              <w:spacing w:line="276" w:lineRule="auto"/>
              <w:ind w:left="0"/>
              <w:jc w:val="center"/>
              <w:rPr>
                <w:rFonts w:ascii="Palatino Linotype" w:hAnsi="Palatino Linotype"/>
                <w:b/>
                <w:i/>
                <w:color w:val="000000" w:themeColor="text1"/>
                <w:szCs w:val="22"/>
              </w:rPr>
            </w:pPr>
            <w:r w:rsidRPr="006C7201">
              <w:rPr>
                <w:rFonts w:ascii="Palatino Linotype" w:hAnsi="Palatino Linotype"/>
                <w:b/>
                <w:i/>
                <w:color w:val="000000" w:themeColor="text1"/>
                <w:szCs w:val="22"/>
              </w:rPr>
              <w:t>Información requerida</w:t>
            </w:r>
          </w:p>
        </w:tc>
      </w:tr>
      <w:tr w:rsidR="004144F7" w:rsidRPr="006C7201" w14:paraId="5CBE4689" w14:textId="77777777" w:rsidTr="00D7207C">
        <w:tc>
          <w:tcPr>
            <w:tcW w:w="2552" w:type="dxa"/>
          </w:tcPr>
          <w:p w14:paraId="39776A13" w14:textId="371AB13E" w:rsidR="004144F7" w:rsidRPr="006C7201" w:rsidRDefault="00093486" w:rsidP="006C13A5">
            <w:pPr>
              <w:pStyle w:val="Prrafodelista"/>
              <w:spacing w:line="276" w:lineRule="auto"/>
              <w:ind w:left="0" w:right="34"/>
              <w:jc w:val="both"/>
              <w:rPr>
                <w:rFonts w:ascii="Palatino Linotype" w:hAnsi="Palatino Linotype"/>
                <w:i/>
                <w:color w:val="000000" w:themeColor="text1"/>
                <w:sz w:val="18"/>
                <w:szCs w:val="18"/>
              </w:rPr>
            </w:pPr>
            <w:r w:rsidRPr="006C7201">
              <w:rPr>
                <w:rFonts w:ascii="Palatino Linotype" w:hAnsi="Palatino Linotype"/>
                <w:b/>
                <w:bCs/>
                <w:color w:val="000000" w:themeColor="text1"/>
                <w:sz w:val="18"/>
                <w:szCs w:val="18"/>
              </w:rPr>
              <w:t>00312/MATEOATE/IP/2022</w:t>
            </w:r>
          </w:p>
        </w:tc>
        <w:tc>
          <w:tcPr>
            <w:tcW w:w="2551" w:type="dxa"/>
          </w:tcPr>
          <w:p w14:paraId="352D31AC" w14:textId="7AB60A45" w:rsidR="004144F7" w:rsidRPr="006C7201" w:rsidRDefault="00093486" w:rsidP="006C13A5">
            <w:pPr>
              <w:pStyle w:val="Prrafodelista"/>
              <w:spacing w:line="276" w:lineRule="auto"/>
              <w:ind w:left="0"/>
              <w:jc w:val="both"/>
              <w:rPr>
                <w:rFonts w:ascii="Palatino Linotype" w:hAnsi="Palatino Linotype"/>
                <w:i/>
                <w:color w:val="000000" w:themeColor="text1"/>
                <w:sz w:val="18"/>
                <w:szCs w:val="18"/>
              </w:rPr>
            </w:pPr>
            <w:r w:rsidRPr="006C7201">
              <w:rPr>
                <w:rFonts w:ascii="Palatino Linotype" w:eastAsia="Calibri" w:hAnsi="Palatino Linotype" w:cs="Arial"/>
                <w:b/>
                <w:sz w:val="18"/>
                <w:szCs w:val="18"/>
                <w:lang w:val="es-ES"/>
              </w:rPr>
              <w:t>17623</w:t>
            </w:r>
            <w:r w:rsidRPr="006C7201">
              <w:rPr>
                <w:rFonts w:ascii="Palatino Linotype" w:hAnsi="Palatino Linotype"/>
                <w:b/>
                <w:sz w:val="18"/>
                <w:szCs w:val="18"/>
              </w:rPr>
              <w:t>/INFOEM/IP/RR/2022</w:t>
            </w:r>
          </w:p>
        </w:tc>
        <w:tc>
          <w:tcPr>
            <w:tcW w:w="3969" w:type="dxa"/>
          </w:tcPr>
          <w:p w14:paraId="21D75400" w14:textId="5224521C" w:rsidR="004144F7" w:rsidRPr="006C7201" w:rsidRDefault="00093486" w:rsidP="00BB7921">
            <w:pPr>
              <w:jc w:val="both"/>
              <w:rPr>
                <w:rFonts w:ascii="Palatino Linotype" w:hAnsi="Palatino Linotype"/>
                <w:i/>
              </w:rPr>
            </w:pPr>
            <w:r w:rsidRPr="006C7201">
              <w:rPr>
                <w:rFonts w:ascii="Palatino Linotype" w:hAnsi="Palatino Linotype"/>
                <w:i/>
                <w:sz w:val="22"/>
                <w:szCs w:val="14"/>
              </w:rPr>
              <w:t xml:space="preserve">Solicito al área de protección civil y bomberos las constancias de verificación, oficio o escritos donde se mencionen las fechas de verificación así como e giro comercial de la fundidora de plomo artemis7SAPI de C.V ubicada en 5 de </w:t>
            </w:r>
            <w:r w:rsidRPr="006C7201">
              <w:rPr>
                <w:rFonts w:ascii="Palatino Linotype" w:hAnsi="Palatino Linotype"/>
                <w:i/>
                <w:sz w:val="22"/>
                <w:szCs w:val="14"/>
              </w:rPr>
              <w:lastRenderedPageBreak/>
              <w:t>mayo numero 24 de la colonia reforma municipio de san mateo Atenco, así como los días laborables que tenga autorizado el horario la capacidad de personas, el numero de empleados, la cantidad de construcciones en metros, el tipo de construcción, el numero de cajones de estacionamiento par empleados, el numero de cajones de estacionamiento para tráiler de un y dos cajas, para cualquier otro tipo de transporte de carga, así como las instalaciones sanitarias y descargas al desagüe domestico de la calle 5 de mayo, así como todos los requerimientos que solicite esa coordinación de protección civil y bomberos para la instalación y funcionamiento de dicha fundidora. Los documento anteriormente citados se solicitan de los años 2018, 2019, 2020, 2021 y lo que va del año 2022. También conocer que tipo de combustible utilizan para la fundición de plomo y si cuentan con los equipos necesarios para la detección de humo e incendios, así como la cantidad de hidrantes con que cuentan, la cantidad de extinguidores y sus capacidades. Haciendo hincapié de que se señale claramente los días en que deben laborar.</w:t>
            </w:r>
          </w:p>
        </w:tc>
      </w:tr>
      <w:tr w:rsidR="004144F7" w:rsidRPr="006C7201" w14:paraId="6244763C" w14:textId="77777777" w:rsidTr="00D7207C">
        <w:tc>
          <w:tcPr>
            <w:tcW w:w="2552" w:type="dxa"/>
          </w:tcPr>
          <w:p w14:paraId="307AC88B" w14:textId="37CB9740" w:rsidR="004144F7" w:rsidRPr="006C7201" w:rsidRDefault="00093486" w:rsidP="006C13A5">
            <w:pPr>
              <w:pStyle w:val="Prrafodelista"/>
              <w:spacing w:line="276" w:lineRule="auto"/>
              <w:ind w:left="0"/>
              <w:jc w:val="both"/>
              <w:rPr>
                <w:rFonts w:ascii="Palatino Linotype" w:hAnsi="Palatino Linotype"/>
                <w:i/>
                <w:color w:val="000000" w:themeColor="text1"/>
                <w:sz w:val="18"/>
                <w:szCs w:val="18"/>
              </w:rPr>
            </w:pPr>
            <w:r w:rsidRPr="006C7201">
              <w:rPr>
                <w:rFonts w:ascii="Palatino Linotype" w:hAnsi="Palatino Linotype"/>
                <w:b/>
                <w:bCs/>
                <w:color w:val="000000" w:themeColor="text1"/>
                <w:sz w:val="18"/>
                <w:szCs w:val="18"/>
              </w:rPr>
              <w:lastRenderedPageBreak/>
              <w:t>00311/MATEOATE/IP/2022</w:t>
            </w:r>
          </w:p>
        </w:tc>
        <w:tc>
          <w:tcPr>
            <w:tcW w:w="2551" w:type="dxa"/>
          </w:tcPr>
          <w:p w14:paraId="716C5103" w14:textId="348E14FA" w:rsidR="00FC3B15" w:rsidRPr="006C7201" w:rsidRDefault="00093486" w:rsidP="006C13A5">
            <w:pPr>
              <w:pStyle w:val="Prrafodelista"/>
              <w:spacing w:line="276" w:lineRule="auto"/>
              <w:ind w:left="0"/>
              <w:jc w:val="both"/>
              <w:rPr>
                <w:rFonts w:ascii="Palatino Linotype" w:hAnsi="Palatino Linotype"/>
                <w:i/>
                <w:color w:val="000000" w:themeColor="text1"/>
                <w:sz w:val="18"/>
                <w:szCs w:val="18"/>
              </w:rPr>
            </w:pPr>
            <w:r w:rsidRPr="006C7201">
              <w:rPr>
                <w:rFonts w:ascii="Palatino Linotype" w:eastAsia="Calibri" w:hAnsi="Palatino Linotype" w:cs="Arial"/>
                <w:b/>
                <w:sz w:val="18"/>
                <w:szCs w:val="18"/>
                <w:lang w:val="es-ES"/>
              </w:rPr>
              <w:t>17625</w:t>
            </w:r>
            <w:r w:rsidRPr="006C7201">
              <w:rPr>
                <w:rFonts w:ascii="Palatino Linotype" w:hAnsi="Palatino Linotype"/>
                <w:b/>
                <w:sz w:val="18"/>
                <w:szCs w:val="18"/>
              </w:rPr>
              <w:t>/INFOEM/IP/RR/2022</w:t>
            </w:r>
          </w:p>
          <w:p w14:paraId="598E5D55" w14:textId="459F6992" w:rsidR="004144F7" w:rsidRPr="006C7201" w:rsidRDefault="00FC3B15" w:rsidP="00FC3B15">
            <w:pPr>
              <w:tabs>
                <w:tab w:val="left" w:pos="1935"/>
              </w:tabs>
              <w:rPr>
                <w:sz w:val="18"/>
                <w:szCs w:val="18"/>
              </w:rPr>
            </w:pPr>
            <w:r w:rsidRPr="006C7201">
              <w:rPr>
                <w:sz w:val="18"/>
                <w:szCs w:val="18"/>
              </w:rPr>
              <w:tab/>
            </w:r>
          </w:p>
        </w:tc>
        <w:tc>
          <w:tcPr>
            <w:tcW w:w="3969" w:type="dxa"/>
          </w:tcPr>
          <w:p w14:paraId="636CDC18" w14:textId="4E12E037" w:rsidR="004144F7" w:rsidRPr="006C7201" w:rsidRDefault="00093486" w:rsidP="00B31E90">
            <w:pPr>
              <w:pStyle w:val="Prrafodelista"/>
              <w:spacing w:line="276" w:lineRule="auto"/>
              <w:ind w:left="0"/>
              <w:jc w:val="both"/>
              <w:rPr>
                <w:rFonts w:ascii="Palatino Linotype" w:hAnsi="Palatino Linotype"/>
                <w:i/>
                <w:color w:val="000000" w:themeColor="text1"/>
                <w:sz w:val="22"/>
                <w:szCs w:val="22"/>
              </w:rPr>
            </w:pPr>
            <w:r w:rsidRPr="006C7201">
              <w:rPr>
                <w:rFonts w:ascii="Palatino Linotype" w:hAnsi="Palatino Linotype"/>
                <w:i/>
                <w:color w:val="000000" w:themeColor="text1"/>
                <w:sz w:val="22"/>
                <w:szCs w:val="22"/>
              </w:rPr>
              <w:t xml:space="preserve">Solicito al área de protección civil y bomberos las constancias de verificación, oficio o escritos donde se mencionen las fechas de verificación así como e giro comercial de la fundidora de plomo artemis7SAPI de C.V ubicada en 5 de mayo numero 22A, actualmente numero 22 de la colonia reforma municipio de san mateo Atenco, así como los días laborables </w:t>
            </w:r>
            <w:r w:rsidRPr="006C7201">
              <w:rPr>
                <w:rFonts w:ascii="Palatino Linotype" w:hAnsi="Palatino Linotype"/>
                <w:i/>
                <w:color w:val="000000" w:themeColor="text1"/>
                <w:sz w:val="22"/>
                <w:szCs w:val="22"/>
              </w:rPr>
              <w:lastRenderedPageBreak/>
              <w:t>que tenga autorizado el horario la capacidad de personas, el numero de empleados, la cantidad de construcciones en metros, el tipo de construcción, el numero de cajones de estacionamiento par empleados, el numero de cajones de estacionamiento para tráiler de un y dos cajas, para cualquier otro tipo de transporte de carga, así como las instalaciones sanitarias y descargas al desagüe domestico de la calle 5 de mayo, así como todos los requerimientos que solicite esa coordinación de protección civil y bomberos para la instalación y funcionamiento de dicha fundidora. Los documento anteriormente citados se solicitan de los años 2018, 2019, 2020, 2021 y lo que va del año 2022. También conocer que tipo de combustible utilizan para la fundición de plomo y si cuentan con los equipos necesarios para la detección de humo e incendios, así como la cantidad de hidrantes con que cuentan, la cantidad de extinguidores y sus capacidades. Haciendo hincapié de que se señale claramente los días en que deben laborar.</w:t>
            </w:r>
          </w:p>
        </w:tc>
      </w:tr>
    </w:tbl>
    <w:p w14:paraId="010F49EF" w14:textId="4293FA51" w:rsidR="004E197E" w:rsidRPr="006C7201" w:rsidRDefault="004E197E" w:rsidP="00FC3B15">
      <w:pPr>
        <w:pStyle w:val="Prrafodelista"/>
        <w:spacing w:line="276" w:lineRule="auto"/>
        <w:ind w:left="142" w:right="567"/>
        <w:jc w:val="both"/>
        <w:rPr>
          <w:rFonts w:ascii="Palatino Linotype" w:hAnsi="Palatino Linotype"/>
          <w:i/>
          <w:color w:val="000000" w:themeColor="text1"/>
          <w:szCs w:val="22"/>
        </w:rPr>
      </w:pPr>
    </w:p>
    <w:p w14:paraId="49C21E77" w14:textId="0F94B939" w:rsidR="0039142B" w:rsidRPr="006C7201" w:rsidRDefault="00836FF4"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6C7201">
        <w:rPr>
          <w:rFonts w:ascii="Palatino Linotype" w:hAnsi="Palatino Linotype" w:cs="Arial"/>
          <w:color w:val="000000" w:themeColor="text1"/>
        </w:rPr>
        <w:t>Modalidad de entrega: A través d</w:t>
      </w:r>
      <w:r w:rsidR="009C0215" w:rsidRPr="006C7201">
        <w:rPr>
          <w:rFonts w:ascii="Palatino Linotype" w:hAnsi="Palatino Linotype" w:cs="Arial"/>
          <w:color w:val="000000" w:themeColor="text1"/>
        </w:rPr>
        <w:t>e</w:t>
      </w:r>
      <w:r w:rsidR="00755146" w:rsidRPr="006C7201">
        <w:rPr>
          <w:rFonts w:ascii="Palatino Linotype" w:hAnsi="Palatino Linotype" w:cs="Arial"/>
          <w:color w:val="000000" w:themeColor="text1"/>
        </w:rPr>
        <w:t>l SAIMEX</w:t>
      </w:r>
      <w:r w:rsidR="004E197E" w:rsidRPr="006C7201">
        <w:rPr>
          <w:rFonts w:ascii="Palatino Linotype" w:hAnsi="Palatino Linotype" w:cs="Arial"/>
          <w:color w:val="000000" w:themeColor="text1"/>
        </w:rPr>
        <w:t>.</w:t>
      </w:r>
    </w:p>
    <w:p w14:paraId="35BA18A9" w14:textId="77777777" w:rsidR="0039142B" w:rsidRPr="006C7201"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3BB84062" w14:textId="64D770DA" w:rsidR="00BA3A12" w:rsidRPr="006C7201" w:rsidRDefault="00BB7921" w:rsidP="00093486">
      <w:pPr>
        <w:pStyle w:val="Prrafodelista"/>
        <w:numPr>
          <w:ilvl w:val="0"/>
          <w:numId w:val="1"/>
        </w:numPr>
        <w:tabs>
          <w:tab w:val="left" w:pos="426"/>
        </w:tabs>
        <w:spacing w:line="360" w:lineRule="auto"/>
        <w:jc w:val="both"/>
        <w:rPr>
          <w:rFonts w:ascii="Palatino Linotype" w:eastAsia="Times New Roman" w:hAnsi="Palatino Linotype" w:cs="Arial"/>
          <w:color w:val="000000" w:themeColor="text1"/>
          <w:lang w:val="es-ES"/>
        </w:rPr>
      </w:pPr>
      <w:r w:rsidRPr="006C7201">
        <w:rPr>
          <w:rFonts w:ascii="Palatino Linotype" w:eastAsia="MS Mincho" w:hAnsi="Palatino Linotype" w:cs="Times New Roman"/>
          <w:color w:val="000000" w:themeColor="text1"/>
        </w:rPr>
        <w:t xml:space="preserve">El </w:t>
      </w:r>
      <w:r w:rsidR="00093486" w:rsidRPr="006C7201">
        <w:rPr>
          <w:rFonts w:ascii="Palatino Linotype" w:eastAsia="MS Mincho" w:hAnsi="Palatino Linotype" w:cs="Times New Roman"/>
          <w:color w:val="000000" w:themeColor="text1"/>
        </w:rPr>
        <w:t>siete</w:t>
      </w:r>
      <w:r w:rsidRPr="006C7201">
        <w:rPr>
          <w:rFonts w:ascii="Palatino Linotype" w:eastAsia="MS Mincho" w:hAnsi="Palatino Linotype" w:cs="Times New Roman"/>
          <w:color w:val="000000" w:themeColor="text1"/>
        </w:rPr>
        <w:t xml:space="preserve"> (</w:t>
      </w:r>
      <w:r w:rsidR="00093486" w:rsidRPr="006C7201">
        <w:rPr>
          <w:rFonts w:ascii="Palatino Linotype" w:eastAsia="MS Mincho" w:hAnsi="Palatino Linotype" w:cs="Times New Roman"/>
          <w:color w:val="000000" w:themeColor="text1"/>
        </w:rPr>
        <w:t>7</w:t>
      </w:r>
      <w:r w:rsidRPr="006C7201">
        <w:rPr>
          <w:rFonts w:ascii="Palatino Linotype" w:eastAsia="MS Mincho" w:hAnsi="Palatino Linotype" w:cs="Times New Roman"/>
          <w:color w:val="000000" w:themeColor="text1"/>
        </w:rPr>
        <w:t xml:space="preserve">) de </w:t>
      </w:r>
      <w:r w:rsidR="00093486" w:rsidRPr="006C7201">
        <w:rPr>
          <w:rFonts w:ascii="Palatino Linotype" w:eastAsia="MS Mincho" w:hAnsi="Palatino Linotype" w:cs="Times New Roman"/>
          <w:color w:val="000000" w:themeColor="text1"/>
        </w:rPr>
        <w:t>diciembre</w:t>
      </w:r>
      <w:r w:rsidRPr="006C7201">
        <w:rPr>
          <w:rFonts w:ascii="Palatino Linotype" w:eastAsia="MS Mincho" w:hAnsi="Palatino Linotype" w:cs="Times New Roman"/>
          <w:color w:val="000000" w:themeColor="text1"/>
        </w:rPr>
        <w:t xml:space="preserve"> </w:t>
      </w:r>
      <w:r w:rsidR="00093486" w:rsidRPr="006C7201">
        <w:rPr>
          <w:rFonts w:ascii="Palatino Linotype" w:eastAsia="MS Mincho" w:hAnsi="Palatino Linotype" w:cs="Times New Roman"/>
          <w:color w:val="000000" w:themeColor="text1"/>
        </w:rPr>
        <w:t>de dos mil veintidós, el Sujeto Obligado dio respuesta a las solicitudes en los siguientes términos:</w:t>
      </w:r>
    </w:p>
    <w:p w14:paraId="3E3D4C19" w14:textId="77777777" w:rsidR="00093486" w:rsidRPr="006C7201" w:rsidRDefault="00093486" w:rsidP="00093486">
      <w:pPr>
        <w:pStyle w:val="Prrafodelista"/>
        <w:rPr>
          <w:rFonts w:ascii="Palatino Linotype" w:eastAsia="Times New Roman" w:hAnsi="Palatino Linotype" w:cs="Arial"/>
          <w:color w:val="000000" w:themeColor="text1"/>
          <w:lang w:val="es-ES"/>
        </w:rPr>
      </w:pPr>
    </w:p>
    <w:p w14:paraId="0A73C62F" w14:textId="2D00E477" w:rsidR="00093486" w:rsidRPr="006C7201" w:rsidRDefault="00093486" w:rsidP="00093486">
      <w:pPr>
        <w:rPr>
          <w:rFonts w:ascii="Palatino Linotype" w:hAnsi="Palatino Linotype"/>
          <w:b/>
          <w:bCs/>
          <w:color w:val="000000" w:themeColor="text1"/>
        </w:rPr>
      </w:pPr>
      <w:r w:rsidRPr="006C7201">
        <w:rPr>
          <w:rFonts w:ascii="Palatino Linotype" w:hAnsi="Palatino Linotype"/>
          <w:b/>
          <w:bCs/>
          <w:color w:val="000000" w:themeColor="text1"/>
        </w:rPr>
        <w:lastRenderedPageBreak/>
        <w:t>00312/MATEOATE/IP/2022</w:t>
      </w:r>
    </w:p>
    <w:p w14:paraId="31F698DF" w14:textId="77777777" w:rsidR="00093486" w:rsidRPr="006C7201" w:rsidRDefault="00093486" w:rsidP="00093486">
      <w:pPr>
        <w:rPr>
          <w:rFonts w:ascii="Palatino Linotype" w:eastAsia="Times New Roman" w:hAnsi="Palatino Linotype" w:cs="Arial"/>
          <w:color w:val="000000" w:themeColor="text1"/>
          <w:lang w:val="es-ES"/>
        </w:rPr>
      </w:pPr>
    </w:p>
    <w:p w14:paraId="18A900DE" w14:textId="77283D55" w:rsidR="00093486" w:rsidRPr="006C7201" w:rsidRDefault="00093486" w:rsidP="00093486">
      <w:pPr>
        <w:pStyle w:val="Prrafodelista"/>
        <w:tabs>
          <w:tab w:val="left" w:pos="426"/>
        </w:tabs>
        <w:spacing w:line="360" w:lineRule="auto"/>
        <w:ind w:left="567" w:right="616"/>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692FF3F" w14:textId="77777777" w:rsidR="00093486" w:rsidRPr="006C7201" w:rsidRDefault="00093486" w:rsidP="00093486">
      <w:pPr>
        <w:pStyle w:val="Prrafodelista"/>
        <w:tabs>
          <w:tab w:val="left" w:pos="426"/>
        </w:tabs>
        <w:spacing w:line="360" w:lineRule="auto"/>
        <w:ind w:left="567" w:right="616"/>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SE DA RESPUESTA A LA SOLICITUD DE FOLIO 00312/MATEOATE/IP/2022 A TRAVÉS DEL OFICIO SMA/UIPPET/UT/1043/2022.</w:t>
      </w:r>
    </w:p>
    <w:p w14:paraId="7056C902" w14:textId="77777777" w:rsidR="00093486" w:rsidRPr="006C7201" w:rsidRDefault="00093486" w:rsidP="00093486">
      <w:pPr>
        <w:pStyle w:val="Prrafodelista"/>
        <w:tabs>
          <w:tab w:val="left" w:pos="426"/>
        </w:tabs>
        <w:spacing w:line="360" w:lineRule="auto"/>
        <w:ind w:left="567" w:right="616"/>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ATENTAMENTE</w:t>
      </w:r>
    </w:p>
    <w:p w14:paraId="38114AEA" w14:textId="4C6A499D" w:rsidR="00093486" w:rsidRPr="006C7201" w:rsidRDefault="00093486" w:rsidP="00093486">
      <w:pPr>
        <w:pStyle w:val="Prrafodelista"/>
        <w:tabs>
          <w:tab w:val="left" w:pos="426"/>
        </w:tabs>
        <w:spacing w:line="360" w:lineRule="auto"/>
        <w:ind w:left="567" w:right="616"/>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BRENDA SELENE HERNANDEZ LOPEZ</w:t>
      </w:r>
    </w:p>
    <w:p w14:paraId="2496D77D" w14:textId="77777777" w:rsidR="00093486" w:rsidRPr="006C7201" w:rsidRDefault="00093486" w:rsidP="00093486">
      <w:pPr>
        <w:pStyle w:val="Prrafodelista"/>
        <w:tabs>
          <w:tab w:val="left" w:pos="426"/>
        </w:tabs>
        <w:spacing w:line="360" w:lineRule="auto"/>
        <w:ind w:left="0"/>
        <w:jc w:val="both"/>
        <w:rPr>
          <w:rFonts w:ascii="Palatino Linotype" w:eastAsia="Times New Roman" w:hAnsi="Palatino Linotype" w:cs="Arial"/>
          <w:color w:val="000000" w:themeColor="text1"/>
          <w:lang w:val="es-ES"/>
        </w:rPr>
      </w:pPr>
    </w:p>
    <w:p w14:paraId="3619A739" w14:textId="3DCB4784" w:rsidR="00093486" w:rsidRPr="006C7201" w:rsidRDefault="00093486" w:rsidP="00093486">
      <w:pPr>
        <w:pStyle w:val="Prrafodelista"/>
        <w:numPr>
          <w:ilvl w:val="0"/>
          <w:numId w:val="43"/>
        </w:numPr>
        <w:tabs>
          <w:tab w:val="left" w:pos="426"/>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transp 911.pdf</w:t>
      </w:r>
      <w:r w:rsidRPr="006C7201">
        <w:rPr>
          <w:rFonts w:ascii="Palatino Linotype" w:eastAsia="Times New Roman" w:hAnsi="Palatino Linotype" w:cs="Arial"/>
          <w:color w:val="000000" w:themeColor="text1"/>
          <w:lang w:val="es-ES"/>
        </w:rPr>
        <w:t xml:space="preserve">: Oficio SMA/DDUYM/0536/2022 </w:t>
      </w:r>
      <w:r w:rsidR="00FD0CF4" w:rsidRPr="006C7201">
        <w:rPr>
          <w:rFonts w:ascii="Palatino Linotype" w:eastAsia="Times New Roman" w:hAnsi="Palatino Linotype" w:cs="Arial"/>
          <w:color w:val="000000" w:themeColor="text1"/>
          <w:lang w:val="es-ES"/>
        </w:rPr>
        <w:t>suscrito por el Director de Desarrollo Urbano y Metropolitano mediante el cual refiere que, considerando que la petición se realiza a la Coordinación de Protección Civil y Bomberos, la dependencia a su cargo no puede emitir respuesta a los requerimientos.</w:t>
      </w:r>
    </w:p>
    <w:p w14:paraId="113117B7" w14:textId="40638800" w:rsidR="00093486" w:rsidRPr="006C7201" w:rsidRDefault="00093486" w:rsidP="00093486">
      <w:pPr>
        <w:pStyle w:val="Prrafodelista"/>
        <w:numPr>
          <w:ilvl w:val="0"/>
          <w:numId w:val="43"/>
        </w:numPr>
        <w:tabs>
          <w:tab w:val="left" w:pos="426"/>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 xml:space="preserve">img084.pdf: </w:t>
      </w:r>
      <w:r w:rsidRPr="006C7201">
        <w:rPr>
          <w:rFonts w:ascii="Palatino Linotype" w:eastAsia="Times New Roman" w:hAnsi="Palatino Linotype" w:cs="Arial"/>
          <w:color w:val="000000" w:themeColor="text1"/>
          <w:lang w:val="es-ES"/>
        </w:rPr>
        <w:t xml:space="preserve">Oficio SMA/CMPC/0244/2022 suscrito por el Coordinador Municipal de Protección Civil y Bomberos, en el que indica que no existe constancia de verificación en los años que solicitan. Existe una solicitud de fecha 7 de marzo de 2022, donde se solicita verificación y visto bueno, visita de inspección que se realizó el 16 de marzo 2022, donde se observó la carencia de señalética informativa, de prevención, extintores, así como extintores vacíos y le hacía falta dar el mantenimiento a la instalación eléctrica. Se dieron las recomendaciones necesarias para contar con las medidas de seguridad necesarias en el inmueble, posteriormente volver a solicitar su verificación en </w:t>
      </w:r>
      <w:r w:rsidRPr="006C7201">
        <w:rPr>
          <w:rFonts w:ascii="Palatino Linotype" w:eastAsia="Times New Roman" w:hAnsi="Palatino Linotype" w:cs="Arial"/>
          <w:color w:val="000000" w:themeColor="text1"/>
          <w:lang w:val="es-ES"/>
        </w:rPr>
        <w:lastRenderedPageBreak/>
        <w:t>la ventanilla y hasta la fecha no se ha registrado ninguna solicitud del inmueble.</w:t>
      </w:r>
    </w:p>
    <w:p w14:paraId="23679170" w14:textId="76F7ECA0" w:rsidR="00093486" w:rsidRPr="006C7201" w:rsidRDefault="00093486" w:rsidP="00093486">
      <w:pPr>
        <w:pStyle w:val="Prrafodelista"/>
        <w:numPr>
          <w:ilvl w:val="0"/>
          <w:numId w:val="43"/>
        </w:numPr>
        <w:tabs>
          <w:tab w:val="left" w:pos="426"/>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 xml:space="preserve">312 de.pdf: </w:t>
      </w:r>
      <w:r w:rsidRPr="006C7201">
        <w:rPr>
          <w:rFonts w:ascii="Palatino Linotype" w:eastAsia="Times New Roman" w:hAnsi="Palatino Linotype" w:cs="Arial"/>
          <w:color w:val="000000" w:themeColor="text1"/>
          <w:lang w:val="es-ES"/>
        </w:rPr>
        <w:t>Oficio SMA/DDEE</w:t>
      </w:r>
      <w:r w:rsidR="00FD0CF4" w:rsidRPr="006C7201">
        <w:rPr>
          <w:rFonts w:ascii="Palatino Linotype" w:eastAsia="Times New Roman" w:hAnsi="Palatino Linotype" w:cs="Arial"/>
          <w:color w:val="000000" w:themeColor="text1"/>
          <w:lang w:val="es-ES"/>
        </w:rPr>
        <w:t>YPC/0388/2022 suscrito por el Director de Desarrollo Económico en el que indica que el área de Protección Civil y Bomberos no se encuentra adscrita a su dirección.</w:t>
      </w:r>
    </w:p>
    <w:p w14:paraId="49D5ACE1" w14:textId="434AD3A1" w:rsidR="00093486" w:rsidRPr="006C7201" w:rsidRDefault="00093486" w:rsidP="00093486">
      <w:pPr>
        <w:pStyle w:val="Prrafodelista"/>
        <w:numPr>
          <w:ilvl w:val="0"/>
          <w:numId w:val="43"/>
        </w:numPr>
        <w:tabs>
          <w:tab w:val="left" w:pos="426"/>
        </w:tabs>
        <w:spacing w:line="360" w:lineRule="auto"/>
        <w:jc w:val="both"/>
        <w:rPr>
          <w:rFonts w:ascii="Palatino Linotype" w:eastAsia="Times New Roman" w:hAnsi="Palatino Linotype" w:cs="Arial"/>
          <w:b/>
          <w:color w:val="000000" w:themeColor="text1"/>
          <w:lang w:val="es-ES"/>
        </w:rPr>
      </w:pPr>
      <w:r w:rsidRPr="006C7201">
        <w:rPr>
          <w:rFonts w:ascii="Palatino Linotype" w:eastAsia="Times New Roman" w:hAnsi="Palatino Linotype" w:cs="Arial"/>
          <w:b/>
          <w:color w:val="000000" w:themeColor="text1"/>
          <w:lang w:val="es-ES"/>
        </w:rPr>
        <w:t>resp sol 312.pdf</w:t>
      </w:r>
      <w:r w:rsidR="00FD0CF4" w:rsidRPr="006C7201">
        <w:rPr>
          <w:rFonts w:ascii="Palatino Linotype" w:eastAsia="Times New Roman" w:hAnsi="Palatino Linotype" w:cs="Arial"/>
          <w:b/>
          <w:color w:val="000000" w:themeColor="text1"/>
          <w:lang w:val="es-ES"/>
        </w:rPr>
        <w:t>:</w:t>
      </w:r>
      <w:r w:rsidR="00FD0CF4" w:rsidRPr="006C7201">
        <w:rPr>
          <w:rFonts w:ascii="Palatino Linotype" w:eastAsia="Times New Roman" w:hAnsi="Palatino Linotype" w:cs="Arial"/>
          <w:color w:val="000000" w:themeColor="text1"/>
          <w:lang w:val="es-ES"/>
        </w:rPr>
        <w:t xml:space="preserve"> Oficio SMA/UIPPET/UT/01043/2022 suscrito por la Titular de la Unidad de Transparencia, en el que indica que la solicitud fue turnada a las áreas correspondientes, por lo que se anexan las respuestas correspondientes.</w:t>
      </w:r>
    </w:p>
    <w:p w14:paraId="77EDA5B7" w14:textId="77777777" w:rsidR="00FD0CF4" w:rsidRPr="006C7201" w:rsidRDefault="00FD0CF4" w:rsidP="00FD0CF4">
      <w:pPr>
        <w:tabs>
          <w:tab w:val="left" w:pos="426"/>
        </w:tabs>
        <w:spacing w:line="360" w:lineRule="auto"/>
        <w:jc w:val="both"/>
        <w:rPr>
          <w:rFonts w:ascii="Palatino Linotype" w:eastAsia="Times New Roman" w:hAnsi="Palatino Linotype" w:cs="Arial"/>
          <w:b/>
          <w:color w:val="000000" w:themeColor="text1"/>
          <w:lang w:val="es-ES"/>
        </w:rPr>
      </w:pPr>
    </w:p>
    <w:p w14:paraId="697061C0" w14:textId="77777777" w:rsidR="00FD0CF4" w:rsidRPr="006C7201" w:rsidRDefault="00FD0CF4" w:rsidP="00FD0CF4">
      <w:pPr>
        <w:rPr>
          <w:rFonts w:ascii="Palatino Linotype" w:hAnsi="Palatino Linotype"/>
          <w:b/>
          <w:bCs/>
          <w:color w:val="000000" w:themeColor="text1"/>
        </w:rPr>
      </w:pPr>
      <w:r w:rsidRPr="006C7201">
        <w:rPr>
          <w:rFonts w:ascii="Palatino Linotype" w:hAnsi="Palatino Linotype"/>
          <w:b/>
          <w:bCs/>
          <w:color w:val="000000" w:themeColor="text1"/>
        </w:rPr>
        <w:t>00312/MATEOATE/IP/2022</w:t>
      </w:r>
    </w:p>
    <w:p w14:paraId="339EAD70" w14:textId="77777777" w:rsidR="00FD0CF4" w:rsidRPr="006C7201" w:rsidRDefault="00FD0CF4" w:rsidP="00FD0CF4">
      <w:pPr>
        <w:tabs>
          <w:tab w:val="left" w:pos="426"/>
        </w:tabs>
        <w:spacing w:line="360" w:lineRule="auto"/>
        <w:jc w:val="both"/>
        <w:rPr>
          <w:rFonts w:ascii="Palatino Linotype" w:eastAsia="Times New Roman" w:hAnsi="Palatino Linotype" w:cs="Arial"/>
          <w:b/>
          <w:color w:val="000000" w:themeColor="text1"/>
          <w:lang w:val="es-ES"/>
        </w:rPr>
      </w:pPr>
    </w:p>
    <w:p w14:paraId="27D56054" w14:textId="77777777" w:rsidR="00FD0CF4" w:rsidRPr="006C7201" w:rsidRDefault="00FD0CF4" w:rsidP="00FD0CF4">
      <w:pPr>
        <w:tabs>
          <w:tab w:val="left" w:pos="426"/>
        </w:tabs>
        <w:spacing w:line="360" w:lineRule="auto"/>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FDD35E8" w14:textId="77777777" w:rsidR="00FD0CF4" w:rsidRPr="006C7201" w:rsidRDefault="00FD0CF4" w:rsidP="00FD0CF4">
      <w:pPr>
        <w:tabs>
          <w:tab w:val="left" w:pos="426"/>
        </w:tabs>
        <w:spacing w:line="360" w:lineRule="auto"/>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SE DA RESPUESTA A LA SOLICITUD DE FOLIO 00311/MATEOATE/IP/2022 A TRAVÉS DEL OFICIO SMA/UIPPET/UT/1039/2022.</w:t>
      </w:r>
    </w:p>
    <w:p w14:paraId="2469D262" w14:textId="77777777" w:rsidR="00FD0CF4" w:rsidRPr="006C7201" w:rsidRDefault="00FD0CF4" w:rsidP="00FD0CF4">
      <w:pPr>
        <w:tabs>
          <w:tab w:val="left" w:pos="426"/>
        </w:tabs>
        <w:spacing w:line="360" w:lineRule="auto"/>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ATENTAMENTE</w:t>
      </w:r>
    </w:p>
    <w:p w14:paraId="1762E835" w14:textId="0AB8CFEC" w:rsidR="00FD0CF4" w:rsidRPr="006C7201" w:rsidRDefault="00FD0CF4" w:rsidP="00FD0CF4">
      <w:pPr>
        <w:tabs>
          <w:tab w:val="left" w:pos="426"/>
        </w:tabs>
        <w:spacing w:line="360" w:lineRule="auto"/>
        <w:jc w:val="both"/>
        <w:rPr>
          <w:rFonts w:ascii="Palatino Linotype" w:eastAsia="Times New Roman" w:hAnsi="Palatino Linotype" w:cs="Arial"/>
          <w:i/>
          <w:color w:val="000000" w:themeColor="text1"/>
          <w:sz w:val="22"/>
          <w:lang w:val="es-ES"/>
        </w:rPr>
      </w:pPr>
      <w:r w:rsidRPr="006C7201">
        <w:rPr>
          <w:rFonts w:ascii="Palatino Linotype" w:eastAsia="Times New Roman" w:hAnsi="Palatino Linotype" w:cs="Arial"/>
          <w:i/>
          <w:color w:val="000000" w:themeColor="text1"/>
          <w:sz w:val="22"/>
          <w:lang w:val="es-ES"/>
        </w:rPr>
        <w:t>BRENDA SELENE HERNANDEZ LOPEZ</w:t>
      </w:r>
    </w:p>
    <w:p w14:paraId="7F561BAA" w14:textId="77777777" w:rsidR="00FD0CF4" w:rsidRPr="006C7201" w:rsidRDefault="00FD0CF4" w:rsidP="00FD0CF4">
      <w:pPr>
        <w:tabs>
          <w:tab w:val="left" w:pos="426"/>
        </w:tabs>
        <w:spacing w:line="360" w:lineRule="auto"/>
        <w:jc w:val="both"/>
        <w:rPr>
          <w:rFonts w:ascii="Palatino Linotype" w:eastAsia="Times New Roman" w:hAnsi="Palatino Linotype" w:cs="Arial"/>
          <w:i/>
          <w:color w:val="000000" w:themeColor="text1"/>
          <w:sz w:val="22"/>
          <w:lang w:val="es-ES"/>
        </w:rPr>
      </w:pPr>
    </w:p>
    <w:p w14:paraId="17FE1773" w14:textId="5D3C8D13" w:rsidR="00FD0CF4" w:rsidRPr="006C7201" w:rsidRDefault="00FD0CF4" w:rsidP="00FD0CF4">
      <w:pPr>
        <w:pStyle w:val="Prrafodelista"/>
        <w:numPr>
          <w:ilvl w:val="0"/>
          <w:numId w:val="44"/>
        </w:numPr>
        <w:tabs>
          <w:tab w:val="left" w:pos="426"/>
        </w:tabs>
        <w:spacing w:line="360" w:lineRule="auto"/>
        <w:jc w:val="both"/>
        <w:rPr>
          <w:rFonts w:ascii="Palatino Linotype" w:eastAsia="Times New Roman" w:hAnsi="Palatino Linotype" w:cs="Arial"/>
          <w:b/>
          <w:color w:val="000000" w:themeColor="text1"/>
          <w:lang w:val="es-ES"/>
        </w:rPr>
      </w:pPr>
      <w:r w:rsidRPr="006C7201">
        <w:rPr>
          <w:rFonts w:ascii="Palatino Linotype" w:eastAsia="Times New Roman" w:hAnsi="Palatino Linotype" w:cs="Arial"/>
          <w:b/>
          <w:color w:val="000000" w:themeColor="text1"/>
          <w:lang w:val="es-ES"/>
        </w:rPr>
        <w:t xml:space="preserve">908 transp (1).pdf: </w:t>
      </w:r>
      <w:r w:rsidRPr="006C7201">
        <w:rPr>
          <w:rFonts w:ascii="Palatino Linotype" w:eastAsia="Times New Roman" w:hAnsi="Palatino Linotype" w:cs="Arial"/>
          <w:color w:val="000000" w:themeColor="text1"/>
          <w:lang w:val="es-ES"/>
        </w:rPr>
        <w:t>Oficio SMA/DDUYM/0531/2022 suscrito por el Director de Desarrollo Urbano y Metropolitano mediante el cual refiere que, considerando que la petición se realiza a la Coordinación de Protección Civil y Bomberos, la dependencia a su cargo no puede emitir respuesta a los requerimientos.</w:t>
      </w:r>
    </w:p>
    <w:p w14:paraId="09D6612F" w14:textId="488ACC7F" w:rsidR="00FD0CF4" w:rsidRPr="006C7201" w:rsidRDefault="00FD0CF4" w:rsidP="00FD0CF4">
      <w:pPr>
        <w:pStyle w:val="Prrafodelista"/>
        <w:numPr>
          <w:ilvl w:val="0"/>
          <w:numId w:val="44"/>
        </w:numPr>
        <w:tabs>
          <w:tab w:val="left" w:pos="426"/>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lastRenderedPageBreak/>
        <w:t xml:space="preserve">img085.pdf: </w:t>
      </w:r>
      <w:r w:rsidRPr="006C7201">
        <w:rPr>
          <w:rFonts w:ascii="Palatino Linotype" w:eastAsia="Times New Roman" w:hAnsi="Palatino Linotype" w:cs="Arial"/>
          <w:color w:val="000000" w:themeColor="text1"/>
          <w:lang w:val="es-ES"/>
        </w:rPr>
        <w:t>oficio SMA/CMPC/0245/2022 suscrito por el Coordinador Municipal de Protección Civil, mediante el cual indica que no existe constancia de verificación en los años que refiere el particular.</w:t>
      </w:r>
    </w:p>
    <w:p w14:paraId="6A82AED0" w14:textId="32261C50" w:rsidR="00FD0CF4" w:rsidRPr="006C7201" w:rsidRDefault="00FD0CF4" w:rsidP="00FD0CF4">
      <w:pPr>
        <w:pStyle w:val="Prrafodelista"/>
        <w:numPr>
          <w:ilvl w:val="0"/>
          <w:numId w:val="44"/>
        </w:numPr>
        <w:tabs>
          <w:tab w:val="left" w:pos="426"/>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 xml:space="preserve">311 de.pdf: </w:t>
      </w:r>
      <w:r w:rsidRPr="006C7201">
        <w:rPr>
          <w:rFonts w:ascii="Palatino Linotype" w:eastAsia="Times New Roman" w:hAnsi="Palatino Linotype" w:cs="Arial"/>
          <w:color w:val="000000" w:themeColor="text1"/>
          <w:lang w:val="es-ES"/>
        </w:rPr>
        <w:t>SMA/DDEEYPC/0387/2022 suscrito por el Director de Desarrollo Económico y Empleo y Promoción de Calzado, en el que indica que el área de protección civil y bomberos no se encuentra a su cargo.</w:t>
      </w:r>
    </w:p>
    <w:p w14:paraId="25704152" w14:textId="06A4B7C2" w:rsidR="00FD0CF4" w:rsidRPr="006C7201" w:rsidRDefault="00FD0CF4" w:rsidP="00FD0CF4">
      <w:pPr>
        <w:pStyle w:val="Prrafodelista"/>
        <w:numPr>
          <w:ilvl w:val="0"/>
          <w:numId w:val="44"/>
        </w:numPr>
        <w:tabs>
          <w:tab w:val="left" w:pos="426"/>
        </w:tabs>
        <w:spacing w:line="360" w:lineRule="auto"/>
        <w:jc w:val="both"/>
        <w:rPr>
          <w:rFonts w:ascii="Palatino Linotype" w:eastAsia="Times New Roman" w:hAnsi="Palatino Linotype" w:cs="Arial"/>
          <w:b/>
          <w:color w:val="000000" w:themeColor="text1"/>
          <w:lang w:val="es-ES"/>
        </w:rPr>
      </w:pPr>
      <w:r w:rsidRPr="006C7201">
        <w:rPr>
          <w:rFonts w:ascii="Palatino Linotype" w:eastAsia="Times New Roman" w:hAnsi="Palatino Linotype" w:cs="Arial"/>
          <w:b/>
          <w:color w:val="000000" w:themeColor="text1"/>
          <w:lang w:val="es-ES"/>
        </w:rPr>
        <w:t xml:space="preserve">resp sol 311.pdf: </w:t>
      </w:r>
      <w:r w:rsidRPr="006C7201">
        <w:rPr>
          <w:rFonts w:ascii="Palatino Linotype" w:eastAsia="Times New Roman" w:hAnsi="Palatino Linotype" w:cs="Arial"/>
          <w:color w:val="000000" w:themeColor="text1"/>
          <w:lang w:val="es-ES"/>
        </w:rPr>
        <w:t>Oficio SMA/UIPPET/UT/01039/2022</w:t>
      </w:r>
      <w:r w:rsidRPr="006C7201">
        <w:rPr>
          <w:rFonts w:ascii="Palatino Linotype" w:eastAsia="Times New Roman" w:hAnsi="Palatino Linotype" w:cs="Arial"/>
          <w:b/>
          <w:color w:val="000000" w:themeColor="text1"/>
          <w:lang w:val="es-ES"/>
        </w:rPr>
        <w:t xml:space="preserve"> </w:t>
      </w:r>
      <w:r w:rsidRPr="006C7201">
        <w:rPr>
          <w:rFonts w:ascii="Palatino Linotype" w:eastAsia="Times New Roman" w:hAnsi="Palatino Linotype" w:cs="Arial"/>
          <w:color w:val="000000" w:themeColor="text1"/>
          <w:lang w:val="es-ES"/>
        </w:rPr>
        <w:t>suscrito por la Titular de la Unidad de Transparencia, en el que indica que la solicitud fue turnada a las áreas correspondientes, por lo que se anexan las respuestas correspondientes.</w:t>
      </w:r>
    </w:p>
    <w:p w14:paraId="2555FEBE" w14:textId="77777777" w:rsidR="00093486" w:rsidRPr="006C7201" w:rsidRDefault="00093486" w:rsidP="00093486">
      <w:pPr>
        <w:pStyle w:val="Prrafodelista"/>
        <w:tabs>
          <w:tab w:val="left" w:pos="426"/>
        </w:tabs>
        <w:spacing w:line="360" w:lineRule="auto"/>
        <w:ind w:left="0"/>
        <w:jc w:val="both"/>
        <w:rPr>
          <w:rFonts w:ascii="Palatino Linotype" w:eastAsia="Times New Roman" w:hAnsi="Palatino Linotype" w:cs="Arial"/>
          <w:color w:val="000000" w:themeColor="text1"/>
          <w:lang w:val="es-ES"/>
        </w:rPr>
      </w:pPr>
    </w:p>
    <w:p w14:paraId="272B63B3" w14:textId="08B60E7D" w:rsidR="000D5A1D" w:rsidRPr="006C7201" w:rsidRDefault="00BA3A12"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6C7201">
        <w:rPr>
          <w:rFonts w:ascii="Palatino Linotype" w:eastAsia="Times New Roman" w:hAnsi="Palatino Linotype" w:cs="Arial"/>
          <w:color w:val="000000" w:themeColor="text1"/>
          <w:lang w:val="es-ES"/>
        </w:rPr>
        <w:t>E</w:t>
      </w:r>
      <w:r w:rsidR="0083380F" w:rsidRPr="006C7201">
        <w:rPr>
          <w:rFonts w:ascii="Palatino Linotype" w:eastAsia="Times New Roman" w:hAnsi="Palatino Linotype" w:cs="Arial"/>
          <w:color w:val="000000" w:themeColor="text1"/>
          <w:lang w:val="es-ES"/>
        </w:rPr>
        <w:t xml:space="preserve">l </w:t>
      </w:r>
      <w:r w:rsidR="006178C6" w:rsidRPr="006C7201">
        <w:rPr>
          <w:rFonts w:ascii="Palatino Linotype" w:eastAsia="Times New Roman" w:hAnsi="Palatino Linotype" w:cs="Arial"/>
          <w:color w:val="000000" w:themeColor="text1"/>
          <w:lang w:val="es-ES"/>
        </w:rPr>
        <w:t>veintiuno</w:t>
      </w:r>
      <w:r w:rsidR="002D6CF5" w:rsidRPr="006C7201">
        <w:rPr>
          <w:rFonts w:ascii="Palatino Linotype" w:eastAsia="Times New Roman" w:hAnsi="Palatino Linotype" w:cs="Arial"/>
          <w:color w:val="000000" w:themeColor="text1"/>
          <w:lang w:val="es-ES"/>
        </w:rPr>
        <w:t xml:space="preserve"> (</w:t>
      </w:r>
      <w:r w:rsidR="006178C6" w:rsidRPr="006C7201">
        <w:rPr>
          <w:rFonts w:ascii="Palatino Linotype" w:eastAsia="Times New Roman" w:hAnsi="Palatino Linotype" w:cs="Arial"/>
          <w:color w:val="000000" w:themeColor="text1"/>
          <w:lang w:val="es-ES"/>
        </w:rPr>
        <w:t>21</w:t>
      </w:r>
      <w:r w:rsidR="007A078A" w:rsidRPr="006C7201">
        <w:rPr>
          <w:rFonts w:ascii="Palatino Linotype" w:eastAsia="Times New Roman" w:hAnsi="Palatino Linotype" w:cs="Arial"/>
          <w:color w:val="000000" w:themeColor="text1"/>
          <w:lang w:val="es-ES"/>
        </w:rPr>
        <w:t xml:space="preserve">) de </w:t>
      </w:r>
      <w:r w:rsidR="006178C6" w:rsidRPr="006C7201">
        <w:rPr>
          <w:rFonts w:ascii="Palatino Linotype" w:eastAsia="Times New Roman" w:hAnsi="Palatino Linotype" w:cs="Arial"/>
          <w:color w:val="000000" w:themeColor="text1"/>
          <w:lang w:val="es-ES"/>
        </w:rPr>
        <w:t>diciembre</w:t>
      </w:r>
      <w:r w:rsidR="00BD47D0" w:rsidRPr="006C7201">
        <w:rPr>
          <w:rFonts w:ascii="Palatino Linotype" w:eastAsia="Times New Roman" w:hAnsi="Palatino Linotype" w:cs="Arial"/>
          <w:color w:val="000000" w:themeColor="text1"/>
          <w:lang w:val="es-ES"/>
        </w:rPr>
        <w:t xml:space="preserve"> </w:t>
      </w:r>
      <w:r w:rsidR="00613655" w:rsidRPr="006C7201">
        <w:rPr>
          <w:rFonts w:ascii="Palatino Linotype" w:eastAsia="Times New Roman" w:hAnsi="Palatino Linotype" w:cs="Arial"/>
          <w:color w:val="000000" w:themeColor="text1"/>
          <w:lang w:val="es-ES"/>
        </w:rPr>
        <w:t>de dos mil veinti</w:t>
      </w:r>
      <w:r w:rsidR="00751F6F" w:rsidRPr="006C7201">
        <w:rPr>
          <w:rFonts w:ascii="Palatino Linotype" w:eastAsia="Times New Roman" w:hAnsi="Palatino Linotype" w:cs="Arial"/>
          <w:color w:val="000000" w:themeColor="text1"/>
          <w:lang w:val="es-ES"/>
        </w:rPr>
        <w:t>dós</w:t>
      </w:r>
      <w:r w:rsidR="00FE49E3" w:rsidRPr="006C7201">
        <w:rPr>
          <w:rFonts w:ascii="Palatino Linotype" w:eastAsia="Times New Roman" w:hAnsi="Palatino Linotype" w:cs="Arial"/>
          <w:color w:val="000000" w:themeColor="text1"/>
          <w:lang w:val="es-ES"/>
        </w:rPr>
        <w:t xml:space="preserve">, </w:t>
      </w:r>
      <w:r w:rsidR="00A33C6D" w:rsidRPr="006C7201">
        <w:rPr>
          <w:rFonts w:ascii="Palatino Linotype" w:eastAsia="Times New Roman" w:hAnsi="Palatino Linotype" w:cs="Arial"/>
          <w:color w:val="000000" w:themeColor="text1"/>
          <w:lang w:val="es-ES"/>
        </w:rPr>
        <w:t>el</w:t>
      </w:r>
      <w:r w:rsidR="005F1362" w:rsidRPr="006C7201">
        <w:rPr>
          <w:rFonts w:ascii="Palatino Linotype" w:eastAsia="Times New Roman" w:hAnsi="Palatino Linotype" w:cs="Arial"/>
          <w:color w:val="000000" w:themeColor="text1"/>
          <w:lang w:val="es-ES"/>
        </w:rPr>
        <w:t xml:space="preserve"> particular</w:t>
      </w:r>
      <w:r w:rsidR="00DB4BEF" w:rsidRPr="006C7201">
        <w:rPr>
          <w:rFonts w:ascii="Palatino Linotype" w:eastAsia="Times New Roman" w:hAnsi="Palatino Linotype" w:cs="Arial"/>
          <w:color w:val="000000" w:themeColor="text1"/>
          <w:lang w:val="es-ES"/>
        </w:rPr>
        <w:t xml:space="preserve"> interpuso</w:t>
      </w:r>
      <w:r w:rsidR="009316E9" w:rsidRPr="006C7201">
        <w:rPr>
          <w:rFonts w:ascii="Palatino Linotype" w:eastAsia="Times New Roman" w:hAnsi="Palatino Linotype" w:cs="Arial"/>
          <w:color w:val="000000" w:themeColor="text1"/>
          <w:lang w:val="es-ES"/>
        </w:rPr>
        <w:t xml:space="preserve"> </w:t>
      </w:r>
      <w:r w:rsidR="00A33C6D" w:rsidRPr="006C7201">
        <w:rPr>
          <w:rFonts w:ascii="Palatino Linotype" w:eastAsia="Times New Roman" w:hAnsi="Palatino Linotype" w:cs="Arial"/>
          <w:color w:val="000000" w:themeColor="text1"/>
          <w:lang w:val="es-ES"/>
        </w:rPr>
        <w:t>los</w:t>
      </w:r>
      <w:r w:rsidR="004D68F8" w:rsidRPr="006C7201">
        <w:rPr>
          <w:rFonts w:ascii="Palatino Linotype" w:eastAsia="Times New Roman" w:hAnsi="Palatino Linotype" w:cs="Arial"/>
          <w:color w:val="000000" w:themeColor="text1"/>
          <w:lang w:val="es-ES"/>
        </w:rPr>
        <w:t xml:space="preserve"> recurso</w:t>
      </w:r>
      <w:r w:rsidR="00A33C6D" w:rsidRPr="006C7201">
        <w:rPr>
          <w:rFonts w:ascii="Palatino Linotype" w:eastAsia="Times New Roman" w:hAnsi="Palatino Linotype" w:cs="Arial"/>
          <w:color w:val="000000" w:themeColor="text1"/>
          <w:lang w:val="es-ES"/>
        </w:rPr>
        <w:t>s</w:t>
      </w:r>
      <w:r w:rsidR="004D68F8" w:rsidRPr="006C7201">
        <w:rPr>
          <w:rFonts w:ascii="Palatino Linotype" w:eastAsia="Times New Roman" w:hAnsi="Palatino Linotype" w:cs="Arial"/>
          <w:color w:val="000000" w:themeColor="text1"/>
          <w:lang w:val="es-ES"/>
        </w:rPr>
        <w:t xml:space="preserve"> de revisión </w:t>
      </w:r>
      <w:r w:rsidR="00093486" w:rsidRPr="006C7201">
        <w:rPr>
          <w:rFonts w:ascii="Palatino Linotype" w:eastAsia="Calibri" w:hAnsi="Palatino Linotype" w:cs="Arial"/>
          <w:b/>
          <w:lang w:val="es-ES"/>
        </w:rPr>
        <w:t>17623</w:t>
      </w:r>
      <w:r w:rsidR="00093486" w:rsidRPr="006C7201">
        <w:rPr>
          <w:rFonts w:ascii="Palatino Linotype" w:hAnsi="Palatino Linotype"/>
          <w:b/>
          <w:szCs w:val="22"/>
        </w:rPr>
        <w:t>/INFOEM/IP/RR/2022</w:t>
      </w:r>
      <w:r w:rsidR="00093486" w:rsidRPr="006C7201">
        <w:rPr>
          <w:rFonts w:ascii="Palatino Linotype" w:hAnsi="Palatino Linotype"/>
          <w:b/>
          <w:sz w:val="28"/>
          <w:szCs w:val="22"/>
        </w:rPr>
        <w:t xml:space="preserve"> </w:t>
      </w:r>
      <w:r w:rsidR="00A33C6D" w:rsidRPr="006C7201">
        <w:rPr>
          <w:rFonts w:ascii="Palatino Linotype" w:hAnsi="Palatino Linotype"/>
          <w:b/>
          <w:sz w:val="22"/>
          <w:szCs w:val="22"/>
        </w:rPr>
        <w:t xml:space="preserve"> y </w:t>
      </w:r>
      <w:r w:rsidR="00093486" w:rsidRPr="006C7201">
        <w:rPr>
          <w:rFonts w:ascii="Palatino Linotype" w:eastAsia="Calibri" w:hAnsi="Palatino Linotype" w:cs="Arial"/>
          <w:b/>
          <w:lang w:val="es-ES"/>
        </w:rPr>
        <w:t>17625</w:t>
      </w:r>
      <w:r w:rsidR="00093486" w:rsidRPr="006C7201">
        <w:rPr>
          <w:rFonts w:ascii="Palatino Linotype" w:hAnsi="Palatino Linotype"/>
          <w:b/>
          <w:szCs w:val="22"/>
        </w:rPr>
        <w:t>/INFOEM/IP/RR/2022</w:t>
      </w:r>
      <w:r w:rsidR="009A0461" w:rsidRPr="006C7201">
        <w:rPr>
          <w:rFonts w:ascii="Palatino Linotype" w:eastAsia="Calibri" w:hAnsi="Palatino Linotype" w:cs="Arial"/>
          <w:b/>
          <w:color w:val="000000" w:themeColor="text1"/>
          <w:lang w:val="es-ES"/>
        </w:rPr>
        <w:t>;</w:t>
      </w:r>
      <w:r w:rsidR="00102D65" w:rsidRPr="006C7201">
        <w:rPr>
          <w:rFonts w:ascii="Palatino Linotype" w:eastAsia="Times New Roman" w:hAnsi="Palatino Linotype" w:cs="Arial"/>
          <w:color w:val="000000" w:themeColor="text1"/>
          <w:lang w:val="es-ES"/>
        </w:rPr>
        <w:t xml:space="preserve"> </w:t>
      </w:r>
      <w:r w:rsidR="00690719" w:rsidRPr="006C7201">
        <w:rPr>
          <w:rFonts w:ascii="Palatino Linotype" w:eastAsia="Times New Roman" w:hAnsi="Palatino Linotype" w:cs="Arial"/>
          <w:color w:val="000000" w:themeColor="text1"/>
          <w:lang w:val="es-ES"/>
        </w:rPr>
        <w:t>en los cuales señaló en ambos, l</w:t>
      </w:r>
      <w:r w:rsidR="004D68F8" w:rsidRPr="006C7201">
        <w:rPr>
          <w:rFonts w:ascii="Palatino Linotype" w:eastAsia="Times New Roman" w:hAnsi="Palatino Linotype" w:cs="Arial"/>
          <w:color w:val="000000" w:themeColor="text1"/>
          <w:lang w:val="es-ES"/>
        </w:rPr>
        <w:t>o siguiente:</w:t>
      </w:r>
    </w:p>
    <w:p w14:paraId="597B6C40" w14:textId="77777777" w:rsidR="00BA3A12" w:rsidRPr="006C7201" w:rsidRDefault="00BA3A12" w:rsidP="00BA3A12">
      <w:pPr>
        <w:pStyle w:val="Prrafodelista"/>
        <w:rPr>
          <w:rFonts w:ascii="Palatino Linotype" w:hAnsi="Palatino Linotype"/>
          <w:color w:val="000000" w:themeColor="text1"/>
          <w:szCs w:val="22"/>
        </w:rPr>
      </w:pPr>
    </w:p>
    <w:p w14:paraId="054906C6" w14:textId="2E1BCCC1" w:rsidR="00E34622" w:rsidRPr="006C7201" w:rsidRDefault="00093486" w:rsidP="00BA3A12">
      <w:pPr>
        <w:tabs>
          <w:tab w:val="left" w:pos="426"/>
        </w:tabs>
        <w:spacing w:line="360" w:lineRule="auto"/>
        <w:jc w:val="both"/>
        <w:rPr>
          <w:rFonts w:ascii="Palatino Linotype" w:eastAsia="Times New Roman" w:hAnsi="Palatino Linotype" w:cs="Arial"/>
          <w:color w:val="000000" w:themeColor="text1"/>
        </w:rPr>
      </w:pPr>
      <w:r w:rsidRPr="006C7201">
        <w:rPr>
          <w:rFonts w:ascii="Palatino Linotype" w:eastAsia="Calibri" w:hAnsi="Palatino Linotype" w:cs="Arial"/>
          <w:b/>
          <w:lang w:val="es-ES"/>
        </w:rPr>
        <w:t>17623</w:t>
      </w:r>
      <w:r w:rsidRPr="006C7201">
        <w:rPr>
          <w:rFonts w:ascii="Palatino Linotype" w:hAnsi="Palatino Linotype"/>
          <w:b/>
          <w:szCs w:val="22"/>
        </w:rPr>
        <w:t>/INFOEM/IP/RR/2022</w:t>
      </w:r>
    </w:p>
    <w:p w14:paraId="5D958B88" w14:textId="29AF4B48" w:rsidR="00E34622" w:rsidRPr="006C7201" w:rsidRDefault="00E34622" w:rsidP="006178C6">
      <w:pPr>
        <w:pStyle w:val="Prrafodelista"/>
        <w:numPr>
          <w:ilvl w:val="0"/>
          <w:numId w:val="2"/>
        </w:numPr>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Acto impugnado:</w:t>
      </w:r>
      <w:r w:rsidRPr="006C7201">
        <w:rPr>
          <w:rFonts w:ascii="Palatino Linotype" w:eastAsia="Times New Roman" w:hAnsi="Palatino Linotype" w:cs="Arial"/>
          <w:color w:val="000000" w:themeColor="text1"/>
          <w:lang w:val="es-ES"/>
        </w:rPr>
        <w:t xml:space="preserve"> </w:t>
      </w:r>
      <w:r w:rsidRPr="006C7201">
        <w:rPr>
          <w:rFonts w:ascii="Palatino Linotype" w:eastAsia="Times New Roman" w:hAnsi="Palatino Linotype" w:cs="Arial"/>
          <w:color w:val="000000" w:themeColor="text1"/>
          <w:sz w:val="22"/>
          <w:lang w:val="es-ES"/>
        </w:rPr>
        <w:t>“</w:t>
      </w:r>
      <w:r w:rsidR="006178C6" w:rsidRPr="006C7201">
        <w:rPr>
          <w:rFonts w:ascii="Palatino Linotype" w:eastAsia="Times New Roman" w:hAnsi="Palatino Linotype" w:cs="Arial"/>
          <w:i/>
          <w:color w:val="000000" w:themeColor="text1"/>
          <w:sz w:val="22"/>
          <w:lang w:val="es-ES"/>
        </w:rPr>
        <w:t xml:space="preserve">OFICIO No. SMA/UIPPET/UT/01043/2022 FECHADO EL 7 DE DICIEMBRE DEL 2022, GIRADO POR LA UNIDAD DE TRANSPARENCIA DE SAN MATEO ATENCO. OFICIO FECHADO EL 23 DE NOVIEMBRE DEL 2022, SMA/DDEEYPC/0388/2022 EMITIDO POR LA DIRECCION DE DESARROLLO ECONOMICO, EMPLEO Y PROMOCION DEL CALZADO. RESPECTO A LA RESPUESTA PLASMADA EN EL OFICIO SMA/DDUYM/0536/2022 DE FECHA 23 DE NOVIEMBRE DEL 2022, GIRADO POR LA DIRECCION DE DESARROLLO URBANO Y METROPOLITANO. A LA RESPUESTA DEL OFICIO No. SMA/CMPC/0244/2022 FECHADO EL 28 DE </w:t>
      </w:r>
      <w:r w:rsidR="006178C6" w:rsidRPr="006C7201">
        <w:rPr>
          <w:rFonts w:ascii="Palatino Linotype" w:eastAsia="Times New Roman" w:hAnsi="Palatino Linotype" w:cs="Arial"/>
          <w:i/>
          <w:color w:val="000000" w:themeColor="text1"/>
          <w:sz w:val="22"/>
          <w:lang w:val="es-ES"/>
        </w:rPr>
        <w:lastRenderedPageBreak/>
        <w:t>NOVIEMBRE DEL 2022 GIRADO POR LA COORDINACION MUNICIPAL DE PROTECCION CIVIL Y BOMBEROS.</w:t>
      </w:r>
      <w:r w:rsidRPr="006C7201">
        <w:rPr>
          <w:rFonts w:ascii="Palatino Linotype" w:eastAsia="Times New Roman" w:hAnsi="Palatino Linotype" w:cs="Arial"/>
          <w:i/>
          <w:color w:val="000000" w:themeColor="text1"/>
          <w:sz w:val="22"/>
          <w:lang w:val="es-ES"/>
        </w:rPr>
        <w:t>”</w:t>
      </w:r>
      <w:r w:rsidRPr="006C7201">
        <w:rPr>
          <w:rFonts w:ascii="Palatino Linotype" w:eastAsia="Times New Roman" w:hAnsi="Palatino Linotype" w:cs="Arial"/>
          <w:color w:val="000000" w:themeColor="text1"/>
          <w:sz w:val="22"/>
          <w:lang w:val="es-ES"/>
        </w:rPr>
        <w:t xml:space="preserve"> (Sic).</w:t>
      </w:r>
    </w:p>
    <w:p w14:paraId="033BFDE8" w14:textId="5D08DCF1" w:rsidR="00901BB1" w:rsidRPr="006C7201" w:rsidRDefault="00901BB1" w:rsidP="006178C6">
      <w:pPr>
        <w:pStyle w:val="Prrafodelista"/>
        <w:numPr>
          <w:ilvl w:val="0"/>
          <w:numId w:val="2"/>
        </w:numPr>
        <w:tabs>
          <w:tab w:val="left" w:pos="993"/>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Motivos o razones de inconformidad:</w:t>
      </w:r>
      <w:r w:rsidRPr="006C7201">
        <w:rPr>
          <w:rFonts w:ascii="Palatino Linotype" w:eastAsia="Times New Roman" w:hAnsi="Palatino Linotype" w:cs="Arial"/>
          <w:color w:val="000000" w:themeColor="text1"/>
          <w:lang w:val="es-ES"/>
        </w:rPr>
        <w:t xml:space="preserve"> </w:t>
      </w:r>
      <w:r w:rsidRPr="006C7201">
        <w:rPr>
          <w:rFonts w:ascii="Palatino Linotype" w:eastAsia="Times New Roman" w:hAnsi="Palatino Linotype" w:cs="Arial"/>
          <w:i/>
          <w:color w:val="000000" w:themeColor="text1"/>
          <w:lang w:val="es-ES"/>
        </w:rPr>
        <w:t>“</w:t>
      </w:r>
      <w:r w:rsidR="006178C6" w:rsidRPr="006C7201">
        <w:rPr>
          <w:rFonts w:ascii="Palatino Linotype" w:eastAsia="Times New Roman" w:hAnsi="Palatino Linotype" w:cs="Arial"/>
          <w:i/>
          <w:color w:val="000000" w:themeColor="text1"/>
          <w:sz w:val="22"/>
          <w:lang w:val="es-ES"/>
        </w:rPr>
        <w:t xml:space="preserve">21 DE DICIEMBRE DEL 2022. SE SOLICITA RECURSO DE REVISIÓN CON FUNDAMENTO EN EL ARTICULO 6, APARTADO A FRACCION I, DE LA CONSTITUCION POLITICA DE LOS ESTADOS UNIDOS MEXICANOS, ARTICULOS 4, 5, 7, 11, 12,15,16,19,20,22,17,178,179, DE LA LEY DE TRANSPARENCIA Y ACCESO A LA INFORMACIÓN PÚBLICA DEL ESTADO DE MEXICO Y MUNICIPIOS, MANIFIESTO MI INCONFORMIDAD Y SOLICITO EL RECURSO DE REVISIÓN CON RESPECTO A LAS RESPUESTAS OTORGADAS A LA SOLICITUD DE INFORMACIÓN PÚBLICA CON NÚMERO DE FOLIO 00312/MATEOATE/IP/2022 FECHADA EL 15 DE NOVIEMBRE DEL 2022. EN RESPUESTA AL OFICIO No. SMA/UIPPET/UT/01043/2022 FECHADO EL 7 DE DICIEMBRE DEL 2022, GIRADO POR LA UNIDAD DE TRANSPARENCIA DE SAN MATEO ATENCO AL SOLICITANTE, ME PERMITO INFORMAR QUE EN NINGUN MOMENTO SE HA SOLICITADO INFORMACIÓN QUE NO SEA PÚBLICA, NI QUE SE GENERE INFORMACIÓN ALGUNA, NI QUE SE PRESENTE CONFORME AL INTERES DEL SOLICITANTE, NI QUE SE RESUMA, NI SE HA SOLICITADO QUE SE EFECTUEN CALCULOS NI QUE SE PRACTIQUEN INVESTIGACIONES, UNICAMENTE SE HA SOLICITADO INFORMACIÓN QUE YA EXISTE </w:t>
      </w:r>
      <w:r w:rsidR="006178C6" w:rsidRPr="006C7201">
        <w:rPr>
          <w:rFonts w:ascii="Palatino Linotype" w:eastAsia="Times New Roman" w:hAnsi="Palatino Linotype" w:cs="Arial"/>
          <w:b/>
          <w:i/>
          <w:color w:val="000000" w:themeColor="text1"/>
          <w:sz w:val="22"/>
          <w:lang w:val="es-ES"/>
        </w:rPr>
        <w:t>Y QUE SE ENCUENTRA PLASMADA EN LAS LICENCIAS DE USO DE SUELO, LICENCIAS DE FUNCIONAMIENO</w:t>
      </w:r>
      <w:r w:rsidR="006178C6" w:rsidRPr="006C7201">
        <w:rPr>
          <w:rFonts w:ascii="Palatino Linotype" w:eastAsia="Times New Roman" w:hAnsi="Palatino Linotype" w:cs="Arial"/>
          <w:i/>
          <w:color w:val="000000" w:themeColor="text1"/>
          <w:sz w:val="22"/>
          <w:lang w:val="es-ES"/>
        </w:rPr>
        <w:t xml:space="preserve"> </w:t>
      </w:r>
      <w:r w:rsidR="006178C6" w:rsidRPr="006C7201">
        <w:rPr>
          <w:rFonts w:ascii="Palatino Linotype" w:eastAsia="Times New Roman" w:hAnsi="Palatino Linotype" w:cs="Arial"/>
          <w:b/>
          <w:i/>
          <w:color w:val="000000" w:themeColor="text1"/>
          <w:sz w:val="22"/>
          <w:lang w:val="es-ES"/>
        </w:rPr>
        <w:t>ASI COMO EN LAS CONSTANCIAS DE VERIFICACION EMITIDA</w:t>
      </w:r>
      <w:r w:rsidR="006178C6" w:rsidRPr="006C7201">
        <w:rPr>
          <w:rFonts w:ascii="Palatino Linotype" w:eastAsia="Times New Roman" w:hAnsi="Palatino Linotype" w:cs="Arial"/>
          <w:i/>
          <w:color w:val="000000" w:themeColor="text1"/>
          <w:sz w:val="22"/>
          <w:lang w:val="es-ES"/>
        </w:rPr>
        <w:t xml:space="preserve">S POR LAS AUTORIDADES CORRESPONDIENTES DEL AYUNTAMIENTO DE SAN MATEO ATENCO, ESTADO DE MEXICO. CON RESPECTO A LA RESPUESTA DEL OFICIO FECHADO EL 23 DE NOVIEMBRE DEL 2022, </w:t>
      </w:r>
      <w:r w:rsidR="006178C6" w:rsidRPr="006C7201">
        <w:rPr>
          <w:rFonts w:ascii="Palatino Linotype" w:eastAsia="Times New Roman" w:hAnsi="Palatino Linotype" w:cs="Arial"/>
          <w:i/>
          <w:color w:val="000000" w:themeColor="text1"/>
          <w:sz w:val="22"/>
          <w:lang w:val="es-ES"/>
        </w:rPr>
        <w:lastRenderedPageBreak/>
        <w:t xml:space="preserve">SMA/DDEEYPC/0388/2022 EMITIDO POR LA DIRECCION DE DESARROLLO ECONOMICO, EMPLEO Y PROMOCION DEL CALZADO GIRADO A LA P.L.C.P. Y A.P. BRENDA SELENE HERNANDEZ LOPEZ TITULAR DE LA UNIDAD DE TRANSPARENCIA EN RESPUESTA A LA SOLICITUD DE INFORMACIÓN CON No. DE FOLIO 00312/MATEOATE/IP/2022 LA CUAL ME HACEN LLEGAR COMO SOLICITANTE, MANIFIESTO MI INCONFORMIDAD A LA RESPUESTA EMITIDA EN VIRTUD DE QUE ESA DIRECCION DE DESARROLLO ECONOMICO ES QUIEN OTORGA LA LICENCIA DE FUNCIONAMIENTO MISMA QUE DEBE SER RENOVADA CADA AÑO Y EN LA CUAL SE SOLICITA LA SIGUIENTE INFORMACIÓN EN FORMATO YA ESTABLECIDO: EL FOLIO DE LA COORDINACION DE PROTECCION CIVIL, SUPERFICIE AUTORIZADA PARA LA UNIDAD ECONOMICA EN METROS CUADRADOS, FECHA DE INICIO DE OPERACIONES, NOMBRE DE LOS TITULARES O RAZON SOCIAL, DENOMINACION COMERCIAL DE LA UNIDAD ECONOMICA, GIRO AUTORIZADO, DOMICILIO, CLAVE CATASTRAL, EJIDO, NÚMERO DE CAJONES DE LA UNIDAD ECONOMICA, NÚMERO EXTERIOR, TIPO DE IMPACTO,, MOVIMIENTO REALIZADO, ASIMISMO CONTIENE NÚMERO DE LICENCIA, FECHA DE EXPEDICION, VIGENCIA Y UNA VEZ AUTORIZADA CONTIENE LOS SELLOS Y FIRMAS DE LOS RESPONSABLES DE LA DIRECCION ANTES MENCIONADA, DESCONOCIENDO EL MOTIVO POR EL CUAL SE NIEGAN A PROPORCIONAR AL SOLICITANTE LA INFORMACIÓN PÚBLICA COMO SE SOLICITA, MANIFIESTO MI INCONFORMIDAD ANTE LA NEGATIVA AL ACCESO A LA INFORMACIÓN, YA QUE NO SE SOLICITA QUE LA GENEREN NI QUE LA PRESENTEN CONFORME A MI INTERES, SE SOLICITA QUE SE ENTREGUE LO QUE POR RESPONSABILIDAD Y OBLIGACION DE ESA </w:t>
      </w:r>
      <w:r w:rsidR="006178C6" w:rsidRPr="006C7201">
        <w:rPr>
          <w:rFonts w:ascii="Palatino Linotype" w:eastAsia="Times New Roman" w:hAnsi="Palatino Linotype" w:cs="Arial"/>
          <w:i/>
          <w:color w:val="000000" w:themeColor="text1"/>
          <w:sz w:val="22"/>
          <w:lang w:val="es-ES"/>
        </w:rPr>
        <w:lastRenderedPageBreak/>
        <w:t xml:space="preserve">DIRECCION DE DESARROLLO ECONOMICO, EMPLEO Y PROMOCION AL CALZADO DEBE OBRAR EN LOS ARCHIVOS DE ESA DIRECCION Y SE PROPORCIONE AL SOLICITANTE DE CONFORMIDAD CON LA LEY DE TRANSPARENCIA Y ACCESO A LA INFORMACIÓN PÚBLICA DEL ESTADO DE MEXICO Y MUNICIPIOS, PROBABLEMENTE SON OMISOS Y NEGLIGENTES EN EL CUMPLIMIENTO DE SUS OBLIGACIONES AL NO REALIZAR UNA BUSQUEDA EXAUSTIVA DE LA INFORMACIÓN SOLICITADA PARA QUE PUEDAN OTORGARLA OPORTUNAMENTE AL SOLICITANTE , YA QUE DICHA INFORMACIÓN SE ENCUENTRA EN LAS LICENCIAS DE FUNCIONAMIENTO QUE HAN OTORGADO DESDE EL AÑO 2018 AL LA ULTIMA LICENCIA DE FUNCIONAMIENTO CON NUM. 1005 FECHADA EL 1 DE MARZO DEL 2022 Y FIRMADA POR LIC.JAIME NAVA ALEJANDRO Y POR EL LIC. MARCIAL EDUARDO GONZALEZ DIRECTOR DE DESARROLLO ECONOMICO, EMPLEO Y PROMOCION AL CALZADO CON NUM. DE FOLIO DE COORDINACION DE PROTECCION CIVIL 0143. CON RESPECTO A LA RESPUESTA PLASMADA EN EL OFICIO SMA/DDUYM/0536/2022 DE FECHA 23 DE NOVIEMBRE DEL 2022, GIRADO POR LA DIRECCION DE DESARROLLO URBANO Y METROPOLITANO GIRADO A LA P.LIC. BRENDA SELENE HERNANDEZ LOPEZ, TITULAR DE LA UNIDAD DE TRANSPARENCIA EN RESPUESTA A LA SOLICITUD No. 00311/MATEOATE/IP/2022, MANIFIESTO MI INCONFORMIDAD PORQUE NO ENTREGAN NINGUNA INFORMACIÓN SOBRE LO QUE SE SOLICITO LO CUAL CONSIDERO QUE ES UNA NEGATIVA AL ACCESO A LA INFORMACIÓN Y MANIFIESTO MI INCONFORMIDAD POR LO QUE SE REFIERE A LOS ARTICULOS QUE MENCIONA LOS CUALES NO TIENEN NADA QUE VER CON LO SOLICITADO, CARECEN DE IMPORTANCIA ANTE </w:t>
      </w:r>
      <w:r w:rsidR="006178C6" w:rsidRPr="006C7201">
        <w:rPr>
          <w:rFonts w:ascii="Palatino Linotype" w:eastAsia="Times New Roman" w:hAnsi="Palatino Linotype" w:cs="Arial"/>
          <w:i/>
          <w:color w:val="000000" w:themeColor="text1"/>
          <w:sz w:val="22"/>
          <w:lang w:val="es-ES"/>
        </w:rPr>
        <w:lastRenderedPageBreak/>
        <w:t xml:space="preserve">LA SOLICITUD NUM. 00312/MATEOATE/IP/2022, SIENDO DE SUMA IMPORTANCIA QUE DE ACUERDO A LA LEY DE TRANSPARENCIA UNICAMENTE PROPORCIONEN LO SOLICITADO FUNDADO Y MOTIVADO DE ACUERDO A LO QUE OBRE EN SUS ARCHIVOS Y REALIZANDO UNA BUSQUEDA EXAUSTIVA LA CUAL EVIDENTEMENTE NO SE LLEVO A CABO PARA PROPORCIONAR LA INFORMACIÓN SOLICITADA, NO SE ESTA SOLICITANDO NADA EXTRAORDINARIO, NI DOCUMENTOS PERSONALES, NI A CRITERIO DEL SOLICITANTE YA QUE LAS LICENCIAS DE USO DE SUELO QUE OTORGA LA DIRECCION DE DESARROLLO URBANO SON DOCUMENTOS PUBLICOS, DICHA LICENCIA DE USO DE SUELO ESPECIFICA CLARAMENTE EN EL FORMATO LOS DATOS QUE DEBE CONTENER Y SON LOS SIGUIENTES: LICENCIA DE USO DE SUELO, NÚMERO DE FOLIO, FOLIO No., LICENCIA NÚMERO, DATOS GENERALES: NOMBRE Y DATOS PERSONALES DEL SOLICITANTE, DIRECCION DEL PREDIO, NÚMERO OFICIAL, CLAVE CATASTRAL, LOCALIDAD, MUNICIPIO, SUPERFICIE TOTAL DEL PREDIO, USO GENERAL DEL SUELO, DENSIDAD, USO DEL SUELO QUE SE AUTORIZA, SUPERFICIE MAXIMA DE CONSTRUCCION QUE SE AUTORIZA, NUM. DE VIVIENDAS, SUPERFICIE MINIMA LIBRE DE CONSTRUCCION,ALTURA MAXIMA, LOTE MINIMO, ESTACIONAMIENTOS, ASI COMO OTRAS DISPOSICIONES, RESTRICCIONES, LA AUTORIZACION Y LA VIGENCIA, POR TAL MOTIVO MANIFIESTO MI INCONFORMIDAD ANTE LA FALTA DE RESPONSABILIDAD PARA ENTREGAR INFORMACIÓN SOLICITADA DEL 2018 AL 2022 YA QUE DICHA INFORMACIÓN SE ENCUENTRA EN LOS ARCHIVOS DE DICHA DIRECCION DE ACUERDO A LA LICENCIA DE USO DE SUELO NÚMERO 459/2018 EXPEDIDA EL 30 DE ABRIL DEL 2018 Y </w:t>
      </w:r>
      <w:r w:rsidR="006178C6" w:rsidRPr="006C7201">
        <w:rPr>
          <w:rFonts w:ascii="Palatino Linotype" w:eastAsia="Times New Roman" w:hAnsi="Palatino Linotype" w:cs="Arial"/>
          <w:i/>
          <w:color w:val="000000" w:themeColor="text1"/>
          <w:sz w:val="22"/>
          <w:lang w:val="es-ES"/>
        </w:rPr>
        <w:lastRenderedPageBreak/>
        <w:t xml:space="preserve">VENCIMIENTO EL 30 DE ABRIL DEL 2019 Y LICENCIA DE USO DE SUELO 313/2019 EXPEDIDA EL 20 DE JULIO DEL 2019 Y FECHA DE VENCIMIENTO 29 DE JULIO DEL 20, COMO SOLICITANTE MANIFIESTO MI INCONFORMIDAD AL NO PODER TENER ACCESO A LA INFORMACIÓN ACTUALIZADA COMO SE SOLICITO, DESCONOCIENDO EL MOTIVO POR EL CUAL PRETENDEN OCULTAR LA INFORMACIÓN. POR LO QUE RESPECTA A LA RESPUESTA DEL OFICIO No. SMA/CMPC/0244/2022 FECHADO EL 28 DE NOVIEMBRE DEL 2022 GIRADO POR LA COORDINACION MUNICIPAL DE PROTECCION CIVIL Y BOMBEROS A LA P.L.C.P. Y A.P. BRENDA SELENE HERNANDEZ LOPEZ, TITULAR DE LA UNIDAD DE TRANSPARENCIA MANIFIESTO MI INCONFORMIDAD PORQUE ME LO HACEN LLEGAR COMO RESPUESTA A LA SOLICITUD DE INFORMACIÓN PÚBLICA CON No. DE FOLIO 00312/MATEOATE/IP/2022 DE FECHA 15 DE NOVIEMBRE DEL 2022. 1.- LA MENCIONADA RESPUESTA NO CONTINE NINGUNA INFORMACIÓN POR LO CUAL MANIFIESTO MI INCONFORMIDAD ANTE LA NEGATIVA A LA INFORMACIÓN SOLICITADA. 2.- NO ENTREGARON NINGUN DOCUMENTO QUE ACREDITE LAS CONSTANCIAS DE VERIFICACION LLEVADAS A CABO LOS AÑOS 2018, 2019, 2020, 2021 Y 2022 POR LO TANTO MANIFIESTO MI INCONFORMIDAD POR LA DECLARACION DE LA INEXISTENCIA DE LA INFORMACIÓN. CON RESPECTO A LAS CONSTANCIAS DE VERIFICACION DE LOS AÑOS ANTES MENCIONADOS, EN VIRTUD DE QUE NINGUNA EMPRESA PUEDE OPERAR SI CARECE DE LAS CONSTANCIAS DE VERIFICACION POR PARTE DE LA COORDINACION MUNICIPAL DE PROTECCION CIVIL Y BOMEROS ASI COMO POR LA DIRECCION DE UNIDAD DE PROTECCION CIVIL Y DE BOMBEROS COMO SE LLAMABA ANTERIORMENTE YA QUE SIN ESAS CONSTANCIAS DE VERIFICACION </w:t>
      </w:r>
      <w:r w:rsidR="006178C6" w:rsidRPr="006C7201">
        <w:rPr>
          <w:rFonts w:ascii="Palatino Linotype" w:eastAsia="Times New Roman" w:hAnsi="Palatino Linotype" w:cs="Arial"/>
          <w:i/>
          <w:color w:val="000000" w:themeColor="text1"/>
          <w:sz w:val="22"/>
          <w:lang w:val="es-ES"/>
        </w:rPr>
        <w:lastRenderedPageBreak/>
        <w:t xml:space="preserve">OPERA DE FORMA IRREGULAR Y ES UN GRAN RIESGO PARA LA POBLACION POR LA FUNDICION DE PLOMO QUE REALIZA LA FUNDIDORA DE PLOMO ARTEMIS7. 3.- POR LO QUE RESPECTA A LAS CONSTANCIAS DE VERIFICACION, LOS OFICIOS O ESCRITOS DONDE SE MENCIONEN LAS FECHAS DE VERIFICACION, ASI COMO EL GIRO COMERCIAL DE LA FUNDIDORA DE PLOMO ARTEMIS7 S.A.P.I. DE C.V. UBICADA EN 5 DE MAYO NÚMERO 24 DE LA COLONIA REFORMA, MUNICIPIO DE SAN MATEO ATENCO, ASI COMO LOS DIAS LABORABLES QUE TENGA AUTORIZADOS, EL HORARIO, LA CAPACIDAD DE PERSONAS, EL NÚMERO DE EMPLEADOS, LA CANTIDAD DE CONSTRUCCIONES EN METROS CUADRADOS, EL TIPO DE CONSTRUCCION, EL NÚMERO DE CAJONES DE ESTACIONAMIENTO, PARA EMPLEADOS, EL NÚMERO DE CAJONES PARA ESTACIONAMIENTO PARA TRAILERS DE UNA Y DOS CAJAS, PARA CUALQUIER OTRO TIPO DE TRANSPORTE DE CARGA, ASI COMO LAS INSTALACIONES SANITARIAS Y DESCARGAS AL DESAGÜE DOMESTICO DE LA CALLE 5 DE MAYO, ASI COMO TODOS LOS REQUERIMIENTOS QUE SOLICITE ESA COORDINACION DE PROTECCION CIVIL Y BOMBEROS PARA LA INSTALACION Y FUNCIONAMIENTO DE DICHA FUNDIDORA. LOS DOCUMENTOS ANTERIORMENTE CITADOS SE SOLICITAN DE LOS AÑOS 2018, 2019,2020, 2021 Y LO QUE VA DEL AÑOS 2022. TAMBIEN CONOCER QUE TIPO DE COMBUSTIBLE UTILIZAN PARA LA FUNDICION DE PLOMO Y SI CUENTAN CON LOS EQUIPOS NECESARIOS PARA LA DETECCIÓN DE HUMO E INCENDIOS, ASI COMO LA CANTIDAD DE HIDRANTES CON QUE CUENTAN, LA CANTIDAD DE EXTINGUIDORES Y SUS CAPACIDADES. HACIENDO INCAPIE DE QUE SE SEÑALE CLARAMENTE LOS DIAS EN QUE DEBEN LABORAR, DE TODOS Y CADA UNO DE LOS CONCEPTOS </w:t>
      </w:r>
      <w:r w:rsidR="006178C6" w:rsidRPr="006C7201">
        <w:rPr>
          <w:rFonts w:ascii="Palatino Linotype" w:eastAsia="Times New Roman" w:hAnsi="Palatino Linotype" w:cs="Arial"/>
          <w:i/>
          <w:color w:val="000000" w:themeColor="text1"/>
          <w:sz w:val="22"/>
          <w:lang w:val="es-ES"/>
        </w:rPr>
        <w:lastRenderedPageBreak/>
        <w:t xml:space="preserve">MENCIONADOS ANTERIORMENTE Y DE LOS CUALES SE SOLICITO PÚBLICA DE LA CUAL NO OTORGARON RESPUESTA A NINGUNO DE LOS CONCEPTOS SIENDO REQUISITOS QUE ESTAN PLASMADOS EN EL FORMATO DE LA CONSTANCIA DE VERIFICACION, ARGUMENTANDO QUE “NO EXISTE CONSTANCIA DE VERIFICACION DE LOS AÑOS QUE SOLICITAN DE LA FUNDIDORA ARTEMIS7 S.A.P.I. DE C.V. UBICADA EN 5 DE MAYO NÚMERO 24 DE LA COLONIA REFORMA”, CON ESTA RESPUESTA CONSIDERO QUE UTILIZAN UNA FORMA MUY FACIL DE EVADIR LA SOLICITUD DE INFORMACIÓN PÚBLICA Y NO ES CREIBLE QUE HASTA EL AÑO 2022 ESA COORDINACION MUNICIPAL NO HAYA LLEVADO A CABO NINGUNA VISITA DE VERIFICACION A LA FUNDIDORA DE PLOMO ARTEMIS7 CON LA FINALIDAD DE OTORGAR LA CONSTANCIA DE VERIFICACION POR TAL MOTIVO MANIFIESTO MI INCONFORMIDAD POR NO HABER PROPORCIONADO NINGUNA INFORMACIÓN SOLICITADA EN LOS PUNTOS ANTES MENCIONADOS, POR LA DECLARACION DE LA INEXISTENCIA DE LA INFORMACIÓN Y POR PROPORCIONAR INFORMACIÓN NO SOLICITADA YA QUE LA FUNDIDORA DE PLOMO HA ESTADO OPERANDO EN EL MUNICIPIO DE SAN MATEO ATENCO DESDE EL AÑO 2018 HASTA EL 2022 ASIMISMO MANIFIESTO MI INCONFORMIDAD PORQUE NO REALIZARON UNA BUSQUEDA EXAUSTIVA EN LOS ARCHIVOS CORRESPONDIENTES. ES INCONGRUENTE LA RESPUESTA QUE DA ESA COORDINACION DE PROTECCION CIVIL Y BOMBEROS Y PROBABLEMENTE ANTIJURIDICA. NO FUNDADA NI MOTIVADA, PROBABLEMENTE CONTRAVINIENDO EL ARTICULO 6°, APARTADO A, FRACCIÓN I, III, IV DE LA CONSTITUCION POLITICA DE LOS ESTADOS UNIDOS MEXICANOS, ARTICULO 5° PARRAFO TRIGESIMO, FRACCIONES I </w:t>
      </w:r>
      <w:r w:rsidR="006178C6" w:rsidRPr="006C7201">
        <w:rPr>
          <w:rFonts w:ascii="Palatino Linotype" w:eastAsia="Times New Roman" w:hAnsi="Palatino Linotype" w:cs="Arial"/>
          <w:i/>
          <w:color w:val="000000" w:themeColor="text1"/>
          <w:sz w:val="22"/>
          <w:lang w:val="es-ES"/>
        </w:rPr>
        <w:lastRenderedPageBreak/>
        <w:t xml:space="preserve">Y III DE LA CONSTITUCION POLITICA DEL ESTADO LIBRE Y SOBERANO DE MEXICO, ARTICULO 3 DE LA LEY FEDERAL DE PROCEDIMIENTOS ADMINISTRATIVOS, DE APLICACIÓN SUPLETORIA A LA LEY FEDERAL DE TRANSPARENCIA Y ACCESO A LA INFORMACIÓN PÚBLICA, EN TERMINOS DE SU ARTICULO 7. ARTICULO 4 Y 12 DE LA LEY DE TRANSPARENCIA Y ACCESO A LA INFORMACIÓN PÚBLICA DEL ESTADO DE MEXICO Y MUNICIPIOS. POR LO QUE RESPECTA A LAS CONSTANCIAS DE VERIFICACION DEL LOS AÑOS 2018, 2019, 2020, 2021 Y 2022 SI NO OBRAN EN LOS ARCHIVOS CORRESPONDIENTES ES RESPONSABILIDAD DE LA COORDINACION MUNICIPAL DE PROTECCION CIVIL Y BOMBEROS O COMO SE LLAMABA ANTERIORMENTE DIRECCION DE UNIDAD DE PROTECCION CIVIL Y BOMBEROS SIENDO OMISOS EN SUS RESPONSABILIDADES Y FUNCIONES POR NO LLEVAR A CABO LAS VERIFICACIONES EN TIEMPO Y FORMA Y POR NO ARCHIVAR LAS CONSTANCIAS DE VERIFICACION EMITIDAS POR ESA DIRECCION, YA QUE LA FUNDIDORA DE PLOMO HA ESTADO OPERANDO A PARTIR DEL 2018 Y COMO SE MANIFIESTA EN LA CONSTANCIA DE VERIFICACION EMITIDA POR LA DIRECCION DE UNIDAD DE PROTECCION CIVIL Y DE BOMBEROS OTORGADA A ARTEMIS7 SAPI DE CV, UBICADA EN 5 DE MAYO No. 24 COL REFORMA, CON NÚMERO DE FOLIO 0143 DE FECHA 15 DE MARZO DEL 2019 Y FECHA DE VERIFICACION EL 14 DE MARZO DEL 2019 FIRMADA POR EL ENCARGADDO DE DESPACHO DE LA DIRECCION DE LA UNIDAD DE PROTECCION CIVIL Y BOMBEROS C. LUCIO PALOMARES PICHARDO Y CON SELLO DEL H. AYUNTAMIENTO CONSTITUCIONAL DE SAN MATEO ATENCO. ANTE ESTA INFORMACIÓN NO PARECE CONGRUENTE QUE ESA DIRECCION DE PROTECCION CIVIL NO TENGA CONOCIMIENTO DEL TIPO </w:t>
      </w:r>
      <w:r w:rsidR="006178C6" w:rsidRPr="006C7201">
        <w:rPr>
          <w:rFonts w:ascii="Palatino Linotype" w:eastAsia="Times New Roman" w:hAnsi="Palatino Linotype" w:cs="Arial"/>
          <w:i/>
          <w:color w:val="000000" w:themeColor="text1"/>
          <w:sz w:val="22"/>
          <w:lang w:val="es-ES"/>
        </w:rPr>
        <w:lastRenderedPageBreak/>
        <w:t>DE EMPRESA QUE ES LA FUNDIDORA DE PLOMO ASI COMO LOS RIESGOS QUE CONLLEVA EL PERMITIR SU OPERACIÓN EN UNA COLONIA HABITADA Y QUE ESA COORDINACIO SOLO MENCIONE EN SU ESCRITO DE RESPUESTA QUE SOLO TIENEN UNA SOLICITUD DE FECHA 7 DE MARZO DEL 2022 MINIMIZANDO LA SOLICITUD DE INFORMACIÓN PÚBLICA CON NÚMERO DE FOLIO 00312/MATEOATE/2022 POR TAL MOTIVO MANIFIESTO MI INCONFORMIDAD ANTE LA RESPUESTA OTORGADA YA QUE NO CORRESPONDE A LO SOLICITADO QUE SON CONSTANCIAS DE VERIFICACION DEL 2018, 2019, 2020, 2021 Y LO QUE VA DEL 2022 QUE SE SOLICITARON DE LA FUNDIDORA ANTES MENCIONADA LA CUAL CUENTA CON LICENCIA DE FUNCIONAMIENTO Y LICENCIAS DE USO DE SUELO EN EL NÚMERO 24 DE LA CALLE 5 DE MAYO, MANIFESTANDO CON ELLO QUE SON OMISOS EN EL CUMPLIMIENTO DE SUS RESPONSABILIDADES ADEMAS DE VIOLAR LOS DERECHOS HUMANOS Y PROBABLEMENTE HAN ACTUADO DE FORMA INDEBIDA. ANTE LO ANTERIORMENTE SEÑALADO MANIFIESTO MI INCONFORMIDAD ANTE LA NEGATIVA AL ACCESO A LA INFORMACIÓN Y LA VIOLACION A MI DERECHO A LA INFORMACIÓN.</w:t>
      </w:r>
      <w:r w:rsidR="007F089C" w:rsidRPr="006C7201">
        <w:rPr>
          <w:rFonts w:ascii="Palatino Linotype" w:eastAsia="Times New Roman" w:hAnsi="Palatino Linotype" w:cs="Arial"/>
          <w:i/>
          <w:color w:val="000000" w:themeColor="text1"/>
          <w:sz w:val="22"/>
          <w:lang w:val="es-ES"/>
        </w:rPr>
        <w:t xml:space="preserve">". </w:t>
      </w:r>
      <w:r w:rsidR="005B0765" w:rsidRPr="006C7201">
        <w:rPr>
          <w:rFonts w:ascii="Palatino Linotype" w:eastAsia="Times New Roman" w:hAnsi="Palatino Linotype" w:cs="Arial"/>
          <w:i/>
          <w:color w:val="000000" w:themeColor="text1"/>
          <w:sz w:val="22"/>
          <w:lang w:val="es-ES"/>
        </w:rPr>
        <w:t>(sic)</w:t>
      </w:r>
      <w:r w:rsidR="00E76251" w:rsidRPr="006C7201">
        <w:rPr>
          <w:rFonts w:ascii="Palatino Linotype" w:eastAsia="Times New Roman" w:hAnsi="Palatino Linotype" w:cs="Arial"/>
          <w:color w:val="000000" w:themeColor="text1"/>
          <w:sz w:val="22"/>
          <w:lang w:val="es-ES"/>
        </w:rPr>
        <w:t xml:space="preserve"> </w:t>
      </w:r>
    </w:p>
    <w:p w14:paraId="402724CA" w14:textId="77777777" w:rsidR="006178C6" w:rsidRPr="006C7201" w:rsidRDefault="006178C6" w:rsidP="006178C6">
      <w:pPr>
        <w:tabs>
          <w:tab w:val="left" w:pos="993"/>
        </w:tabs>
        <w:spacing w:line="360" w:lineRule="auto"/>
        <w:jc w:val="both"/>
        <w:rPr>
          <w:rFonts w:ascii="Palatino Linotype" w:eastAsia="Times New Roman" w:hAnsi="Palatino Linotype" w:cs="Arial"/>
          <w:color w:val="000000" w:themeColor="text1"/>
          <w:lang w:val="es-ES"/>
        </w:rPr>
      </w:pPr>
    </w:p>
    <w:p w14:paraId="03F86CEA" w14:textId="2A917247" w:rsidR="006178C6" w:rsidRPr="006C7201" w:rsidRDefault="006178C6" w:rsidP="006178C6">
      <w:pPr>
        <w:tabs>
          <w:tab w:val="left" w:pos="426"/>
        </w:tabs>
        <w:spacing w:line="360" w:lineRule="auto"/>
        <w:jc w:val="both"/>
        <w:rPr>
          <w:rFonts w:ascii="Palatino Linotype" w:eastAsia="Times New Roman" w:hAnsi="Palatino Linotype" w:cs="Arial"/>
          <w:color w:val="000000" w:themeColor="text1"/>
        </w:rPr>
      </w:pPr>
      <w:r w:rsidRPr="006C7201">
        <w:rPr>
          <w:rFonts w:ascii="Palatino Linotype" w:eastAsia="Calibri" w:hAnsi="Palatino Linotype" w:cs="Arial"/>
          <w:b/>
          <w:lang w:val="es-ES"/>
        </w:rPr>
        <w:t>17625</w:t>
      </w:r>
      <w:r w:rsidRPr="006C7201">
        <w:rPr>
          <w:rFonts w:ascii="Palatino Linotype" w:hAnsi="Palatino Linotype"/>
          <w:b/>
          <w:szCs w:val="22"/>
        </w:rPr>
        <w:t>/INFOEM/IP/RR/2022</w:t>
      </w:r>
    </w:p>
    <w:p w14:paraId="26BA4DB0" w14:textId="3EB48DCA" w:rsidR="006178C6" w:rsidRPr="006C7201" w:rsidRDefault="006178C6" w:rsidP="006178C6">
      <w:pPr>
        <w:pStyle w:val="Prrafodelista"/>
        <w:numPr>
          <w:ilvl w:val="0"/>
          <w:numId w:val="45"/>
        </w:numPr>
        <w:spacing w:line="360" w:lineRule="auto"/>
        <w:ind w:left="993"/>
        <w:jc w:val="both"/>
        <w:rPr>
          <w:rFonts w:ascii="Palatino Linotype" w:eastAsia="Times New Roman" w:hAnsi="Palatino Linotype" w:cs="Times New Roman"/>
          <w:i/>
          <w:sz w:val="40"/>
          <w:lang w:eastAsia="es-MX"/>
        </w:rPr>
      </w:pPr>
      <w:r w:rsidRPr="006C7201">
        <w:rPr>
          <w:rFonts w:ascii="Palatino Linotype" w:eastAsia="Times New Roman" w:hAnsi="Palatino Linotype" w:cs="Arial"/>
          <w:b/>
          <w:color w:val="000000" w:themeColor="text1"/>
          <w:lang w:val="es-ES"/>
        </w:rPr>
        <w:t>Acto impugnado:</w:t>
      </w:r>
      <w:r w:rsidRPr="006C7201">
        <w:rPr>
          <w:rFonts w:ascii="Palatino Linotype" w:eastAsia="Times New Roman" w:hAnsi="Palatino Linotype" w:cs="Arial"/>
          <w:color w:val="000000" w:themeColor="text1"/>
          <w:lang w:val="es-ES"/>
        </w:rPr>
        <w:t xml:space="preserve"> </w:t>
      </w:r>
      <w:r w:rsidRPr="006C7201">
        <w:rPr>
          <w:rFonts w:ascii="Palatino Linotype" w:eastAsia="Times New Roman" w:hAnsi="Palatino Linotype" w:cs="Arial"/>
          <w:color w:val="000000" w:themeColor="text1"/>
          <w:sz w:val="22"/>
          <w:lang w:val="es-ES"/>
        </w:rPr>
        <w:t>“</w:t>
      </w:r>
      <w:r w:rsidRPr="006C7201">
        <w:rPr>
          <w:rFonts w:ascii="Palatino Linotype" w:eastAsia="Times New Roman" w:hAnsi="Palatino Linotype" w:cs="Times New Roman"/>
          <w:i/>
          <w:sz w:val="22"/>
          <w:szCs w:val="14"/>
          <w:lang w:eastAsia="es-MX"/>
        </w:rPr>
        <w:t xml:space="preserve">MANIFIESTO MI INCONFORMIDAD CON RESPECTO A LA RESPUESTA DEL OFICIO No. SMA/UIPPET/UT/01039/2022 FECHADO EL 7 DE DICIEMBRE DEL 2022, GIRADO POR LA UNIDAD DE TRANSPARENCIA DE SAN MATEO ATENCO AL SOLICITANTE. MANIFIESTO MI INCONFORMIDAD CON RESPECTO A LA RESPUESTA DEL OFICIO FECHADO EL 23 DE NOVIEMBRE DEL 2022, SMA/DDEEYPC/0387/2022 </w:t>
      </w:r>
      <w:r w:rsidRPr="006C7201">
        <w:rPr>
          <w:rFonts w:ascii="Palatino Linotype" w:eastAsia="Times New Roman" w:hAnsi="Palatino Linotype" w:cs="Times New Roman"/>
          <w:i/>
          <w:sz w:val="22"/>
          <w:szCs w:val="14"/>
          <w:lang w:eastAsia="es-MX"/>
        </w:rPr>
        <w:lastRenderedPageBreak/>
        <w:t>GIRADO POR LA DIRECCION DE DESARROLLO ECONOMICO, EMPLEO Y PROMOCION DEL CALZADO. MANIFIESTO MI INCONFORMIDAD CON RESPECTO A LA RESPUESTA PLASMADA EN EL OFICIO SMA/DDUYM/0531/2022 DE FECHA 23 DE NOVIEMBRE DEL 2022, GIRADO POR LA DIRECCION DE DESARROLLO URBANO Y METROPOLITANO. MANIFIESTO MI INCONFORMIDAD CON RESPECTO A LA RESPUESTA DEL OFICIO No. SMA/CMPC/0245/2022 FECHADO EL 28 DE NOVIEMBRE DEL 2022 GIRADO POR LA COORDINACION MUNICIPAL DE PROTECCION CIVIL Y BOMBEROS</w:t>
      </w:r>
      <w:r w:rsidRPr="006C7201">
        <w:rPr>
          <w:rFonts w:ascii="Palatino Linotype" w:eastAsia="Times New Roman" w:hAnsi="Palatino Linotype" w:cs="Arial"/>
          <w:i/>
          <w:color w:val="000000" w:themeColor="text1"/>
          <w:sz w:val="22"/>
          <w:lang w:val="es-ES"/>
        </w:rPr>
        <w:t>”</w:t>
      </w:r>
      <w:r w:rsidRPr="006C7201">
        <w:rPr>
          <w:rFonts w:ascii="Palatino Linotype" w:eastAsia="Times New Roman" w:hAnsi="Palatino Linotype" w:cs="Arial"/>
          <w:color w:val="000000" w:themeColor="text1"/>
          <w:sz w:val="22"/>
          <w:lang w:val="es-ES"/>
        </w:rPr>
        <w:t xml:space="preserve"> (Sic).</w:t>
      </w:r>
    </w:p>
    <w:p w14:paraId="544318ED" w14:textId="2CEC8C08" w:rsidR="006178C6" w:rsidRPr="006C7201" w:rsidRDefault="006178C6" w:rsidP="006178C6">
      <w:pPr>
        <w:pStyle w:val="Prrafodelista"/>
        <w:numPr>
          <w:ilvl w:val="0"/>
          <w:numId w:val="2"/>
        </w:numPr>
        <w:tabs>
          <w:tab w:val="left" w:pos="993"/>
        </w:tabs>
        <w:spacing w:line="360" w:lineRule="auto"/>
        <w:jc w:val="both"/>
        <w:rPr>
          <w:rFonts w:ascii="Palatino Linotype" w:eastAsia="Times New Roman" w:hAnsi="Palatino Linotype" w:cs="Arial"/>
          <w:color w:val="000000" w:themeColor="text1"/>
          <w:lang w:val="es-ES"/>
        </w:rPr>
      </w:pPr>
      <w:r w:rsidRPr="006C7201">
        <w:rPr>
          <w:rFonts w:ascii="Palatino Linotype" w:eastAsia="Times New Roman" w:hAnsi="Palatino Linotype" w:cs="Arial"/>
          <w:b/>
          <w:color w:val="000000" w:themeColor="text1"/>
          <w:lang w:val="es-ES"/>
        </w:rPr>
        <w:t>Motivos o razones de inconformidad:</w:t>
      </w:r>
      <w:r w:rsidRPr="006C7201">
        <w:rPr>
          <w:rFonts w:ascii="Palatino Linotype" w:eastAsia="Times New Roman" w:hAnsi="Palatino Linotype" w:cs="Arial"/>
          <w:color w:val="000000" w:themeColor="text1"/>
          <w:lang w:val="es-ES"/>
        </w:rPr>
        <w:t xml:space="preserve"> </w:t>
      </w:r>
      <w:r w:rsidRPr="006C7201">
        <w:rPr>
          <w:rFonts w:ascii="Palatino Linotype" w:eastAsia="Times New Roman" w:hAnsi="Palatino Linotype" w:cs="Arial"/>
          <w:i/>
          <w:color w:val="000000" w:themeColor="text1"/>
          <w:lang w:val="es-ES"/>
        </w:rPr>
        <w:t>“</w:t>
      </w:r>
      <w:r w:rsidRPr="006C7201">
        <w:rPr>
          <w:rFonts w:ascii="Palatino Linotype" w:eastAsia="Times New Roman" w:hAnsi="Palatino Linotype" w:cs="Arial"/>
          <w:i/>
          <w:color w:val="000000" w:themeColor="text1"/>
          <w:sz w:val="22"/>
          <w:lang w:val="es-ES"/>
        </w:rPr>
        <w:t xml:space="preserve">21 DE DICIEMBRE DEL 2022. SE SOLICITA RECURSO DE REVISIÓN CON FUNDAMENTO EN EL ARTICULO 6, APARTADO A FRACCION I, DE LA CONSTITUCION POLITICA DE LOS ESTADOS UNIDOS MEXICANOS, ARTICULOS 4, 5, 7, 11, 12,15,16,19,20,22,17,178,179, DE LA LEY DE TRANSPARENCIA Y ACCESO A LA INFORMACIÓN PÚBLICA DEL ESTADO DE MEXICO Y MUNICIPIOS, MANIFIESTO MI INCONFORMIDAD Y SOLICITO EL RECURSO DE REVISIÓN CON RESPECTO A LAS RESPUESTAS OTORGADAS A LA SOLICITUD DE INFORMACIÓN PÚBLICA CON FOLIO NUMERO 00311/MATEOATE/IP/2022 FECHADA EL 15 DE NOVIEMBRE DEL 2022. EN RESPUESTA AL OFICIO No. SMA/UIPPET/UT/01039/2022 FECHADO EL 7 DE DICIEMBRE DEL 2022, GIRADO POR LA UNIDAD DE TRANSPARENCIA DE SAN MATEO ATENCO AL SOLICITANTE, MANIFIESTO MI INCONFORMIDAD CON RESPECTO A QUE EN NINGUN MOMENTO SE HA SOLICITADO INFORMACIÓN QUE NO SEA PÚBLICA, NI QUE SE GENERE INFORMACIÓN ALGUNA, NI QUE SE PRESENTE CONFORME AL INTERES DEL SOLICITANTE, NI QUE SE RESUMA, NI SE HA SOLICITADO QUE SE EFECTUEN CALCULOS NI QUE SE </w:t>
      </w:r>
      <w:r w:rsidRPr="006C7201">
        <w:rPr>
          <w:rFonts w:ascii="Palatino Linotype" w:eastAsia="Times New Roman" w:hAnsi="Palatino Linotype" w:cs="Arial"/>
          <w:i/>
          <w:color w:val="000000" w:themeColor="text1"/>
          <w:sz w:val="22"/>
          <w:lang w:val="es-ES"/>
        </w:rPr>
        <w:lastRenderedPageBreak/>
        <w:t xml:space="preserve">PRACTIQUEN INVESTIGACIONES, UNICAMENTE SE HA SOLICITADO INFORMACIÓN QUE YA EXISTE Y QUE SE ENCUENTRA PLASMADA EN LAS LICENCIAS DE USO DE SUELO, LICENCIAS DE FUNCIONAMIENO ASI COMO EN LAS CONSTANCIAS DE VERIFICACION EMITIDAS POR LAS AUTORIDADES CORRESPONDIENTES DEL AYUNTAMIENTO DE SAN MATEO ATENCO, ESTADO DE MEXICO. MANIFIESTO MI INCONFORMIDAD CON RESPECTO A LA RESPUESTA DEL OFICIO FECHADO EL 23 DE NOVIEMBRE DEL 2022, SMA/DDEEYPC/0387/2022 GIRADO POR LA DIRECCION DE DESARROLLO ECONOMICO, EMPLEO Y PROMOCION DEL CALZADO A LA P.L.C.P. Y A.P. BRENDA SELENE HERNANDEZ LOPEZ TITULAR DE LA UNIDAD DE TRANSPARENCIA EL CUAL ME HACEN LLEGAR COMO SOLICITANTE Y MANIFIESTO MI INCONFORMIDAD A LA RESPUESTA EMITIDAD EN VIRTUD DE QUE ESA DIRECCION DE DESARROLLO ECONOMICO ES QUIEN OTORGA LA LICENCIA DE FUNCIONAMIENTO MISMA QUE DEBE SER RENOVADA CADA AÑO Y EN LA CUAL SE SOLICITA EN FORMATO: EL FOLIO DE LA COORDINACION DE PROTECCION CIVIL, SUPERFICIE AUTORIZADA PARA LA UNIDAD ECONOMICA EN METROS CUADRADOS, FECHA DE INICIO DE OPERACIONES, NOMBRE DE LOS TITULARES O RAZON SOCIAL, DENOMINACION COMERCIAL DE LA UNIDAD ECONOMICA, GIRO AUTORIZADO, DOMICILIO, CLAVE CATASTRAL, EJIDO, NUMERO DE CAJONES DE LA UNIDAD ECONOMICA, NUMERO EXTERIOR, TIPO DE IMPACTO,, MOVIMIENTO REALIZADO, ASIMISMO CONTINE NUMERO DE LICENCIA, FECHA DE EXPEDICION, VIGENCIA Y UNA VEZ AUTORIZADA CONTINE LOS SELLOS Y FIRMAS DE LOS RESPONSABLES DE LA DIRECCION ANTES MENCIONADA. DESCONOCIENDO EL MOTIVO POR EL CUAL SE </w:t>
      </w:r>
      <w:r w:rsidRPr="006C7201">
        <w:rPr>
          <w:rFonts w:ascii="Palatino Linotype" w:eastAsia="Times New Roman" w:hAnsi="Palatino Linotype" w:cs="Arial"/>
          <w:i/>
          <w:color w:val="000000" w:themeColor="text1"/>
          <w:sz w:val="22"/>
          <w:lang w:val="es-ES"/>
        </w:rPr>
        <w:lastRenderedPageBreak/>
        <w:t xml:space="preserve">NIEGAN A PROPORCIONAR AL SOLICITANTE LA INFORMACION PÚBLICA COMO SE SOLICITA, ME INCONFORMO ANTE LA NEGATIVA AL ACCESO A LA INFORMACION, NO SE SOLICITA QUE LA GENEREN NI QUE LA PRESENTEN CONFORME A MI INTERES, SE SOLICITA QUE SE ENTREGUE LO QUE POR RESPONSABILIDAD Y OBLIGACION DE ESA DIRECCION DE DESARROLLO MUNICIPAL DEBE OBRAR EN LOS ARCHIVOS Y QUE SE LLEVE A CABO UNA BUSQUEDA EXAUSTIVA PARA QUE ENTREGUE LA INFORMACION SOLICITADA, YA QUE COMO SE MENCIONO ESA DIRECCION DE DESARROLLO ECONOMICO ES QUIEN HA OTORGADO LAS LICENCIAS DE FUNCIONAMIENTO A LA FUNDIDORA DE PLOMO ARTEMIS7 LA CUAL HA OPERADO DESDE EL AÑO 2018 AL 2022 EN EL MUNICIPIO DE SAN MATEO ATENCO Y ESA DIRECCION HA EMITIDO RECIBOS DE COBRO POR RENOVACION DE LICENCIA DE FUNCIONAMIENTO. CON RESPECTO A LA RESPUESTA PLASMADA EN EL OFICIO SMA/DDUYM/0531/2022 DE FECHA 23 DE NOVIEMBRE DEL 2022, GIRADO POR LA DIRECCION DE DESARROLLO URBANO Y METROPOLITANO GIRADO A LA P.LIC. BRENDA SELENE HERNANDEZ LOPEZ, JEFA DE LA UNIDAD DE TRANSPARENCIA EN RESPUESTA A LA SOLICITUD No. 00311/MATEOATE/IP/2022 QUE ME HACEN LLEGAR COMO RESPUESTA A MI SOLICITUD, MANIFIESTO MI INCONFORMIDAD PORQUE NO ENTREGAN NINGUNA INFORMACION SOBRE LO QUE SE SOLICITO LO CUAL CONSIDERO QUE ES UNA NEGATIVA AL ACCESO A LA INFORMACION Y ME INCONFORMO POR LO QUE SE REFIERE A LOS ARTICULOS QUE MENCIONA NO TIENEN NADA QUE VER CON LO SOLICITADO, CARECEN DE IMPORTANCIA ANTE LA SOLICITUD NUM. 00311/MATEOATE/IP/2022, SIENDO DE SUMA IMPORTANCIA QUE DE </w:t>
      </w:r>
      <w:r w:rsidRPr="006C7201">
        <w:rPr>
          <w:rFonts w:ascii="Palatino Linotype" w:eastAsia="Times New Roman" w:hAnsi="Palatino Linotype" w:cs="Arial"/>
          <w:i/>
          <w:color w:val="000000" w:themeColor="text1"/>
          <w:sz w:val="22"/>
          <w:lang w:val="es-ES"/>
        </w:rPr>
        <w:lastRenderedPageBreak/>
        <w:t xml:space="preserve">ACUERDO A LA LEY DE TRANSPARENCIA UNICAMENTE PROPORCIONEN LO SOLICITADO FUNDADO Y MOTIVADO DE ACUERDO A LO QUE OBRE EN SUS ARCHIVOS Y LLEVANDO A CABO UNA BUSQUEDA EXAUSTIVA LA CUAL EVIDENTEMENTE NO SE LLEVO A CABO PARA PROPORCIONAR LA INFORMACION SOLICITADA, NO SE ESTA SOLICITANDO NADA EXTRAORDINARIO, NI DOCUMENTOS PERSONALES, NI A CRITERIO DEL SOLICITANTE YA QUE EN LAS LICENCIAS DE USO DE SUELO QUE OTORGA LA DIRECCION DE DESARROLLO URBANO Y METROPOLITANO ESPECIFICA CLARAMENTE LO QUE DEBE CONTENER DICHA LICENCIA DE USO DE SUELO Y ES LO SIGUIENTE: LICENCIA DE USO DE SUELO, NUMERO DE FOLIO, FOLIO No., LICENCIA NUMERO, DATOS GENERALES: NOMBRE Y DATOS PERSONALES DEL SOLICITANTE, DIRECCION DEL PREDIO, NUMERO OFICIAL, CLAVE CATASTRAL, LOCALIDAD, MUNICIPIO, SUPERFICIE TOTAL DEL PREDIO, USO GENERAL DEL SUELO, DENSIDAD, USO DEL SUELO QUE SE AUTORIZA, SUPERFICIE MAXIMA DE CONSTRUCCION QUE SE AUTORIZA, NUM. DE VIVIENDAS, SUPERFICIE MINIMA LIBRE DE CONSTRUCCION, ALTURA MAXIMA, LOTE MINIMO, ESTACIONAMIENTOS, ASI COMO OTRAS DISPOSICIONES, RESTRICCIONES, LA AUTORIZACION Y LA VIGENCIA. ME INCONFORMO ANTE LA NEGATIVA DE PROPORCIONAR LA INFORMACION SOLICITADA DEL 2018 AL 2022 YA QUE DICHA INFORMACION SE ENCUENTRA EN LOS ARCHIVOS DE DICHA DIRECCION DE ACUERDO A LA LICENCIA DE USO DE SUELO NUMERO 459/2018 EXPEDIDA EL 30 DE ABRIL DEL 2018 Y VENCIMIENTO EL 30 DE ABRIL DEL 2019, LICENCIA DE USO DE SUELO 313/2019 EXPEDIDA EL 20 DE JULIO DEL 2019 Y FECHA DE VENCIMIENTO 29 DE JULIO DEL 20, COMO SOLICITANTE ME INCONFORMO ANTE LA </w:t>
      </w:r>
      <w:r w:rsidRPr="006C7201">
        <w:rPr>
          <w:rFonts w:ascii="Palatino Linotype" w:eastAsia="Times New Roman" w:hAnsi="Palatino Linotype" w:cs="Arial"/>
          <w:i/>
          <w:color w:val="000000" w:themeColor="text1"/>
          <w:sz w:val="22"/>
          <w:lang w:val="es-ES"/>
        </w:rPr>
        <w:lastRenderedPageBreak/>
        <w:t xml:space="preserve">NEGATIVA AL ACCESO A LA INFORMACION ACTUALIZADA A LO QUE VA DEL AÑO 2022, QUE LA RESPUESTA PROBABLEMENTE SEA ANTEJURIDICA, CARENTE DE FUNDAMENTACION Y MOTIVACION Y PORQUE LA RESPUESTA NO CORRESPONDE A LO SOLICITADO, DESCONOZCO EL MOTIVO POR EL CUAL PRETENDEN OCULTARLA. POR LO QUE RESPECTA A LA RESPUESTA DEL OFICIO No. SMA/CMPC/0245/2022 FECHADO EL 28 DE NOVIEMBRE DEL 2022 GIRADO POR LA COORDINACION MUNICIPAL DE PROTECCION CIVIL Y BOMBEROS A LA P.L.C.P. Y A.P. BRENDA SELENE HERNANDEZ LOPEZ, TITULAR DE LA UNIDAD DE TRANSPARENCIA MANIFIESTO MI INCONFORMIDAD PORQUE ME LO HACEN LLEGAR COMO RESPUESTA A LA SOLICITUD CON NO. DE FOLIO 00311/MATEOATE/IP/2022 DE FECHA 15 DE NOVIEMBRE DEL 2022. 1.- LA MENCIONADA RESPUESTA NO CONTINE NINGUNA INFORMACION POR LO CUAL MANIFIESTO MI INCONFORMIDAD ANTE LA NEGATIVA A LA INFORMACION SOLICITADA. 2.- NO ENTREGARON NINGUN DOCUMENTO QUE ACREDITE LAS CONSTANCIAS DE VERIFICACION LLEVADAS A CABO LOS AÑOS 2018, 2019, 2020, 2021 Y 2022 POR LO TANTO MANIFIESTO MI INCONFORMIDAD POR LA DECLARACION DE LA INEXISTENCIA DE LA INFORMACION. CON RESPECTO A LAS CONSTANCIAS DE VERIFICACION DE LOS AÑOS ANTES MENCIONADOS, EN VIRTUD DE QUE NINGUNA EMPRESA PUEDE OPERAR SI CARECE DE LAS CONSTANCIAS DE VERIFICACION POR PARTE DE LA COORDINACION MUNICIPAL DE PROTECCION CIVIL Y BOMEROS ASI COMO POR LA DIRECCION DE UNIDAD DE PROTECCION CIVIL Y DE BOMBEROS COMO SE LLAMABA ANTERIORMENTE YA QUE SIN ESAS CONSTANCIAS DE VERIFICACION OPERA DE FORMA IRREGULAR Y ES UN GRAN RIESGO PARA LA POBLACION. 3.- POR LO QUE RESPECTA A LAS </w:t>
      </w:r>
      <w:r w:rsidRPr="006C7201">
        <w:rPr>
          <w:rFonts w:ascii="Palatino Linotype" w:eastAsia="Times New Roman" w:hAnsi="Palatino Linotype" w:cs="Arial"/>
          <w:i/>
          <w:color w:val="000000" w:themeColor="text1"/>
          <w:sz w:val="22"/>
          <w:lang w:val="es-ES"/>
        </w:rPr>
        <w:lastRenderedPageBreak/>
        <w:t xml:space="preserve">CONSTANCIAS DE VERIFICACION, LOS OFICIOS O ESCRITOS DONDE SE MENCIONEN LAS FECHAS DE VERIFICACION, ASI COMO EL GIRO COMERCIAL DE LA F.UNDIDORA DE PLOMO ARTEMIS7 S.A.P.I. DE C.V. UBICADA EN 5 DE MAYO NUMERO 22A ANTERIORMENTE Y ACTUALMENTE NUMERO 22 DE LA COLONIA REFORMA, MUNICIPIO DE SAN MATEO ATENCO, ASI COMO LOS DIAS LABORABLES QUE TENGA AUTORIZADOS, EL HORARIO, LA CAPACIDAD DE PERSONAS, EL NUMERO DE EMPLEADOS, LA CANTIDAD DE CONSTRUCCIONES EN METROS CUADRADOS, EL TIPO DE CONSTRUCCION, EL NUMERO DE CAJONES DE ESTACIONAMIENTO, PARA EMPLEADOS, EL NUMERO DE CAJONES PARA ESTACIONAMIENTO PARA TRAILERS DE UNA Y DOS CAJAS, PARA CUALQUIER OTRO TIPO DE TRANSPORTE DE CARGA, ASI COMO LAS INSTALACIONES SANITARIAS Y DESCARGAS AL DESAGUE DOMESTICO DE LA CALLE 5 DE MAYO, ASI COMO TODOS LOS REQUERIMIENTOS QUE SOLICITE ESA COORDINACION DE PROTECCION CIVIL Y BOMBEROS PARA LA INSTALACION Y FUNCIONAMIENTO DE DICHA FUNDIDORA. LOS DOCUMENTOS ANTERIORMENTE CITADOS SE SOLICITAN DE LOS AÑOS 2018, 2019,2020, 2021 Y LO QUE VA DEL AÑOS 2022. TAMBIEN CONOCER QUE TIPO DE COMBUSTIBLE UTILIZAN PARA LA FUNDICION DE PLOMO Y SI CUENTAN CON LOS EQUIPOS NECESARIOS PARA LA DETECCIÓN DE HUMO E INCENDIOS, ASI COMO LA CANTIDAD DE HIDRANTES CON QUE CUENTAN, LA CANTIDAD DE EXTINGUIDORES Y SUS CAPACIDADES. HACIENDO INCAPIE DE QUE SE SEÑALE CLARAMENTE LOS DIAS EN QUE DEBEN LABORAR, DE TODOS Y CADA UNO DE LOS CONCEPTOS MENCIONADOS ANTERIORMENTE Y DE LOS CUALES SE SOLICITO INFORMACION NO OTORGARON RESPUESTA A NINGUNO SIENDO </w:t>
      </w:r>
      <w:r w:rsidRPr="006C7201">
        <w:rPr>
          <w:rFonts w:ascii="Palatino Linotype" w:eastAsia="Times New Roman" w:hAnsi="Palatino Linotype" w:cs="Arial"/>
          <w:i/>
          <w:color w:val="000000" w:themeColor="text1"/>
          <w:sz w:val="22"/>
          <w:lang w:val="es-ES"/>
        </w:rPr>
        <w:lastRenderedPageBreak/>
        <w:t xml:space="preserve">REQUISITOS QUE ESTAN PLASMADOS EN EL FORMATO DE LA CONSTANCIA DE VERIFICACION, ARGUMENTANDO QUE “NO EXISTE CONSTANCIA DE VERIFICACION DE LOS AÑOS QUE SOLICITAN DE LA FUNDIDORA ARTEMIS7 S.A.P.I. DE C.V. UBICADA EN 5 DE MAYO NUMERO 22A ACTUALMENTE 22 DE LA COLONIA REFORMA”, CON ESTA RESPUESTA CONSIDERO QUE UTILIZAN UNA FORMA MUY FACIL DE EVADIR LA SOLICITUD DE INFORMACION PUBLICA Y QUE NO ES CREIBLE QUE HASTA EL AÑO 2022 ESA COORDINACION MUNICIPAL NO HAYA LLEVADO A CABO NINGUNA VISITA DE VERIFICACION A LA FUNDIDORA DE PLOMO ARTEMIS7, POR TAL MOTIVO MANIFIESTO MI INCONFORMIDAD POR NO HABER DADO NINGUNA INFORMACION SOLICITADA Y POR LA DECLARACION DE LA INEXISTENCIA DE LA INFORMACION SOBRE LOS PUNTOS ANTES CITADOS DE UNA FUNDIDORA DE PLOMO QUE HA ESTADO OPERANDO EN EL MUNICIPIO DE SAN MATEO ATENCO, DESDE EL AÑO 2018 ASIMISMO MANIFIESTO MI INCONFORMIDAD PORQUE NO REALIZARON UNA BUSQUEDA EXAUSTIVA EN LOS ARCHIVOS CORRESPONDIENTES. ES INCONGRUENTE LA RESPUESTA QUE DA ESA COORDINACION DE PROTECCION CIVIL Y BOMBEROS Y PROBABLEMENTE ANTIJURIDICA. NO FUNDADA NI MOTIVADA, PROBABLEMENTE CONTRAVINIENDO EL ARTICULO 6°, APARTADO A, FRACCION I, III, IV DE LA CONSTITUCION POLITICA DE LOS ESTADOS UNIDOS MEXICANOS, ARTICULO 5° PARRAFO TRIGESIMO, FRACCIONES I Y III DE LA CONSTITUCION POLITICA DEL ESTADO LIBRE Y SOBERANO DE MEXICO. ARTICULO 3 DE LA LEY FEDERAL DE PROCEDIMIENTOS ADMINISTRATIVOS, DE APLICACIÓN SUPLETORIA A LA LEY FEDERAL DE TRANSPARENCIA Y ACCESO A LA INFORMACION PUBLICA, EN TERMINOS </w:t>
      </w:r>
      <w:r w:rsidRPr="006C7201">
        <w:rPr>
          <w:rFonts w:ascii="Palatino Linotype" w:eastAsia="Times New Roman" w:hAnsi="Palatino Linotype" w:cs="Arial"/>
          <w:i/>
          <w:color w:val="000000" w:themeColor="text1"/>
          <w:sz w:val="22"/>
          <w:lang w:val="es-ES"/>
        </w:rPr>
        <w:lastRenderedPageBreak/>
        <w:t xml:space="preserve">DE SU ARTICULO 7. ARTICULO 4 Y 12 DE LA LEY DE TRANSPARENCIA Y ACCESO A LA INFORMACION PUBLICA DEL ESTADO DE MEXICO Y MUNICIPIOS. POR LO QUE RESPECTA A LAS CONSTANCIAS DE VERIFICACION DEL LOS AÑOS 2018, 2019, 2020, 2021 Y 2022 SI NO OBRAN EN LOS ARCHIVOS CORRESPONDIENTES ES RESPONSABILIDAD DE LA COORDINACION MUNICIPAL DE PROTECCION CIVIL Y BOMBEROS O COMO SE LLAMABA ANTERIORMENTE DIRECCION DE UNIDAD DE PROTECCION CIVIL Y BOMBEROS SIENDO OMISOS EN SUS RESPONSABILIDADES Y FUNCIONES POR NO LLEVAR A CABO LAS VERIFICACIONES EN TIEMPO Y FORMA Y POR NO ARCHIVAR LAS CONSTANCIAS DE VERIFICACION EMITIDAS POR ESA DIRECCION, YA QUE LA FUNDIDORA DE PLOMO HA ESTADO OPERANDO A PARTIR DEL 2018 PONIENDO EN RIESGO A LA POBLACION DE LA COLONIA REFORMA Y COMO SE MANIFIESTA EN RECIBO DE ORDEN DE PAGO PARA RENOVACION DE LICENCIA 2021 CON FECHA DE ELABORACION DEL 21 DE SEPTIEMBRE DEL 2021 CON NUMERO DE FOLIO 34292, POR LA CANTIDAD DE $3,500.00 PESOS, PERIODO DEL AÑO DEL 01-01-21 AL 31-12-21 A NOMBRE DE ARTEMIS7 DE C.V. CON DOMICILIO EN CALLE 5 DE MAYO No. 22 COLONIA REFORMA, SIENDO LA DIRECCION DE DESARROLLO ECONOMICO Y T. QUIEN LO EMITE Y APARECE EL NOMBRE DE C.P. JUAN SAUCEDO LARA COMO RESPONSABLE Y COMO TESORERO MUNICIPAL L.A. VALERIA G. HIDALGO E., ELABORADO Y FIRMADO POR YESICA JUAREZ Y CON EL SELLO AYUNTAMIENTO CONSTITUCIONAL DE SAN MATEO ATENCO, DIRECCION DE DESARROLLO ECONOMICO Y TURISMO 2019-2021, ANTE ESTA INFORMACION NO PARECE CONGRUENTE QUE ESA DIRECCION DE PROTECCION CIVIL NO TENGA CONOCIMIENTO DE LAS </w:t>
      </w:r>
      <w:r w:rsidRPr="006C7201">
        <w:rPr>
          <w:rFonts w:ascii="Palatino Linotype" w:eastAsia="Times New Roman" w:hAnsi="Palatino Linotype" w:cs="Arial"/>
          <w:i/>
          <w:color w:val="000000" w:themeColor="text1"/>
          <w:sz w:val="22"/>
          <w:lang w:val="es-ES"/>
        </w:rPr>
        <w:lastRenderedPageBreak/>
        <w:t>EMPRESAS QUE HAY EN LA COLONIA REFORMA Y NO HAYA LLEVADO A CABO NINGUNA VISITA DE INSPECCION A LA FUNDIDORA ANTES MENCIONADA LA CUAL CUENTA CON LICENCIA DE FUNCIONAMIENTO Y LICENCIA DE USO DE SUELO EN EL NUMERO 24 DE LA CALLE 5 DE MAYO, MANIFESTANDO CON ELLO QUE SON OMISOS EN EL CUMPLIMIENTO DE SUS RESPONSABILIDADES Y PROBABLEMENTE HAN ACTUADO DE FORMA INDEBIDA. ANTE LO ANTERIORMENTE SEÑALADO MANIFIESTO MI INCONFORMIDAD ANTE LA NEGATIVA DE ACCESO A LA INFORMACION Y LA VIOLACION A MI DERECHO A LA INFORMACION.". (sic)</w:t>
      </w:r>
      <w:r w:rsidRPr="006C7201">
        <w:rPr>
          <w:rFonts w:ascii="Palatino Linotype" w:eastAsia="Times New Roman" w:hAnsi="Palatino Linotype" w:cs="Arial"/>
          <w:color w:val="000000" w:themeColor="text1"/>
          <w:sz w:val="22"/>
          <w:lang w:val="es-ES"/>
        </w:rPr>
        <w:t xml:space="preserve"> </w:t>
      </w:r>
    </w:p>
    <w:p w14:paraId="020B3B8E" w14:textId="77777777" w:rsidR="006178C6" w:rsidRPr="006C7201" w:rsidRDefault="006178C6" w:rsidP="006178C6">
      <w:pPr>
        <w:tabs>
          <w:tab w:val="left" w:pos="993"/>
        </w:tabs>
        <w:spacing w:line="360" w:lineRule="auto"/>
        <w:jc w:val="both"/>
        <w:rPr>
          <w:rFonts w:ascii="Palatino Linotype" w:eastAsia="Times New Roman" w:hAnsi="Palatino Linotype" w:cs="Arial"/>
          <w:color w:val="000000" w:themeColor="text1"/>
          <w:lang w:val="es-ES"/>
        </w:rPr>
      </w:pPr>
    </w:p>
    <w:p w14:paraId="65CB77BE" w14:textId="0DD25F33" w:rsidR="005F1362" w:rsidRPr="006C7201"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7201">
        <w:rPr>
          <w:rFonts w:ascii="Palatino Linotype" w:eastAsia="Times New Roman" w:hAnsi="Palatino Linotype" w:cs="Arial"/>
          <w:color w:val="000000" w:themeColor="text1"/>
          <w:lang w:val="es-ES"/>
        </w:rPr>
        <w:t xml:space="preserve">Se registró el recurso de revisión bajo el número de expediente </w:t>
      </w:r>
      <w:r w:rsidR="004F785F" w:rsidRPr="006C7201">
        <w:rPr>
          <w:rFonts w:ascii="Palatino Linotype" w:hAnsi="Palatino Linotype" w:cs="Arial"/>
          <w:bCs/>
          <w:color w:val="000000" w:themeColor="text1"/>
        </w:rPr>
        <w:t>al rubro indicado, asi</w:t>
      </w:r>
      <w:r w:rsidRPr="006C7201">
        <w:rPr>
          <w:rFonts w:ascii="Palatino Linotype" w:hAnsi="Palatino Linotype" w:cs="Arial"/>
          <w:bCs/>
          <w:color w:val="000000" w:themeColor="text1"/>
        </w:rPr>
        <w:t xml:space="preserve">mismo, con fundamento en lo dispuesto por el </w:t>
      </w:r>
      <w:r w:rsidRPr="006C7201">
        <w:rPr>
          <w:rFonts w:ascii="Palatino Linotype" w:eastAsia="Calibri" w:hAnsi="Palatino Linotype" w:cs="Arial"/>
          <w:bCs/>
          <w:color w:val="000000" w:themeColor="text1"/>
          <w:lang w:val="es-ES"/>
        </w:rPr>
        <w:t xml:space="preserve">artículo 185 fracción I de la Ley de Transparencia y Acceso a la Información Pública del Estado de México y Municipios </w:t>
      </w:r>
      <w:r w:rsidRPr="006C7201">
        <w:rPr>
          <w:rFonts w:ascii="Palatino Linotype" w:eastAsia="Times New Roman" w:hAnsi="Palatino Linotype" w:cs="Arial"/>
          <w:bCs/>
          <w:color w:val="000000" w:themeColor="text1"/>
          <w:lang w:val="es-ES"/>
        </w:rPr>
        <w:t xml:space="preserve">se turnó </w:t>
      </w:r>
      <w:r w:rsidR="0096234B" w:rsidRPr="006C7201">
        <w:rPr>
          <w:rFonts w:ascii="Palatino Linotype" w:eastAsia="Times New Roman" w:hAnsi="Palatino Linotype" w:cs="Arial"/>
          <w:bCs/>
          <w:color w:val="000000" w:themeColor="text1"/>
          <w:lang w:val="es-ES"/>
        </w:rPr>
        <w:t xml:space="preserve">a la </w:t>
      </w:r>
      <w:r w:rsidR="0096234B" w:rsidRPr="006C7201">
        <w:rPr>
          <w:rFonts w:ascii="Palatino Linotype" w:eastAsia="Times New Roman" w:hAnsi="Palatino Linotype" w:cs="Arial"/>
          <w:b/>
          <w:bCs/>
          <w:color w:val="000000" w:themeColor="text1"/>
          <w:lang w:val="es-ES"/>
        </w:rPr>
        <w:t xml:space="preserve">Comisionada </w:t>
      </w:r>
      <w:r w:rsidR="00D12402" w:rsidRPr="006C7201">
        <w:rPr>
          <w:rFonts w:ascii="Palatino Linotype" w:eastAsia="Times New Roman" w:hAnsi="Palatino Linotype" w:cs="Arial"/>
          <w:b/>
          <w:bCs/>
          <w:color w:val="000000" w:themeColor="text1"/>
          <w:lang w:val="es-ES"/>
        </w:rPr>
        <w:t>María del Rosario Mejía Ayala</w:t>
      </w:r>
      <w:r w:rsidRPr="006C7201">
        <w:rPr>
          <w:rFonts w:ascii="Palatino Linotype" w:eastAsia="Times New Roman" w:hAnsi="Palatino Linotype" w:cs="Arial"/>
          <w:bCs/>
          <w:color w:val="000000" w:themeColor="text1"/>
          <w:lang w:val="es-ES"/>
        </w:rPr>
        <w:t xml:space="preserve">, con el objeto de </w:t>
      </w:r>
      <w:r w:rsidRPr="006C7201">
        <w:rPr>
          <w:rFonts w:ascii="Palatino Linotype" w:eastAsia="Times New Roman" w:hAnsi="Palatino Linotype" w:cs="Arial"/>
          <w:bCs/>
          <w:color w:val="000000" w:themeColor="text1"/>
        </w:rPr>
        <w:t>su análisis.</w:t>
      </w:r>
    </w:p>
    <w:p w14:paraId="2BDE682E" w14:textId="77777777" w:rsidR="005F1362" w:rsidRPr="006C7201"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105043F5" w:rsidR="007446C2" w:rsidRPr="006C7201"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7201">
        <w:rPr>
          <w:rFonts w:ascii="Palatino Linotype" w:eastAsia="Times New Roman" w:hAnsi="Palatino Linotype" w:cs="Arial"/>
          <w:color w:val="000000" w:themeColor="text1"/>
          <w:lang w:val="es-ES"/>
        </w:rPr>
        <w:t>La</w:t>
      </w:r>
      <w:r w:rsidR="00E647FF" w:rsidRPr="006C7201">
        <w:rPr>
          <w:rFonts w:ascii="Palatino Linotype" w:eastAsia="Times New Roman" w:hAnsi="Palatino Linotype" w:cs="Arial"/>
          <w:color w:val="000000" w:themeColor="text1"/>
          <w:lang w:val="es-ES"/>
        </w:rPr>
        <w:t xml:space="preserve"> </w:t>
      </w:r>
      <w:r w:rsidR="0004686A" w:rsidRPr="006C7201">
        <w:rPr>
          <w:rFonts w:ascii="Palatino Linotype" w:eastAsia="Calibri" w:hAnsi="Palatino Linotype" w:cs="Arial"/>
          <w:color w:val="000000" w:themeColor="text1"/>
          <w:lang w:val="es-ES"/>
        </w:rPr>
        <w:t>Comisionad</w:t>
      </w:r>
      <w:r w:rsidRPr="006C7201">
        <w:rPr>
          <w:rFonts w:ascii="Palatino Linotype" w:eastAsia="Calibri" w:hAnsi="Palatino Linotype" w:cs="Arial"/>
          <w:color w:val="000000" w:themeColor="text1"/>
          <w:lang w:val="es-ES"/>
        </w:rPr>
        <w:t>a</w:t>
      </w:r>
      <w:r w:rsidR="0004686A" w:rsidRPr="006C7201">
        <w:rPr>
          <w:rFonts w:ascii="Palatino Linotype" w:eastAsia="Calibri" w:hAnsi="Palatino Linotype" w:cs="Arial"/>
          <w:color w:val="000000" w:themeColor="text1"/>
          <w:lang w:val="es-ES"/>
        </w:rPr>
        <w:t xml:space="preserve"> Ponente</w:t>
      </w:r>
      <w:r w:rsidR="006B31E7" w:rsidRPr="006C7201">
        <w:rPr>
          <w:rFonts w:ascii="Palatino Linotype" w:eastAsia="Calibri" w:hAnsi="Palatino Linotype" w:cs="Arial"/>
          <w:color w:val="000000" w:themeColor="text1"/>
          <w:lang w:val="es-ES"/>
        </w:rPr>
        <w:t>,</w:t>
      </w:r>
      <w:r w:rsidR="0004686A" w:rsidRPr="006C7201">
        <w:rPr>
          <w:rFonts w:ascii="Palatino Linotype" w:eastAsia="Calibri" w:hAnsi="Palatino Linotype" w:cs="Arial"/>
          <w:color w:val="000000" w:themeColor="text1"/>
          <w:lang w:val="es-ES"/>
        </w:rPr>
        <w:t xml:space="preserve"> con fundamento en lo dispuesto por el artículo 185 fracción II de la </w:t>
      </w:r>
      <w:r w:rsidR="00613655" w:rsidRPr="006C7201">
        <w:rPr>
          <w:rFonts w:ascii="Palatino Linotype" w:eastAsia="Calibri" w:hAnsi="Palatino Linotype" w:cs="Arial"/>
          <w:color w:val="000000" w:themeColor="text1"/>
          <w:lang w:val="es-ES"/>
        </w:rPr>
        <w:t>Ley de Transparencia y Acceso a la Información Pública del Estado de México y Municipios</w:t>
      </w:r>
      <w:r w:rsidR="0004686A" w:rsidRPr="006C7201">
        <w:rPr>
          <w:rFonts w:ascii="Palatino Linotype" w:eastAsia="Calibri" w:hAnsi="Palatino Linotype" w:cs="Arial"/>
          <w:color w:val="000000" w:themeColor="text1"/>
          <w:lang w:val="es-ES"/>
        </w:rPr>
        <w:t xml:space="preserve">, a través </w:t>
      </w:r>
      <w:r w:rsidR="006E4E2A" w:rsidRPr="006C7201">
        <w:rPr>
          <w:rFonts w:ascii="Palatino Linotype" w:eastAsia="Calibri" w:hAnsi="Palatino Linotype" w:cs="Arial"/>
          <w:color w:val="000000" w:themeColor="text1"/>
          <w:lang w:val="es-ES"/>
        </w:rPr>
        <w:t>del</w:t>
      </w:r>
      <w:r w:rsidR="0004686A" w:rsidRPr="006C7201">
        <w:rPr>
          <w:rFonts w:ascii="Palatino Linotype" w:eastAsia="Calibri" w:hAnsi="Palatino Linotype" w:cs="Arial"/>
          <w:color w:val="000000" w:themeColor="text1"/>
          <w:lang w:val="es-ES"/>
        </w:rPr>
        <w:t xml:space="preserve"> </w:t>
      </w:r>
      <w:r w:rsidR="00B81371" w:rsidRPr="006C7201">
        <w:rPr>
          <w:rFonts w:ascii="Palatino Linotype" w:eastAsia="Calibri" w:hAnsi="Palatino Linotype" w:cs="Arial"/>
          <w:color w:val="000000" w:themeColor="text1"/>
          <w:lang w:val="es-ES"/>
        </w:rPr>
        <w:t xml:space="preserve">acuerdo </w:t>
      </w:r>
      <w:r w:rsidR="00F147C6" w:rsidRPr="006C7201">
        <w:rPr>
          <w:rFonts w:ascii="Palatino Linotype" w:eastAsia="Calibri" w:hAnsi="Palatino Linotype" w:cs="Arial"/>
          <w:color w:val="000000" w:themeColor="text1"/>
          <w:lang w:val="es-ES"/>
        </w:rPr>
        <w:t xml:space="preserve">de admisión </w:t>
      </w:r>
      <w:r w:rsidR="00091F3E" w:rsidRPr="006C7201">
        <w:rPr>
          <w:rFonts w:ascii="Palatino Linotype" w:eastAsia="Calibri" w:hAnsi="Palatino Linotype" w:cs="Arial"/>
          <w:color w:val="000000" w:themeColor="text1"/>
          <w:lang w:val="es-ES"/>
        </w:rPr>
        <w:t>de</w:t>
      </w:r>
      <w:r w:rsidR="00395353" w:rsidRPr="006C7201">
        <w:rPr>
          <w:rFonts w:ascii="Palatino Linotype" w:eastAsia="Calibri" w:hAnsi="Palatino Linotype" w:cs="Arial"/>
          <w:color w:val="000000" w:themeColor="text1"/>
          <w:lang w:val="es-ES"/>
        </w:rPr>
        <w:t xml:space="preserve"> fecha </w:t>
      </w:r>
      <w:r w:rsidR="006178C6" w:rsidRPr="006C7201">
        <w:rPr>
          <w:rFonts w:ascii="Palatino Linotype" w:eastAsia="Calibri" w:hAnsi="Palatino Linotype" w:cs="Arial"/>
          <w:color w:val="000000" w:themeColor="text1"/>
          <w:lang w:val="es-ES"/>
        </w:rPr>
        <w:t>doce</w:t>
      </w:r>
      <w:r w:rsidR="00690719" w:rsidRPr="006C7201">
        <w:rPr>
          <w:rFonts w:ascii="Palatino Linotype" w:eastAsia="Calibri" w:hAnsi="Palatino Linotype" w:cs="Arial"/>
          <w:color w:val="000000" w:themeColor="text1"/>
          <w:lang w:val="es-ES"/>
        </w:rPr>
        <w:t xml:space="preserve"> (</w:t>
      </w:r>
      <w:r w:rsidR="006178C6" w:rsidRPr="006C7201">
        <w:rPr>
          <w:rFonts w:ascii="Palatino Linotype" w:eastAsia="Calibri" w:hAnsi="Palatino Linotype" w:cs="Arial"/>
          <w:color w:val="000000" w:themeColor="text1"/>
          <w:lang w:val="es-ES"/>
        </w:rPr>
        <w:t>12</w:t>
      </w:r>
      <w:r w:rsidR="00690719" w:rsidRPr="006C7201">
        <w:rPr>
          <w:rFonts w:ascii="Palatino Linotype" w:eastAsia="Calibri" w:hAnsi="Palatino Linotype" w:cs="Arial"/>
          <w:color w:val="000000" w:themeColor="text1"/>
          <w:lang w:val="es-ES"/>
        </w:rPr>
        <w:t xml:space="preserve">) y </w:t>
      </w:r>
      <w:r w:rsidR="006178C6" w:rsidRPr="006C7201">
        <w:rPr>
          <w:rFonts w:ascii="Palatino Linotype" w:eastAsia="Calibri" w:hAnsi="Palatino Linotype" w:cs="Arial"/>
          <w:color w:val="000000" w:themeColor="text1"/>
          <w:lang w:val="es-ES"/>
        </w:rPr>
        <w:t>dieciséis</w:t>
      </w:r>
      <w:r w:rsidR="00690719" w:rsidRPr="006C7201">
        <w:rPr>
          <w:rFonts w:ascii="Palatino Linotype" w:eastAsia="Calibri" w:hAnsi="Palatino Linotype" w:cs="Arial"/>
          <w:color w:val="000000" w:themeColor="text1"/>
          <w:lang w:val="es-ES"/>
        </w:rPr>
        <w:t xml:space="preserve"> (</w:t>
      </w:r>
      <w:r w:rsidR="006178C6" w:rsidRPr="006C7201">
        <w:rPr>
          <w:rFonts w:ascii="Palatino Linotype" w:eastAsia="Calibri" w:hAnsi="Palatino Linotype" w:cs="Arial"/>
          <w:color w:val="000000" w:themeColor="text1"/>
          <w:lang w:val="es-ES"/>
        </w:rPr>
        <w:t>16</w:t>
      </w:r>
      <w:r w:rsidR="00690719" w:rsidRPr="006C7201">
        <w:rPr>
          <w:rFonts w:ascii="Palatino Linotype" w:eastAsia="Calibri" w:hAnsi="Palatino Linotype" w:cs="Arial"/>
          <w:color w:val="000000" w:themeColor="text1"/>
          <w:lang w:val="es-ES"/>
        </w:rPr>
        <w:t xml:space="preserve">) de </w:t>
      </w:r>
      <w:r w:rsidR="006178C6" w:rsidRPr="006C7201">
        <w:rPr>
          <w:rFonts w:ascii="Palatino Linotype" w:eastAsia="Calibri" w:hAnsi="Palatino Linotype" w:cs="Arial"/>
          <w:color w:val="000000" w:themeColor="text1"/>
          <w:lang w:val="es-ES"/>
        </w:rPr>
        <w:t>enero</w:t>
      </w:r>
      <w:r w:rsidR="00613655" w:rsidRPr="006C7201">
        <w:rPr>
          <w:rFonts w:ascii="Palatino Linotype" w:eastAsia="Calibri" w:hAnsi="Palatino Linotype" w:cs="Arial"/>
          <w:color w:val="000000" w:themeColor="text1"/>
          <w:lang w:val="es-ES"/>
        </w:rPr>
        <w:t xml:space="preserve"> de dos mil veinti</w:t>
      </w:r>
      <w:r w:rsidR="006178C6" w:rsidRPr="006C7201">
        <w:rPr>
          <w:rFonts w:ascii="Palatino Linotype" w:eastAsia="Calibri" w:hAnsi="Palatino Linotype" w:cs="Arial"/>
          <w:color w:val="000000" w:themeColor="text1"/>
          <w:lang w:val="es-ES"/>
        </w:rPr>
        <w:t>trés</w:t>
      </w:r>
      <w:r w:rsidR="006A1047" w:rsidRPr="006C7201">
        <w:rPr>
          <w:rFonts w:ascii="Palatino Linotype" w:eastAsia="Calibri" w:hAnsi="Palatino Linotype" w:cs="Arial"/>
          <w:color w:val="000000" w:themeColor="text1"/>
          <w:lang w:val="es-ES"/>
        </w:rPr>
        <w:t xml:space="preserve">, </w:t>
      </w:r>
      <w:r w:rsidR="00B81371" w:rsidRPr="006C7201">
        <w:rPr>
          <w:rFonts w:ascii="Palatino Linotype" w:eastAsia="Calibri" w:hAnsi="Palatino Linotype" w:cs="Arial"/>
          <w:color w:val="000000" w:themeColor="text1"/>
          <w:lang w:val="es-ES"/>
        </w:rPr>
        <w:t xml:space="preserve">puso a </w:t>
      </w:r>
      <w:r w:rsidR="00875167" w:rsidRPr="006C7201">
        <w:rPr>
          <w:rFonts w:ascii="Palatino Linotype" w:eastAsia="Calibri" w:hAnsi="Palatino Linotype" w:cs="Arial"/>
          <w:color w:val="000000" w:themeColor="text1"/>
          <w:lang w:val="es-ES"/>
        </w:rPr>
        <w:t>disposición</w:t>
      </w:r>
      <w:r w:rsidR="00B81371" w:rsidRPr="006C7201">
        <w:rPr>
          <w:rFonts w:ascii="Palatino Linotype" w:eastAsia="Calibri" w:hAnsi="Palatino Linotype" w:cs="Arial"/>
          <w:color w:val="000000" w:themeColor="text1"/>
          <w:lang w:val="es-ES"/>
        </w:rPr>
        <w:t xml:space="preserve"> de las partes el expediente electrónico </w:t>
      </w:r>
      <w:r w:rsidR="00B81371" w:rsidRPr="006C7201">
        <w:rPr>
          <w:rFonts w:ascii="Palatino Linotype" w:eastAsia="Calibri" w:hAnsi="Palatino Linotype" w:cs="Arial"/>
          <w:color w:val="000000" w:themeColor="text1"/>
        </w:rPr>
        <w:t xml:space="preserve">vía </w:t>
      </w:r>
      <w:r w:rsidR="00B81371" w:rsidRPr="006C7201">
        <w:rPr>
          <w:rFonts w:ascii="Palatino Linotype" w:eastAsia="Calibri" w:hAnsi="Palatino Linotype" w:cs="Arial"/>
          <w:color w:val="000000" w:themeColor="text1"/>
          <w:lang w:val="es-ES"/>
        </w:rPr>
        <w:t xml:space="preserve">Sistema de Acceso a la Información Mexiquense </w:t>
      </w:r>
      <w:r w:rsidR="001468E9" w:rsidRPr="006C7201">
        <w:rPr>
          <w:rFonts w:ascii="Palatino Linotype" w:eastAsia="Calibri" w:hAnsi="Palatino Linotype" w:cs="Arial"/>
          <w:color w:val="000000" w:themeColor="text1"/>
          <w:lang w:val="es-ES"/>
        </w:rPr>
        <w:t>(</w:t>
      </w:r>
      <w:r w:rsidR="00B81371" w:rsidRPr="006C7201">
        <w:rPr>
          <w:rFonts w:ascii="Palatino Linotype" w:eastAsia="Calibri" w:hAnsi="Palatino Linotype" w:cs="Arial"/>
          <w:b/>
          <w:i/>
          <w:color w:val="000000" w:themeColor="text1"/>
          <w:lang w:val="es-ES"/>
        </w:rPr>
        <w:t>SAIMEX</w:t>
      </w:r>
      <w:r w:rsidR="001468E9" w:rsidRPr="006C7201">
        <w:rPr>
          <w:rFonts w:ascii="Palatino Linotype" w:eastAsia="Calibri" w:hAnsi="Palatino Linotype" w:cs="Arial"/>
          <w:b/>
          <w:i/>
          <w:color w:val="000000" w:themeColor="text1"/>
          <w:lang w:val="es-ES"/>
        </w:rPr>
        <w:t>)</w:t>
      </w:r>
      <w:r w:rsidR="00B81371" w:rsidRPr="006C7201">
        <w:rPr>
          <w:rFonts w:ascii="Palatino Linotype" w:eastAsia="Calibri" w:hAnsi="Palatino Linotype" w:cs="Arial"/>
          <w:b/>
          <w:color w:val="000000" w:themeColor="text1"/>
          <w:lang w:val="es-ES"/>
        </w:rPr>
        <w:t xml:space="preserve"> </w:t>
      </w:r>
      <w:r w:rsidR="00B81371" w:rsidRPr="006C7201">
        <w:rPr>
          <w:rFonts w:ascii="Palatino Linotype" w:eastAsia="Calibri" w:hAnsi="Palatino Linotype" w:cs="Arial"/>
          <w:color w:val="000000" w:themeColor="text1"/>
          <w:lang w:val="es-ES"/>
        </w:rPr>
        <w:t xml:space="preserve">a efecto de que en un plazo máximo de siete días </w:t>
      </w:r>
      <w:r w:rsidR="00875167" w:rsidRPr="006C7201">
        <w:rPr>
          <w:rFonts w:ascii="Palatino Linotype" w:eastAsia="Calibri" w:hAnsi="Palatino Linotype" w:cs="Arial"/>
          <w:color w:val="000000" w:themeColor="text1"/>
          <w:lang w:val="es-ES"/>
        </w:rPr>
        <w:t>manifestaran</w:t>
      </w:r>
      <w:r w:rsidR="00B81371" w:rsidRPr="006C7201">
        <w:rPr>
          <w:rFonts w:ascii="Palatino Linotype" w:eastAsia="Calibri" w:hAnsi="Palatino Linotype" w:cs="Arial"/>
          <w:color w:val="000000" w:themeColor="text1"/>
          <w:lang w:val="es-ES"/>
        </w:rPr>
        <w:t xml:space="preserve"> lo que a</w:t>
      </w:r>
      <w:r w:rsidR="003A2029" w:rsidRPr="006C7201">
        <w:rPr>
          <w:rFonts w:ascii="Palatino Linotype" w:eastAsia="Calibri" w:hAnsi="Palatino Linotype" w:cs="Arial"/>
          <w:color w:val="000000" w:themeColor="text1"/>
          <w:lang w:val="es-ES"/>
        </w:rPr>
        <w:t xml:space="preserve"> su</w:t>
      </w:r>
      <w:r w:rsidR="00B81371" w:rsidRPr="006C7201">
        <w:rPr>
          <w:rFonts w:ascii="Palatino Linotype" w:eastAsia="Calibri" w:hAnsi="Palatino Linotype" w:cs="Arial"/>
          <w:color w:val="000000" w:themeColor="text1"/>
          <w:lang w:val="es-ES"/>
        </w:rPr>
        <w:t xml:space="preserve"> derecho conviniera</w:t>
      </w:r>
      <w:r w:rsidR="00875167" w:rsidRPr="006C7201">
        <w:rPr>
          <w:rFonts w:ascii="Palatino Linotype" w:eastAsia="Calibri" w:hAnsi="Palatino Linotype" w:cs="Arial"/>
          <w:color w:val="000000" w:themeColor="text1"/>
          <w:lang w:val="es-ES"/>
        </w:rPr>
        <w:t>n</w:t>
      </w:r>
      <w:r w:rsidR="00032493" w:rsidRPr="006C7201">
        <w:rPr>
          <w:rFonts w:ascii="Palatino Linotype" w:eastAsia="Calibri" w:hAnsi="Palatino Linotype" w:cs="Arial"/>
          <w:color w:val="000000" w:themeColor="text1"/>
          <w:lang w:val="es-ES"/>
        </w:rPr>
        <w:t>,</w:t>
      </w:r>
      <w:r w:rsidR="00B81371" w:rsidRPr="006C7201">
        <w:rPr>
          <w:rFonts w:ascii="Palatino Linotype" w:eastAsia="Calibri" w:hAnsi="Palatino Linotype" w:cs="Arial"/>
          <w:color w:val="000000" w:themeColor="text1"/>
          <w:lang w:val="es-ES"/>
        </w:rPr>
        <w:t xml:space="preserve"> </w:t>
      </w:r>
      <w:r w:rsidR="00875167" w:rsidRPr="006C7201">
        <w:rPr>
          <w:rFonts w:ascii="Palatino Linotype" w:eastAsia="Calibri" w:hAnsi="Palatino Linotype" w:cs="Arial"/>
          <w:color w:val="000000" w:themeColor="text1"/>
          <w:lang w:val="es-ES"/>
        </w:rPr>
        <w:t>ofrecieran pruebas y</w:t>
      </w:r>
      <w:r w:rsidR="00132C06" w:rsidRPr="006C7201">
        <w:rPr>
          <w:rFonts w:ascii="Palatino Linotype" w:eastAsia="Calibri" w:hAnsi="Palatino Linotype" w:cs="Arial"/>
          <w:color w:val="000000" w:themeColor="text1"/>
          <w:lang w:val="es-ES"/>
        </w:rPr>
        <w:t xml:space="preserve"> </w:t>
      </w:r>
      <w:r w:rsidR="00875167" w:rsidRPr="006C7201">
        <w:rPr>
          <w:rFonts w:ascii="Palatino Linotype" w:eastAsia="Calibri" w:hAnsi="Palatino Linotype" w:cs="Arial"/>
          <w:color w:val="000000" w:themeColor="text1"/>
          <w:lang w:val="es-ES"/>
        </w:rPr>
        <w:t>alegatos según corresponda a</w:t>
      </w:r>
      <w:r w:rsidR="004C20F2" w:rsidRPr="006C7201">
        <w:rPr>
          <w:rFonts w:ascii="Palatino Linotype" w:eastAsia="Calibri" w:hAnsi="Palatino Linotype" w:cs="Arial"/>
          <w:color w:val="000000" w:themeColor="text1"/>
          <w:lang w:val="es-ES"/>
        </w:rPr>
        <w:t xml:space="preserve"> </w:t>
      </w:r>
      <w:r w:rsidR="00875167" w:rsidRPr="006C7201">
        <w:rPr>
          <w:rFonts w:ascii="Palatino Linotype" w:eastAsia="Calibri" w:hAnsi="Palatino Linotype" w:cs="Arial"/>
          <w:color w:val="000000" w:themeColor="text1"/>
          <w:lang w:val="es-ES"/>
        </w:rPr>
        <w:t>l</w:t>
      </w:r>
      <w:r w:rsidR="004C20F2" w:rsidRPr="006C7201">
        <w:rPr>
          <w:rFonts w:ascii="Palatino Linotype" w:eastAsia="Calibri" w:hAnsi="Palatino Linotype" w:cs="Arial"/>
          <w:color w:val="000000" w:themeColor="text1"/>
          <w:lang w:val="es-ES"/>
        </w:rPr>
        <w:t>os</w:t>
      </w:r>
      <w:r w:rsidR="00875167" w:rsidRPr="006C7201">
        <w:rPr>
          <w:rFonts w:ascii="Palatino Linotype" w:eastAsia="Calibri" w:hAnsi="Palatino Linotype" w:cs="Arial"/>
          <w:color w:val="000000" w:themeColor="text1"/>
          <w:lang w:val="es-ES"/>
        </w:rPr>
        <w:t xml:space="preserve"> caso</w:t>
      </w:r>
      <w:r w:rsidR="004C20F2" w:rsidRPr="006C7201">
        <w:rPr>
          <w:rFonts w:ascii="Palatino Linotype" w:eastAsia="Calibri" w:hAnsi="Palatino Linotype" w:cs="Arial"/>
          <w:color w:val="000000" w:themeColor="text1"/>
          <w:lang w:val="es-ES"/>
        </w:rPr>
        <w:t>s</w:t>
      </w:r>
      <w:r w:rsidR="00875167" w:rsidRPr="006C7201">
        <w:rPr>
          <w:rFonts w:ascii="Palatino Linotype" w:eastAsia="Calibri" w:hAnsi="Palatino Linotype" w:cs="Arial"/>
          <w:color w:val="000000" w:themeColor="text1"/>
          <w:lang w:val="es-ES"/>
        </w:rPr>
        <w:t xml:space="preserve"> concreto</w:t>
      </w:r>
      <w:r w:rsidR="004C20F2" w:rsidRPr="006C7201">
        <w:rPr>
          <w:rFonts w:ascii="Palatino Linotype" w:eastAsia="Calibri" w:hAnsi="Palatino Linotype" w:cs="Arial"/>
          <w:color w:val="000000" w:themeColor="text1"/>
          <w:lang w:val="es-ES"/>
        </w:rPr>
        <w:t>s</w:t>
      </w:r>
      <w:r w:rsidR="00875167" w:rsidRPr="006C7201">
        <w:rPr>
          <w:rFonts w:ascii="Palatino Linotype" w:eastAsia="Calibri" w:hAnsi="Palatino Linotype" w:cs="Arial"/>
          <w:color w:val="000000" w:themeColor="text1"/>
          <w:lang w:val="es-ES"/>
        </w:rPr>
        <w:t xml:space="preserve">, </w:t>
      </w:r>
      <w:r w:rsidR="00F147C6" w:rsidRPr="006C7201">
        <w:rPr>
          <w:rFonts w:ascii="Palatino Linotype" w:eastAsia="Calibri" w:hAnsi="Palatino Linotype" w:cs="Arial"/>
          <w:color w:val="000000" w:themeColor="text1"/>
          <w:lang w:val="es-ES"/>
        </w:rPr>
        <w:t>de esta forma</w:t>
      </w:r>
      <w:r w:rsidR="00875167" w:rsidRPr="006C7201">
        <w:rPr>
          <w:rFonts w:ascii="Palatino Linotype" w:eastAsia="Calibri" w:hAnsi="Palatino Linotype" w:cs="Arial"/>
          <w:color w:val="000000" w:themeColor="text1"/>
          <w:lang w:val="es-ES"/>
        </w:rPr>
        <w:t xml:space="preserve"> para que el </w:t>
      </w:r>
      <w:r w:rsidR="00875167" w:rsidRPr="006C7201">
        <w:rPr>
          <w:rFonts w:ascii="Palatino Linotype" w:eastAsia="Calibri" w:hAnsi="Palatino Linotype" w:cs="Arial"/>
          <w:b/>
          <w:color w:val="000000" w:themeColor="text1"/>
          <w:lang w:val="es-ES"/>
        </w:rPr>
        <w:t>SUJETO OBLIGADO</w:t>
      </w:r>
      <w:r w:rsidR="00875167" w:rsidRPr="006C7201">
        <w:rPr>
          <w:rFonts w:ascii="Palatino Linotype" w:eastAsia="Calibri" w:hAnsi="Palatino Linotype" w:cs="Arial"/>
          <w:color w:val="000000" w:themeColor="text1"/>
          <w:lang w:val="es-ES"/>
        </w:rPr>
        <w:t xml:space="preserve"> </w:t>
      </w:r>
      <w:r w:rsidR="00B81371" w:rsidRPr="006C7201">
        <w:rPr>
          <w:rFonts w:ascii="Palatino Linotype" w:eastAsia="Calibri" w:hAnsi="Palatino Linotype" w:cs="Arial"/>
          <w:color w:val="000000" w:themeColor="text1"/>
          <w:lang w:val="es-ES"/>
        </w:rPr>
        <w:t>presentar</w:t>
      </w:r>
      <w:r w:rsidR="003A03D0" w:rsidRPr="006C7201">
        <w:rPr>
          <w:rFonts w:ascii="Palatino Linotype" w:eastAsia="Calibri" w:hAnsi="Palatino Linotype" w:cs="Arial"/>
          <w:color w:val="000000" w:themeColor="text1"/>
          <w:lang w:val="es-ES"/>
        </w:rPr>
        <w:t>a</w:t>
      </w:r>
      <w:r w:rsidR="00B81371" w:rsidRPr="006C7201">
        <w:rPr>
          <w:rFonts w:ascii="Palatino Linotype" w:eastAsia="Calibri" w:hAnsi="Palatino Linotype" w:cs="Arial"/>
          <w:color w:val="000000" w:themeColor="text1"/>
          <w:lang w:val="es-ES"/>
        </w:rPr>
        <w:t xml:space="preserve"> el </w:t>
      </w:r>
      <w:r w:rsidR="00556F72" w:rsidRPr="006C7201">
        <w:rPr>
          <w:rFonts w:ascii="Palatino Linotype" w:eastAsia="Calibri" w:hAnsi="Palatino Linotype" w:cs="Arial"/>
          <w:color w:val="000000" w:themeColor="text1"/>
          <w:lang w:val="es-ES"/>
        </w:rPr>
        <w:t xml:space="preserve">informe justificado </w:t>
      </w:r>
      <w:r w:rsidR="00875167" w:rsidRPr="006C7201">
        <w:rPr>
          <w:rFonts w:ascii="Palatino Linotype" w:eastAsia="Calibri" w:hAnsi="Palatino Linotype" w:cs="Arial"/>
          <w:color w:val="000000" w:themeColor="text1"/>
          <w:lang w:val="es-ES"/>
        </w:rPr>
        <w:t>procedente</w:t>
      </w:r>
      <w:r w:rsidR="00787184" w:rsidRPr="006C7201">
        <w:rPr>
          <w:rFonts w:ascii="Palatino Linotype" w:eastAsia="Calibri" w:hAnsi="Palatino Linotype" w:cs="Arial"/>
          <w:color w:val="000000" w:themeColor="text1"/>
          <w:lang w:val="es-ES"/>
        </w:rPr>
        <w:t>.</w:t>
      </w:r>
    </w:p>
    <w:p w14:paraId="16020A8E" w14:textId="77777777" w:rsidR="000F5661" w:rsidRPr="006C7201" w:rsidRDefault="000F5661" w:rsidP="000F5661">
      <w:pPr>
        <w:pStyle w:val="Prrafodelista"/>
        <w:rPr>
          <w:rFonts w:ascii="Palatino Linotype" w:eastAsia="Calibri" w:hAnsi="Palatino Linotype" w:cs="Arial"/>
          <w:color w:val="000000" w:themeColor="text1"/>
          <w:lang w:val="es-ES"/>
        </w:rPr>
      </w:pPr>
    </w:p>
    <w:p w14:paraId="1960610D" w14:textId="2EA3553C" w:rsidR="006178C6" w:rsidRPr="006C7201" w:rsidRDefault="00AE0CDF" w:rsidP="006178C6">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6C7201">
        <w:rPr>
          <w:rFonts w:ascii="Palatino Linotype" w:eastAsia="Calibri" w:hAnsi="Palatino Linotype" w:cs="Arial"/>
          <w:color w:val="000000" w:themeColor="text1"/>
          <w:lang w:val="es-ES"/>
        </w:rPr>
        <w:t>De las constancias que obran en el expediente electrónico del SAIMEX, se aprecia que</w:t>
      </w:r>
      <w:r w:rsidR="005F396F" w:rsidRPr="006C7201">
        <w:rPr>
          <w:rFonts w:ascii="Palatino Linotype" w:eastAsia="Calibri" w:hAnsi="Palatino Linotype" w:cs="Arial"/>
          <w:color w:val="000000" w:themeColor="text1"/>
          <w:lang w:val="es-ES"/>
        </w:rPr>
        <w:t xml:space="preserve">, </w:t>
      </w:r>
      <w:r w:rsidR="006178C6" w:rsidRPr="006C7201">
        <w:rPr>
          <w:rFonts w:ascii="Palatino Linotype" w:eastAsia="Calibri" w:hAnsi="Palatino Linotype" w:cs="Arial"/>
          <w:color w:val="000000" w:themeColor="text1"/>
          <w:lang w:val="es-ES"/>
        </w:rPr>
        <w:t>el Recurrente</w:t>
      </w:r>
      <w:r w:rsidR="00D2342C" w:rsidRPr="006C7201">
        <w:rPr>
          <w:rFonts w:ascii="Palatino Linotype" w:eastAsia="Calibri" w:hAnsi="Palatino Linotype" w:cs="Arial"/>
          <w:color w:val="000000" w:themeColor="text1"/>
          <w:lang w:val="es-ES"/>
        </w:rPr>
        <w:t xml:space="preserve">, el </w:t>
      </w:r>
      <w:r w:rsidR="006178C6" w:rsidRPr="006C7201">
        <w:rPr>
          <w:rFonts w:ascii="Palatino Linotype" w:eastAsia="Calibri" w:hAnsi="Palatino Linotype" w:cs="Arial"/>
          <w:color w:val="000000" w:themeColor="text1"/>
          <w:lang w:val="es-ES"/>
        </w:rPr>
        <w:t xml:space="preserve">veintinueve (29) de marzo, tres (3) y diez (10) de julio de dos mil veintitrés presentó manifestaciones a través de los documentos electrónicos denominados </w:t>
      </w:r>
      <w:r w:rsidR="006178C6" w:rsidRPr="006C7201">
        <w:rPr>
          <w:rFonts w:ascii="Palatino Linotype" w:eastAsia="Calibri" w:hAnsi="Palatino Linotype" w:cs="Arial"/>
          <w:b/>
          <w:i/>
          <w:color w:val="000000" w:themeColor="text1"/>
          <w:lang w:val="es-ES"/>
        </w:rPr>
        <w:t>MANIFESTACIONES INFOEM 29-MARZO-2022 RR 17623 Y 17625 INFOEM IP RR 2022.docx; 20230210_140429.jpg;  Screenshot_20230703_132251_com.whatsapp.jpg; IMG_20230118_204523.jpg; IMG_20230119_213623.jpg; IMG_20230119_213623.jpg.</w:t>
      </w:r>
    </w:p>
    <w:p w14:paraId="1007E342" w14:textId="77777777" w:rsidR="006178C6" w:rsidRPr="006C7201" w:rsidRDefault="006178C6" w:rsidP="006178C6">
      <w:pPr>
        <w:tabs>
          <w:tab w:val="left" w:pos="426"/>
        </w:tabs>
        <w:spacing w:line="360" w:lineRule="auto"/>
        <w:jc w:val="both"/>
        <w:rPr>
          <w:rFonts w:ascii="Palatino Linotype" w:eastAsia="Calibri" w:hAnsi="Palatino Linotype" w:cs="Arial"/>
          <w:color w:val="000000" w:themeColor="text1"/>
          <w:lang w:val="es-ES"/>
        </w:rPr>
      </w:pPr>
    </w:p>
    <w:p w14:paraId="43DF8E1E" w14:textId="02B01BC2" w:rsidR="006178C6" w:rsidRPr="006C7201" w:rsidRDefault="006178C6" w:rsidP="006178C6">
      <w:pPr>
        <w:pStyle w:val="Prrafodelista"/>
        <w:numPr>
          <w:ilvl w:val="0"/>
          <w:numId w:val="45"/>
        </w:numPr>
        <w:tabs>
          <w:tab w:val="left" w:pos="426"/>
        </w:tabs>
        <w:spacing w:line="360" w:lineRule="auto"/>
        <w:ind w:left="709"/>
        <w:jc w:val="both"/>
        <w:rPr>
          <w:rFonts w:ascii="Palatino Linotype" w:eastAsia="Calibri" w:hAnsi="Palatino Linotype" w:cs="Arial"/>
          <w:color w:val="000000" w:themeColor="text1"/>
          <w:lang w:val="es-ES"/>
        </w:rPr>
      </w:pPr>
      <w:r w:rsidRPr="006C7201">
        <w:rPr>
          <w:rFonts w:ascii="Palatino Linotype" w:eastAsia="Calibri" w:hAnsi="Palatino Linotype" w:cs="Arial"/>
          <w:b/>
          <w:color w:val="000000" w:themeColor="text1"/>
          <w:lang w:val="es-ES"/>
        </w:rPr>
        <w:t>MANIFESTACIONES INFOEM 29-MARZO-2022 RR 17623 Y 17625 INFOEM IP RR 2022.docx</w:t>
      </w:r>
      <w:r w:rsidRPr="006C7201">
        <w:rPr>
          <w:rFonts w:ascii="Palatino Linotype" w:eastAsia="Calibri" w:hAnsi="Palatino Linotype" w:cs="Arial"/>
          <w:color w:val="000000" w:themeColor="text1"/>
          <w:lang w:val="es-ES"/>
        </w:rPr>
        <w:t xml:space="preserve">: </w:t>
      </w:r>
      <w:r w:rsidRPr="006C7201">
        <w:rPr>
          <w:rFonts w:ascii="Palatino Linotype" w:hAnsi="Palatino Linotype"/>
          <w:i/>
          <w:sz w:val="22"/>
        </w:rPr>
        <w:t xml:space="preserve">Manifestaciones a los Recursos de Revisión números 17623/INFOEM/IP/RR/2023 Y  17625/INFOEM/IP/RR/2022 correspondientes a las </w:t>
      </w:r>
      <w:r w:rsidRPr="006C7201">
        <w:rPr>
          <w:rFonts w:ascii="Palatino Linotype" w:hAnsi="Palatino Linotype"/>
          <w:b/>
          <w:bCs/>
          <w:i/>
          <w:sz w:val="22"/>
        </w:rPr>
        <w:t>bodegas ubicadas en 5 de mayo número 24 y 5 de mayo numero 22-A  (años 2018,2019,2020) y actualmente número 22 (años 2021,2022 y 2023 respectivamente)</w:t>
      </w:r>
      <w:r w:rsidRPr="006C7201">
        <w:rPr>
          <w:rFonts w:ascii="Palatino Linotype" w:hAnsi="Palatino Linotype"/>
          <w:i/>
          <w:sz w:val="22"/>
        </w:rPr>
        <w:t>,</w:t>
      </w:r>
      <w:r w:rsidRPr="006C7201">
        <w:rPr>
          <w:rFonts w:ascii="Palatino Linotype" w:hAnsi="Palatino Linotype"/>
          <w:b/>
          <w:bCs/>
          <w:i/>
          <w:sz w:val="22"/>
        </w:rPr>
        <w:t xml:space="preserve"> </w:t>
      </w:r>
      <w:r w:rsidRPr="006C7201">
        <w:rPr>
          <w:rFonts w:ascii="Palatino Linotype" w:hAnsi="Palatino Linotype"/>
          <w:i/>
          <w:sz w:val="22"/>
        </w:rPr>
        <w:t xml:space="preserve">de la Colonia Reforma, Municipio de san Mateo Atenco, considerando que los documentos solicitados  son documentos públicos y que no han sido entregados en tiempo y en forma, así como hasta la fecha no se ha recibido respuesta fundada y motivada de parte de los servidores públicos  a quienes se les solicitó,  desconociendo los motivos e intenciones de los mismos para reservar y probablemente ocultar  la información.  </w:t>
      </w:r>
    </w:p>
    <w:p w14:paraId="725BE884" w14:textId="77777777" w:rsidR="006178C6" w:rsidRPr="006C7201" w:rsidRDefault="006178C6" w:rsidP="006178C6">
      <w:pPr>
        <w:ind w:left="709"/>
        <w:jc w:val="both"/>
        <w:rPr>
          <w:rFonts w:ascii="Palatino Linotype" w:hAnsi="Palatino Linotype"/>
          <w:i/>
          <w:sz w:val="22"/>
        </w:rPr>
      </w:pPr>
      <w:r w:rsidRPr="006C7201">
        <w:rPr>
          <w:rFonts w:ascii="Palatino Linotype" w:hAnsi="Palatino Linotype"/>
          <w:i/>
          <w:sz w:val="22"/>
        </w:rPr>
        <w:t>Tal parece que los C. LIC.MARCIAL EDUARDO GONZALEZ SALAZAR, DIRECTOR DE DESARROLLO ECONOMICO EMPLEO Y PROMOCION DEL CALZADO, el C. LUIS MIGUEL ORTEGA FLORES, DIRECTOR DE DESARROLLO URBANO Y METROPOLITANO y el C. ALBERTO MAURICIO GONZALEZ DAVILA, COORDINADOR MUNICIPAL DE PROTECCION CIVIL Y BOMBEROS (todos Servidores Públicos) desconocen de las leyes y de los procesos de la FUNDIDORA DE PLOMO ARTEMIS7 S.A.P.I. DE C.V. de las afectaciones, daños a la salud y riesgo para los trabajadores y habitantes de la Colonia reforma, que causa esa fundidora. Así como las violaciones graves a los DERECHOS HUMANOS Y CONSTITUCIONALES.</w:t>
      </w:r>
    </w:p>
    <w:p w14:paraId="4AF41088" w14:textId="77777777" w:rsidR="006178C6" w:rsidRPr="006C7201" w:rsidRDefault="006178C6" w:rsidP="006178C6">
      <w:pPr>
        <w:ind w:left="709"/>
        <w:jc w:val="both"/>
        <w:rPr>
          <w:rFonts w:ascii="Palatino Linotype" w:hAnsi="Palatino Linotype"/>
          <w:i/>
          <w:sz w:val="22"/>
        </w:rPr>
      </w:pPr>
      <w:r w:rsidRPr="006C7201">
        <w:rPr>
          <w:rFonts w:ascii="Palatino Linotype" w:hAnsi="Palatino Linotype"/>
          <w:i/>
          <w:sz w:val="22"/>
        </w:rPr>
        <w:lastRenderedPageBreak/>
        <w:t xml:space="preserve"> Manifiesto que es de suma importancia que cumplan con su obligación como servidores públicos,  y si no pueden con las tareas que tienen asignadas que renuncien porque  dañan a la sociedad, con su opacidad, tardanza, falta de ética y fingiendo que no tienen los documentos de la bodega número 22-A actualmente número 22, así como de la bodega número 24  (fundidora de plomo ARTEMIS7) entonces como es que esa empresa ha laborado desde el 2018 hasta el 2023 y como es que le otorgaron licencia de funcionamiento No. 1005 con fecha de expedición 01/04/2022 y vigencia 31/12/2022 emitida por la Dirección de desarrollo Económico, Empleo y Promoción del Calzado y firmada por C. LIC. MARCIAL EDUARDO GONZALEZ SALAZAR, DIRECTOR DE DESARROLLO ECONOMICO, EMPLEO Y PROMOCION AL CALZADO y teniéndola en su poder y en sus archivos no entrega al INFOEM los documentos públicos solicitados ni al peticionario, ésta licencia también está firmada por el C. LIC. JAIME NAVA ALEJANDRO, JEFE DEL DEPARTAMENTO DE NORMATIVIDAD COMERCIAL Y EMPRESARIAL.</w:t>
      </w:r>
    </w:p>
    <w:p w14:paraId="102AFF8F" w14:textId="77777777" w:rsidR="006178C6" w:rsidRPr="006C7201" w:rsidRDefault="006178C6" w:rsidP="006178C6">
      <w:pPr>
        <w:ind w:left="709"/>
        <w:jc w:val="both"/>
        <w:rPr>
          <w:rFonts w:ascii="Palatino Linotype" w:hAnsi="Palatino Linotype"/>
          <w:i/>
          <w:sz w:val="22"/>
        </w:rPr>
      </w:pPr>
      <w:r w:rsidRPr="006C7201">
        <w:rPr>
          <w:rFonts w:ascii="Palatino Linotype" w:hAnsi="Palatino Linotype"/>
          <w:i/>
          <w:sz w:val="22"/>
        </w:rPr>
        <w:t>Por lo que respecta a LAS LICENCIAS DE USO DE SUELO correspondientes a las bodegas números 22-A, actualmente 22 y número 24 de la calle 5 de mayo de la Colonia Reforma manifiesto que quien otorga estas licencias es la DIRECCION DE DESARROLLO URBANO Y METROPOLITANO de la que es director el C. LUIS MIGUEL ORTEGA, que tiene la responsabilidad y la obligación de guardar en los archivos correspondientes a su dirección las copias de las Licencias de uso de suelo y proporcionarlas al solicitante ya que son documentos públicos, desconociendo los motivos por los que el C. LUIS MIGUEL ORTEGA FLORES, se niega a proporcionarlas al solicitante, por tal motivo, solicito se me de una respuesta fundada y motivada al respecto a la licencia de uso de suelo número 313/2021 con número de folio 1914 de fecha 14 de septiembre del 2021, emitida por la dirección de Desarrollo Urbano Metropolitano y Medio Ambiente y firmada por el Licenciado LUIS MATEO FUENTES SALAZAR</w:t>
      </w:r>
    </w:p>
    <w:p w14:paraId="56A4878F" w14:textId="1D024B6D" w:rsidR="006178C6" w:rsidRPr="006C7201" w:rsidRDefault="006178C6" w:rsidP="006178C6">
      <w:pPr>
        <w:ind w:left="709"/>
        <w:jc w:val="both"/>
        <w:rPr>
          <w:rFonts w:ascii="Palatino Linotype" w:hAnsi="Palatino Linotype"/>
          <w:i/>
          <w:sz w:val="22"/>
        </w:rPr>
      </w:pPr>
      <w:r w:rsidRPr="006C7201">
        <w:rPr>
          <w:rFonts w:ascii="Palatino Linotype" w:hAnsi="Palatino Linotype"/>
          <w:i/>
          <w:sz w:val="22"/>
        </w:rPr>
        <w:t xml:space="preserve">Por lo que respecta al C. ALBERTO MAURICIO GONZALEZ DAVILA, COORDINADOR MUNICIPAL DE PROTECCION CIVIL Y BOMBEROS, manifiesto que su irresponsabilidad falta de ética, falta de compromiso, probable falta de conocimiento y negligencia, por lo que es incomprensible para el solicitante que una persona que ocupa ese puesto no actúe conforme a la ley, ya que en el oficio de respuesta número SMA/CMPC/0244/2022 de fecha 8 de Noviembre del 2022, manifiesta </w:t>
      </w:r>
      <w:r w:rsidRPr="006C7201">
        <w:rPr>
          <w:rFonts w:ascii="Palatino Linotype" w:hAnsi="Palatino Linotype"/>
          <w:b/>
          <w:bCs/>
          <w:i/>
          <w:iCs/>
          <w:sz w:val="22"/>
        </w:rPr>
        <w:t>“no existe constancia de verificación de los años que solicitan de la FUNDIDORA DE PLOMO ARTEMIS7 S.A DE C.V., ubicada en 5 de mayo número 24 de la Colonia Reforma, solo una solicitud …”</w:t>
      </w:r>
      <w:r w:rsidRPr="006C7201">
        <w:rPr>
          <w:rFonts w:ascii="Palatino Linotype" w:hAnsi="Palatino Linotype"/>
          <w:i/>
          <w:sz w:val="22"/>
        </w:rPr>
        <w:t xml:space="preserve"> , probablemente permitiendo la operación y funcionamiento de la citada fundidora, a pesar de tener conocimiento de esas irregularidades y permitir que se pusiera en riesgo a los trabajadores y habitantes de la colonia. Así mismo solicito se me dé respuesta fundada y motivada con respecto a la constancia de verificación con numero de folio 0143 con fecha 15 de marzo del 2019.</w:t>
      </w:r>
    </w:p>
    <w:p w14:paraId="00F14B3A" w14:textId="77777777" w:rsidR="006178C6" w:rsidRPr="006C7201" w:rsidRDefault="006178C6" w:rsidP="006178C6">
      <w:pPr>
        <w:pStyle w:val="Prrafodelista"/>
        <w:tabs>
          <w:tab w:val="left" w:pos="426"/>
        </w:tabs>
        <w:spacing w:line="360" w:lineRule="auto"/>
        <w:ind w:left="709"/>
        <w:jc w:val="both"/>
        <w:rPr>
          <w:rFonts w:ascii="Palatino Linotype" w:eastAsia="Calibri" w:hAnsi="Palatino Linotype" w:cs="Arial"/>
          <w:color w:val="000000" w:themeColor="text1"/>
          <w:lang w:val="es-ES"/>
        </w:rPr>
      </w:pPr>
    </w:p>
    <w:p w14:paraId="16BD0887" w14:textId="35D23580" w:rsidR="006178C6" w:rsidRPr="006C7201" w:rsidRDefault="006178C6" w:rsidP="006178C6">
      <w:pPr>
        <w:pStyle w:val="Prrafodelista"/>
        <w:numPr>
          <w:ilvl w:val="0"/>
          <w:numId w:val="45"/>
        </w:numPr>
        <w:tabs>
          <w:tab w:val="left" w:pos="426"/>
        </w:tabs>
        <w:spacing w:line="360" w:lineRule="auto"/>
        <w:ind w:left="709"/>
        <w:jc w:val="both"/>
        <w:rPr>
          <w:rFonts w:ascii="Palatino Linotype" w:eastAsia="Calibri" w:hAnsi="Palatino Linotype" w:cs="Arial"/>
          <w:color w:val="000000" w:themeColor="text1"/>
          <w:lang w:val="es-ES"/>
        </w:rPr>
      </w:pPr>
      <w:r w:rsidRPr="006C7201">
        <w:rPr>
          <w:rFonts w:ascii="Palatino Linotype" w:eastAsia="Calibri" w:hAnsi="Palatino Linotype" w:cs="Arial"/>
          <w:b/>
          <w:color w:val="000000" w:themeColor="text1"/>
          <w:lang w:val="es-ES"/>
        </w:rPr>
        <w:lastRenderedPageBreak/>
        <w:t>20230210_140429.jpg</w:t>
      </w:r>
      <w:r w:rsidR="00615E9B" w:rsidRPr="006C7201">
        <w:rPr>
          <w:rFonts w:ascii="Palatino Linotype" w:eastAsia="Calibri" w:hAnsi="Palatino Linotype" w:cs="Arial"/>
          <w:b/>
          <w:color w:val="000000" w:themeColor="text1"/>
          <w:lang w:val="es-ES"/>
        </w:rPr>
        <w:t>:</w:t>
      </w:r>
      <w:r w:rsidR="00615E9B" w:rsidRPr="006C7201">
        <w:rPr>
          <w:rFonts w:ascii="Palatino Linotype" w:eastAsia="Calibri" w:hAnsi="Palatino Linotype" w:cs="Arial"/>
          <w:color w:val="000000" w:themeColor="text1"/>
          <w:lang w:val="es-ES"/>
        </w:rPr>
        <w:t xml:space="preserve"> Contiene una fotografía de una vialidad, en la que transitan estudiantes y vehículos</w:t>
      </w:r>
    </w:p>
    <w:p w14:paraId="6CFCD584" w14:textId="35CA7433" w:rsidR="006178C6" w:rsidRPr="006C7201" w:rsidRDefault="006178C6" w:rsidP="006178C6">
      <w:pPr>
        <w:pStyle w:val="Prrafodelista"/>
        <w:numPr>
          <w:ilvl w:val="0"/>
          <w:numId w:val="45"/>
        </w:numPr>
        <w:tabs>
          <w:tab w:val="left" w:pos="426"/>
        </w:tabs>
        <w:spacing w:line="360" w:lineRule="auto"/>
        <w:ind w:left="709"/>
        <w:jc w:val="both"/>
        <w:rPr>
          <w:rFonts w:ascii="Palatino Linotype" w:eastAsia="Calibri" w:hAnsi="Palatino Linotype" w:cs="Arial"/>
          <w:b/>
          <w:color w:val="000000" w:themeColor="text1"/>
          <w:lang w:val="es-ES"/>
        </w:rPr>
      </w:pPr>
      <w:r w:rsidRPr="006C7201">
        <w:rPr>
          <w:rFonts w:ascii="Palatino Linotype" w:eastAsia="Calibri" w:hAnsi="Palatino Linotype" w:cs="Arial"/>
          <w:b/>
          <w:color w:val="000000" w:themeColor="text1"/>
          <w:lang w:val="es-ES"/>
        </w:rPr>
        <w:t>Screenshot_20230703_132251_com.whatsapp.jpg</w:t>
      </w:r>
      <w:r w:rsidR="00615E9B" w:rsidRPr="006C7201">
        <w:rPr>
          <w:rFonts w:ascii="Palatino Linotype" w:eastAsia="Calibri" w:hAnsi="Palatino Linotype" w:cs="Arial"/>
          <w:b/>
          <w:color w:val="000000" w:themeColor="text1"/>
          <w:lang w:val="es-ES"/>
        </w:rPr>
        <w:t xml:space="preserve">: </w:t>
      </w:r>
      <w:r w:rsidR="00615E9B" w:rsidRPr="006C7201">
        <w:rPr>
          <w:rFonts w:ascii="Palatino Linotype" w:eastAsia="Calibri" w:hAnsi="Palatino Linotype" w:cs="Arial"/>
          <w:color w:val="000000" w:themeColor="text1"/>
          <w:lang w:val="es-ES"/>
        </w:rPr>
        <w:t>Contiene una fotografía de un portón color gris, con un sellos de clausurado.</w:t>
      </w:r>
    </w:p>
    <w:p w14:paraId="3A9822B6" w14:textId="1ECB7C2F" w:rsidR="006178C6" w:rsidRPr="006C7201" w:rsidRDefault="00615E9B" w:rsidP="006178C6">
      <w:pPr>
        <w:pStyle w:val="Prrafodelista"/>
        <w:numPr>
          <w:ilvl w:val="0"/>
          <w:numId w:val="45"/>
        </w:numPr>
        <w:tabs>
          <w:tab w:val="left" w:pos="426"/>
        </w:tabs>
        <w:spacing w:line="360" w:lineRule="auto"/>
        <w:ind w:left="709"/>
        <w:jc w:val="both"/>
        <w:rPr>
          <w:rFonts w:ascii="Palatino Linotype" w:eastAsia="Calibri" w:hAnsi="Palatino Linotype" w:cs="Arial"/>
          <w:b/>
          <w:color w:val="000000" w:themeColor="text1"/>
          <w:lang w:val="es-ES"/>
        </w:rPr>
      </w:pPr>
      <w:r w:rsidRPr="006C7201">
        <w:rPr>
          <w:rFonts w:ascii="Palatino Linotype" w:eastAsia="Calibri" w:hAnsi="Palatino Linotype" w:cs="Arial"/>
          <w:b/>
          <w:color w:val="000000" w:themeColor="text1"/>
          <w:lang w:val="es-ES"/>
        </w:rPr>
        <w:t xml:space="preserve">IMG_20230118_204523.jpg: </w:t>
      </w:r>
      <w:r w:rsidRPr="006C7201">
        <w:rPr>
          <w:rFonts w:ascii="Palatino Linotype" w:eastAsia="Calibri" w:hAnsi="Palatino Linotype" w:cs="Arial"/>
          <w:color w:val="000000" w:themeColor="text1"/>
          <w:lang w:val="es-ES"/>
        </w:rPr>
        <w:t>Contiene una fotografía donde se aprecia la expulsión de humo de una fábrica.</w:t>
      </w:r>
      <w:r w:rsidR="006178C6" w:rsidRPr="006C7201">
        <w:rPr>
          <w:rFonts w:ascii="Palatino Linotype" w:eastAsia="Calibri" w:hAnsi="Palatino Linotype" w:cs="Arial"/>
          <w:b/>
          <w:color w:val="000000" w:themeColor="text1"/>
          <w:lang w:val="es-ES"/>
        </w:rPr>
        <w:tab/>
      </w:r>
    </w:p>
    <w:p w14:paraId="79788066" w14:textId="02D198A7" w:rsidR="006178C6" w:rsidRPr="006C7201" w:rsidRDefault="00615E9B" w:rsidP="006178C6">
      <w:pPr>
        <w:pStyle w:val="Prrafodelista"/>
        <w:numPr>
          <w:ilvl w:val="0"/>
          <w:numId w:val="45"/>
        </w:numPr>
        <w:tabs>
          <w:tab w:val="left" w:pos="426"/>
        </w:tabs>
        <w:spacing w:line="360" w:lineRule="auto"/>
        <w:ind w:left="709"/>
        <w:jc w:val="both"/>
        <w:rPr>
          <w:rFonts w:ascii="Palatino Linotype" w:eastAsia="Calibri" w:hAnsi="Palatino Linotype" w:cs="Arial"/>
          <w:b/>
          <w:color w:val="000000" w:themeColor="text1"/>
          <w:lang w:val="es-ES"/>
        </w:rPr>
      </w:pPr>
      <w:r w:rsidRPr="006C7201">
        <w:rPr>
          <w:rFonts w:ascii="Palatino Linotype" w:eastAsia="Calibri" w:hAnsi="Palatino Linotype" w:cs="Arial"/>
          <w:b/>
          <w:color w:val="000000" w:themeColor="text1"/>
          <w:lang w:val="es-ES"/>
        </w:rPr>
        <w:t xml:space="preserve">IMG_20230119_213623.jpg: </w:t>
      </w:r>
      <w:r w:rsidRPr="006C7201">
        <w:rPr>
          <w:rFonts w:ascii="Palatino Linotype" w:eastAsia="Calibri" w:hAnsi="Palatino Linotype" w:cs="Arial"/>
          <w:color w:val="000000" w:themeColor="text1"/>
          <w:lang w:val="es-ES"/>
        </w:rPr>
        <w:t>Contiene una fotografía donde se aprecia la expulsión de humo de una fábrica.</w:t>
      </w:r>
    </w:p>
    <w:p w14:paraId="65BDEDB0" w14:textId="6DAF812A" w:rsidR="006178C6" w:rsidRPr="006C7201" w:rsidRDefault="006178C6" w:rsidP="006178C6">
      <w:pPr>
        <w:pStyle w:val="Prrafodelista"/>
        <w:numPr>
          <w:ilvl w:val="0"/>
          <w:numId w:val="45"/>
        </w:numPr>
        <w:tabs>
          <w:tab w:val="left" w:pos="426"/>
        </w:tabs>
        <w:spacing w:line="360" w:lineRule="auto"/>
        <w:ind w:left="709"/>
        <w:jc w:val="both"/>
        <w:rPr>
          <w:rFonts w:ascii="Palatino Linotype" w:eastAsia="Calibri" w:hAnsi="Palatino Linotype" w:cs="Arial"/>
          <w:b/>
          <w:color w:val="000000" w:themeColor="text1"/>
          <w:lang w:val="es-ES"/>
        </w:rPr>
      </w:pPr>
      <w:r w:rsidRPr="006C7201">
        <w:rPr>
          <w:rFonts w:ascii="Palatino Linotype" w:eastAsia="Calibri" w:hAnsi="Palatino Linotype" w:cs="Arial"/>
          <w:b/>
          <w:color w:val="000000" w:themeColor="text1"/>
          <w:lang w:val="es-ES"/>
        </w:rPr>
        <w:t>IMG_20230119_213623.jpg</w:t>
      </w:r>
      <w:r w:rsidR="00615E9B" w:rsidRPr="006C7201">
        <w:rPr>
          <w:rFonts w:ascii="Palatino Linotype" w:eastAsia="Calibri" w:hAnsi="Palatino Linotype" w:cs="Arial"/>
          <w:b/>
          <w:color w:val="000000" w:themeColor="text1"/>
          <w:lang w:val="es-ES"/>
        </w:rPr>
        <w:t xml:space="preserve">: </w:t>
      </w:r>
      <w:r w:rsidR="00615E9B" w:rsidRPr="006C7201">
        <w:rPr>
          <w:rFonts w:ascii="Palatino Linotype" w:eastAsia="Calibri" w:hAnsi="Palatino Linotype" w:cs="Arial"/>
          <w:color w:val="000000" w:themeColor="text1"/>
          <w:lang w:val="es-ES"/>
        </w:rPr>
        <w:t>Contiene una fotografía donde se aprecia la expulsión de humo de una fábrica.</w:t>
      </w:r>
    </w:p>
    <w:p w14:paraId="3B6AE643" w14:textId="77777777" w:rsidR="006178C6" w:rsidRPr="006C7201" w:rsidRDefault="006178C6" w:rsidP="006178C6">
      <w:pPr>
        <w:pStyle w:val="Prrafodelista"/>
        <w:rPr>
          <w:rFonts w:ascii="Palatino Linotype" w:eastAsia="Calibri" w:hAnsi="Palatino Linotype" w:cs="Arial"/>
          <w:color w:val="000000" w:themeColor="text1"/>
          <w:lang w:val="es-ES"/>
        </w:rPr>
      </w:pPr>
    </w:p>
    <w:p w14:paraId="66475484" w14:textId="32C6272B" w:rsidR="00615E9B" w:rsidRPr="006C7201" w:rsidRDefault="00615E9B" w:rsidP="00160FDB">
      <w:pPr>
        <w:pStyle w:val="Prrafodelista"/>
        <w:numPr>
          <w:ilvl w:val="0"/>
          <w:numId w:val="1"/>
        </w:numPr>
        <w:tabs>
          <w:tab w:val="left" w:pos="426"/>
        </w:tabs>
        <w:spacing w:line="360" w:lineRule="auto"/>
        <w:jc w:val="both"/>
        <w:rPr>
          <w:rFonts w:ascii="Palatino Linotype" w:hAnsi="Palatino Linotype"/>
          <w:color w:val="000000" w:themeColor="text1"/>
        </w:rPr>
      </w:pPr>
      <w:bookmarkStart w:id="3" w:name="_Toc461555889"/>
      <w:bookmarkStart w:id="4" w:name="_Toc466371858"/>
      <w:r w:rsidRPr="006C7201">
        <w:rPr>
          <w:rFonts w:ascii="Palatino Linotype" w:hAnsi="Palatino Linotype"/>
          <w:color w:val="000000" w:themeColor="text1"/>
        </w:rPr>
        <w:t>De las constancias que obran en el expediente electrónico de SAIMEX, se aprecia que el Sujeto Obligado fue omiso en rendir su informe justificado.</w:t>
      </w:r>
    </w:p>
    <w:p w14:paraId="228A680B" w14:textId="77777777" w:rsidR="00615E9B" w:rsidRPr="006C7201" w:rsidRDefault="00615E9B" w:rsidP="00615E9B">
      <w:pPr>
        <w:pStyle w:val="Prrafodelista"/>
        <w:tabs>
          <w:tab w:val="left" w:pos="426"/>
        </w:tabs>
        <w:spacing w:line="360" w:lineRule="auto"/>
        <w:ind w:left="0"/>
        <w:jc w:val="both"/>
        <w:rPr>
          <w:rFonts w:ascii="Palatino Linotype" w:hAnsi="Palatino Linotype"/>
          <w:color w:val="000000" w:themeColor="text1"/>
        </w:rPr>
      </w:pPr>
    </w:p>
    <w:p w14:paraId="5B953A72" w14:textId="77777777" w:rsidR="00615E9B" w:rsidRPr="006C7201" w:rsidRDefault="00615E9B" w:rsidP="00615E9B">
      <w:pPr>
        <w:pStyle w:val="Prrafodelista"/>
        <w:numPr>
          <w:ilvl w:val="0"/>
          <w:numId w:val="1"/>
        </w:numPr>
        <w:spacing w:before="240" w:after="240" w:line="360" w:lineRule="auto"/>
        <w:jc w:val="both"/>
        <w:rPr>
          <w:rFonts w:ascii="Palatino Linotype" w:hAnsi="Palatino Linotype"/>
          <w:i/>
          <w:color w:val="000000"/>
          <w:sz w:val="28"/>
          <w:lang w:val="es-ES_tradnl"/>
        </w:rPr>
      </w:pPr>
      <w:r w:rsidRPr="006C7201">
        <w:rPr>
          <w:rFonts w:ascii="Palatino Linotype" w:hAnsi="Palatino Linotype" w:cs="Arial"/>
          <w:color w:val="222222"/>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06F02167" w14:textId="77777777" w:rsidR="00615E9B" w:rsidRPr="006C7201" w:rsidRDefault="00615E9B" w:rsidP="00615E9B">
      <w:pPr>
        <w:pStyle w:val="Prrafodelista"/>
        <w:tabs>
          <w:tab w:val="left" w:pos="284"/>
        </w:tabs>
        <w:spacing w:line="360" w:lineRule="auto"/>
        <w:ind w:left="0"/>
        <w:jc w:val="both"/>
        <w:rPr>
          <w:rFonts w:ascii="Palatino Linotype" w:hAnsi="Palatino Linotype" w:cs="Arial"/>
        </w:rPr>
      </w:pPr>
    </w:p>
    <w:p w14:paraId="453E14CE" w14:textId="77777777" w:rsidR="00615E9B" w:rsidRPr="006C7201" w:rsidRDefault="00615E9B" w:rsidP="00615E9B">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sz w:val="22"/>
          <w:lang w:val="es-ES_tradnl"/>
        </w:rPr>
      </w:pPr>
      <w:r w:rsidRPr="006C7201">
        <w:rPr>
          <w:rFonts w:ascii="Palatino Linotype" w:hAnsi="Palatino Linotype" w:cs="Arial"/>
          <w:b/>
          <w:bCs/>
          <w:i/>
          <w:iCs/>
          <w:color w:val="222222"/>
          <w:sz w:val="22"/>
          <w:lang w:val="es-ES_tradnl"/>
        </w:rPr>
        <w:t>QUEJA, RECURSO DE. LA OMISION DE RENDIR EL INFORME RESPECTIVO NO IMPIDE QUE SE RESUELV</w:t>
      </w:r>
      <w:r w:rsidRPr="006C7201">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w:t>
      </w:r>
      <w:r w:rsidRPr="006C7201">
        <w:rPr>
          <w:rFonts w:ascii="Palatino Linotype" w:hAnsi="Palatino Linotype" w:cs="Arial"/>
          <w:i/>
          <w:iCs/>
          <w:color w:val="222222"/>
          <w:sz w:val="22"/>
          <w:lang w:val="es-ES_tradnl"/>
        </w:rPr>
        <w:lastRenderedPageBreak/>
        <w:t>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79B0F900" w14:textId="77777777" w:rsidR="00615E9B" w:rsidRPr="006C7201" w:rsidRDefault="00615E9B" w:rsidP="00615E9B">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rPr>
      </w:pPr>
    </w:p>
    <w:p w14:paraId="154D70DC" w14:textId="77777777" w:rsidR="00615E9B" w:rsidRPr="006C7201" w:rsidRDefault="00615E9B" w:rsidP="00615E9B">
      <w:pPr>
        <w:pStyle w:val="Prrafodelista"/>
        <w:numPr>
          <w:ilvl w:val="0"/>
          <w:numId w:val="1"/>
        </w:numPr>
        <w:tabs>
          <w:tab w:val="left" w:pos="284"/>
        </w:tabs>
        <w:spacing w:line="360" w:lineRule="auto"/>
        <w:jc w:val="both"/>
        <w:rPr>
          <w:rFonts w:ascii="Palatino Linotype" w:hAnsi="Palatino Linotype" w:cs="Arial"/>
          <w:b/>
          <w:bCs/>
          <w:lang w:eastAsia="es-MX"/>
        </w:rPr>
      </w:pPr>
      <w:r w:rsidRPr="006C7201">
        <w:rPr>
          <w:rFonts w:ascii="Palatino Linotype" w:hAnsi="Palatino Linotype" w:cs="Arial"/>
          <w:color w:val="222222"/>
        </w:rPr>
        <w:t>Por lo cual se reitera, que la falta de informe justificado no impide que este Órgano Garante conozca y resuelva el recurso de revisión, solo propicia que el </w:t>
      </w:r>
      <w:r w:rsidRPr="006C7201">
        <w:rPr>
          <w:rFonts w:ascii="Palatino Linotype" w:hAnsi="Palatino Linotype" w:cs="Arial"/>
          <w:b/>
          <w:bCs/>
          <w:color w:val="222222"/>
        </w:rPr>
        <w:t>SUJETO OBLIGADO</w:t>
      </w:r>
      <w:r w:rsidRPr="006C7201">
        <w:rPr>
          <w:rFonts w:ascii="Palatino Linotype" w:hAnsi="Palatino Linotype" w:cs="Arial"/>
          <w:color w:val="222222"/>
        </w:rPr>
        <w:t> pierda la oportunidad de justificar su falta de respuesta y manifestar lo que a su derecho convenga.</w:t>
      </w:r>
    </w:p>
    <w:p w14:paraId="0D499992" w14:textId="77777777" w:rsidR="00615E9B" w:rsidRPr="006C7201" w:rsidRDefault="00615E9B" w:rsidP="00615E9B">
      <w:pPr>
        <w:pStyle w:val="Prrafodelista"/>
        <w:tabs>
          <w:tab w:val="left" w:pos="426"/>
        </w:tabs>
        <w:spacing w:line="360" w:lineRule="auto"/>
        <w:ind w:left="0"/>
        <w:jc w:val="both"/>
        <w:rPr>
          <w:rFonts w:ascii="Palatino Linotype" w:hAnsi="Palatino Linotype"/>
          <w:color w:val="000000" w:themeColor="text1"/>
        </w:rPr>
      </w:pPr>
    </w:p>
    <w:p w14:paraId="08A55E9F" w14:textId="13A4D093" w:rsidR="00160FDB" w:rsidRPr="006C7201" w:rsidRDefault="00615E9B" w:rsidP="00160FDB">
      <w:pPr>
        <w:pStyle w:val="Prrafodelista"/>
        <w:numPr>
          <w:ilvl w:val="0"/>
          <w:numId w:val="1"/>
        </w:numPr>
        <w:tabs>
          <w:tab w:val="left" w:pos="426"/>
        </w:tabs>
        <w:spacing w:line="360" w:lineRule="auto"/>
        <w:jc w:val="both"/>
        <w:rPr>
          <w:rFonts w:ascii="Palatino Linotype" w:hAnsi="Palatino Linotype"/>
          <w:color w:val="000000" w:themeColor="text1"/>
        </w:rPr>
      </w:pPr>
      <w:r w:rsidRPr="006C7201">
        <w:rPr>
          <w:rFonts w:ascii="Palatino Linotype" w:hAnsi="Palatino Linotype"/>
          <w:color w:val="000000" w:themeColor="text1"/>
        </w:rPr>
        <w:t>El nueve</w:t>
      </w:r>
      <w:r w:rsidR="00160FDB" w:rsidRPr="006C7201">
        <w:rPr>
          <w:rFonts w:ascii="Palatino Linotype" w:hAnsi="Palatino Linotype"/>
          <w:color w:val="000000" w:themeColor="text1"/>
        </w:rPr>
        <w:t xml:space="preserve"> (</w:t>
      </w:r>
      <w:r w:rsidRPr="006C7201">
        <w:rPr>
          <w:rFonts w:ascii="Palatino Linotype" w:hAnsi="Palatino Linotype"/>
          <w:color w:val="000000" w:themeColor="text1"/>
        </w:rPr>
        <w:t>9</w:t>
      </w:r>
      <w:r w:rsidR="00160FDB" w:rsidRPr="006C7201">
        <w:rPr>
          <w:rFonts w:ascii="Palatino Linotype" w:hAnsi="Palatino Linotype"/>
          <w:color w:val="000000" w:themeColor="text1"/>
        </w:rPr>
        <w:t xml:space="preserve">) de </w:t>
      </w:r>
      <w:r w:rsidRPr="006C7201">
        <w:rPr>
          <w:rFonts w:ascii="Palatino Linotype" w:hAnsi="Palatino Linotype"/>
          <w:color w:val="000000" w:themeColor="text1"/>
        </w:rPr>
        <w:t>junio</w:t>
      </w:r>
      <w:r w:rsidR="00160FDB" w:rsidRPr="006C7201">
        <w:rPr>
          <w:rFonts w:ascii="Palatino Linotype" w:hAnsi="Palatino Linotype"/>
          <w:color w:val="000000" w:themeColor="text1"/>
        </w:rPr>
        <w:t xml:space="preserve"> de dos mil veinti</w:t>
      </w:r>
      <w:r w:rsidR="008D5329" w:rsidRPr="006C7201">
        <w:rPr>
          <w:rFonts w:ascii="Palatino Linotype" w:hAnsi="Palatino Linotype"/>
          <w:color w:val="000000" w:themeColor="text1"/>
        </w:rPr>
        <w:t>trés</w:t>
      </w:r>
      <w:r w:rsidR="00160FDB" w:rsidRPr="006C7201">
        <w:rPr>
          <w:rFonts w:ascii="Palatino Linotype" w:hAnsi="Palatino Linotype"/>
          <w:color w:val="000000" w:themeColor="text1"/>
        </w:rPr>
        <w:t xml:space="preserve">, la Comisionada Ponente notificó el acuerdo de acumulación de recursos de revisión, asimismo, notificó </w:t>
      </w:r>
      <w:r w:rsidR="00D00A2E" w:rsidRPr="006C7201">
        <w:rPr>
          <w:rFonts w:ascii="Palatino Linotype" w:hAnsi="Palatino Linotype" w:cs="Arial"/>
          <w:color w:val="000000" w:themeColor="text1"/>
        </w:rPr>
        <w:t xml:space="preserve">el acuerdo de ampliación </w:t>
      </w:r>
      <w:r w:rsidR="00124BBC" w:rsidRPr="006C7201">
        <w:rPr>
          <w:rFonts w:ascii="Palatino Linotype" w:hAnsi="Palatino Linotype" w:cs="Arial"/>
          <w:color w:val="000000" w:themeColor="text1"/>
        </w:rPr>
        <w:t>de plazo para emitir resolución</w:t>
      </w:r>
      <w:r w:rsidR="00160FDB" w:rsidRPr="006C7201">
        <w:rPr>
          <w:rFonts w:ascii="Palatino Linotype" w:hAnsi="Palatino Linotype" w:cs="Arial"/>
          <w:color w:val="000000" w:themeColor="text1"/>
        </w:rPr>
        <w:t>.</w:t>
      </w:r>
    </w:p>
    <w:p w14:paraId="2BC85799" w14:textId="77777777" w:rsidR="00160FDB" w:rsidRPr="006C7201" w:rsidRDefault="00160FDB" w:rsidP="00160FDB">
      <w:pPr>
        <w:pStyle w:val="Prrafodelista"/>
        <w:tabs>
          <w:tab w:val="left" w:pos="426"/>
        </w:tabs>
        <w:spacing w:line="360" w:lineRule="auto"/>
        <w:ind w:left="0"/>
        <w:jc w:val="both"/>
        <w:rPr>
          <w:rFonts w:ascii="Palatino Linotype" w:hAnsi="Palatino Linotype"/>
          <w:color w:val="000000" w:themeColor="text1"/>
        </w:rPr>
      </w:pPr>
    </w:p>
    <w:p w14:paraId="3001AA57" w14:textId="1CD35D71" w:rsidR="008965EF" w:rsidRPr="006C7201" w:rsidRDefault="00A4292F" w:rsidP="00160FDB">
      <w:pPr>
        <w:pStyle w:val="Prrafodelista"/>
        <w:numPr>
          <w:ilvl w:val="0"/>
          <w:numId w:val="1"/>
        </w:numPr>
        <w:tabs>
          <w:tab w:val="left" w:pos="426"/>
        </w:tabs>
        <w:spacing w:line="360" w:lineRule="auto"/>
        <w:jc w:val="both"/>
        <w:rPr>
          <w:rFonts w:ascii="Palatino Linotype" w:hAnsi="Palatino Linotype"/>
          <w:color w:val="000000" w:themeColor="text1"/>
        </w:rPr>
      </w:pPr>
      <w:r w:rsidRPr="006C7201">
        <w:rPr>
          <w:rFonts w:ascii="Palatino Linotype" w:hAnsi="Palatino Linotype" w:cs="Arial"/>
          <w:color w:val="000000" w:themeColor="text1"/>
        </w:rPr>
        <w:t xml:space="preserve">El </w:t>
      </w:r>
      <w:r w:rsidR="008D5329" w:rsidRPr="006C7201">
        <w:rPr>
          <w:rFonts w:ascii="Palatino Linotype" w:hAnsi="Palatino Linotype" w:cs="Arial"/>
          <w:color w:val="000000" w:themeColor="text1"/>
        </w:rPr>
        <w:t>quince</w:t>
      </w:r>
      <w:r w:rsidR="00160FDB" w:rsidRPr="006C7201">
        <w:rPr>
          <w:rFonts w:ascii="Palatino Linotype" w:hAnsi="Palatino Linotype" w:cs="Arial"/>
          <w:color w:val="000000" w:themeColor="text1"/>
        </w:rPr>
        <w:t xml:space="preserve"> (</w:t>
      </w:r>
      <w:r w:rsidR="008D5329" w:rsidRPr="006C7201">
        <w:rPr>
          <w:rFonts w:ascii="Palatino Linotype" w:hAnsi="Palatino Linotype" w:cs="Arial"/>
          <w:color w:val="000000" w:themeColor="text1"/>
        </w:rPr>
        <w:t>15</w:t>
      </w:r>
      <w:r w:rsidR="00160FDB" w:rsidRPr="006C7201">
        <w:rPr>
          <w:rFonts w:ascii="Palatino Linotype" w:hAnsi="Palatino Linotype" w:cs="Arial"/>
          <w:color w:val="000000" w:themeColor="text1"/>
        </w:rPr>
        <w:t xml:space="preserve">) de </w:t>
      </w:r>
      <w:r w:rsidRPr="006C7201">
        <w:rPr>
          <w:rFonts w:ascii="Palatino Linotype" w:hAnsi="Palatino Linotype" w:cs="Arial"/>
          <w:color w:val="000000" w:themeColor="text1"/>
        </w:rPr>
        <w:t>diciembre</w:t>
      </w:r>
      <w:r w:rsidR="00160FDB" w:rsidRPr="006C7201">
        <w:rPr>
          <w:rFonts w:ascii="Palatino Linotype" w:hAnsi="Palatino Linotype" w:cs="Arial"/>
          <w:color w:val="000000" w:themeColor="text1"/>
        </w:rPr>
        <w:t xml:space="preserve"> de dos mil veintitrés, no habiendo diligencias pendientes de desahogo, se </w:t>
      </w:r>
      <w:r w:rsidR="00041DCC" w:rsidRPr="006C7201">
        <w:rPr>
          <w:rFonts w:ascii="Palatino Linotype" w:hAnsi="Palatino Linotype" w:cs="Arial"/>
          <w:color w:val="000000" w:themeColor="text1"/>
        </w:rPr>
        <w:t>de</w:t>
      </w:r>
      <w:r w:rsidR="0055252F" w:rsidRPr="006C7201">
        <w:rPr>
          <w:rFonts w:ascii="Palatino Linotype" w:hAnsi="Palatino Linotype" w:cs="Arial"/>
          <w:color w:val="000000" w:themeColor="text1"/>
        </w:rPr>
        <w:t>c</w:t>
      </w:r>
      <w:r w:rsidR="00D00A2E" w:rsidRPr="006C7201">
        <w:rPr>
          <w:rFonts w:ascii="Palatino Linotype" w:hAnsi="Palatino Linotype" w:cs="Arial"/>
          <w:color w:val="000000" w:themeColor="text1"/>
        </w:rPr>
        <w:t xml:space="preserve">retó el cierre de instrucción, </w:t>
      </w:r>
      <w:r w:rsidR="00AD6AC5" w:rsidRPr="006C7201">
        <w:rPr>
          <w:rFonts w:ascii="Palatino Linotype" w:hAnsi="Palatino Linotype" w:cs="Arial"/>
          <w:color w:val="000000" w:themeColor="text1"/>
        </w:rPr>
        <w:t>por lo que ordenó turnar el expediente para su resolución, misma que ahora se pronuncia</w:t>
      </w:r>
      <w:r w:rsidR="00BB219F" w:rsidRPr="006C7201">
        <w:rPr>
          <w:rFonts w:ascii="Palatino Linotype" w:hAnsi="Palatino Linotype" w:cs="Arial"/>
          <w:color w:val="000000" w:themeColor="text1"/>
        </w:rPr>
        <w:t>.</w:t>
      </w:r>
    </w:p>
    <w:p w14:paraId="6E208DA1" w14:textId="77777777" w:rsidR="00BB219F" w:rsidRPr="006C7201" w:rsidRDefault="00BB219F" w:rsidP="00BB219F">
      <w:pPr>
        <w:pStyle w:val="Prrafodelista"/>
        <w:tabs>
          <w:tab w:val="left" w:pos="426"/>
        </w:tabs>
        <w:spacing w:line="360" w:lineRule="auto"/>
        <w:ind w:left="0"/>
        <w:jc w:val="both"/>
        <w:rPr>
          <w:rFonts w:ascii="Palatino Linotype" w:hAnsi="Palatino Linotype" w:cs="Arial"/>
          <w:color w:val="000000" w:themeColor="text1"/>
        </w:rPr>
      </w:pPr>
    </w:p>
    <w:p w14:paraId="2665AE8A" w14:textId="77777777" w:rsidR="00BB219F" w:rsidRPr="006C7201" w:rsidRDefault="00BB219F" w:rsidP="00BB219F">
      <w:pPr>
        <w:pStyle w:val="Prrafodelista"/>
        <w:numPr>
          <w:ilvl w:val="0"/>
          <w:numId w:val="1"/>
        </w:numPr>
        <w:spacing w:before="240" w:after="240" w:line="360" w:lineRule="auto"/>
        <w:ind w:hanging="11"/>
        <w:jc w:val="both"/>
        <w:rPr>
          <w:rFonts w:ascii="Palatino Linotype" w:hAnsi="Palatino Linotype"/>
          <w:b/>
          <w:sz w:val="32"/>
          <w:u w:val="single"/>
        </w:rPr>
      </w:pPr>
      <w:r w:rsidRPr="006C7201">
        <w:rPr>
          <w:rFonts w:ascii="Palatino Linotype" w:hAnsi="Palatino Linotype"/>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5E5A6D2" w14:textId="77777777" w:rsidR="00BB219F" w:rsidRPr="006C7201" w:rsidRDefault="00BB219F" w:rsidP="00BB219F">
      <w:pPr>
        <w:pStyle w:val="Prrafodelista"/>
        <w:rPr>
          <w:rFonts w:ascii="Palatino Linotype" w:hAnsi="Palatino Linotype"/>
        </w:rPr>
      </w:pPr>
    </w:p>
    <w:p w14:paraId="763D9316"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340BA2A" w14:textId="77777777" w:rsidR="00BB219F" w:rsidRPr="006C7201" w:rsidRDefault="00BB219F" w:rsidP="00BB219F">
      <w:pPr>
        <w:pStyle w:val="Prrafodelista"/>
        <w:spacing w:before="240" w:after="240" w:line="360" w:lineRule="auto"/>
        <w:ind w:left="0"/>
        <w:jc w:val="both"/>
        <w:rPr>
          <w:rFonts w:ascii="Palatino Linotype" w:hAnsi="Palatino Linotype"/>
        </w:rPr>
      </w:pPr>
    </w:p>
    <w:p w14:paraId="5532AACF"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3CFA0F7" w14:textId="77777777" w:rsidR="00BB219F" w:rsidRPr="006C7201" w:rsidRDefault="00BB219F" w:rsidP="00BB219F">
      <w:pPr>
        <w:pStyle w:val="Prrafodelista"/>
        <w:rPr>
          <w:rFonts w:ascii="Palatino Linotype" w:hAnsi="Palatino Linotype"/>
        </w:rPr>
      </w:pPr>
    </w:p>
    <w:p w14:paraId="1F5EEE70"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7EDF5D6" w14:textId="77777777" w:rsidR="00BB219F" w:rsidRPr="006C7201" w:rsidRDefault="00BB219F" w:rsidP="00BB219F">
      <w:pPr>
        <w:pStyle w:val="Prrafodelista"/>
        <w:spacing w:before="240" w:after="240" w:line="360" w:lineRule="auto"/>
        <w:ind w:left="0"/>
        <w:jc w:val="both"/>
        <w:rPr>
          <w:rFonts w:ascii="Palatino Linotype" w:hAnsi="Palatino Linotype"/>
        </w:rPr>
      </w:pPr>
    </w:p>
    <w:p w14:paraId="1EFCE098"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lastRenderedPageBreak/>
        <w:t xml:space="preserve">Por ello, excepcionalmente, si un asunto es resuelto con posterioridad a los plazos señalados por la norma debe analizarse la razonabilidad del tiempo necesario para su resolución, atentos a los siguientes criterios:   </w:t>
      </w:r>
    </w:p>
    <w:p w14:paraId="6640F67E" w14:textId="77777777" w:rsidR="00BB219F" w:rsidRPr="006C7201" w:rsidRDefault="00BB219F" w:rsidP="00BB219F">
      <w:pPr>
        <w:pStyle w:val="Prrafodelista"/>
        <w:spacing w:before="240" w:after="240" w:line="360" w:lineRule="auto"/>
        <w:ind w:left="0"/>
        <w:jc w:val="both"/>
        <w:rPr>
          <w:rFonts w:ascii="Palatino Linotype" w:hAnsi="Palatino Linotype"/>
        </w:rPr>
      </w:pPr>
    </w:p>
    <w:p w14:paraId="653D205B" w14:textId="77777777" w:rsidR="00BB219F" w:rsidRPr="006C7201" w:rsidRDefault="00BB219F" w:rsidP="00BB219F">
      <w:pPr>
        <w:pStyle w:val="Prrafodelista"/>
        <w:spacing w:before="240" w:after="240" w:line="360" w:lineRule="auto"/>
        <w:ind w:left="284"/>
        <w:jc w:val="both"/>
        <w:rPr>
          <w:rFonts w:ascii="Palatino Linotype" w:hAnsi="Palatino Linotype"/>
        </w:rPr>
      </w:pPr>
      <w:r w:rsidRPr="006C7201">
        <w:rPr>
          <w:rFonts w:ascii="Palatino Linotype" w:hAnsi="Palatino Linotype"/>
        </w:rPr>
        <w:t>a)      Complejidad del asunto: La complejidad de la prueba, la pluralidad de sujetos procesales, el tiempo transcurrido, las características y contexto del recurso.</w:t>
      </w:r>
    </w:p>
    <w:p w14:paraId="750F2211" w14:textId="77777777" w:rsidR="00BB219F" w:rsidRPr="006C7201" w:rsidRDefault="00BB219F" w:rsidP="00BB219F">
      <w:pPr>
        <w:pStyle w:val="Prrafodelista"/>
        <w:spacing w:before="240" w:after="240" w:line="360" w:lineRule="auto"/>
        <w:ind w:left="284"/>
        <w:jc w:val="both"/>
        <w:rPr>
          <w:rFonts w:ascii="Palatino Linotype" w:hAnsi="Palatino Linotype"/>
        </w:rPr>
      </w:pPr>
      <w:r w:rsidRPr="006C7201">
        <w:rPr>
          <w:rFonts w:ascii="Palatino Linotype" w:hAnsi="Palatino Linotype"/>
        </w:rPr>
        <w:t>b)     Actividad Procesal del interesado: Acciones u omisiones del interesado.</w:t>
      </w:r>
    </w:p>
    <w:p w14:paraId="609ACC4D" w14:textId="77777777" w:rsidR="00BB219F" w:rsidRPr="006C7201" w:rsidRDefault="00BB219F" w:rsidP="00BB219F">
      <w:pPr>
        <w:pStyle w:val="Prrafodelista"/>
        <w:spacing w:before="240" w:after="240" w:line="360" w:lineRule="auto"/>
        <w:ind w:left="284"/>
        <w:jc w:val="both"/>
        <w:rPr>
          <w:rFonts w:ascii="Palatino Linotype" w:hAnsi="Palatino Linotype"/>
        </w:rPr>
      </w:pPr>
      <w:r w:rsidRPr="006C7201">
        <w:rPr>
          <w:rFonts w:ascii="Palatino Linotype" w:hAnsi="Palatino Linotype"/>
        </w:rPr>
        <w:t>c)      Conducta de la Autoridad: Las Acciones u omisiones realizadas en el procedimiento. Así como si la autoridad actuó con la debida diligencia.</w:t>
      </w:r>
    </w:p>
    <w:p w14:paraId="2D9C95FE" w14:textId="77777777" w:rsidR="00BB219F" w:rsidRPr="006C7201" w:rsidRDefault="00BB219F" w:rsidP="00BB219F">
      <w:pPr>
        <w:pStyle w:val="Prrafodelista"/>
        <w:spacing w:before="240" w:after="240" w:line="360" w:lineRule="auto"/>
        <w:ind w:left="284"/>
        <w:jc w:val="both"/>
        <w:rPr>
          <w:rFonts w:ascii="Palatino Linotype" w:hAnsi="Palatino Linotype"/>
        </w:rPr>
      </w:pPr>
      <w:r w:rsidRPr="006C7201">
        <w:rPr>
          <w:rFonts w:ascii="Palatino Linotype" w:hAnsi="Palatino Linotype"/>
        </w:rPr>
        <w:t>d) La afectación generada en la situación jurídica de la persona involucrada en el proceso: Violación a sus derechos humanos.</w:t>
      </w:r>
    </w:p>
    <w:p w14:paraId="6B32F9F4" w14:textId="77777777" w:rsidR="00BB219F" w:rsidRPr="006C7201" w:rsidRDefault="00BB219F" w:rsidP="00BB219F">
      <w:pPr>
        <w:pStyle w:val="Prrafodelista"/>
        <w:spacing w:before="240" w:after="240" w:line="360" w:lineRule="auto"/>
        <w:ind w:left="0"/>
        <w:jc w:val="both"/>
        <w:rPr>
          <w:rFonts w:ascii="Palatino Linotype" w:hAnsi="Palatino Linotype"/>
        </w:rPr>
      </w:pPr>
    </w:p>
    <w:p w14:paraId="1DABE6D3"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6C2F6C1" w14:textId="77777777" w:rsidR="00BB219F" w:rsidRPr="006C7201" w:rsidRDefault="00BB219F" w:rsidP="00BB219F">
      <w:pPr>
        <w:pStyle w:val="Prrafodelista"/>
        <w:spacing w:before="240" w:after="240" w:line="360" w:lineRule="auto"/>
        <w:ind w:left="0"/>
        <w:jc w:val="both"/>
        <w:rPr>
          <w:rFonts w:ascii="Palatino Linotype" w:hAnsi="Palatino Linotype"/>
        </w:rPr>
      </w:pPr>
    </w:p>
    <w:p w14:paraId="60813C9A"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 xml:space="preserve">Argumento que encuentra sustento en la jurisprudencia P./J. 32/92 emitida por el Pleno de la Suprema Corte de Justicia de la Nación de rubro “TÉRMINOS PROCESALES. PARA DETERMINAR SI UN FUNCIONARIO JUDICIAL ACTUÓ INDEBIDAMENTE POR NO RESPETARLOS SE DEBE ATENDER AL </w:t>
      </w:r>
      <w:r w:rsidRPr="006C7201">
        <w:rPr>
          <w:rFonts w:ascii="Palatino Linotype" w:hAnsi="Palatino Linotype"/>
        </w:rPr>
        <w:lastRenderedPageBreak/>
        <w:t>PRESUPUESTO QUE CONSIDERÓ EL LEGISLADOR AL FIJARLOS Y LAS CARACTERÍSTICAS DEL CASO.”, visible en la Gaceta del Seminario Judicial de la Federación con el registro digital 205635.</w:t>
      </w:r>
    </w:p>
    <w:p w14:paraId="58FECEC3" w14:textId="77777777" w:rsidR="00BB219F" w:rsidRPr="006C7201" w:rsidRDefault="00BB219F" w:rsidP="00BB219F">
      <w:pPr>
        <w:pStyle w:val="Prrafodelista"/>
        <w:rPr>
          <w:rFonts w:ascii="Palatino Linotype" w:hAnsi="Palatino Linotype"/>
        </w:rPr>
      </w:pPr>
    </w:p>
    <w:p w14:paraId="424F017B"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BF8A213" w14:textId="77777777" w:rsidR="00BB219F" w:rsidRPr="006C7201" w:rsidRDefault="00BB219F" w:rsidP="00BB219F">
      <w:pPr>
        <w:pStyle w:val="Prrafodelista"/>
        <w:spacing w:before="240" w:after="240" w:line="360" w:lineRule="auto"/>
        <w:ind w:left="0"/>
        <w:jc w:val="both"/>
        <w:rPr>
          <w:rFonts w:ascii="Palatino Linotype" w:hAnsi="Palatino Linotype"/>
        </w:rPr>
      </w:pPr>
    </w:p>
    <w:p w14:paraId="3C6E9D4D" w14:textId="77777777" w:rsidR="00BB219F" w:rsidRPr="006C7201" w:rsidRDefault="00BB219F" w:rsidP="00BB219F">
      <w:pPr>
        <w:pStyle w:val="Prrafodelista"/>
        <w:numPr>
          <w:ilvl w:val="0"/>
          <w:numId w:val="1"/>
        </w:numPr>
        <w:spacing w:before="240" w:after="240" w:line="360" w:lineRule="auto"/>
        <w:jc w:val="both"/>
        <w:rPr>
          <w:rFonts w:ascii="Palatino Linotype" w:hAnsi="Palatino Linotype"/>
        </w:rPr>
      </w:pPr>
      <w:r w:rsidRPr="006C7201">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7A956A1C" w14:textId="77777777" w:rsidR="00BB219F" w:rsidRPr="006C7201" w:rsidRDefault="00BB219F" w:rsidP="00BB219F">
      <w:pPr>
        <w:pStyle w:val="Prrafodelista"/>
        <w:rPr>
          <w:rFonts w:ascii="Palatino Linotype" w:hAnsi="Palatino Linotype"/>
        </w:rPr>
      </w:pPr>
    </w:p>
    <w:p w14:paraId="5114BDE4" w14:textId="77777777" w:rsidR="00BB219F" w:rsidRPr="006C7201" w:rsidRDefault="00BB219F" w:rsidP="00BB219F">
      <w:pPr>
        <w:pStyle w:val="Prrafodelista"/>
        <w:spacing w:before="240" w:after="240" w:line="360" w:lineRule="auto"/>
        <w:ind w:left="567"/>
        <w:jc w:val="both"/>
        <w:rPr>
          <w:rFonts w:ascii="Palatino Linotype" w:hAnsi="Palatino Linotype"/>
        </w:rPr>
      </w:pPr>
      <w:r w:rsidRPr="006C7201">
        <w:rPr>
          <w:rFonts w:ascii="Palatino Linotype" w:hAnsi="Palatino Linotype"/>
        </w:rPr>
        <w:t>“PLAZO RAZONABLE PARA RESOLVER. DIMENSIÓN Y EFECTOS DE ESTE CONCEPTO CUANDO SE ADUCE EXCESIVA CARGA DE TRABAJO.” consultable en el Seminario Judicial de la Federación y su gaceta, con el registro digital 2002351.</w:t>
      </w:r>
    </w:p>
    <w:p w14:paraId="23C5A846" w14:textId="77777777" w:rsidR="00BB219F" w:rsidRPr="006C7201" w:rsidRDefault="00BB219F" w:rsidP="00BB219F">
      <w:pPr>
        <w:pStyle w:val="Prrafodelista"/>
        <w:spacing w:before="240" w:after="240" w:line="360" w:lineRule="auto"/>
        <w:ind w:left="567"/>
        <w:jc w:val="both"/>
        <w:rPr>
          <w:rFonts w:ascii="Palatino Linotype" w:hAnsi="Palatino Linotype"/>
        </w:rPr>
      </w:pPr>
      <w:r w:rsidRPr="006C7201">
        <w:rPr>
          <w:rFonts w:ascii="Palatino Linotype" w:hAnsi="Palatino Linotype"/>
        </w:rPr>
        <w:t xml:space="preserve">“PLAZO RAZONABLE PARA RESOLVER. CONCEPTO Y ELEMENTOS QUE LO INTEGRAN A LA LUZ DEL DERECHO INTERNACIONAL DE LOS </w:t>
      </w:r>
      <w:r w:rsidRPr="006C7201">
        <w:rPr>
          <w:rFonts w:ascii="Palatino Linotype" w:hAnsi="Palatino Linotype"/>
        </w:rPr>
        <w:lastRenderedPageBreak/>
        <w:t>DERECHOS HUMANOS.”, visible en el Seminario Judicial de la Federación y su gaceta, con el registro digital 2002350.</w:t>
      </w:r>
    </w:p>
    <w:p w14:paraId="70D5541A" w14:textId="77777777" w:rsidR="00BB219F" w:rsidRPr="006C7201" w:rsidRDefault="00BB219F" w:rsidP="00BB219F">
      <w:pPr>
        <w:pStyle w:val="Prrafodelista"/>
        <w:spacing w:before="240" w:after="240" w:line="360" w:lineRule="auto"/>
        <w:ind w:left="708"/>
        <w:jc w:val="both"/>
        <w:rPr>
          <w:rFonts w:ascii="Palatino Linotype" w:hAnsi="Palatino Linotype"/>
        </w:rPr>
      </w:pPr>
    </w:p>
    <w:p w14:paraId="43085F02" w14:textId="77777777" w:rsidR="00BB219F" w:rsidRPr="006C7201" w:rsidRDefault="00BB219F" w:rsidP="00BB219F">
      <w:pPr>
        <w:pStyle w:val="Prrafodelista"/>
        <w:numPr>
          <w:ilvl w:val="0"/>
          <w:numId w:val="1"/>
        </w:numPr>
        <w:tabs>
          <w:tab w:val="left" w:pos="426"/>
        </w:tabs>
        <w:spacing w:line="360" w:lineRule="auto"/>
        <w:jc w:val="both"/>
        <w:rPr>
          <w:rFonts w:ascii="Palatino Linotype" w:hAnsi="Palatino Linotype"/>
          <w:color w:val="000000" w:themeColor="text1"/>
        </w:rPr>
      </w:pPr>
      <w:r w:rsidRPr="006C7201">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433D3DD8" w14:textId="7920A746" w:rsidR="003718A1" w:rsidRPr="006C7201" w:rsidRDefault="003718A1" w:rsidP="003718A1">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6C7201" w:rsidRDefault="007C0013" w:rsidP="00B31E90">
      <w:pPr>
        <w:pStyle w:val="Ttulo1"/>
        <w:spacing w:before="0"/>
        <w:jc w:val="center"/>
        <w:rPr>
          <w:b/>
          <w:color w:val="000000" w:themeColor="text1"/>
        </w:rPr>
      </w:pPr>
      <w:bookmarkStart w:id="5" w:name="_Toc87456485"/>
      <w:r w:rsidRPr="006C7201">
        <w:rPr>
          <w:b/>
          <w:color w:val="000000" w:themeColor="text1"/>
        </w:rPr>
        <w:t>CONSIDERANDO</w:t>
      </w:r>
      <w:bookmarkEnd w:id="3"/>
      <w:bookmarkEnd w:id="4"/>
      <w:bookmarkEnd w:id="5"/>
    </w:p>
    <w:p w14:paraId="435CF9A4" w14:textId="77777777" w:rsidR="00FC1DA7" w:rsidRPr="006C7201" w:rsidRDefault="00FC1DA7" w:rsidP="00B31E90">
      <w:pPr>
        <w:rPr>
          <w:color w:val="000000" w:themeColor="text1"/>
          <w:lang w:eastAsia="en-US"/>
        </w:rPr>
      </w:pPr>
    </w:p>
    <w:p w14:paraId="629A5BE2" w14:textId="56C3E7D5" w:rsidR="007C0013" w:rsidRPr="006C7201"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7456486"/>
      <w:r w:rsidRPr="006C7201">
        <w:rPr>
          <w:rFonts w:ascii="Palatino Linotype" w:hAnsi="Palatino Linotype"/>
          <w:b/>
          <w:color w:val="000000" w:themeColor="text1"/>
          <w:sz w:val="24"/>
        </w:rPr>
        <w:t>PRIMERO. De la competencia</w:t>
      </w:r>
      <w:bookmarkEnd w:id="6"/>
      <w:bookmarkEnd w:id="7"/>
      <w:bookmarkEnd w:id="8"/>
    </w:p>
    <w:p w14:paraId="60FBD8C7" w14:textId="77777777" w:rsidR="00FC1DA7" w:rsidRPr="006C7201" w:rsidRDefault="00FC1DA7" w:rsidP="00B31E90">
      <w:pPr>
        <w:rPr>
          <w:rFonts w:ascii="Palatino Linotype" w:hAnsi="Palatino Linotype"/>
          <w:color w:val="000000" w:themeColor="text1"/>
          <w:lang w:eastAsia="en-US"/>
        </w:rPr>
      </w:pPr>
    </w:p>
    <w:p w14:paraId="0BF52B18" w14:textId="4D471685" w:rsidR="005A228F" w:rsidRPr="006C7201"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6C7201">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6C7201">
        <w:rPr>
          <w:rFonts w:ascii="Palatino Linotype" w:eastAsia="Calibri" w:hAnsi="Palatino Linotype" w:cs="Times New Roman"/>
          <w:color w:val="000000" w:themeColor="text1"/>
          <w:lang w:val="es-ES"/>
        </w:rPr>
        <w:t xml:space="preserve">etente para conocer y resolver </w:t>
      </w:r>
      <w:r w:rsidRPr="006C7201">
        <w:rPr>
          <w:rFonts w:ascii="Palatino Linotype" w:eastAsia="Calibri" w:hAnsi="Palatino Linotype" w:cs="Times New Roman"/>
          <w:color w:val="000000" w:themeColor="text1"/>
          <w:lang w:val="es-ES"/>
        </w:rPr>
        <w:t xml:space="preserve">el presente recurso de conformidad con el artículo: 6, apartado A, fracción IV de la </w:t>
      </w:r>
      <w:r w:rsidRPr="006C7201">
        <w:rPr>
          <w:rFonts w:ascii="Palatino Linotype" w:eastAsia="Calibri" w:hAnsi="Palatino Linotype" w:cs="Times New Roman"/>
          <w:b/>
          <w:color w:val="000000" w:themeColor="text1"/>
          <w:lang w:val="es-ES"/>
        </w:rPr>
        <w:t>Constitución Política de los Estados Unidos Mexicanos</w:t>
      </w:r>
      <w:r w:rsidRPr="006C7201">
        <w:rPr>
          <w:rFonts w:ascii="Palatino Linotype" w:eastAsia="Calibri" w:hAnsi="Palatino Linotype" w:cs="Times New Roman"/>
          <w:color w:val="000000" w:themeColor="text1"/>
          <w:lang w:val="es-ES"/>
        </w:rPr>
        <w:t xml:space="preserve">; 5, párrafos </w:t>
      </w:r>
      <w:r w:rsidR="000B7C4F" w:rsidRPr="006C7201">
        <w:rPr>
          <w:rFonts w:ascii="Palatino Linotype" w:eastAsia="Calibri" w:hAnsi="Palatino Linotype" w:cs="Times New Roman"/>
          <w:color w:val="000000" w:themeColor="text1"/>
          <w:lang w:val="es-ES"/>
        </w:rPr>
        <w:t>trigésimo</w:t>
      </w:r>
      <w:r w:rsidR="003A2D8F" w:rsidRPr="006C7201">
        <w:rPr>
          <w:rFonts w:ascii="Palatino Linotype" w:eastAsia="Calibri" w:hAnsi="Palatino Linotype" w:cs="Times New Roman"/>
          <w:color w:val="000000" w:themeColor="text1"/>
          <w:lang w:val="es-ES"/>
        </w:rPr>
        <w:t xml:space="preserve"> segundo</w:t>
      </w:r>
      <w:r w:rsidR="000B7C4F" w:rsidRPr="006C7201">
        <w:rPr>
          <w:rFonts w:ascii="Palatino Linotype" w:eastAsia="Calibri" w:hAnsi="Palatino Linotype" w:cs="Times New Roman"/>
          <w:color w:val="000000" w:themeColor="text1"/>
          <w:lang w:val="es-ES"/>
        </w:rPr>
        <w:t xml:space="preserve">, trigésimo </w:t>
      </w:r>
      <w:r w:rsidR="003A2D8F" w:rsidRPr="006C7201">
        <w:rPr>
          <w:rFonts w:ascii="Palatino Linotype" w:eastAsia="Calibri" w:hAnsi="Palatino Linotype" w:cs="Times New Roman"/>
          <w:color w:val="000000" w:themeColor="text1"/>
          <w:lang w:val="es-ES"/>
        </w:rPr>
        <w:t>tercero y</w:t>
      </w:r>
      <w:r w:rsidR="000B7C4F" w:rsidRPr="006C7201">
        <w:rPr>
          <w:rFonts w:ascii="Palatino Linotype" w:eastAsia="Calibri" w:hAnsi="Palatino Linotype" w:cs="Times New Roman"/>
          <w:color w:val="000000" w:themeColor="text1"/>
          <w:lang w:val="es-ES"/>
        </w:rPr>
        <w:t xml:space="preserve"> trigésimo </w:t>
      </w:r>
      <w:r w:rsidR="003A2D8F" w:rsidRPr="006C7201">
        <w:rPr>
          <w:rFonts w:ascii="Palatino Linotype" w:eastAsia="Calibri" w:hAnsi="Palatino Linotype" w:cs="Times New Roman"/>
          <w:color w:val="000000" w:themeColor="text1"/>
          <w:lang w:val="es-ES"/>
        </w:rPr>
        <w:t>cuarto</w:t>
      </w:r>
      <w:r w:rsidR="004F785F" w:rsidRPr="006C7201">
        <w:rPr>
          <w:rFonts w:ascii="Palatino Linotype" w:eastAsia="Calibri" w:hAnsi="Palatino Linotype" w:cs="Times New Roman"/>
          <w:color w:val="000000" w:themeColor="text1"/>
          <w:lang w:val="es-ES"/>
        </w:rPr>
        <w:t>,</w:t>
      </w:r>
      <w:r w:rsidRPr="006C7201">
        <w:rPr>
          <w:rFonts w:ascii="Palatino Linotype" w:eastAsia="Calibri" w:hAnsi="Palatino Linotype" w:cs="Times New Roman"/>
          <w:color w:val="000000" w:themeColor="text1"/>
          <w:lang w:val="es-ES"/>
        </w:rPr>
        <w:t xml:space="preserve"> fracciones IV y V</w:t>
      </w:r>
      <w:r w:rsidR="004F785F" w:rsidRPr="006C7201">
        <w:rPr>
          <w:rFonts w:ascii="Palatino Linotype" w:eastAsia="Calibri" w:hAnsi="Palatino Linotype" w:cs="Times New Roman"/>
          <w:color w:val="000000" w:themeColor="text1"/>
          <w:lang w:val="es-ES"/>
        </w:rPr>
        <w:t>,</w:t>
      </w:r>
      <w:r w:rsidRPr="006C7201">
        <w:rPr>
          <w:rFonts w:ascii="Palatino Linotype" w:eastAsia="Calibri" w:hAnsi="Palatino Linotype" w:cs="Times New Roman"/>
          <w:color w:val="000000" w:themeColor="text1"/>
          <w:lang w:val="es-ES"/>
        </w:rPr>
        <w:t xml:space="preserve"> de la </w:t>
      </w:r>
      <w:r w:rsidRPr="006C7201">
        <w:rPr>
          <w:rFonts w:ascii="Palatino Linotype" w:eastAsia="Calibri" w:hAnsi="Palatino Linotype" w:cs="Times New Roman"/>
          <w:b/>
          <w:color w:val="000000" w:themeColor="text1"/>
          <w:lang w:val="es-ES"/>
        </w:rPr>
        <w:t>Constitución Política del Estado Libre y Soberano de México</w:t>
      </w:r>
      <w:r w:rsidRPr="006C7201">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6C7201">
        <w:rPr>
          <w:rFonts w:ascii="Palatino Linotype" w:eastAsia="Calibri" w:hAnsi="Palatino Linotype" w:cs="Arial"/>
          <w:color w:val="000000" w:themeColor="text1"/>
          <w:lang w:val="es-ES"/>
        </w:rPr>
        <w:t xml:space="preserve">de la </w:t>
      </w:r>
      <w:r w:rsidRPr="006C7201">
        <w:rPr>
          <w:rFonts w:ascii="Palatino Linotype" w:eastAsia="Calibri" w:hAnsi="Palatino Linotype" w:cs="Arial"/>
          <w:b/>
          <w:color w:val="000000" w:themeColor="text1"/>
          <w:lang w:val="es-ES"/>
        </w:rPr>
        <w:t>Ley de Transparencia y Acceso a la Información Pública del Estado de México y Municipios</w:t>
      </w:r>
      <w:r w:rsidRPr="006C7201">
        <w:rPr>
          <w:rFonts w:ascii="Palatino Linotype" w:eastAsia="Calibri" w:hAnsi="Palatino Linotype" w:cs="Arial"/>
          <w:color w:val="000000" w:themeColor="text1"/>
          <w:lang w:val="es-ES"/>
        </w:rPr>
        <w:t xml:space="preserve">; y 10, 7, 9 fracciones I y XXIV, y 11 del </w:t>
      </w:r>
      <w:r w:rsidRPr="006C7201">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4533DB2F" w14:textId="77777777" w:rsidR="003A2D8F" w:rsidRPr="006C7201" w:rsidRDefault="003A2D8F" w:rsidP="003A2D8F">
      <w:pPr>
        <w:tabs>
          <w:tab w:val="left" w:pos="426"/>
        </w:tabs>
        <w:spacing w:line="360" w:lineRule="auto"/>
        <w:jc w:val="both"/>
        <w:rPr>
          <w:rFonts w:ascii="Palatino Linotype" w:eastAsia="Calibri" w:hAnsi="Palatino Linotype" w:cs="Times New Roman"/>
          <w:b/>
          <w:color w:val="000000" w:themeColor="text1"/>
          <w:lang w:val="es-ES"/>
        </w:rPr>
      </w:pPr>
    </w:p>
    <w:p w14:paraId="753DC7A1" w14:textId="5E205177" w:rsidR="00C6440A" w:rsidRPr="006C7201"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7456487"/>
      <w:r w:rsidRPr="006C7201">
        <w:rPr>
          <w:rFonts w:ascii="Palatino Linotype" w:hAnsi="Palatino Linotype"/>
          <w:b/>
          <w:color w:val="000000" w:themeColor="text1"/>
          <w:sz w:val="24"/>
        </w:rPr>
        <w:t>SEGUNDO. De la oportunidad y proced</w:t>
      </w:r>
      <w:r w:rsidR="00F35C44" w:rsidRPr="006C7201">
        <w:rPr>
          <w:rFonts w:ascii="Palatino Linotype" w:hAnsi="Palatino Linotype"/>
          <w:b/>
          <w:color w:val="000000" w:themeColor="text1"/>
          <w:sz w:val="24"/>
        </w:rPr>
        <w:t>encia</w:t>
      </w:r>
      <w:r w:rsidRPr="006C7201">
        <w:rPr>
          <w:rFonts w:ascii="Palatino Linotype" w:hAnsi="Palatino Linotype"/>
          <w:b/>
          <w:color w:val="000000" w:themeColor="text1"/>
          <w:sz w:val="24"/>
        </w:rPr>
        <w:t>.</w:t>
      </w:r>
      <w:bookmarkEnd w:id="9"/>
      <w:bookmarkEnd w:id="10"/>
      <w:bookmarkEnd w:id="11"/>
    </w:p>
    <w:p w14:paraId="18E22450" w14:textId="77777777" w:rsidR="00C6440A" w:rsidRPr="006C7201" w:rsidRDefault="00C6440A" w:rsidP="00B31E90">
      <w:pPr>
        <w:rPr>
          <w:color w:val="000000" w:themeColor="text1"/>
          <w:lang w:eastAsia="en-US"/>
        </w:rPr>
      </w:pPr>
    </w:p>
    <w:p w14:paraId="1A0833E2" w14:textId="3A256FC3" w:rsidR="008D5329" w:rsidRPr="006C7201" w:rsidRDefault="008D5329" w:rsidP="00BA6638">
      <w:pPr>
        <w:pStyle w:val="Prrafodelista"/>
        <w:numPr>
          <w:ilvl w:val="0"/>
          <w:numId w:val="1"/>
        </w:numPr>
        <w:tabs>
          <w:tab w:val="left" w:pos="426"/>
        </w:tabs>
        <w:spacing w:line="360" w:lineRule="auto"/>
        <w:ind w:right="49"/>
        <w:jc w:val="both"/>
        <w:rPr>
          <w:rFonts w:ascii="Palatino Linotype" w:hAnsi="Palatino Linotype" w:cs="Arial"/>
          <w:bCs/>
          <w:color w:val="000000" w:themeColor="text1"/>
          <w:lang w:eastAsia="es-MX"/>
        </w:rPr>
      </w:pPr>
      <w:r w:rsidRPr="006C7201">
        <w:rPr>
          <w:rFonts w:ascii="Palatino Linotype" w:eastAsia="Calibri" w:hAnsi="Palatino Linotype" w:cs="Arial"/>
          <w:color w:val="000000" w:themeColor="text1"/>
        </w:rPr>
        <w:lastRenderedPageBreak/>
        <w:t xml:space="preserve">El medio de impugnación fue presentado a través del </w:t>
      </w:r>
      <w:r w:rsidRPr="006C7201">
        <w:rPr>
          <w:rFonts w:ascii="Palatino Linotype" w:eastAsia="Calibri" w:hAnsi="Palatino Linotype" w:cs="Arial"/>
          <w:bCs/>
          <w:iCs/>
          <w:color w:val="000000" w:themeColor="text1"/>
        </w:rPr>
        <w:t>SAIMEX</w:t>
      </w:r>
      <w:r w:rsidRPr="006C7201">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Pr="006C7201">
        <w:rPr>
          <w:rFonts w:ascii="Palatino Linotype" w:eastAsia="Calibri" w:hAnsi="Palatino Linotype" w:cs="Arial"/>
          <w:b/>
          <w:color w:val="000000" w:themeColor="text1"/>
        </w:rPr>
        <w:t>SUJETO OBLIGADO</w:t>
      </w:r>
      <w:r w:rsidRPr="006C7201">
        <w:rPr>
          <w:rFonts w:ascii="Palatino Linotype" w:eastAsia="Calibri" w:hAnsi="Palatino Linotype" w:cs="Arial"/>
          <w:color w:val="000000" w:themeColor="text1"/>
        </w:rPr>
        <w:t xml:space="preserve"> entregó respuesta el </w:t>
      </w:r>
      <w:r w:rsidR="00C65F7D" w:rsidRPr="006C7201">
        <w:rPr>
          <w:rFonts w:ascii="Palatino Linotype" w:eastAsia="Calibri" w:hAnsi="Palatino Linotype" w:cs="Arial"/>
          <w:color w:val="000000" w:themeColor="text1"/>
        </w:rPr>
        <w:t>siete</w:t>
      </w:r>
      <w:r w:rsidRPr="006C7201">
        <w:rPr>
          <w:rFonts w:ascii="Palatino Linotype" w:eastAsia="Calibri" w:hAnsi="Palatino Linotype" w:cs="Arial"/>
          <w:color w:val="000000" w:themeColor="text1"/>
        </w:rPr>
        <w:t xml:space="preserve"> (</w:t>
      </w:r>
      <w:r w:rsidR="00C65F7D" w:rsidRPr="006C7201">
        <w:rPr>
          <w:rFonts w:ascii="Palatino Linotype" w:eastAsia="Calibri" w:hAnsi="Palatino Linotype" w:cs="Arial"/>
          <w:color w:val="000000" w:themeColor="text1"/>
        </w:rPr>
        <w:t>7</w:t>
      </w:r>
      <w:r w:rsidRPr="006C7201">
        <w:rPr>
          <w:rFonts w:ascii="Palatino Linotype" w:eastAsia="Calibri" w:hAnsi="Palatino Linotype" w:cs="Arial"/>
          <w:color w:val="000000" w:themeColor="text1"/>
        </w:rPr>
        <w:t xml:space="preserve">) de </w:t>
      </w:r>
      <w:r w:rsidR="00C65F7D" w:rsidRPr="006C7201">
        <w:rPr>
          <w:rFonts w:ascii="Palatino Linotype" w:eastAsia="Calibri" w:hAnsi="Palatino Linotype" w:cs="Arial"/>
          <w:color w:val="000000" w:themeColor="text1"/>
        </w:rPr>
        <w:t>diciembre</w:t>
      </w:r>
      <w:r w:rsidRPr="006C7201">
        <w:rPr>
          <w:rFonts w:ascii="Palatino Linotype" w:eastAsia="Calibri" w:hAnsi="Palatino Linotype" w:cs="Arial"/>
          <w:color w:val="000000" w:themeColor="text1"/>
        </w:rPr>
        <w:t xml:space="preserve"> de dos mil veinti</w:t>
      </w:r>
      <w:r w:rsidR="00C65F7D" w:rsidRPr="006C7201">
        <w:rPr>
          <w:rFonts w:ascii="Palatino Linotype" w:eastAsia="Calibri" w:hAnsi="Palatino Linotype" w:cs="Arial"/>
          <w:color w:val="000000" w:themeColor="text1"/>
        </w:rPr>
        <w:t>dós</w:t>
      </w:r>
      <w:r w:rsidRPr="006C7201">
        <w:rPr>
          <w:rFonts w:ascii="Palatino Linotype" w:eastAsia="Calibri" w:hAnsi="Palatino Linotype" w:cs="Arial"/>
          <w:color w:val="000000" w:themeColor="text1"/>
        </w:rPr>
        <w:t xml:space="preserve">, de tal forma que el plazo para interponer el recurso de revisión transcurrió del </w:t>
      </w:r>
      <w:r w:rsidR="00C65F7D" w:rsidRPr="006C7201">
        <w:rPr>
          <w:rFonts w:ascii="Palatino Linotype" w:eastAsia="Calibri" w:hAnsi="Palatino Linotype" w:cs="Arial"/>
          <w:color w:val="000000" w:themeColor="text1"/>
        </w:rPr>
        <w:t>ocho</w:t>
      </w:r>
      <w:r w:rsidRPr="006C7201">
        <w:rPr>
          <w:rFonts w:ascii="Palatino Linotype" w:eastAsia="Calibri" w:hAnsi="Palatino Linotype" w:cs="Arial"/>
          <w:color w:val="000000" w:themeColor="text1"/>
        </w:rPr>
        <w:t xml:space="preserve"> (</w:t>
      </w:r>
      <w:r w:rsidR="00C65F7D" w:rsidRPr="006C7201">
        <w:rPr>
          <w:rFonts w:ascii="Palatino Linotype" w:eastAsia="Calibri" w:hAnsi="Palatino Linotype" w:cs="Arial"/>
          <w:color w:val="000000" w:themeColor="text1"/>
        </w:rPr>
        <w:t>8</w:t>
      </w:r>
      <w:r w:rsidRPr="006C7201">
        <w:rPr>
          <w:rFonts w:ascii="Palatino Linotype" w:eastAsia="Calibri" w:hAnsi="Palatino Linotype" w:cs="Arial"/>
          <w:color w:val="000000" w:themeColor="text1"/>
        </w:rPr>
        <w:t xml:space="preserve">) de </w:t>
      </w:r>
      <w:r w:rsidR="00BA6638" w:rsidRPr="006C7201">
        <w:rPr>
          <w:rFonts w:ascii="Palatino Linotype" w:eastAsia="Calibri" w:hAnsi="Palatino Linotype" w:cs="Arial"/>
          <w:color w:val="000000" w:themeColor="text1"/>
        </w:rPr>
        <w:t>diciembre de dos mil veintidós al trece</w:t>
      </w:r>
      <w:r w:rsidRPr="006C7201">
        <w:rPr>
          <w:rFonts w:ascii="Palatino Linotype" w:eastAsia="Calibri" w:hAnsi="Palatino Linotype" w:cs="Arial"/>
          <w:color w:val="000000" w:themeColor="text1"/>
        </w:rPr>
        <w:t xml:space="preserve"> (</w:t>
      </w:r>
      <w:r w:rsidR="00BA6638" w:rsidRPr="006C7201">
        <w:rPr>
          <w:rFonts w:ascii="Palatino Linotype" w:eastAsia="Calibri" w:hAnsi="Palatino Linotype" w:cs="Arial"/>
          <w:color w:val="000000" w:themeColor="text1"/>
        </w:rPr>
        <w:t>13</w:t>
      </w:r>
      <w:r w:rsidRPr="006C7201">
        <w:rPr>
          <w:rFonts w:ascii="Palatino Linotype" w:eastAsia="Calibri" w:hAnsi="Palatino Linotype" w:cs="Arial"/>
          <w:color w:val="000000" w:themeColor="text1"/>
        </w:rPr>
        <w:t xml:space="preserve">) de </w:t>
      </w:r>
      <w:r w:rsidR="00BA6638" w:rsidRPr="006C7201">
        <w:rPr>
          <w:rFonts w:ascii="Palatino Linotype" w:eastAsia="Calibri" w:hAnsi="Palatino Linotype" w:cs="Arial"/>
          <w:color w:val="000000" w:themeColor="text1"/>
        </w:rPr>
        <w:t>enero</w:t>
      </w:r>
      <w:r w:rsidRPr="006C7201">
        <w:rPr>
          <w:rFonts w:ascii="Palatino Linotype" w:eastAsia="Calibri" w:hAnsi="Palatino Linotype" w:cs="Arial"/>
          <w:color w:val="000000" w:themeColor="text1"/>
        </w:rPr>
        <w:t xml:space="preserve"> de dos mil veintitrés, el recurso de revisión </w:t>
      </w:r>
      <w:r w:rsidRPr="006C7201">
        <w:rPr>
          <w:rFonts w:ascii="Palatino Linotype" w:hAnsi="Palatino Linotype"/>
          <w:color w:val="000000" w:themeColor="text1"/>
        </w:rPr>
        <w:t xml:space="preserve">fue interpuesto el </w:t>
      </w:r>
      <w:r w:rsidR="00BA6638" w:rsidRPr="006C7201">
        <w:rPr>
          <w:rFonts w:ascii="Palatino Linotype" w:hAnsi="Palatino Linotype"/>
          <w:color w:val="000000" w:themeColor="text1"/>
        </w:rPr>
        <w:t>veintiuno</w:t>
      </w:r>
      <w:r w:rsidRPr="006C7201">
        <w:rPr>
          <w:rFonts w:ascii="Palatino Linotype" w:hAnsi="Palatino Linotype"/>
          <w:color w:val="000000" w:themeColor="text1"/>
        </w:rPr>
        <w:t xml:space="preserve"> (</w:t>
      </w:r>
      <w:r w:rsidR="00BA6638" w:rsidRPr="006C7201">
        <w:rPr>
          <w:rFonts w:ascii="Palatino Linotype" w:hAnsi="Palatino Linotype"/>
          <w:color w:val="000000" w:themeColor="text1"/>
        </w:rPr>
        <w:t>21</w:t>
      </w:r>
      <w:r w:rsidRPr="006C7201">
        <w:rPr>
          <w:rFonts w:ascii="Palatino Linotype" w:hAnsi="Palatino Linotype"/>
          <w:color w:val="000000" w:themeColor="text1"/>
        </w:rPr>
        <w:t xml:space="preserve">) de </w:t>
      </w:r>
      <w:r w:rsidR="00BA6638" w:rsidRPr="006C7201">
        <w:rPr>
          <w:rFonts w:ascii="Palatino Linotype" w:hAnsi="Palatino Linotype"/>
          <w:color w:val="000000" w:themeColor="text1"/>
        </w:rPr>
        <w:t>diciembre</w:t>
      </w:r>
      <w:r w:rsidRPr="006C7201">
        <w:rPr>
          <w:rFonts w:ascii="Palatino Linotype" w:hAnsi="Palatino Linotype"/>
          <w:color w:val="000000" w:themeColor="text1"/>
        </w:rPr>
        <w:t xml:space="preserve"> de dos mil veinti</w:t>
      </w:r>
      <w:r w:rsidR="00BA6638" w:rsidRPr="006C7201">
        <w:rPr>
          <w:rFonts w:ascii="Palatino Linotype" w:hAnsi="Palatino Linotype"/>
          <w:color w:val="000000" w:themeColor="text1"/>
        </w:rPr>
        <w:t>dós</w:t>
      </w:r>
      <w:r w:rsidRPr="006C7201">
        <w:rPr>
          <w:rFonts w:ascii="Palatino Linotype" w:hAnsi="Palatino Linotype"/>
          <w:color w:val="000000" w:themeColor="text1"/>
        </w:rPr>
        <w:t>, éste</w:t>
      </w:r>
      <w:r w:rsidRPr="006C7201">
        <w:rPr>
          <w:rFonts w:ascii="Palatino Linotype" w:hAnsi="Palatino Linotype" w:cs="Arial"/>
          <w:color w:val="000000" w:themeColor="text1"/>
        </w:rPr>
        <w:t xml:space="preserve"> se encuentra dentro de los márgenes temporales previstos en el artículo 178 de la Ley de Transparencia y Acceso a la Información Pública del Estado de México y Municipios</w:t>
      </w:r>
      <w:r w:rsidRPr="006C7201">
        <w:rPr>
          <w:rFonts w:ascii="Palatino Linotype" w:hAnsi="Palatino Linotype" w:cs="Arial"/>
          <w:b/>
          <w:color w:val="000000" w:themeColor="text1"/>
        </w:rPr>
        <w:t xml:space="preserve"> </w:t>
      </w:r>
      <w:r w:rsidRPr="006C7201">
        <w:rPr>
          <w:rFonts w:ascii="Palatino Linotype" w:hAnsi="Palatino Linotype" w:cs="Arial"/>
          <w:color w:val="000000" w:themeColor="text1"/>
        </w:rPr>
        <w:t xml:space="preserve">vigente. </w:t>
      </w:r>
    </w:p>
    <w:p w14:paraId="47BB23F7" w14:textId="77777777" w:rsidR="008D5329" w:rsidRPr="006C7201" w:rsidRDefault="008D5329" w:rsidP="008D5329">
      <w:pPr>
        <w:tabs>
          <w:tab w:val="left" w:pos="426"/>
        </w:tabs>
        <w:spacing w:line="360" w:lineRule="auto"/>
        <w:ind w:right="49"/>
        <w:jc w:val="both"/>
        <w:rPr>
          <w:rFonts w:ascii="Palatino Linotype" w:hAnsi="Palatino Linotype" w:cs="Arial"/>
          <w:bCs/>
          <w:color w:val="000000" w:themeColor="text1"/>
          <w:sz w:val="22"/>
          <w:lang w:eastAsia="es-MX"/>
        </w:rPr>
      </w:pPr>
    </w:p>
    <w:p w14:paraId="715FA3C7" w14:textId="77777777" w:rsidR="008D5329" w:rsidRPr="006C7201" w:rsidRDefault="008D5329" w:rsidP="008D5329">
      <w:pPr>
        <w:pStyle w:val="Prrafodelista"/>
        <w:numPr>
          <w:ilvl w:val="0"/>
          <w:numId w:val="1"/>
        </w:numPr>
        <w:tabs>
          <w:tab w:val="left" w:pos="426"/>
        </w:tabs>
        <w:spacing w:line="360" w:lineRule="auto"/>
        <w:ind w:right="49"/>
        <w:jc w:val="both"/>
        <w:rPr>
          <w:rFonts w:ascii="Palatino Linotype" w:hAnsi="Palatino Linotype" w:cs="Arial"/>
          <w:bCs/>
          <w:color w:val="000000" w:themeColor="text1"/>
          <w:lang w:eastAsia="es-MX"/>
        </w:rPr>
      </w:pPr>
      <w:r w:rsidRPr="006C7201">
        <w:rPr>
          <w:rFonts w:ascii="Palatino Linotype" w:eastAsia="Calibri" w:hAnsi="Palatino Linotype" w:cs="Arial"/>
          <w:color w:val="000000" w:themeColor="text1"/>
        </w:rPr>
        <w:t>Consecuencia de lo anterior, este Órgano Garante advierte que el escrito contiene las formalidades previstas por el artículo 180 último párrafo de la Ley de Transparencia y Acceso a la Información Pública del Estado de México y Municipios, por lo que es procedente que este Instituto de Transparencia, Acceso a la Información Pública y Protección de Datos Personales del Estado de México y Municipios, conozca y resuelva el presente recurso.</w:t>
      </w:r>
    </w:p>
    <w:p w14:paraId="1A38DC46" w14:textId="77777777" w:rsidR="003A2D8F" w:rsidRPr="006C7201" w:rsidRDefault="003A2D8F" w:rsidP="003A2D8F">
      <w:pPr>
        <w:tabs>
          <w:tab w:val="left" w:pos="284"/>
        </w:tabs>
        <w:contextualSpacing/>
        <w:rPr>
          <w:rFonts w:ascii="Palatino Linotype" w:hAnsi="Palatino Linotype" w:cs="Arial"/>
          <w:color w:val="000000"/>
          <w:lang w:val="es-ES_tradnl"/>
        </w:rPr>
      </w:pPr>
    </w:p>
    <w:p w14:paraId="15661DD9" w14:textId="2CDF4EE3" w:rsidR="00540208" w:rsidRPr="006C7201" w:rsidRDefault="00273D1A" w:rsidP="00B31E90">
      <w:pPr>
        <w:pStyle w:val="Ttulo2"/>
        <w:spacing w:before="0"/>
        <w:rPr>
          <w:rFonts w:ascii="Palatino Linotype" w:hAnsi="Palatino Linotype"/>
          <w:b/>
          <w:color w:val="000000" w:themeColor="text1"/>
          <w:sz w:val="24"/>
          <w:szCs w:val="24"/>
        </w:rPr>
      </w:pPr>
      <w:bookmarkStart w:id="12" w:name="_Toc500360400"/>
      <w:bookmarkStart w:id="13" w:name="_Toc500786931"/>
      <w:bookmarkStart w:id="14" w:name="_Toc87456488"/>
      <w:bookmarkStart w:id="15" w:name="_Toc495427545"/>
      <w:bookmarkStart w:id="16" w:name="_Toc499296549"/>
      <w:bookmarkStart w:id="17" w:name="_Toc459174366"/>
      <w:bookmarkStart w:id="18" w:name="_Toc459659884"/>
      <w:bookmarkStart w:id="19" w:name="_Toc461687280"/>
      <w:bookmarkStart w:id="20" w:name="_Toc462771051"/>
      <w:bookmarkStart w:id="21" w:name="_Toc464139201"/>
      <w:r w:rsidRPr="006C7201">
        <w:rPr>
          <w:rFonts w:ascii="Palatino Linotype" w:hAnsi="Palatino Linotype"/>
          <w:b/>
          <w:color w:val="000000" w:themeColor="text1"/>
          <w:sz w:val="24"/>
          <w:szCs w:val="24"/>
        </w:rPr>
        <w:t>TERCERO</w:t>
      </w:r>
      <w:r w:rsidR="00C50A2B" w:rsidRPr="006C7201">
        <w:rPr>
          <w:rFonts w:ascii="Palatino Linotype" w:hAnsi="Palatino Linotype"/>
          <w:b/>
          <w:color w:val="000000" w:themeColor="text1"/>
          <w:sz w:val="24"/>
          <w:szCs w:val="24"/>
        </w:rPr>
        <w:t>. De</w:t>
      </w:r>
      <w:r w:rsidR="00AD76A1" w:rsidRPr="006C7201">
        <w:rPr>
          <w:rFonts w:ascii="Palatino Linotype" w:hAnsi="Palatino Linotype"/>
          <w:b/>
          <w:color w:val="000000" w:themeColor="text1"/>
          <w:sz w:val="24"/>
          <w:szCs w:val="24"/>
        </w:rPr>
        <w:t xml:space="preserve">l planteamiento de la </w:t>
      </w:r>
      <w:r w:rsidR="00AD76A1" w:rsidRPr="006C7201">
        <w:rPr>
          <w:rFonts w:ascii="Palatino Linotype" w:hAnsi="Palatino Linotype"/>
          <w:b/>
          <w:i/>
          <w:color w:val="000000" w:themeColor="text1"/>
          <w:sz w:val="24"/>
          <w:szCs w:val="24"/>
        </w:rPr>
        <w:t>Litis</w:t>
      </w:r>
      <w:r w:rsidR="00C50A2B" w:rsidRPr="006C7201">
        <w:rPr>
          <w:rFonts w:ascii="Palatino Linotype" w:hAnsi="Palatino Linotype"/>
          <w:b/>
          <w:color w:val="000000" w:themeColor="text1"/>
          <w:sz w:val="24"/>
          <w:szCs w:val="24"/>
        </w:rPr>
        <w:t>.</w:t>
      </w:r>
      <w:bookmarkEnd w:id="12"/>
      <w:bookmarkEnd w:id="13"/>
      <w:bookmarkEnd w:id="14"/>
    </w:p>
    <w:p w14:paraId="4231B8D5" w14:textId="77777777" w:rsidR="00540208" w:rsidRPr="006C7201" w:rsidRDefault="00540208" w:rsidP="00B31E90">
      <w:pPr>
        <w:rPr>
          <w:rFonts w:ascii="Palatino Linotype" w:hAnsi="Palatino Linotype"/>
          <w:color w:val="000000" w:themeColor="text1"/>
          <w:lang w:eastAsia="en-US"/>
        </w:rPr>
      </w:pPr>
    </w:p>
    <w:bookmarkEnd w:id="15"/>
    <w:bookmarkEnd w:id="16"/>
    <w:p w14:paraId="1BBC44C8" w14:textId="739910FE" w:rsidR="00BA6638" w:rsidRPr="006C7201" w:rsidRDefault="00CE035D" w:rsidP="00DA22D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El Recurrente solicitó</w:t>
      </w:r>
      <w:r w:rsidR="00F64A6F" w:rsidRPr="006C7201">
        <w:rPr>
          <w:rFonts w:ascii="Palatino Linotype" w:hAnsi="Palatino Linotype" w:cs="Arial"/>
          <w:color w:val="000000" w:themeColor="text1"/>
        </w:rPr>
        <w:t xml:space="preserve">, </w:t>
      </w:r>
      <w:r w:rsidR="00BA6638" w:rsidRPr="006C7201">
        <w:rPr>
          <w:rFonts w:ascii="Palatino Linotype" w:hAnsi="Palatino Linotype" w:cs="Arial"/>
          <w:color w:val="000000" w:themeColor="text1"/>
        </w:rPr>
        <w:t>de la empresa artemis7SAPI de C.V,</w:t>
      </w:r>
      <w:r w:rsidR="00E60A7A" w:rsidRPr="006C7201">
        <w:rPr>
          <w:rFonts w:ascii="Palatino Linotype" w:hAnsi="Palatino Linotype" w:cs="Arial"/>
          <w:color w:val="000000" w:themeColor="text1"/>
        </w:rPr>
        <w:t xml:space="preserve"> </w:t>
      </w:r>
      <w:r w:rsidR="00BA6638" w:rsidRPr="006C7201">
        <w:rPr>
          <w:rFonts w:ascii="Palatino Linotype" w:hAnsi="Palatino Linotype" w:cs="Arial"/>
          <w:color w:val="000000" w:themeColor="text1"/>
        </w:rPr>
        <w:t xml:space="preserve">referida en la solicitud, del 2018 al </w:t>
      </w:r>
      <w:r w:rsidR="00E60A7A" w:rsidRPr="006C7201">
        <w:rPr>
          <w:rFonts w:ascii="Palatino Linotype" w:hAnsi="Palatino Linotype" w:cs="Arial"/>
          <w:color w:val="000000" w:themeColor="text1"/>
        </w:rPr>
        <w:t>quince (15) de noviembre de 2022,</w:t>
      </w:r>
      <w:r w:rsidR="00BA6638" w:rsidRPr="006C7201">
        <w:rPr>
          <w:rFonts w:ascii="Palatino Linotype" w:hAnsi="Palatino Linotype" w:cs="Arial"/>
          <w:color w:val="000000" w:themeColor="text1"/>
        </w:rPr>
        <w:t xml:space="preserve"> lo siguiente:</w:t>
      </w:r>
    </w:p>
    <w:p w14:paraId="49E2836C" w14:textId="6536F1A0"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Constancias de verificación, </w:t>
      </w:r>
    </w:p>
    <w:p w14:paraId="3F50C143" w14:textId="46A9CD41"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Oficio o escritos donde se mencionen las fechas de verificación </w:t>
      </w:r>
    </w:p>
    <w:p w14:paraId="3A748A28" w14:textId="05DBC37B"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Giro comercial </w:t>
      </w:r>
    </w:p>
    <w:p w14:paraId="2E4E8DC7" w14:textId="18ACD534"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Días laborables que tenga autorizado y el horario</w:t>
      </w:r>
    </w:p>
    <w:p w14:paraId="67E0D36C" w14:textId="5F5A74A6"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lastRenderedPageBreak/>
        <w:t xml:space="preserve">Capacidad de personas, </w:t>
      </w:r>
    </w:p>
    <w:p w14:paraId="3F271914" w14:textId="3E9AEA24"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El número de empleados, </w:t>
      </w:r>
    </w:p>
    <w:p w14:paraId="6524A87C" w14:textId="3F602BF6"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La cantidad de construcciones en metros, </w:t>
      </w:r>
    </w:p>
    <w:p w14:paraId="1C9C0603" w14:textId="34838172"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Tipo de construcción, </w:t>
      </w:r>
    </w:p>
    <w:p w14:paraId="14AFAE74" w14:textId="739511D2"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Numero de cajones de estacionamiento para empleados,</w:t>
      </w:r>
    </w:p>
    <w:p w14:paraId="78AD3DA2" w14:textId="16EA62AD"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Numero de cajones de estacionamiento para tráiler de uno y dos cajas, para cualquier otro tipo de transporte de carga, </w:t>
      </w:r>
    </w:p>
    <w:p w14:paraId="4130E65B" w14:textId="5DA66CC4"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Instalaciones sanitarias</w:t>
      </w:r>
    </w:p>
    <w:p w14:paraId="38C86E1F" w14:textId="3A66D475"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Descargas al desagüe domestico </w:t>
      </w:r>
    </w:p>
    <w:p w14:paraId="27C1E3A1" w14:textId="686BD596"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Todos los requerimientos que solicite esa coordinación de protección civil y bomberos para la instalación y funcionamiento de dicha fundidora. </w:t>
      </w:r>
    </w:p>
    <w:p w14:paraId="715FA196" w14:textId="77777777"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Tipo de combustible utilizan para la fundición de plomo </w:t>
      </w:r>
    </w:p>
    <w:p w14:paraId="5FB9231A" w14:textId="77777777"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Si cuentan con los equipos necesarios para la detección de humo e incendios, así como la cantidad de hidrantes con que cuentan, </w:t>
      </w:r>
    </w:p>
    <w:p w14:paraId="03616B75" w14:textId="30AF9192" w:rsidR="00BA6638" w:rsidRPr="006C7201" w:rsidRDefault="00BA6638" w:rsidP="00BA6638">
      <w:pPr>
        <w:pStyle w:val="Prrafodelista"/>
        <w:numPr>
          <w:ilvl w:val="0"/>
          <w:numId w:val="46"/>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La cantidad de extinguidores y sus capacidades. </w:t>
      </w:r>
    </w:p>
    <w:p w14:paraId="114391AC" w14:textId="77777777" w:rsidR="00A4292F" w:rsidRPr="006C7201" w:rsidRDefault="00A4292F" w:rsidP="00A4292F">
      <w:pPr>
        <w:pStyle w:val="Prrafodelista"/>
        <w:spacing w:line="360" w:lineRule="auto"/>
        <w:ind w:right="49"/>
        <w:jc w:val="both"/>
        <w:rPr>
          <w:rFonts w:ascii="Palatino Linotype" w:hAnsi="Palatino Linotype"/>
          <w:bCs/>
          <w:color w:val="000000"/>
          <w:szCs w:val="22"/>
        </w:rPr>
      </w:pPr>
    </w:p>
    <w:p w14:paraId="0A19CAAA" w14:textId="0AE1D7CF" w:rsidR="008B3CF5" w:rsidRPr="006C7201" w:rsidRDefault="00C77EBA" w:rsidP="000152B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El Sujeto Obligado</w:t>
      </w:r>
      <w:r w:rsidR="00F64A6F" w:rsidRPr="006C7201">
        <w:rPr>
          <w:rFonts w:ascii="Palatino Linotype" w:hAnsi="Palatino Linotype" w:cs="Arial"/>
          <w:color w:val="000000" w:themeColor="text1"/>
        </w:rPr>
        <w:t xml:space="preserve"> </w:t>
      </w:r>
      <w:r w:rsidR="00535C87" w:rsidRPr="006C7201">
        <w:rPr>
          <w:rFonts w:ascii="Palatino Linotype" w:hAnsi="Palatino Linotype" w:cs="Arial"/>
          <w:color w:val="000000" w:themeColor="text1"/>
        </w:rPr>
        <w:t>señaló que no se cuenta con información de verificaciones de la temporalidad requerida por el particular.</w:t>
      </w:r>
    </w:p>
    <w:p w14:paraId="4EB95CDA" w14:textId="77777777" w:rsidR="008B3CF5" w:rsidRPr="006C7201" w:rsidRDefault="008B3CF5" w:rsidP="008B3CF5">
      <w:pPr>
        <w:pStyle w:val="Prrafodelista"/>
        <w:tabs>
          <w:tab w:val="left" w:pos="426"/>
        </w:tabs>
        <w:spacing w:line="360" w:lineRule="auto"/>
        <w:ind w:left="0" w:right="49"/>
        <w:jc w:val="both"/>
        <w:rPr>
          <w:rFonts w:ascii="Palatino Linotype" w:hAnsi="Palatino Linotype" w:cs="Arial"/>
          <w:color w:val="000000" w:themeColor="text1"/>
        </w:rPr>
      </w:pPr>
    </w:p>
    <w:p w14:paraId="21AD50C3" w14:textId="6D65AD39" w:rsidR="00CC63CB" w:rsidRPr="006C7201" w:rsidRDefault="002F0AA9" w:rsidP="006761E3">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 </w:t>
      </w:r>
      <w:r w:rsidR="000A0A85" w:rsidRPr="006C7201">
        <w:rPr>
          <w:rFonts w:ascii="Palatino Linotype" w:eastAsia="Calibri" w:hAnsi="Palatino Linotype" w:cs="Tahoma"/>
          <w:color w:val="000000"/>
          <w:lang w:val="es-ES" w:eastAsia="es-MX"/>
        </w:rPr>
        <w:t>El Particular se inconformó</w:t>
      </w:r>
      <w:r w:rsidR="00CC63CB" w:rsidRPr="006C7201">
        <w:rPr>
          <w:rFonts w:ascii="Palatino Linotype" w:eastAsia="Calibri" w:hAnsi="Palatino Linotype" w:cs="Tahoma"/>
          <w:color w:val="000000"/>
          <w:lang w:val="es-ES" w:eastAsia="es-MX"/>
        </w:rPr>
        <w:t xml:space="preserve"> por</w:t>
      </w:r>
      <w:r w:rsidRPr="006C7201">
        <w:rPr>
          <w:rFonts w:ascii="Palatino Linotype" w:eastAsia="Calibri" w:hAnsi="Palatino Linotype" w:cs="Tahoma"/>
          <w:color w:val="000000"/>
          <w:lang w:val="es-ES" w:eastAsia="es-MX"/>
        </w:rPr>
        <w:t xml:space="preserve"> la</w:t>
      </w:r>
      <w:r w:rsidR="00535C87" w:rsidRPr="006C7201">
        <w:rPr>
          <w:rFonts w:ascii="Palatino Linotype" w:eastAsia="Calibri" w:hAnsi="Palatino Linotype" w:cs="Tahoma"/>
          <w:color w:val="000000"/>
          <w:lang w:val="es-ES" w:eastAsia="es-MX"/>
        </w:rPr>
        <w:t xml:space="preserve"> negativa de la información.</w:t>
      </w:r>
    </w:p>
    <w:p w14:paraId="49E3C58D" w14:textId="77777777" w:rsidR="00CC63CB" w:rsidRPr="006C7201" w:rsidRDefault="00CC63CB" w:rsidP="00CC63CB">
      <w:pPr>
        <w:pStyle w:val="Prrafodelista"/>
        <w:rPr>
          <w:rFonts w:ascii="Palatino Linotype" w:eastAsia="Calibri" w:hAnsi="Palatino Linotype" w:cs="Tahoma"/>
          <w:color w:val="000000"/>
          <w:lang w:val="es-ES" w:eastAsia="es-MX"/>
        </w:rPr>
      </w:pPr>
    </w:p>
    <w:p w14:paraId="1C5AB6B5" w14:textId="2A7A7115" w:rsidR="009F1566" w:rsidRPr="006C7201" w:rsidRDefault="00BC4307" w:rsidP="00325738">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szCs w:val="23"/>
        </w:rPr>
        <w:t xml:space="preserve">Por lo anterior, la </w:t>
      </w:r>
      <w:r w:rsidRPr="006C7201">
        <w:rPr>
          <w:rFonts w:ascii="Palatino Linotype" w:hAnsi="Palatino Linotype" w:cs="Arial"/>
          <w:i/>
          <w:color w:val="000000" w:themeColor="text1"/>
          <w:szCs w:val="23"/>
        </w:rPr>
        <w:t>Litis</w:t>
      </w:r>
      <w:r w:rsidRPr="006C7201">
        <w:rPr>
          <w:rFonts w:ascii="Palatino Linotype" w:hAnsi="Palatino Linotype" w:cs="Arial"/>
          <w:color w:val="000000" w:themeColor="text1"/>
          <w:szCs w:val="23"/>
        </w:rPr>
        <w:t xml:space="preserve"> a resolver en el presente recurso se circunscribe en determinar si</w:t>
      </w:r>
      <w:r w:rsidR="002C6561" w:rsidRPr="006C7201">
        <w:rPr>
          <w:rFonts w:ascii="Palatino Linotype" w:hAnsi="Palatino Linotype" w:cs="Arial"/>
          <w:color w:val="000000" w:themeColor="text1"/>
          <w:szCs w:val="23"/>
        </w:rPr>
        <w:t xml:space="preserve"> </w:t>
      </w:r>
      <w:r w:rsidR="004B0EB6" w:rsidRPr="006C7201">
        <w:rPr>
          <w:rFonts w:ascii="Palatino Linotype" w:hAnsi="Palatino Linotype" w:cs="Arial"/>
          <w:color w:val="000000" w:themeColor="text1"/>
          <w:szCs w:val="23"/>
        </w:rPr>
        <w:t>la respuesta del</w:t>
      </w:r>
      <w:r w:rsidR="002C6561" w:rsidRPr="006C7201">
        <w:rPr>
          <w:rFonts w:ascii="Palatino Linotype" w:hAnsi="Palatino Linotype" w:cs="Arial"/>
          <w:color w:val="000000" w:themeColor="text1"/>
          <w:szCs w:val="23"/>
        </w:rPr>
        <w:t xml:space="preserve"> </w:t>
      </w:r>
      <w:r w:rsidR="002C6561" w:rsidRPr="006C7201">
        <w:rPr>
          <w:rFonts w:ascii="Palatino Linotype" w:hAnsi="Palatino Linotype" w:cs="Arial"/>
          <w:b/>
          <w:bCs/>
          <w:color w:val="000000" w:themeColor="text1"/>
          <w:szCs w:val="23"/>
        </w:rPr>
        <w:t>SUJETO OBLIGADO</w:t>
      </w:r>
      <w:r w:rsidR="002C6561" w:rsidRPr="006C7201">
        <w:rPr>
          <w:rFonts w:ascii="Palatino Linotype" w:hAnsi="Palatino Linotype" w:cs="Arial"/>
          <w:color w:val="000000" w:themeColor="text1"/>
          <w:szCs w:val="23"/>
        </w:rPr>
        <w:t xml:space="preserve"> </w:t>
      </w:r>
      <w:r w:rsidR="004B0EB6" w:rsidRPr="006C7201">
        <w:rPr>
          <w:rFonts w:ascii="Palatino Linotype" w:hAnsi="Palatino Linotype" w:cs="Arial"/>
          <w:color w:val="000000" w:themeColor="text1"/>
          <w:szCs w:val="23"/>
        </w:rPr>
        <w:t xml:space="preserve">colma el derecho de acceso a la información ejercido por el </w:t>
      </w:r>
      <w:r w:rsidR="004B0EB6" w:rsidRPr="006C7201">
        <w:rPr>
          <w:rFonts w:ascii="Palatino Linotype" w:hAnsi="Palatino Linotype" w:cs="Arial"/>
          <w:b/>
          <w:bCs/>
          <w:color w:val="000000" w:themeColor="text1"/>
          <w:szCs w:val="23"/>
        </w:rPr>
        <w:t>RECURRENTE</w:t>
      </w:r>
      <w:r w:rsidR="002C6561" w:rsidRPr="006C7201">
        <w:rPr>
          <w:rFonts w:ascii="Palatino Linotype" w:hAnsi="Palatino Linotype" w:cs="Arial"/>
          <w:color w:val="000000" w:themeColor="text1"/>
          <w:szCs w:val="23"/>
        </w:rPr>
        <w:t>; o si, por el contrario, se</w:t>
      </w:r>
      <w:r w:rsidR="00E32652" w:rsidRPr="006C7201">
        <w:rPr>
          <w:rFonts w:ascii="Palatino Linotype" w:hAnsi="Palatino Linotype" w:cs="Arial"/>
          <w:color w:val="000000" w:themeColor="text1"/>
          <w:szCs w:val="23"/>
        </w:rPr>
        <w:t xml:space="preserve"> </w:t>
      </w:r>
      <w:r w:rsidR="0028248C" w:rsidRPr="006C7201">
        <w:rPr>
          <w:rFonts w:ascii="Palatino Linotype" w:hAnsi="Palatino Linotype"/>
          <w:color w:val="000000" w:themeColor="text1"/>
        </w:rPr>
        <w:t xml:space="preserve">actualiza la </w:t>
      </w:r>
      <w:r w:rsidR="0028248C" w:rsidRPr="006C7201">
        <w:rPr>
          <w:rFonts w:ascii="Palatino Linotype" w:hAnsi="Palatino Linotype"/>
          <w:color w:val="000000" w:themeColor="text1"/>
        </w:rPr>
        <w:lastRenderedPageBreak/>
        <w:t>causal de procedencia</w:t>
      </w:r>
      <w:r w:rsidR="00E66A80" w:rsidRPr="006C7201">
        <w:rPr>
          <w:rFonts w:ascii="Palatino Linotype" w:hAnsi="Palatino Linotype" w:cs="Arial"/>
          <w:color w:val="000000" w:themeColor="text1"/>
          <w:szCs w:val="23"/>
        </w:rPr>
        <w:t xml:space="preserve"> del recurso de revisión establecida</w:t>
      </w:r>
      <w:r w:rsidR="00A42161" w:rsidRPr="006C7201">
        <w:rPr>
          <w:rFonts w:ascii="Palatino Linotype" w:hAnsi="Palatino Linotype" w:cs="Arial"/>
          <w:color w:val="000000" w:themeColor="text1"/>
          <w:szCs w:val="23"/>
        </w:rPr>
        <w:t xml:space="preserve"> en la fracci</w:t>
      </w:r>
      <w:r w:rsidR="00765786" w:rsidRPr="006C7201">
        <w:rPr>
          <w:rFonts w:ascii="Palatino Linotype" w:hAnsi="Palatino Linotype" w:cs="Arial"/>
          <w:color w:val="000000" w:themeColor="text1"/>
          <w:szCs w:val="23"/>
        </w:rPr>
        <w:t>ón</w:t>
      </w:r>
      <w:r w:rsidR="00A42161" w:rsidRPr="006C7201">
        <w:rPr>
          <w:rFonts w:ascii="Palatino Linotype" w:hAnsi="Palatino Linotype" w:cs="Arial"/>
          <w:color w:val="000000" w:themeColor="text1"/>
          <w:szCs w:val="23"/>
        </w:rPr>
        <w:t xml:space="preserve"> </w:t>
      </w:r>
      <w:r w:rsidR="00810109" w:rsidRPr="006C7201">
        <w:rPr>
          <w:rFonts w:ascii="Palatino Linotype" w:hAnsi="Palatino Linotype" w:cs="Arial"/>
          <w:color w:val="000000" w:themeColor="text1"/>
          <w:szCs w:val="23"/>
        </w:rPr>
        <w:t xml:space="preserve">I </w:t>
      </w:r>
      <w:r w:rsidR="00A42161" w:rsidRPr="006C7201">
        <w:rPr>
          <w:rFonts w:ascii="Palatino Linotype" w:hAnsi="Palatino Linotype" w:cs="Arial"/>
          <w:color w:val="000000" w:themeColor="text1"/>
          <w:szCs w:val="23"/>
        </w:rPr>
        <w:t>de</w:t>
      </w:r>
      <w:r w:rsidR="00E66A80" w:rsidRPr="006C7201">
        <w:rPr>
          <w:rFonts w:ascii="Palatino Linotype" w:hAnsi="Palatino Linotype" w:cs="Arial"/>
          <w:color w:val="000000" w:themeColor="text1"/>
          <w:szCs w:val="23"/>
        </w:rPr>
        <w:t>l artículo 179</w:t>
      </w:r>
      <w:r w:rsidR="008E4483" w:rsidRPr="006C7201">
        <w:rPr>
          <w:rFonts w:ascii="Palatino Linotype" w:hAnsi="Palatino Linotype" w:cs="Arial"/>
          <w:color w:val="000000" w:themeColor="text1"/>
          <w:szCs w:val="23"/>
        </w:rPr>
        <w:t xml:space="preserve"> </w:t>
      </w:r>
      <w:r w:rsidR="00E66A80" w:rsidRPr="006C7201">
        <w:rPr>
          <w:rFonts w:ascii="Palatino Linotype" w:hAnsi="Palatino Linotype" w:cs="Arial"/>
          <w:color w:val="000000" w:themeColor="text1"/>
          <w:szCs w:val="23"/>
        </w:rPr>
        <w:t xml:space="preserve">de la Ley de Transparencia y Acceso a la Información Pública del Estado de México y Municipios, </w:t>
      </w:r>
      <w:r w:rsidR="004364EE" w:rsidRPr="006C7201">
        <w:rPr>
          <w:rFonts w:ascii="Palatino Linotype" w:hAnsi="Palatino Linotype" w:cs="Arial"/>
          <w:color w:val="000000" w:themeColor="text1"/>
          <w:szCs w:val="23"/>
        </w:rPr>
        <w:t>misma</w:t>
      </w:r>
      <w:r w:rsidR="00C51671" w:rsidRPr="006C7201">
        <w:rPr>
          <w:rFonts w:ascii="Palatino Linotype" w:hAnsi="Palatino Linotype" w:cs="Arial"/>
          <w:color w:val="000000" w:themeColor="text1"/>
          <w:szCs w:val="23"/>
        </w:rPr>
        <w:t xml:space="preserve"> </w:t>
      </w:r>
      <w:r w:rsidR="00E66A80" w:rsidRPr="006C7201">
        <w:rPr>
          <w:rFonts w:ascii="Palatino Linotype" w:hAnsi="Palatino Linotype" w:cs="Arial"/>
          <w:color w:val="000000" w:themeColor="text1"/>
          <w:szCs w:val="23"/>
        </w:rPr>
        <w:t>que se transcribe a continuación:</w:t>
      </w:r>
    </w:p>
    <w:p w14:paraId="0F0C773B" w14:textId="77777777" w:rsidR="005946F4" w:rsidRPr="006C7201" w:rsidRDefault="005946F4" w:rsidP="005946F4">
      <w:pPr>
        <w:pStyle w:val="Prrafodelista"/>
        <w:rPr>
          <w:rFonts w:ascii="Palatino Linotype" w:hAnsi="Palatino Linotype" w:cs="Arial"/>
          <w:color w:val="000000" w:themeColor="text1"/>
        </w:rPr>
      </w:pPr>
    </w:p>
    <w:p w14:paraId="31379DA7" w14:textId="77777777" w:rsidR="005946F4" w:rsidRPr="006C7201" w:rsidRDefault="005946F4" w:rsidP="005946F4">
      <w:pPr>
        <w:tabs>
          <w:tab w:val="left" w:pos="426"/>
        </w:tabs>
        <w:spacing w:line="360" w:lineRule="auto"/>
        <w:ind w:left="567" w:right="616"/>
        <w:jc w:val="both"/>
        <w:rPr>
          <w:rFonts w:ascii="Palatino Linotype" w:hAnsi="Palatino Linotype"/>
          <w:i/>
          <w:iCs/>
        </w:rPr>
      </w:pPr>
      <w:r w:rsidRPr="006C7201">
        <w:rPr>
          <w:rFonts w:ascii="Palatino Linotype" w:hAnsi="Palatino Linotype"/>
          <w:i/>
          <w:iCs/>
        </w:rPr>
        <w:t xml:space="preserve">Artículo 179. El recurso de revisión es un medio de protección que la Ley otorga a los particulares, para hacer valer su derecho de acceso a la información pública, y procederá en contra de las siguientes causas: </w:t>
      </w:r>
    </w:p>
    <w:p w14:paraId="627A7ED3" w14:textId="677A0680" w:rsidR="002F0AA9" w:rsidRPr="006C7201" w:rsidRDefault="00535C87" w:rsidP="00535C87">
      <w:pPr>
        <w:tabs>
          <w:tab w:val="left" w:pos="426"/>
        </w:tabs>
        <w:spacing w:line="360" w:lineRule="auto"/>
        <w:ind w:left="709" w:right="616" w:hanging="142"/>
        <w:jc w:val="both"/>
        <w:rPr>
          <w:rFonts w:ascii="Palatino Linotype" w:hAnsi="Palatino Linotype"/>
          <w:i/>
          <w:sz w:val="22"/>
          <w:szCs w:val="22"/>
        </w:rPr>
      </w:pPr>
      <w:r w:rsidRPr="006C7201">
        <w:rPr>
          <w:rFonts w:ascii="Palatino Linotype" w:hAnsi="Palatino Linotype"/>
          <w:i/>
          <w:sz w:val="22"/>
          <w:szCs w:val="22"/>
        </w:rPr>
        <w:t>I. La negativa de la información.</w:t>
      </w:r>
    </w:p>
    <w:p w14:paraId="649824E1" w14:textId="2841C082" w:rsidR="00445CA7" w:rsidRPr="006C7201" w:rsidRDefault="00445CA7" w:rsidP="00E4180B">
      <w:pPr>
        <w:tabs>
          <w:tab w:val="left" w:pos="426"/>
        </w:tabs>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w:t>
      </w:r>
    </w:p>
    <w:p w14:paraId="26AD5E23" w14:textId="77777777" w:rsidR="008E4483" w:rsidRPr="006C7201" w:rsidRDefault="008E4483" w:rsidP="008E4483">
      <w:pPr>
        <w:pStyle w:val="Prrafodelista"/>
        <w:rPr>
          <w:rFonts w:ascii="Palatino Linotype" w:hAnsi="Palatino Linotype" w:cs="Arial"/>
          <w:color w:val="000000" w:themeColor="text1"/>
        </w:rPr>
      </w:pPr>
    </w:p>
    <w:p w14:paraId="5CEC2F48" w14:textId="1B05DC04" w:rsidR="00EF014A" w:rsidRPr="006C7201" w:rsidRDefault="00273D1A" w:rsidP="00F96156">
      <w:pPr>
        <w:pStyle w:val="Ttulo2"/>
        <w:tabs>
          <w:tab w:val="left" w:pos="426"/>
        </w:tabs>
        <w:rPr>
          <w:rFonts w:ascii="Palatino Linotype" w:hAnsi="Palatino Linotype" w:cs="Arial"/>
          <w:b/>
          <w:color w:val="000000" w:themeColor="text1"/>
          <w:sz w:val="24"/>
        </w:rPr>
      </w:pPr>
      <w:bookmarkStart w:id="22" w:name="_Toc87456489"/>
      <w:r w:rsidRPr="006C7201">
        <w:rPr>
          <w:rFonts w:ascii="Palatino Linotype" w:hAnsi="Palatino Linotype" w:cs="Arial"/>
          <w:b/>
          <w:color w:val="000000" w:themeColor="text1"/>
          <w:sz w:val="24"/>
        </w:rPr>
        <w:t>CUARTO</w:t>
      </w:r>
      <w:r w:rsidR="00EF014A" w:rsidRPr="006C7201">
        <w:rPr>
          <w:rFonts w:ascii="Palatino Linotype" w:hAnsi="Palatino Linotype" w:cs="Arial"/>
          <w:b/>
          <w:color w:val="000000" w:themeColor="text1"/>
          <w:sz w:val="24"/>
        </w:rPr>
        <w:t>. Estudio y Resolución del asunto.</w:t>
      </w:r>
      <w:bookmarkEnd w:id="22"/>
    </w:p>
    <w:p w14:paraId="6E979250" w14:textId="2A34D6B5" w:rsidR="00A55D2B" w:rsidRPr="006C7201" w:rsidRDefault="00A55D2B" w:rsidP="00B8225B">
      <w:pPr>
        <w:pStyle w:val="Prrafodelista"/>
        <w:tabs>
          <w:tab w:val="left" w:pos="426"/>
        </w:tabs>
        <w:spacing w:line="360" w:lineRule="auto"/>
        <w:ind w:left="0" w:right="51"/>
        <w:jc w:val="both"/>
        <w:rPr>
          <w:rFonts w:ascii="Palatino Linotype" w:hAnsi="Palatino Linotype"/>
          <w:color w:val="000000" w:themeColor="text1"/>
        </w:rPr>
      </w:pPr>
      <w:bookmarkStart w:id="23" w:name="_Toc466371865"/>
      <w:bookmarkStart w:id="24" w:name="_Toc466377653"/>
      <w:bookmarkEnd w:id="17"/>
      <w:bookmarkEnd w:id="18"/>
      <w:bookmarkEnd w:id="19"/>
      <w:bookmarkEnd w:id="20"/>
      <w:bookmarkEnd w:id="21"/>
    </w:p>
    <w:p w14:paraId="46B0833E" w14:textId="66D496E7" w:rsidR="00DA2D95" w:rsidRPr="006C7201" w:rsidRDefault="00DA2D95" w:rsidP="00DA2D95">
      <w:pPr>
        <w:pStyle w:val="Prrafodelista"/>
        <w:tabs>
          <w:tab w:val="left" w:pos="426"/>
        </w:tabs>
        <w:spacing w:before="240" w:after="240" w:line="360" w:lineRule="auto"/>
        <w:ind w:left="0" w:right="51"/>
        <w:jc w:val="both"/>
        <w:outlineLvl w:val="2"/>
        <w:rPr>
          <w:rFonts w:ascii="Palatino Linotype" w:hAnsi="Palatino Linotype"/>
          <w:b/>
          <w:bCs/>
          <w:color w:val="000000" w:themeColor="text1"/>
        </w:rPr>
      </w:pPr>
      <w:bookmarkStart w:id="25" w:name="_Toc87456490"/>
      <w:r w:rsidRPr="006C7201">
        <w:rPr>
          <w:rFonts w:ascii="Palatino Linotype" w:hAnsi="Palatino Linotype"/>
          <w:b/>
          <w:bCs/>
          <w:color w:val="000000" w:themeColor="text1"/>
        </w:rPr>
        <w:t xml:space="preserve">I. De la </w:t>
      </w:r>
      <w:r w:rsidR="00167813" w:rsidRPr="006C7201">
        <w:rPr>
          <w:rFonts w:ascii="Palatino Linotype" w:hAnsi="Palatino Linotype"/>
          <w:b/>
          <w:bCs/>
          <w:color w:val="000000" w:themeColor="text1"/>
        </w:rPr>
        <w:t>atención</w:t>
      </w:r>
      <w:r w:rsidR="00D00269" w:rsidRPr="006C7201">
        <w:rPr>
          <w:rFonts w:ascii="Palatino Linotype" w:hAnsi="Palatino Linotype"/>
          <w:b/>
          <w:bCs/>
          <w:color w:val="000000" w:themeColor="text1"/>
        </w:rPr>
        <w:t xml:space="preserve"> a la solicitud de información</w:t>
      </w:r>
      <w:r w:rsidRPr="006C7201">
        <w:rPr>
          <w:rFonts w:ascii="Palatino Linotype" w:hAnsi="Palatino Linotype"/>
          <w:b/>
          <w:bCs/>
          <w:color w:val="000000" w:themeColor="text1"/>
        </w:rPr>
        <w:t>.</w:t>
      </w:r>
      <w:bookmarkEnd w:id="25"/>
    </w:p>
    <w:p w14:paraId="4AC32336" w14:textId="77777777" w:rsidR="008E4483" w:rsidRPr="006C7201" w:rsidRDefault="008E4483" w:rsidP="008E4483">
      <w:pPr>
        <w:pStyle w:val="Ttulo2"/>
        <w:numPr>
          <w:ilvl w:val="1"/>
          <w:numId w:val="1"/>
        </w:numPr>
        <w:ind w:left="993"/>
        <w:rPr>
          <w:rFonts w:ascii="Palatino Linotype" w:hAnsi="Palatino Linotype"/>
          <w:b/>
          <w:color w:val="auto"/>
          <w:sz w:val="24"/>
        </w:rPr>
      </w:pPr>
      <w:bookmarkStart w:id="26" w:name="_Toc59195561"/>
      <w:bookmarkStart w:id="27" w:name="_Toc83830727"/>
      <w:bookmarkStart w:id="28" w:name="_Toc85112350"/>
      <w:bookmarkStart w:id="29" w:name="_Toc27141117"/>
      <w:bookmarkStart w:id="30" w:name="_Toc4061684"/>
      <w:r w:rsidRPr="006C7201">
        <w:rPr>
          <w:rFonts w:ascii="Palatino Linotype" w:hAnsi="Palatino Linotype"/>
          <w:b/>
          <w:color w:val="auto"/>
          <w:sz w:val="24"/>
        </w:rPr>
        <w:t>De la fuente obligacional</w:t>
      </w:r>
      <w:bookmarkEnd w:id="26"/>
      <w:bookmarkEnd w:id="27"/>
      <w:bookmarkEnd w:id="28"/>
    </w:p>
    <w:bookmarkEnd w:id="29"/>
    <w:bookmarkEnd w:id="30"/>
    <w:p w14:paraId="3B2ABBF0" w14:textId="77777777" w:rsidR="008E4483" w:rsidRPr="006C7201" w:rsidRDefault="008E4483" w:rsidP="008E4483">
      <w:pPr>
        <w:rPr>
          <w:lang w:val="es-ES"/>
        </w:rPr>
      </w:pPr>
    </w:p>
    <w:p w14:paraId="7178C08C" w14:textId="77777777" w:rsidR="008E4483" w:rsidRPr="006C7201" w:rsidRDefault="008E4483" w:rsidP="008E4483">
      <w:pPr>
        <w:numPr>
          <w:ilvl w:val="0"/>
          <w:numId w:val="1"/>
        </w:numPr>
        <w:spacing w:line="360" w:lineRule="auto"/>
        <w:ind w:right="34"/>
        <w:contextualSpacing/>
        <w:jc w:val="both"/>
        <w:rPr>
          <w:rFonts w:ascii="Palatino Linotype" w:eastAsia="MS Mincho" w:hAnsi="Palatino Linotype" w:cs="Arial"/>
        </w:rPr>
      </w:pPr>
      <w:r w:rsidRPr="006C7201">
        <w:rPr>
          <w:rFonts w:ascii="Palatino Linotype"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6C7201">
        <w:rPr>
          <w:rFonts w:ascii="Palatino Linotype" w:hAnsi="Palatino Linotype" w:cs="Arial"/>
          <w:color w:val="000000"/>
        </w:rPr>
        <w:t xml:space="preserve"> </w:t>
      </w:r>
      <w:r w:rsidRPr="006C7201">
        <w:rPr>
          <w:rFonts w:ascii="Palatino Linotype" w:hAnsi="Palatino Linotype" w:cs="Arial"/>
          <w:b/>
          <w:color w:val="000000"/>
        </w:rPr>
        <w:t>SUJETO OBLIGADO</w:t>
      </w:r>
      <w:r w:rsidRPr="006C7201">
        <w:rPr>
          <w:rFonts w:ascii="Palatino Linotype"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C7201">
        <w:rPr>
          <w:rFonts w:ascii="Palatino Linotype" w:hAnsi="Palatino Linotype" w:cs="Arial"/>
          <w:b/>
          <w:color w:val="000000"/>
        </w:rPr>
        <w:t xml:space="preserve">Constitución Política de los Estados Unidos Mexicanos </w:t>
      </w:r>
      <w:r w:rsidRPr="006C7201">
        <w:rPr>
          <w:rFonts w:ascii="Palatino Linotype" w:hAnsi="Palatino Linotype" w:cs="Arial"/>
          <w:color w:val="000000"/>
        </w:rPr>
        <w:t xml:space="preserve">al señalar la </w:t>
      </w:r>
      <w:r w:rsidRPr="006C7201">
        <w:rPr>
          <w:rFonts w:ascii="Palatino Linotype" w:hAnsi="Palatino Linotype" w:cs="Arial"/>
          <w:color w:val="000000"/>
        </w:rPr>
        <w:lastRenderedPageBreak/>
        <w:t xml:space="preserve">obligación de “promover, </w:t>
      </w:r>
      <w:r w:rsidRPr="006C7201">
        <w:rPr>
          <w:rFonts w:ascii="Palatino Linotype" w:hAnsi="Palatino Linotype" w:cs="Arial"/>
          <w:b/>
          <w:color w:val="000000"/>
        </w:rPr>
        <w:t>respetar</w:t>
      </w:r>
      <w:r w:rsidRPr="006C7201">
        <w:rPr>
          <w:rFonts w:ascii="Palatino Linotype" w:hAnsi="Palatino Linotype" w:cs="Arial"/>
          <w:color w:val="000000"/>
        </w:rPr>
        <w:t xml:space="preserve">, proteger y </w:t>
      </w:r>
      <w:r w:rsidRPr="006C7201">
        <w:rPr>
          <w:rFonts w:ascii="Palatino Linotype" w:hAnsi="Palatino Linotype" w:cs="Arial"/>
          <w:b/>
          <w:color w:val="000000"/>
        </w:rPr>
        <w:t>garantizar</w:t>
      </w:r>
      <w:r w:rsidRPr="006C7201">
        <w:rPr>
          <w:rFonts w:ascii="Palatino Linotype" w:hAnsi="Palatino Linotype" w:cs="Arial"/>
          <w:color w:val="000000"/>
        </w:rPr>
        <w:t xml:space="preserve"> los derechos humanos”, entre los cuales se encuentra dicho derecho. </w:t>
      </w:r>
    </w:p>
    <w:p w14:paraId="407FBD4F" w14:textId="77777777" w:rsidR="008E4483" w:rsidRPr="006C7201" w:rsidRDefault="008E4483" w:rsidP="008E4483">
      <w:pPr>
        <w:tabs>
          <w:tab w:val="left" w:pos="284"/>
        </w:tabs>
        <w:spacing w:before="240" w:after="240" w:line="360" w:lineRule="auto"/>
        <w:ind w:right="49"/>
        <w:contextualSpacing/>
        <w:jc w:val="both"/>
        <w:rPr>
          <w:rFonts w:ascii="Palatino Linotype" w:eastAsia="MS Mincho" w:hAnsi="Palatino Linotype"/>
          <w:color w:val="000000"/>
        </w:rPr>
      </w:pPr>
    </w:p>
    <w:p w14:paraId="7F8E62AD" w14:textId="77777777" w:rsidR="008E4483" w:rsidRPr="006C720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C7201">
        <w:rPr>
          <w:rFonts w:ascii="Palatino Linotype" w:hAnsi="Palatino Linotype"/>
        </w:rPr>
        <w:t xml:space="preserve">Definiendo el Derecho de Acceso a la Información Pública como: </w:t>
      </w:r>
      <w:r w:rsidRPr="006C7201">
        <w:rPr>
          <w:rFonts w:ascii="Palatino Linotype" w:hAnsi="Palatino Linotype"/>
          <w:i/>
          <w:color w:val="000000"/>
          <w:sz w:val="22"/>
        </w:rPr>
        <w:t>La igualdad de oportunidades para recibir, buscar e impartir información</w:t>
      </w:r>
      <w:r w:rsidRPr="006C7201">
        <w:rPr>
          <w:rFonts w:ascii="Palatino Linotype" w:hAnsi="Palatino Linotype"/>
          <w:i/>
          <w:color w:val="000000"/>
          <w:sz w:val="22"/>
          <w:vertAlign w:val="superscript"/>
        </w:rPr>
        <w:footnoteReference w:id="1"/>
      </w:r>
      <w:r w:rsidRPr="006C7201">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6C7201">
        <w:rPr>
          <w:rFonts w:ascii="Palatino Linotype" w:hAnsi="Palatino Linotype"/>
          <w:i/>
          <w:color w:val="000000"/>
          <w:sz w:val="22"/>
          <w:vertAlign w:val="superscript"/>
        </w:rPr>
        <w:footnoteReference w:id="2"/>
      </w:r>
      <w:r w:rsidRPr="006C7201">
        <w:rPr>
          <w:rFonts w:ascii="Palatino Linotype" w:hAnsi="Palatino Linotype"/>
          <w:color w:val="000000"/>
          <w:sz w:val="22"/>
        </w:rPr>
        <w:t>que se constituye como una herramienta fundamental para ejercer</w:t>
      </w:r>
      <w:r w:rsidRPr="006C7201">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6C7201">
        <w:rPr>
          <w:rFonts w:ascii="Palatino Linotype" w:hAnsi="Palatino Linotype"/>
          <w:i/>
          <w:color w:val="000000"/>
          <w:sz w:val="22"/>
          <w:vertAlign w:val="superscript"/>
        </w:rPr>
        <w:footnoteReference w:id="3"/>
      </w:r>
      <w:r w:rsidRPr="006C7201">
        <w:rPr>
          <w:rFonts w:ascii="Palatino Linotype" w:hAnsi="Palatino Linotype"/>
          <w:color w:val="000000"/>
          <w:sz w:val="22"/>
        </w:rPr>
        <w:t>fomentando</w:t>
      </w:r>
      <w:r w:rsidRPr="006C7201">
        <w:rPr>
          <w:rFonts w:ascii="Palatino Linotype" w:hAnsi="Palatino Linotype"/>
          <w:i/>
          <w:color w:val="000000"/>
          <w:sz w:val="22"/>
        </w:rPr>
        <w:t xml:space="preserve"> la transparencia de las actividades estatales y </w:t>
      </w:r>
      <w:r w:rsidRPr="006C7201">
        <w:rPr>
          <w:rFonts w:ascii="Palatino Linotype" w:hAnsi="Palatino Linotype"/>
          <w:color w:val="000000"/>
          <w:sz w:val="22"/>
        </w:rPr>
        <w:t>promoviendo</w:t>
      </w:r>
      <w:r w:rsidRPr="006C7201">
        <w:rPr>
          <w:rFonts w:ascii="Palatino Linotype" w:hAnsi="Palatino Linotype"/>
          <w:i/>
          <w:color w:val="000000"/>
          <w:sz w:val="22"/>
        </w:rPr>
        <w:t xml:space="preserve"> la responsabilidad de los funcionarios sobre su gestión pública,</w:t>
      </w:r>
      <w:r w:rsidRPr="006C7201">
        <w:rPr>
          <w:rFonts w:ascii="Palatino Linotype" w:hAnsi="Palatino Linotype"/>
          <w:i/>
          <w:color w:val="000000"/>
          <w:sz w:val="22"/>
          <w:vertAlign w:val="superscript"/>
        </w:rPr>
        <w:footnoteReference w:id="4"/>
      </w:r>
      <w:r w:rsidRPr="006C7201">
        <w:rPr>
          <w:rFonts w:ascii="Palatino Linotype" w:hAnsi="Palatino Linotype"/>
          <w:color w:val="000000"/>
          <w:sz w:val="22"/>
        </w:rPr>
        <w:t>que permite</w:t>
      </w:r>
      <w:r w:rsidRPr="006C7201">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146C8508" w14:textId="77777777" w:rsidR="008E4483" w:rsidRPr="006C7201" w:rsidRDefault="008E4483" w:rsidP="008E4483">
      <w:pPr>
        <w:tabs>
          <w:tab w:val="left" w:pos="284"/>
        </w:tabs>
        <w:contextualSpacing/>
        <w:rPr>
          <w:rFonts w:ascii="Palatino Linotype" w:hAnsi="Palatino Linotype"/>
        </w:rPr>
      </w:pPr>
    </w:p>
    <w:p w14:paraId="223832E3" w14:textId="3A93AA98" w:rsidR="008E4483" w:rsidRPr="006C7201" w:rsidRDefault="008E4483" w:rsidP="008E4483">
      <w:pPr>
        <w:numPr>
          <w:ilvl w:val="0"/>
          <w:numId w:val="1"/>
        </w:numPr>
        <w:tabs>
          <w:tab w:val="left" w:pos="284"/>
        </w:tabs>
        <w:spacing w:before="240" w:after="240" w:line="360" w:lineRule="auto"/>
        <w:contextualSpacing/>
        <w:jc w:val="both"/>
        <w:rPr>
          <w:rFonts w:ascii="Palatino Linotype" w:hAnsi="Palatino Linotype"/>
          <w:i/>
        </w:rPr>
      </w:pPr>
      <w:r w:rsidRPr="006C7201">
        <w:rPr>
          <w:rFonts w:ascii="Palatino Linotype" w:hAnsi="Palatino Linotype"/>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61050408" w14:textId="77777777" w:rsidR="008E4483" w:rsidRPr="006C7201" w:rsidRDefault="008E4483" w:rsidP="008E4483">
      <w:pPr>
        <w:tabs>
          <w:tab w:val="left" w:pos="284"/>
        </w:tabs>
        <w:spacing w:before="240" w:after="240" w:line="360" w:lineRule="auto"/>
        <w:contextualSpacing/>
        <w:jc w:val="both"/>
        <w:rPr>
          <w:rFonts w:ascii="Palatino Linotype" w:hAnsi="Palatino Linotype"/>
          <w:i/>
        </w:rPr>
      </w:pPr>
      <w:r w:rsidRPr="006C7201">
        <w:rPr>
          <w:rFonts w:ascii="Palatino Linotype" w:hAnsi="Palatino Linotype"/>
          <w:i/>
        </w:rPr>
        <w:t xml:space="preserve"> </w:t>
      </w:r>
    </w:p>
    <w:p w14:paraId="18789162" w14:textId="0A2CB738" w:rsidR="008E4483" w:rsidRPr="006C7201" w:rsidRDefault="008E4483" w:rsidP="008E4483">
      <w:pPr>
        <w:numPr>
          <w:ilvl w:val="0"/>
          <w:numId w:val="1"/>
        </w:numPr>
        <w:tabs>
          <w:tab w:val="left" w:pos="284"/>
        </w:tabs>
        <w:spacing w:before="240" w:line="360" w:lineRule="auto"/>
        <w:contextualSpacing/>
        <w:jc w:val="both"/>
        <w:rPr>
          <w:rFonts w:ascii="Palatino Linotype" w:hAnsi="Palatino Linotype"/>
        </w:rPr>
      </w:pPr>
      <w:r w:rsidRPr="006C7201">
        <w:rPr>
          <w:rFonts w:ascii="Palatino Linotype" w:hAnsi="Palatino Linotype" w:cs="Arial"/>
        </w:rPr>
        <w:t xml:space="preserve">En tal sentido, el derecho de acceso a la información constituye una garantía primaria, tal y como lo señala el artículo 150 de la Ley de Transparencia y Acceso a </w:t>
      </w:r>
      <w:r w:rsidRPr="006C7201">
        <w:rPr>
          <w:rFonts w:ascii="Palatino Linotype" w:hAnsi="Palatino Linotype" w:cs="Arial"/>
        </w:rPr>
        <w:lastRenderedPageBreak/>
        <w:t xml:space="preserve">la Información del Estado de México y Municipios, </w:t>
      </w:r>
      <w:r w:rsidR="007C4861" w:rsidRPr="006C7201">
        <w:rPr>
          <w:rFonts w:ascii="Palatino Linotype" w:hAnsi="Palatino Linotype" w:cs="Arial"/>
        </w:rPr>
        <w:t>que,</w:t>
      </w:r>
      <w:r w:rsidRPr="006C7201">
        <w:rPr>
          <w:rFonts w:ascii="Palatino Linotype" w:hAnsi="Palatino Linotype" w:cs="Arial"/>
        </w:rPr>
        <w:t xml:space="preserve"> además, establece que se regirá </w:t>
      </w:r>
      <w:r w:rsidRPr="006C7201">
        <w:rPr>
          <w:rFonts w:ascii="Palatino Linotype" w:hAnsi="Palatino Linotype" w:cs="Arial"/>
          <w:i/>
          <w:sz w:val="22"/>
        </w:rPr>
        <w:t>por los principios de simplicidad, rapidez gratuidad del procedimiento, auxilio y orientación a los particulares</w:t>
      </w:r>
      <w:r w:rsidRPr="006C7201">
        <w:rPr>
          <w:rFonts w:ascii="Palatino Linotype" w:hAnsi="Palatino Linotype" w:cs="Arial"/>
          <w:sz w:val="22"/>
        </w:rPr>
        <w:t xml:space="preserve">, contemplando el derecho de las personas con discapacidad y hablantes de lengua indígena. </w:t>
      </w:r>
    </w:p>
    <w:p w14:paraId="646E1459" w14:textId="77777777" w:rsidR="008E4483" w:rsidRPr="006C7201" w:rsidRDefault="008E4483" w:rsidP="008E4483">
      <w:pPr>
        <w:tabs>
          <w:tab w:val="left" w:pos="284"/>
        </w:tabs>
        <w:spacing w:before="240" w:after="240" w:line="360" w:lineRule="auto"/>
        <w:contextualSpacing/>
        <w:jc w:val="both"/>
        <w:rPr>
          <w:rFonts w:ascii="Palatino Linotype" w:hAnsi="Palatino Linotype"/>
        </w:rPr>
      </w:pPr>
    </w:p>
    <w:p w14:paraId="6E0F7990" w14:textId="613FE19C" w:rsidR="008E4483" w:rsidRPr="006C7201" w:rsidRDefault="008E4483" w:rsidP="008E4483">
      <w:pPr>
        <w:numPr>
          <w:ilvl w:val="0"/>
          <w:numId w:val="1"/>
        </w:numPr>
        <w:tabs>
          <w:tab w:val="left" w:pos="284"/>
        </w:tabs>
        <w:spacing w:before="240" w:after="240" w:line="360" w:lineRule="auto"/>
        <w:contextualSpacing/>
        <w:jc w:val="both"/>
        <w:rPr>
          <w:rFonts w:ascii="Palatino Linotype" w:hAnsi="Palatino Linotype"/>
        </w:rPr>
      </w:pPr>
      <w:r w:rsidRPr="006C7201">
        <w:rPr>
          <w:rFonts w:ascii="Palatino Linotype" w:hAnsi="Palatino Linotype"/>
        </w:rPr>
        <w:t xml:space="preserve">Es así que la </w:t>
      </w:r>
      <w:r w:rsidRPr="006C7201">
        <w:rPr>
          <w:rFonts w:ascii="Palatino Linotype" w:hAnsi="Palatino Linotype"/>
          <w:b/>
        </w:rPr>
        <w:t xml:space="preserve">Ley de Transparencia y Acceso a la Información Pública del Estado de México y Municipios, </w:t>
      </w:r>
      <w:r w:rsidRPr="006C7201">
        <w:rPr>
          <w:rFonts w:ascii="Palatino Linotype" w:hAnsi="Palatino Linotype"/>
        </w:rPr>
        <w:t>cuyo objeto es establecer principios, bases generales y procedimientos para tutelar y garantizar la transparencia y el derecho humano de acceso a la información pública en posesión de los sujetos obligados; en su artículo 176</w:t>
      </w:r>
      <w:r w:rsidRPr="006C7201">
        <w:rPr>
          <w:rFonts w:ascii="Palatino Linotype" w:hAnsi="Palatino Linotype"/>
          <w:b/>
        </w:rPr>
        <w:t xml:space="preserve"> </w:t>
      </w:r>
      <w:r w:rsidRPr="006C7201">
        <w:rPr>
          <w:rFonts w:ascii="Palatino Linotype" w:hAnsi="Palatino Linotype"/>
        </w:rPr>
        <w:t xml:space="preserve">establece que </w:t>
      </w:r>
      <w:r w:rsidRPr="006C7201">
        <w:rPr>
          <w:rFonts w:ascii="Palatino Linotype" w:hAnsi="Palatino Linotype"/>
          <w:b/>
          <w:i/>
          <w:sz w:val="22"/>
          <w:u w:val="single"/>
        </w:rPr>
        <w:t>el recurso de revisión es la garantía secundaria</w:t>
      </w:r>
      <w:r w:rsidRPr="006C7201">
        <w:rPr>
          <w:rFonts w:ascii="Palatino Linotype" w:hAnsi="Palatino Linotype"/>
          <w:b/>
          <w:i/>
          <w:sz w:val="22"/>
        </w:rPr>
        <w:t xml:space="preserve"> mediante la cual se pretende reparar cualquier posible afectación al derecho de acceso a la información pública</w:t>
      </w:r>
      <w:r w:rsidRPr="006C7201">
        <w:rPr>
          <w:rFonts w:ascii="Palatino Linotype" w:hAnsi="Palatino Linotype"/>
          <w:b/>
          <w:sz w:val="22"/>
        </w:rPr>
        <w:t>, s</w:t>
      </w:r>
      <w:r w:rsidRPr="006C7201">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r w:rsidR="00BA0A18" w:rsidRPr="006C7201">
        <w:rPr>
          <w:rFonts w:ascii="Palatino Linotype" w:hAnsi="Palatino Linotype"/>
          <w:sz w:val="22"/>
        </w:rPr>
        <w:t xml:space="preserve"> </w:t>
      </w:r>
    </w:p>
    <w:p w14:paraId="62B78458" w14:textId="77777777" w:rsidR="008E4483" w:rsidRPr="006C7201" w:rsidRDefault="008E4483" w:rsidP="008E4483">
      <w:pPr>
        <w:tabs>
          <w:tab w:val="left" w:pos="284"/>
        </w:tabs>
        <w:rPr>
          <w:rFonts w:ascii="Palatino Linotype" w:eastAsia="MS Mincho" w:hAnsi="Palatino Linotype" w:cs="Arial"/>
        </w:rPr>
      </w:pPr>
    </w:p>
    <w:p w14:paraId="355D07B3" w14:textId="77777777" w:rsidR="008E4483" w:rsidRPr="006C7201" w:rsidRDefault="008E4483" w:rsidP="008E4483">
      <w:pPr>
        <w:numPr>
          <w:ilvl w:val="0"/>
          <w:numId w:val="1"/>
        </w:numPr>
        <w:tabs>
          <w:tab w:val="left" w:pos="284"/>
        </w:tabs>
        <w:spacing w:before="240" w:after="240" w:line="360" w:lineRule="auto"/>
        <w:contextualSpacing/>
        <w:jc w:val="both"/>
        <w:rPr>
          <w:rFonts w:ascii="Palatino Linotype" w:eastAsia="Calibri" w:hAnsi="Palatino Linotype"/>
        </w:rPr>
      </w:pPr>
      <w:r w:rsidRPr="006C7201">
        <w:rPr>
          <w:rFonts w:ascii="Palatino Linotype" w:eastAsia="Calibri" w:hAnsi="Palatino Linotype"/>
        </w:rPr>
        <w:t xml:space="preserve">Establecido lo anterior, resulta evidente que las razones o motivos de inconformidad hechos valer en el recurso de revisión resultan </w:t>
      </w:r>
      <w:r w:rsidRPr="006C7201">
        <w:rPr>
          <w:rFonts w:ascii="Palatino Linotype" w:eastAsia="Calibri" w:hAnsi="Palatino Linotype"/>
          <w:b/>
        </w:rPr>
        <w:t>fundadas y procedentes</w:t>
      </w:r>
      <w:r w:rsidRPr="006C7201">
        <w:rPr>
          <w:rFonts w:ascii="Palatino Linotype" w:eastAsia="Calibri" w:hAnsi="Palatino Linotype"/>
        </w:rPr>
        <w:t xml:space="preserve">, debido a que el </w:t>
      </w:r>
      <w:r w:rsidRPr="006C7201">
        <w:rPr>
          <w:rFonts w:ascii="Palatino Linotype" w:eastAsia="Calibri" w:hAnsi="Palatino Linotype"/>
          <w:b/>
        </w:rPr>
        <w:t>SUJETO OBLIGADO</w:t>
      </w:r>
      <w:r w:rsidRPr="006C7201">
        <w:rPr>
          <w:rFonts w:ascii="Palatino Linotype" w:eastAsia="Calibri" w:hAnsi="Palatino Linotype"/>
        </w:rPr>
        <w:t xml:space="preserve"> proporcionó información que no corresponde con lo solicitado.</w:t>
      </w:r>
    </w:p>
    <w:p w14:paraId="4CFD2ECD" w14:textId="0AA5462A" w:rsidR="008E4483" w:rsidRPr="006C7201" w:rsidRDefault="008E4483" w:rsidP="008E4483">
      <w:pPr>
        <w:pStyle w:val="Prrafodelista"/>
        <w:numPr>
          <w:ilvl w:val="0"/>
          <w:numId w:val="1"/>
        </w:numPr>
        <w:spacing w:before="240" w:after="360" w:line="360" w:lineRule="auto"/>
        <w:jc w:val="both"/>
        <w:rPr>
          <w:rFonts w:ascii="Palatino Linotype" w:hAnsi="Palatino Linotype" w:cs="Arial"/>
          <w:i/>
          <w:color w:val="000000" w:themeColor="text1"/>
        </w:rPr>
      </w:pPr>
      <w:r w:rsidRPr="006C7201">
        <w:rPr>
          <w:rFonts w:ascii="Palatino Linotype" w:hAnsi="Palatino Linotype" w:cs="Arial"/>
        </w:rPr>
        <w:t xml:space="preserve">Ahora bien, para entender los alcances de la información pública se considera importante citar el criterio </w:t>
      </w:r>
      <w:r w:rsidRPr="006C7201">
        <w:rPr>
          <w:rFonts w:ascii="Palatino Linotype" w:hAnsi="Palatino Linotype" w:cs="Arial"/>
          <w:bCs/>
          <w:lang w:eastAsia="es-MX"/>
        </w:rPr>
        <w:t xml:space="preserve">de interpretación en el orden administrativo número 0002-11, emitido por Acuerdo del Pleno de este Instituto de Transparencia y Acceso a la Información Pública del Estado de México y Municipios, publicado en el </w:t>
      </w:r>
      <w:r w:rsidRPr="006C7201">
        <w:rPr>
          <w:rFonts w:ascii="Palatino Linotype" w:hAnsi="Palatino Linotype" w:cs="Arial"/>
          <w:bCs/>
          <w:lang w:eastAsia="es-MX"/>
        </w:rPr>
        <w:lastRenderedPageBreak/>
        <w:t xml:space="preserve">Periódico Oficial del Gobierno del Estado Libre y Soberano de México “Gaceta del Gobierno” el diecinueve de octubre de dos mil once, </w:t>
      </w:r>
      <w:r w:rsidRPr="006C7201">
        <w:rPr>
          <w:rFonts w:ascii="Palatino Linotype" w:hAnsi="Palatino Linotype" w:cs="Arial"/>
        </w:rPr>
        <w:t>cuyo rubro y texto dispone:</w:t>
      </w:r>
    </w:p>
    <w:p w14:paraId="27F940F8" w14:textId="77777777" w:rsidR="008E4483" w:rsidRPr="006C7201" w:rsidRDefault="008E4483" w:rsidP="008E4483">
      <w:pPr>
        <w:pStyle w:val="Prrafodelista"/>
        <w:autoSpaceDE w:val="0"/>
        <w:autoSpaceDN w:val="0"/>
        <w:adjustRightInd w:val="0"/>
        <w:spacing w:line="360" w:lineRule="auto"/>
        <w:ind w:left="0"/>
        <w:jc w:val="both"/>
        <w:rPr>
          <w:rFonts w:ascii="Palatino Linotype" w:hAnsi="Palatino Linotype" w:cs="Arial"/>
        </w:rPr>
      </w:pPr>
    </w:p>
    <w:p w14:paraId="203E4369" w14:textId="77777777" w:rsidR="008E4483" w:rsidRPr="006C7201" w:rsidRDefault="008E4483" w:rsidP="008E4483">
      <w:pPr>
        <w:autoSpaceDE w:val="0"/>
        <w:autoSpaceDN w:val="0"/>
        <w:adjustRightInd w:val="0"/>
        <w:ind w:left="567" w:right="567"/>
        <w:jc w:val="both"/>
        <w:rPr>
          <w:rFonts w:ascii="Palatino Linotype" w:hAnsi="Palatino Linotype" w:cs="Arial"/>
          <w:b/>
          <w:i/>
          <w:sz w:val="22"/>
          <w:szCs w:val="22"/>
          <w:lang w:eastAsia="es-MX"/>
        </w:rPr>
      </w:pPr>
      <w:r w:rsidRPr="006C7201">
        <w:rPr>
          <w:rFonts w:ascii="Palatino Linotype" w:hAnsi="Palatino Linotype" w:cs="Arial"/>
          <w:b/>
          <w:i/>
          <w:sz w:val="22"/>
          <w:szCs w:val="22"/>
          <w:lang w:eastAsia="es-MX"/>
        </w:rPr>
        <w:t>“CRITERIO 0002-11</w:t>
      </w:r>
    </w:p>
    <w:p w14:paraId="0FACDA68" w14:textId="77777777" w:rsidR="008E4483" w:rsidRPr="006C720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7201">
        <w:rPr>
          <w:rFonts w:ascii="Palatino Linotype" w:hAnsi="Palatino Linotype" w:cs="Arial"/>
          <w:b/>
          <w:i/>
          <w:sz w:val="22"/>
          <w:szCs w:val="22"/>
          <w:lang w:eastAsia="es-MX"/>
        </w:rPr>
        <w:t xml:space="preserve">INFORMACIÓN PÚBLICA, CONCEPTO DE, EN MATERIA DE TRANSPARENCIA. INTERPRETACIÓN TEMÁTICA DE LOS ARTÍCULOS 2, FRACCIÓN </w:t>
      </w:r>
      <w:r w:rsidRPr="006C7201">
        <w:rPr>
          <w:rFonts w:ascii="Palatino Linotype" w:hAnsi="Palatino Linotype" w:cs="Arial"/>
          <w:b/>
          <w:bCs/>
          <w:i/>
          <w:sz w:val="22"/>
          <w:szCs w:val="22"/>
          <w:lang w:eastAsia="es-MX"/>
        </w:rPr>
        <w:t xml:space="preserve">V, XV, Y XVI, </w:t>
      </w:r>
      <w:r w:rsidRPr="006C7201">
        <w:rPr>
          <w:rFonts w:ascii="Palatino Linotype" w:hAnsi="Palatino Linotype" w:cs="Arial"/>
          <w:b/>
          <w:i/>
          <w:sz w:val="22"/>
          <w:szCs w:val="22"/>
          <w:lang w:eastAsia="es-MX"/>
        </w:rPr>
        <w:t>3, 4,11 Y 41.</w:t>
      </w:r>
      <w:r w:rsidRPr="006C7201">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543714A" w14:textId="77777777" w:rsidR="008E4483" w:rsidRPr="006C720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7201">
        <w:rPr>
          <w:rFonts w:ascii="Palatino Linotype" w:hAnsi="Palatino Linotype" w:cs="Arial"/>
          <w:i/>
          <w:sz w:val="22"/>
          <w:szCs w:val="22"/>
          <w:lang w:eastAsia="es-MX"/>
        </w:rPr>
        <w:t>En consecuencia el acceso a la información se refiere a que se cumplan cualquiera de los siguientes tres supuestos:</w:t>
      </w:r>
    </w:p>
    <w:p w14:paraId="375E15D9" w14:textId="77777777" w:rsidR="008E4483" w:rsidRPr="006C720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7201">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F790A50" w14:textId="77777777" w:rsidR="008E4483" w:rsidRPr="006C7201" w:rsidRDefault="008E4483" w:rsidP="008E4483">
      <w:pPr>
        <w:autoSpaceDE w:val="0"/>
        <w:autoSpaceDN w:val="0"/>
        <w:adjustRightInd w:val="0"/>
        <w:ind w:left="567" w:right="567"/>
        <w:jc w:val="both"/>
        <w:rPr>
          <w:rFonts w:ascii="Palatino Linotype" w:hAnsi="Palatino Linotype" w:cs="Arial"/>
          <w:i/>
          <w:sz w:val="22"/>
          <w:szCs w:val="22"/>
          <w:lang w:eastAsia="es-MX"/>
        </w:rPr>
      </w:pPr>
      <w:r w:rsidRPr="006C7201">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518D68CB" w14:textId="77777777" w:rsidR="008E4483" w:rsidRPr="006C7201" w:rsidRDefault="008E4483" w:rsidP="008E4483">
      <w:pPr>
        <w:ind w:left="567" w:right="567"/>
        <w:jc w:val="both"/>
        <w:rPr>
          <w:rFonts w:ascii="Palatino Linotype" w:hAnsi="Palatino Linotype" w:cs="Arial"/>
          <w:i/>
          <w:color w:val="000000" w:themeColor="text1"/>
          <w:sz w:val="22"/>
          <w:szCs w:val="22"/>
        </w:rPr>
      </w:pPr>
      <w:r w:rsidRPr="006C7201">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8FA0365" w14:textId="77777777" w:rsidR="008E4483" w:rsidRPr="006C7201" w:rsidRDefault="008E4483" w:rsidP="008E4483">
      <w:pPr>
        <w:pStyle w:val="Prrafodelista"/>
        <w:tabs>
          <w:tab w:val="left" w:pos="851"/>
        </w:tabs>
        <w:spacing w:line="360" w:lineRule="auto"/>
        <w:ind w:left="0" w:right="49"/>
        <w:jc w:val="both"/>
        <w:rPr>
          <w:rFonts w:ascii="Palatino Linotype" w:hAnsi="Palatino Linotype"/>
          <w:lang w:val="es-ES"/>
        </w:rPr>
      </w:pPr>
    </w:p>
    <w:p w14:paraId="6A6116C0" w14:textId="01816BB0" w:rsidR="008E4483" w:rsidRPr="006C7201" w:rsidRDefault="008E4483" w:rsidP="003B5FD2">
      <w:pPr>
        <w:pStyle w:val="Prrafodelista"/>
        <w:numPr>
          <w:ilvl w:val="0"/>
          <w:numId w:val="4"/>
        </w:numPr>
        <w:tabs>
          <w:tab w:val="left" w:pos="851"/>
        </w:tabs>
        <w:spacing w:before="240" w:after="240" w:line="360" w:lineRule="auto"/>
        <w:ind w:right="49"/>
        <w:jc w:val="both"/>
        <w:rPr>
          <w:rFonts w:ascii="Palatino Linotype" w:hAnsi="Palatino Linotype" w:cs="Arial"/>
          <w:sz w:val="36"/>
          <w:lang w:val="es-ES"/>
        </w:rPr>
      </w:pPr>
      <w:r w:rsidRPr="006C7201">
        <w:rPr>
          <w:rFonts w:ascii="Palatino Linotype" w:hAnsi="Palatino Linotype"/>
          <w:lang w:val="es-ES"/>
        </w:rPr>
        <w:t>El derecho de acceso a la información encuentra su materia elemental en los documentos, y la Ley de Transparencia local nos brinda el siguiente concepto, para darnos un mejor panorama:</w:t>
      </w:r>
    </w:p>
    <w:p w14:paraId="29B2B485"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i/>
          <w:sz w:val="28"/>
          <w:lang w:val="es-ES"/>
        </w:rPr>
      </w:pPr>
      <w:r w:rsidRPr="006C7201">
        <w:rPr>
          <w:rFonts w:ascii="Palatino Linotype" w:eastAsiaTheme="minorHAnsi" w:hAnsi="Palatino Linotype" w:cs="Bookman Old Style,Bold"/>
          <w:b/>
          <w:bCs/>
          <w:i/>
          <w:sz w:val="22"/>
          <w:lang w:eastAsia="en-US"/>
        </w:rPr>
        <w:t xml:space="preserve">XI. Documento: </w:t>
      </w:r>
      <w:r w:rsidRPr="006C7201">
        <w:rPr>
          <w:rFonts w:ascii="Palatino Linotype" w:eastAsiaTheme="minorHAnsi" w:hAnsi="Palatino Linotype" w:cs="Bookman Old Style"/>
          <w:i/>
          <w:sz w:val="22"/>
          <w:lang w:eastAsia="en-US"/>
        </w:rPr>
        <w:t xml:space="preserve">Los expedientes, reportes, estudios, actas, resoluciones, </w:t>
      </w:r>
      <w:r w:rsidRPr="006C7201">
        <w:rPr>
          <w:rFonts w:ascii="Palatino Linotype" w:eastAsiaTheme="minorHAnsi" w:hAnsi="Palatino Linotype" w:cs="Bookman Old Style"/>
          <w:b/>
          <w:i/>
          <w:sz w:val="22"/>
          <w:lang w:eastAsia="en-US"/>
        </w:rPr>
        <w:t>oficios,</w:t>
      </w:r>
      <w:r w:rsidRPr="006C7201">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sidRPr="006C7201">
        <w:rPr>
          <w:rFonts w:ascii="Palatino Linotype" w:eastAsiaTheme="minorHAnsi" w:hAnsi="Palatino Linotype" w:cs="Bookman Old Style"/>
          <w:b/>
          <w:i/>
          <w:sz w:val="22"/>
          <w:lang w:eastAsia="en-US"/>
        </w:rPr>
        <w:t>cualquier otro registro</w:t>
      </w:r>
      <w:r w:rsidRPr="006C7201">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7C413F4" w14:textId="77777777" w:rsidR="008E4483" w:rsidRPr="006C7201" w:rsidRDefault="008E4483" w:rsidP="008E4483">
      <w:pPr>
        <w:pStyle w:val="Prrafodelista"/>
        <w:tabs>
          <w:tab w:val="left" w:pos="851"/>
        </w:tabs>
        <w:spacing w:line="360" w:lineRule="auto"/>
        <w:ind w:left="0" w:right="49"/>
        <w:jc w:val="both"/>
        <w:rPr>
          <w:rFonts w:ascii="Palatino Linotype" w:hAnsi="Palatino Linotype"/>
          <w:lang w:val="es-ES"/>
        </w:rPr>
      </w:pPr>
    </w:p>
    <w:p w14:paraId="483E55FA" w14:textId="77777777" w:rsidR="008E4483" w:rsidRPr="006C720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7201">
        <w:rPr>
          <w:rFonts w:ascii="Palatino Linotype" w:hAnsi="Palatino Linotype"/>
          <w:lang w:val="es-ES"/>
        </w:rPr>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1A752599" w14:textId="77777777" w:rsidR="008E4483" w:rsidRPr="006C7201" w:rsidRDefault="008E4483" w:rsidP="008E4483">
      <w:pPr>
        <w:pStyle w:val="Prrafodelista"/>
        <w:spacing w:line="360" w:lineRule="auto"/>
        <w:ind w:left="0"/>
        <w:jc w:val="both"/>
        <w:rPr>
          <w:rFonts w:ascii="Palatino Linotype" w:eastAsia="Calibri" w:hAnsi="Palatino Linotype" w:cs="Arial"/>
        </w:rPr>
      </w:pPr>
    </w:p>
    <w:p w14:paraId="1B3026E4" w14:textId="77777777" w:rsidR="008E4483" w:rsidRPr="006C7201" w:rsidRDefault="008E4483" w:rsidP="003B5FD2">
      <w:pPr>
        <w:pStyle w:val="Prrafodelista"/>
        <w:numPr>
          <w:ilvl w:val="0"/>
          <w:numId w:val="4"/>
        </w:numPr>
        <w:spacing w:line="360" w:lineRule="auto"/>
        <w:jc w:val="both"/>
        <w:rPr>
          <w:rFonts w:ascii="Palatino Linotype" w:eastAsia="Calibri" w:hAnsi="Palatino Linotype" w:cs="Arial"/>
        </w:rPr>
      </w:pPr>
      <w:r w:rsidRPr="006C7201">
        <w:rPr>
          <w:rFonts w:ascii="Palatino Linotype" w:hAnsi="Palatino Linotype"/>
          <w:color w:val="000000" w:themeColor="text1"/>
        </w:rPr>
        <w:t xml:space="preserve">Resulta necesario referir que, el </w:t>
      </w:r>
      <w:r w:rsidRPr="006C7201">
        <w:rPr>
          <w:rFonts w:ascii="Palatino Linotype" w:eastAsia="Calibri" w:hAnsi="Palatino Linotype" w:cs="Arial"/>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6C7201">
        <w:rPr>
          <w:rFonts w:ascii="Palatino Linotype" w:eastAsia="Calibri" w:hAnsi="Palatino Linotype" w:cs="Arial"/>
          <w:b/>
        </w:rPr>
        <w:t>los Sujetos Obligados deberán documentar todo acto que se derive del ejercicio de sus facultades, competencias o funciones,</w:t>
      </w:r>
      <w:r w:rsidRPr="006C7201">
        <w:rPr>
          <w:rFonts w:ascii="Palatino Linotype" w:eastAsia="Calibri" w:hAnsi="Palatino Linotype" w:cs="Arial"/>
        </w:rPr>
        <w:t xml:space="preserve"> considerando desde su origen la eventual publicidad y reutilización de la información que generen, posean o administren.</w:t>
      </w:r>
    </w:p>
    <w:p w14:paraId="2150B72C" w14:textId="77777777" w:rsidR="008E4483" w:rsidRPr="006C7201" w:rsidRDefault="008E4483" w:rsidP="008E4483">
      <w:pPr>
        <w:pStyle w:val="Prrafodelista"/>
        <w:rPr>
          <w:rFonts w:ascii="Palatino Linotype" w:eastAsia="Calibri" w:hAnsi="Palatino Linotype" w:cs="Arial"/>
        </w:rPr>
      </w:pPr>
    </w:p>
    <w:p w14:paraId="308FCB42" w14:textId="77777777" w:rsidR="008E4483" w:rsidRPr="006C7201" w:rsidRDefault="008E4483" w:rsidP="003B5FD2">
      <w:pPr>
        <w:pStyle w:val="Prrafodelista"/>
        <w:numPr>
          <w:ilvl w:val="0"/>
          <w:numId w:val="4"/>
        </w:numPr>
        <w:spacing w:line="360" w:lineRule="auto"/>
        <w:jc w:val="both"/>
        <w:rPr>
          <w:rFonts w:ascii="Palatino Linotype" w:eastAsia="Calibri" w:hAnsi="Palatino Linotype" w:cs="Arial"/>
        </w:rPr>
      </w:pPr>
      <w:r w:rsidRPr="006C7201">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17756644" w14:textId="77777777" w:rsidR="008E4483" w:rsidRPr="006C7201" w:rsidRDefault="008E4483" w:rsidP="008E4483">
      <w:pPr>
        <w:pStyle w:val="Prrafodelista"/>
        <w:spacing w:line="360" w:lineRule="auto"/>
        <w:rPr>
          <w:rFonts w:ascii="Palatino Linotype" w:hAnsi="Palatino Linotype" w:cs="Arial"/>
          <w:color w:val="000000"/>
        </w:rPr>
      </w:pPr>
    </w:p>
    <w:p w14:paraId="0DE0F687"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C7201">
        <w:rPr>
          <w:rFonts w:ascii="Palatino Linotype" w:hAnsi="Palatino Linotype" w:cs="Bookman Old Style,Bold"/>
          <w:b/>
          <w:bCs/>
          <w:i/>
          <w:sz w:val="22"/>
        </w:rPr>
        <w:t xml:space="preserve">Artículo 4. </w:t>
      </w:r>
      <w:r w:rsidRPr="006C7201">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6084A6A6"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C7201">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w:t>
      </w:r>
      <w:r w:rsidRPr="006C7201">
        <w:rPr>
          <w:rFonts w:ascii="Palatino Linotype" w:hAnsi="Palatino Linotype" w:cs="Bookman Old Style"/>
          <w:i/>
          <w:sz w:val="22"/>
        </w:rPr>
        <w:lastRenderedPageBreak/>
        <w:t>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BFA1242"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p>
    <w:p w14:paraId="239B53A8"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C7201">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18E51A2B"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Arial"/>
          <w:i/>
          <w:color w:val="000000"/>
          <w:sz w:val="28"/>
        </w:rPr>
      </w:pPr>
    </w:p>
    <w:p w14:paraId="282997B3"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Bookman Old Style"/>
          <w:i/>
          <w:sz w:val="22"/>
        </w:rPr>
      </w:pPr>
      <w:r w:rsidRPr="006C7201">
        <w:rPr>
          <w:rFonts w:ascii="Palatino Linotype" w:hAnsi="Palatino Linotype" w:cs="Bookman Old Style,Bold"/>
          <w:b/>
          <w:bCs/>
          <w:i/>
          <w:sz w:val="22"/>
        </w:rPr>
        <w:t xml:space="preserve">Artículo 12. </w:t>
      </w:r>
      <w:r w:rsidRPr="006C7201">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3DE3F3A1" w14:textId="77777777" w:rsidR="008E4483" w:rsidRPr="006C7201" w:rsidRDefault="008E4483" w:rsidP="001636EB">
      <w:pPr>
        <w:autoSpaceDE w:val="0"/>
        <w:autoSpaceDN w:val="0"/>
        <w:adjustRightInd w:val="0"/>
        <w:spacing w:line="360" w:lineRule="auto"/>
        <w:ind w:left="567" w:right="567"/>
        <w:jc w:val="both"/>
        <w:rPr>
          <w:rFonts w:ascii="Palatino Linotype" w:hAnsi="Palatino Linotype" w:cs="Bookman Old Style"/>
          <w:b/>
          <w:i/>
          <w:sz w:val="22"/>
        </w:rPr>
      </w:pPr>
      <w:r w:rsidRPr="006C7201">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sidRPr="006C7201">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D0638B5" w14:textId="77777777" w:rsidR="008E4483" w:rsidRPr="006C7201" w:rsidRDefault="008E4483" w:rsidP="008E4483">
      <w:pPr>
        <w:autoSpaceDE w:val="0"/>
        <w:autoSpaceDN w:val="0"/>
        <w:adjustRightInd w:val="0"/>
        <w:spacing w:line="360" w:lineRule="auto"/>
        <w:ind w:left="567" w:right="567"/>
        <w:jc w:val="both"/>
        <w:rPr>
          <w:rFonts w:ascii="Palatino Linotype" w:hAnsi="Palatino Linotype" w:cs="Bookman Old Style"/>
          <w:i/>
          <w:sz w:val="22"/>
        </w:rPr>
      </w:pPr>
    </w:p>
    <w:p w14:paraId="22BA7410" w14:textId="77777777" w:rsidR="008E4483" w:rsidRPr="006C720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7201">
        <w:rPr>
          <w:rFonts w:ascii="Palatino Linotype" w:hAnsi="Palatino Linotype"/>
          <w:lang w:val="es-ES"/>
        </w:rPr>
        <w:t xml:space="preserve">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w:t>
      </w:r>
      <w:r w:rsidRPr="006C7201">
        <w:rPr>
          <w:rFonts w:ascii="Palatino Linotype" w:hAnsi="Palatino Linotype"/>
          <w:lang w:val="es-ES"/>
        </w:rPr>
        <w:lastRenderedPageBreak/>
        <w:t>principios de eficacia</w:t>
      </w:r>
      <w:r w:rsidRPr="006C7201">
        <w:rPr>
          <w:rStyle w:val="Refdenotaalpie"/>
          <w:lang w:val="es-ES"/>
        </w:rPr>
        <w:footnoteReference w:id="5"/>
      </w:r>
      <w:r w:rsidRPr="006C7201">
        <w:rPr>
          <w:rFonts w:ascii="Palatino Linotype" w:hAnsi="Palatino Linotype"/>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66034A79" w14:textId="77777777" w:rsidR="008E4483" w:rsidRPr="006C7201" w:rsidRDefault="008E4483" w:rsidP="008E4483">
      <w:pPr>
        <w:pStyle w:val="Prrafodelista"/>
        <w:tabs>
          <w:tab w:val="left" w:pos="851"/>
        </w:tabs>
        <w:spacing w:line="360" w:lineRule="auto"/>
        <w:ind w:left="0" w:right="49"/>
        <w:jc w:val="both"/>
        <w:rPr>
          <w:rFonts w:ascii="Palatino Linotype" w:hAnsi="Palatino Linotype"/>
          <w:lang w:val="es-ES"/>
        </w:rPr>
      </w:pPr>
    </w:p>
    <w:p w14:paraId="274CFACC" w14:textId="77777777" w:rsidR="008E4483" w:rsidRPr="006C720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7201">
        <w:rPr>
          <w:rFonts w:ascii="Palatino Linotype" w:hAnsi="Palatino Linotype"/>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F673109" w14:textId="77777777" w:rsidR="00F67E8B" w:rsidRPr="006C7201" w:rsidRDefault="00F67E8B" w:rsidP="00F67E8B">
      <w:pPr>
        <w:pStyle w:val="Prrafodelista"/>
        <w:rPr>
          <w:rFonts w:ascii="Palatino Linotype" w:hAnsi="Palatino Linotype"/>
          <w:lang w:val="es-ES"/>
        </w:rPr>
      </w:pPr>
    </w:p>
    <w:p w14:paraId="1C9461BC" w14:textId="77777777" w:rsidR="008E4483" w:rsidRPr="006C7201" w:rsidRDefault="008E4483" w:rsidP="001636EB">
      <w:pPr>
        <w:pStyle w:val="Prrafodelista"/>
        <w:tabs>
          <w:tab w:val="left" w:pos="851"/>
        </w:tabs>
        <w:spacing w:line="360" w:lineRule="auto"/>
        <w:ind w:left="567" w:right="567"/>
        <w:jc w:val="both"/>
        <w:rPr>
          <w:rFonts w:ascii="Palatino Linotype" w:hAnsi="Palatino Linotype"/>
          <w:i/>
          <w:sz w:val="22"/>
        </w:rPr>
      </w:pPr>
      <w:r w:rsidRPr="006C7201">
        <w:rPr>
          <w:rFonts w:ascii="Palatino Linotype" w:hAnsi="Palatino Linotype"/>
          <w:b/>
          <w:i/>
          <w:sz w:val="22"/>
        </w:rPr>
        <w:t>ACCESO A LA INFORMACIÓN. IMPLICACIÓN DEL PRINCIPIO DE MÁXIMA PUBLICIDAD EN EL DERECHO FUNDAMENTAL RELATIVO.</w:t>
      </w:r>
      <w:r w:rsidRPr="006C7201">
        <w:rPr>
          <w:rFonts w:ascii="Palatino Linotype" w:hAnsi="Palatino Linotype"/>
          <w:i/>
          <w:sz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w:t>
      </w:r>
      <w:r w:rsidRPr="006C7201">
        <w:rPr>
          <w:rFonts w:ascii="Palatino Linotype" w:hAnsi="Palatino Linotype"/>
          <w:i/>
          <w:sz w:val="22"/>
        </w:rPr>
        <w:lastRenderedPageBreak/>
        <w:t xml:space="preserve">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03762F0F" w14:textId="77777777" w:rsidR="008E4483" w:rsidRPr="006C7201" w:rsidRDefault="008E4483" w:rsidP="001636EB">
      <w:pPr>
        <w:pStyle w:val="Prrafodelista"/>
        <w:tabs>
          <w:tab w:val="left" w:pos="851"/>
        </w:tabs>
        <w:spacing w:line="360" w:lineRule="auto"/>
        <w:ind w:left="567" w:right="567"/>
        <w:jc w:val="both"/>
        <w:rPr>
          <w:rFonts w:ascii="Palatino Linotype" w:hAnsi="Palatino Linotype"/>
          <w:i/>
          <w:sz w:val="22"/>
        </w:rPr>
      </w:pPr>
    </w:p>
    <w:p w14:paraId="67F80A0B" w14:textId="77777777" w:rsidR="008E4483" w:rsidRPr="006C7201" w:rsidRDefault="008E4483" w:rsidP="001636EB">
      <w:pPr>
        <w:pStyle w:val="Prrafodelista"/>
        <w:tabs>
          <w:tab w:val="left" w:pos="851"/>
        </w:tabs>
        <w:spacing w:line="360" w:lineRule="auto"/>
        <w:ind w:left="567" w:right="567"/>
        <w:jc w:val="both"/>
        <w:rPr>
          <w:rFonts w:ascii="Palatino Linotype" w:hAnsi="Palatino Linotype"/>
          <w:i/>
          <w:sz w:val="22"/>
        </w:rPr>
      </w:pPr>
      <w:r w:rsidRPr="006C7201">
        <w:rPr>
          <w:rFonts w:ascii="Palatino Linotype" w:hAnsi="Palatino Linotype"/>
          <w:i/>
          <w:sz w:val="22"/>
        </w:rPr>
        <w:t xml:space="preserve">CUARTO TRIBUNAL COLEGIADO EN MATERIA ADMINISTRATIVA DEL PRIMER CIRCUITO. </w:t>
      </w:r>
    </w:p>
    <w:p w14:paraId="31A63FA8" w14:textId="77777777" w:rsidR="008E4483" w:rsidRPr="006C7201" w:rsidRDefault="008E4483" w:rsidP="001636EB">
      <w:pPr>
        <w:pStyle w:val="Prrafodelista"/>
        <w:tabs>
          <w:tab w:val="left" w:pos="851"/>
        </w:tabs>
        <w:spacing w:line="360" w:lineRule="auto"/>
        <w:ind w:left="567" w:right="567"/>
        <w:jc w:val="both"/>
        <w:rPr>
          <w:rFonts w:ascii="Palatino Linotype" w:hAnsi="Palatino Linotype"/>
          <w:i/>
          <w:sz w:val="22"/>
        </w:rPr>
      </w:pPr>
    </w:p>
    <w:p w14:paraId="51E4ECF1" w14:textId="77777777" w:rsidR="008E4483" w:rsidRPr="006C7201" w:rsidRDefault="008E4483" w:rsidP="001636EB">
      <w:pPr>
        <w:pStyle w:val="Prrafodelista"/>
        <w:tabs>
          <w:tab w:val="left" w:pos="851"/>
        </w:tabs>
        <w:spacing w:line="360" w:lineRule="auto"/>
        <w:ind w:left="567" w:right="567"/>
        <w:jc w:val="both"/>
        <w:rPr>
          <w:rFonts w:ascii="Palatino Linotype" w:hAnsi="Palatino Linotype"/>
          <w:i/>
          <w:sz w:val="22"/>
        </w:rPr>
      </w:pPr>
      <w:r w:rsidRPr="006C7201">
        <w:rPr>
          <w:rFonts w:ascii="Palatino Linotype" w:hAnsi="Palatino Linotype"/>
          <w:i/>
          <w:sz w:val="22"/>
        </w:rPr>
        <w:t>Amparo en revisión 257/2012. Ruth Corona Muñoz. 6 de diciembre de 2012. Unanimidad de votos. Ponente: Jean Claude Tron Petit. Secretaria: Mayra Susana Martínez López.</w:t>
      </w:r>
    </w:p>
    <w:p w14:paraId="5662BC61" w14:textId="77777777" w:rsidR="008E4483" w:rsidRPr="006C7201" w:rsidRDefault="008E4483" w:rsidP="008E4483">
      <w:pPr>
        <w:pStyle w:val="Prrafodelista"/>
        <w:tabs>
          <w:tab w:val="left" w:pos="851"/>
        </w:tabs>
        <w:ind w:left="567" w:right="567"/>
        <w:jc w:val="both"/>
        <w:rPr>
          <w:rFonts w:ascii="Palatino Linotype" w:hAnsi="Palatino Linotype"/>
          <w:i/>
          <w:lang w:val="es-ES"/>
        </w:rPr>
      </w:pPr>
    </w:p>
    <w:p w14:paraId="0461DD46" w14:textId="77777777" w:rsidR="008E4483" w:rsidRPr="006C7201" w:rsidRDefault="008E4483" w:rsidP="003B5FD2">
      <w:pPr>
        <w:pStyle w:val="Prrafodelista"/>
        <w:numPr>
          <w:ilvl w:val="0"/>
          <w:numId w:val="4"/>
        </w:numPr>
        <w:tabs>
          <w:tab w:val="left" w:pos="851"/>
        </w:tabs>
        <w:spacing w:line="360" w:lineRule="auto"/>
        <w:ind w:right="49"/>
        <w:jc w:val="both"/>
        <w:rPr>
          <w:rFonts w:ascii="Palatino Linotype" w:hAnsi="Palatino Linotype"/>
          <w:lang w:val="es-ES"/>
        </w:rPr>
      </w:pPr>
      <w:r w:rsidRPr="006C7201">
        <w:rPr>
          <w:rFonts w:ascii="Palatino Linotype" w:hAnsi="Palatino Linotype"/>
          <w:lang w:val="es-ES"/>
        </w:rPr>
        <w:t xml:space="preserve">Como se ha señalado, los Sujetos Obligados deberán proporcionar toda la información que se encuentre en su posesión bajo los estándares más altos de transparencia y máxima publicidad. </w:t>
      </w:r>
    </w:p>
    <w:p w14:paraId="397274E3" w14:textId="77777777" w:rsidR="008E4483" w:rsidRPr="006C7201" w:rsidRDefault="008E4483" w:rsidP="008E4483">
      <w:pPr>
        <w:tabs>
          <w:tab w:val="left" w:pos="851"/>
        </w:tabs>
        <w:spacing w:line="360" w:lineRule="auto"/>
        <w:ind w:right="49"/>
        <w:jc w:val="both"/>
        <w:rPr>
          <w:rFonts w:ascii="Palatino Linotype" w:hAnsi="Palatino Linotype"/>
          <w:lang w:val="es-ES"/>
        </w:rPr>
      </w:pPr>
    </w:p>
    <w:p w14:paraId="76FAF39D" w14:textId="5732E738" w:rsidR="008E4483" w:rsidRPr="006C7201" w:rsidRDefault="008E4483" w:rsidP="008E4483">
      <w:pPr>
        <w:pStyle w:val="Prrafodelista"/>
        <w:numPr>
          <w:ilvl w:val="0"/>
          <w:numId w:val="1"/>
        </w:numPr>
        <w:tabs>
          <w:tab w:val="left" w:pos="0"/>
        </w:tabs>
        <w:spacing w:line="360" w:lineRule="auto"/>
        <w:ind w:right="49"/>
        <w:jc w:val="both"/>
        <w:rPr>
          <w:rFonts w:ascii="Palatino Linotype" w:hAnsi="Palatino Linotype" w:cs="Arial"/>
          <w:lang w:eastAsia="es-MX"/>
        </w:rPr>
      </w:pPr>
      <w:r w:rsidRPr="006C7201">
        <w:rPr>
          <w:rFonts w:ascii="Palatino Linotype" w:hAnsi="Palatino Linotype" w:cs="Arial"/>
        </w:rPr>
        <w:t xml:space="preserve">Es pertinente enfatizar lo </w:t>
      </w:r>
      <w:r w:rsidR="007C4861" w:rsidRPr="006C7201">
        <w:rPr>
          <w:rFonts w:ascii="Palatino Linotype" w:hAnsi="Palatino Linotype" w:cs="Arial"/>
        </w:rPr>
        <w:t>que,</w:t>
      </w:r>
      <w:r w:rsidRPr="006C7201">
        <w:rPr>
          <w:rFonts w:ascii="Palatino Linotype" w:hAnsi="Palatino Linotype" w:cs="Arial"/>
        </w:rPr>
        <w:t xml:space="preserve"> respecto al derecho de acceso a la información pública, refiere el artículo 6° de la Constitución Política de los Estados Unidos Mexicanos, que en su parte conducente señala:</w:t>
      </w:r>
    </w:p>
    <w:p w14:paraId="61E5DFB2"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b/>
          <w:i/>
          <w:sz w:val="22"/>
        </w:rPr>
        <w:lastRenderedPageBreak/>
        <w:t>“Artículo 6o.</w:t>
      </w:r>
      <w:r w:rsidRPr="006C7201">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C7201">
        <w:rPr>
          <w:rFonts w:ascii="Palatino Linotype" w:hAnsi="Palatino Linotype" w:cs="Arial"/>
          <w:b/>
          <w:i/>
          <w:sz w:val="22"/>
        </w:rPr>
        <w:t>El derecho a la información será garantizado por el Estado.</w:t>
      </w:r>
      <w:r w:rsidRPr="006C7201">
        <w:rPr>
          <w:rFonts w:ascii="Palatino Linotype" w:hAnsi="Palatino Linotype" w:cs="Arial"/>
          <w:i/>
          <w:sz w:val="22"/>
        </w:rPr>
        <w:t xml:space="preserve"> </w:t>
      </w:r>
    </w:p>
    <w:p w14:paraId="4AC38F1F" w14:textId="77777777" w:rsidR="008E4483" w:rsidRPr="006C7201" w:rsidRDefault="008E4483" w:rsidP="001636EB">
      <w:pPr>
        <w:spacing w:line="360" w:lineRule="auto"/>
        <w:ind w:left="567" w:right="567"/>
        <w:jc w:val="both"/>
        <w:rPr>
          <w:rFonts w:ascii="Palatino Linotype" w:hAnsi="Palatino Linotype" w:cs="Arial"/>
          <w:i/>
          <w:sz w:val="22"/>
        </w:rPr>
      </w:pPr>
    </w:p>
    <w:p w14:paraId="4B5681D6"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0BFC5F5" w14:textId="77777777" w:rsidR="008E4483" w:rsidRPr="006C7201" w:rsidRDefault="008E4483" w:rsidP="001636EB">
      <w:pPr>
        <w:spacing w:line="360" w:lineRule="auto"/>
        <w:ind w:left="567" w:right="567"/>
        <w:jc w:val="both"/>
        <w:rPr>
          <w:rFonts w:ascii="Palatino Linotype" w:hAnsi="Palatino Linotype" w:cs="Arial"/>
          <w:i/>
          <w:sz w:val="22"/>
        </w:rPr>
      </w:pPr>
    </w:p>
    <w:p w14:paraId="681A3253"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Para efectos de lo dispuesto en el presente artículo se observará lo siguiente:</w:t>
      </w:r>
    </w:p>
    <w:p w14:paraId="500990B0" w14:textId="77777777" w:rsidR="008E4483" w:rsidRPr="006C7201" w:rsidRDefault="008E4483" w:rsidP="001636EB">
      <w:pPr>
        <w:spacing w:line="360" w:lineRule="auto"/>
        <w:ind w:left="567" w:right="567"/>
        <w:jc w:val="both"/>
        <w:rPr>
          <w:rFonts w:ascii="Palatino Linotype" w:hAnsi="Palatino Linotype" w:cs="Arial"/>
          <w:i/>
          <w:sz w:val="22"/>
        </w:rPr>
      </w:pPr>
    </w:p>
    <w:p w14:paraId="1A00976B"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23BD916E" w14:textId="77777777" w:rsidR="008E4483" w:rsidRPr="006C7201" w:rsidRDefault="008E4483" w:rsidP="001636EB">
      <w:pPr>
        <w:spacing w:line="360" w:lineRule="auto"/>
        <w:ind w:left="567" w:right="567"/>
        <w:jc w:val="both"/>
        <w:rPr>
          <w:rFonts w:ascii="Palatino Linotype" w:hAnsi="Palatino Linotype" w:cs="Arial"/>
          <w:b/>
          <w:i/>
          <w:sz w:val="22"/>
        </w:rPr>
      </w:pPr>
    </w:p>
    <w:p w14:paraId="3A80ED39"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b/>
          <w:i/>
          <w:sz w:val="22"/>
        </w:rPr>
        <w:t>I. Toda la información en posesión de</w:t>
      </w:r>
      <w:r w:rsidRPr="006C7201">
        <w:rPr>
          <w:rFonts w:ascii="Palatino Linotype" w:hAnsi="Palatino Linotype" w:cs="Arial"/>
          <w:i/>
          <w:sz w:val="22"/>
        </w:rPr>
        <w:t xml:space="preserve"> </w:t>
      </w:r>
      <w:r w:rsidRPr="006C7201">
        <w:rPr>
          <w:rFonts w:ascii="Palatino Linotype" w:hAnsi="Palatino Linotype" w:cs="Arial"/>
          <w:b/>
          <w:i/>
          <w:sz w:val="22"/>
        </w:rPr>
        <w:t>cualquier autoridad</w:t>
      </w:r>
      <w:r w:rsidRPr="006C7201">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6C7201">
        <w:rPr>
          <w:rFonts w:ascii="Palatino Linotype" w:hAnsi="Palatino Linotype" w:cs="Arial"/>
          <w:b/>
          <w:i/>
          <w:sz w:val="22"/>
        </w:rPr>
        <w:t>es pública</w:t>
      </w:r>
      <w:r w:rsidRPr="006C7201">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6C7201">
        <w:rPr>
          <w:rFonts w:ascii="Palatino Linotype" w:hAnsi="Palatino Linotype" w:cs="Arial"/>
          <w:b/>
          <w:i/>
          <w:sz w:val="22"/>
        </w:rPr>
        <w:t>Los sujetos obligados deberán documentar todo acto que derive del ejercicio de sus facultades, competencias o funciones</w:t>
      </w:r>
      <w:r w:rsidRPr="006C7201">
        <w:rPr>
          <w:rFonts w:ascii="Palatino Linotype" w:hAnsi="Palatino Linotype" w:cs="Arial"/>
          <w:i/>
          <w:sz w:val="22"/>
        </w:rPr>
        <w:t>, la ley determinará los supuestos específicos bajo los cuales procederá la declaración de inexistencia de la información.</w:t>
      </w:r>
    </w:p>
    <w:p w14:paraId="7F196963" w14:textId="77777777" w:rsidR="008E4483" w:rsidRPr="006C7201" w:rsidRDefault="008E4483" w:rsidP="001636EB">
      <w:pPr>
        <w:spacing w:line="360" w:lineRule="auto"/>
        <w:ind w:left="567" w:right="567"/>
        <w:jc w:val="both"/>
        <w:rPr>
          <w:rFonts w:ascii="Palatino Linotype" w:hAnsi="Palatino Linotype" w:cs="Arial"/>
          <w:i/>
          <w:sz w:val="22"/>
        </w:rPr>
      </w:pPr>
    </w:p>
    <w:p w14:paraId="0CECF853"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II. La información que se refiere a la vida privada y los datos personales será protegida en los términos y con las excepciones que fijen las leyes.</w:t>
      </w:r>
    </w:p>
    <w:p w14:paraId="79FF3747" w14:textId="77777777" w:rsidR="008E4483" w:rsidRPr="006C7201" w:rsidRDefault="008E4483" w:rsidP="001636EB">
      <w:pPr>
        <w:spacing w:line="360" w:lineRule="auto"/>
        <w:ind w:left="567" w:right="567"/>
        <w:jc w:val="both"/>
        <w:rPr>
          <w:rFonts w:ascii="Palatino Linotype" w:hAnsi="Palatino Linotype" w:cs="Arial"/>
          <w:i/>
          <w:sz w:val="22"/>
        </w:rPr>
      </w:pPr>
    </w:p>
    <w:p w14:paraId="4EF8A8A9"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6B3DA0" w14:textId="77777777" w:rsidR="008E4483" w:rsidRPr="006C7201" w:rsidRDefault="008E4483" w:rsidP="001636EB">
      <w:pPr>
        <w:spacing w:line="360" w:lineRule="auto"/>
        <w:ind w:left="567" w:right="567"/>
        <w:jc w:val="both"/>
        <w:rPr>
          <w:rFonts w:ascii="Palatino Linotype" w:hAnsi="Palatino Linotype" w:cs="Arial"/>
          <w:i/>
          <w:sz w:val="22"/>
        </w:rPr>
      </w:pPr>
    </w:p>
    <w:p w14:paraId="112801FD"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46E0F8BD" w14:textId="77777777" w:rsidR="008E4483" w:rsidRPr="006C7201" w:rsidRDefault="008E4483" w:rsidP="001636EB">
      <w:pPr>
        <w:spacing w:line="360" w:lineRule="auto"/>
        <w:ind w:left="567" w:right="567"/>
        <w:jc w:val="both"/>
        <w:rPr>
          <w:rFonts w:ascii="Palatino Linotype" w:hAnsi="Palatino Linotype" w:cs="Arial"/>
          <w:b/>
          <w:i/>
          <w:sz w:val="22"/>
        </w:rPr>
      </w:pPr>
    </w:p>
    <w:p w14:paraId="3FB33C7B"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b/>
          <w:i/>
          <w:sz w:val="22"/>
        </w:rPr>
        <w:t>V. Los sujetos obligados deberán preservar sus documentos en archivos administrativos actualizados y publicarán, a través de los medios electrónicos disponibles</w:t>
      </w:r>
      <w:r w:rsidRPr="006C7201">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5A242202" w14:textId="77777777" w:rsidR="008E4483" w:rsidRPr="006C7201" w:rsidRDefault="008E4483" w:rsidP="001636EB">
      <w:pPr>
        <w:spacing w:line="360" w:lineRule="auto"/>
        <w:ind w:left="567" w:right="567"/>
        <w:jc w:val="both"/>
        <w:rPr>
          <w:rFonts w:ascii="Palatino Linotype" w:hAnsi="Palatino Linotype" w:cs="Arial"/>
          <w:i/>
          <w:sz w:val="22"/>
        </w:rPr>
      </w:pPr>
    </w:p>
    <w:p w14:paraId="37399313"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36CC0C68" w14:textId="77777777" w:rsidR="008E4483" w:rsidRPr="006C7201" w:rsidRDefault="008E4483" w:rsidP="001636EB">
      <w:pPr>
        <w:spacing w:line="360" w:lineRule="auto"/>
        <w:ind w:left="567" w:right="567"/>
        <w:jc w:val="both"/>
        <w:rPr>
          <w:rFonts w:ascii="Palatino Linotype" w:hAnsi="Palatino Linotype" w:cs="Arial"/>
          <w:i/>
          <w:sz w:val="22"/>
        </w:rPr>
      </w:pPr>
    </w:p>
    <w:p w14:paraId="4D04B6B7"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VII. La inobservancia a las disposiciones en materia de acceso a la información pública será sancionada en los términos que dispongan las leyes.</w:t>
      </w:r>
    </w:p>
    <w:p w14:paraId="48E26884" w14:textId="77777777" w:rsidR="008E4483" w:rsidRPr="006C7201" w:rsidRDefault="008E4483" w:rsidP="001636EB">
      <w:pPr>
        <w:spacing w:line="360" w:lineRule="auto"/>
        <w:ind w:left="567" w:right="567"/>
        <w:jc w:val="both"/>
        <w:rPr>
          <w:rFonts w:ascii="Palatino Linotype" w:hAnsi="Palatino Linotype" w:cs="Arial"/>
          <w:i/>
          <w:sz w:val="22"/>
        </w:rPr>
      </w:pPr>
    </w:p>
    <w:p w14:paraId="30D06838"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 xml:space="preserve">VIII. Federación contará con un organismo autónomo, especializado, imparcial, colegiado, con personalidad jurídica y patrimonio propio, con plena autonomía técnica, </w:t>
      </w:r>
      <w:r w:rsidRPr="006C7201">
        <w:rPr>
          <w:rFonts w:ascii="Palatino Linotype" w:hAnsi="Palatino Linotype" w:cs="Arial"/>
          <w:i/>
          <w:sz w:val="22"/>
        </w:rPr>
        <w:lastRenderedPageBreak/>
        <w:t>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463B0522"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w:t>
      </w:r>
    </w:p>
    <w:p w14:paraId="6140CC8E"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cs="Arial"/>
          <w:i/>
          <w:sz w:val="22"/>
        </w:rPr>
        <w:t>La ley establecerá aquella información que se considere reservada o confidencial.”</w:t>
      </w:r>
    </w:p>
    <w:p w14:paraId="0DF4504F" w14:textId="77777777" w:rsidR="008E4483" w:rsidRPr="006C7201" w:rsidRDefault="008E4483" w:rsidP="001636EB">
      <w:pPr>
        <w:spacing w:line="360" w:lineRule="auto"/>
        <w:ind w:left="567" w:right="567"/>
        <w:jc w:val="both"/>
        <w:rPr>
          <w:rFonts w:ascii="Palatino Linotype" w:hAnsi="Palatino Linotype"/>
          <w:i/>
          <w:sz w:val="22"/>
        </w:rPr>
      </w:pPr>
    </w:p>
    <w:p w14:paraId="70B9AFAD"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(Énfasis añadido)</w:t>
      </w:r>
    </w:p>
    <w:p w14:paraId="1E957CE8" w14:textId="77777777" w:rsidR="008E4483" w:rsidRPr="006C7201" w:rsidRDefault="008E4483" w:rsidP="008E4483">
      <w:pPr>
        <w:spacing w:line="360" w:lineRule="auto"/>
        <w:ind w:left="709" w:right="757"/>
        <w:jc w:val="both"/>
        <w:rPr>
          <w:rFonts w:ascii="Palatino Linotype" w:hAnsi="Palatino Linotype"/>
        </w:rPr>
      </w:pPr>
    </w:p>
    <w:p w14:paraId="67E589E6" w14:textId="77777777" w:rsidR="008E4483" w:rsidRPr="006C7201" w:rsidRDefault="008E4483" w:rsidP="008E4483">
      <w:pPr>
        <w:pStyle w:val="Prrafodelista"/>
        <w:numPr>
          <w:ilvl w:val="0"/>
          <w:numId w:val="1"/>
        </w:numPr>
        <w:spacing w:line="360" w:lineRule="auto"/>
        <w:jc w:val="both"/>
        <w:rPr>
          <w:rFonts w:ascii="Palatino Linotype" w:hAnsi="Palatino Linotype" w:cs="Arial"/>
        </w:rPr>
      </w:pPr>
      <w:r w:rsidRPr="006C7201">
        <w:rPr>
          <w:rFonts w:ascii="Palatino Linotype" w:hAnsi="Palatino Linotype" w:cs="Arial"/>
        </w:rPr>
        <w:t>Por su parte, la Constitución Política del Estado Libre y Soberano de México, en su artículo 5°, dispone en su parte conducente, lo siguiente:</w:t>
      </w:r>
    </w:p>
    <w:p w14:paraId="6BE8308B" w14:textId="77777777" w:rsidR="008E4483" w:rsidRPr="006C7201" w:rsidRDefault="008E4483" w:rsidP="008E4483">
      <w:pPr>
        <w:spacing w:line="360" w:lineRule="auto"/>
        <w:ind w:left="709" w:right="757"/>
        <w:jc w:val="both"/>
        <w:rPr>
          <w:rFonts w:ascii="Palatino Linotype" w:hAnsi="Palatino Linotype" w:cs="Arial"/>
        </w:rPr>
      </w:pPr>
    </w:p>
    <w:p w14:paraId="459B253A" w14:textId="77777777" w:rsidR="008E4483" w:rsidRPr="006C7201" w:rsidRDefault="008E4483" w:rsidP="001636EB">
      <w:pPr>
        <w:spacing w:line="360" w:lineRule="auto"/>
        <w:ind w:left="567" w:right="567"/>
        <w:jc w:val="both"/>
        <w:rPr>
          <w:rFonts w:ascii="Palatino Linotype" w:hAnsi="Palatino Linotype" w:cs="Arial"/>
          <w:b/>
          <w:i/>
          <w:sz w:val="22"/>
        </w:rPr>
      </w:pPr>
      <w:r w:rsidRPr="006C7201">
        <w:rPr>
          <w:rFonts w:ascii="Palatino Linotype" w:hAnsi="Palatino Linotype" w:cs="Arial"/>
          <w:b/>
          <w:i/>
          <w:sz w:val="22"/>
        </w:rPr>
        <w:t xml:space="preserve">“Artículo 5. … </w:t>
      </w:r>
    </w:p>
    <w:p w14:paraId="6BF00F17"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b/>
          <w:i/>
          <w:sz w:val="22"/>
        </w:rPr>
        <w:t>El derecho a la información será garantizado por el Estado</w:t>
      </w:r>
      <w:r w:rsidRPr="006C7201">
        <w:rPr>
          <w:rFonts w:ascii="Palatino Linotype" w:hAnsi="Palatino Linotype"/>
          <w:i/>
          <w:sz w:val="22"/>
        </w:rPr>
        <w:t xml:space="preserve">. La ley establecerá las previsiones que permitan asegurar la protección, el respeto y la difusión de este derecho. </w:t>
      </w:r>
    </w:p>
    <w:p w14:paraId="737FCA35"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087D3FFB" w14:textId="77777777" w:rsidR="008E4483" w:rsidRPr="006C7201" w:rsidRDefault="008E4483" w:rsidP="001636EB">
      <w:pPr>
        <w:spacing w:line="360" w:lineRule="auto"/>
        <w:ind w:left="567" w:right="567"/>
        <w:jc w:val="both"/>
        <w:rPr>
          <w:rFonts w:ascii="Palatino Linotype" w:hAnsi="Palatino Linotype"/>
          <w:i/>
          <w:sz w:val="22"/>
        </w:rPr>
      </w:pPr>
    </w:p>
    <w:p w14:paraId="480C22E0"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Este derecho se regirá por los principios y bases siguientes:</w:t>
      </w:r>
    </w:p>
    <w:p w14:paraId="14A2C90A" w14:textId="77777777" w:rsidR="008E4483" w:rsidRPr="006C7201" w:rsidRDefault="008E4483" w:rsidP="001636EB">
      <w:pPr>
        <w:spacing w:line="360" w:lineRule="auto"/>
        <w:ind w:left="567" w:right="567"/>
        <w:jc w:val="both"/>
        <w:rPr>
          <w:rFonts w:ascii="Palatino Linotype" w:hAnsi="Palatino Linotype"/>
          <w:b/>
          <w:i/>
          <w:sz w:val="22"/>
        </w:rPr>
      </w:pPr>
    </w:p>
    <w:p w14:paraId="44073A0F"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b/>
          <w:i/>
          <w:sz w:val="22"/>
        </w:rPr>
        <w:t xml:space="preserve">I. Toda la información en posesión </w:t>
      </w:r>
      <w:r w:rsidRPr="006C7201">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6C7201">
        <w:rPr>
          <w:rFonts w:ascii="Palatino Linotype" w:hAnsi="Palatino Linotype"/>
          <w:b/>
          <w:i/>
          <w:sz w:val="22"/>
        </w:rPr>
        <w:t>del gobierno y de la administración pública municipal y sus organismos descentralizados</w:t>
      </w:r>
      <w:r w:rsidRPr="006C7201">
        <w:rPr>
          <w:rFonts w:ascii="Palatino Linotype" w:hAnsi="Palatino Linotype"/>
          <w:i/>
          <w:sz w:val="22"/>
        </w:rPr>
        <w:t xml:space="preserve">, </w:t>
      </w:r>
      <w:r w:rsidRPr="006C7201">
        <w:rPr>
          <w:rFonts w:ascii="Palatino Linotype" w:hAnsi="Palatino Linotype"/>
          <w:i/>
          <w:sz w:val="22"/>
        </w:rPr>
        <w:lastRenderedPageBreak/>
        <w:t xml:space="preserve">asimismo de cualquier persona física, jurídica colectiva o sindicato que reciba y ejerza recursos públicos o realice actos de autoridad en el ámbito estatal y municipal, </w:t>
      </w:r>
      <w:r w:rsidRPr="006C7201">
        <w:rPr>
          <w:rFonts w:ascii="Palatino Linotype" w:hAnsi="Palatino Linotype"/>
          <w:b/>
          <w:i/>
          <w:sz w:val="22"/>
        </w:rPr>
        <w:t>es pública</w:t>
      </w:r>
      <w:r w:rsidRPr="006C7201">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44B187B" w14:textId="77777777" w:rsidR="008E4483" w:rsidRPr="006C7201" w:rsidRDefault="008E4483" w:rsidP="001636EB">
      <w:pPr>
        <w:spacing w:line="360" w:lineRule="auto"/>
        <w:ind w:left="567" w:right="567"/>
        <w:jc w:val="both"/>
        <w:rPr>
          <w:rFonts w:ascii="Palatino Linotype" w:hAnsi="Palatino Linotype"/>
          <w:i/>
          <w:sz w:val="22"/>
        </w:rPr>
      </w:pPr>
    </w:p>
    <w:p w14:paraId="2FF70804"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32FB596C" w14:textId="77777777" w:rsidR="008E4483" w:rsidRPr="006C7201" w:rsidRDefault="008E4483" w:rsidP="001636EB">
      <w:pPr>
        <w:spacing w:line="360" w:lineRule="auto"/>
        <w:ind w:left="567" w:right="567"/>
        <w:jc w:val="both"/>
        <w:rPr>
          <w:rFonts w:ascii="Palatino Linotype" w:hAnsi="Palatino Linotype"/>
          <w:i/>
          <w:sz w:val="22"/>
        </w:rPr>
      </w:pPr>
    </w:p>
    <w:p w14:paraId="6FA24126"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3EAA427F" w14:textId="77777777" w:rsidR="008E4483" w:rsidRPr="006C7201" w:rsidRDefault="008E4483" w:rsidP="001636EB">
      <w:pPr>
        <w:spacing w:line="360" w:lineRule="auto"/>
        <w:ind w:left="567" w:right="567"/>
        <w:jc w:val="both"/>
        <w:rPr>
          <w:rFonts w:ascii="Palatino Linotype" w:hAnsi="Palatino Linotype"/>
          <w:i/>
          <w:sz w:val="22"/>
        </w:rPr>
      </w:pPr>
    </w:p>
    <w:p w14:paraId="24C5C6FF"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526FFBB4" w14:textId="77777777" w:rsidR="008E4483" w:rsidRPr="006C7201" w:rsidRDefault="008E4483" w:rsidP="001636EB">
      <w:pPr>
        <w:spacing w:line="360" w:lineRule="auto"/>
        <w:ind w:left="567" w:right="567"/>
        <w:jc w:val="both"/>
        <w:rPr>
          <w:rFonts w:ascii="Palatino Linotype" w:hAnsi="Palatino Linotype"/>
          <w:i/>
          <w:sz w:val="22"/>
        </w:rPr>
      </w:pPr>
    </w:p>
    <w:p w14:paraId="2D1804C7"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i/>
          <w:sz w:val="22"/>
        </w:rPr>
        <w:t xml:space="preserve">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w:t>
      </w:r>
      <w:r w:rsidRPr="006C7201">
        <w:rPr>
          <w:rFonts w:ascii="Palatino Linotype" w:hAnsi="Palatino Linotype"/>
          <w:i/>
          <w:sz w:val="22"/>
        </w:rPr>
        <w:lastRenderedPageBreak/>
        <w:t>de su competencia. Las resoluciones que correspondan a estos procedimientos se sistematizarán para favorecer su consulta.</w:t>
      </w:r>
    </w:p>
    <w:p w14:paraId="0D7C1EB6" w14:textId="77777777" w:rsidR="008E4483" w:rsidRPr="006C7201" w:rsidRDefault="008E4483" w:rsidP="001636EB">
      <w:pPr>
        <w:spacing w:line="360" w:lineRule="auto"/>
        <w:ind w:left="567" w:right="567"/>
        <w:jc w:val="both"/>
        <w:rPr>
          <w:rFonts w:ascii="Palatino Linotype" w:hAnsi="Palatino Linotype"/>
          <w:b/>
          <w:i/>
          <w:sz w:val="22"/>
        </w:rPr>
      </w:pPr>
    </w:p>
    <w:p w14:paraId="6DB2EC7A" w14:textId="77777777" w:rsidR="008E4483" w:rsidRPr="006C7201" w:rsidRDefault="008E4483" w:rsidP="001636EB">
      <w:pPr>
        <w:spacing w:line="360" w:lineRule="auto"/>
        <w:ind w:left="567" w:right="567"/>
        <w:jc w:val="both"/>
        <w:rPr>
          <w:rFonts w:ascii="Palatino Linotype" w:hAnsi="Palatino Linotype"/>
          <w:i/>
          <w:sz w:val="22"/>
        </w:rPr>
      </w:pPr>
      <w:r w:rsidRPr="006C7201">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6C7201">
        <w:rPr>
          <w:rFonts w:ascii="Palatino Linotype" w:hAnsi="Palatino Linotype"/>
          <w:i/>
          <w:sz w:val="22"/>
        </w:rPr>
        <w:t xml:space="preserve"> y los indicadores que permitan rendir cuenta del cumplimiento de sus objetivos y los resultados obtenidos.</w:t>
      </w:r>
    </w:p>
    <w:p w14:paraId="042705A7" w14:textId="77777777" w:rsidR="008E4483" w:rsidRPr="006C7201" w:rsidRDefault="008E4483" w:rsidP="001636EB">
      <w:pPr>
        <w:spacing w:line="360" w:lineRule="auto"/>
        <w:ind w:left="567" w:right="567"/>
        <w:jc w:val="both"/>
        <w:rPr>
          <w:rFonts w:ascii="Palatino Linotype" w:hAnsi="Palatino Linotype"/>
          <w:i/>
          <w:sz w:val="22"/>
        </w:rPr>
      </w:pPr>
    </w:p>
    <w:p w14:paraId="6810788F" w14:textId="77777777" w:rsidR="008E4483" w:rsidRPr="006C7201" w:rsidRDefault="008E4483" w:rsidP="001636EB">
      <w:pPr>
        <w:spacing w:line="360" w:lineRule="auto"/>
        <w:ind w:left="567" w:right="567"/>
        <w:jc w:val="both"/>
        <w:rPr>
          <w:rFonts w:ascii="Palatino Linotype" w:hAnsi="Palatino Linotype" w:cs="Arial"/>
          <w:i/>
          <w:sz w:val="22"/>
        </w:rPr>
      </w:pPr>
      <w:r w:rsidRPr="006C7201">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AEDFC2F" w14:textId="77777777" w:rsidR="008E4483" w:rsidRPr="006C7201" w:rsidRDefault="008E4483" w:rsidP="001636EB">
      <w:pPr>
        <w:spacing w:line="360" w:lineRule="auto"/>
        <w:ind w:left="567" w:right="567"/>
        <w:jc w:val="both"/>
        <w:rPr>
          <w:rFonts w:ascii="Palatino Linotype" w:hAnsi="Palatino Linotype"/>
          <w:sz w:val="22"/>
        </w:rPr>
      </w:pPr>
    </w:p>
    <w:p w14:paraId="76F0890A" w14:textId="77777777" w:rsidR="008E4483" w:rsidRPr="006C7201" w:rsidRDefault="008E4483" w:rsidP="001636EB">
      <w:pPr>
        <w:spacing w:line="360" w:lineRule="auto"/>
        <w:ind w:left="567" w:right="567"/>
        <w:jc w:val="both"/>
        <w:rPr>
          <w:rFonts w:ascii="Palatino Linotype" w:hAnsi="Palatino Linotype"/>
          <w:sz w:val="22"/>
        </w:rPr>
      </w:pPr>
      <w:r w:rsidRPr="006C7201">
        <w:rPr>
          <w:rFonts w:ascii="Palatino Linotype" w:hAnsi="Palatino Linotype"/>
          <w:sz w:val="22"/>
        </w:rPr>
        <w:t>(Énfasis añadido)</w:t>
      </w:r>
    </w:p>
    <w:p w14:paraId="04C6290A" w14:textId="77777777" w:rsidR="008E4483" w:rsidRPr="006C7201" w:rsidRDefault="008E4483" w:rsidP="008E4483">
      <w:pPr>
        <w:spacing w:line="360" w:lineRule="auto"/>
        <w:ind w:left="567" w:right="567"/>
        <w:jc w:val="both"/>
        <w:rPr>
          <w:rFonts w:ascii="Palatino Linotype" w:hAnsi="Palatino Linotype"/>
          <w:sz w:val="22"/>
        </w:rPr>
      </w:pPr>
    </w:p>
    <w:p w14:paraId="41212765" w14:textId="222A8AD4" w:rsidR="008E4483" w:rsidRPr="006C7201" w:rsidRDefault="008E4483" w:rsidP="008E4483">
      <w:pPr>
        <w:pStyle w:val="Prrafodelista"/>
        <w:numPr>
          <w:ilvl w:val="0"/>
          <w:numId w:val="1"/>
        </w:numPr>
        <w:spacing w:line="360" w:lineRule="auto"/>
        <w:jc w:val="both"/>
        <w:rPr>
          <w:rFonts w:ascii="Palatino Linotype" w:hAnsi="Palatino Linotype" w:cs="Arial"/>
        </w:rPr>
      </w:pPr>
      <w:r w:rsidRPr="006C7201">
        <w:rPr>
          <w:rFonts w:ascii="Palatino Linotype" w:hAnsi="Palatino Linotype" w:cs="Arial"/>
        </w:rPr>
        <w:t>Adicional, tenemos que la Ley de Transparencia y Acceso a la Información Pública del Estado de México y Municipios, prevé en su artículo 23 fracción I</w:t>
      </w:r>
      <w:r w:rsidR="00F67E8B" w:rsidRPr="006C7201">
        <w:rPr>
          <w:rFonts w:ascii="Palatino Linotype" w:hAnsi="Palatino Linotype" w:cs="Arial"/>
        </w:rPr>
        <w:t>V</w:t>
      </w:r>
      <w:r w:rsidRPr="006C7201">
        <w:rPr>
          <w:rFonts w:ascii="Palatino Linotype" w:hAnsi="Palatino Linotype" w:cs="Arial"/>
        </w:rPr>
        <w:t>, lo siguiente:</w:t>
      </w:r>
    </w:p>
    <w:p w14:paraId="2FF12176" w14:textId="77777777" w:rsidR="008E4483" w:rsidRPr="006C7201" w:rsidRDefault="008E4483" w:rsidP="008E4483">
      <w:pPr>
        <w:spacing w:line="360" w:lineRule="auto"/>
        <w:jc w:val="both"/>
        <w:rPr>
          <w:rFonts w:ascii="Palatino Linotype" w:hAnsi="Palatino Linotype" w:cs="Arial"/>
        </w:rPr>
      </w:pPr>
    </w:p>
    <w:p w14:paraId="509D888E" w14:textId="77777777" w:rsidR="008E4483" w:rsidRPr="006C7201" w:rsidRDefault="008E4483" w:rsidP="001636EB">
      <w:pPr>
        <w:spacing w:line="360" w:lineRule="auto"/>
        <w:ind w:left="567" w:right="822"/>
        <w:jc w:val="both"/>
        <w:rPr>
          <w:rFonts w:ascii="Palatino Linotype" w:eastAsia="MS Mincho" w:hAnsi="Palatino Linotype" w:cs="Arial"/>
          <w:i/>
          <w:sz w:val="22"/>
          <w:szCs w:val="22"/>
        </w:rPr>
      </w:pPr>
      <w:r w:rsidRPr="006C7201">
        <w:rPr>
          <w:rFonts w:ascii="Palatino Linotype" w:eastAsia="MS Mincho" w:hAnsi="Palatino Linotype" w:cs="Arial"/>
          <w:b/>
          <w:i/>
          <w:sz w:val="22"/>
          <w:szCs w:val="22"/>
        </w:rPr>
        <w:t xml:space="preserve">“Artículo 23. Son sujetos obligados a transparentar y permitir el acceso a su información y </w:t>
      </w:r>
      <w:r w:rsidRPr="006C7201">
        <w:rPr>
          <w:rFonts w:ascii="Palatino Linotype" w:eastAsia="MS Mincho" w:hAnsi="Palatino Linotype"/>
          <w:b/>
          <w:i/>
          <w:sz w:val="22"/>
          <w:szCs w:val="22"/>
        </w:rPr>
        <w:t>proteger</w:t>
      </w:r>
      <w:r w:rsidRPr="006C7201">
        <w:rPr>
          <w:rFonts w:ascii="Palatino Linotype" w:eastAsia="MS Mincho" w:hAnsi="Palatino Linotype" w:cs="Arial"/>
          <w:b/>
          <w:i/>
          <w:sz w:val="22"/>
          <w:szCs w:val="22"/>
        </w:rPr>
        <w:t xml:space="preserve"> los datos personales que obren en su poder</w:t>
      </w:r>
      <w:r w:rsidRPr="006C7201">
        <w:rPr>
          <w:rFonts w:ascii="Palatino Linotype" w:eastAsia="MS Mincho" w:hAnsi="Palatino Linotype" w:cs="Arial"/>
          <w:i/>
          <w:sz w:val="22"/>
          <w:szCs w:val="22"/>
        </w:rPr>
        <w:t>:</w:t>
      </w:r>
    </w:p>
    <w:p w14:paraId="0882C78D" w14:textId="1A75542A" w:rsidR="00F67E8B" w:rsidRPr="006C7201" w:rsidRDefault="00F67E8B" w:rsidP="001636EB">
      <w:pPr>
        <w:spacing w:line="360" w:lineRule="auto"/>
        <w:ind w:left="567" w:right="822"/>
        <w:jc w:val="both"/>
        <w:rPr>
          <w:rFonts w:ascii="Palatino Linotype" w:eastAsia="MS Mincho" w:hAnsi="Palatino Linotype" w:cs="Arial"/>
          <w:i/>
          <w:sz w:val="22"/>
          <w:szCs w:val="22"/>
        </w:rPr>
      </w:pPr>
      <w:r w:rsidRPr="006C7201">
        <w:rPr>
          <w:rFonts w:ascii="Palatino Linotype" w:eastAsia="MS Mincho" w:hAnsi="Palatino Linotype" w:cs="Arial"/>
          <w:i/>
          <w:sz w:val="22"/>
          <w:szCs w:val="22"/>
        </w:rPr>
        <w:t>…</w:t>
      </w:r>
    </w:p>
    <w:p w14:paraId="50BCAC8D" w14:textId="77777777" w:rsidR="00F67E8B" w:rsidRPr="006C7201" w:rsidRDefault="00F67E8B" w:rsidP="001636EB">
      <w:pPr>
        <w:spacing w:line="360" w:lineRule="auto"/>
        <w:ind w:left="567" w:right="822"/>
        <w:jc w:val="both"/>
        <w:rPr>
          <w:rFonts w:ascii="Palatino Linotype" w:hAnsi="Palatino Linotype"/>
          <w:i/>
          <w:sz w:val="22"/>
        </w:rPr>
      </w:pPr>
      <w:r w:rsidRPr="006C7201">
        <w:rPr>
          <w:rFonts w:ascii="Palatino Linotype" w:hAnsi="Palatino Linotype"/>
          <w:i/>
          <w:sz w:val="22"/>
        </w:rPr>
        <w:t xml:space="preserve">IV. Los ayuntamientos y las dependencias, organismos, órganos y entidades de la administración municipal; </w:t>
      </w:r>
    </w:p>
    <w:p w14:paraId="273927D8" w14:textId="71348FEF" w:rsidR="008E4483" w:rsidRPr="006C7201" w:rsidRDefault="008E4483" w:rsidP="001636EB">
      <w:pPr>
        <w:spacing w:line="360" w:lineRule="auto"/>
        <w:ind w:left="567" w:right="822"/>
        <w:jc w:val="both"/>
        <w:rPr>
          <w:rFonts w:ascii="Palatino Linotype" w:eastAsia="MS Mincho" w:hAnsi="Palatino Linotype" w:cs="Arial"/>
          <w:b/>
          <w:i/>
          <w:sz w:val="22"/>
          <w:szCs w:val="22"/>
        </w:rPr>
      </w:pPr>
      <w:r w:rsidRPr="006C7201">
        <w:rPr>
          <w:rFonts w:ascii="Palatino Linotype" w:eastAsia="MS Mincho" w:hAnsi="Palatino Linotype" w:cs="Arial"/>
          <w:b/>
          <w:i/>
          <w:sz w:val="22"/>
          <w:szCs w:val="22"/>
        </w:rPr>
        <w:t>…</w:t>
      </w:r>
    </w:p>
    <w:p w14:paraId="56BA427D" w14:textId="77777777" w:rsidR="008E4483" w:rsidRPr="006C7201" w:rsidRDefault="008E4483" w:rsidP="001636EB">
      <w:pPr>
        <w:spacing w:line="360" w:lineRule="auto"/>
        <w:ind w:left="567" w:right="822"/>
        <w:jc w:val="both"/>
        <w:rPr>
          <w:rFonts w:ascii="Palatino Linotype" w:eastAsia="MS Mincho" w:hAnsi="Palatino Linotype"/>
          <w:b/>
          <w:i/>
          <w:sz w:val="22"/>
          <w:szCs w:val="22"/>
        </w:rPr>
      </w:pPr>
      <w:r w:rsidRPr="006C7201">
        <w:rPr>
          <w:rFonts w:ascii="Palatino Linotype" w:eastAsia="MS Mincho" w:hAnsi="Palatino Linotype"/>
          <w:b/>
          <w:i/>
          <w:sz w:val="22"/>
          <w:szCs w:val="22"/>
        </w:rPr>
        <w:lastRenderedPageBreak/>
        <w:t>Los sujetos obligados deberán hacer pública toda aquella información relativa a los montos y las personas a quienes entreguen, por cualquier motivo, recursos públicos</w:t>
      </w:r>
      <w:r w:rsidRPr="006C7201">
        <w:rPr>
          <w:rFonts w:ascii="Palatino Linotype" w:eastAsia="MS Mincho" w:hAnsi="Palatino Linotype"/>
          <w:i/>
          <w:sz w:val="22"/>
          <w:szCs w:val="22"/>
        </w:rPr>
        <w:t xml:space="preserve">, </w:t>
      </w:r>
      <w:r w:rsidRPr="006C7201">
        <w:rPr>
          <w:rFonts w:ascii="Palatino Linotype" w:eastAsia="MS Mincho" w:hAnsi="Palatino Linotype"/>
          <w:b/>
          <w:i/>
          <w:sz w:val="22"/>
          <w:szCs w:val="22"/>
        </w:rPr>
        <w:t>así como</w:t>
      </w:r>
      <w:r w:rsidRPr="006C7201">
        <w:rPr>
          <w:rFonts w:ascii="Palatino Linotype" w:eastAsia="MS Mincho" w:hAnsi="Palatino Linotype"/>
          <w:i/>
          <w:sz w:val="22"/>
          <w:szCs w:val="22"/>
        </w:rPr>
        <w:t xml:space="preserve"> </w:t>
      </w:r>
      <w:r w:rsidRPr="006C7201">
        <w:rPr>
          <w:rFonts w:ascii="Palatino Linotype" w:eastAsia="MS Mincho" w:hAnsi="Palatino Linotype"/>
          <w:b/>
          <w:i/>
          <w:sz w:val="22"/>
          <w:szCs w:val="22"/>
        </w:rPr>
        <w:t>los informes que dichas personas les entreguen sobre el uso y destino de dichos recursos.</w:t>
      </w:r>
    </w:p>
    <w:p w14:paraId="42959804" w14:textId="77777777" w:rsidR="008E4483" w:rsidRPr="006C7201" w:rsidRDefault="008E4483" w:rsidP="001636EB">
      <w:pPr>
        <w:spacing w:line="360" w:lineRule="auto"/>
        <w:ind w:left="567" w:right="822"/>
        <w:jc w:val="both"/>
        <w:rPr>
          <w:rFonts w:ascii="Palatino Linotype" w:eastAsia="MS Mincho" w:hAnsi="Palatino Linotype"/>
          <w:b/>
          <w:i/>
          <w:sz w:val="22"/>
          <w:szCs w:val="22"/>
        </w:rPr>
      </w:pPr>
    </w:p>
    <w:p w14:paraId="7FF5ACCA" w14:textId="77777777" w:rsidR="008E4483" w:rsidRPr="006C7201" w:rsidRDefault="008E4483" w:rsidP="001636EB">
      <w:pPr>
        <w:spacing w:line="360" w:lineRule="auto"/>
        <w:ind w:left="567" w:right="822"/>
        <w:jc w:val="both"/>
        <w:rPr>
          <w:rFonts w:ascii="Palatino Linotype" w:eastAsia="MS Mincho" w:hAnsi="Palatino Linotype" w:cs="Arial"/>
          <w:i/>
          <w:sz w:val="22"/>
          <w:szCs w:val="22"/>
        </w:rPr>
      </w:pPr>
      <w:r w:rsidRPr="006C7201">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0EF2AB56" w14:textId="77777777" w:rsidR="008E4483" w:rsidRPr="006C7201" w:rsidRDefault="008E4483" w:rsidP="001636EB">
      <w:pPr>
        <w:spacing w:line="360" w:lineRule="auto"/>
        <w:ind w:left="567" w:right="822"/>
        <w:jc w:val="both"/>
        <w:rPr>
          <w:rFonts w:ascii="Palatino Linotype" w:eastAsia="MS Mincho" w:hAnsi="Palatino Linotype" w:cs="Arial"/>
          <w:i/>
          <w:sz w:val="22"/>
          <w:szCs w:val="22"/>
        </w:rPr>
      </w:pPr>
      <w:r w:rsidRPr="006C7201">
        <w:rPr>
          <w:rFonts w:ascii="Palatino Linotype" w:eastAsia="MS Mincho" w:hAnsi="Palatino Linotype" w:cs="Arial"/>
          <w:i/>
          <w:sz w:val="22"/>
          <w:szCs w:val="22"/>
        </w:rPr>
        <w:t>(Énfasis añadido)</w:t>
      </w:r>
    </w:p>
    <w:p w14:paraId="0EA3AFBA" w14:textId="77777777" w:rsidR="008E4483" w:rsidRPr="006C7201" w:rsidRDefault="008E4483" w:rsidP="001636EB">
      <w:pPr>
        <w:spacing w:line="360" w:lineRule="auto"/>
        <w:jc w:val="both"/>
        <w:rPr>
          <w:rFonts w:ascii="Palatino Linotype" w:hAnsi="Palatino Linotype" w:cs="Arial"/>
        </w:rPr>
      </w:pPr>
    </w:p>
    <w:p w14:paraId="38992FDD" w14:textId="77777777" w:rsidR="008E4483" w:rsidRPr="006C7201" w:rsidRDefault="008E4483" w:rsidP="008E4483">
      <w:pPr>
        <w:pStyle w:val="Prrafodelista"/>
        <w:numPr>
          <w:ilvl w:val="0"/>
          <w:numId w:val="1"/>
        </w:numPr>
        <w:spacing w:line="360" w:lineRule="auto"/>
        <w:jc w:val="both"/>
        <w:rPr>
          <w:rFonts w:ascii="Palatino Linotype" w:hAnsi="Palatino Linotype" w:cs="Arial"/>
        </w:rPr>
      </w:pPr>
      <w:r w:rsidRPr="006C7201">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67CDFB16" w14:textId="77777777" w:rsidR="008E4483" w:rsidRPr="006C7201" w:rsidRDefault="008E4483" w:rsidP="008E4483">
      <w:pPr>
        <w:pStyle w:val="Prrafodelista"/>
        <w:spacing w:line="360" w:lineRule="auto"/>
        <w:ind w:left="0"/>
        <w:jc w:val="both"/>
        <w:rPr>
          <w:rFonts w:ascii="Palatino Linotype" w:hAnsi="Palatino Linotype" w:cs="Arial"/>
        </w:rPr>
      </w:pPr>
    </w:p>
    <w:p w14:paraId="642677F8" w14:textId="62C2592A" w:rsidR="008E4483" w:rsidRPr="006C7201" w:rsidRDefault="008E4483" w:rsidP="008E4483">
      <w:pPr>
        <w:pStyle w:val="Prrafodelista"/>
        <w:numPr>
          <w:ilvl w:val="0"/>
          <w:numId w:val="1"/>
        </w:numPr>
        <w:spacing w:line="360" w:lineRule="auto"/>
        <w:jc w:val="both"/>
        <w:rPr>
          <w:rFonts w:ascii="Palatino Linotype" w:hAnsi="Palatino Linotype" w:cs="Arial"/>
        </w:rPr>
      </w:pPr>
      <w:r w:rsidRPr="006C7201">
        <w:rPr>
          <w:rFonts w:ascii="Palatino Linotype" w:hAnsi="Palatino Linotype" w:cs="Arial"/>
        </w:rPr>
        <w:t>Por lo anterior, es de referir que,</w:t>
      </w:r>
      <w:r w:rsidRPr="006C7201">
        <w:rPr>
          <w:rFonts w:ascii="Palatino Linotype" w:hAnsi="Palatino Linotype" w:cs="Arial"/>
          <w:b/>
        </w:rPr>
        <w:t xml:space="preserve"> </w:t>
      </w:r>
      <w:r w:rsidR="00BB7921" w:rsidRPr="006C7201">
        <w:rPr>
          <w:rFonts w:ascii="Palatino Linotype" w:hAnsi="Palatino Linotype" w:cs="Arial"/>
          <w:b/>
        </w:rPr>
        <w:t>el</w:t>
      </w:r>
      <w:r w:rsidR="00E7785D" w:rsidRPr="006C7201">
        <w:rPr>
          <w:rFonts w:ascii="Palatino Linotype" w:eastAsia="Calibri" w:hAnsi="Palatino Linotype" w:cs="Arial"/>
          <w:b/>
          <w:bCs/>
          <w:lang w:val="es-ES"/>
        </w:rPr>
        <w:t xml:space="preserve"> </w:t>
      </w:r>
      <w:r w:rsidR="00093486" w:rsidRPr="006C7201">
        <w:rPr>
          <w:rFonts w:ascii="Palatino Linotype" w:eastAsia="Calibri" w:hAnsi="Palatino Linotype" w:cs="Arial"/>
          <w:b/>
          <w:bCs/>
          <w:lang w:val="es-ES"/>
        </w:rPr>
        <w:t>Ayuntamiento de San Mateo Atenco</w:t>
      </w:r>
      <w:r w:rsidRPr="006C7201">
        <w:rPr>
          <w:rFonts w:ascii="Palatino Linotype" w:hAnsi="Palatino Linotype" w:cs="Arial"/>
        </w:rPr>
        <w:t>, al ser un Sujeto Obligado comprendido por la Legislación Local en materia de Transparencia, se encuentra obligado a hacer pública toda aquella información que genere, administre o posea.</w:t>
      </w:r>
    </w:p>
    <w:p w14:paraId="148B3A8C" w14:textId="77777777" w:rsidR="003A2D8F" w:rsidRPr="006C7201" w:rsidRDefault="003A2D8F" w:rsidP="003A2D8F">
      <w:pPr>
        <w:pStyle w:val="Prrafodelista"/>
        <w:rPr>
          <w:rFonts w:ascii="Palatino Linotype" w:hAnsi="Palatino Linotype" w:cs="Arial"/>
        </w:rPr>
      </w:pPr>
    </w:p>
    <w:p w14:paraId="0E861A21" w14:textId="7C466256" w:rsidR="003A2D8F" w:rsidRPr="006C7201" w:rsidRDefault="003A2D8F" w:rsidP="003A2D8F">
      <w:pPr>
        <w:pStyle w:val="Prrafodelista"/>
        <w:spacing w:line="360" w:lineRule="auto"/>
        <w:ind w:left="567"/>
        <w:jc w:val="both"/>
        <w:rPr>
          <w:rFonts w:ascii="Palatino Linotype" w:hAnsi="Palatino Linotype" w:cs="Arial"/>
          <w:b/>
        </w:rPr>
      </w:pPr>
      <w:r w:rsidRPr="006C7201">
        <w:rPr>
          <w:rFonts w:ascii="Palatino Linotype" w:hAnsi="Palatino Linotype" w:cs="Arial"/>
          <w:b/>
        </w:rPr>
        <w:t xml:space="preserve">II. </w:t>
      </w:r>
      <w:r w:rsidR="00320B6E" w:rsidRPr="006C7201">
        <w:rPr>
          <w:rFonts w:ascii="Palatino Linotype" w:hAnsi="Palatino Linotype" w:cs="Arial"/>
          <w:b/>
        </w:rPr>
        <w:t>De la naturaleza de la información requerida.</w:t>
      </w:r>
    </w:p>
    <w:p w14:paraId="49A52B52" w14:textId="77777777" w:rsidR="003A2D8F" w:rsidRPr="006C7201" w:rsidRDefault="003A2D8F" w:rsidP="003A2D8F">
      <w:pPr>
        <w:pStyle w:val="Prrafodelista"/>
        <w:rPr>
          <w:rFonts w:ascii="Palatino Linotype" w:hAnsi="Palatino Linotype" w:cs="Arial"/>
        </w:rPr>
      </w:pPr>
    </w:p>
    <w:p w14:paraId="6123B9DC" w14:textId="099B38C6" w:rsidR="00E44072" w:rsidRPr="006C7201" w:rsidRDefault="00E44072" w:rsidP="003A2D8F">
      <w:pPr>
        <w:pStyle w:val="Prrafodelista"/>
        <w:numPr>
          <w:ilvl w:val="0"/>
          <w:numId w:val="1"/>
        </w:numPr>
        <w:spacing w:line="360" w:lineRule="auto"/>
        <w:jc w:val="both"/>
        <w:rPr>
          <w:rFonts w:ascii="Palatino Linotype" w:hAnsi="Palatino Linotype" w:cs="Arial"/>
        </w:rPr>
      </w:pPr>
      <w:r w:rsidRPr="006C7201">
        <w:rPr>
          <w:rFonts w:ascii="Palatino Linotype" w:hAnsi="Palatino Linotype" w:cs="Arial"/>
        </w:rPr>
        <w:t xml:space="preserve">Derivado de la naturaleza de la información que fue solicitada, es necesario traer a contexto la Ley Orgánica Municipal del Estado de México, </w:t>
      </w:r>
    </w:p>
    <w:p w14:paraId="0B95B707" w14:textId="77777777" w:rsidR="00E44072" w:rsidRPr="006C7201" w:rsidRDefault="00E44072" w:rsidP="00E44072">
      <w:pPr>
        <w:pStyle w:val="Prrafodelista"/>
        <w:spacing w:line="360" w:lineRule="auto"/>
        <w:ind w:left="0"/>
        <w:jc w:val="both"/>
        <w:rPr>
          <w:rFonts w:ascii="Palatino Linotype" w:hAnsi="Palatino Linotype" w:cs="Arial"/>
        </w:rPr>
      </w:pPr>
    </w:p>
    <w:p w14:paraId="329E1CF1" w14:textId="77777777" w:rsidR="00E44072" w:rsidRPr="006C7201" w:rsidRDefault="00E44072" w:rsidP="00E44072">
      <w:pPr>
        <w:pStyle w:val="Prrafodelista"/>
        <w:spacing w:line="360" w:lineRule="auto"/>
        <w:ind w:left="0"/>
        <w:jc w:val="both"/>
        <w:rPr>
          <w:rFonts w:ascii="Palatino Linotype" w:hAnsi="Palatino Linotype" w:cs="Arial"/>
        </w:rPr>
      </w:pPr>
    </w:p>
    <w:p w14:paraId="13766FC3" w14:textId="77777777" w:rsidR="00E44072" w:rsidRPr="006C7201" w:rsidRDefault="00E44072" w:rsidP="00E44072">
      <w:pPr>
        <w:pStyle w:val="Prrafodelista"/>
        <w:spacing w:line="360" w:lineRule="auto"/>
        <w:ind w:left="567" w:right="616"/>
        <w:jc w:val="center"/>
        <w:rPr>
          <w:rFonts w:ascii="Palatino Linotype" w:hAnsi="Palatino Linotype"/>
          <w:b/>
          <w:i/>
          <w:sz w:val="22"/>
          <w:szCs w:val="22"/>
        </w:rPr>
      </w:pPr>
      <w:r w:rsidRPr="006C7201">
        <w:rPr>
          <w:rFonts w:ascii="Palatino Linotype" w:hAnsi="Palatino Linotype"/>
          <w:b/>
          <w:i/>
          <w:sz w:val="22"/>
          <w:szCs w:val="22"/>
        </w:rPr>
        <w:t>CAPITULO TERCERO</w:t>
      </w:r>
    </w:p>
    <w:p w14:paraId="41AA5665" w14:textId="77777777" w:rsidR="00E44072" w:rsidRPr="006C7201" w:rsidRDefault="00E44072" w:rsidP="00E44072">
      <w:pPr>
        <w:pStyle w:val="Prrafodelista"/>
        <w:spacing w:line="360" w:lineRule="auto"/>
        <w:ind w:left="567" w:right="616"/>
        <w:jc w:val="center"/>
        <w:rPr>
          <w:rFonts w:ascii="Palatino Linotype" w:hAnsi="Palatino Linotype"/>
          <w:b/>
          <w:i/>
          <w:sz w:val="22"/>
          <w:szCs w:val="22"/>
        </w:rPr>
      </w:pPr>
      <w:r w:rsidRPr="006C7201">
        <w:rPr>
          <w:rFonts w:ascii="Palatino Linotype" w:hAnsi="Palatino Linotype"/>
          <w:b/>
          <w:i/>
          <w:sz w:val="22"/>
          <w:szCs w:val="22"/>
        </w:rPr>
        <w:t>ATRIBUCIONES DE LOS AYUNTAMIENTOS</w:t>
      </w:r>
    </w:p>
    <w:p w14:paraId="3EC13044" w14:textId="77777777" w:rsidR="00E44072" w:rsidRPr="006C7201" w:rsidRDefault="00E44072" w:rsidP="00E44072">
      <w:pPr>
        <w:pStyle w:val="Prrafodelista"/>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Artículo 31.- Son atribuciones de los ayuntamientos:</w:t>
      </w:r>
    </w:p>
    <w:p w14:paraId="146576CC" w14:textId="77777777" w:rsidR="00E44072" w:rsidRPr="006C7201" w:rsidRDefault="00E44072" w:rsidP="00E44072">
      <w:pPr>
        <w:pStyle w:val="Prrafodelista"/>
        <w:spacing w:line="360" w:lineRule="auto"/>
        <w:ind w:left="567" w:right="616"/>
        <w:jc w:val="both"/>
        <w:rPr>
          <w:rFonts w:ascii="Palatino Linotype" w:hAnsi="Palatino Linotype" w:cs="Arial"/>
          <w:i/>
          <w:color w:val="000000" w:themeColor="text1"/>
          <w:sz w:val="22"/>
          <w:szCs w:val="22"/>
        </w:rPr>
      </w:pPr>
      <w:r w:rsidRPr="006C7201">
        <w:rPr>
          <w:rFonts w:ascii="Palatino Linotype" w:hAnsi="Palatino Linotype"/>
          <w:i/>
          <w:sz w:val="22"/>
          <w:szCs w:val="22"/>
        </w:rPr>
        <w:t>…</w:t>
      </w:r>
    </w:p>
    <w:p w14:paraId="5FEEB47A" w14:textId="0176681A" w:rsidR="00E44072" w:rsidRPr="006C7201" w:rsidRDefault="00E44072" w:rsidP="00E44072">
      <w:pPr>
        <w:spacing w:line="360" w:lineRule="auto"/>
        <w:ind w:left="567" w:right="616"/>
        <w:jc w:val="both"/>
        <w:rPr>
          <w:rFonts w:ascii="Palatino Linotype" w:hAnsi="Palatino Linotype"/>
          <w:b/>
          <w:i/>
          <w:sz w:val="22"/>
          <w:szCs w:val="22"/>
        </w:rPr>
      </w:pPr>
      <w:r w:rsidRPr="006C7201">
        <w:rPr>
          <w:rFonts w:ascii="Palatino Linotype" w:hAnsi="Palatino Linotype"/>
          <w:b/>
          <w:i/>
          <w:sz w:val="22"/>
          <w:szCs w:val="22"/>
        </w:rPr>
        <w:t>I. Ter. Aprobar y promover un programa para el otorgamiento de la licencia o permiso provisional de funcionamiento para negocios de bajo riesgo que no impliquen riesgos sanitarios, ambientales o de protección civil, conforme al Catálogo Mexiquense de Actividades Industriales, Comerciales y de Servicios de Bajo Riesgo, consignado en la Ley de la materia, mismo que deberá publicarse dentro de los primeros 30 días naturales de cada Ejercicio Fiscal y será aplicable hasta la publicación del siguiente catálogo.</w:t>
      </w:r>
    </w:p>
    <w:p w14:paraId="368459A7" w14:textId="77777777" w:rsidR="00E44072" w:rsidRPr="006C7201" w:rsidRDefault="00E44072" w:rsidP="00E44072">
      <w:pPr>
        <w:spacing w:line="360" w:lineRule="auto"/>
        <w:ind w:left="567" w:right="616"/>
        <w:jc w:val="both"/>
        <w:rPr>
          <w:rFonts w:ascii="Palatino Linotype" w:hAnsi="Palatino Linotype"/>
          <w:i/>
          <w:sz w:val="22"/>
          <w:szCs w:val="22"/>
        </w:rPr>
      </w:pPr>
    </w:p>
    <w:p w14:paraId="73A6BFAC" w14:textId="77777777"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 xml:space="preserve">XXIV Quáter. Otorgar licencias de construcción y permisos de funcionamiento de unidades económicas o establecimientos destinados a la enajenación, reparación o mantenimiento de vehículos automotores usados y autopartes nuevas y usadas, así como de parques y desarrollos industriales, urbanos y de servicios de conformidad con la Evaluación de Impacto Estatal.  </w:t>
      </w:r>
    </w:p>
    <w:p w14:paraId="2128F25D" w14:textId="77777777"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 xml:space="preserve">Para los efectos de la presente fracción, la licencia o permiso correspondiente se expedirá en un plazo no mayor a diez días hábiles contados a partir de la presentación del Dictamen de Giro aprobado.  </w:t>
      </w:r>
    </w:p>
    <w:p w14:paraId="3AAEEA89" w14:textId="77777777"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 xml:space="preserve">Tratándose de obras, unidades económicas, inversiones o proyectos que requieran Evaluación de Impacto Estatal la licencia o permiso correspondiente deberá otorgarse, en un plazo no mayor a veinte días hábiles, contados a partir de que le sea presentada la Evaluación de Impacto Estatal correspondiente, y cuando el solicitante presente el acuerdo de aceptación a la solicitud de Evaluación de Impacto Estatal. </w:t>
      </w:r>
    </w:p>
    <w:p w14:paraId="2427BC4A" w14:textId="77777777" w:rsidR="00E44072" w:rsidRPr="006C7201" w:rsidRDefault="00E44072" w:rsidP="00E44072">
      <w:pPr>
        <w:spacing w:line="360" w:lineRule="auto"/>
        <w:ind w:left="567" w:right="616"/>
        <w:jc w:val="both"/>
        <w:rPr>
          <w:rFonts w:ascii="Palatino Linotype" w:hAnsi="Palatino Linotype"/>
          <w:i/>
          <w:sz w:val="22"/>
          <w:szCs w:val="22"/>
        </w:rPr>
      </w:pPr>
    </w:p>
    <w:p w14:paraId="236F1B75" w14:textId="77777777"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 xml:space="preserve">XXIV. Quinques. Otorgar licencia de funcionamiento, previa presentación del Dictamen de Giro, a las unidades económicas que tengan como actividad complementaria o principal la venta de bebidas alcohólicas. Esta licencia tendrá una vigencia de cinco años y deberá ser refrendada de manera anual, con independencia de que puedan ser sujetos de visitas de verificación para constatar el cumplimiento de las disposiciones jurídicas aplicables.  </w:t>
      </w:r>
    </w:p>
    <w:p w14:paraId="70E727AC" w14:textId="77777777" w:rsidR="00E44072" w:rsidRPr="006C7201" w:rsidRDefault="00E44072" w:rsidP="00E44072">
      <w:pPr>
        <w:spacing w:line="360" w:lineRule="auto"/>
        <w:ind w:left="567" w:right="616"/>
        <w:jc w:val="both"/>
        <w:rPr>
          <w:rFonts w:ascii="Palatino Linotype" w:hAnsi="Palatino Linotype"/>
          <w:i/>
          <w:sz w:val="22"/>
          <w:szCs w:val="22"/>
        </w:rPr>
      </w:pPr>
    </w:p>
    <w:p w14:paraId="6EE9D942" w14:textId="77777777"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 xml:space="preserve">Una vez presentado el Dictamen de Giro aprobado, se expedirá la licencia de funcionamiento en un plazo no mayor a diez días hábiles.  </w:t>
      </w:r>
    </w:p>
    <w:p w14:paraId="779A47A6" w14:textId="77777777" w:rsidR="00E44072" w:rsidRPr="006C7201" w:rsidRDefault="00E44072" w:rsidP="00E44072">
      <w:pPr>
        <w:spacing w:line="360" w:lineRule="auto"/>
        <w:ind w:left="567" w:right="616"/>
        <w:jc w:val="both"/>
        <w:rPr>
          <w:rFonts w:ascii="Palatino Linotype" w:hAnsi="Palatino Linotype"/>
          <w:i/>
          <w:sz w:val="22"/>
          <w:szCs w:val="22"/>
        </w:rPr>
      </w:pPr>
    </w:p>
    <w:p w14:paraId="7D0D3EA3" w14:textId="1C40A8D9"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Para el refrendo anual no es necesario obtener un nuevo Dictamen de Giro siempre y cuando, no se modifiquen la superficie de la unidad económica, su aforo o su actividad económica;</w:t>
      </w:r>
    </w:p>
    <w:p w14:paraId="74BB9BB2" w14:textId="7817EA39"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w:t>
      </w:r>
    </w:p>
    <w:p w14:paraId="488188DD" w14:textId="43038318" w:rsidR="00E44072" w:rsidRPr="006C7201" w:rsidRDefault="00E44072" w:rsidP="00E44072">
      <w:pPr>
        <w:spacing w:line="360" w:lineRule="auto"/>
        <w:ind w:left="567" w:right="616"/>
        <w:jc w:val="both"/>
        <w:rPr>
          <w:rFonts w:ascii="Palatino Linotype" w:hAnsi="Palatino Linotype"/>
          <w:i/>
          <w:sz w:val="22"/>
          <w:szCs w:val="22"/>
        </w:rPr>
      </w:pPr>
      <w:r w:rsidRPr="006C7201">
        <w:rPr>
          <w:rFonts w:ascii="Palatino Linotype" w:hAnsi="Palatino Linotype"/>
          <w:i/>
          <w:sz w:val="22"/>
          <w:szCs w:val="22"/>
        </w:rPr>
        <w:t>XLIV. Crear el Registro Municipal de Unidades Económicas, donde se especifique la licencia de funcionamiento con la actividad de la unidad económica e impacto que generen, así como las demás características que se determinen;</w:t>
      </w:r>
    </w:p>
    <w:p w14:paraId="0028EB7B" w14:textId="77777777" w:rsidR="00E44072" w:rsidRPr="006C7201" w:rsidRDefault="00E44072" w:rsidP="00E44072">
      <w:pPr>
        <w:spacing w:line="360" w:lineRule="auto"/>
        <w:ind w:left="567" w:right="616"/>
        <w:jc w:val="both"/>
        <w:rPr>
          <w:rFonts w:ascii="Palatino Linotype" w:hAnsi="Palatino Linotype"/>
          <w:i/>
          <w:sz w:val="22"/>
          <w:szCs w:val="22"/>
        </w:rPr>
      </w:pPr>
    </w:p>
    <w:p w14:paraId="33EC2DFE" w14:textId="77777777" w:rsidR="00E44072" w:rsidRPr="006C7201" w:rsidRDefault="00E44072" w:rsidP="00E44072">
      <w:pPr>
        <w:pStyle w:val="Prrafodelista"/>
        <w:spacing w:line="360" w:lineRule="auto"/>
        <w:ind w:left="0"/>
        <w:jc w:val="both"/>
        <w:rPr>
          <w:rFonts w:ascii="Palatino Linotype" w:hAnsi="Palatino Linotype" w:cs="Arial"/>
        </w:rPr>
      </w:pPr>
    </w:p>
    <w:p w14:paraId="78C8FA32" w14:textId="77777777" w:rsidR="00E44072" w:rsidRPr="006C7201" w:rsidRDefault="00E44072" w:rsidP="00E44072">
      <w:pPr>
        <w:pStyle w:val="Prrafodelista"/>
        <w:numPr>
          <w:ilvl w:val="0"/>
          <w:numId w:val="1"/>
        </w:numPr>
        <w:spacing w:after="160" w:line="360" w:lineRule="auto"/>
        <w:jc w:val="both"/>
        <w:rPr>
          <w:rFonts w:ascii="Palatino Linotype" w:hAnsi="Palatino Linotype"/>
        </w:rPr>
      </w:pPr>
    </w:p>
    <w:p w14:paraId="51333F22" w14:textId="77777777" w:rsidR="00E44072" w:rsidRPr="006C7201" w:rsidRDefault="00E44072" w:rsidP="00E44072">
      <w:pPr>
        <w:pStyle w:val="Prrafodelista"/>
        <w:spacing w:after="160" w:line="360" w:lineRule="auto"/>
        <w:ind w:left="0"/>
        <w:jc w:val="both"/>
        <w:rPr>
          <w:rFonts w:ascii="Palatino Linotype" w:hAnsi="Palatino Linotype"/>
        </w:rPr>
      </w:pPr>
    </w:p>
    <w:p w14:paraId="202798B1" w14:textId="20F22AF6"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t>Artículo 96 Quáter.- El Titular de la Dirección de Desarrollo Económico Municipal o el Titular de la Unidad Administrativa equivalente, tiene las siguientes atribuciones:</w:t>
      </w:r>
    </w:p>
    <w:p w14:paraId="0566D6F8" w14:textId="635554F8"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t>…</w:t>
      </w:r>
    </w:p>
    <w:p w14:paraId="5BA99E56" w14:textId="323AECC5"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lastRenderedPageBreak/>
        <w:t>II Bis. Impulsar y difundir la simplificación de trámites y reducción de plazos para el otorgamiento de permisos, licencias y autorizaciones del orden municipal, de conformidad con la Ley para la Mejora Regulatoria del Estado de México y Municipios, la Ley de Competitividad y Ordenamiento Comercial del Estado de México, la Ley de Fomento Económico del Estado de México, sus respectivos reglamentos y demás disposiciones jurídicas aplicables.</w:t>
      </w:r>
    </w:p>
    <w:p w14:paraId="124D9385"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p>
    <w:p w14:paraId="45211B4D"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t xml:space="preserve">XVIII. Conducir la coordinación interinstitucional de las dependencias municipales a las que corresponda conocer sobre el otorgamiento de permisos y licencias para la apertura y funcionamiento de unidades económicas;  </w:t>
      </w:r>
    </w:p>
    <w:p w14:paraId="6CA77E40"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p>
    <w:p w14:paraId="70A361A5"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t xml:space="preserve">Para tal efecto, deberá garantizar que el otorgamiento de la licencia no esté sujeto al pago de contribuciones ni a donación alguna; la exigencia de cargas tributarias, dádivas o cualquier otro concepto que condicione su expedición será sancionada en términos de la Ley de Responsabilidades Administrativas del Estado de México y Municipios;  </w:t>
      </w:r>
    </w:p>
    <w:p w14:paraId="7F0D9AC5"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p>
    <w:p w14:paraId="47F783FB"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t xml:space="preserve">XIX. Operar y actualizar el Registro Municipal de Unidades Económicas de los permisos o licencias de funcionamiento otorgadas a las unidades económicas respectivas, así como remitir dentro de los cinco días hábiles siguientes los datos generados al Sistema que al efecto integre la Secretaría de Desarrollo Económico, a la Secretaría de Seguridad y a la Fiscalía General de Justicia del Estado de México, la información respectiva;  </w:t>
      </w:r>
    </w:p>
    <w:p w14:paraId="76643377" w14:textId="77777777" w:rsidR="00E44072" w:rsidRPr="006C7201" w:rsidRDefault="00E44072" w:rsidP="00E44072">
      <w:pPr>
        <w:pStyle w:val="Prrafodelista"/>
        <w:spacing w:after="160" w:line="360" w:lineRule="auto"/>
        <w:ind w:left="567" w:right="758"/>
        <w:jc w:val="both"/>
        <w:rPr>
          <w:rFonts w:ascii="Palatino Linotype" w:hAnsi="Palatino Linotype"/>
          <w:i/>
          <w:sz w:val="22"/>
        </w:rPr>
      </w:pPr>
    </w:p>
    <w:p w14:paraId="5C04764A" w14:textId="7D8F1D4E" w:rsidR="00E44072" w:rsidRPr="006C7201" w:rsidRDefault="00E44072" w:rsidP="00E44072">
      <w:pPr>
        <w:pStyle w:val="Prrafodelista"/>
        <w:spacing w:after="160" w:line="360" w:lineRule="auto"/>
        <w:ind w:left="567" w:right="758"/>
        <w:jc w:val="both"/>
        <w:rPr>
          <w:rFonts w:ascii="Palatino Linotype" w:hAnsi="Palatino Linotype"/>
          <w:i/>
          <w:sz w:val="22"/>
        </w:rPr>
      </w:pPr>
      <w:r w:rsidRPr="006C7201">
        <w:rPr>
          <w:rFonts w:ascii="Palatino Linotype" w:hAnsi="Palatino Linotype"/>
          <w:i/>
          <w:sz w:val="22"/>
        </w:rPr>
        <w:t>XX. Crear y actualizar el Registro de las Unidades Económicas que cuenten con el Dictamen de Giro, para la solicitud o refrendo de las licencias de funcionamiento;</w:t>
      </w:r>
    </w:p>
    <w:p w14:paraId="2A198EC7" w14:textId="77777777" w:rsidR="00E44072" w:rsidRPr="006C7201" w:rsidRDefault="00E44072" w:rsidP="00E44072">
      <w:pPr>
        <w:pStyle w:val="Prrafodelista"/>
        <w:spacing w:after="160" w:line="360" w:lineRule="auto"/>
        <w:ind w:left="0"/>
        <w:jc w:val="both"/>
        <w:rPr>
          <w:rFonts w:ascii="Palatino Linotype" w:hAnsi="Palatino Linotype"/>
        </w:rPr>
      </w:pPr>
    </w:p>
    <w:p w14:paraId="3609D5A4" w14:textId="262CCD86" w:rsidR="00E44072" w:rsidRPr="006C7201" w:rsidRDefault="00E44072" w:rsidP="00E44072">
      <w:pPr>
        <w:pStyle w:val="Prrafodelista"/>
        <w:numPr>
          <w:ilvl w:val="0"/>
          <w:numId w:val="1"/>
        </w:numPr>
        <w:spacing w:after="160" w:line="360" w:lineRule="auto"/>
        <w:jc w:val="both"/>
        <w:rPr>
          <w:rFonts w:ascii="Palatino Linotype" w:hAnsi="Palatino Linotype"/>
        </w:rPr>
      </w:pPr>
      <w:r w:rsidRPr="006C7201">
        <w:rPr>
          <w:rFonts w:ascii="Palatino Linotype" w:hAnsi="Palatino Linotype"/>
        </w:rPr>
        <w:t xml:space="preserve">Es así que, </w:t>
      </w:r>
      <w:r w:rsidR="007B1C41" w:rsidRPr="006C7201">
        <w:rPr>
          <w:rFonts w:ascii="Palatino Linotype" w:hAnsi="Palatino Linotype"/>
        </w:rPr>
        <w:t xml:space="preserve">de acuerdo a la normatividad en cita, </w:t>
      </w:r>
      <w:r w:rsidRPr="006C7201">
        <w:rPr>
          <w:rFonts w:ascii="Palatino Linotype" w:hAnsi="Palatino Linotype"/>
        </w:rPr>
        <w:t xml:space="preserve">el Ayuntamiento tiene la atribución de emitir licencias de funcionamiento a las unidades económicas, a través de la </w:t>
      </w:r>
      <w:r w:rsidR="007B1C41" w:rsidRPr="006C7201">
        <w:rPr>
          <w:rFonts w:ascii="Palatino Linotype" w:hAnsi="Palatino Linotype"/>
          <w:sz w:val="22"/>
        </w:rPr>
        <w:t>Dirección de Desarrollo Económico Municipal o equivalente.</w:t>
      </w:r>
    </w:p>
    <w:p w14:paraId="3255C9B3" w14:textId="77777777" w:rsidR="00E44072" w:rsidRPr="006C7201" w:rsidRDefault="00E44072" w:rsidP="007B1C41">
      <w:pPr>
        <w:pStyle w:val="Prrafodelista"/>
        <w:spacing w:after="160" w:line="360" w:lineRule="auto"/>
        <w:ind w:left="0"/>
        <w:jc w:val="both"/>
        <w:rPr>
          <w:rFonts w:ascii="Palatino Linotype" w:hAnsi="Palatino Linotype"/>
        </w:rPr>
      </w:pPr>
    </w:p>
    <w:p w14:paraId="323DB103" w14:textId="08DBE7B7" w:rsidR="00E44072" w:rsidRPr="006C7201" w:rsidRDefault="00E44072" w:rsidP="00E44072">
      <w:pPr>
        <w:pStyle w:val="Prrafodelista"/>
        <w:numPr>
          <w:ilvl w:val="0"/>
          <w:numId w:val="1"/>
        </w:numPr>
        <w:spacing w:after="160" w:line="360" w:lineRule="auto"/>
        <w:jc w:val="both"/>
        <w:rPr>
          <w:rFonts w:ascii="Palatino Linotype" w:hAnsi="Palatino Linotype"/>
        </w:rPr>
      </w:pPr>
      <w:r w:rsidRPr="006C7201">
        <w:rPr>
          <w:rFonts w:ascii="Palatino Linotype" w:hAnsi="Palatino Linotype"/>
        </w:rPr>
        <w:t>Por su parte, La Ley de Competitividad y Ordenamiento Comercial del Estado de México, define a la licencia de funcionamiento como el acto administrativo que emite la autoridad, por la cual autoriza a persona física o jurídico colectiva a desarrollar actividades económicas.</w:t>
      </w:r>
    </w:p>
    <w:p w14:paraId="486E27B8" w14:textId="77777777" w:rsidR="00AF758F" w:rsidRPr="006C7201" w:rsidRDefault="00AF758F" w:rsidP="00AF758F">
      <w:pPr>
        <w:pStyle w:val="Prrafodelista"/>
        <w:rPr>
          <w:rFonts w:ascii="Palatino Linotype" w:hAnsi="Palatino Linotype"/>
        </w:rPr>
      </w:pPr>
    </w:p>
    <w:p w14:paraId="722596C4" w14:textId="77777777" w:rsidR="00E44072" w:rsidRPr="006C7201" w:rsidRDefault="00E44072"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Asimismo, dicho ordenamiento legal establece lo siguiente:</w:t>
      </w:r>
    </w:p>
    <w:p w14:paraId="2715C08F" w14:textId="77777777" w:rsidR="00E44072" w:rsidRPr="006C7201" w:rsidRDefault="00E44072" w:rsidP="00E44072">
      <w:pPr>
        <w:spacing w:after="160" w:line="360" w:lineRule="auto"/>
        <w:contextualSpacing/>
        <w:jc w:val="both"/>
        <w:rPr>
          <w:rFonts w:ascii="Palatino Linotype" w:hAnsi="Palatino Linotype"/>
        </w:rPr>
      </w:pPr>
    </w:p>
    <w:p w14:paraId="08890266"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b/>
          <w:i/>
          <w:sz w:val="22"/>
        </w:rPr>
        <w:t>Artículo 7. Corresponde a los municipios</w:t>
      </w:r>
      <w:r w:rsidRPr="006C7201">
        <w:rPr>
          <w:rFonts w:ascii="Palatino Linotype" w:hAnsi="Palatino Linotype"/>
          <w:i/>
          <w:sz w:val="22"/>
        </w:rPr>
        <w:t xml:space="preserve">: </w:t>
      </w:r>
    </w:p>
    <w:p w14:paraId="0B2DAB5F" w14:textId="77777777" w:rsidR="00E44072" w:rsidRPr="006C7201" w:rsidRDefault="00E44072" w:rsidP="00E44072">
      <w:pPr>
        <w:spacing w:after="160" w:line="360" w:lineRule="auto"/>
        <w:ind w:left="567" w:right="616"/>
        <w:contextualSpacing/>
        <w:jc w:val="both"/>
        <w:rPr>
          <w:rFonts w:ascii="Palatino Linotype" w:hAnsi="Palatino Linotype"/>
          <w:i/>
          <w:sz w:val="22"/>
        </w:rPr>
      </w:pPr>
    </w:p>
    <w:p w14:paraId="72140458" w14:textId="77777777" w:rsidR="00E44072" w:rsidRPr="006C7201" w:rsidRDefault="00E44072" w:rsidP="00E44072">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I. Crear el registro municipal, donde se especifica la licencia de funcionamiento con la actividad de la unidad económica e impacto que generen, así como las demás características que se determinen. </w:t>
      </w:r>
    </w:p>
    <w:p w14:paraId="04F7A3F3"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II. Integrar y operar la ventanilla única. </w:t>
      </w:r>
    </w:p>
    <w:p w14:paraId="2B595E0C"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III. Operar, digitalizar y mantener, semanalmente actualizado, el registro municipal, a través de la Dirección de Desarrollo Económico o su equivalente, que opere en su demarcación, el cual deberá publicarse en el portal de Internet del municipio. </w:t>
      </w:r>
    </w:p>
    <w:p w14:paraId="1E79B1C0"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IV. Enviar, dentro de los cinco días hábiles siguientes de cada mes calendario la actualización de su registro municipal, el informe correspondiente a las autoridades estatales, para actualizar el registro estatal. </w:t>
      </w:r>
    </w:p>
    <w:p w14:paraId="3DA4DFDA"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 xml:space="preserve">V. Resguardar y actualizar el archivo físico y digital con los documentos requeridos por las leyes para la expedición y refrendo de las licencias correspondientes. </w:t>
      </w:r>
    </w:p>
    <w:p w14:paraId="792C8482"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 Ordenar visitas de verificación a las unidades económicas que operen en su demarcación. </w:t>
      </w:r>
    </w:p>
    <w:p w14:paraId="3BE47905"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VII. En términos de los ordenamientos aplicables, substanciar el procedimiento de las visitas de verificación administrativa que se hayan practicado. </w:t>
      </w:r>
    </w:p>
    <w:p w14:paraId="47039027"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VIII. Determinar y ordenar las medidas de seguridad e imponer las sanciones previstas en esta Ley. </w:t>
      </w:r>
    </w:p>
    <w:p w14:paraId="6EBE121D"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IX. Prevenir las adicciones, restringiendo el expendio, consumo de bebidas alcohólicas, tabaco u otras substancias que las provoquen en las distintas instalaciones recreativas y deportivas, o con motivo de la realización de festejos populares o tradicionales, conforme a las disposiciones aplicables. </w:t>
      </w:r>
    </w:p>
    <w:p w14:paraId="0CC9DC99"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X. Las demás que le confieran esta Ley y otras disposiciones aplicables.</w:t>
      </w:r>
    </w:p>
    <w:p w14:paraId="37208903" w14:textId="77777777" w:rsidR="00E44072" w:rsidRPr="006C7201" w:rsidRDefault="00E44072" w:rsidP="00E44072">
      <w:pPr>
        <w:spacing w:after="160" w:line="360" w:lineRule="auto"/>
        <w:ind w:left="567" w:right="616"/>
        <w:contextualSpacing/>
        <w:jc w:val="both"/>
        <w:rPr>
          <w:rFonts w:ascii="Palatino Linotype" w:hAnsi="Palatino Linotype"/>
          <w:i/>
          <w:sz w:val="22"/>
        </w:rPr>
      </w:pPr>
    </w:p>
    <w:p w14:paraId="7635111A" w14:textId="77777777" w:rsidR="00E44072" w:rsidRPr="006C7201" w:rsidRDefault="00E44072" w:rsidP="00E44072">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TÍTULO SEGUNDO</w:t>
      </w:r>
    </w:p>
    <w:p w14:paraId="6CDE0A8E" w14:textId="77777777" w:rsidR="00E44072" w:rsidRPr="006C7201" w:rsidRDefault="00E44072" w:rsidP="00E44072">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DE LAS UNIDADES ECONÓMICAS</w:t>
      </w:r>
    </w:p>
    <w:p w14:paraId="1D47CA05" w14:textId="77777777" w:rsidR="00E44072" w:rsidRPr="006C7201" w:rsidRDefault="00E44072" w:rsidP="00E44072">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CAPÍTULO I</w:t>
      </w:r>
    </w:p>
    <w:p w14:paraId="661DF2F6" w14:textId="77777777" w:rsidR="00E44072" w:rsidRPr="006C7201" w:rsidRDefault="00E44072" w:rsidP="00E44072">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DE LAS OBLIGACIONES Y PROHIBICIONES</w:t>
      </w:r>
    </w:p>
    <w:p w14:paraId="25FEBCB5" w14:textId="77777777" w:rsidR="00E44072" w:rsidRPr="006C7201" w:rsidRDefault="00E44072" w:rsidP="00E44072">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DE LOS TITULARES Y/O DEPENDIENTES</w:t>
      </w:r>
    </w:p>
    <w:p w14:paraId="389A3077"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21. Los titulares de las unidades económicas tienen las obligaciones siguientes: I. Destinar el local exclusivamente para la actividad autorizada en el Dictamen de Giro, permiso o licencia de funcionamiento, según sea el caso. </w:t>
      </w:r>
    </w:p>
    <w:p w14:paraId="0E420E5D"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II. Adoptar todas las medidas que sean necesarias para evitar la comisión de conductas ilícitas o lesivas a la persona humana o se incite a estas. </w:t>
      </w:r>
    </w:p>
    <w:p w14:paraId="172DC40E"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III. Tener en la unidad económica el original o copia certificada del Dictamen de Giro, permiso o licencia de funcionamiento, según sea el caso. </w:t>
      </w:r>
    </w:p>
    <w:p w14:paraId="51C6FE63"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 xml:space="preserve">IV. Refrendar el permiso o licencia de funcionamiento. </w:t>
      </w:r>
    </w:p>
    <w:p w14:paraId="5A1A09BC"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 Permitir al servidor público el acceso a la unidad económica para que realice las funciones de verificación. </w:t>
      </w:r>
    </w:p>
    <w:p w14:paraId="33F44F1C"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 Cumplir con los horarios que fije esta Ley y no permitir que los clientes permanezcan en su interior después del horario autorizado. </w:t>
      </w:r>
    </w:p>
    <w:p w14:paraId="3E8BA888"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VII. Acatar la suspensión de actividades en las fechas y horarios específicos que determinen las autoridades. </w:t>
      </w:r>
    </w:p>
    <w:p w14:paraId="0ECD4E90"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VIII. Permitir el libre acceso a personas con discapacidad, ciegas o débiles visuales guiadas de un perro, el cual deberá contar con bozal. </w:t>
      </w:r>
    </w:p>
    <w:p w14:paraId="754BA607"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IX. Exhibir y/o señalar en un lugar visible al público y con caracteres legibles: </w:t>
      </w:r>
    </w:p>
    <w:p w14:paraId="722D51D3"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 El horario de prestación de servicios y de venta de bebidas alcohólicas. </w:t>
      </w:r>
    </w:p>
    <w:p w14:paraId="4FA91273"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b) Un croquis que ubique claramente las rutas de evacuación, cuando la unidad económica tenga una superficie mayor a los cien metros cuadrados. </w:t>
      </w:r>
    </w:p>
    <w:p w14:paraId="243596ED"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c) La capacidad de aforo manifestada en el permiso de funcionamiento o licencia de funcionamiento. </w:t>
      </w:r>
    </w:p>
    <w:p w14:paraId="36EBD113"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 Contar con personal capacitado y botiquín equipado con medicinas, material e instrumentos de curación necesarios para brindar primeros auxilios, en caso de reunir a más de 50 personas, entre clientes y empleados. </w:t>
      </w:r>
    </w:p>
    <w:p w14:paraId="0FC08A9D"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XI. Vigilar que se conserve la seguridad de los usuarios, empleados y dependientes dentro de la unidad económica, así como coadyuvar a que con su funcionamiento no se altere el orden público de las zonas aledañas. En caso de no ocurrir así, los titulares o sus dependientes deberán dar aviso inmediato a las autoridades competentes en materia de seguridad pública. </w:t>
      </w:r>
    </w:p>
    <w:p w14:paraId="6892722A"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XII. Contar con los cajones de estacionamiento que determine la autoridad competente. </w:t>
      </w:r>
    </w:p>
    <w:p w14:paraId="553299E3"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 xml:space="preserve">XIII. Darse de alta en el Servicio de Administración Tributaria, una vez reunidos todos los requisitos y autorizaciones, previo a la expedición de la licencia de funcionamiento, cuando se trate de unidades económicas de bajo impacto. </w:t>
      </w:r>
    </w:p>
    <w:p w14:paraId="11467122"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XIV. Atender las disposiciones en materia de control y humo del tabaco. </w:t>
      </w:r>
    </w:p>
    <w:p w14:paraId="566EECC2"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XV. Señalar y tener a la vista del público las salidas de emergencia, así como la localización de extintores y otros dispositivos para el control de siniestros. </w:t>
      </w:r>
    </w:p>
    <w:p w14:paraId="787DAC49" w14:textId="77777777" w:rsidR="00E44072" w:rsidRPr="006C7201" w:rsidRDefault="00E44072" w:rsidP="00E44072">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XVI. Permitir el libre acceso a las instalaciones sanitarias a mujeres embarazadas y adultos mayores. </w:t>
      </w:r>
    </w:p>
    <w:p w14:paraId="0847563F" w14:textId="77777777" w:rsidR="00E44072" w:rsidRPr="006C7201" w:rsidRDefault="00E44072" w:rsidP="00E44072">
      <w:pPr>
        <w:spacing w:after="160" w:line="360" w:lineRule="auto"/>
        <w:ind w:left="567" w:right="616"/>
        <w:contextualSpacing/>
        <w:jc w:val="both"/>
        <w:rPr>
          <w:rFonts w:ascii="Palatino Linotype" w:hAnsi="Palatino Linotype"/>
          <w:i/>
        </w:rPr>
      </w:pPr>
      <w:r w:rsidRPr="006C7201">
        <w:rPr>
          <w:rFonts w:ascii="Palatino Linotype" w:hAnsi="Palatino Linotype"/>
          <w:i/>
          <w:sz w:val="22"/>
        </w:rPr>
        <w:t>XVII. Las demás que le confieran esta Ley y otras disposiciones aplicables.</w:t>
      </w:r>
    </w:p>
    <w:p w14:paraId="33C46DC1" w14:textId="77777777" w:rsidR="00E44072" w:rsidRPr="006C7201" w:rsidRDefault="00E44072" w:rsidP="00E44072">
      <w:pPr>
        <w:spacing w:after="160" w:line="360" w:lineRule="auto"/>
        <w:contextualSpacing/>
        <w:jc w:val="both"/>
        <w:rPr>
          <w:rFonts w:ascii="Palatino Linotype" w:hAnsi="Palatino Linotype"/>
        </w:rPr>
      </w:pPr>
    </w:p>
    <w:p w14:paraId="1FD54DE5" w14:textId="77777777" w:rsidR="007B1C41" w:rsidRPr="006C7201" w:rsidRDefault="00E44072"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 xml:space="preserve">De lo anterior, se advierte que cada Unidad Económica dentro de los territorios municipales, debe contar </w:t>
      </w:r>
      <w:r w:rsidRPr="006C7201">
        <w:rPr>
          <w:rFonts w:ascii="Palatino Linotype" w:hAnsi="Palatino Linotype"/>
          <w:b/>
        </w:rPr>
        <w:t>con su dictamen de giro, licencia o permiso de funcionamiento</w:t>
      </w:r>
      <w:r w:rsidRPr="006C7201">
        <w:rPr>
          <w:rFonts w:ascii="Palatino Linotype" w:hAnsi="Palatino Linotype"/>
        </w:rPr>
        <w:t xml:space="preserve"> el Manual de Organización de la Dirección de Desarrollo Económico, así como la obligación de refrendar el permiso o la licencia. Para tal efecto, los Ayuntamientos, cuentan con un apartado de trámites y servicios, en el cual, la ciudadanía podrá encontrar toda la información necesaria para realizar el alta de las unidades económicas, tales como los requisitos, tiempos de duración de trámite y de respuesta, así como costos que debe cubrir. </w:t>
      </w:r>
    </w:p>
    <w:p w14:paraId="64F98EB1" w14:textId="77777777" w:rsidR="007B1C41" w:rsidRPr="006C7201" w:rsidRDefault="007B1C41" w:rsidP="007B1C41">
      <w:pPr>
        <w:spacing w:after="160" w:line="360" w:lineRule="auto"/>
        <w:contextualSpacing/>
        <w:jc w:val="both"/>
        <w:rPr>
          <w:rFonts w:ascii="Palatino Linotype" w:hAnsi="Palatino Linotype"/>
        </w:rPr>
      </w:pPr>
    </w:p>
    <w:p w14:paraId="54E403DA" w14:textId="51EAC33D" w:rsidR="007B1C41" w:rsidRPr="006C7201" w:rsidRDefault="007B1C41"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Además, el Bando Municipal del Sujeto Obligado establece lo siguiente:</w:t>
      </w:r>
    </w:p>
    <w:p w14:paraId="545BE5F1" w14:textId="77777777" w:rsidR="007B1C41" w:rsidRPr="006C7201" w:rsidRDefault="007B1C41" w:rsidP="007B1C41">
      <w:pPr>
        <w:pStyle w:val="Prrafodelista"/>
        <w:rPr>
          <w:rFonts w:ascii="Palatino Linotype" w:hAnsi="Palatino Linotype"/>
        </w:rPr>
      </w:pPr>
    </w:p>
    <w:p w14:paraId="251834F2" w14:textId="102D00DE" w:rsidR="007B1C41" w:rsidRPr="006C7201" w:rsidRDefault="007B1C41" w:rsidP="007B1C41">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t>TÍTULO VI</w:t>
      </w:r>
    </w:p>
    <w:p w14:paraId="3650C9D6" w14:textId="2CB3FE3C" w:rsidR="007B1C41" w:rsidRPr="006C7201" w:rsidRDefault="007B1C41" w:rsidP="007B1C41">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t>De las Actividades Comerciales, Industriales, Artesanales, de Servicios y Espectáculos Públicos</w:t>
      </w:r>
    </w:p>
    <w:p w14:paraId="3AFC7D6E" w14:textId="77777777" w:rsidR="007B1C41" w:rsidRPr="006C7201" w:rsidRDefault="007B1C41" w:rsidP="007B1C41">
      <w:pPr>
        <w:pStyle w:val="Prrafodelista"/>
        <w:ind w:left="567" w:right="616"/>
        <w:rPr>
          <w:rFonts w:ascii="Palatino Linotype" w:hAnsi="Palatino Linotype"/>
          <w:i/>
          <w:sz w:val="22"/>
          <w:szCs w:val="22"/>
        </w:rPr>
      </w:pPr>
    </w:p>
    <w:p w14:paraId="58B30814" w14:textId="77777777" w:rsidR="007B1C41" w:rsidRPr="006C7201" w:rsidRDefault="007B1C41" w:rsidP="007B1C41">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lastRenderedPageBreak/>
        <w:t>CAPÍTULO PRIMERO</w:t>
      </w:r>
    </w:p>
    <w:p w14:paraId="6EC5864D" w14:textId="39A38725" w:rsidR="007B1C41" w:rsidRPr="006C7201" w:rsidRDefault="007B1C41" w:rsidP="007B1C41">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t>De las Licencias o Permisos</w:t>
      </w:r>
    </w:p>
    <w:p w14:paraId="7AC8C34E" w14:textId="2ABE3D92"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Artículo 108. Se deberá contar con licencia o permiso de la autoridad municipal competente, para:</w:t>
      </w:r>
    </w:p>
    <w:p w14:paraId="6EE75F17" w14:textId="77777777" w:rsidR="007B1C41" w:rsidRPr="006C7201" w:rsidRDefault="007B1C41" w:rsidP="007B1C41">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i/>
          <w:sz w:val="22"/>
          <w:szCs w:val="22"/>
        </w:rPr>
        <w:t>I</w:t>
      </w:r>
      <w:r w:rsidRPr="006C7201">
        <w:rPr>
          <w:rFonts w:ascii="Palatino Linotype" w:hAnsi="Palatino Linotype"/>
          <w:b/>
          <w:i/>
          <w:sz w:val="22"/>
          <w:szCs w:val="22"/>
        </w:rPr>
        <w:t xml:space="preserve">. Ejercer cualquier actividad industrial, artesanal, comercial, turística, eventos públicos o de prestación de servicios en cualesquiera de sus modalidades, en unidades económicas; </w:t>
      </w:r>
    </w:p>
    <w:p w14:paraId="5F4CDEC8" w14:textId="3D37E2AD"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II. Operar instalaciones de acceso al público destinadas a la presentación de espectáculos, diversiones, venta de productos o prestación de cualquier servicio</w:t>
      </w:r>
    </w:p>
    <w:p w14:paraId="42B14D0C"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III. Instalar y operar en unidades económicas, vía pública o cualquier inmueble, equipos de sonido o música en vivo con niveles de ruido superiores a los decibeles autorizados en la Norma Oficial Mexicana correspondiente; </w:t>
      </w:r>
    </w:p>
    <w:p w14:paraId="6E334E99"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IV. Ejercer el comercio o la prestación de servicios en puesto fijo, semifijo, de manera ambulante o por temporada; </w:t>
      </w:r>
    </w:p>
    <w:p w14:paraId="645E521C"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 Instalar, ampliar o reubicar puestos para la venta de productos o prestación de servicios en tianguis; </w:t>
      </w:r>
    </w:p>
    <w:p w14:paraId="1B02F033"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 Suministrar agua potable o tratada, en camiones cisterna por particulares para cualquier uso; </w:t>
      </w:r>
    </w:p>
    <w:p w14:paraId="66EB40F0"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VII. Usar, ocupar o aprovechar la vía pública; </w:t>
      </w:r>
    </w:p>
    <w:p w14:paraId="7C067A32"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VIII. Prestar el servicio de estacionamiento público, con accesos controlados de entrada y salida de vehículos automotores, en inmuebles particulares o estacionamientos de comercios, centros y / o plazas comerciales; así como ofrecer el servicio de acomodo de vehículos conocido como Valet Parking. En todos los casos, el Ayuntamiento autorizará la tarifa por hora o día de estacionamiento, y el tiempo gratuito en comercios, centros y plazas comerciales; </w:t>
      </w:r>
    </w:p>
    <w:p w14:paraId="2CFDC596"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lastRenderedPageBreak/>
        <w:t xml:space="preserve">IX. Colocar y exhibir anuncios comerciales que informen, orienten e identifiquen un producto, marca, unidad económica o servicios, así como aquellos, que oferten compraventa y renta de bienes muebles e inmuebles; </w:t>
      </w:r>
    </w:p>
    <w:p w14:paraId="5D2EEA06" w14:textId="77777777"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 Realizar cualquier tipo de eventos públicos, espectáculo público o privado, en la vía pública o en bienes de dominio público o privado, con o sin fines de lucro; </w:t>
      </w:r>
    </w:p>
    <w:p w14:paraId="601ABDD6" w14:textId="77777777" w:rsidR="007B1C41" w:rsidRPr="006C7201" w:rsidRDefault="007B1C41" w:rsidP="007B1C41">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b/>
          <w:i/>
          <w:sz w:val="22"/>
          <w:szCs w:val="22"/>
        </w:rPr>
        <w:t xml:space="preserve">XI. Establecer y operar centros de almacenamiento y transformación de materias primas de cualquier índole, tratándose de materias primas forestales, se requiere acuerdo del Ayuntamiento y Dictamen de Giro correspondiente; y </w:t>
      </w:r>
    </w:p>
    <w:p w14:paraId="4AD4FEEC" w14:textId="7CF19746" w:rsidR="007B1C41" w:rsidRPr="006C7201" w:rsidRDefault="007B1C41" w:rsidP="007B1C41">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XII. Las demás que señalen los ordenamientos legales aplicables.</w:t>
      </w:r>
    </w:p>
    <w:p w14:paraId="230B8935" w14:textId="77777777" w:rsidR="007B1C41" w:rsidRPr="006C7201" w:rsidRDefault="007B1C41" w:rsidP="007B1C41">
      <w:pPr>
        <w:spacing w:after="160" w:line="360" w:lineRule="auto"/>
        <w:contextualSpacing/>
        <w:jc w:val="both"/>
        <w:rPr>
          <w:rFonts w:ascii="Palatino Linotype" w:hAnsi="Palatino Linotype"/>
        </w:rPr>
      </w:pPr>
    </w:p>
    <w:p w14:paraId="011626A5" w14:textId="4A489B81" w:rsidR="00AF758F" w:rsidRPr="006C7201" w:rsidRDefault="00AF758F" w:rsidP="009B7195">
      <w:pPr>
        <w:numPr>
          <w:ilvl w:val="0"/>
          <w:numId w:val="1"/>
        </w:numPr>
        <w:spacing w:after="160" w:line="360" w:lineRule="auto"/>
        <w:contextualSpacing/>
        <w:jc w:val="both"/>
        <w:rPr>
          <w:rFonts w:ascii="Palatino Linotype" w:hAnsi="Palatino Linotype"/>
        </w:rPr>
      </w:pPr>
      <w:r w:rsidRPr="006C7201">
        <w:rPr>
          <w:rFonts w:ascii="Palatino Linotype" w:hAnsi="Palatino Linotype"/>
        </w:rPr>
        <w:t>La Ley de Competitividad y Ordenamiento Comercial del Estado de México, establece lo siguiente:</w:t>
      </w:r>
    </w:p>
    <w:p w14:paraId="334D636A" w14:textId="3673137E" w:rsidR="00CD350E" w:rsidRPr="006C7201" w:rsidRDefault="00AF758F" w:rsidP="009B7195">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SECCIÓN III</w:t>
      </w:r>
    </w:p>
    <w:p w14:paraId="0FE1911E" w14:textId="3AEB98BF" w:rsidR="00CD350E" w:rsidRPr="006C7201" w:rsidRDefault="00AF758F" w:rsidP="009B7195">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DE LOS REQUISITOS PARA OBTENER PERMISO O LICENCIA DE FUNCIONAMIENTO PARA LAS UNIDADES ECONÓMICAS DE MEDIANO Y ALTO IMPACTO</w:t>
      </w:r>
    </w:p>
    <w:p w14:paraId="30B12C39" w14:textId="77777777" w:rsidR="00CD350E" w:rsidRPr="006C7201" w:rsidRDefault="00CD350E" w:rsidP="00CD350E">
      <w:pPr>
        <w:spacing w:after="160" w:line="360" w:lineRule="auto"/>
        <w:ind w:left="567" w:right="616"/>
        <w:contextualSpacing/>
        <w:jc w:val="both"/>
        <w:rPr>
          <w:rFonts w:ascii="Palatino Linotype" w:hAnsi="Palatino Linotype"/>
          <w:i/>
          <w:sz w:val="22"/>
        </w:rPr>
      </w:pPr>
    </w:p>
    <w:p w14:paraId="17FA60A0" w14:textId="3F293D4D"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Artículo 66. Para la obtención de un permiso o licencia de funcionamiento, los solicitantes o representante legal tendrán que cumplir los requisitos siguientes:</w:t>
      </w:r>
    </w:p>
    <w:p w14:paraId="017084F5" w14:textId="77777777"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 Solicitud en la que se señale la razón social del solicitante, así como domicilio para oír y recibir notificaciones y dirección de correo electrónico para los efectos de esta Ley. En caso de que el solicitante sea persona física se cotejarán los datos de la credencial para votar con fotografía. </w:t>
      </w:r>
    </w:p>
    <w:p w14:paraId="49E6DB68" w14:textId="77777777" w:rsidR="00CD350E" w:rsidRPr="006C7201" w:rsidRDefault="00CD350E" w:rsidP="00CD350E">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II. Actividad económica que se pretende operar.  </w:t>
      </w:r>
    </w:p>
    <w:p w14:paraId="06E416F3" w14:textId="77777777" w:rsidR="00CD350E" w:rsidRPr="006C7201" w:rsidRDefault="00CD350E" w:rsidP="00CD350E">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III. Datos de la licencia de uso del suelo que señale el permitido para la actividad económica que se pretende operar.  </w:t>
      </w:r>
    </w:p>
    <w:p w14:paraId="6516E80E" w14:textId="77777777"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 xml:space="preserve">IV. Que cuenta con los cajones de estacionamiento que determine la autoridad correspondiente.  </w:t>
      </w:r>
    </w:p>
    <w:p w14:paraId="7B0A8AA8" w14:textId="3AD1590C" w:rsidR="00CD350E" w:rsidRPr="006C7201" w:rsidRDefault="00CD350E" w:rsidP="00CD350E">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V. La capacidad de aforo respectiva.  </w:t>
      </w:r>
    </w:p>
    <w:p w14:paraId="7AAB0F79" w14:textId="77777777"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 Dar cuenta del programa interno de protección civil.  </w:t>
      </w:r>
    </w:p>
    <w:p w14:paraId="5F4EBD89" w14:textId="77777777"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b/>
          <w:i/>
          <w:sz w:val="22"/>
        </w:rPr>
        <w:t>VII. Dictamen de Giro o permiso</w:t>
      </w:r>
      <w:r w:rsidRPr="006C7201">
        <w:rPr>
          <w:rFonts w:ascii="Palatino Linotype" w:hAnsi="Palatino Linotype"/>
          <w:i/>
          <w:sz w:val="22"/>
        </w:rPr>
        <w:t xml:space="preserve">, en su caso, emitido por la autoridad municipal.  </w:t>
      </w:r>
    </w:p>
    <w:p w14:paraId="0C51F3C9" w14:textId="77777777"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b/>
          <w:i/>
          <w:sz w:val="22"/>
        </w:rPr>
        <w:t>VIII. Para el caso de las unidades económicas de alto impacto deberá manifestar que cuenta con el sistema de seguridad a que hace referencia esta Ley.</w:t>
      </w:r>
      <w:r w:rsidRPr="006C7201">
        <w:rPr>
          <w:rFonts w:ascii="Palatino Linotype" w:hAnsi="Palatino Linotype"/>
          <w:i/>
          <w:sz w:val="22"/>
        </w:rPr>
        <w:t xml:space="preserve">  </w:t>
      </w:r>
    </w:p>
    <w:p w14:paraId="4D797BBE" w14:textId="77777777" w:rsidR="00CD350E" w:rsidRPr="006C7201" w:rsidRDefault="00CD350E" w:rsidP="00CD350E">
      <w:pPr>
        <w:spacing w:after="160" w:line="360" w:lineRule="auto"/>
        <w:ind w:left="567" w:right="616"/>
        <w:contextualSpacing/>
        <w:jc w:val="both"/>
        <w:rPr>
          <w:rFonts w:ascii="Palatino Linotype" w:hAnsi="Palatino Linotype"/>
          <w:i/>
          <w:sz w:val="22"/>
        </w:rPr>
      </w:pPr>
    </w:p>
    <w:p w14:paraId="7B598C66" w14:textId="3F021201" w:rsidR="00CD350E" w:rsidRPr="006C7201" w:rsidRDefault="00CD350E" w:rsidP="00CD350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Una vez cubiertos los requisitos señalados en el presente artículo y en caso de ser procedente el permiso o licencia de funcionamiento, la autoridad hará del conocimiento al solicitante o representante legal el monto a cubrir por los derechos correspondientes, una vez cubiertos se otorgará el permiso o licencia de funcionamiento.</w:t>
      </w:r>
    </w:p>
    <w:p w14:paraId="356C20B0" w14:textId="77777777" w:rsidR="00CD350E" w:rsidRPr="006C7201" w:rsidRDefault="00CD350E" w:rsidP="00AF758F">
      <w:pPr>
        <w:spacing w:after="160" w:line="360" w:lineRule="auto"/>
        <w:contextualSpacing/>
        <w:jc w:val="both"/>
        <w:rPr>
          <w:rFonts w:ascii="Palatino Linotype" w:hAnsi="Palatino Linotype"/>
        </w:rPr>
      </w:pPr>
    </w:p>
    <w:p w14:paraId="4FD3A131" w14:textId="1D730EF6" w:rsidR="00AF758F" w:rsidRPr="006C7201" w:rsidRDefault="00CD350E" w:rsidP="009B7195">
      <w:pPr>
        <w:numPr>
          <w:ilvl w:val="0"/>
          <w:numId w:val="1"/>
        </w:numPr>
        <w:spacing w:after="160" w:line="360" w:lineRule="auto"/>
        <w:contextualSpacing/>
        <w:jc w:val="both"/>
        <w:rPr>
          <w:rFonts w:ascii="Palatino Linotype" w:hAnsi="Palatino Linotype"/>
        </w:rPr>
      </w:pPr>
      <w:r w:rsidRPr="006C7201">
        <w:rPr>
          <w:rFonts w:ascii="Palatino Linotype" w:hAnsi="Palatino Linotype"/>
        </w:rPr>
        <w:t xml:space="preserve">Es así que, para toda unidad económica que desarrolle actividades dentro del territorio municipal, debe contar con su licencia de funcionamiento y dictamen de giro. </w:t>
      </w:r>
      <w:r w:rsidR="00AF758F" w:rsidRPr="006C7201">
        <w:rPr>
          <w:rFonts w:ascii="Palatino Linotype" w:hAnsi="Palatino Linotype"/>
        </w:rPr>
        <w:t>El Ayuntamiento debe publicar en su página oficial y en los portales de internet, los trámites y servicios que ofrecen, esto por corresponder a una obligación de transparencia común contemplada en la Ley de Transparencia y Acceso a la Información Pública del Estado de México y Municipios</w:t>
      </w:r>
      <w:r w:rsidRPr="006C7201">
        <w:rPr>
          <w:rFonts w:ascii="Palatino Linotype" w:hAnsi="Palatino Linotype"/>
        </w:rPr>
        <w:t>. Además, de los requisitos antes listados, de acuerdo con la cédula de información del Ayuntamiento de San Mateo Atenco en referencia a la licencia de funcionamiento de Mediano y Alto Impacto, indica lo siguiente:</w:t>
      </w:r>
    </w:p>
    <w:p w14:paraId="5E0BD22B" w14:textId="04642589" w:rsidR="00CD350E" w:rsidRPr="006C7201" w:rsidRDefault="00CD350E" w:rsidP="009B7195">
      <w:pPr>
        <w:spacing w:after="160" w:line="360" w:lineRule="auto"/>
        <w:contextualSpacing/>
        <w:jc w:val="center"/>
        <w:rPr>
          <w:rFonts w:ascii="Palatino Linotype" w:hAnsi="Palatino Linotype"/>
        </w:rPr>
      </w:pPr>
      <w:r w:rsidRPr="006C7201">
        <w:rPr>
          <w:rFonts w:ascii="Palatino Linotype" w:hAnsi="Palatino Linotype"/>
          <w:noProof/>
          <w:lang w:eastAsia="es-MX"/>
        </w:rPr>
        <w:lastRenderedPageBreak/>
        <w:drawing>
          <wp:inline distT="0" distB="0" distL="0" distR="0" wp14:anchorId="11009DCA" wp14:editId="2602D524">
            <wp:extent cx="4680155" cy="6156686"/>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92661" cy="6173137"/>
                    </a:xfrm>
                    <a:prstGeom prst="rect">
                      <a:avLst/>
                    </a:prstGeom>
                  </pic:spPr>
                </pic:pic>
              </a:graphicData>
            </a:graphic>
          </wp:inline>
        </w:drawing>
      </w:r>
    </w:p>
    <w:p w14:paraId="49717871" w14:textId="337813C3" w:rsidR="00CD350E" w:rsidRPr="006C7201" w:rsidRDefault="00CD350E" w:rsidP="00CD350E">
      <w:pPr>
        <w:spacing w:after="160" w:line="360" w:lineRule="auto"/>
        <w:contextualSpacing/>
        <w:jc w:val="both"/>
        <w:rPr>
          <w:rFonts w:ascii="Palatino Linotype" w:hAnsi="Palatino Linotype"/>
        </w:rPr>
      </w:pPr>
      <w:r w:rsidRPr="006C7201">
        <w:rPr>
          <w:rFonts w:ascii="Palatino Linotype" w:hAnsi="Palatino Linotype"/>
          <w:noProof/>
          <w:lang w:eastAsia="es-MX"/>
        </w:rPr>
        <w:lastRenderedPageBreak/>
        <w:drawing>
          <wp:inline distT="0" distB="0" distL="0" distR="0" wp14:anchorId="209B01D9" wp14:editId="49384274">
            <wp:extent cx="5535562" cy="6908968"/>
            <wp:effectExtent l="0" t="0" r="825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40868" cy="6915591"/>
                    </a:xfrm>
                    <a:prstGeom prst="rect">
                      <a:avLst/>
                    </a:prstGeom>
                  </pic:spPr>
                </pic:pic>
              </a:graphicData>
            </a:graphic>
          </wp:inline>
        </w:drawing>
      </w:r>
    </w:p>
    <w:p w14:paraId="7CA52292" w14:textId="71948B70" w:rsidR="00CD350E" w:rsidRPr="006C7201" w:rsidRDefault="00CD350E" w:rsidP="00CD350E">
      <w:pPr>
        <w:spacing w:after="160" w:line="360" w:lineRule="auto"/>
        <w:contextualSpacing/>
        <w:jc w:val="both"/>
        <w:rPr>
          <w:rFonts w:ascii="Palatino Linotype" w:hAnsi="Palatino Linotype"/>
        </w:rPr>
      </w:pPr>
      <w:r w:rsidRPr="006C7201">
        <w:rPr>
          <w:rFonts w:ascii="Palatino Linotype" w:hAnsi="Palatino Linotype"/>
          <w:noProof/>
          <w:lang w:eastAsia="es-MX"/>
        </w:rPr>
        <w:lastRenderedPageBreak/>
        <w:drawing>
          <wp:inline distT="0" distB="0" distL="0" distR="0" wp14:anchorId="6AB64172" wp14:editId="682AF2CB">
            <wp:extent cx="5555226" cy="5869264"/>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61972" cy="5876392"/>
                    </a:xfrm>
                    <a:prstGeom prst="rect">
                      <a:avLst/>
                    </a:prstGeom>
                  </pic:spPr>
                </pic:pic>
              </a:graphicData>
            </a:graphic>
          </wp:inline>
        </w:drawing>
      </w:r>
    </w:p>
    <w:p w14:paraId="78D9317E" w14:textId="07CF05E3" w:rsidR="00AF758F" w:rsidRPr="006C7201" w:rsidRDefault="009B7195"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Además, Los Titulares de las Unidades Económicas tienen las siguientes obligaciones:</w:t>
      </w:r>
    </w:p>
    <w:p w14:paraId="3DAF5885" w14:textId="2FC0313F" w:rsidR="009B7195" w:rsidRPr="006C7201" w:rsidRDefault="009B7195" w:rsidP="009B7195">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TÍTULO SEGUNDO</w:t>
      </w:r>
    </w:p>
    <w:p w14:paraId="5D723A29" w14:textId="7B2DF88E" w:rsidR="009B7195" w:rsidRPr="006C7201" w:rsidRDefault="009B7195" w:rsidP="009B7195">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DE LAS UNIDADES ECONÓMICAS</w:t>
      </w:r>
    </w:p>
    <w:p w14:paraId="3DC31CC5" w14:textId="2DA54D8B" w:rsidR="009B7195" w:rsidRPr="006C7201" w:rsidRDefault="009B7195" w:rsidP="009B7195">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CAPÍTULO I</w:t>
      </w:r>
    </w:p>
    <w:p w14:paraId="7F0B1562" w14:textId="01337FF3" w:rsidR="009B7195" w:rsidRPr="006C7201" w:rsidRDefault="009B7195" w:rsidP="009B7195">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lastRenderedPageBreak/>
        <w:t>DE LAS OBLIGACIONES Y PROHIBICIONES DE LOS TITULARES Y/O DEPENDIENTES</w:t>
      </w:r>
    </w:p>
    <w:p w14:paraId="227F2B24"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21. Los titulares de las unidades económicas tienen las obligaciones siguientes:  </w:t>
      </w:r>
    </w:p>
    <w:p w14:paraId="31BC47A4"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 Destinar el local exclusivamente para la actividad autorizada en el Dictamen de Giro, permiso o licencia de funcionamiento, según sea el caso. </w:t>
      </w:r>
    </w:p>
    <w:p w14:paraId="1D18B3CC"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II. Adoptar todas las medidas que sean necesarias para evitar la comisión de conductas ilícitas o lesivas a la persona humana o se incite a estas.  </w:t>
      </w:r>
    </w:p>
    <w:p w14:paraId="08292238" w14:textId="77777777" w:rsidR="009B7195" w:rsidRPr="006C7201" w:rsidRDefault="009B7195" w:rsidP="009B7195">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III. Tener en la unidad económica el original o copia certificada del Dictamen de Giro, permiso o licencia de funcionamiento, según sea el caso.  </w:t>
      </w:r>
    </w:p>
    <w:p w14:paraId="37EA53DC"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IV. Refrendar el permiso o licencia de funcionamiento.  </w:t>
      </w:r>
    </w:p>
    <w:p w14:paraId="17B30992"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 Permitir al servidor público el acceso a la unidad económica para que realice las funciones de verificación.  </w:t>
      </w:r>
    </w:p>
    <w:p w14:paraId="1B57D22D" w14:textId="77777777" w:rsidR="009B7195" w:rsidRPr="006C7201" w:rsidRDefault="009B7195" w:rsidP="009B7195">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VI. Cumplir con los horarios que fije esta Ley y no permitir que los clientes permanezcan en su interior después del horario autorizado.  </w:t>
      </w:r>
    </w:p>
    <w:p w14:paraId="520B87C9" w14:textId="77777777" w:rsidR="009B7195" w:rsidRPr="006C7201" w:rsidRDefault="009B7195" w:rsidP="009B7195">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VII. Acatar la suspensión de actividades en las fechas y horarios específicos que determinen las autoridades.  </w:t>
      </w:r>
    </w:p>
    <w:p w14:paraId="03D5C3A1"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VIII. Permitir el libre acceso a personas con discapacidad, ciegas o débiles visuales guiadas de un perro, el cual deberá contar con bozal.  </w:t>
      </w:r>
    </w:p>
    <w:p w14:paraId="3F445C51" w14:textId="77777777" w:rsidR="009B7195" w:rsidRPr="006C7201" w:rsidRDefault="009B7195" w:rsidP="009B7195">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IX. Exhibir y/o señalar en un lugar visible al público y con caracteres legibles: </w:t>
      </w:r>
    </w:p>
    <w:p w14:paraId="53474B54" w14:textId="77777777" w:rsidR="009B7195" w:rsidRPr="006C7201" w:rsidRDefault="009B7195" w:rsidP="009B7195">
      <w:pPr>
        <w:spacing w:after="160" w:line="360" w:lineRule="auto"/>
        <w:ind w:left="709" w:right="616"/>
        <w:contextualSpacing/>
        <w:jc w:val="both"/>
        <w:rPr>
          <w:rFonts w:ascii="Palatino Linotype" w:hAnsi="Palatino Linotype"/>
          <w:b/>
          <w:i/>
          <w:sz w:val="22"/>
        </w:rPr>
      </w:pPr>
      <w:r w:rsidRPr="006C7201">
        <w:rPr>
          <w:rFonts w:ascii="Palatino Linotype" w:hAnsi="Palatino Linotype"/>
          <w:b/>
          <w:i/>
          <w:sz w:val="22"/>
        </w:rPr>
        <w:t xml:space="preserve">a) El horario de prestación de servicios y de venta de bebidas alcohólicas. </w:t>
      </w:r>
    </w:p>
    <w:p w14:paraId="56C92B7B" w14:textId="77777777" w:rsidR="009B7195" w:rsidRPr="006C7201" w:rsidRDefault="009B7195" w:rsidP="009B7195">
      <w:pPr>
        <w:spacing w:after="160" w:line="360" w:lineRule="auto"/>
        <w:ind w:left="709" w:right="616"/>
        <w:contextualSpacing/>
        <w:jc w:val="both"/>
        <w:rPr>
          <w:rFonts w:ascii="Palatino Linotype" w:hAnsi="Palatino Linotype"/>
          <w:b/>
          <w:i/>
          <w:sz w:val="22"/>
        </w:rPr>
      </w:pPr>
      <w:r w:rsidRPr="006C7201">
        <w:rPr>
          <w:rFonts w:ascii="Palatino Linotype" w:hAnsi="Palatino Linotype"/>
          <w:b/>
          <w:i/>
          <w:sz w:val="22"/>
        </w:rPr>
        <w:t xml:space="preserve">b) Un croquis que ubique claramente las rutas de evacuación, cuando la unidad económica tenga una superficie mayor a los cien metros cuadrados.  </w:t>
      </w:r>
    </w:p>
    <w:p w14:paraId="5797F495" w14:textId="77777777" w:rsidR="009B7195" w:rsidRPr="006C7201" w:rsidRDefault="009B7195" w:rsidP="009B7195">
      <w:pPr>
        <w:spacing w:after="160" w:line="360" w:lineRule="auto"/>
        <w:ind w:left="709" w:right="616"/>
        <w:contextualSpacing/>
        <w:jc w:val="both"/>
        <w:rPr>
          <w:rFonts w:ascii="Palatino Linotype" w:hAnsi="Palatino Linotype"/>
          <w:b/>
          <w:i/>
          <w:sz w:val="22"/>
        </w:rPr>
      </w:pPr>
      <w:r w:rsidRPr="006C7201">
        <w:rPr>
          <w:rFonts w:ascii="Palatino Linotype" w:hAnsi="Palatino Linotype"/>
          <w:b/>
          <w:i/>
          <w:sz w:val="22"/>
        </w:rPr>
        <w:t xml:space="preserve">c) La capacidad de aforo manifestada en el permiso de funcionamiento o licencia de funcionamiento.  </w:t>
      </w:r>
    </w:p>
    <w:p w14:paraId="34FC7C05"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 xml:space="preserve">X. Contar con personal capacitado y botiquín equipado con medicinas, material e instrumentos de curación necesarios para brindar primeros auxilios, en caso de reunir a más de 50 personas, entre clientes y empleados.  </w:t>
      </w:r>
    </w:p>
    <w:p w14:paraId="788D7B99"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XI. Vigilar que se conserve la seguridad de los usuarios, empleados y dependientes dentro de la unidad económica, así como coadyuvar a que con su funcionamiento no se altere el orden público de las zonas aledañas. En caso de no ocurrir así, los titulares o sus dependientes deberán dar aviso inmediato a las autoridades competentes en materia de seguridad pública.  </w:t>
      </w:r>
    </w:p>
    <w:p w14:paraId="2B8CE54E" w14:textId="77777777" w:rsidR="009B7195" w:rsidRPr="006C7201" w:rsidRDefault="009B7195" w:rsidP="009B7195">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XII. Contar con los cajones de estacionamiento que determine la autoridad competente.  </w:t>
      </w:r>
    </w:p>
    <w:p w14:paraId="24E91009"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XIII. Darse de alta en el Servicio de Administración Tributaria, una vez reunidos todos los requisitos y autorizaciones, previo a la expedición de la licencia de funcionamiento, cuando se trate de unidades económicas de bajo impacto.  </w:t>
      </w:r>
    </w:p>
    <w:p w14:paraId="5EBBAFB7" w14:textId="1C18F7A6"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XIV. Atender las disposiciones en materia de control y humo del tabaco.</w:t>
      </w:r>
    </w:p>
    <w:p w14:paraId="52926096"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XV. Señalar y tener a la vista del público las salidas de emergencia, así como la localización de extintores y otros dispositivos para el control de siniestros.  </w:t>
      </w:r>
    </w:p>
    <w:p w14:paraId="3C5F651A" w14:textId="77777777"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XVI. Permitir el libre acceso a las instalaciones sanitarias a mujeres embarazadas y adultos mayores.  </w:t>
      </w:r>
    </w:p>
    <w:p w14:paraId="70DD8AE3" w14:textId="32B6693E" w:rsidR="009B7195" w:rsidRPr="006C7201" w:rsidRDefault="009B7195" w:rsidP="009B7195">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XVII. Las demás que le confieran esta Ley y otras disposiciones aplicables.</w:t>
      </w:r>
    </w:p>
    <w:p w14:paraId="17763B82" w14:textId="77777777" w:rsidR="00CD350E" w:rsidRPr="006C7201" w:rsidRDefault="00CD350E" w:rsidP="00CD350E">
      <w:pPr>
        <w:spacing w:after="160" w:line="360" w:lineRule="auto"/>
        <w:contextualSpacing/>
        <w:jc w:val="both"/>
        <w:rPr>
          <w:rFonts w:ascii="Palatino Linotype" w:hAnsi="Palatino Linotype"/>
        </w:rPr>
      </w:pPr>
    </w:p>
    <w:p w14:paraId="0C58FD65" w14:textId="6C2852B1" w:rsidR="009B7195" w:rsidRPr="006C7201" w:rsidRDefault="009B7195"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Es así que, dentro de las obligaciones y prohibiciones a los Titulares de las Licencias de Funcionamiento, se localizan acciones que fueron solicitadas por el particular en su solicitud de acceso a la información pública.</w:t>
      </w:r>
    </w:p>
    <w:p w14:paraId="4C7CD5F1" w14:textId="77777777" w:rsidR="009B7195" w:rsidRPr="006C7201" w:rsidRDefault="009B7195" w:rsidP="009B7195">
      <w:pPr>
        <w:spacing w:after="160" w:line="360" w:lineRule="auto"/>
        <w:contextualSpacing/>
        <w:jc w:val="both"/>
        <w:rPr>
          <w:rFonts w:ascii="Palatino Linotype" w:hAnsi="Palatino Linotype"/>
        </w:rPr>
      </w:pPr>
    </w:p>
    <w:p w14:paraId="7049EDE0" w14:textId="6751221A" w:rsidR="00CD350E" w:rsidRPr="006C7201" w:rsidRDefault="009B7195" w:rsidP="00AE3841">
      <w:pPr>
        <w:numPr>
          <w:ilvl w:val="0"/>
          <w:numId w:val="1"/>
        </w:numPr>
        <w:spacing w:after="160" w:line="360" w:lineRule="auto"/>
        <w:contextualSpacing/>
        <w:jc w:val="both"/>
        <w:rPr>
          <w:rFonts w:ascii="Palatino Linotype" w:hAnsi="Palatino Linotype"/>
        </w:rPr>
      </w:pPr>
      <w:r w:rsidRPr="006C7201">
        <w:rPr>
          <w:rFonts w:ascii="Palatino Linotype" w:hAnsi="Palatino Linotype"/>
        </w:rPr>
        <w:t xml:space="preserve">No pasa desapercibido que, entre los documentos indispensables para solicitar la licencia de funcionamiento, se encuentran el dictamen de giro y la licencia </w:t>
      </w:r>
      <w:r w:rsidRPr="006C7201">
        <w:rPr>
          <w:rFonts w:ascii="Palatino Linotype" w:hAnsi="Palatino Linotype"/>
        </w:rPr>
        <w:lastRenderedPageBreak/>
        <w:t xml:space="preserve">de uso de suelo. </w:t>
      </w:r>
      <w:r w:rsidR="00CD350E" w:rsidRPr="006C7201">
        <w:rPr>
          <w:rFonts w:ascii="Palatino Linotype" w:hAnsi="Palatino Linotype"/>
        </w:rPr>
        <w:t>Por lo que corresponde al Dictamen de Giro, la Ley de Competitividad y Ordenamiento Comercial del Estado de México, indica lo siguiente:</w:t>
      </w:r>
    </w:p>
    <w:p w14:paraId="34AC1CC8" w14:textId="57D41A1E" w:rsidR="00CD350E" w:rsidRPr="006C7201" w:rsidRDefault="00CD350E" w:rsidP="00CF018E">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SECCIÓN TERCERA</w:t>
      </w:r>
    </w:p>
    <w:p w14:paraId="258575DA" w14:textId="7EFAC32B" w:rsidR="00CD350E" w:rsidRPr="006C7201" w:rsidRDefault="00CD350E" w:rsidP="00CF018E">
      <w:pPr>
        <w:spacing w:after="160" w:line="360" w:lineRule="auto"/>
        <w:ind w:left="567" w:right="616"/>
        <w:contextualSpacing/>
        <w:jc w:val="center"/>
        <w:rPr>
          <w:rFonts w:ascii="Palatino Linotype" w:hAnsi="Palatino Linotype"/>
          <w:b/>
          <w:i/>
          <w:sz w:val="22"/>
        </w:rPr>
      </w:pPr>
      <w:r w:rsidRPr="006C7201">
        <w:rPr>
          <w:rFonts w:ascii="Palatino Linotype" w:hAnsi="Palatino Linotype"/>
          <w:b/>
          <w:i/>
          <w:sz w:val="22"/>
        </w:rPr>
        <w:t>DEL DICTAMEN DE GIRO</w:t>
      </w:r>
    </w:p>
    <w:p w14:paraId="02DE8BB3" w14:textId="77777777" w:rsidR="00CD350E" w:rsidRPr="006C7201" w:rsidRDefault="00CD350E" w:rsidP="00CF018E">
      <w:pPr>
        <w:spacing w:after="160" w:line="360" w:lineRule="auto"/>
        <w:ind w:left="567" w:right="616"/>
        <w:contextualSpacing/>
        <w:jc w:val="both"/>
        <w:rPr>
          <w:rFonts w:ascii="Palatino Linotype" w:hAnsi="Palatino Linotype"/>
          <w:i/>
          <w:sz w:val="22"/>
        </w:rPr>
      </w:pPr>
    </w:p>
    <w:p w14:paraId="2EA1F4CC" w14:textId="77777777" w:rsidR="00CD350E" w:rsidRPr="006C7201" w:rsidRDefault="00CD350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20 Bis. - </w:t>
      </w:r>
      <w:r w:rsidRPr="006C7201">
        <w:rPr>
          <w:rFonts w:ascii="Palatino Linotype" w:hAnsi="Palatino Linotype"/>
          <w:b/>
          <w:i/>
          <w:sz w:val="22"/>
        </w:rPr>
        <w:t>El Dictamen de Giro es el documento</w:t>
      </w:r>
      <w:r w:rsidRPr="006C7201">
        <w:rPr>
          <w:rFonts w:ascii="Palatino Linotype" w:hAnsi="Palatino Linotype"/>
          <w:i/>
          <w:sz w:val="22"/>
        </w:rPr>
        <w:t xml:space="preserve"> de carácter permanente emitido por el Comité Municipal de Dictámenes de Giro, </w:t>
      </w:r>
      <w:r w:rsidRPr="006C7201">
        <w:rPr>
          <w:rFonts w:ascii="Palatino Linotype" w:hAnsi="Palatino Linotype"/>
          <w:b/>
          <w:i/>
          <w:sz w:val="22"/>
        </w:rPr>
        <w:t>sustentado en las evaluaciones técnicas de factibilidad en materias de salubridad local</w:t>
      </w:r>
      <w:r w:rsidRPr="006C7201">
        <w:rPr>
          <w:rFonts w:ascii="Palatino Linotype" w:hAnsi="Palatino Linotype"/>
          <w:i/>
          <w:sz w:val="22"/>
        </w:rPr>
        <w:t xml:space="preserve"> tratándose de venta de bebidas alcohólicas y rastros, cuya finalidad es determinar el funcionamiento de unidades económicas, en términos de esta Ley y las disposiciones jurídicas aplicables de acuerdo con los principios de transparencia y publicidad. </w:t>
      </w:r>
    </w:p>
    <w:p w14:paraId="0CEFBA34" w14:textId="77777777" w:rsidR="00CD350E" w:rsidRPr="006C7201" w:rsidRDefault="00CD350E" w:rsidP="00CF018E">
      <w:pPr>
        <w:spacing w:after="160" w:line="360" w:lineRule="auto"/>
        <w:ind w:left="567" w:right="616"/>
        <w:contextualSpacing/>
        <w:jc w:val="both"/>
        <w:rPr>
          <w:rFonts w:ascii="Palatino Linotype" w:hAnsi="Palatino Linotype"/>
          <w:i/>
          <w:sz w:val="22"/>
        </w:rPr>
      </w:pPr>
    </w:p>
    <w:p w14:paraId="63C71529" w14:textId="77777777" w:rsidR="00CD350E" w:rsidRPr="006C7201" w:rsidRDefault="00CD350E" w:rsidP="00CF018E">
      <w:pPr>
        <w:spacing w:after="160" w:line="360" w:lineRule="auto"/>
        <w:ind w:left="567" w:right="616"/>
        <w:contextualSpacing/>
        <w:jc w:val="both"/>
        <w:rPr>
          <w:rFonts w:ascii="Palatino Linotype" w:hAnsi="Palatino Linotype"/>
          <w:b/>
          <w:i/>
          <w:sz w:val="22"/>
        </w:rPr>
      </w:pPr>
      <w:r w:rsidRPr="006C7201">
        <w:rPr>
          <w:rFonts w:ascii="Palatino Linotype" w:hAnsi="Palatino Linotype"/>
          <w:i/>
          <w:sz w:val="22"/>
        </w:rPr>
        <w:t xml:space="preserve">El </w:t>
      </w:r>
      <w:r w:rsidRPr="006C7201">
        <w:rPr>
          <w:rFonts w:ascii="Palatino Linotype" w:hAnsi="Palatino Linotype"/>
          <w:b/>
          <w:i/>
          <w:sz w:val="22"/>
        </w:rPr>
        <w:t xml:space="preserve">Comité a que se refiere el párrafo anterior, estará integrado por las personas titulares de las Direcciones municipales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Municipal. Será presidido por la o el Presidente Municipal o quien éste determine, y tendrá la finalidad de establecer la factibilidad para la operación de las actividades previstas en la presente Ley en términos de las disposiciones jurídicas aplicables.  </w:t>
      </w:r>
    </w:p>
    <w:p w14:paraId="41F245AE" w14:textId="77777777" w:rsidR="00CD350E" w:rsidRPr="006C7201" w:rsidRDefault="00CD350E" w:rsidP="00CF018E">
      <w:pPr>
        <w:spacing w:after="160" w:line="360" w:lineRule="auto"/>
        <w:ind w:left="567" w:right="616"/>
        <w:contextualSpacing/>
        <w:jc w:val="both"/>
        <w:rPr>
          <w:rFonts w:ascii="Palatino Linotype" w:hAnsi="Palatino Linotype"/>
          <w:b/>
          <w:i/>
          <w:sz w:val="22"/>
        </w:rPr>
      </w:pPr>
    </w:p>
    <w:p w14:paraId="06680A6B" w14:textId="77777777" w:rsidR="00CD350E" w:rsidRPr="006C7201" w:rsidRDefault="00CD350E" w:rsidP="00CF018E">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Artículo 20 Ter. Para obtener el Dictamen de Giro, se deberá presentar solicitud conforme a los formatos, requisitos, documentos y anexos técnicos establecidos en el Registro Municipal de Trámites y Servicios.  </w:t>
      </w:r>
    </w:p>
    <w:p w14:paraId="041FDE0B" w14:textId="77777777" w:rsidR="00CD350E" w:rsidRPr="006C7201" w:rsidRDefault="00CD350E" w:rsidP="00CF018E">
      <w:pPr>
        <w:spacing w:after="160" w:line="360" w:lineRule="auto"/>
        <w:ind w:left="567" w:right="616"/>
        <w:contextualSpacing/>
        <w:jc w:val="both"/>
        <w:rPr>
          <w:rFonts w:ascii="Palatino Linotype" w:hAnsi="Palatino Linotype"/>
          <w:i/>
          <w:sz w:val="22"/>
        </w:rPr>
      </w:pPr>
    </w:p>
    <w:p w14:paraId="55960B4F" w14:textId="58A380A8" w:rsidR="00CD350E" w:rsidRPr="006C7201" w:rsidRDefault="00CD350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20 Quáter. Si del análisis respectivo, se determina que la documentación no cumple con requisitos de forma, se notificará al solicitante dentro del plazo de diez días hábiles y se le otorgará un plazo de tres días hábiles para que la subsane. Si transcurrido el plazo no se ha dado cumplimiento, se tendrá por concluida la solicitud, informando de manera transparente y fundamentada las motivaciones de la determinación en sentido negativo. </w:t>
      </w:r>
      <w:r w:rsidR="00CF018E" w:rsidRPr="006C7201">
        <w:rPr>
          <w:rFonts w:ascii="Palatino Linotype" w:hAnsi="Palatino Linotype"/>
          <w:i/>
          <w:sz w:val="22"/>
        </w:rPr>
        <w:t xml:space="preserve"> </w:t>
      </w:r>
    </w:p>
    <w:p w14:paraId="77864113" w14:textId="77777777" w:rsidR="00CD350E" w:rsidRPr="006C7201" w:rsidRDefault="00CD350E" w:rsidP="00CF018E">
      <w:pPr>
        <w:spacing w:after="160" w:line="360" w:lineRule="auto"/>
        <w:ind w:left="567" w:right="616"/>
        <w:contextualSpacing/>
        <w:jc w:val="both"/>
        <w:rPr>
          <w:rFonts w:ascii="Palatino Linotype" w:hAnsi="Palatino Linotype"/>
          <w:i/>
          <w:sz w:val="22"/>
        </w:rPr>
      </w:pPr>
    </w:p>
    <w:p w14:paraId="234A59E1" w14:textId="77777777" w:rsidR="00CF018E" w:rsidRPr="006C7201" w:rsidRDefault="00CD350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Artículo 20 Quinquies. Una vez cumplida la integración de la totalidad de los formatos, requisitos, documentos y anexos técnicos establecidos en el Registro Municipal de Trámites y servicios que acompañan a la solicitud del Dictamen de Giro, el Comité Municipal de Dictámenes de Giro, emitirá</w:t>
      </w:r>
      <w:r w:rsidR="00CF018E" w:rsidRPr="006C7201">
        <w:rPr>
          <w:rFonts w:ascii="Palatino Linotype" w:hAnsi="Palatino Linotype"/>
          <w:i/>
          <w:sz w:val="22"/>
        </w:rPr>
        <w:t xml:space="preserve"> el oficio de procedencia jurídica con el cual, la o el solicitante, puede iniciar la gestión de autorizaciones, licencias y permisos ante las autoridades municipales correspondientes, mismo que no es vinculante para la determinación de procedencia del Dictamen de Giro.  </w:t>
      </w:r>
    </w:p>
    <w:p w14:paraId="61613333"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78F60AD8" w14:textId="77777777"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20 Sexties. Recibidos los documentos que acrediten los requisitos, en un plazo no mayor a tres días hábiles, el Comité Municipal de Dictámenes de Giro, determinará si existe la necesidad de practicar visita o supervisión técnica y física a la unidad económica, precisando el objeto y alcance de la misma, así como, las autoridades que sean competentes para realizar dicha visita y el plazo para ejecutarla, el cual no será mayor a diez días hábiles.  </w:t>
      </w:r>
    </w:p>
    <w:p w14:paraId="47BE9F58"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4A806BBF" w14:textId="120AE9F9"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De ser así, en un plazo máximo de tres días hábiles, el Comité Municipal de Dictámenes de Giro notificará a las autoridades municipales correspondientes, para que realicen la supervisión técnica y física del inmueble de la unidad económica, con el objeto de </w:t>
      </w:r>
      <w:r w:rsidRPr="006C7201">
        <w:rPr>
          <w:rFonts w:ascii="Palatino Linotype" w:hAnsi="Palatino Linotype"/>
          <w:i/>
          <w:sz w:val="22"/>
        </w:rPr>
        <w:lastRenderedPageBreak/>
        <w:t xml:space="preserve">allegarse de los elementos indispensables y estar en aptitud de emitir la evaluación técnica de factibilidad respectiva, que en su caso integre la determinación del Dictamen de Giro o la resolución correspondiente.  </w:t>
      </w:r>
    </w:p>
    <w:p w14:paraId="42740BD0"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16C93EE2" w14:textId="3BB24E56"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Una vez realizada la visita, se deberá elaborar el acta de la misma y entregar al Comité Municipal de Dictámenes de Giro, dentro del término de tres días hábiles.  </w:t>
      </w:r>
    </w:p>
    <w:p w14:paraId="1E32F0BE"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68F61327" w14:textId="77777777"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20 Septies. Concluidas las visitas o supervisiones del artículo anterior, las instancias correspondientes contarán con un plazo improrrogable de veinte días hábiles para emitir las evaluaciones técnicas de factibilidad o la determinación correspondiente y remitirlas al Comité Municipal de Dictámenes de Giro.  </w:t>
      </w:r>
    </w:p>
    <w:p w14:paraId="7AB3458F"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76F3BB0C" w14:textId="77777777"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20 Octies. Si del análisis técnico de la documentación de la unidad económica y de la visita o supervisión, se concluye, de manera fundada y motivada, la necesidad de otros estudios específicos, contemplados en las disposiciones jurídicas aplicables, dentro del plazo máximo de cinco días hábiles, se notificará a la o el solicitante, a fin de que dé cumplimiento en el término fijado al efecto, que en ningún caso podrá exceder quince días hábiles. </w:t>
      </w:r>
    </w:p>
    <w:p w14:paraId="15EB9389"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3B742F17" w14:textId="77777777"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Si por caso fortuito o fuerza mayor el solicitante no pudiera dar cumplimiento o presentar los estudios específicos requeridos, podrá solicitar una prórroga al Comité Municipal de Dictámenes de Giro, el que notificará sobre la procedencia y la ampliación del plazo, hasta por diez días hábiles más. La solicitud de prórroga deberá ser presentada antes de que concluya el plazo fijado para la presentación de los estudios específicos.  </w:t>
      </w:r>
    </w:p>
    <w:p w14:paraId="5FF7A10F"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0987B415" w14:textId="733F56F3"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 xml:space="preserve">Si los estudios no son presentados dentro del plazo fijado para dicho efecto, se dará por concluida la solicitud correspondiente.  </w:t>
      </w:r>
    </w:p>
    <w:p w14:paraId="4192E551"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39EAB529" w14:textId="77777777" w:rsidR="00CF018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20 Nonies. Emitidas las evaluaciones técnicas favorables, se procederá a elaborar el Dictamen de Giro, en un plazo no mayor a diez días hábiles, debiendo notificar al solicitante.  </w:t>
      </w:r>
    </w:p>
    <w:p w14:paraId="0C8199EF" w14:textId="77777777" w:rsidR="00CF018E" w:rsidRPr="006C7201" w:rsidRDefault="00CF018E" w:rsidP="00CF018E">
      <w:pPr>
        <w:spacing w:after="160" w:line="360" w:lineRule="auto"/>
        <w:ind w:left="567" w:right="616"/>
        <w:contextualSpacing/>
        <w:jc w:val="both"/>
        <w:rPr>
          <w:rFonts w:ascii="Palatino Linotype" w:hAnsi="Palatino Linotype"/>
          <w:i/>
          <w:sz w:val="22"/>
        </w:rPr>
      </w:pPr>
    </w:p>
    <w:p w14:paraId="6A9EFC82" w14:textId="7C34B145" w:rsidR="00CD350E" w:rsidRPr="006C7201" w:rsidRDefault="00CF018E" w:rsidP="00CF018E">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Artículo 20 Decies. Ningún trámite para la emisión del Dictamen de Giro, podrá exceder el tiempo previsto para su resolución, salvo los casos que debidamente fundado y motivado así se determinen.</w:t>
      </w:r>
    </w:p>
    <w:p w14:paraId="2DF35209" w14:textId="77777777" w:rsidR="00CD350E" w:rsidRPr="006C7201" w:rsidRDefault="00CD350E" w:rsidP="00CD350E">
      <w:pPr>
        <w:pStyle w:val="Prrafodelista"/>
        <w:rPr>
          <w:rFonts w:ascii="Palatino Linotype" w:hAnsi="Palatino Linotype"/>
        </w:rPr>
      </w:pPr>
    </w:p>
    <w:p w14:paraId="751E3364" w14:textId="74EC4E9C" w:rsidR="00CF018E" w:rsidRPr="006C7201" w:rsidRDefault="009B7195"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Además, es necesario traer a contexto el Reglamento del Comité Municipal de Dictámenes de Giro de San Mateo Atento, el cual establece lo siguiente:</w:t>
      </w:r>
    </w:p>
    <w:p w14:paraId="2890BAC6" w14:textId="77777777" w:rsidR="009B7195" w:rsidRPr="006C7201" w:rsidRDefault="009B7195" w:rsidP="009B7195">
      <w:pPr>
        <w:spacing w:after="160" w:line="360" w:lineRule="auto"/>
        <w:contextualSpacing/>
        <w:jc w:val="both"/>
        <w:rPr>
          <w:rFonts w:ascii="Palatino Linotype" w:hAnsi="Palatino Linotype"/>
        </w:rPr>
      </w:pPr>
    </w:p>
    <w:p w14:paraId="6416FC7A" w14:textId="2BBB096C" w:rsidR="009B7195" w:rsidRPr="006C7201" w:rsidRDefault="009B7195" w:rsidP="00B66EE0">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t>CAPÍTULO III</w:t>
      </w:r>
    </w:p>
    <w:p w14:paraId="2CAE94FA" w14:textId="77777777" w:rsidR="009B7195" w:rsidRPr="006C7201" w:rsidRDefault="009B7195" w:rsidP="00B66EE0">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t>DEL PROCEDIMIENTO PARA LA OBTENCIÓN DEL DICTAMEN DE GIRO   SECCIÓN PRIMERA</w:t>
      </w:r>
    </w:p>
    <w:p w14:paraId="27BF7E79" w14:textId="65E706C8" w:rsidR="009B7195" w:rsidRPr="006C7201" w:rsidRDefault="009B7195" w:rsidP="00B66EE0">
      <w:pPr>
        <w:spacing w:after="160" w:line="360" w:lineRule="auto"/>
        <w:ind w:left="567" w:right="616"/>
        <w:contextualSpacing/>
        <w:jc w:val="center"/>
        <w:rPr>
          <w:rFonts w:ascii="Palatino Linotype" w:hAnsi="Palatino Linotype"/>
          <w:b/>
          <w:i/>
          <w:sz w:val="22"/>
          <w:szCs w:val="22"/>
        </w:rPr>
      </w:pPr>
      <w:r w:rsidRPr="006C7201">
        <w:rPr>
          <w:rFonts w:ascii="Palatino Linotype" w:hAnsi="Palatino Linotype"/>
          <w:b/>
          <w:i/>
          <w:sz w:val="22"/>
          <w:szCs w:val="22"/>
        </w:rPr>
        <w:t>DISPOSICIONES GENERALES</w:t>
      </w:r>
    </w:p>
    <w:p w14:paraId="6AFC060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Artículo 23.- Los propietarios de las unidades económicas de mediano y alto impacto, que expresamente señale la Ley de Competitividad, deberán tramitar y obtener el Dictamen de Giro como requisito para la expedición de la Licencia de Funcionamiento que les permita el ejercicio de su actividad económica.    </w:t>
      </w:r>
    </w:p>
    <w:p w14:paraId="1C2A4F80"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p>
    <w:p w14:paraId="1E38A516"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Artículo 24.- Las personas interesadas en obtener el Dictamen de Giro, deberán presentar su solicitud con firma autógrafa, ante la ventanilla única de la Dirección de Desarrollo Económico, Empleo y Promoción al Calzado, conforme a los formatos, </w:t>
      </w:r>
      <w:r w:rsidRPr="006C7201">
        <w:rPr>
          <w:rFonts w:ascii="Palatino Linotype" w:hAnsi="Palatino Linotype"/>
          <w:i/>
          <w:sz w:val="22"/>
          <w:szCs w:val="22"/>
        </w:rPr>
        <w:lastRenderedPageBreak/>
        <w:t xml:space="preserve">requisitos, documentos y anexos técnicos establecidos en el Registro Municipal de Trámites y Servicios (REMTyS), y previo cotejo de la información mencionada, se colocará el sello de acuse respectivo.    </w:t>
      </w:r>
    </w:p>
    <w:p w14:paraId="7BE705A7"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p>
    <w:p w14:paraId="68D0D013"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Artículo 25.- La solicitud del Dictamen de Giro, deberá contener cuando menos:   </w:t>
      </w:r>
    </w:p>
    <w:p w14:paraId="5239BB9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 Lugar, fecha y hora de presentación de la solicitud; </w:t>
      </w:r>
    </w:p>
    <w:p w14:paraId="02FA7FC3" w14:textId="0BDEE4CE"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 Número de folio de identificación; </w:t>
      </w:r>
    </w:p>
    <w:p w14:paraId="40CFE984" w14:textId="77777777" w:rsidR="00B66EE0"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III. Datos generales del solicitante; </w:t>
      </w:r>
    </w:p>
    <w:p w14:paraId="07BB8516" w14:textId="77777777" w:rsidR="00B66EE0"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a. Nombre, denominación o razón social; </w:t>
      </w:r>
    </w:p>
    <w:p w14:paraId="0C9FA67F" w14:textId="77777777" w:rsidR="00B66EE0"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b. Nombre del apoderado legal tratándose de personas jurídico colectivas, o nombre del apoderado mediante carta poder simple en el caso de personas físicas; </w:t>
      </w:r>
    </w:p>
    <w:p w14:paraId="00FC6EDC" w14:textId="63C31CCB" w:rsidR="009B7195"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c. Domicilio para recibir notificaciones en el territorio municipal, teléfono y correo electrónico; </w:t>
      </w:r>
    </w:p>
    <w:p w14:paraId="74951938"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IV.    Datos de identificación del inmueble; </w:t>
      </w:r>
    </w:p>
    <w:p w14:paraId="62EB7A1A" w14:textId="77777777" w:rsidR="009B7195"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a. Denominación del establecimiento; </w:t>
      </w:r>
    </w:p>
    <w:p w14:paraId="7BE290FB" w14:textId="77777777" w:rsidR="009B7195"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b. Domicilio correcto, especificando entre que calles se encuentra; </w:t>
      </w:r>
    </w:p>
    <w:p w14:paraId="7AD72B80" w14:textId="77777777" w:rsidR="009B7195"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c. Teléfono y correo oficial </w:t>
      </w:r>
    </w:p>
    <w:p w14:paraId="1CCA01D5" w14:textId="77777777" w:rsidR="009B7195"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d. Clave catastral del inmueble; </w:t>
      </w:r>
    </w:p>
    <w:p w14:paraId="15E6F577" w14:textId="77777777" w:rsidR="009B7195" w:rsidRPr="006C7201" w:rsidRDefault="009B7195" w:rsidP="00B66EE0">
      <w:pPr>
        <w:spacing w:after="160" w:line="360" w:lineRule="auto"/>
        <w:ind w:left="709" w:right="616"/>
        <w:contextualSpacing/>
        <w:jc w:val="both"/>
        <w:rPr>
          <w:rFonts w:ascii="Palatino Linotype" w:hAnsi="Palatino Linotype"/>
          <w:i/>
          <w:sz w:val="22"/>
          <w:szCs w:val="22"/>
        </w:rPr>
      </w:pPr>
      <w:r w:rsidRPr="006C7201">
        <w:rPr>
          <w:rFonts w:ascii="Palatino Linotype" w:hAnsi="Palatino Linotype"/>
          <w:i/>
          <w:sz w:val="22"/>
          <w:szCs w:val="22"/>
        </w:rPr>
        <w:t xml:space="preserve">e. Superficie total del inmueble; </w:t>
      </w:r>
    </w:p>
    <w:p w14:paraId="018669D0" w14:textId="77777777" w:rsidR="009B7195" w:rsidRPr="006C7201" w:rsidRDefault="009B7195" w:rsidP="00B66EE0">
      <w:pPr>
        <w:spacing w:after="160" w:line="360" w:lineRule="auto"/>
        <w:ind w:left="709" w:right="616"/>
        <w:contextualSpacing/>
        <w:jc w:val="both"/>
        <w:rPr>
          <w:rFonts w:ascii="Palatino Linotype" w:hAnsi="Palatino Linotype"/>
          <w:b/>
          <w:i/>
          <w:sz w:val="22"/>
          <w:szCs w:val="22"/>
        </w:rPr>
      </w:pPr>
      <w:r w:rsidRPr="006C7201">
        <w:rPr>
          <w:rFonts w:ascii="Palatino Linotype" w:hAnsi="Palatino Linotype"/>
          <w:b/>
          <w:i/>
          <w:sz w:val="22"/>
          <w:szCs w:val="22"/>
        </w:rPr>
        <w:t xml:space="preserve">f. Superficie construida; </w:t>
      </w:r>
    </w:p>
    <w:p w14:paraId="41BB6A17" w14:textId="77777777" w:rsidR="009B7195" w:rsidRPr="006C7201" w:rsidRDefault="009B7195" w:rsidP="00B66EE0">
      <w:pPr>
        <w:spacing w:after="160" w:line="360" w:lineRule="auto"/>
        <w:ind w:left="709" w:right="616"/>
        <w:contextualSpacing/>
        <w:jc w:val="both"/>
        <w:rPr>
          <w:rFonts w:ascii="Palatino Linotype" w:hAnsi="Palatino Linotype"/>
          <w:b/>
          <w:i/>
          <w:sz w:val="22"/>
          <w:szCs w:val="22"/>
        </w:rPr>
      </w:pPr>
      <w:r w:rsidRPr="006C7201">
        <w:rPr>
          <w:rFonts w:ascii="Palatino Linotype" w:hAnsi="Palatino Linotype"/>
          <w:b/>
          <w:i/>
          <w:sz w:val="22"/>
          <w:szCs w:val="22"/>
        </w:rPr>
        <w:t xml:space="preserve">g. Número de niveles del inmueble; </w:t>
      </w:r>
    </w:p>
    <w:p w14:paraId="6C32C467" w14:textId="77777777" w:rsidR="009B7195" w:rsidRPr="006C7201" w:rsidRDefault="009B7195" w:rsidP="00B66EE0">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b/>
          <w:i/>
          <w:sz w:val="22"/>
          <w:szCs w:val="22"/>
        </w:rPr>
        <w:t xml:space="preserve">V.     Giro o actividad económica específica;   </w:t>
      </w:r>
    </w:p>
    <w:p w14:paraId="545840F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 Firma autógrafa del solicitante o de su representante;  </w:t>
      </w:r>
    </w:p>
    <w:p w14:paraId="0EFA6E45"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VII. Firma y sello del servidor público que recibe y coteja la documentación, y un apartado de observaciones; y </w:t>
      </w:r>
    </w:p>
    <w:p w14:paraId="22A67D63" w14:textId="3864F707" w:rsidR="00CF018E"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VIII. Las demás establecidas en las normas jurídicas de aplicación en la materia.  </w:t>
      </w:r>
    </w:p>
    <w:p w14:paraId="431CC685" w14:textId="77777777" w:rsidR="00CF018E" w:rsidRPr="006C7201" w:rsidRDefault="00CF018E" w:rsidP="00B66EE0">
      <w:pPr>
        <w:spacing w:after="160" w:line="360" w:lineRule="auto"/>
        <w:ind w:left="567" w:right="616" w:hanging="708"/>
        <w:contextualSpacing/>
        <w:jc w:val="both"/>
        <w:rPr>
          <w:rFonts w:ascii="Palatino Linotype" w:hAnsi="Palatino Linotype"/>
          <w:i/>
          <w:sz w:val="22"/>
          <w:szCs w:val="22"/>
        </w:rPr>
      </w:pPr>
    </w:p>
    <w:p w14:paraId="6F9EF3A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Artículo 26.- A la solicitud de Dictamen de Giro, se deberá acompañar en copia y original para su cotejo, la documentación siguiente:    </w:t>
      </w:r>
    </w:p>
    <w:p w14:paraId="768C6399"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 Identificación oficial con fotografía vigente del interesado o, en su caso, de su representante legal o de quien actué en su nombre;  </w:t>
      </w:r>
    </w:p>
    <w:p w14:paraId="08064452"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 Poder notarial con facultades para actos de administración en su caso, cuando se trate de persona jurídico colectiva y carta poder simple ante dos testigos cuando se trate de personas físicas, debiendo acompañar las identificaciones oficiales del otorgante, de quien acepta el poder y de los testigos;  </w:t>
      </w:r>
    </w:p>
    <w:p w14:paraId="4F7CAA88"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III. Acta constitutiva en el caso de personas jurídicas colectivas, o del contrato respectivo, tratándose de fideicomisos, documentos que deberán estar inscritos en el Instituto de la Función Registral del Estado de México o en la instancia respectiva;  </w:t>
      </w:r>
    </w:p>
    <w:p w14:paraId="30730759"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IV. Documento que acredite la propiedad o la posesión del inmueble donde se ubique la unidad económica;  </w:t>
      </w:r>
    </w:p>
    <w:p w14:paraId="05B3DE5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b/>
          <w:i/>
          <w:sz w:val="22"/>
          <w:szCs w:val="22"/>
        </w:rPr>
        <w:t>V. Licencia de uso de suelo</w:t>
      </w:r>
      <w:r w:rsidRPr="006C7201">
        <w:rPr>
          <w:rFonts w:ascii="Palatino Linotype" w:hAnsi="Palatino Linotype"/>
          <w:i/>
          <w:sz w:val="22"/>
          <w:szCs w:val="22"/>
        </w:rPr>
        <w:t xml:space="preserve"> o Cédula Informativa de Zonificación;  </w:t>
      </w:r>
    </w:p>
    <w:p w14:paraId="3C327A8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 Autorización expedida por la Secretaría de Gobernación en la cual se permita llevar a cabo la actividad de que se trate, cuando el solicitante sea extranjero;  </w:t>
      </w:r>
    </w:p>
    <w:p w14:paraId="7C3B0CD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VII. Croquis de localización con medidas y colindancias; </w:t>
      </w:r>
    </w:p>
    <w:p w14:paraId="58872337"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VIII. Registro Federal de Contribuyentes;  </w:t>
      </w:r>
    </w:p>
    <w:p w14:paraId="7750CCEC"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IX. Constancia de Situación Fiscal, no mayor a dos meses de la fecha de ingreso de la solicitud; </w:t>
      </w:r>
    </w:p>
    <w:p w14:paraId="30C832F1"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 Imagen fotográfica de frente de dos diferentes ángulos, así como del interior del inmueble objeto del Dictamen de Giro;  </w:t>
      </w:r>
    </w:p>
    <w:p w14:paraId="25C8EC1C"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XI. Formatos, requisitos y anexos técnicos que se establezcan en el Registro Municipal de Trámites y Servicios;  </w:t>
      </w:r>
    </w:p>
    <w:p w14:paraId="0A12CEA6" w14:textId="77777777" w:rsidR="009B7195" w:rsidRPr="006C7201" w:rsidRDefault="009B7195" w:rsidP="00B66EE0">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b/>
          <w:i/>
          <w:sz w:val="22"/>
          <w:szCs w:val="22"/>
        </w:rPr>
        <w:t xml:space="preserve">XII. Aviso de funcionamiento de salubridad; y </w:t>
      </w:r>
    </w:p>
    <w:p w14:paraId="0940668A" w14:textId="77777777" w:rsidR="009B7195"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lastRenderedPageBreak/>
        <w:t xml:space="preserve">XIII. Aquellos documentos que, en específico, indique la Ley de Competitividad de acuerdo al giro comercial que pretenda desarrollar; </w:t>
      </w:r>
    </w:p>
    <w:p w14:paraId="41F8BCC0" w14:textId="06AA6379" w:rsidR="00CF018E" w:rsidRPr="006C7201" w:rsidRDefault="009B7195"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XIV. Las demás establecidas en las normas jurídicas de aplicación en la materia.  </w:t>
      </w:r>
    </w:p>
    <w:p w14:paraId="7E6DE2D2" w14:textId="77777777" w:rsidR="00CF018E" w:rsidRPr="006C7201" w:rsidRDefault="00CF018E" w:rsidP="00B66EE0">
      <w:pPr>
        <w:spacing w:after="160" w:line="360" w:lineRule="auto"/>
        <w:ind w:left="567" w:right="616"/>
        <w:contextualSpacing/>
        <w:jc w:val="both"/>
        <w:rPr>
          <w:rFonts w:ascii="Palatino Linotype" w:hAnsi="Palatino Linotype"/>
          <w:i/>
          <w:sz w:val="22"/>
          <w:szCs w:val="22"/>
        </w:rPr>
      </w:pPr>
    </w:p>
    <w:p w14:paraId="682514C1" w14:textId="77777777" w:rsidR="00CF018E" w:rsidRPr="006C7201" w:rsidRDefault="00CF018E" w:rsidP="00B66EE0">
      <w:pPr>
        <w:spacing w:after="160" w:line="360" w:lineRule="auto"/>
        <w:ind w:left="567" w:right="616"/>
        <w:contextualSpacing/>
        <w:jc w:val="both"/>
        <w:rPr>
          <w:rFonts w:ascii="Palatino Linotype" w:hAnsi="Palatino Linotype"/>
          <w:i/>
          <w:sz w:val="22"/>
          <w:szCs w:val="22"/>
        </w:rPr>
      </w:pPr>
    </w:p>
    <w:p w14:paraId="50C75322"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Artículo 27.-  El Dictamen de Giro deberá contener lo siguiente:   </w:t>
      </w:r>
    </w:p>
    <w:p w14:paraId="1402C5F0"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 Nombre, denominación o razón social del titular del Dictamen de Giro;  </w:t>
      </w:r>
    </w:p>
    <w:p w14:paraId="1050BA94"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 Domicilio de la unidad económica;  </w:t>
      </w:r>
    </w:p>
    <w:p w14:paraId="55DE4089"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III. Superficie total del inmueble y de la unidad económica;  </w:t>
      </w:r>
    </w:p>
    <w:p w14:paraId="2C8FE227"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IV. Clave catastral del inmueble;  </w:t>
      </w:r>
    </w:p>
    <w:p w14:paraId="1F649AFD" w14:textId="77777777" w:rsidR="00B66EE0" w:rsidRPr="006C7201" w:rsidRDefault="00B66EE0" w:rsidP="00B66EE0">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i/>
          <w:sz w:val="22"/>
          <w:szCs w:val="22"/>
        </w:rPr>
        <w:t>V</w:t>
      </w:r>
      <w:r w:rsidRPr="006C7201">
        <w:rPr>
          <w:rFonts w:ascii="Palatino Linotype" w:hAnsi="Palatino Linotype"/>
          <w:b/>
          <w:i/>
          <w:sz w:val="22"/>
          <w:szCs w:val="22"/>
        </w:rPr>
        <w:t xml:space="preserve">. Cajones de estacionamiento incluidos en el mismo predio y habilitados en predios anexos;  </w:t>
      </w:r>
    </w:p>
    <w:p w14:paraId="0C443855" w14:textId="719AA975"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VI. Número de dictamen;  </w:t>
      </w:r>
    </w:p>
    <w:p w14:paraId="5563EDA1" w14:textId="77777777" w:rsidR="00B66EE0" w:rsidRPr="006C7201" w:rsidRDefault="00B66EE0" w:rsidP="00B66EE0">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b/>
          <w:i/>
          <w:sz w:val="22"/>
          <w:szCs w:val="22"/>
        </w:rPr>
        <w:t xml:space="preserve">VII. Giro y actividad comercial;  </w:t>
      </w:r>
    </w:p>
    <w:p w14:paraId="1C9326D7" w14:textId="77777777" w:rsidR="00B66EE0" w:rsidRPr="006C7201" w:rsidRDefault="00B66EE0" w:rsidP="00B66EE0">
      <w:pPr>
        <w:spacing w:after="160" w:line="360" w:lineRule="auto"/>
        <w:ind w:left="567" w:right="616"/>
        <w:contextualSpacing/>
        <w:jc w:val="both"/>
        <w:rPr>
          <w:rFonts w:ascii="Palatino Linotype" w:hAnsi="Palatino Linotype"/>
          <w:b/>
          <w:i/>
          <w:sz w:val="22"/>
          <w:szCs w:val="22"/>
        </w:rPr>
      </w:pPr>
      <w:r w:rsidRPr="006C7201">
        <w:rPr>
          <w:rFonts w:ascii="Palatino Linotype" w:hAnsi="Palatino Linotype"/>
          <w:b/>
          <w:i/>
          <w:sz w:val="22"/>
          <w:szCs w:val="22"/>
        </w:rPr>
        <w:t xml:space="preserve">VIII. Días y horario de funcionamiento, según corresponda; </w:t>
      </w:r>
    </w:p>
    <w:p w14:paraId="0FEFF51F"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IX. Fundamentación jurídica;  </w:t>
      </w:r>
    </w:p>
    <w:p w14:paraId="7A5E32DD"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 Establecer si se trata de una apertura o modificación de la unidad económica;  </w:t>
      </w:r>
    </w:p>
    <w:p w14:paraId="3E004E81"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XI. Referencia de las Evaluaciones Técnicas de Factibilidad;  </w:t>
      </w:r>
    </w:p>
    <w:p w14:paraId="57CA5030"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XII. Nombre y firma del Secretario Técnico y, en su caso, sello electrónico;   </w:t>
      </w:r>
    </w:p>
    <w:p w14:paraId="69907A6F" w14:textId="77777777"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XIII. Fecha de expedición; y </w:t>
      </w:r>
    </w:p>
    <w:p w14:paraId="55FC88CC" w14:textId="66B5D115" w:rsidR="00B66EE0" w:rsidRPr="006C7201" w:rsidRDefault="00B66EE0" w:rsidP="00B66EE0">
      <w:pPr>
        <w:spacing w:after="160" w:line="360" w:lineRule="auto"/>
        <w:ind w:left="567" w:right="616"/>
        <w:contextualSpacing/>
        <w:jc w:val="both"/>
        <w:rPr>
          <w:rFonts w:ascii="Palatino Linotype" w:hAnsi="Palatino Linotype"/>
          <w:i/>
          <w:sz w:val="22"/>
          <w:szCs w:val="22"/>
        </w:rPr>
      </w:pPr>
      <w:r w:rsidRPr="006C7201">
        <w:rPr>
          <w:rFonts w:ascii="Palatino Linotype" w:hAnsi="Palatino Linotype"/>
          <w:i/>
          <w:sz w:val="22"/>
          <w:szCs w:val="22"/>
        </w:rPr>
        <w:t xml:space="preserve">XIV. Manifestación de que en caso de infringir alguna condición bajo la que fue emitido, se procederá a revocar su expedición.    </w:t>
      </w:r>
    </w:p>
    <w:p w14:paraId="5418E76E" w14:textId="77777777" w:rsidR="00B66EE0" w:rsidRPr="006C7201" w:rsidRDefault="00B66EE0" w:rsidP="00B66EE0">
      <w:pPr>
        <w:spacing w:after="160" w:line="360" w:lineRule="auto"/>
        <w:contextualSpacing/>
        <w:jc w:val="both"/>
        <w:rPr>
          <w:rFonts w:ascii="Palatino Linotype" w:hAnsi="Palatino Linotype"/>
        </w:rPr>
      </w:pPr>
    </w:p>
    <w:p w14:paraId="719A2F7D" w14:textId="106C2BB8" w:rsidR="00CF018E" w:rsidRPr="006C7201" w:rsidRDefault="00B66EE0"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 xml:space="preserve">Es así que, entre los documentos que se deben presentar al momento de solicitar el dictamen, aquellos que deben acompañar al dictamen y los elementos que debe contener el propio dictamen, se aprecia que consta la información requerida </w:t>
      </w:r>
      <w:r w:rsidRPr="006C7201">
        <w:rPr>
          <w:rFonts w:ascii="Palatino Linotype" w:hAnsi="Palatino Linotype"/>
        </w:rPr>
        <w:lastRenderedPageBreak/>
        <w:t>por el particular, la cual debe obrar en los archivos del Sujeto Obligado, pues son requisitos indispensables para la realización del trámite para la obtenci</w:t>
      </w:r>
      <w:r w:rsidR="00883143" w:rsidRPr="006C7201">
        <w:rPr>
          <w:rFonts w:ascii="Palatino Linotype" w:hAnsi="Palatino Linotype"/>
        </w:rPr>
        <w:t>ón del dictamen de giro y posteriormente la obtención d</w:t>
      </w:r>
      <w:r w:rsidR="009E23A0" w:rsidRPr="006C7201">
        <w:rPr>
          <w:rFonts w:ascii="Palatino Linotype" w:hAnsi="Palatino Linotype"/>
        </w:rPr>
        <w:t>e la licencia de funcionamiento, en consecuencia, al formar parte del expediente por ser documentación elemental para la expedición de las licencias correspondientes, es que se determina su existencia y se ordena su entrega.</w:t>
      </w:r>
    </w:p>
    <w:p w14:paraId="7D835790" w14:textId="77777777" w:rsidR="00FD3086" w:rsidRPr="006C7201" w:rsidRDefault="00FD3086" w:rsidP="00FD3086">
      <w:pPr>
        <w:spacing w:after="160" w:line="360" w:lineRule="auto"/>
        <w:contextualSpacing/>
        <w:jc w:val="both"/>
        <w:rPr>
          <w:rFonts w:ascii="Palatino Linotype" w:hAnsi="Palatino Linotype"/>
        </w:rPr>
      </w:pPr>
    </w:p>
    <w:p w14:paraId="78A873E1" w14:textId="7D2E657E" w:rsidR="00E63E17" w:rsidRPr="006C7201" w:rsidRDefault="00FD3086" w:rsidP="001E62A1">
      <w:pPr>
        <w:numPr>
          <w:ilvl w:val="0"/>
          <w:numId w:val="1"/>
        </w:numPr>
        <w:spacing w:after="160" w:line="360" w:lineRule="auto"/>
        <w:contextualSpacing/>
        <w:jc w:val="both"/>
        <w:rPr>
          <w:rFonts w:ascii="Palatino Linotype" w:hAnsi="Palatino Linotype"/>
        </w:rPr>
      </w:pPr>
      <w:r w:rsidRPr="006C7201">
        <w:rPr>
          <w:rFonts w:ascii="Palatino Linotype" w:hAnsi="Palatino Linotype"/>
        </w:rPr>
        <w:t>Además, no pasa desapercibido para este Órgano Garante que le corresponde a la</w:t>
      </w:r>
      <w:r w:rsidR="00E63E17" w:rsidRPr="006C7201">
        <w:rPr>
          <w:rFonts w:ascii="Palatino Linotype" w:hAnsi="Palatino Linotype"/>
        </w:rPr>
        <w:t xml:space="preserve"> Unidad de Protección </w:t>
      </w:r>
      <w:r w:rsidR="007C4861" w:rsidRPr="006C7201">
        <w:rPr>
          <w:rFonts w:ascii="Palatino Linotype" w:hAnsi="Palatino Linotype"/>
        </w:rPr>
        <w:t>Civil, el</w:t>
      </w:r>
      <w:r w:rsidR="00E63E17" w:rsidRPr="006C7201">
        <w:rPr>
          <w:rFonts w:ascii="Palatino Linotype" w:hAnsi="Palatino Linotype"/>
        </w:rPr>
        <w:t xml:space="preserve"> procedimiento para la Inspección y Dictaminación de Giros bajo, medio y alto riesgo, cuyo objetivo es realizar inspecciones de medidas de seguridad en todos los establecimientos que se encuentren en territorios municipal, a efecto de emitir el dictamen de Condiciones Mínimas de Seguridad. Pues al Titular de la Unidad le corresponde supervisar el procedimiento y firmar dicho dictamen, a través de las siguientes políticas:</w:t>
      </w:r>
    </w:p>
    <w:p w14:paraId="7B4C8962" w14:textId="77777777" w:rsidR="00E63E17" w:rsidRPr="006C7201" w:rsidRDefault="00E63E17" w:rsidP="00E63E17">
      <w:pPr>
        <w:pStyle w:val="Prrafodelista"/>
        <w:rPr>
          <w:rFonts w:ascii="Palatino Linotype" w:hAnsi="Palatino Linotype"/>
        </w:rPr>
      </w:pPr>
    </w:p>
    <w:p w14:paraId="452A00DC" w14:textId="77777777" w:rsidR="00E63E17" w:rsidRPr="006C7201" w:rsidRDefault="00E63E17" w:rsidP="00E63E17">
      <w:pPr>
        <w:spacing w:after="160" w:line="360" w:lineRule="auto"/>
        <w:ind w:left="567" w:right="616"/>
        <w:contextualSpacing/>
        <w:jc w:val="both"/>
        <w:rPr>
          <w:rFonts w:ascii="Palatino Linotype" w:hAnsi="Palatino Linotype"/>
          <w:b/>
          <w:i/>
        </w:rPr>
      </w:pPr>
      <w:r w:rsidRPr="006C7201">
        <w:rPr>
          <w:rFonts w:ascii="Palatino Linotype" w:hAnsi="Palatino Linotype"/>
          <w:b/>
          <w:i/>
        </w:rPr>
        <w:t xml:space="preserve">POLÍTICAS  </w:t>
      </w:r>
    </w:p>
    <w:p w14:paraId="167BC6C6" w14:textId="77777777" w:rsidR="00E63E17" w:rsidRPr="006C7201" w:rsidRDefault="00E63E17" w:rsidP="00E63E17">
      <w:pPr>
        <w:spacing w:after="160" w:line="360" w:lineRule="auto"/>
        <w:ind w:left="567" w:right="616"/>
        <w:contextualSpacing/>
        <w:jc w:val="both"/>
        <w:rPr>
          <w:rFonts w:ascii="Palatino Linotype" w:hAnsi="Palatino Linotype"/>
          <w:i/>
        </w:rPr>
      </w:pPr>
      <w:r w:rsidRPr="006C7201">
        <w:rPr>
          <w:rFonts w:ascii="Palatino Linotype" w:hAnsi="Palatino Linotype"/>
          <w:i/>
        </w:rPr>
        <w:t xml:space="preserve">- Las peticiones serán atendidas bajo la más estricta confidencialidad y no deben divulgarse al personal que no tenga competencia en la petición. </w:t>
      </w:r>
    </w:p>
    <w:p w14:paraId="09C8B47C" w14:textId="77777777" w:rsidR="00E63E17" w:rsidRPr="006C7201" w:rsidRDefault="00E63E17" w:rsidP="00E63E17">
      <w:pPr>
        <w:spacing w:after="160" w:line="360" w:lineRule="auto"/>
        <w:ind w:left="567" w:right="616"/>
        <w:contextualSpacing/>
        <w:jc w:val="both"/>
        <w:rPr>
          <w:rFonts w:ascii="Palatino Linotype" w:hAnsi="Palatino Linotype"/>
          <w:i/>
        </w:rPr>
      </w:pPr>
      <w:r w:rsidRPr="006C7201">
        <w:rPr>
          <w:rFonts w:ascii="Palatino Linotype" w:hAnsi="Palatino Linotype"/>
          <w:i/>
        </w:rPr>
        <w:t xml:space="preserve">- En todos los casos se atenderá de manera amable y profesional. </w:t>
      </w:r>
    </w:p>
    <w:p w14:paraId="44538392" w14:textId="77777777" w:rsidR="00E63E17" w:rsidRPr="006C7201" w:rsidRDefault="00E63E17" w:rsidP="00E63E17">
      <w:pPr>
        <w:spacing w:after="160" w:line="360" w:lineRule="auto"/>
        <w:ind w:left="567" w:right="616"/>
        <w:contextualSpacing/>
        <w:jc w:val="both"/>
        <w:rPr>
          <w:rFonts w:ascii="Palatino Linotype" w:hAnsi="Palatino Linotype"/>
          <w:i/>
        </w:rPr>
      </w:pPr>
      <w:r w:rsidRPr="006C7201">
        <w:rPr>
          <w:rFonts w:ascii="Palatino Linotype" w:hAnsi="Palatino Linotype"/>
          <w:i/>
        </w:rPr>
        <w:t>- Toda petición recibida deberá turnarse el mismo día al área competente.</w:t>
      </w:r>
    </w:p>
    <w:p w14:paraId="33534BEB" w14:textId="6B9C7171" w:rsidR="00E63E17" w:rsidRPr="006C7201" w:rsidRDefault="00E63E17" w:rsidP="00E63E17">
      <w:pPr>
        <w:spacing w:after="160" w:line="360" w:lineRule="auto"/>
        <w:ind w:left="567" w:right="616"/>
        <w:contextualSpacing/>
        <w:jc w:val="both"/>
        <w:rPr>
          <w:rFonts w:ascii="Palatino Linotype" w:hAnsi="Palatino Linotype"/>
          <w:i/>
        </w:rPr>
      </w:pPr>
      <w:r w:rsidRPr="006C7201">
        <w:rPr>
          <w:rFonts w:ascii="Palatino Linotype" w:hAnsi="Palatino Linotype"/>
          <w:i/>
        </w:rPr>
        <w:t xml:space="preserve">- Siempre se explicará al ciudadano el tratamiento que se dará a su petición, evitando </w:t>
      </w:r>
      <w:r w:rsidR="007C4861" w:rsidRPr="006C7201">
        <w:rPr>
          <w:rFonts w:ascii="Palatino Linotype" w:hAnsi="Palatino Linotype"/>
          <w:i/>
        </w:rPr>
        <w:t>crearles</w:t>
      </w:r>
      <w:r w:rsidRPr="006C7201">
        <w:rPr>
          <w:rFonts w:ascii="Palatino Linotype" w:hAnsi="Palatino Linotype"/>
          <w:i/>
        </w:rPr>
        <w:t xml:space="preserve"> falsas expectativas respecto a las consecuencias de la misma. </w:t>
      </w:r>
    </w:p>
    <w:p w14:paraId="5CB96617" w14:textId="45CB8C73" w:rsidR="00E63E17" w:rsidRPr="006C7201" w:rsidRDefault="00E63E17" w:rsidP="00E63E17">
      <w:pPr>
        <w:spacing w:after="160" w:line="360" w:lineRule="auto"/>
        <w:ind w:left="567" w:right="616"/>
        <w:contextualSpacing/>
        <w:jc w:val="both"/>
        <w:rPr>
          <w:rFonts w:ascii="Palatino Linotype" w:hAnsi="Palatino Linotype"/>
          <w:i/>
        </w:rPr>
      </w:pPr>
      <w:r w:rsidRPr="006C7201">
        <w:rPr>
          <w:rFonts w:ascii="Palatino Linotype" w:hAnsi="Palatino Linotype"/>
          <w:i/>
        </w:rPr>
        <w:t xml:space="preserve">- Cédulas debidamente requisitadas por el contribuyente y complementadas con la documentación anexa que se solicita de acuerdo al giro y nivel de riesgo. </w:t>
      </w:r>
    </w:p>
    <w:p w14:paraId="26BBF895" w14:textId="77777777" w:rsidR="00E63E17" w:rsidRPr="006C7201" w:rsidRDefault="00E63E17" w:rsidP="00E63E17">
      <w:pPr>
        <w:spacing w:after="160" w:line="360" w:lineRule="auto"/>
        <w:contextualSpacing/>
        <w:jc w:val="both"/>
        <w:rPr>
          <w:rFonts w:ascii="Palatino Linotype" w:hAnsi="Palatino Linotype"/>
        </w:rPr>
      </w:pPr>
    </w:p>
    <w:p w14:paraId="423F6AFD" w14:textId="60507FD7" w:rsidR="00E63E17" w:rsidRPr="006C7201" w:rsidRDefault="00E63E17"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Asimismo, corresponde a dicha área realizar diversos requerimientos, a efecto de contar con los elementos necesarios y realizar la expedición del dictamen correspondiente, los cuales se encuentran plasmados en el Manual de Procedimientos, entre los cuales se encuentran los siguientes:</w:t>
      </w:r>
    </w:p>
    <w:p w14:paraId="0B454CED" w14:textId="77777777" w:rsidR="00E63E17" w:rsidRPr="006C7201" w:rsidRDefault="00E63E17" w:rsidP="00E63E17">
      <w:pPr>
        <w:spacing w:after="160" w:line="360" w:lineRule="auto"/>
        <w:contextualSpacing/>
        <w:jc w:val="both"/>
        <w:rPr>
          <w:rFonts w:ascii="Palatino Linotype" w:hAnsi="Palatino Linotype"/>
        </w:rPr>
      </w:pPr>
    </w:p>
    <w:p w14:paraId="1DE38B3A" w14:textId="77777777" w:rsidR="00E63E17" w:rsidRPr="006C7201" w:rsidRDefault="00E63E17" w:rsidP="00E63E17">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 xml:space="preserve">INSUMOS  </w:t>
      </w:r>
    </w:p>
    <w:p w14:paraId="062EBD37"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 Cédulas requisitadas y firmadas por el contribuyente.  </w:t>
      </w:r>
    </w:p>
    <w:p w14:paraId="6A2BE9A9"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 Identificación oficial con fotografía (copia simple y original para cotejo). </w:t>
      </w:r>
    </w:p>
    <w:p w14:paraId="43E439A8"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 Carta poder o poder notarial (copia simple y original para cotejo). </w:t>
      </w:r>
    </w:p>
    <w:p w14:paraId="6DA448A6"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 Programa específico de protección civil o plan de emergencias (CD) según corresponda. </w:t>
      </w:r>
    </w:p>
    <w:p w14:paraId="2E91F19D"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Carta responsiva de la empresa que recarga o da mantenimiento a extintores.</w:t>
      </w:r>
    </w:p>
    <w:p w14:paraId="4E6DBEA0"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Factura de recarga o compra de extintores (copia simple y original para cotejo).</w:t>
      </w:r>
    </w:p>
    <w:p w14:paraId="679E2201"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 Constancias de capacitación (copia simple). </w:t>
      </w:r>
    </w:p>
    <w:p w14:paraId="58AB050C" w14:textId="77777777"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Para el caso de programas específicos de protección civil, presentar copia simple de la constancia de registro del programa o del consultor.</w:t>
      </w:r>
    </w:p>
    <w:p w14:paraId="7CA4E734" w14:textId="3AEB2FB4" w:rsidR="00E63E17" w:rsidRPr="006C7201" w:rsidRDefault="00E63E17" w:rsidP="00E63E17">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Fotografía impresa del frente del inmueble.</w:t>
      </w:r>
    </w:p>
    <w:p w14:paraId="708D28F0" w14:textId="77777777" w:rsidR="00E63E17" w:rsidRPr="006C7201" w:rsidRDefault="00E63E17" w:rsidP="00E63E17">
      <w:pPr>
        <w:spacing w:after="160" w:line="360" w:lineRule="auto"/>
        <w:contextualSpacing/>
        <w:jc w:val="both"/>
        <w:rPr>
          <w:rFonts w:ascii="Palatino Linotype" w:hAnsi="Palatino Linotype"/>
        </w:rPr>
      </w:pPr>
    </w:p>
    <w:p w14:paraId="098B227D" w14:textId="11F430EC" w:rsidR="00E63E17" w:rsidRPr="006C7201" w:rsidRDefault="00E63E17" w:rsidP="00E63E17">
      <w:pPr>
        <w:numPr>
          <w:ilvl w:val="0"/>
          <w:numId w:val="1"/>
        </w:numPr>
        <w:spacing w:after="160" w:line="360" w:lineRule="auto"/>
        <w:contextualSpacing/>
        <w:jc w:val="both"/>
        <w:rPr>
          <w:rFonts w:ascii="Palatino Linotype" w:hAnsi="Palatino Linotype"/>
        </w:rPr>
      </w:pPr>
      <w:r w:rsidRPr="006C7201">
        <w:rPr>
          <w:rFonts w:ascii="Palatino Linotype" w:hAnsi="Palatino Linotype"/>
        </w:rPr>
        <w:t>Es así que se determina que el sujeto Obligado, a través de Coordinación Municipal de Protección Civil y Bomberos, realizar diversos requerimientos para la emisión del Dictamen de Condiciones Mínimas de Seguridad en la apertura de unidades económicas, por lo que es información que se genera, administra y posee, en consecuencia, debe ser de conocimiento público, pues le asiste la característica y principio de máxima publicidad.</w:t>
      </w:r>
    </w:p>
    <w:p w14:paraId="78222B29" w14:textId="77777777" w:rsidR="00E63E17" w:rsidRPr="006C7201" w:rsidRDefault="00E63E17" w:rsidP="00E63E17">
      <w:pPr>
        <w:spacing w:after="160" w:line="360" w:lineRule="auto"/>
        <w:contextualSpacing/>
        <w:jc w:val="both"/>
        <w:rPr>
          <w:rFonts w:ascii="Palatino Linotype" w:hAnsi="Palatino Linotype"/>
        </w:rPr>
      </w:pPr>
    </w:p>
    <w:p w14:paraId="1C105A80" w14:textId="15F84574" w:rsidR="00883143" w:rsidRPr="006C7201" w:rsidRDefault="00883143"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lastRenderedPageBreak/>
        <w:t xml:space="preserve">Ahora bien, por lo que corresponde a las verificaciones, </w:t>
      </w:r>
      <w:r w:rsidR="00AE3841" w:rsidRPr="006C7201">
        <w:rPr>
          <w:rFonts w:ascii="Palatino Linotype" w:hAnsi="Palatino Linotype"/>
        </w:rPr>
        <w:t>el Ayuntamiento de San Mateo Atenco, establece en su registro de trámites y servicios lo siguiente:</w:t>
      </w:r>
    </w:p>
    <w:p w14:paraId="481A11F8" w14:textId="77777777" w:rsidR="00AE3841" w:rsidRPr="006C7201" w:rsidRDefault="00AE3841" w:rsidP="00AE3841">
      <w:pPr>
        <w:pStyle w:val="Prrafodelista"/>
        <w:rPr>
          <w:rFonts w:ascii="Palatino Linotype" w:hAnsi="Palatino Linotype"/>
        </w:rPr>
      </w:pPr>
    </w:p>
    <w:p w14:paraId="4F77F5B5" w14:textId="1201253A" w:rsidR="00AE3841" w:rsidRPr="006C7201" w:rsidRDefault="00AE3841" w:rsidP="009E23A0">
      <w:pPr>
        <w:spacing w:after="160" w:line="360" w:lineRule="auto"/>
        <w:contextualSpacing/>
        <w:jc w:val="center"/>
        <w:rPr>
          <w:rFonts w:ascii="Palatino Linotype" w:hAnsi="Palatino Linotype"/>
        </w:rPr>
      </w:pPr>
      <w:r w:rsidRPr="006C7201">
        <w:rPr>
          <w:rFonts w:ascii="Palatino Linotype" w:hAnsi="Palatino Linotype"/>
          <w:noProof/>
          <w:lang w:eastAsia="es-MX"/>
        </w:rPr>
        <w:drawing>
          <wp:inline distT="0" distB="0" distL="0" distR="0" wp14:anchorId="50FDD519" wp14:editId="34E4EE4F">
            <wp:extent cx="5001323" cy="6144482"/>
            <wp:effectExtent l="0" t="0" r="889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01323" cy="6144482"/>
                    </a:xfrm>
                    <a:prstGeom prst="rect">
                      <a:avLst/>
                    </a:prstGeom>
                  </pic:spPr>
                </pic:pic>
              </a:graphicData>
            </a:graphic>
          </wp:inline>
        </w:drawing>
      </w:r>
    </w:p>
    <w:p w14:paraId="28993280" w14:textId="77777777" w:rsidR="00AE3841" w:rsidRPr="006C7201" w:rsidRDefault="00AE3841" w:rsidP="00AE3841">
      <w:pPr>
        <w:pStyle w:val="Prrafodelista"/>
        <w:rPr>
          <w:rFonts w:ascii="Palatino Linotype" w:hAnsi="Palatino Linotype"/>
        </w:rPr>
      </w:pPr>
    </w:p>
    <w:p w14:paraId="6120326B" w14:textId="5A053445" w:rsidR="00EB4A69" w:rsidRPr="006C7201" w:rsidRDefault="00EB4A69" w:rsidP="00EB4A69">
      <w:pPr>
        <w:pStyle w:val="Prrafodelista"/>
        <w:numPr>
          <w:ilvl w:val="0"/>
          <w:numId w:val="1"/>
        </w:numPr>
        <w:spacing w:after="160" w:line="360" w:lineRule="auto"/>
        <w:ind w:right="616"/>
        <w:jc w:val="both"/>
        <w:rPr>
          <w:rFonts w:ascii="Palatino Linotype" w:hAnsi="Palatino Linotype"/>
        </w:rPr>
      </w:pPr>
      <w:r w:rsidRPr="006C7201">
        <w:rPr>
          <w:rFonts w:ascii="Palatino Linotype" w:hAnsi="Palatino Linotype"/>
        </w:rPr>
        <w:t>El bando municipal del Sujeto Obligado, en el artículo 150, establece lo siguiente:</w:t>
      </w:r>
    </w:p>
    <w:p w14:paraId="4D971874" w14:textId="1BBDAEED" w:rsidR="00AE3841" w:rsidRPr="006C7201" w:rsidRDefault="00AE3841" w:rsidP="00EB4A69">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Artículo 150. La opinión técnica de viabilidad que requieren los establecimientos se otorgará por la Coordinación Municipal de Protección Civil y Bomberos</w:t>
      </w:r>
      <w:r w:rsidRPr="006C7201">
        <w:rPr>
          <w:rFonts w:ascii="Palatino Linotype" w:hAnsi="Palatino Linotype"/>
          <w:i/>
          <w:sz w:val="22"/>
        </w:rPr>
        <w:t xml:space="preserve">, previa verificación a giros, educativos, estancias infantiles, establecimientos comerciales de industria manufacturera, prestación de servicios, espectáculos públicos y atención al público, cuando cumplan con los requisitos establecidos en los ordenamientos correspondientes. </w:t>
      </w:r>
      <w:r w:rsidRPr="006C7201">
        <w:rPr>
          <w:rFonts w:ascii="Palatino Linotype" w:hAnsi="Palatino Linotype"/>
          <w:b/>
          <w:i/>
          <w:sz w:val="22"/>
        </w:rPr>
        <w:t>Para el caso de los establecimientos que se encuentran en el catálogo de giros del sistema de apertura rápida de empresas del Municipio, se extenderá el visto bueno a través de una constancia de verificación, una vez que sea verificado y autorizado por la Coordinación de Protección Civil y Bomberos.</w:t>
      </w:r>
    </w:p>
    <w:p w14:paraId="3891E61E" w14:textId="77777777" w:rsidR="00AE3841" w:rsidRPr="006C7201" w:rsidRDefault="00AE3841" w:rsidP="00883143">
      <w:pPr>
        <w:spacing w:after="160" w:line="360" w:lineRule="auto"/>
        <w:contextualSpacing/>
        <w:jc w:val="both"/>
        <w:rPr>
          <w:rFonts w:ascii="Palatino Linotype" w:hAnsi="Palatino Linotype"/>
        </w:rPr>
      </w:pPr>
    </w:p>
    <w:p w14:paraId="7386C334" w14:textId="68F082FC" w:rsidR="00883143" w:rsidRPr="006C7201" w:rsidRDefault="00EB4A69"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La normatividad, establece que la verificación correrá a cargo de la Coordinación Municipal de Protección Civil y Bomberos. En el mismo sentido, El Código Administrativo del Estado de México establece lo siguiente:</w:t>
      </w:r>
    </w:p>
    <w:p w14:paraId="6DDDE76B" w14:textId="77777777" w:rsidR="00EB4A69" w:rsidRPr="006C7201" w:rsidRDefault="00EB4A69" w:rsidP="00EB4A69">
      <w:pPr>
        <w:spacing w:after="160" w:line="360" w:lineRule="auto"/>
        <w:contextualSpacing/>
        <w:jc w:val="both"/>
        <w:rPr>
          <w:rFonts w:ascii="Palatino Linotype" w:hAnsi="Palatino Linotype"/>
        </w:rPr>
      </w:pPr>
    </w:p>
    <w:p w14:paraId="13FB99C7" w14:textId="31C04535" w:rsidR="00883143" w:rsidRPr="006C7201" w:rsidRDefault="00EB4A69" w:rsidP="00EB4A69">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Artículo 6.25 Bis. Corresponde a los Municipios emitir dictamen de protección civil de bajo riesgo, incluyendo a los establecimientos mercantiles que vendan bebidas alcohólicas para su consumo, en envase cerrado o al copeo.</w:t>
      </w:r>
    </w:p>
    <w:p w14:paraId="58BFE83F" w14:textId="77777777" w:rsidR="00EB4A69" w:rsidRPr="006C7201" w:rsidRDefault="00EB4A69" w:rsidP="00EB4A69">
      <w:pPr>
        <w:spacing w:after="160" w:line="360" w:lineRule="auto"/>
        <w:contextualSpacing/>
        <w:jc w:val="both"/>
        <w:rPr>
          <w:rFonts w:ascii="Palatino Linotype" w:hAnsi="Palatino Linotype"/>
        </w:rPr>
      </w:pPr>
    </w:p>
    <w:p w14:paraId="364732BF" w14:textId="470AB1B0" w:rsidR="00883143" w:rsidRPr="006C7201" w:rsidRDefault="00EB4A69"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t>Es así que, la verificación que realiza la Coordinación Municipal de Protección Civil, es la visita que se realiza al establecimiento comercial que cuente con las condiciones y medidas de seguridad requeridas</w:t>
      </w:r>
      <w:r w:rsidR="0098257E" w:rsidRPr="006C7201">
        <w:rPr>
          <w:rFonts w:ascii="Palatino Linotype" w:hAnsi="Palatino Linotype"/>
        </w:rPr>
        <w:t xml:space="preserve">, siendo importante que, para </w:t>
      </w:r>
      <w:r w:rsidR="0098257E" w:rsidRPr="006C7201">
        <w:rPr>
          <w:rFonts w:ascii="Palatino Linotype" w:hAnsi="Palatino Linotype"/>
        </w:rPr>
        <w:lastRenderedPageBreak/>
        <w:t xml:space="preserve">que se realice la verificación debe existir una solicitud previa, como se puede visualizar en la cédula de información, </w:t>
      </w:r>
      <w:r w:rsidR="0098257E" w:rsidRPr="006C7201">
        <w:rPr>
          <w:rFonts w:ascii="Palatino Linotype" w:hAnsi="Palatino Linotype"/>
          <w:b/>
        </w:rPr>
        <w:t>es decir, la verificación es a petición de parte.</w:t>
      </w:r>
    </w:p>
    <w:p w14:paraId="5FD1B846" w14:textId="77777777" w:rsidR="0098257E" w:rsidRPr="006C7201" w:rsidRDefault="0098257E" w:rsidP="0098257E">
      <w:pPr>
        <w:spacing w:after="160" w:line="360" w:lineRule="auto"/>
        <w:contextualSpacing/>
        <w:jc w:val="both"/>
        <w:rPr>
          <w:rFonts w:ascii="Palatino Linotype" w:hAnsi="Palatino Linotype"/>
        </w:rPr>
      </w:pPr>
    </w:p>
    <w:p w14:paraId="025CC7BB" w14:textId="3556B72D" w:rsidR="0098257E" w:rsidRPr="006C7201" w:rsidRDefault="0098257E" w:rsidP="0098257E">
      <w:pPr>
        <w:numPr>
          <w:ilvl w:val="0"/>
          <w:numId w:val="1"/>
        </w:numPr>
        <w:spacing w:after="160" w:line="360" w:lineRule="auto"/>
        <w:contextualSpacing/>
        <w:jc w:val="both"/>
        <w:rPr>
          <w:rFonts w:ascii="Palatino Linotype" w:hAnsi="Palatino Linotype"/>
        </w:rPr>
      </w:pPr>
      <w:r w:rsidRPr="006C7201">
        <w:rPr>
          <w:rFonts w:ascii="Palatino Linotype" w:hAnsi="Palatino Linotype"/>
        </w:rPr>
        <w:t xml:space="preserve">Dicho lo anterior, el Sujeto Obligado, a través de la Coordinación Municipal de Protección Civil y Bomberos refirió que </w:t>
      </w:r>
      <w:r w:rsidRPr="006C7201">
        <w:rPr>
          <w:rFonts w:ascii="Palatino Linotype" w:hAnsi="Palatino Linotype"/>
          <w:b/>
        </w:rPr>
        <w:t xml:space="preserve">sólo </w:t>
      </w:r>
      <w:r w:rsidRPr="006C7201">
        <w:rPr>
          <w:rFonts w:ascii="Palatino Linotype" w:eastAsia="Times New Roman" w:hAnsi="Palatino Linotype" w:cs="Arial"/>
          <w:b/>
          <w:color w:val="000000" w:themeColor="text1"/>
          <w:lang w:val="es-ES"/>
        </w:rPr>
        <w:t>existe una solicitud de fecha 7 de marzo de 2022, donde se solicita verificación y visto bueno, visita de inspección que se realizó el 16 de marzo 2022,</w:t>
      </w:r>
      <w:r w:rsidRPr="006C7201">
        <w:rPr>
          <w:rFonts w:ascii="Palatino Linotype" w:eastAsia="Times New Roman" w:hAnsi="Palatino Linotype" w:cs="Arial"/>
          <w:color w:val="000000" w:themeColor="text1"/>
          <w:lang w:val="es-ES"/>
        </w:rPr>
        <w:t xml:space="preserve"> donde se observó la carencia de señalética informativa, de prevención, extintores, así como extintores vacíos y le hacía falta dar el mantenimiento a la instalación eléctrica. Se dieron las recomendaciones necesarias para contar con las medidas de seguridad necesarias en el inmueble, posteriormente volver a solicitar su verificación en la ventanilla y hasta la fecha no se ha registrado ninguna solicitud del inmueble.</w:t>
      </w:r>
    </w:p>
    <w:p w14:paraId="4D2791EE" w14:textId="77777777" w:rsidR="00B53665" w:rsidRPr="006C7201" w:rsidRDefault="00B53665" w:rsidP="00B53665">
      <w:pPr>
        <w:pStyle w:val="Prrafodelista"/>
        <w:rPr>
          <w:rFonts w:ascii="Palatino Linotype" w:hAnsi="Palatino Linotype"/>
        </w:rPr>
      </w:pPr>
    </w:p>
    <w:p w14:paraId="25033FE8" w14:textId="77777777" w:rsidR="00B53665" w:rsidRPr="006C7201" w:rsidRDefault="00B53665" w:rsidP="0098257E">
      <w:pPr>
        <w:pStyle w:val="Prrafodelista"/>
        <w:numPr>
          <w:ilvl w:val="0"/>
          <w:numId w:val="1"/>
        </w:numPr>
        <w:spacing w:line="360" w:lineRule="auto"/>
        <w:jc w:val="both"/>
        <w:rPr>
          <w:rFonts w:ascii="Palatino Linotype" w:eastAsia="Calibri" w:hAnsi="Palatino Linotype" w:cs="Arial"/>
          <w:sz w:val="32"/>
        </w:rPr>
      </w:pPr>
      <w:r w:rsidRPr="006C7201">
        <w:rPr>
          <w:rFonts w:ascii="Palatino Linotype" w:eastAsia="Calibri" w:hAnsi="Palatino Linotype" w:cs="Arial"/>
        </w:rPr>
        <w:t>Entonces al señalar que únicamente se cuenta con una verificación del año 2022, es que, la información relativa a años previos no obra en los archivos del sujeto obligado, por el hecho de que el particular no solicitó la verificación de la autoridad correspondiente, lo que se tiene como hecho negativo.</w:t>
      </w:r>
    </w:p>
    <w:p w14:paraId="7DD3CE20" w14:textId="77777777" w:rsidR="00B53665" w:rsidRPr="006C7201" w:rsidRDefault="00B53665" w:rsidP="00B53665">
      <w:pPr>
        <w:pStyle w:val="Prrafodelista"/>
        <w:rPr>
          <w:rFonts w:ascii="Palatino Linotype" w:eastAsia="Calibri" w:hAnsi="Palatino Linotype" w:cs="Arial"/>
        </w:rPr>
      </w:pPr>
    </w:p>
    <w:p w14:paraId="67029E68" w14:textId="77777777" w:rsidR="00B53665" w:rsidRPr="006C7201" w:rsidRDefault="00B53665" w:rsidP="00B53665">
      <w:pPr>
        <w:pStyle w:val="Prrafodelista"/>
        <w:numPr>
          <w:ilvl w:val="0"/>
          <w:numId w:val="1"/>
        </w:numPr>
        <w:autoSpaceDE w:val="0"/>
        <w:autoSpaceDN w:val="0"/>
        <w:adjustRightInd w:val="0"/>
        <w:spacing w:line="360" w:lineRule="auto"/>
        <w:ind w:right="113"/>
        <w:jc w:val="both"/>
        <w:rPr>
          <w:rFonts w:ascii="Palatino Linotype" w:hAnsi="Palatino Linotype"/>
          <w:i/>
          <w:iCs/>
        </w:rPr>
      </w:pPr>
      <w:r w:rsidRPr="006C7201">
        <w:rPr>
          <w:rFonts w:ascii="Palatino Linotype" w:hAnsi="Palatino Linotype" w:cs="Arial"/>
          <w:color w:val="000000" w:themeColor="text1"/>
        </w:rPr>
        <w:t>Lo anterior encuentra sustento con la Jurisprudencia 267,287 y el Criterio 10/2004 emitidos por el Máximo Juzgador del país, Tesis que determinan lo siguiente:</w:t>
      </w:r>
    </w:p>
    <w:p w14:paraId="6A83F2C4" w14:textId="77777777" w:rsidR="00B53665" w:rsidRPr="006C7201" w:rsidRDefault="00B53665" w:rsidP="00B53665">
      <w:pPr>
        <w:pStyle w:val="Prrafodelista"/>
        <w:rPr>
          <w:rFonts w:ascii="Palatino Linotype" w:hAnsi="Palatino Linotype"/>
          <w:i/>
          <w:iCs/>
        </w:rPr>
      </w:pPr>
    </w:p>
    <w:p w14:paraId="63053420" w14:textId="77777777" w:rsidR="00B53665" w:rsidRPr="006C7201" w:rsidRDefault="00B53665" w:rsidP="00B53665">
      <w:pPr>
        <w:pStyle w:val="Prrafodelista"/>
        <w:tabs>
          <w:tab w:val="left" w:pos="426"/>
        </w:tabs>
        <w:spacing w:before="240" w:after="240" w:line="360" w:lineRule="auto"/>
        <w:ind w:left="567" w:right="567"/>
        <w:jc w:val="both"/>
        <w:rPr>
          <w:rFonts w:ascii="Palatino Linotype" w:hAnsi="Palatino Linotype" w:cs="Arial"/>
          <w:i/>
        </w:rPr>
      </w:pPr>
      <w:r w:rsidRPr="006C7201">
        <w:rPr>
          <w:rFonts w:ascii="Palatino Linotype" w:hAnsi="Palatino Linotype" w:cs="Arial"/>
          <w:i/>
        </w:rPr>
        <w:t>“</w:t>
      </w:r>
      <w:r w:rsidRPr="006C7201">
        <w:rPr>
          <w:rFonts w:ascii="Palatino Linotype" w:hAnsi="Palatino Linotype" w:cs="Arial"/>
          <w:b/>
          <w:i/>
        </w:rPr>
        <w:t>HECHOS NEGATIVOS, NO SON SUSCEPTIBLES DE DEMOSTRACION.</w:t>
      </w:r>
      <w:r w:rsidRPr="006C7201">
        <w:rPr>
          <w:rFonts w:ascii="Palatino Linotype" w:hAnsi="Palatino Linotype" w:cs="Arial"/>
          <w:i/>
        </w:rPr>
        <w:t xml:space="preserve"> </w:t>
      </w:r>
      <w:r w:rsidRPr="006C7201">
        <w:rPr>
          <w:rFonts w:ascii="Palatino Linotype" w:hAnsi="Palatino Linotype" w:cs="Arial"/>
          <w:b/>
          <w:i/>
        </w:rPr>
        <w:t xml:space="preserve">Tratándose de un hecho negativo, el Juez no tiene por </w:t>
      </w:r>
      <w:r w:rsidRPr="006C7201">
        <w:rPr>
          <w:rFonts w:ascii="Palatino Linotype" w:hAnsi="Palatino Linotype" w:cs="Arial"/>
          <w:b/>
          <w:i/>
        </w:rPr>
        <w:lastRenderedPageBreak/>
        <w:t>que invocar prueba alguna de la que se desprenda</w:t>
      </w:r>
      <w:r w:rsidRPr="006C7201">
        <w:rPr>
          <w:rFonts w:ascii="Palatino Linotype" w:hAnsi="Palatino Linotype" w:cs="Arial"/>
          <w:i/>
        </w:rPr>
        <w:t>, ya que es bien sabido que esta clase de hechos no son susceptibles de demostración.”</w:t>
      </w:r>
    </w:p>
    <w:p w14:paraId="59AD912E" w14:textId="77777777" w:rsidR="00B53665" w:rsidRPr="006C7201" w:rsidRDefault="00B53665" w:rsidP="00B53665">
      <w:pPr>
        <w:pStyle w:val="Prrafodelista"/>
        <w:tabs>
          <w:tab w:val="left" w:pos="426"/>
        </w:tabs>
        <w:spacing w:before="240" w:after="240" w:line="360" w:lineRule="auto"/>
        <w:ind w:left="567" w:right="567"/>
        <w:jc w:val="both"/>
        <w:rPr>
          <w:rFonts w:ascii="Palatino Linotype" w:hAnsi="Palatino Linotype" w:cs="Arial"/>
          <w:i/>
        </w:rPr>
      </w:pPr>
    </w:p>
    <w:p w14:paraId="72A77E94" w14:textId="77777777" w:rsidR="00B53665" w:rsidRPr="006C7201" w:rsidRDefault="00B53665" w:rsidP="00B53665">
      <w:pPr>
        <w:pStyle w:val="Prrafodelista"/>
        <w:tabs>
          <w:tab w:val="left" w:pos="426"/>
        </w:tabs>
        <w:spacing w:before="240" w:after="240" w:line="360" w:lineRule="auto"/>
        <w:ind w:left="567" w:right="567"/>
        <w:jc w:val="both"/>
        <w:rPr>
          <w:rFonts w:ascii="Palatino Linotype" w:hAnsi="Palatino Linotype" w:cs="Arial"/>
          <w:i/>
        </w:rPr>
      </w:pPr>
      <w:r w:rsidRPr="006C7201">
        <w:rPr>
          <w:rFonts w:ascii="Palatino Linotype" w:hAnsi="Palatino Linotype" w:cs="Arial"/>
          <w:i/>
        </w:rPr>
        <w:t>“</w:t>
      </w:r>
      <w:r w:rsidRPr="006C7201">
        <w:rPr>
          <w:rFonts w:ascii="Palatino Linotype" w:hAnsi="Palatino Linotype" w:cs="Arial"/>
          <w:b/>
          <w:i/>
        </w:rPr>
        <w:t>INEXISTENCIA DE LA INFORMACIÓN. EL COMITÉ DE ACCESO A LA INFORMACIÓN PUEDE DECLARARLA ANTE SU EVIDENCIA, SIN NECESIDAD DE DICTAR MEDIDAS PARA SU LOCALIZACIÓN.</w:t>
      </w:r>
      <w:r w:rsidRPr="006C7201">
        <w:rPr>
          <w:rFonts w:ascii="Palatino Linotype" w:hAnsi="Palatino Linotype" w:cs="Arial"/>
          <w:i/>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Ello no obsta para concluir que cua</w:t>
      </w:r>
      <w:r w:rsidRPr="006C7201">
        <w:rPr>
          <w:rFonts w:ascii="Palatino Linotype" w:hAnsi="Palatino Linotype" w:cs="Arial"/>
          <w:b/>
          <w:i/>
        </w:rPr>
        <w:t>ndo la referida Unidad señala, o</w:t>
      </w:r>
      <w:r w:rsidRPr="006C7201">
        <w:rPr>
          <w:rFonts w:ascii="Palatino Linotype" w:hAnsi="Palatino Linotype" w:cs="Arial"/>
          <w:i/>
        </w:rPr>
        <w:t xml:space="preserve"> el mencionado Comité </w:t>
      </w:r>
      <w:r w:rsidRPr="006C7201">
        <w:rPr>
          <w:rFonts w:ascii="Palatino Linotype" w:hAnsi="Palatino Linotype" w:cs="Arial"/>
          <w:b/>
          <w:i/>
        </w:rPr>
        <w:t>advierte que el documento solicitado no existe en virtud de que no tuvo lugar el acto cuya realización supuestamente se reflejó en aquél, resulta innecesario dictar alguna medida para localizar la información respectiva, al evidenciarse su inexistencia.</w:t>
      </w:r>
      <w:r w:rsidRPr="006C7201">
        <w:rPr>
          <w:rFonts w:ascii="Palatino Linotype" w:hAnsi="Palatino Linotype" w:cs="Arial"/>
          <w:i/>
        </w:rPr>
        <w:t>”</w:t>
      </w:r>
    </w:p>
    <w:p w14:paraId="1EAFF10C" w14:textId="77777777" w:rsidR="00B53665" w:rsidRPr="006C7201" w:rsidRDefault="00B53665" w:rsidP="00B53665">
      <w:pPr>
        <w:pStyle w:val="Prrafodelista"/>
        <w:tabs>
          <w:tab w:val="left" w:pos="426"/>
        </w:tabs>
        <w:spacing w:line="360" w:lineRule="auto"/>
        <w:ind w:left="567" w:right="567"/>
        <w:jc w:val="both"/>
        <w:rPr>
          <w:rFonts w:ascii="Palatino Linotype" w:hAnsi="Palatino Linotype" w:cs="Arial"/>
          <w:iCs/>
        </w:rPr>
      </w:pPr>
      <w:r w:rsidRPr="006C7201">
        <w:rPr>
          <w:rFonts w:ascii="Palatino Linotype" w:hAnsi="Palatino Linotype" w:cs="Arial"/>
          <w:iCs/>
        </w:rPr>
        <w:t>(Énfasis añadido)</w:t>
      </w:r>
    </w:p>
    <w:p w14:paraId="5EBF27CF" w14:textId="77777777" w:rsidR="00B53665" w:rsidRPr="006C7201" w:rsidRDefault="00B53665" w:rsidP="00B53665">
      <w:pPr>
        <w:tabs>
          <w:tab w:val="left" w:pos="426"/>
        </w:tabs>
        <w:spacing w:line="360" w:lineRule="auto"/>
        <w:ind w:right="49"/>
        <w:contextualSpacing/>
        <w:jc w:val="both"/>
        <w:rPr>
          <w:rFonts w:ascii="Palatino Linotype" w:hAnsi="Palatino Linotype" w:cs="Arial"/>
          <w:color w:val="000000" w:themeColor="text1"/>
        </w:rPr>
      </w:pPr>
    </w:p>
    <w:p w14:paraId="666710DB" w14:textId="77777777" w:rsidR="00B53665" w:rsidRPr="006C7201" w:rsidRDefault="00B53665" w:rsidP="00B53665">
      <w:pPr>
        <w:pStyle w:val="Prrafodelista"/>
        <w:numPr>
          <w:ilvl w:val="0"/>
          <w:numId w:val="1"/>
        </w:numPr>
        <w:tabs>
          <w:tab w:val="left" w:pos="426"/>
        </w:tabs>
        <w:autoSpaceDE w:val="0"/>
        <w:autoSpaceDN w:val="0"/>
        <w:adjustRightInd w:val="0"/>
        <w:spacing w:line="360" w:lineRule="auto"/>
        <w:ind w:right="-28"/>
        <w:jc w:val="both"/>
        <w:rPr>
          <w:rFonts w:ascii="Palatino Linotype" w:hAnsi="Palatino Linotype"/>
          <w:i/>
          <w:iCs/>
        </w:rPr>
      </w:pPr>
      <w:r w:rsidRPr="006C7201">
        <w:rPr>
          <w:rFonts w:ascii="Palatino Linotype" w:hAnsi="Palatino Linotype" w:cs="Arial"/>
          <w:b/>
          <w:color w:val="000000" w:themeColor="text1"/>
        </w:rPr>
        <w:lastRenderedPageBreak/>
        <w:t>Razones por las que no ha lugar a ordenar un Acuerdo de Inexistencia</w:t>
      </w:r>
      <w:r w:rsidRPr="006C7201">
        <w:rPr>
          <w:rFonts w:ascii="Palatino Linotype" w:hAnsi="Palatino Linotype" w:cs="Arial"/>
          <w:color w:val="000000" w:themeColor="text1"/>
        </w:rPr>
        <w:t>, ya que como lo señaló el Sujeto Obligado, no se cuenta con la información requerida por el particular. No se trata de información que haya existido y por alguna razón ya no exista, o bien, se trate de información que de manera obligatoria deba generar el Sujeto Obligado.</w:t>
      </w:r>
    </w:p>
    <w:p w14:paraId="1AFE878A" w14:textId="77777777" w:rsidR="00B53665" w:rsidRPr="006C7201" w:rsidRDefault="00B53665" w:rsidP="00B53665">
      <w:pPr>
        <w:pStyle w:val="Prrafodelista"/>
        <w:tabs>
          <w:tab w:val="left" w:pos="426"/>
        </w:tabs>
        <w:autoSpaceDE w:val="0"/>
        <w:autoSpaceDN w:val="0"/>
        <w:adjustRightInd w:val="0"/>
        <w:spacing w:line="360" w:lineRule="auto"/>
        <w:ind w:left="0" w:right="-28"/>
        <w:jc w:val="both"/>
        <w:rPr>
          <w:rFonts w:ascii="Palatino Linotype" w:hAnsi="Palatino Linotype"/>
          <w:i/>
          <w:iCs/>
        </w:rPr>
      </w:pPr>
    </w:p>
    <w:p w14:paraId="44188DCE" w14:textId="08B75F68" w:rsidR="0098257E" w:rsidRPr="006C7201" w:rsidRDefault="0098257E" w:rsidP="0098257E">
      <w:pPr>
        <w:pStyle w:val="Prrafodelista"/>
        <w:numPr>
          <w:ilvl w:val="0"/>
          <w:numId w:val="1"/>
        </w:numPr>
        <w:spacing w:line="360" w:lineRule="auto"/>
        <w:jc w:val="both"/>
        <w:rPr>
          <w:rFonts w:ascii="Palatino Linotype" w:eastAsia="Calibri" w:hAnsi="Palatino Linotype" w:cs="Arial"/>
          <w:sz w:val="32"/>
        </w:rPr>
      </w:pPr>
      <w:r w:rsidRPr="006C7201">
        <w:rPr>
          <w:rFonts w:ascii="Palatino Linotype" w:eastAsia="Calibri" w:hAnsi="Palatino Linotype" w:cs="Arial"/>
        </w:rPr>
        <w:t>En consecuencia, al haber existido un pronunciamiento por el Sujeto Obligado, es que no se puede dudar de la veracidad.</w:t>
      </w:r>
      <w:r w:rsidRPr="006C7201">
        <w:rPr>
          <w:rFonts w:ascii="Palatino Linotype" w:eastAsia="Calibri" w:hAnsi="Palatino Linotype" w:cs="Arial"/>
          <w:sz w:val="32"/>
        </w:rPr>
        <w:t xml:space="preserve"> </w:t>
      </w:r>
      <w:r w:rsidRPr="006C7201">
        <w:rPr>
          <w:rFonts w:ascii="Palatino Linotype" w:hAnsi="Palatino Linotype"/>
        </w:rPr>
        <w:t>Sirve de apoyo a lo anterior por analogía el criterio 31-10 emitido por el entonces Instituto Federal de Acceso a la Información y Protección de Datos, que a la letra dice:</w:t>
      </w:r>
    </w:p>
    <w:p w14:paraId="7D04F7AA" w14:textId="77777777" w:rsidR="0098257E" w:rsidRPr="006C7201" w:rsidRDefault="0098257E" w:rsidP="0098257E">
      <w:pPr>
        <w:pStyle w:val="Prrafodelista"/>
        <w:tabs>
          <w:tab w:val="left" w:pos="1740"/>
        </w:tabs>
        <w:rPr>
          <w:rFonts w:ascii="Palatino Linotype" w:hAnsi="Palatino Linotype"/>
        </w:rPr>
      </w:pPr>
      <w:r w:rsidRPr="006C7201">
        <w:rPr>
          <w:rFonts w:ascii="Palatino Linotype" w:hAnsi="Palatino Linotype"/>
        </w:rPr>
        <w:tab/>
      </w:r>
    </w:p>
    <w:p w14:paraId="16F0EFC5" w14:textId="429E412C" w:rsidR="0098257E" w:rsidRPr="006C7201" w:rsidRDefault="0098257E" w:rsidP="00B53665">
      <w:pPr>
        <w:spacing w:after="160" w:line="360" w:lineRule="auto"/>
        <w:ind w:left="567" w:right="616"/>
        <w:contextualSpacing/>
        <w:jc w:val="both"/>
        <w:rPr>
          <w:rFonts w:ascii="Palatino Linotype" w:hAnsi="Palatino Linotype"/>
        </w:rPr>
      </w:pPr>
      <w:r w:rsidRPr="006C7201">
        <w:rPr>
          <w:rFonts w:ascii="Palatino Linotype" w:hAnsi="Palatino Linotype"/>
          <w:b/>
          <w:i/>
          <w:iCs/>
          <w:sz w:val="22"/>
        </w:rPr>
        <w:t>El Instituto Federal de Acceso a la Información y Protección de Datos </w:t>
      </w:r>
      <w:r w:rsidRPr="006C7201">
        <w:rPr>
          <w:rFonts w:ascii="Palatino Linotype" w:hAnsi="Palatino Linotype"/>
          <w:b/>
          <w:bCs/>
          <w:i/>
          <w:iCs/>
          <w:sz w:val="22"/>
        </w:rPr>
        <w:t>no cuenta con facultades para pronunciarse respecto de la veracidad de los documentos proporcionados por los sujetos obligados.</w:t>
      </w:r>
      <w:r w:rsidRPr="006C7201">
        <w:rPr>
          <w:rFonts w:ascii="Palatino Linotype" w:hAnsi="Palatino Linotype"/>
          <w:i/>
          <w:iCs/>
          <w:sz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42B2691" w14:textId="77777777" w:rsidR="0098257E" w:rsidRPr="006C7201" w:rsidRDefault="0098257E" w:rsidP="0098257E">
      <w:pPr>
        <w:pStyle w:val="Prrafodelista"/>
        <w:rPr>
          <w:rFonts w:ascii="Palatino Linotype" w:hAnsi="Palatino Linotype"/>
        </w:rPr>
      </w:pPr>
    </w:p>
    <w:p w14:paraId="767365E2" w14:textId="62AA448A" w:rsidR="0098257E" w:rsidRPr="006C7201" w:rsidRDefault="009E23A0"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lastRenderedPageBreak/>
        <w:t>De lo anterior, se puede determinar que no existe información referente a constancias de verificación por parte de la Coordinación Municipal de Protección Civil y bomberos en los años previos al 2022. Entonces, por lo que corresponde al año 2022, el Sujeto Obligado indicó la existencia de la verificación que se realizó el 16 de marzo, derivado de la solicitud registrada en fecha 7 del mismo mes y año; sin embargo, fue omiso en proporcionar las documentales que den soporte de dicha verificación, en consecuencia, se ORDENA su entrega.</w:t>
      </w:r>
    </w:p>
    <w:p w14:paraId="6E98AA1C" w14:textId="77777777" w:rsidR="00FD3086" w:rsidRPr="006C7201" w:rsidRDefault="00FD3086" w:rsidP="00FD3086">
      <w:pPr>
        <w:spacing w:after="160" w:line="360" w:lineRule="auto"/>
        <w:contextualSpacing/>
        <w:jc w:val="both"/>
        <w:rPr>
          <w:rFonts w:ascii="Palatino Linotype" w:hAnsi="Palatino Linotype"/>
        </w:rPr>
      </w:pPr>
    </w:p>
    <w:p w14:paraId="5B182762" w14:textId="77777777" w:rsidR="00FD3086" w:rsidRPr="006C7201" w:rsidRDefault="00FD3086" w:rsidP="00FD3086">
      <w:pPr>
        <w:numPr>
          <w:ilvl w:val="0"/>
          <w:numId w:val="1"/>
        </w:numPr>
        <w:spacing w:after="160" w:line="360" w:lineRule="auto"/>
        <w:contextualSpacing/>
        <w:jc w:val="both"/>
        <w:rPr>
          <w:rFonts w:ascii="Palatino Linotype" w:hAnsi="Palatino Linotype"/>
        </w:rPr>
      </w:pPr>
      <w:r w:rsidRPr="006C7201">
        <w:rPr>
          <w:rFonts w:ascii="Palatino Linotype" w:hAnsi="Palatino Linotype"/>
        </w:rPr>
        <w:t>Por último y no menos importante, es necesario señalar que, dentro de los requerimientos planteados por el particular, se solicitó información relativa a descargas al desagüe doméstico. Para tal efecto, es necesario traer a contexto el Manual de Organización del Organismo Público Descentralizado para la Prestación de Servicios de Agua Potable, Alcantarillado y Saneamiento del Municipio de San Mateo Atenco (OPDAPAS), el cual contiene lo siguiente:</w:t>
      </w:r>
    </w:p>
    <w:p w14:paraId="48ABB989" w14:textId="77777777" w:rsidR="00FD3086" w:rsidRPr="006C7201" w:rsidRDefault="00FD3086" w:rsidP="00FD3086">
      <w:pPr>
        <w:pStyle w:val="Prrafodelista"/>
        <w:rPr>
          <w:rFonts w:ascii="Palatino Linotype" w:hAnsi="Palatino Linotype"/>
        </w:rPr>
      </w:pPr>
    </w:p>
    <w:p w14:paraId="7EF99BED" w14:textId="77777777" w:rsidR="00FD3086" w:rsidRPr="006C7201" w:rsidRDefault="00FD3086" w:rsidP="00FD3086">
      <w:pPr>
        <w:spacing w:after="160" w:line="360" w:lineRule="auto"/>
        <w:ind w:left="567" w:right="616"/>
        <w:contextualSpacing/>
        <w:jc w:val="both"/>
        <w:rPr>
          <w:rFonts w:ascii="Palatino Linotype" w:hAnsi="Palatino Linotype"/>
          <w:b/>
          <w:i/>
          <w:sz w:val="22"/>
        </w:rPr>
      </w:pPr>
      <w:r w:rsidRPr="006C7201">
        <w:rPr>
          <w:rFonts w:ascii="Palatino Linotype" w:hAnsi="Palatino Linotype"/>
          <w:b/>
          <w:i/>
          <w:sz w:val="22"/>
        </w:rPr>
        <w:t>Departamento de Operación y Mantenimiento</w:t>
      </w:r>
    </w:p>
    <w:p w14:paraId="48DFC729"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w:t>
      </w:r>
    </w:p>
    <w:p w14:paraId="4BE857AB"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b/>
          <w:i/>
          <w:sz w:val="22"/>
        </w:rPr>
        <w:t>6. Mantener actualizado el padrón de las descargas a la red municipal de giros comerciales y de servicios</w:t>
      </w:r>
      <w:r w:rsidRPr="006C7201">
        <w:rPr>
          <w:rFonts w:ascii="Palatino Linotype" w:hAnsi="Palatino Linotype"/>
          <w:i/>
          <w:sz w:val="22"/>
        </w:rPr>
        <w:t xml:space="preserve"> y vigilar el cumplimiento de la norma ECOL-002-1996, integrando el expediente de cada uno de los usuarios.</w:t>
      </w:r>
    </w:p>
    <w:p w14:paraId="2B782AEA" w14:textId="77777777" w:rsidR="00FD3086" w:rsidRPr="006C7201" w:rsidRDefault="00FD3086" w:rsidP="00FD3086">
      <w:pPr>
        <w:ind w:left="567" w:right="616"/>
        <w:rPr>
          <w:rFonts w:ascii="Palatino Linotype" w:hAnsi="Palatino Linotype"/>
          <w:i/>
          <w:sz w:val="22"/>
        </w:rPr>
      </w:pPr>
      <w:r w:rsidRPr="006C7201">
        <w:rPr>
          <w:rFonts w:ascii="Palatino Linotype" w:hAnsi="Palatino Linotype"/>
          <w:i/>
          <w:sz w:val="22"/>
        </w:rPr>
        <w:t>…</w:t>
      </w:r>
    </w:p>
    <w:p w14:paraId="3C132D26" w14:textId="77777777" w:rsidR="00FD3086" w:rsidRPr="006C7201" w:rsidRDefault="00FD3086" w:rsidP="00FD3086">
      <w:pPr>
        <w:rPr>
          <w:rFonts w:ascii="Palatino Linotype" w:hAnsi="Palatino Linotype"/>
        </w:rPr>
      </w:pPr>
    </w:p>
    <w:p w14:paraId="46B7D1FD" w14:textId="77777777" w:rsidR="00FD3086" w:rsidRPr="006C7201" w:rsidRDefault="00FD3086" w:rsidP="00FD3086">
      <w:pPr>
        <w:numPr>
          <w:ilvl w:val="0"/>
          <w:numId w:val="1"/>
        </w:numPr>
        <w:spacing w:after="160" w:line="360" w:lineRule="auto"/>
        <w:contextualSpacing/>
        <w:jc w:val="both"/>
        <w:rPr>
          <w:rFonts w:ascii="Palatino Linotype" w:hAnsi="Palatino Linotype"/>
        </w:rPr>
      </w:pPr>
      <w:r w:rsidRPr="006C7201">
        <w:rPr>
          <w:rFonts w:ascii="Palatino Linotype" w:hAnsi="Palatino Linotype"/>
        </w:rPr>
        <w:t xml:space="preserve">Asimismo, resulta conveniente analizar el Reglamento Interno del Organismo Público descentralizado para la Prestación de los Servicios de Agua Potable, </w:t>
      </w:r>
      <w:r w:rsidRPr="006C7201">
        <w:rPr>
          <w:rFonts w:ascii="Palatino Linotype" w:hAnsi="Palatino Linotype"/>
        </w:rPr>
        <w:lastRenderedPageBreak/>
        <w:t>Alcantarillado y Saneamiento del Municipio de San Mateo Atenco, el cual contiene lo siguiente:</w:t>
      </w:r>
    </w:p>
    <w:p w14:paraId="14FF9FD1" w14:textId="77777777" w:rsidR="00FD3086" w:rsidRPr="006C7201" w:rsidRDefault="00FD3086" w:rsidP="00FD3086">
      <w:pPr>
        <w:spacing w:after="160" w:line="360" w:lineRule="auto"/>
        <w:contextualSpacing/>
        <w:jc w:val="both"/>
        <w:rPr>
          <w:rFonts w:ascii="Palatino Linotype" w:hAnsi="Palatino Linotype"/>
        </w:rPr>
      </w:pPr>
    </w:p>
    <w:p w14:paraId="2DA2E4A7"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Artículo 22. Además de las atribuciones que le confiere la Ley, corresponde a la Dirección General:  </w:t>
      </w:r>
    </w:p>
    <w:p w14:paraId="5D2A9855"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w:t>
      </w:r>
    </w:p>
    <w:p w14:paraId="4622E186"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XXX. Avalar con su firma los permisos de descarga de aguas residuales domésticas, de servicios e industriales a la red municipal, previa verificación de la manifestación que el solicitante presente; </w:t>
      </w:r>
    </w:p>
    <w:p w14:paraId="4332BA0E"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w:t>
      </w:r>
    </w:p>
    <w:p w14:paraId="0C1885E7" w14:textId="77777777" w:rsidR="00FD3086" w:rsidRPr="006C7201" w:rsidRDefault="00FD3086" w:rsidP="00FD3086">
      <w:pPr>
        <w:spacing w:after="160" w:line="360" w:lineRule="auto"/>
        <w:ind w:left="567" w:right="616"/>
        <w:contextualSpacing/>
        <w:jc w:val="both"/>
        <w:rPr>
          <w:rFonts w:ascii="Palatino Linotype" w:hAnsi="Palatino Linotype"/>
          <w:i/>
          <w:sz w:val="22"/>
        </w:rPr>
      </w:pPr>
    </w:p>
    <w:p w14:paraId="23D5A817"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Artículo 48. Corresponde a la Dirección de Operaciones el ejercicio de las atribuciones siguientes:</w:t>
      </w:r>
    </w:p>
    <w:p w14:paraId="569E4489"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w:t>
      </w:r>
    </w:p>
    <w:p w14:paraId="10B80EDE"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XIV. Vigilar que se establezca el control de las descargas de aguas residuales no domésticas al drenaje, exigiendo el cumplimiento de los límites máximos permisibles que se establecen en la Norma Oficial Mexicana aplicable a través de un Registro de Descarga de Aguas Residuales; </w:t>
      </w:r>
    </w:p>
    <w:p w14:paraId="001F1EFD"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 xml:space="preserve">XV. Autorizar los registros y permisos de descargas de aguas residuales y en su caso, condiciones particulares de descarga a los establecimientos comerciales, industriales, de servicios y demás instalaciones generadoras de descargas de aguas residuales no domésticas que descarguen al sistema de drenaje municipal;   </w:t>
      </w:r>
    </w:p>
    <w:p w14:paraId="44F47633"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XVI. Modificar los alcances de las condiciones particulares de descargas de aguas residuales establecidas en los permisos otorgados, cuando se modifiquen las Normas Oficiales Mexicanas o se determine una contingencia ambiental que ponga en riesgo la salud de la población; y</w:t>
      </w:r>
    </w:p>
    <w:p w14:paraId="71675566"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lastRenderedPageBreak/>
        <w:t>…</w:t>
      </w:r>
    </w:p>
    <w:p w14:paraId="24440E3C"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Artículo 52. Corresponde a la Jefatura de Agua Potable, Alcantarillado y Saneamiento el ejercicio de las atribuciones siguientes:</w:t>
      </w:r>
    </w:p>
    <w:p w14:paraId="61E2E817"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w:t>
      </w:r>
    </w:p>
    <w:p w14:paraId="58EEA175"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XVII. Programar, coordinar, supervisar y realizar las inspecciones, verificaciones y registro de las descargas residuales no domesticas en cumplimiento de la normatividad vigente;</w:t>
      </w:r>
    </w:p>
    <w:p w14:paraId="55B4DCF2" w14:textId="77777777" w:rsidR="00FD3086" w:rsidRPr="006C7201" w:rsidRDefault="00FD3086" w:rsidP="00FD3086">
      <w:pPr>
        <w:spacing w:after="160" w:line="360" w:lineRule="auto"/>
        <w:ind w:left="567" w:right="616"/>
        <w:contextualSpacing/>
        <w:jc w:val="both"/>
        <w:rPr>
          <w:rFonts w:ascii="Palatino Linotype" w:hAnsi="Palatino Linotype"/>
          <w:i/>
          <w:sz w:val="22"/>
        </w:rPr>
      </w:pPr>
      <w:r w:rsidRPr="006C7201">
        <w:rPr>
          <w:rFonts w:ascii="Palatino Linotype" w:hAnsi="Palatino Linotype"/>
          <w:i/>
          <w:sz w:val="22"/>
        </w:rPr>
        <w:t>…</w:t>
      </w:r>
    </w:p>
    <w:p w14:paraId="168D08C8" w14:textId="77777777" w:rsidR="00FD3086" w:rsidRPr="006C7201" w:rsidRDefault="00FD3086" w:rsidP="00FD3086">
      <w:pPr>
        <w:spacing w:after="160" w:line="360" w:lineRule="auto"/>
        <w:ind w:left="567" w:right="616"/>
        <w:contextualSpacing/>
        <w:jc w:val="both"/>
        <w:rPr>
          <w:rFonts w:ascii="Palatino Linotype" w:hAnsi="Palatino Linotype"/>
          <w:i/>
          <w:sz w:val="22"/>
        </w:rPr>
      </w:pPr>
    </w:p>
    <w:p w14:paraId="3B96A478" w14:textId="77777777" w:rsidR="00FD3086" w:rsidRPr="006C7201" w:rsidRDefault="00FD3086" w:rsidP="00FD3086">
      <w:pPr>
        <w:numPr>
          <w:ilvl w:val="0"/>
          <w:numId w:val="1"/>
        </w:numPr>
        <w:spacing w:after="160" w:line="360" w:lineRule="auto"/>
        <w:contextualSpacing/>
        <w:jc w:val="both"/>
        <w:rPr>
          <w:rFonts w:ascii="Palatino Linotype" w:hAnsi="Palatino Linotype"/>
        </w:rPr>
      </w:pPr>
      <w:r w:rsidRPr="006C7201">
        <w:rPr>
          <w:rFonts w:ascii="Palatino Linotype" w:hAnsi="Palatino Linotype"/>
        </w:rPr>
        <w:t>Con el contenido de la normatividad citada, se determina que corresponde al Organismo Público descentralizado para la Prestación de los Servicios de Agua Potable, Alcantarillado y Saneamiento del Municipio de San Mateo Atenco generar, administrar y poseer la información relativa a las descargas residuales a la red municipal, proveniente de servicios domésticos o giros comerciales. En consecuencia, el Ayuntamiento de San Mateo Atenco, resulta incompetente para atender el requerimiento, pues entre sus funciones, atribuciones y competencias no se encuentra lo requerido por el particular.</w:t>
      </w:r>
    </w:p>
    <w:p w14:paraId="1D3051D5" w14:textId="77777777" w:rsidR="00FD3086" w:rsidRPr="006C7201" w:rsidRDefault="00FD3086" w:rsidP="00FD3086">
      <w:pPr>
        <w:spacing w:after="160" w:line="360" w:lineRule="auto"/>
        <w:contextualSpacing/>
        <w:jc w:val="both"/>
        <w:rPr>
          <w:rFonts w:ascii="Palatino Linotype" w:hAnsi="Palatino Linotype"/>
        </w:rPr>
      </w:pPr>
    </w:p>
    <w:p w14:paraId="61C021BB" w14:textId="77777777" w:rsidR="00FD3086" w:rsidRPr="006C7201" w:rsidRDefault="00FD3086" w:rsidP="00FD3086">
      <w:pPr>
        <w:pStyle w:val="Prrafodelista"/>
        <w:numPr>
          <w:ilvl w:val="0"/>
          <w:numId w:val="1"/>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Dicho lo anterior, e</w:t>
      </w:r>
      <w:r w:rsidRPr="006C7201">
        <w:rPr>
          <w:rFonts w:ascii="Palatino Linotype" w:eastAsia="MS Mincho" w:hAnsi="Palatino Linotype"/>
        </w:rPr>
        <w:t xml:space="preserve">s necesario mencionar que el acceso a la información es un derecho humano constitucional y convencionalmente reconocido y para tal efecto </w:t>
      </w:r>
      <w:r w:rsidRPr="006C7201">
        <w:rPr>
          <w:rFonts w:ascii="Palatino Linotype" w:eastAsia="Calibri" w:hAnsi="Palatino Linotype"/>
          <w:lang w:val="es-ES"/>
        </w:rPr>
        <w:t xml:space="preserve">el párrafo tercero del artículo primero de la Constitución Política de los Estados Unidos Mexicanos establece que el deber de todas las autoridades, </w:t>
      </w:r>
      <w:r w:rsidRPr="006C7201">
        <w:rPr>
          <w:rFonts w:ascii="Palatino Linotype" w:eastAsia="Calibri" w:hAnsi="Palatino Linotype"/>
          <w:i/>
          <w:lang w:val="es-ES"/>
        </w:rPr>
        <w:t xml:space="preserve">en el ámbito de sus atribuciones, de promover, respetar, proteger y </w:t>
      </w:r>
      <w:r w:rsidRPr="006C7201">
        <w:rPr>
          <w:rFonts w:ascii="Palatino Linotype" w:eastAsia="Calibri" w:hAnsi="Palatino Linotype"/>
          <w:b/>
          <w:i/>
          <w:lang w:val="es-ES"/>
        </w:rPr>
        <w:t>garantizar</w:t>
      </w:r>
      <w:r w:rsidRPr="006C7201">
        <w:rPr>
          <w:rFonts w:ascii="Palatino Linotype" w:eastAsia="Calibri" w:hAnsi="Palatino Linotype"/>
          <w:i/>
          <w:lang w:val="es-ES"/>
        </w:rPr>
        <w:t xml:space="preserve"> los derechos humanos. </w:t>
      </w:r>
      <w:r w:rsidRPr="006C7201">
        <w:rPr>
          <w:rFonts w:ascii="Palatino Linotype" w:eastAsia="Calibri" w:hAnsi="Palatino Linotype"/>
          <w:b/>
          <w:i/>
          <w:lang w:val="es-ES"/>
        </w:rPr>
        <w:t xml:space="preserve">En cuanto al derecho de acceso a la información, la Ley de Transparencia y Acceso a </w:t>
      </w:r>
      <w:r w:rsidRPr="006C7201">
        <w:rPr>
          <w:rFonts w:ascii="Palatino Linotype" w:eastAsia="Calibri" w:hAnsi="Palatino Linotype"/>
          <w:b/>
          <w:i/>
          <w:lang w:val="es-ES"/>
        </w:rPr>
        <w:lastRenderedPageBreak/>
        <w:t>la Información Pública del Estado de México y Municipios prevé establece que e</w:t>
      </w:r>
      <w:r w:rsidRPr="006C7201">
        <w:rPr>
          <w:rFonts w:ascii="Palatino Linotype" w:hAnsi="Palatino Linotype"/>
          <w:i/>
        </w:rPr>
        <w:t>l procedimiento de acceso a la información es la garantía primaria del derecho en cuestión y se rige por los principios de simplicidad, rapidez y gratuidad del procedimiento, auxilio y orientación a los particulares</w:t>
      </w:r>
      <w:r w:rsidRPr="006C7201">
        <w:rPr>
          <w:rStyle w:val="Refdenotaalpie"/>
          <w:i/>
        </w:rPr>
        <w:footnoteReference w:id="6"/>
      </w:r>
      <w:r w:rsidRPr="006C7201">
        <w:rPr>
          <w:rFonts w:ascii="Palatino Linotype" w:hAnsi="Palatino Linotype"/>
          <w:i/>
        </w:rPr>
        <w:t xml:space="preserve">, </w:t>
      </w:r>
      <w:r w:rsidRPr="006C7201">
        <w:rPr>
          <w:rFonts w:ascii="Palatino Linotype" w:hAnsi="Palatino Linotype"/>
        </w:rPr>
        <w:t>asimismo establece</w:t>
      </w:r>
      <w:r w:rsidRPr="006C7201">
        <w:rPr>
          <w:rFonts w:ascii="Palatino Linotype" w:hAnsi="Palatino Linotype"/>
          <w:i/>
        </w:rPr>
        <w:t xml:space="preserve"> que las unidades de transparencia de los Sujetos Obligados deberán garantizar las medidas y condiciones de accesibilidad para que toda persona pueda ejercer el derecho de acceso a la información, mediante solicitudes de información y deberá apoyar al solicitante en la elaboración de las mismas.</w:t>
      </w:r>
    </w:p>
    <w:p w14:paraId="22DAFC78" w14:textId="77777777" w:rsidR="00FD3086" w:rsidRPr="006C7201" w:rsidRDefault="00FD3086" w:rsidP="00FD3086">
      <w:pPr>
        <w:pStyle w:val="Prrafodelista"/>
        <w:rPr>
          <w:rFonts w:ascii="Palatino Linotype" w:eastAsia="Calibri" w:hAnsi="Palatino Linotype" w:cs="Arial"/>
        </w:rPr>
      </w:pPr>
    </w:p>
    <w:p w14:paraId="461452E6" w14:textId="77777777" w:rsidR="00FD3086" w:rsidRPr="006C7201" w:rsidRDefault="00FD3086" w:rsidP="00FD3086">
      <w:pPr>
        <w:pStyle w:val="Prrafodelista"/>
        <w:numPr>
          <w:ilvl w:val="0"/>
          <w:numId w:val="1"/>
        </w:numPr>
        <w:spacing w:line="360" w:lineRule="auto"/>
        <w:jc w:val="both"/>
        <w:rPr>
          <w:rFonts w:ascii="Palatino Linotype" w:eastAsia="Calibri" w:hAnsi="Palatino Linotype" w:cs="Arial"/>
        </w:rPr>
      </w:pPr>
      <w:r w:rsidRPr="006C7201">
        <w:rPr>
          <w:rFonts w:ascii="Palatino Linotype" w:hAnsi="Palatino Linotype"/>
        </w:rPr>
        <w:t>Por lo que las actuaciones diligentes que lleven a cabo en un primer momento las Unidades de Transparencia y posteriormente cada servidor público en su área es fundamental para la correcta tutela y el eficaz cumplimiento al derecho de acceso a la información, pues los primeros son el vínculo entre los particulares y los servidores públicos que generan, administra o poseen la información, mientras que los segundos tienen la responsabilidad de realizar una correcta gestión documental que permita localizar de manera rápida los documentos que se soliciten o bien, simplemente para el desarrollo de sus facultades, competencias y atribuciones que a diario desempeñan.</w:t>
      </w:r>
    </w:p>
    <w:p w14:paraId="14BD0A17" w14:textId="77777777" w:rsidR="00FD3086" w:rsidRPr="006C7201" w:rsidRDefault="00FD3086" w:rsidP="00FD3086">
      <w:pPr>
        <w:pStyle w:val="Prrafodelista"/>
        <w:rPr>
          <w:rFonts w:ascii="Palatino Linotype" w:hAnsi="Palatino Linotype"/>
        </w:rPr>
      </w:pPr>
    </w:p>
    <w:p w14:paraId="3338C13D" w14:textId="77777777" w:rsidR="00FD3086" w:rsidRPr="006C7201" w:rsidRDefault="00FD3086" w:rsidP="00FD3086">
      <w:pPr>
        <w:pStyle w:val="Prrafodelista"/>
        <w:numPr>
          <w:ilvl w:val="0"/>
          <w:numId w:val="1"/>
        </w:numPr>
        <w:spacing w:line="360" w:lineRule="auto"/>
        <w:jc w:val="both"/>
        <w:rPr>
          <w:rFonts w:ascii="Palatino Linotype" w:eastAsia="Calibri" w:hAnsi="Palatino Linotype" w:cs="Arial"/>
        </w:rPr>
      </w:pPr>
      <w:r w:rsidRPr="006C7201">
        <w:rPr>
          <w:rFonts w:ascii="Palatino Linotype" w:hAnsi="Palatino Linotype"/>
        </w:rPr>
        <w:t xml:space="preserve">Es así que, su obligación es </w:t>
      </w:r>
      <w:r w:rsidRPr="006C7201">
        <w:rPr>
          <w:rFonts w:ascii="Palatino Linotype" w:hAnsi="Palatino Linotype"/>
          <w:i/>
        </w:rPr>
        <w:t>realizar, con efectividad, los trámites internos necesarios para la atención de las solicitudes de información</w:t>
      </w:r>
      <w:r w:rsidRPr="006C7201">
        <w:rPr>
          <w:rStyle w:val="Refdenotaalpie"/>
        </w:rPr>
        <w:footnoteReference w:id="7"/>
      </w:r>
      <w:r w:rsidRPr="006C7201">
        <w:rPr>
          <w:rFonts w:ascii="Palatino Linotype" w:hAnsi="Palatino Linotype"/>
        </w:rPr>
        <w:t>, es decir, deben otorgar respuestas concisas, contundentes y sobre todo que den la certeza de los actos que realizan.</w:t>
      </w:r>
    </w:p>
    <w:p w14:paraId="235A136F" w14:textId="77777777" w:rsidR="00FD3086" w:rsidRPr="006C7201" w:rsidRDefault="00FD3086" w:rsidP="00FD3086">
      <w:pPr>
        <w:pStyle w:val="Prrafodelista"/>
        <w:numPr>
          <w:ilvl w:val="0"/>
          <w:numId w:val="1"/>
        </w:numPr>
        <w:spacing w:line="360" w:lineRule="auto"/>
        <w:jc w:val="both"/>
        <w:rPr>
          <w:rFonts w:ascii="Palatino Linotype" w:eastAsia="Calibri" w:hAnsi="Palatino Linotype" w:cs="Arial"/>
        </w:rPr>
      </w:pPr>
      <w:r w:rsidRPr="006C7201">
        <w:rPr>
          <w:rFonts w:ascii="Palatino Linotype" w:hAnsi="Palatino Linotype" w:cs="Arial"/>
          <w:bCs/>
        </w:rPr>
        <w:lastRenderedPageBreak/>
        <w:t>Dicho lo anterior, es necesario traer a colación el artículo 167 de la Ley de Transparencia y Acceso a la Información Pública del Estado de México y Municipios, el cual establece lo siguiente:</w:t>
      </w:r>
    </w:p>
    <w:p w14:paraId="51A84DBC" w14:textId="77777777" w:rsidR="00FD3086" w:rsidRPr="006C7201" w:rsidRDefault="00FD3086" w:rsidP="00FD3086">
      <w:pPr>
        <w:pStyle w:val="Prrafodelista"/>
        <w:spacing w:line="360" w:lineRule="auto"/>
        <w:ind w:left="0"/>
        <w:jc w:val="both"/>
        <w:rPr>
          <w:rFonts w:ascii="Palatino Linotype" w:eastAsia="Calibri" w:hAnsi="Palatino Linotype" w:cs="Arial"/>
        </w:rPr>
      </w:pPr>
    </w:p>
    <w:p w14:paraId="40BAF8EB" w14:textId="77777777" w:rsidR="00FD3086" w:rsidRPr="006C7201" w:rsidRDefault="00FD3086" w:rsidP="00FD3086">
      <w:pPr>
        <w:autoSpaceDE w:val="0"/>
        <w:autoSpaceDN w:val="0"/>
        <w:adjustRightInd w:val="0"/>
        <w:spacing w:line="360" w:lineRule="auto"/>
        <w:ind w:left="567" w:right="567"/>
        <w:jc w:val="both"/>
        <w:rPr>
          <w:rFonts w:ascii="Palatino Linotype" w:hAnsi="Palatino Linotype" w:cs="Bookman Old Style"/>
          <w:i/>
          <w:sz w:val="22"/>
        </w:rPr>
      </w:pPr>
      <w:r w:rsidRPr="006C7201">
        <w:rPr>
          <w:rFonts w:ascii="Palatino Linotype" w:hAnsi="Palatino Linotype" w:cs="Bookman Old Style,Bold"/>
          <w:b/>
          <w:bCs/>
          <w:i/>
          <w:sz w:val="22"/>
        </w:rPr>
        <w:t xml:space="preserve">Artículo 167. </w:t>
      </w:r>
      <w:r w:rsidRPr="006C7201">
        <w:rPr>
          <w:rFonts w:ascii="Palatino Linotype" w:hAnsi="Palatino Linotype" w:cs="Bookman Old Style"/>
          <w:i/>
          <w:sz w:val="22"/>
        </w:rPr>
        <w:t xml:space="preserve">Cuando las </w:t>
      </w:r>
      <w:r w:rsidRPr="006C7201">
        <w:rPr>
          <w:rFonts w:ascii="Palatino Linotype" w:hAnsi="Palatino Linotype" w:cs="Bookman Old Style"/>
          <w:b/>
          <w:i/>
          <w:sz w:val="22"/>
        </w:rPr>
        <w:t>unidades de transparencia determinen la notoria incompetencia por parte de los sujetos obligado</w:t>
      </w:r>
      <w:r w:rsidRPr="006C7201">
        <w:rPr>
          <w:rFonts w:ascii="Palatino Linotype" w:hAnsi="Palatino Linotype" w:cs="Bookman Old Style"/>
          <w:i/>
          <w:sz w:val="22"/>
        </w:rPr>
        <w:t xml:space="preserve">s, dentro del ámbito de aplicación, para atender la solicitud de acceso a la información, deberán comunicarlo al solicitante, dentro de los </w:t>
      </w:r>
      <w:r w:rsidRPr="006C7201">
        <w:rPr>
          <w:rFonts w:ascii="Palatino Linotype" w:hAnsi="Palatino Linotype" w:cs="Bookman Old Style"/>
          <w:b/>
          <w:i/>
          <w:sz w:val="22"/>
          <w:u w:val="single"/>
        </w:rPr>
        <w:t>tres días hábiles posteriores a la recepción de la solicitud</w:t>
      </w:r>
      <w:r w:rsidRPr="006C7201">
        <w:rPr>
          <w:rFonts w:ascii="Palatino Linotype" w:hAnsi="Palatino Linotype" w:cs="Bookman Old Style"/>
          <w:i/>
          <w:sz w:val="22"/>
        </w:rPr>
        <w:t xml:space="preserve"> y, en su caso orientar al solicitante, el o los sujetos obligados competentes. </w:t>
      </w:r>
    </w:p>
    <w:p w14:paraId="5FEC1E1E" w14:textId="77777777" w:rsidR="00FD3086" w:rsidRPr="006C7201" w:rsidRDefault="00FD3086" w:rsidP="00FD3086">
      <w:pPr>
        <w:pStyle w:val="Prrafodelista"/>
        <w:spacing w:line="360" w:lineRule="auto"/>
        <w:ind w:left="0"/>
        <w:jc w:val="both"/>
        <w:rPr>
          <w:rFonts w:ascii="Palatino Linotype" w:eastAsia="Calibri" w:hAnsi="Palatino Linotype" w:cs="Arial"/>
        </w:rPr>
      </w:pPr>
    </w:p>
    <w:p w14:paraId="004C616F" w14:textId="77777777" w:rsidR="00FD3086" w:rsidRPr="006C7201" w:rsidRDefault="00FD3086" w:rsidP="00FD308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C7201">
        <w:rPr>
          <w:rFonts w:ascii="Palatino Linotype" w:eastAsia="Calibri" w:hAnsi="Palatino Linotype" w:cs="Arial"/>
        </w:rPr>
        <w:t xml:space="preserve">Tal y como se aprecia, los Sujetos Obligados al detectar qué una solicitud de acceso a la información </w:t>
      </w:r>
      <w:r w:rsidRPr="006C7201">
        <w:rPr>
          <w:rFonts w:ascii="Palatino Linotype" w:eastAsia="Calibri" w:hAnsi="Palatino Linotype" w:cs="Arial"/>
          <w:b/>
        </w:rPr>
        <w:t>NO</w:t>
      </w:r>
      <w:r w:rsidRPr="006C7201">
        <w:rPr>
          <w:rFonts w:ascii="Palatino Linotype" w:eastAsia="Calibri" w:hAnsi="Palatino Linotype" w:cs="Arial"/>
        </w:rPr>
        <w:t xml:space="preserve"> es de su competencia, dentro de los 3 días posteriores a su recepción, deberán de comunicar tal situación al recurrente </w:t>
      </w:r>
      <w:r w:rsidRPr="006C7201">
        <w:rPr>
          <w:rFonts w:ascii="Palatino Linotype" w:eastAsia="Calibri" w:hAnsi="Palatino Linotype" w:cs="Arial"/>
          <w:u w:val="single"/>
        </w:rPr>
        <w:t>y, en su caso</w:t>
      </w:r>
      <w:r w:rsidRPr="006C7201">
        <w:rPr>
          <w:rFonts w:ascii="Palatino Linotype" w:eastAsia="Calibri" w:hAnsi="Palatino Linotype" w:cs="Arial"/>
        </w:rPr>
        <w:t xml:space="preserve"> orientarlo al Sujeto Obligado correspondiente.</w:t>
      </w:r>
    </w:p>
    <w:p w14:paraId="0D428E75" w14:textId="77777777" w:rsidR="00FD3086" w:rsidRPr="006C7201" w:rsidRDefault="00FD3086" w:rsidP="00FD3086">
      <w:pPr>
        <w:pStyle w:val="Prrafodelista"/>
        <w:spacing w:before="100" w:beforeAutospacing="1" w:after="100" w:afterAutospacing="1" w:line="360" w:lineRule="auto"/>
        <w:ind w:left="0"/>
        <w:jc w:val="both"/>
        <w:rPr>
          <w:rFonts w:ascii="Palatino Linotype" w:eastAsia="Calibri" w:hAnsi="Palatino Linotype" w:cs="Arial"/>
        </w:rPr>
      </w:pPr>
    </w:p>
    <w:p w14:paraId="4D5FDBA5" w14:textId="77777777" w:rsidR="00FD3086" w:rsidRPr="006C7201" w:rsidRDefault="00FD3086" w:rsidP="00FD3086">
      <w:pPr>
        <w:pStyle w:val="Prrafodelista"/>
        <w:numPr>
          <w:ilvl w:val="0"/>
          <w:numId w:val="1"/>
        </w:numPr>
        <w:spacing w:line="360" w:lineRule="auto"/>
        <w:jc w:val="both"/>
        <w:rPr>
          <w:rFonts w:ascii="Palatino Linotype" w:eastAsia="Calibri" w:hAnsi="Palatino Linotype" w:cs="Arial"/>
          <w:sz w:val="32"/>
        </w:rPr>
      </w:pPr>
      <w:r w:rsidRPr="006C7201">
        <w:rPr>
          <w:rFonts w:ascii="Palatino Linotype" w:hAnsi="Palatino Linotype" w:cs="Arial"/>
        </w:rPr>
        <w:t>Las declinaciones de competencia que realicen los Sujetos Obligados deben estar apegadas al artículo 49 fracciones I y II de la Ley de Transparencia y Acceso a la Información Pública del Estado de México y Municipios que dispone los siguiente:</w:t>
      </w:r>
    </w:p>
    <w:p w14:paraId="717A398C" w14:textId="77777777" w:rsidR="00FD3086" w:rsidRPr="006C7201" w:rsidRDefault="00FD3086" w:rsidP="00FD3086">
      <w:pPr>
        <w:pStyle w:val="Prrafodelista"/>
        <w:rPr>
          <w:rFonts w:ascii="Palatino Linotype" w:hAnsi="Palatino Linotype" w:cs="Arial"/>
        </w:rPr>
      </w:pPr>
    </w:p>
    <w:p w14:paraId="78FEA0FF" w14:textId="77777777" w:rsidR="00FD3086" w:rsidRPr="006C7201" w:rsidRDefault="00FD3086" w:rsidP="00FD3086">
      <w:pPr>
        <w:spacing w:line="360" w:lineRule="auto"/>
        <w:ind w:left="567" w:right="757"/>
        <w:jc w:val="both"/>
        <w:rPr>
          <w:rFonts w:ascii="Palatino Linotype" w:eastAsia="Calibri" w:hAnsi="Palatino Linotype" w:cs="Arial"/>
          <w:i/>
          <w:sz w:val="22"/>
        </w:rPr>
      </w:pPr>
      <w:r w:rsidRPr="006C7201">
        <w:rPr>
          <w:rFonts w:ascii="Palatino Linotype" w:eastAsia="Calibri" w:hAnsi="Palatino Linotype" w:cs="Arial"/>
          <w:b/>
          <w:i/>
          <w:sz w:val="22"/>
        </w:rPr>
        <w:t>Artículo 49</w:t>
      </w:r>
      <w:r w:rsidRPr="006C7201">
        <w:rPr>
          <w:rFonts w:ascii="Palatino Linotype" w:eastAsia="Calibri" w:hAnsi="Palatino Linotype" w:cs="Arial"/>
          <w:i/>
          <w:sz w:val="22"/>
        </w:rPr>
        <w:t>. Los Comités de Transparencia tendrán las siguientes atribuciones:</w:t>
      </w:r>
    </w:p>
    <w:p w14:paraId="5B7361A1" w14:textId="77777777" w:rsidR="00FD3086" w:rsidRPr="006C7201" w:rsidRDefault="00FD3086" w:rsidP="00FD3086">
      <w:pPr>
        <w:spacing w:line="360" w:lineRule="auto"/>
        <w:ind w:left="567" w:right="757"/>
        <w:jc w:val="both"/>
        <w:rPr>
          <w:rFonts w:ascii="Palatino Linotype" w:eastAsia="Calibri" w:hAnsi="Palatino Linotype" w:cs="Arial"/>
          <w:i/>
          <w:sz w:val="22"/>
        </w:rPr>
      </w:pPr>
      <w:r w:rsidRPr="006C7201">
        <w:rPr>
          <w:rFonts w:ascii="Palatino Linotype" w:eastAsia="Calibri" w:hAnsi="Palatino Linotype" w:cs="Arial"/>
          <w:b/>
          <w:i/>
          <w:sz w:val="22"/>
        </w:rPr>
        <w:t>…</w:t>
      </w:r>
    </w:p>
    <w:p w14:paraId="7475353A" w14:textId="77777777" w:rsidR="00FD3086" w:rsidRPr="006C7201" w:rsidRDefault="00FD3086" w:rsidP="00FD3086">
      <w:pPr>
        <w:spacing w:line="360" w:lineRule="auto"/>
        <w:ind w:left="567" w:right="757"/>
        <w:jc w:val="both"/>
        <w:rPr>
          <w:rFonts w:ascii="Palatino Linotype" w:eastAsia="Calibri" w:hAnsi="Palatino Linotype" w:cs="Arial"/>
          <w:b/>
          <w:i/>
          <w:sz w:val="22"/>
        </w:rPr>
      </w:pPr>
      <w:r w:rsidRPr="006C7201">
        <w:rPr>
          <w:rFonts w:ascii="Palatino Linotype" w:eastAsia="Calibri" w:hAnsi="Palatino Linotype" w:cs="Arial"/>
          <w:b/>
          <w:i/>
          <w:sz w:val="22"/>
        </w:rPr>
        <w:t>II</w:t>
      </w:r>
      <w:r w:rsidRPr="006C7201">
        <w:rPr>
          <w:rFonts w:ascii="Palatino Linotype" w:eastAsia="Calibri" w:hAnsi="Palatino Linotype" w:cs="Arial"/>
          <w:i/>
          <w:sz w:val="22"/>
        </w:rPr>
        <w:t xml:space="preserve">. </w:t>
      </w:r>
      <w:r w:rsidRPr="006C7201">
        <w:rPr>
          <w:rFonts w:ascii="Palatino Linotype" w:eastAsia="Calibri" w:hAnsi="Palatino Linotype" w:cs="Arial"/>
          <w:b/>
          <w:i/>
          <w:sz w:val="22"/>
        </w:rPr>
        <w:t>Confirmar,</w:t>
      </w:r>
      <w:r w:rsidRPr="006C7201">
        <w:rPr>
          <w:rFonts w:ascii="Palatino Linotype" w:eastAsia="Calibri" w:hAnsi="Palatino Linotype" w:cs="Arial"/>
          <w:i/>
          <w:sz w:val="22"/>
        </w:rPr>
        <w:t xml:space="preserve"> modificar o revocar </w:t>
      </w:r>
      <w:r w:rsidRPr="006C7201">
        <w:rPr>
          <w:rFonts w:ascii="Palatino Linotype" w:eastAsia="Calibri" w:hAnsi="Palatino Linotype" w:cs="Arial"/>
          <w:b/>
          <w:i/>
          <w:sz w:val="22"/>
        </w:rPr>
        <w:t>las determinaciones que en materia</w:t>
      </w:r>
      <w:r w:rsidRPr="006C7201">
        <w:rPr>
          <w:rFonts w:ascii="Palatino Linotype" w:eastAsia="Calibri" w:hAnsi="Palatino Linotype" w:cs="Arial"/>
          <w:i/>
          <w:sz w:val="22"/>
        </w:rPr>
        <w:t xml:space="preserve"> de ampliación del plazo de respuesta, clasificación de la información y declaración de inexistencia o de </w:t>
      </w:r>
      <w:r w:rsidRPr="006C7201">
        <w:rPr>
          <w:rFonts w:ascii="Palatino Linotype" w:eastAsia="Calibri" w:hAnsi="Palatino Linotype" w:cs="Arial"/>
          <w:b/>
          <w:i/>
          <w:sz w:val="22"/>
        </w:rPr>
        <w:t>incompetencia realicen los titulares de las áreas de los sujetos obligados;</w:t>
      </w:r>
    </w:p>
    <w:p w14:paraId="4F87E6CF" w14:textId="77777777" w:rsidR="00FD3086" w:rsidRPr="006C7201" w:rsidRDefault="00FD3086" w:rsidP="00FD3086">
      <w:pPr>
        <w:spacing w:line="360" w:lineRule="auto"/>
        <w:ind w:left="567" w:right="757"/>
        <w:jc w:val="both"/>
        <w:rPr>
          <w:rFonts w:ascii="Palatino Linotype" w:eastAsia="Calibri" w:hAnsi="Palatino Linotype" w:cs="Arial"/>
          <w:i/>
        </w:rPr>
      </w:pPr>
      <w:r w:rsidRPr="006C7201">
        <w:rPr>
          <w:rFonts w:ascii="Palatino Linotype" w:eastAsia="Calibri" w:hAnsi="Palatino Linotype" w:cs="Arial"/>
          <w:i/>
          <w:sz w:val="22"/>
        </w:rPr>
        <w:lastRenderedPageBreak/>
        <w:t>…</w:t>
      </w:r>
    </w:p>
    <w:p w14:paraId="2BAE6D0A" w14:textId="77777777" w:rsidR="00FD3086" w:rsidRPr="006C7201" w:rsidRDefault="00FD3086" w:rsidP="00FD308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C7201">
        <w:rPr>
          <w:rFonts w:ascii="Palatino Linotype" w:eastAsia="Calibri" w:hAnsi="Palatino Linotype" w:cs="Arial"/>
        </w:rPr>
        <w:t>En efecto, si bien el</w:t>
      </w:r>
      <w:r w:rsidRPr="006C7201">
        <w:rPr>
          <w:rFonts w:ascii="Palatino Linotype" w:eastAsia="Calibri" w:hAnsi="Palatino Linotype" w:cs="Arial"/>
          <w:b/>
        </w:rPr>
        <w:t xml:space="preserve"> </w:t>
      </w:r>
      <w:r w:rsidRPr="006C7201">
        <w:rPr>
          <w:rFonts w:ascii="Palatino Linotype" w:eastAsia="Calibri" w:hAnsi="Palatino Linotype" w:cs="Arial"/>
        </w:rPr>
        <w:t>Sujeto Obligado</w:t>
      </w:r>
      <w:r w:rsidRPr="006C7201">
        <w:rPr>
          <w:rFonts w:ascii="Palatino Linotype" w:eastAsia="Calibri" w:hAnsi="Palatino Linotype" w:cs="Arial"/>
          <w:b/>
        </w:rPr>
        <w:t xml:space="preserve"> </w:t>
      </w:r>
      <w:r w:rsidRPr="006C7201">
        <w:rPr>
          <w:rFonts w:ascii="Palatino Linotype" w:eastAsia="Calibri" w:hAnsi="Palatino Linotype" w:cs="Arial"/>
        </w:rPr>
        <w:t>no tiene competencia para administrar, generar o poseer la información solicitada en el presente asunto, dicha incompetencia debe ser confirmada, modificada o revocada por el Comité de Transparencia en términos del precepto legal referido.</w:t>
      </w:r>
    </w:p>
    <w:p w14:paraId="5D99EA4E" w14:textId="77777777" w:rsidR="00FD3086" w:rsidRPr="006C7201" w:rsidRDefault="00FD3086" w:rsidP="00FD3086">
      <w:pPr>
        <w:pStyle w:val="Prrafodelista"/>
        <w:spacing w:before="100" w:beforeAutospacing="1" w:after="100" w:afterAutospacing="1" w:line="360" w:lineRule="auto"/>
        <w:ind w:left="0"/>
        <w:jc w:val="both"/>
        <w:rPr>
          <w:rFonts w:ascii="Palatino Linotype" w:eastAsia="Calibri" w:hAnsi="Palatino Linotype" w:cs="Arial"/>
        </w:rPr>
      </w:pPr>
    </w:p>
    <w:p w14:paraId="74BE8BB9" w14:textId="77777777" w:rsidR="00FD3086" w:rsidRPr="006C7201" w:rsidRDefault="00FD3086" w:rsidP="00FD308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C7201">
        <w:rPr>
          <w:rFonts w:ascii="Palatino Linotype" w:eastAsia="Calibri" w:hAnsi="Palatino Linotype" w:cs="Arial"/>
        </w:rPr>
        <w:t>El hecho que el Comité de Transparencia emita un acuerdo en donde se plasmen los fundamentos y razones por las cuales no es competente para generar, poseer y/o administrar la información requerida, es como se ha dicho, para no afectar el derecho del particular y al mismo tiempo, brindar certeza a través de un documento firmado por los integrantes del Comité de Transparencia que la información no se encuentra en sus archivos por el motivo que no se cuenta con normatividad que lo disponga.</w:t>
      </w:r>
    </w:p>
    <w:p w14:paraId="4D032CCC" w14:textId="77777777" w:rsidR="00FD3086" w:rsidRPr="006C7201" w:rsidRDefault="00FD3086" w:rsidP="00FD3086">
      <w:pPr>
        <w:pStyle w:val="Prrafodelista"/>
        <w:rPr>
          <w:rFonts w:ascii="Palatino Linotype" w:eastAsia="Calibri" w:hAnsi="Palatino Linotype" w:cs="Arial"/>
        </w:rPr>
      </w:pPr>
    </w:p>
    <w:p w14:paraId="0DDA59DE" w14:textId="77777777" w:rsidR="00FD3086" w:rsidRPr="006C7201" w:rsidRDefault="00FD3086" w:rsidP="00FD3086">
      <w:pPr>
        <w:pStyle w:val="Prrafodelista"/>
        <w:numPr>
          <w:ilvl w:val="0"/>
          <w:numId w:val="1"/>
        </w:numPr>
        <w:spacing w:before="100" w:beforeAutospacing="1" w:after="100" w:afterAutospacing="1" w:line="360" w:lineRule="auto"/>
        <w:jc w:val="both"/>
        <w:rPr>
          <w:rFonts w:ascii="Palatino Linotype" w:eastAsia="Calibri" w:hAnsi="Palatino Linotype" w:cs="Arial"/>
        </w:rPr>
      </w:pPr>
      <w:r w:rsidRPr="006C7201">
        <w:rPr>
          <w:rFonts w:ascii="Palatino Linotype" w:eastAsia="Calibri" w:hAnsi="Palatino Linotype" w:cs="Arial"/>
        </w:rPr>
        <w:t xml:space="preserve">Para robustecer lo anterior, el artículo 195 de la Ley de Transparencia y Acceso a la Información Pública del Estado de México y Municipios refiere que </w:t>
      </w:r>
      <w:r w:rsidRPr="006C7201">
        <w:rPr>
          <w:rFonts w:ascii="Palatino Linotype" w:eastAsia="Calibri" w:hAnsi="Palatino Linotype" w:cs="Arial"/>
          <w:i/>
        </w:rPr>
        <w:t xml:space="preserve">en la tramitación del recurso de revisión se aplicarán supletoriamente las disposiciones contenidas en el Código de Procedimientos Administrativos del Estado de México, </w:t>
      </w:r>
      <w:r w:rsidRPr="006C7201">
        <w:rPr>
          <w:rFonts w:ascii="Palatino Linotype" w:eastAsia="Calibri" w:hAnsi="Palatino Linotype" w:cs="Arial"/>
        </w:rPr>
        <w:t>luego entonces, se determina que el Sujeto Obligado, a través del Comité de Transparencia, deberá emitir el acuerdo correspondiente, mediante el cual se declare la incompetencia para generar, administrar y poseer la información, por corresponder a atribuciones de un Sujeto Obligado diverso.</w:t>
      </w:r>
    </w:p>
    <w:p w14:paraId="2AA5099D" w14:textId="77777777" w:rsidR="00FD3086" w:rsidRPr="006C7201" w:rsidRDefault="00FD3086" w:rsidP="00FD3086">
      <w:pPr>
        <w:pStyle w:val="Prrafodelista"/>
        <w:rPr>
          <w:rFonts w:ascii="Palatino Linotype" w:eastAsia="Calibri" w:hAnsi="Palatino Linotype" w:cs="Arial"/>
        </w:rPr>
      </w:pPr>
    </w:p>
    <w:p w14:paraId="05532B21" w14:textId="7893CA6C" w:rsidR="009E23A0" w:rsidRPr="006C7201" w:rsidRDefault="009E23A0" w:rsidP="00E44072">
      <w:pPr>
        <w:numPr>
          <w:ilvl w:val="0"/>
          <w:numId w:val="1"/>
        </w:numPr>
        <w:spacing w:after="160" w:line="360" w:lineRule="auto"/>
        <w:contextualSpacing/>
        <w:jc w:val="both"/>
        <w:rPr>
          <w:rFonts w:ascii="Palatino Linotype" w:hAnsi="Palatino Linotype"/>
        </w:rPr>
      </w:pPr>
      <w:r w:rsidRPr="006C7201">
        <w:rPr>
          <w:rFonts w:ascii="Palatino Linotype" w:hAnsi="Palatino Linotype"/>
        </w:rPr>
        <w:lastRenderedPageBreak/>
        <w:t>Ahora bien, de ser el caso de que las documentales que se ordenan entregar contengan datos personales susceptibles de clasificarse como información confidencial, el Sujeto Obligado deberá de estar a lo dispuesto en el siguiente considerando, a efectos de la elaboración de versiones públicas.</w:t>
      </w:r>
    </w:p>
    <w:p w14:paraId="38B5ABBC" w14:textId="77777777" w:rsidR="00C20A03" w:rsidRPr="006C7201" w:rsidRDefault="00C20A03" w:rsidP="00C20A03">
      <w:pPr>
        <w:pStyle w:val="Ttulo1"/>
        <w:rPr>
          <w:b/>
          <w:lang w:val="es-ES_tradnl"/>
        </w:rPr>
      </w:pPr>
      <w:bookmarkStart w:id="31" w:name="_Toc87549682"/>
      <w:r w:rsidRPr="006C7201">
        <w:rPr>
          <w:b/>
          <w:lang w:val="es-ES_tradnl"/>
        </w:rPr>
        <w:t>QUINTO. De la versión pública.</w:t>
      </w:r>
      <w:bookmarkEnd w:id="31"/>
    </w:p>
    <w:p w14:paraId="2C8A1361" w14:textId="77777777" w:rsidR="00C20A03" w:rsidRPr="006C7201" w:rsidRDefault="00C20A03" w:rsidP="00C20A03">
      <w:pPr>
        <w:rPr>
          <w:rFonts w:ascii="Palatino Linotype" w:hAnsi="Palatino Linotype"/>
          <w:lang w:val="es-ES_tradnl"/>
        </w:rPr>
      </w:pPr>
    </w:p>
    <w:p w14:paraId="48164009" w14:textId="77777777" w:rsidR="00C20A03" w:rsidRPr="006C7201" w:rsidRDefault="00C20A03" w:rsidP="00C20A03">
      <w:pPr>
        <w:pStyle w:val="Ttulo1"/>
        <w:numPr>
          <w:ilvl w:val="0"/>
          <w:numId w:val="5"/>
        </w:numPr>
        <w:tabs>
          <w:tab w:val="left" w:pos="284"/>
          <w:tab w:val="num" w:pos="360"/>
        </w:tabs>
        <w:spacing w:before="0" w:line="360" w:lineRule="auto"/>
        <w:ind w:left="0" w:firstLine="0"/>
        <w:rPr>
          <w:rFonts w:cs="Times New Roman"/>
          <w:b/>
          <w:color w:val="000000" w:themeColor="text1"/>
          <w:szCs w:val="24"/>
          <w:lang w:eastAsia="es-ES_tradnl"/>
        </w:rPr>
      </w:pPr>
      <w:bookmarkStart w:id="32" w:name="_Toc48135362"/>
      <w:bookmarkStart w:id="33" w:name="_Toc72309902"/>
      <w:bookmarkStart w:id="34" w:name="_Toc73643041"/>
      <w:bookmarkStart w:id="35" w:name="_Toc73911519"/>
      <w:bookmarkStart w:id="36" w:name="_Toc87549683"/>
      <w:r w:rsidRPr="006C7201">
        <w:rPr>
          <w:rFonts w:cs="Times New Roman"/>
          <w:b/>
          <w:color w:val="000000" w:themeColor="text1"/>
          <w:szCs w:val="24"/>
          <w:lang w:eastAsia="es-ES_tradnl"/>
        </w:rPr>
        <w:t>Nociones generales.</w:t>
      </w:r>
      <w:bookmarkEnd w:id="32"/>
      <w:bookmarkEnd w:id="33"/>
      <w:bookmarkEnd w:id="34"/>
      <w:bookmarkEnd w:id="35"/>
      <w:bookmarkEnd w:id="36"/>
      <w:r w:rsidRPr="006C7201">
        <w:rPr>
          <w:rFonts w:cs="Times New Roman"/>
          <w:b/>
          <w:color w:val="000000" w:themeColor="text1"/>
          <w:szCs w:val="24"/>
          <w:lang w:eastAsia="es-ES_tradnl"/>
        </w:rPr>
        <w:t xml:space="preserve"> </w:t>
      </w:r>
    </w:p>
    <w:p w14:paraId="18A38445" w14:textId="77777777" w:rsidR="00C20A03" w:rsidRPr="006C7201" w:rsidRDefault="00C20A03" w:rsidP="00C20A03">
      <w:pPr>
        <w:rPr>
          <w:rFonts w:ascii="Palatino Linotype" w:hAnsi="Palatino Linotype"/>
          <w:lang w:eastAsia="es-ES_tradnl"/>
        </w:rPr>
      </w:pPr>
    </w:p>
    <w:p w14:paraId="54160D3A" w14:textId="77777777" w:rsidR="00C20A03" w:rsidRPr="006C7201" w:rsidRDefault="00C20A03" w:rsidP="00C20A03">
      <w:pPr>
        <w:pStyle w:val="Prrafodelista"/>
        <w:numPr>
          <w:ilvl w:val="0"/>
          <w:numId w:val="1"/>
        </w:numPr>
        <w:tabs>
          <w:tab w:val="left" w:pos="284"/>
        </w:tabs>
        <w:spacing w:line="360" w:lineRule="auto"/>
        <w:ind w:right="49"/>
        <w:jc w:val="both"/>
        <w:rPr>
          <w:rFonts w:ascii="Palatino Linotype" w:hAnsi="Palatino Linotype" w:cs="Arial"/>
          <w:color w:val="000000"/>
        </w:rPr>
      </w:pPr>
      <w:r w:rsidRPr="006C7201">
        <w:rPr>
          <w:rFonts w:ascii="Palatino Linotype" w:hAnsi="Palatino Linotype" w:cs="Arial"/>
          <w:color w:val="000000"/>
        </w:rPr>
        <w:t>Debe destacarse que, debido a la naturaleza de la información solicitada</w:t>
      </w:r>
      <w:r w:rsidRPr="006C7201">
        <w:rPr>
          <w:rFonts w:ascii="Palatino Linotype" w:hAnsi="Palatino Linotype" w:cs="Arial"/>
          <w:b/>
          <w:color w:val="000000"/>
        </w:rPr>
        <w:t xml:space="preserve">, </w:t>
      </w:r>
      <w:r w:rsidRPr="006C7201">
        <w:rPr>
          <w:rFonts w:ascii="Palatino Linotype" w:hAnsi="Palatino Linotype" w:cs="Arial"/>
          <w:color w:val="000000"/>
        </w:rPr>
        <w:t xml:space="preserve">eventualmente pudiera obrar datos personales susceptibles de protegerse, así como información susceptible de clasificarse como reservada, el </w:t>
      </w:r>
      <w:r w:rsidRPr="006C7201">
        <w:rPr>
          <w:rFonts w:ascii="Palatino Linotype" w:hAnsi="Palatino Linotype" w:cs="Arial"/>
          <w:b/>
          <w:bCs/>
          <w:color w:val="000000"/>
        </w:rPr>
        <w:t xml:space="preserve">Sujeto Obligado </w:t>
      </w:r>
      <w:r w:rsidRPr="006C7201">
        <w:rPr>
          <w:rFonts w:ascii="Palatino Linotype" w:hAnsi="Palatino Linotype" w:cs="Arial"/>
          <w:color w:val="000000"/>
        </w:rPr>
        <w:t xml:space="preserve">deberá de hacer la adecuada versión pública, protegiendo los datos que no son susceptibles de ser proporcionados. </w:t>
      </w:r>
    </w:p>
    <w:p w14:paraId="6D0652D1" w14:textId="77777777" w:rsidR="00C20A03" w:rsidRPr="006C7201" w:rsidRDefault="00C20A03" w:rsidP="00C20A03">
      <w:pPr>
        <w:pStyle w:val="Prrafodelista"/>
        <w:tabs>
          <w:tab w:val="left" w:pos="0"/>
          <w:tab w:val="left" w:pos="284"/>
        </w:tabs>
        <w:spacing w:line="360" w:lineRule="auto"/>
        <w:ind w:left="0" w:right="49"/>
        <w:jc w:val="both"/>
        <w:rPr>
          <w:rFonts w:ascii="Palatino Linotype" w:eastAsia="MS Mincho" w:hAnsi="Palatino Linotype"/>
          <w:lang w:val="es-ES"/>
        </w:rPr>
      </w:pPr>
    </w:p>
    <w:p w14:paraId="26A41995" w14:textId="77777777" w:rsidR="00C20A03" w:rsidRPr="006C7201" w:rsidRDefault="00C20A03" w:rsidP="00C20A03">
      <w:pPr>
        <w:numPr>
          <w:ilvl w:val="0"/>
          <w:numId w:val="1"/>
        </w:numPr>
        <w:tabs>
          <w:tab w:val="left" w:pos="284"/>
        </w:tabs>
        <w:spacing w:line="360" w:lineRule="auto"/>
        <w:ind w:right="49"/>
        <w:contextualSpacing/>
        <w:jc w:val="both"/>
        <w:rPr>
          <w:rFonts w:ascii="Palatino Linotype" w:hAnsi="Palatino Linotype" w:cs="Arial"/>
          <w:color w:val="000000"/>
        </w:rPr>
      </w:pPr>
      <w:r w:rsidRPr="006C7201">
        <w:rPr>
          <w:rFonts w:ascii="Palatino Linotype" w:hAnsi="Palatino Linotype" w:cs="Arial"/>
          <w:color w:val="000000"/>
        </w:rPr>
        <w:t xml:space="preserve">No pasa desapercibido para este Órgano Garante que los </w:t>
      </w:r>
      <w:r w:rsidRPr="006C7201">
        <w:rPr>
          <w:rFonts w:ascii="Palatino Linotype" w:hAnsi="Palatino Linotype" w:cs="Arial"/>
          <w:b/>
          <w:bCs/>
          <w:color w:val="000000"/>
        </w:rPr>
        <w:t xml:space="preserve">Sujetos Obligados </w:t>
      </w:r>
      <w:r w:rsidRPr="006C7201">
        <w:rPr>
          <w:rFonts w:ascii="Palatino Linotype" w:hAnsi="Palatino Linotype" w:cs="Arial"/>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14:paraId="00763423" w14:textId="77777777" w:rsidR="00C20A03" w:rsidRPr="006C7201" w:rsidRDefault="00C20A03" w:rsidP="00C20A03">
      <w:pPr>
        <w:tabs>
          <w:tab w:val="left" w:pos="284"/>
        </w:tabs>
        <w:spacing w:line="360" w:lineRule="auto"/>
        <w:ind w:right="49"/>
        <w:contextualSpacing/>
        <w:jc w:val="both"/>
        <w:rPr>
          <w:rFonts w:ascii="Palatino Linotype" w:hAnsi="Palatino Linotype" w:cs="Arial"/>
          <w:color w:val="000000"/>
        </w:rPr>
      </w:pPr>
    </w:p>
    <w:tbl>
      <w:tblPr>
        <w:tblStyle w:val="Tablanormal1"/>
        <w:tblW w:w="8505" w:type="dxa"/>
        <w:tblInd w:w="137" w:type="dxa"/>
        <w:tblLook w:val="04A0" w:firstRow="1" w:lastRow="0" w:firstColumn="1" w:lastColumn="0" w:noHBand="0" w:noVBand="1"/>
      </w:tblPr>
      <w:tblGrid>
        <w:gridCol w:w="1838"/>
        <w:gridCol w:w="6667"/>
      </w:tblGrid>
      <w:tr w:rsidR="00C20A03" w:rsidRPr="006C7201" w14:paraId="7F3079E8" w14:textId="77777777" w:rsidTr="004144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51BACF5F" w14:textId="77777777" w:rsidR="00C20A03" w:rsidRPr="006C7201" w:rsidRDefault="00C20A03" w:rsidP="004144F7">
            <w:pPr>
              <w:tabs>
                <w:tab w:val="left" w:pos="284"/>
              </w:tabs>
              <w:spacing w:line="360" w:lineRule="auto"/>
              <w:rPr>
                <w:rFonts w:ascii="Palatino Linotype" w:hAnsi="Palatino Linotype"/>
                <w:bCs w:val="0"/>
                <w:sz w:val="20"/>
              </w:rPr>
            </w:pPr>
            <w:r w:rsidRPr="006C7201">
              <w:rPr>
                <w:rFonts w:ascii="Palatino Linotype" w:hAnsi="Palatino Linotype" w:cstheme="majorBidi"/>
                <w:sz w:val="20"/>
              </w:rPr>
              <w:t>a) Requisitos previos.</w:t>
            </w:r>
          </w:p>
        </w:tc>
        <w:tc>
          <w:tcPr>
            <w:tcW w:w="6667" w:type="dxa"/>
            <w:hideMark/>
          </w:tcPr>
          <w:p w14:paraId="06B2533F" w14:textId="5AD58882" w:rsidR="00C20A03" w:rsidRPr="006C7201" w:rsidRDefault="00C20A03" w:rsidP="004144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C7201">
              <w:rPr>
                <w:rFonts w:ascii="Palatino Linotype" w:hAnsi="Palatino Linotype" w:cs="Arial"/>
                <w:color w:val="000000"/>
                <w:sz w:val="20"/>
              </w:rPr>
              <w:t xml:space="preserve">Los artículos 100 y 122 de la Ley Estatal y de la Ley General, respectivamente, señalan </w:t>
            </w:r>
            <w:r w:rsidR="007C4861" w:rsidRPr="006C7201">
              <w:rPr>
                <w:rFonts w:ascii="Palatino Linotype" w:hAnsi="Palatino Linotype" w:cs="Arial"/>
                <w:color w:val="000000"/>
                <w:sz w:val="20"/>
              </w:rPr>
              <w:t>que,</w:t>
            </w:r>
            <w:r w:rsidRPr="006C7201">
              <w:rPr>
                <w:rFonts w:ascii="Palatino Linotype" w:hAnsi="Palatino Linotype" w:cs="Arial"/>
                <w:color w:val="000000"/>
                <w:sz w:val="20"/>
              </w:rPr>
              <w:t xml:space="preserve"> si los Sujetos Obligados determinan que la información actualiza alguno de los supuestos de clasificación, es </w:t>
            </w:r>
            <w:r w:rsidRPr="006C7201">
              <w:rPr>
                <w:rFonts w:ascii="Palatino Linotype" w:hAnsi="Palatino Linotype" w:cs="Arial"/>
                <w:color w:val="000000"/>
                <w:sz w:val="20"/>
              </w:rPr>
              <w:lastRenderedPageBreak/>
              <w:t xml:space="preserve">deber de los titulares de las áreas proponer su clasificación y no del Comité de Transparencia. </w:t>
            </w:r>
          </w:p>
          <w:p w14:paraId="02304DC4" w14:textId="77777777" w:rsidR="00C20A03" w:rsidRPr="006C7201" w:rsidRDefault="00C20A03" w:rsidP="004144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C7201">
              <w:rPr>
                <w:rFonts w:ascii="Palatino Linotype" w:hAnsi="Palatino Linotype" w:cs="Arial"/>
                <w:color w:val="000000"/>
                <w:sz w:val="20"/>
              </w:rPr>
              <w:t>Al hacerlo tienen que precisar de qué información se trata, señalando el supuesto de clasificación (confidencialidad o reserva).</w:t>
            </w:r>
          </w:p>
          <w:p w14:paraId="1223FC52" w14:textId="77777777" w:rsidR="00C20A03" w:rsidRPr="006C7201" w:rsidRDefault="00C20A03" w:rsidP="004144F7">
            <w:pPr>
              <w:tabs>
                <w:tab w:val="left" w:pos="284"/>
              </w:tabs>
              <w:spacing w:line="360" w:lineRule="auto"/>
              <w:ind w:right="49"/>
              <w:contextualSpacing/>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cs="Arial"/>
                <w:b w:val="0"/>
                <w:bCs w:val="0"/>
                <w:color w:val="000000"/>
                <w:sz w:val="20"/>
              </w:rPr>
            </w:pPr>
            <w:r w:rsidRPr="006C7201">
              <w:rPr>
                <w:rFonts w:ascii="Palatino Linotype" w:hAnsi="Palatino Linotype" w:cs="Arial"/>
                <w:color w:val="000000"/>
                <w:sz w:val="20"/>
              </w:rPr>
              <w:t>Además, se debe señalar el procedimiento, de los tres que establecen los artículos 132 y 106 de la Ley Estatal y General, respectivamente.</w:t>
            </w:r>
          </w:p>
          <w:p w14:paraId="09939E67" w14:textId="77777777" w:rsidR="00C20A03" w:rsidRPr="006C7201" w:rsidRDefault="00C20A03" w:rsidP="004144F7">
            <w:pPr>
              <w:tabs>
                <w:tab w:val="left" w:pos="284"/>
              </w:tabs>
              <w:spacing w:line="360" w:lineRule="auto"/>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rPr>
            </w:pPr>
            <w:r w:rsidRPr="006C7201">
              <w:rPr>
                <w:rFonts w:ascii="Palatino Linotype" w:hAnsi="Palatino Linotype" w:cs="Arial"/>
                <w:color w:val="000000"/>
                <w:sz w:val="20"/>
              </w:rPr>
              <w:t xml:space="preserve">El último de estos requisitos previos consiste en que no se pueden emitir acuerdos de carácter general ni particular, esto es, </w:t>
            </w:r>
            <w:r w:rsidRPr="006C7201">
              <w:rPr>
                <w:rFonts w:ascii="Palatino Linotype" w:hAnsi="Palatino Linotype" w:cs="Arial"/>
                <w:color w:val="000000"/>
                <w:sz w:val="20"/>
                <w:u w:val="single"/>
              </w:rPr>
              <w:t>no se puede hacer un acuerdo para clasificar de manera general todos los documentos de un expediente o área, sin</w:t>
            </w:r>
            <w:r w:rsidRPr="006C7201">
              <w:rPr>
                <w:rFonts w:ascii="Palatino Linotype" w:hAnsi="Palatino Linotype" w:cs="Arial"/>
                <w:color w:val="000000"/>
                <w:sz w:val="20"/>
              </w:rPr>
              <w:t xml:space="preserve"> individualizar su análisis y tampoco se puede hacer un acuerdo por cada dato que se vaya a clasificar dentro de un documento con diez datos, por ejemplo, susceptibles de ser clasificados.</w:t>
            </w:r>
          </w:p>
        </w:tc>
      </w:tr>
      <w:tr w:rsidR="00C20A03" w:rsidRPr="006C7201" w14:paraId="6CA2904B" w14:textId="77777777" w:rsidTr="00414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hideMark/>
          </w:tcPr>
          <w:p w14:paraId="01C1A4BC" w14:textId="77777777" w:rsidR="00C20A03" w:rsidRPr="006C7201" w:rsidRDefault="00C20A03" w:rsidP="004144F7">
            <w:pPr>
              <w:tabs>
                <w:tab w:val="left" w:pos="284"/>
              </w:tabs>
              <w:spacing w:line="360" w:lineRule="auto"/>
              <w:rPr>
                <w:rFonts w:ascii="Palatino Linotype" w:hAnsi="Palatino Linotype"/>
                <w:bCs w:val="0"/>
                <w:sz w:val="20"/>
              </w:rPr>
            </w:pPr>
            <w:r w:rsidRPr="006C7201">
              <w:rPr>
                <w:rFonts w:ascii="Palatino Linotype" w:hAnsi="Palatino Linotype" w:cstheme="majorBidi"/>
                <w:sz w:val="20"/>
              </w:rPr>
              <w:lastRenderedPageBreak/>
              <w:t>b) Supuestos de clasificación.</w:t>
            </w:r>
          </w:p>
        </w:tc>
        <w:tc>
          <w:tcPr>
            <w:tcW w:w="6667" w:type="dxa"/>
            <w:hideMark/>
          </w:tcPr>
          <w:p w14:paraId="7CD95FB0" w14:textId="77777777"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Las disposiciones constitucionales y legales en la materia establecen los dos supuestos generales para clasificar la información: por reserva y por confidencialidad.</w:t>
            </w:r>
          </w:p>
          <w:p w14:paraId="3A38E744" w14:textId="77777777"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40CDDB7" w14:textId="77777777" w:rsidR="00C20A03" w:rsidRPr="006C7201" w:rsidRDefault="00C20A03" w:rsidP="004144F7">
            <w:pPr>
              <w:tabs>
                <w:tab w:val="left" w:pos="284"/>
              </w:tabs>
              <w:spacing w:line="360" w:lineRule="auto"/>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rPr>
            </w:pPr>
            <w:r w:rsidRPr="006C7201">
              <w:rPr>
                <w:rFonts w:ascii="Palatino Linotype" w:hAnsi="Palatino Linotype" w:cs="Arial"/>
                <w:color w:val="000000"/>
                <w:sz w:val="20"/>
              </w:rPr>
              <w:t xml:space="preserve">El </w:t>
            </w:r>
            <w:r w:rsidRPr="006C7201">
              <w:rPr>
                <w:rFonts w:ascii="Palatino Linotype" w:hAnsi="Palatino Linotype" w:cs="Arial"/>
                <w:b/>
                <w:color w:val="000000"/>
                <w:sz w:val="20"/>
              </w:rPr>
              <w:t>Sujeto Obligado</w:t>
            </w:r>
            <w:r w:rsidRPr="006C7201">
              <w:rPr>
                <w:rFonts w:ascii="Palatino Linotype" w:hAnsi="Palatino Linotype" w:cs="Arial"/>
                <w:color w:val="000000"/>
                <w:sz w:val="20"/>
              </w:rPr>
              <w:t xml:space="preserve"> debe identificar claramente el tipo de información y hacer un juicio de subsunción o encaje para acreditar que el supuesto de hecho corresponde estrictamente con la hipótesis jurídica. Esto también lo </w:t>
            </w:r>
            <w:r w:rsidRPr="006C7201">
              <w:rPr>
                <w:rFonts w:ascii="Palatino Linotype" w:hAnsi="Palatino Linotype" w:cs="Arial"/>
                <w:color w:val="000000"/>
                <w:sz w:val="20"/>
              </w:rPr>
              <w:lastRenderedPageBreak/>
              <w:t>debe de realizar el servidor público habilitado y el titular del área que administra la información.</w:t>
            </w:r>
          </w:p>
        </w:tc>
      </w:tr>
      <w:tr w:rsidR="00C20A03" w:rsidRPr="006C7201" w14:paraId="3D5491E8" w14:textId="77777777" w:rsidTr="004144F7">
        <w:tc>
          <w:tcPr>
            <w:cnfStyle w:val="001000000000" w:firstRow="0" w:lastRow="0" w:firstColumn="1" w:lastColumn="0" w:oddVBand="0" w:evenVBand="0" w:oddHBand="0" w:evenHBand="0" w:firstRowFirstColumn="0" w:firstRowLastColumn="0" w:lastRowFirstColumn="0" w:lastRowLastColumn="0"/>
            <w:tcW w:w="1838" w:type="dxa"/>
            <w:hideMark/>
          </w:tcPr>
          <w:p w14:paraId="33866CC8" w14:textId="77777777" w:rsidR="00C20A03" w:rsidRPr="006C7201" w:rsidRDefault="00C20A03" w:rsidP="004144F7">
            <w:pPr>
              <w:tabs>
                <w:tab w:val="left" w:pos="284"/>
              </w:tabs>
              <w:spacing w:line="360" w:lineRule="auto"/>
              <w:rPr>
                <w:rFonts w:ascii="Palatino Linotype" w:hAnsi="Palatino Linotype"/>
                <w:bCs w:val="0"/>
                <w:sz w:val="20"/>
              </w:rPr>
            </w:pPr>
            <w:r w:rsidRPr="006C7201">
              <w:rPr>
                <w:rFonts w:ascii="Palatino Linotype" w:hAnsi="Palatino Linotype" w:cstheme="majorBidi"/>
                <w:sz w:val="20"/>
              </w:rPr>
              <w:lastRenderedPageBreak/>
              <w:t>c) Formalidades para emitir el acuerdo de clasificación.</w:t>
            </w:r>
          </w:p>
        </w:tc>
        <w:tc>
          <w:tcPr>
            <w:tcW w:w="6667" w:type="dxa"/>
            <w:hideMark/>
          </w:tcPr>
          <w:p w14:paraId="4707FEE9" w14:textId="77777777" w:rsidR="00C20A03" w:rsidRPr="006C7201" w:rsidRDefault="00C20A03" w:rsidP="00414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El Comité de Transparencia, según lo dispuesto en los artículos cuenta con las facultades para aprobar, modificar o revocar la clasificación de la información que haya propuesto. </w:t>
            </w:r>
          </w:p>
          <w:p w14:paraId="18CB0AB6" w14:textId="77777777" w:rsidR="00C20A03" w:rsidRPr="006C7201" w:rsidRDefault="00C20A03" w:rsidP="00414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Es necesario que </w:t>
            </w:r>
            <w:r w:rsidRPr="006C7201">
              <w:rPr>
                <w:rFonts w:ascii="Palatino Linotype" w:hAnsi="Palatino Linotype" w:cs="Arial"/>
                <w:b/>
                <w:color w:val="000000"/>
                <w:sz w:val="20"/>
                <w:u w:val="single"/>
              </w:rPr>
              <w:t>el acto reúna con los requisitos elementales</w:t>
            </w:r>
            <w:r w:rsidRPr="006C7201">
              <w:rPr>
                <w:rFonts w:ascii="Palatino Linotype" w:hAnsi="Palatino Linotype" w:cs="Arial"/>
                <w:color w:val="000000"/>
                <w:sz w:val="20"/>
              </w:rPr>
              <w:t>, entre ellos, que la autoridad que va a emitir el acto de autoridad sea la legalmente facultada para ello.</w:t>
            </w:r>
          </w:p>
          <w:p w14:paraId="4066A855" w14:textId="77777777" w:rsidR="00C20A03" w:rsidRPr="006C7201" w:rsidRDefault="00C20A03" w:rsidP="004144F7">
            <w:pPr>
              <w:tabs>
                <w:tab w:val="left" w:pos="284"/>
              </w:tabs>
              <w:spacing w:line="360" w:lineRule="auto"/>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C7201">
              <w:rPr>
                <w:rFonts w:ascii="Palatino Linotype" w:hAnsi="Palatino Linotype" w:cs="Arial"/>
                <w:color w:val="000000"/>
                <w:sz w:val="2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20A03" w:rsidRPr="006C7201" w14:paraId="26E4DC87" w14:textId="77777777" w:rsidTr="004144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06E40A1" w14:textId="77777777" w:rsidR="00C20A03" w:rsidRPr="006C7201" w:rsidRDefault="00C20A03" w:rsidP="004144F7">
            <w:pPr>
              <w:tabs>
                <w:tab w:val="left" w:pos="284"/>
              </w:tabs>
              <w:spacing w:line="360" w:lineRule="auto"/>
              <w:rPr>
                <w:rFonts w:ascii="Palatino Linotype" w:hAnsi="Palatino Linotype"/>
                <w:b w:val="0"/>
                <w:sz w:val="20"/>
              </w:rPr>
            </w:pPr>
          </w:p>
          <w:p w14:paraId="50B2480A" w14:textId="77777777" w:rsidR="00C20A03" w:rsidRPr="006C7201" w:rsidRDefault="00C20A03" w:rsidP="004144F7">
            <w:pPr>
              <w:tabs>
                <w:tab w:val="left" w:pos="284"/>
              </w:tabs>
              <w:spacing w:line="360" w:lineRule="auto"/>
              <w:jc w:val="both"/>
              <w:rPr>
                <w:rFonts w:ascii="Palatino Linotype" w:hAnsi="Palatino Linotype"/>
                <w:bCs w:val="0"/>
                <w:sz w:val="20"/>
              </w:rPr>
            </w:pPr>
            <w:r w:rsidRPr="006C7201">
              <w:rPr>
                <w:rFonts w:ascii="Palatino Linotype" w:hAnsi="Palatino Linotype" w:cs="Arial"/>
                <w:color w:val="000000"/>
                <w:sz w:val="20"/>
              </w:rPr>
              <w:t xml:space="preserve">d) Requisitos de fondo del acuerdo de clasificación. </w:t>
            </w:r>
          </w:p>
        </w:tc>
        <w:tc>
          <w:tcPr>
            <w:tcW w:w="6667" w:type="dxa"/>
            <w:hideMark/>
          </w:tcPr>
          <w:p w14:paraId="628282AB" w14:textId="77777777"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6C7201">
              <w:rPr>
                <w:rFonts w:ascii="Palatino Linotype" w:hAnsi="Palatino Linotype" w:cs="Arial"/>
                <w:b/>
                <w:color w:val="000000"/>
                <w:sz w:val="20"/>
              </w:rPr>
              <w:t>Sujetos Obligados</w:t>
            </w:r>
            <w:r w:rsidRPr="006C7201">
              <w:rPr>
                <w:rFonts w:ascii="Palatino Linotype" w:hAnsi="Palatino Linotype" w:cs="Arial"/>
                <w:color w:val="000000"/>
                <w:sz w:val="20"/>
              </w:rPr>
              <w:t xml:space="preserve">, por lo que deberán fundar y motivar debidamente la clasificación. </w:t>
            </w:r>
          </w:p>
          <w:p w14:paraId="43DBCE8F" w14:textId="132A7609"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De lo anterior, se desprende </w:t>
            </w:r>
            <w:r w:rsidR="007C4861" w:rsidRPr="006C7201">
              <w:rPr>
                <w:rFonts w:ascii="Palatino Linotype" w:hAnsi="Palatino Linotype" w:cs="Arial"/>
                <w:color w:val="000000"/>
                <w:sz w:val="20"/>
              </w:rPr>
              <w:t>que,</w:t>
            </w:r>
            <w:r w:rsidRPr="006C7201">
              <w:rPr>
                <w:rFonts w:ascii="Palatino Linotype" w:hAnsi="Palatino Linotype" w:cs="Arial"/>
                <w:color w:val="000000"/>
                <w:sz w:val="20"/>
              </w:rPr>
              <w:t xml:space="preserve"> para una correcta </w:t>
            </w:r>
            <w:r w:rsidRPr="006C7201">
              <w:rPr>
                <w:rFonts w:ascii="Palatino Linotype" w:hAnsi="Palatino Linotype" w:cs="Arial"/>
                <w:b/>
                <w:color w:val="000000"/>
                <w:sz w:val="20"/>
              </w:rPr>
              <w:t>clasificación total o parcial</w:t>
            </w:r>
            <w:r w:rsidRPr="006C7201">
              <w:rPr>
                <w:rFonts w:ascii="Palatino Linotype" w:hAnsi="Palatino Linotype" w:cs="Arial"/>
                <w:color w:val="000000"/>
                <w:sz w:val="20"/>
              </w:rPr>
              <w:t xml:space="preserve">, esto es determinar los datos que se suprimen en las versiones públicas, es necesario fundar y motivar, de manera correcta, la clasificación; considerando que todo acto que la autoridad pronuncie en el ejercicio de sus atribuciones, debe expresar los fundamentos legales </w:t>
            </w:r>
            <w:r w:rsidRPr="006C7201">
              <w:rPr>
                <w:rFonts w:ascii="Palatino Linotype" w:hAnsi="Palatino Linotype" w:cs="Arial"/>
                <w:color w:val="000000"/>
                <w:sz w:val="20"/>
              </w:rPr>
              <w:lastRenderedPageBreak/>
              <w:t>que le dieron origen y las razones por las que se deben aplicar al caso concreto.</w:t>
            </w:r>
          </w:p>
          <w:p w14:paraId="62902820" w14:textId="77777777"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4F604E35" w14:textId="77777777"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En ese mismo sentido, el numeral trigésimo tercero fracción V de los Lineamientos Generales, precisa que para motivar la clasificación se deben acreditar las circunstancias de tiempo, modo y lugar.</w:t>
            </w:r>
          </w:p>
          <w:p w14:paraId="3CA52763" w14:textId="77777777" w:rsidR="00C20A03" w:rsidRPr="006C7201" w:rsidRDefault="00C20A03" w:rsidP="004144F7">
            <w:pPr>
              <w:tabs>
                <w:tab w:val="left" w:pos="284"/>
              </w:tabs>
              <w:spacing w:line="360" w:lineRule="auto"/>
              <w:ind w:right="49"/>
              <w:contextualSpacing/>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Ahora bien, </w:t>
            </w:r>
            <w:r w:rsidRPr="006C7201">
              <w:rPr>
                <w:rFonts w:ascii="Palatino Linotype" w:hAnsi="Palatino Linotype" w:cs="Arial"/>
                <w:b/>
                <w:color w:val="000000"/>
                <w:sz w:val="20"/>
                <w:u w:val="single"/>
              </w:rPr>
              <w:t>para cada caso además de fundar y motivar</w:t>
            </w:r>
            <w:r w:rsidRPr="006C7201">
              <w:rPr>
                <w:rFonts w:ascii="Palatino Linotype" w:hAnsi="Palatino Linotype" w:cs="Arial"/>
                <w:color w:val="000000"/>
                <w:sz w:val="20"/>
              </w:rPr>
              <w:t xml:space="preserve">, se debe identificar con claridad que datos contenidos en las documentales que son susceptibles de suprimirse, por ejemplo; </w:t>
            </w:r>
            <w:r w:rsidRPr="006C7201">
              <w:rPr>
                <w:rFonts w:ascii="Palatino Linotype" w:hAnsi="Palatino Linotype" w:cs="Arial"/>
                <w:color w:val="000000"/>
                <w:sz w:val="20"/>
                <w:lang w:val="es-ES"/>
              </w:rPr>
              <w:t>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20A03" w:rsidRPr="006C7201" w14:paraId="771DE790" w14:textId="77777777" w:rsidTr="004144F7">
        <w:tc>
          <w:tcPr>
            <w:cnfStyle w:val="001000000000" w:firstRow="0" w:lastRow="0" w:firstColumn="1" w:lastColumn="0" w:oddVBand="0" w:evenVBand="0" w:oddHBand="0" w:evenHBand="0" w:firstRowFirstColumn="0" w:firstRowLastColumn="0" w:lastRowFirstColumn="0" w:lastRowLastColumn="0"/>
            <w:tcW w:w="1838" w:type="dxa"/>
          </w:tcPr>
          <w:p w14:paraId="34ECFF89" w14:textId="77777777" w:rsidR="00C20A03" w:rsidRPr="006C7201" w:rsidRDefault="00C20A03" w:rsidP="004144F7">
            <w:pPr>
              <w:tabs>
                <w:tab w:val="left" w:pos="284"/>
              </w:tabs>
              <w:spacing w:line="360" w:lineRule="auto"/>
              <w:ind w:right="49"/>
              <w:jc w:val="both"/>
              <w:rPr>
                <w:rFonts w:ascii="Palatino Linotype" w:hAnsi="Palatino Linotype" w:cs="Arial"/>
                <w:bCs w:val="0"/>
                <w:sz w:val="20"/>
              </w:rPr>
            </w:pPr>
            <w:r w:rsidRPr="006C7201">
              <w:rPr>
                <w:rFonts w:ascii="Palatino Linotype" w:eastAsia="MS Gothic" w:hAnsi="Palatino Linotype" w:cs="Times New Roman"/>
                <w:sz w:val="20"/>
              </w:rPr>
              <w:lastRenderedPageBreak/>
              <w:t xml:space="preserve">e) Condiciones especiales de la clasificación de la información como confidencial. </w:t>
            </w:r>
          </w:p>
        </w:tc>
        <w:tc>
          <w:tcPr>
            <w:tcW w:w="6667" w:type="dxa"/>
            <w:hideMark/>
          </w:tcPr>
          <w:p w14:paraId="0313F21B" w14:textId="7CE3FBC5" w:rsidR="00C20A03" w:rsidRPr="006C7201" w:rsidRDefault="00C20A03" w:rsidP="00414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Los artículos 148 y 120 de la Ley Estatal y de la Ley General, respectivamente, establecen </w:t>
            </w:r>
            <w:r w:rsidR="007C4861" w:rsidRPr="006C7201">
              <w:rPr>
                <w:rFonts w:ascii="Palatino Linotype" w:hAnsi="Palatino Linotype" w:cs="Arial"/>
                <w:color w:val="000000"/>
                <w:sz w:val="20"/>
              </w:rPr>
              <w:t>que,</w:t>
            </w:r>
            <w:r w:rsidRPr="006C7201">
              <w:rPr>
                <w:rFonts w:ascii="Palatino Linotype" w:hAnsi="Palatino Linotype" w:cs="Arial"/>
                <w:color w:val="000000"/>
                <w:sz w:val="20"/>
              </w:rPr>
              <w:t xml:space="preserve"> aun tratándose de datos personales, se podrán proporcionar, incluso sin solicitar el consentimiento de su titular. </w:t>
            </w:r>
          </w:p>
          <w:p w14:paraId="2F3BA64A" w14:textId="77777777" w:rsidR="00C20A03" w:rsidRPr="006C7201" w:rsidRDefault="00C20A03" w:rsidP="004144F7">
            <w:pPr>
              <w:tabs>
                <w:tab w:val="left" w:pos="284"/>
              </w:tabs>
              <w:spacing w:line="360" w:lineRule="auto"/>
              <w:ind w:right="49"/>
              <w:contextualSpacing/>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cs="Arial"/>
                <w:color w:val="000000"/>
                <w:sz w:val="20"/>
              </w:rPr>
            </w:pPr>
            <w:r w:rsidRPr="006C7201">
              <w:rPr>
                <w:rFonts w:ascii="Palatino Linotype" w:hAnsi="Palatino Linotype" w:cs="Arial"/>
                <w:color w:val="000000"/>
                <w:sz w:val="2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1E672C5E" w14:textId="77777777" w:rsidR="00C20A03" w:rsidRPr="006C7201" w:rsidRDefault="00C20A03" w:rsidP="004144F7">
            <w:pPr>
              <w:tabs>
                <w:tab w:val="left" w:pos="284"/>
              </w:tabs>
              <w:spacing w:line="360" w:lineRule="auto"/>
              <w:cnfStyle w:val="000000000000" w:firstRow="0" w:lastRow="0" w:firstColumn="0" w:lastColumn="0" w:oddVBand="0" w:evenVBand="0" w:oddHBand="0" w:evenHBand="0" w:firstRowFirstColumn="0" w:firstRowLastColumn="0" w:lastRowFirstColumn="0" w:lastRowLastColumn="0"/>
              <w:rPr>
                <w:rFonts w:ascii="Palatino Linotype" w:hAnsi="Palatino Linotype"/>
                <w:sz w:val="20"/>
              </w:rPr>
            </w:pPr>
            <w:r w:rsidRPr="006C7201">
              <w:rPr>
                <w:rFonts w:ascii="Palatino Linotype" w:hAnsi="Palatino Linotype" w:cs="Arial"/>
                <w:color w:val="000000"/>
                <w:sz w:val="20"/>
              </w:rPr>
              <w:t xml:space="preserve">Pero si la información que se pretende clasificar como confidencial no se encuentra en los supuestos de los artículos señalados y es posible, se </w:t>
            </w:r>
            <w:r w:rsidRPr="006C7201">
              <w:rPr>
                <w:rFonts w:ascii="Palatino Linotype" w:hAnsi="Palatino Linotype" w:cs="Arial"/>
                <w:color w:val="000000"/>
                <w:sz w:val="20"/>
              </w:rPr>
              <w:lastRenderedPageBreak/>
              <w:t>deberá consultar al titular de los datos si permite o no el acceso. De no ser posible, la realización de la consulta, procede, fundando y motivando, la clasificación.</w:t>
            </w:r>
          </w:p>
        </w:tc>
      </w:tr>
    </w:tbl>
    <w:p w14:paraId="51498236" w14:textId="77777777" w:rsidR="00C20A03" w:rsidRPr="006C7201" w:rsidRDefault="00C20A03" w:rsidP="00C20A03">
      <w:pPr>
        <w:pStyle w:val="Prrafodelista"/>
        <w:tabs>
          <w:tab w:val="left" w:pos="284"/>
        </w:tabs>
        <w:ind w:left="0"/>
        <w:rPr>
          <w:rFonts w:ascii="Palatino Linotype" w:hAnsi="Palatino Linotype" w:cs="Arial"/>
          <w:color w:val="000000"/>
        </w:rPr>
      </w:pPr>
    </w:p>
    <w:p w14:paraId="0C15380C" w14:textId="77777777" w:rsidR="00C20A03" w:rsidRPr="006C7201" w:rsidRDefault="00C20A03" w:rsidP="00C20A03">
      <w:pPr>
        <w:pStyle w:val="Prrafodelista"/>
        <w:numPr>
          <w:ilvl w:val="0"/>
          <w:numId w:val="1"/>
        </w:numPr>
        <w:tabs>
          <w:tab w:val="left" w:pos="284"/>
        </w:tabs>
        <w:spacing w:line="360" w:lineRule="auto"/>
        <w:jc w:val="both"/>
        <w:rPr>
          <w:rFonts w:ascii="Palatino Linotype" w:hAnsi="Palatino Linotype" w:cs="Arial"/>
          <w:color w:val="000000"/>
        </w:rPr>
      </w:pPr>
      <w:r w:rsidRPr="006C7201">
        <w:rPr>
          <w:rFonts w:ascii="Palatino Linotype" w:hAnsi="Palatino Linotype" w:cs="Arial"/>
        </w:rPr>
        <w:t xml:space="preserve">Si el servidor público incumple con estas formalidades y entrega la información sin proteger los datos personales incumple con lo que estipula las disposiciones legales establecidas, asimismo que si entrega un documento testado sin el debido acuerdo de clasificación. </w:t>
      </w:r>
    </w:p>
    <w:p w14:paraId="441019AC" w14:textId="77777777" w:rsidR="00C20A03" w:rsidRPr="006C7201" w:rsidRDefault="00C20A03" w:rsidP="00C20A03">
      <w:pPr>
        <w:pStyle w:val="Prrafodelista"/>
        <w:shd w:val="clear" w:color="auto" w:fill="FFFFFF"/>
        <w:spacing w:before="240" w:after="240" w:line="360" w:lineRule="auto"/>
        <w:ind w:left="0"/>
        <w:jc w:val="both"/>
        <w:rPr>
          <w:rFonts w:ascii="Palatino Linotype" w:hAnsi="Palatino Linotype" w:cs="Arial"/>
        </w:rPr>
      </w:pPr>
    </w:p>
    <w:p w14:paraId="278A67F8" w14:textId="338B0ED5" w:rsidR="001C4F63" w:rsidRPr="006C7201" w:rsidRDefault="001C4F63" w:rsidP="001C4F63">
      <w:pPr>
        <w:pStyle w:val="Prrafodelista"/>
        <w:numPr>
          <w:ilvl w:val="0"/>
          <w:numId w:val="1"/>
        </w:numPr>
        <w:spacing w:line="360" w:lineRule="auto"/>
        <w:jc w:val="both"/>
        <w:rPr>
          <w:rFonts w:ascii="Palatino Linotype" w:hAnsi="Palatino Linotype" w:cs="Arial"/>
        </w:rPr>
      </w:pPr>
      <w:r w:rsidRPr="006C7201">
        <w:rPr>
          <w:rFonts w:ascii="Palatino Linotype" w:eastAsia="Times New Roman" w:hAnsi="Palatino Linotype" w:cs="Arial"/>
          <w:color w:val="222222"/>
          <w:lang w:eastAsia="es-MX"/>
        </w:rPr>
        <w:t xml:space="preserve">Por lo anteriormente expuesto y fundado, este </w:t>
      </w:r>
      <w:r w:rsidRPr="006C7201">
        <w:rPr>
          <w:rFonts w:ascii="Palatino Linotype" w:eastAsia="Times New Roman" w:hAnsi="Palatino Linotype" w:cs="Arial"/>
          <w:b/>
          <w:bCs/>
          <w:color w:val="222222"/>
          <w:lang w:eastAsia="es-MX"/>
        </w:rPr>
        <w:t>ÓRGANO GARANTE</w:t>
      </w:r>
      <w:r w:rsidRPr="006C7201">
        <w:rPr>
          <w:rFonts w:ascii="Palatino Linotype" w:eastAsia="Times New Roman" w:hAnsi="Palatino Linotype" w:cs="Arial"/>
          <w:color w:val="222222"/>
          <w:lang w:eastAsia="es-MX"/>
        </w:rPr>
        <w:t xml:space="preserve"> emite los siguientes:</w:t>
      </w:r>
    </w:p>
    <w:p w14:paraId="18C7D92B" w14:textId="77777777" w:rsidR="009959DB" w:rsidRPr="006C7201" w:rsidRDefault="009959DB" w:rsidP="009959DB">
      <w:pPr>
        <w:pStyle w:val="Ttulo1"/>
        <w:spacing w:line="360" w:lineRule="auto"/>
        <w:jc w:val="center"/>
        <w:rPr>
          <w:b/>
          <w:color w:val="000000" w:themeColor="text1"/>
          <w:szCs w:val="24"/>
        </w:rPr>
      </w:pPr>
      <w:bookmarkStart w:id="37" w:name="_Toc495427547"/>
      <w:bookmarkStart w:id="38" w:name="_Toc497905366"/>
      <w:bookmarkStart w:id="39" w:name="_Toc87456497"/>
      <w:r w:rsidRPr="006C7201">
        <w:rPr>
          <w:b/>
          <w:color w:val="000000" w:themeColor="text1"/>
          <w:szCs w:val="24"/>
        </w:rPr>
        <w:t>R E S O L U T I V O S</w:t>
      </w:r>
      <w:bookmarkEnd w:id="23"/>
      <w:bookmarkEnd w:id="24"/>
      <w:bookmarkEnd w:id="37"/>
      <w:bookmarkEnd w:id="38"/>
      <w:bookmarkEnd w:id="39"/>
    </w:p>
    <w:p w14:paraId="47F35804" w14:textId="77777777" w:rsidR="00B54CAF" w:rsidRPr="006C7201" w:rsidRDefault="00B54CAF" w:rsidP="00014006">
      <w:pPr>
        <w:spacing w:line="360" w:lineRule="auto"/>
        <w:jc w:val="both"/>
        <w:rPr>
          <w:rFonts w:ascii="Palatino Linotype" w:eastAsia="Times New Roman" w:hAnsi="Palatino Linotype" w:cs="Arial"/>
          <w:b/>
        </w:rPr>
      </w:pPr>
    </w:p>
    <w:p w14:paraId="46FD83D7" w14:textId="41A51166" w:rsidR="003A2D8F" w:rsidRPr="006C7201" w:rsidRDefault="003A2D8F" w:rsidP="003A2D8F">
      <w:pPr>
        <w:spacing w:line="360" w:lineRule="auto"/>
        <w:jc w:val="both"/>
        <w:rPr>
          <w:rFonts w:ascii="Palatino Linotype" w:hAnsi="Palatino Linotype"/>
        </w:rPr>
      </w:pPr>
      <w:r w:rsidRPr="006C7201">
        <w:rPr>
          <w:rFonts w:ascii="Palatino Linotype" w:hAnsi="Palatino Linotype" w:cs="Arial"/>
          <w:b/>
        </w:rPr>
        <w:t xml:space="preserve">PRIMERO. </w:t>
      </w:r>
      <w:r w:rsidRPr="006C7201">
        <w:rPr>
          <w:rFonts w:ascii="Palatino Linotype" w:hAnsi="Palatino Linotype" w:cs="Arial"/>
        </w:rPr>
        <w:t>Resultan fundadas las</w:t>
      </w:r>
      <w:r w:rsidRPr="006C7201">
        <w:rPr>
          <w:rFonts w:ascii="Palatino Linotype" w:hAnsi="Palatino Linotype" w:cs="Arial"/>
          <w:b/>
        </w:rPr>
        <w:t xml:space="preserve"> </w:t>
      </w:r>
      <w:r w:rsidRPr="006C7201">
        <w:rPr>
          <w:rFonts w:ascii="Palatino Linotype" w:hAnsi="Palatino Linotype" w:cs="Arial"/>
          <w:lang w:val="es-ES"/>
        </w:rPr>
        <w:t xml:space="preserve">razones o motivos de inconformidad hechos valer </w:t>
      </w:r>
      <w:r w:rsidRPr="006C7201">
        <w:rPr>
          <w:rFonts w:ascii="Palatino Linotype" w:eastAsia="Calibri" w:hAnsi="Palatino Linotype" w:cs="Arial"/>
          <w:lang w:val="es-ES"/>
        </w:rPr>
        <w:t xml:space="preserve">en </w:t>
      </w:r>
      <w:r w:rsidR="00297A63" w:rsidRPr="006C7201">
        <w:rPr>
          <w:rFonts w:ascii="Palatino Linotype" w:eastAsia="Calibri" w:hAnsi="Palatino Linotype" w:cs="Arial"/>
          <w:lang w:val="es-ES"/>
        </w:rPr>
        <w:t>los</w:t>
      </w:r>
      <w:r w:rsidRPr="006C7201">
        <w:rPr>
          <w:rFonts w:ascii="Palatino Linotype" w:eastAsia="Calibri" w:hAnsi="Palatino Linotype" w:cs="Arial"/>
          <w:lang w:val="es-ES"/>
        </w:rPr>
        <w:t xml:space="preserve"> recurso</w:t>
      </w:r>
      <w:r w:rsidR="00297A63" w:rsidRPr="006C7201">
        <w:rPr>
          <w:rFonts w:ascii="Palatino Linotype" w:eastAsia="Calibri" w:hAnsi="Palatino Linotype" w:cs="Arial"/>
          <w:lang w:val="es-ES"/>
        </w:rPr>
        <w:t>s</w:t>
      </w:r>
      <w:r w:rsidRPr="006C7201">
        <w:rPr>
          <w:rFonts w:ascii="Palatino Linotype" w:eastAsia="Calibri" w:hAnsi="Palatino Linotype" w:cs="Arial"/>
          <w:lang w:val="es-ES"/>
        </w:rPr>
        <w:t xml:space="preserve"> de revisión </w:t>
      </w:r>
      <w:r w:rsidR="00093486" w:rsidRPr="006C7201">
        <w:rPr>
          <w:rFonts w:ascii="Palatino Linotype" w:eastAsia="Calibri" w:hAnsi="Palatino Linotype" w:cs="Arial"/>
          <w:b/>
          <w:lang w:val="es-ES"/>
        </w:rPr>
        <w:t>17623</w:t>
      </w:r>
      <w:r w:rsidR="00093486" w:rsidRPr="006C7201">
        <w:rPr>
          <w:rFonts w:ascii="Palatino Linotype" w:hAnsi="Palatino Linotype"/>
          <w:b/>
          <w:szCs w:val="22"/>
        </w:rPr>
        <w:t>/INFOEM/IP/RR/2022</w:t>
      </w:r>
      <w:r w:rsidR="00297A63" w:rsidRPr="006C7201">
        <w:rPr>
          <w:rFonts w:ascii="Palatino Linotype" w:eastAsia="Calibri" w:hAnsi="Palatino Linotype" w:cs="Tahoma"/>
          <w:b/>
          <w:lang w:eastAsia="en-US"/>
        </w:rPr>
        <w:t xml:space="preserve"> y </w:t>
      </w:r>
      <w:r w:rsidR="00093486" w:rsidRPr="006C7201">
        <w:rPr>
          <w:rFonts w:ascii="Palatino Linotype" w:eastAsia="Calibri" w:hAnsi="Palatino Linotype" w:cs="Arial"/>
          <w:b/>
          <w:lang w:val="es-ES"/>
        </w:rPr>
        <w:t>17625</w:t>
      </w:r>
      <w:r w:rsidR="00093486" w:rsidRPr="006C7201">
        <w:rPr>
          <w:rFonts w:ascii="Palatino Linotype" w:hAnsi="Palatino Linotype"/>
          <w:b/>
          <w:szCs w:val="22"/>
        </w:rPr>
        <w:t>/INFOEM/IP/RR/2022</w:t>
      </w:r>
      <w:r w:rsidRPr="006C7201">
        <w:rPr>
          <w:rFonts w:ascii="Palatino Linotype" w:hAnsi="Palatino Linotype"/>
          <w:b/>
          <w:sz w:val="28"/>
        </w:rPr>
        <w:t xml:space="preserve"> </w:t>
      </w:r>
      <w:r w:rsidRPr="006C7201">
        <w:rPr>
          <w:rFonts w:ascii="Palatino Linotype" w:hAnsi="Palatino Linotype"/>
        </w:rPr>
        <w:t>en términos de los</w:t>
      </w:r>
      <w:r w:rsidRPr="006C7201">
        <w:rPr>
          <w:rFonts w:ascii="Palatino Linotype" w:hAnsi="Palatino Linotype"/>
          <w:b/>
          <w:bCs/>
        </w:rPr>
        <w:t xml:space="preserve"> Considerandos</w:t>
      </w:r>
      <w:r w:rsidRPr="006C7201">
        <w:rPr>
          <w:rFonts w:ascii="Palatino Linotype" w:hAnsi="Palatino Linotype"/>
        </w:rPr>
        <w:t xml:space="preserve"> </w:t>
      </w:r>
      <w:r w:rsidRPr="006C7201">
        <w:rPr>
          <w:rFonts w:ascii="Palatino Linotype" w:hAnsi="Palatino Linotype"/>
          <w:b/>
        </w:rPr>
        <w:t>CUARTO y QUINTO</w:t>
      </w:r>
      <w:r w:rsidRPr="006C7201">
        <w:rPr>
          <w:rFonts w:ascii="Palatino Linotype" w:hAnsi="Palatino Linotype"/>
        </w:rPr>
        <w:t xml:space="preserve"> de la presente resolución.</w:t>
      </w:r>
    </w:p>
    <w:p w14:paraId="06B7BB28" w14:textId="77777777" w:rsidR="003A2D8F" w:rsidRPr="006C7201" w:rsidRDefault="003A2D8F" w:rsidP="003A2D8F">
      <w:pPr>
        <w:spacing w:line="360" w:lineRule="auto"/>
        <w:contextualSpacing/>
        <w:jc w:val="both"/>
        <w:rPr>
          <w:rFonts w:ascii="Palatino Linotype" w:eastAsia="Calibri" w:hAnsi="Palatino Linotype" w:cs="Arial"/>
          <w:b/>
          <w:bCs/>
          <w:lang w:val="es-ES"/>
        </w:rPr>
      </w:pPr>
    </w:p>
    <w:p w14:paraId="51939E29" w14:textId="6D67EDDA" w:rsidR="003A2D8F" w:rsidRPr="006C7201" w:rsidRDefault="003A2D8F" w:rsidP="003A2D8F">
      <w:pPr>
        <w:pStyle w:val="Sinespaciado"/>
        <w:spacing w:line="360" w:lineRule="auto"/>
        <w:jc w:val="both"/>
        <w:rPr>
          <w:rFonts w:ascii="Palatino Linotype" w:eastAsia="Calibri" w:hAnsi="Palatino Linotype" w:cs="Arial"/>
          <w:lang w:val="es-ES"/>
        </w:rPr>
      </w:pPr>
      <w:r w:rsidRPr="006C7201">
        <w:rPr>
          <w:rFonts w:ascii="Palatino Linotype" w:eastAsia="Calibri" w:hAnsi="Palatino Linotype" w:cs="Arial"/>
          <w:b/>
          <w:bCs/>
          <w:lang w:val="es-ES"/>
        </w:rPr>
        <w:t xml:space="preserve">SEGUNDO. </w:t>
      </w:r>
      <w:r w:rsidRPr="006C7201">
        <w:rPr>
          <w:rFonts w:ascii="Palatino Linotype" w:eastAsia="Calibri" w:hAnsi="Palatino Linotype" w:cs="Arial"/>
          <w:bCs/>
          <w:lang w:val="es-ES"/>
        </w:rPr>
        <w:t xml:space="preserve">Se </w:t>
      </w:r>
      <w:r w:rsidR="00E60A7A" w:rsidRPr="006C7201">
        <w:rPr>
          <w:rFonts w:ascii="Palatino Linotype" w:eastAsia="Calibri" w:hAnsi="Palatino Linotype" w:cs="Arial"/>
          <w:b/>
          <w:bCs/>
          <w:lang w:val="es-ES"/>
        </w:rPr>
        <w:t>MODIFICA la respuesta del</w:t>
      </w:r>
      <w:r w:rsidRPr="006C7201">
        <w:rPr>
          <w:rFonts w:ascii="Palatino Linotype" w:eastAsia="Calibri" w:hAnsi="Palatino Linotype" w:cs="Arial"/>
          <w:bCs/>
          <w:lang w:val="es-ES"/>
        </w:rPr>
        <w:t xml:space="preserve"> </w:t>
      </w:r>
      <w:r w:rsidRPr="006C7201">
        <w:rPr>
          <w:rFonts w:ascii="Palatino Linotype" w:eastAsia="Calibri" w:hAnsi="Palatino Linotype" w:cs="Arial"/>
          <w:b/>
          <w:bCs/>
          <w:lang w:val="es-ES"/>
        </w:rPr>
        <w:t xml:space="preserve">Ayuntamiento de </w:t>
      </w:r>
      <w:r w:rsidR="004F7768" w:rsidRPr="006C7201">
        <w:rPr>
          <w:rFonts w:ascii="Palatino Linotype" w:eastAsia="Calibri" w:hAnsi="Palatino Linotype" w:cs="Arial"/>
          <w:b/>
          <w:bCs/>
          <w:lang w:val="es-ES"/>
        </w:rPr>
        <w:t>San Mateo Atenco</w:t>
      </w:r>
      <w:r w:rsidR="00E60A7A" w:rsidRPr="006C7201">
        <w:rPr>
          <w:rFonts w:ascii="Palatino Linotype" w:eastAsia="Calibri" w:hAnsi="Palatino Linotype" w:cs="Arial"/>
          <w:b/>
          <w:bCs/>
          <w:lang w:val="es-ES"/>
        </w:rPr>
        <w:t xml:space="preserve"> y se ORDENA </w:t>
      </w:r>
      <w:r w:rsidRPr="006C7201">
        <w:rPr>
          <w:rFonts w:ascii="Palatino Linotype" w:eastAsia="Calibri" w:hAnsi="Palatino Linotype" w:cs="Arial"/>
          <w:bCs/>
          <w:lang w:val="es-ES"/>
        </w:rPr>
        <w:t xml:space="preserve">entregar vía </w:t>
      </w:r>
      <w:r w:rsidRPr="006C7201">
        <w:rPr>
          <w:rFonts w:ascii="Palatino Linotype" w:eastAsia="Calibri" w:hAnsi="Palatino Linotype" w:cs="Arial"/>
          <w:b/>
          <w:bCs/>
          <w:lang w:val="es-ES"/>
        </w:rPr>
        <w:t xml:space="preserve">Sistema de Acceso a la Información Mexiquense (SAIMEX), </w:t>
      </w:r>
      <w:r w:rsidRPr="006C7201">
        <w:rPr>
          <w:rFonts w:ascii="Palatino Linotype" w:eastAsia="Calibri" w:hAnsi="Palatino Linotype" w:cs="Arial"/>
          <w:bCs/>
          <w:lang w:val="es-ES"/>
        </w:rPr>
        <w:t xml:space="preserve">de ser el caso en </w:t>
      </w:r>
      <w:r w:rsidRPr="006C7201">
        <w:rPr>
          <w:rFonts w:ascii="Palatino Linotype" w:eastAsia="Calibri" w:hAnsi="Palatino Linotype" w:cs="Arial"/>
          <w:lang w:val="es-ES"/>
        </w:rPr>
        <w:t xml:space="preserve">versión pública, </w:t>
      </w:r>
      <w:r w:rsidR="00E60A7A" w:rsidRPr="006C7201">
        <w:rPr>
          <w:rFonts w:ascii="Palatino Linotype" w:eastAsia="Calibri" w:hAnsi="Palatino Linotype" w:cs="Arial"/>
          <w:lang w:val="es-ES"/>
        </w:rPr>
        <w:t>de la empresa señalada en la</w:t>
      </w:r>
      <w:r w:rsidR="004F7768" w:rsidRPr="006C7201">
        <w:rPr>
          <w:rFonts w:ascii="Palatino Linotype" w:eastAsia="Calibri" w:hAnsi="Palatino Linotype" w:cs="Arial"/>
          <w:lang w:val="es-ES"/>
        </w:rPr>
        <w:t>s</w:t>
      </w:r>
      <w:r w:rsidR="00E60A7A" w:rsidRPr="006C7201">
        <w:rPr>
          <w:rFonts w:ascii="Palatino Linotype" w:eastAsia="Calibri" w:hAnsi="Palatino Linotype" w:cs="Arial"/>
          <w:lang w:val="es-ES"/>
        </w:rPr>
        <w:t xml:space="preserve"> solicitud</w:t>
      </w:r>
      <w:r w:rsidR="004F7768" w:rsidRPr="006C7201">
        <w:rPr>
          <w:rFonts w:ascii="Palatino Linotype" w:eastAsia="Calibri" w:hAnsi="Palatino Linotype" w:cs="Arial"/>
          <w:lang w:val="es-ES"/>
        </w:rPr>
        <w:t>es</w:t>
      </w:r>
      <w:r w:rsidR="00E60A7A" w:rsidRPr="006C7201">
        <w:rPr>
          <w:rFonts w:ascii="Palatino Linotype" w:eastAsia="Calibri" w:hAnsi="Palatino Linotype" w:cs="Arial"/>
          <w:lang w:val="es-ES"/>
        </w:rPr>
        <w:t>, del uno (1) de enero de 2018 al quince (15) de noviembre de 2022,</w:t>
      </w:r>
      <w:r w:rsidR="003D6C5D" w:rsidRPr="006C7201">
        <w:rPr>
          <w:rFonts w:ascii="Palatino Linotype" w:eastAsia="Calibri" w:hAnsi="Palatino Linotype" w:cs="Arial"/>
          <w:lang w:val="es-ES"/>
        </w:rPr>
        <w:t xml:space="preserve"> los documentos donde conste</w:t>
      </w:r>
      <w:r w:rsidR="00E60A7A" w:rsidRPr="006C7201">
        <w:rPr>
          <w:rFonts w:ascii="Palatino Linotype" w:eastAsia="Calibri" w:hAnsi="Palatino Linotype" w:cs="Arial"/>
          <w:lang w:val="es-ES"/>
        </w:rPr>
        <w:t xml:space="preserve"> </w:t>
      </w:r>
      <w:r w:rsidRPr="006C7201">
        <w:rPr>
          <w:rFonts w:ascii="Palatino Linotype" w:eastAsia="Calibri" w:hAnsi="Palatino Linotype" w:cs="Arial"/>
          <w:lang w:val="es-ES"/>
        </w:rPr>
        <w:t>la siguiente información:</w:t>
      </w:r>
    </w:p>
    <w:p w14:paraId="1134C507" w14:textId="77777777" w:rsidR="00E60A7A" w:rsidRPr="006C7201" w:rsidRDefault="00E60A7A" w:rsidP="00E60A7A">
      <w:pPr>
        <w:pStyle w:val="Prrafodelista"/>
        <w:spacing w:line="360" w:lineRule="auto"/>
        <w:ind w:left="709"/>
        <w:jc w:val="both"/>
        <w:rPr>
          <w:rFonts w:ascii="Palatino Linotype" w:hAnsi="Palatino Linotype" w:cs="Arial"/>
        </w:rPr>
      </w:pPr>
    </w:p>
    <w:p w14:paraId="73F77850"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lastRenderedPageBreak/>
        <w:t>Constancia de verificación señalada en respuesta;</w:t>
      </w:r>
    </w:p>
    <w:p w14:paraId="77CF8587"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Giro comercial;</w:t>
      </w:r>
    </w:p>
    <w:p w14:paraId="6F427E9B"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Días laborables que tenga autorizado y el horario;</w:t>
      </w:r>
    </w:p>
    <w:p w14:paraId="64FFF62B"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Capacidad de personas;</w:t>
      </w:r>
    </w:p>
    <w:p w14:paraId="4A93C52F"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El número de empleados;</w:t>
      </w:r>
    </w:p>
    <w:p w14:paraId="220075B1"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La cantidad de construcciones en metros;</w:t>
      </w:r>
    </w:p>
    <w:p w14:paraId="06AFC412"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Tipo de construcción;</w:t>
      </w:r>
    </w:p>
    <w:p w14:paraId="2001A5EE"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Numero de cajones de estacionamiento para empleados;</w:t>
      </w:r>
    </w:p>
    <w:p w14:paraId="7A47688F" w14:textId="6DA23CEC"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 xml:space="preserve">Numero de cajones de estacionamiento </w:t>
      </w:r>
      <w:r w:rsidR="00F24D2D" w:rsidRPr="006C7201">
        <w:rPr>
          <w:rFonts w:ascii="Palatino Linotype" w:hAnsi="Palatino Linotype" w:cs="Arial"/>
          <w:color w:val="000000" w:themeColor="text1"/>
        </w:rPr>
        <w:t xml:space="preserve">de descarga </w:t>
      </w:r>
      <w:r w:rsidRPr="006C7201">
        <w:rPr>
          <w:rFonts w:ascii="Palatino Linotype" w:hAnsi="Palatino Linotype" w:cs="Arial"/>
          <w:color w:val="000000" w:themeColor="text1"/>
        </w:rPr>
        <w:t>para tráiler de uno y dos cajas, para cualquier otro tipo de transporte de carga;</w:t>
      </w:r>
    </w:p>
    <w:p w14:paraId="208332A2"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Instalaciones sanitarias;</w:t>
      </w:r>
    </w:p>
    <w:p w14:paraId="643A2DEB" w14:textId="0429903C" w:rsidR="00FD3086" w:rsidRPr="006C7201" w:rsidRDefault="005E7989"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Re</w:t>
      </w:r>
      <w:r w:rsidR="00FD3086" w:rsidRPr="006C7201">
        <w:rPr>
          <w:rFonts w:ascii="Palatino Linotype" w:hAnsi="Palatino Linotype" w:cs="Arial"/>
          <w:color w:val="000000" w:themeColor="text1"/>
        </w:rPr>
        <w:t xml:space="preserve">querimientos </w:t>
      </w:r>
      <w:r w:rsidRPr="006C7201">
        <w:rPr>
          <w:rFonts w:ascii="Palatino Linotype" w:hAnsi="Palatino Linotype" w:cs="Arial"/>
          <w:color w:val="000000" w:themeColor="text1"/>
        </w:rPr>
        <w:t>solicitados por la Coordinación de Protección Civil</w:t>
      </w:r>
      <w:r w:rsidR="00FD3086" w:rsidRPr="006C7201">
        <w:rPr>
          <w:rFonts w:ascii="Palatino Linotype" w:hAnsi="Palatino Linotype" w:cs="Arial"/>
          <w:color w:val="000000" w:themeColor="text1"/>
        </w:rPr>
        <w:t xml:space="preserve"> para la instalación y fun</w:t>
      </w:r>
      <w:r w:rsidR="00B560C6" w:rsidRPr="006C7201">
        <w:rPr>
          <w:rFonts w:ascii="Palatino Linotype" w:hAnsi="Palatino Linotype" w:cs="Arial"/>
          <w:color w:val="000000" w:themeColor="text1"/>
        </w:rPr>
        <w:t>cionamiento</w:t>
      </w:r>
      <w:r w:rsidR="00FD3086" w:rsidRPr="006C7201">
        <w:rPr>
          <w:rFonts w:ascii="Palatino Linotype" w:hAnsi="Palatino Linotype" w:cs="Arial"/>
          <w:color w:val="000000" w:themeColor="text1"/>
        </w:rPr>
        <w:t>;</w:t>
      </w:r>
    </w:p>
    <w:p w14:paraId="27006BA3"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Tipo de combustible utilizan para la fundición de plomo;</w:t>
      </w:r>
    </w:p>
    <w:p w14:paraId="562E08D5" w14:textId="5C380768" w:rsidR="00FD3086" w:rsidRPr="006C7201" w:rsidRDefault="00E63E17"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hAnsi="Palatino Linotype" w:cs="Arial"/>
          <w:color w:val="000000" w:themeColor="text1"/>
        </w:rPr>
        <w:t>E</w:t>
      </w:r>
      <w:r w:rsidR="00FD3086" w:rsidRPr="006C7201">
        <w:rPr>
          <w:rFonts w:ascii="Palatino Linotype" w:hAnsi="Palatino Linotype" w:cs="Arial"/>
          <w:color w:val="000000" w:themeColor="text1"/>
        </w:rPr>
        <w:t>quipos necesarios para la detección de humo e incendios, así como la cantidad de hidrantes con que cuentan; y,</w:t>
      </w:r>
    </w:p>
    <w:p w14:paraId="3D557282" w14:textId="77777777" w:rsidR="00FD3086" w:rsidRPr="006C7201" w:rsidRDefault="00FD3086" w:rsidP="00FD3086">
      <w:pPr>
        <w:pStyle w:val="Prrafodelista"/>
        <w:numPr>
          <w:ilvl w:val="0"/>
          <w:numId w:val="49"/>
        </w:numPr>
        <w:tabs>
          <w:tab w:val="left" w:pos="426"/>
        </w:tabs>
        <w:spacing w:line="360" w:lineRule="auto"/>
        <w:ind w:right="49"/>
        <w:jc w:val="both"/>
        <w:rPr>
          <w:rFonts w:ascii="Palatino Linotype" w:hAnsi="Palatino Linotype" w:cs="Arial"/>
          <w:color w:val="000000" w:themeColor="text1"/>
        </w:rPr>
      </w:pPr>
      <w:r w:rsidRPr="006C7201">
        <w:rPr>
          <w:rFonts w:ascii="Palatino Linotype" w:eastAsia="Arial Unicode MS" w:hAnsi="Palatino Linotype" w:cs="Arial"/>
          <w:lang w:eastAsia="en-US"/>
        </w:rPr>
        <w:t>Acuerdo del Comité de Transparencia mediante el cual se declare la incompetencia para contar con la información relativa a las descargas al desagüe doméstico.</w:t>
      </w:r>
    </w:p>
    <w:p w14:paraId="30775272" w14:textId="77777777" w:rsidR="00E60A7A" w:rsidRPr="006C7201" w:rsidRDefault="00E60A7A" w:rsidP="00E60A7A">
      <w:pPr>
        <w:pStyle w:val="Prrafodelista"/>
        <w:spacing w:line="360" w:lineRule="auto"/>
        <w:ind w:left="709"/>
        <w:jc w:val="both"/>
        <w:rPr>
          <w:rFonts w:ascii="Palatino Linotype" w:hAnsi="Palatino Linotype" w:cs="Arial"/>
        </w:rPr>
      </w:pPr>
    </w:p>
    <w:p w14:paraId="48685591" w14:textId="77777777" w:rsidR="003A2D8F" w:rsidRPr="006C7201" w:rsidRDefault="003A2D8F" w:rsidP="003A2D8F">
      <w:pPr>
        <w:spacing w:line="360" w:lineRule="auto"/>
        <w:jc w:val="both"/>
        <w:rPr>
          <w:rFonts w:ascii="Palatino Linotype" w:eastAsia="Calibri" w:hAnsi="Palatino Linotype" w:cs="Arial"/>
        </w:rPr>
      </w:pPr>
      <w:r w:rsidRPr="006C7201">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6C7201">
        <w:rPr>
          <w:rFonts w:ascii="Palatino Linotype" w:eastAsia="Calibri" w:hAnsi="Palatino Linotype" w:cs="Arial"/>
        </w:rPr>
        <w:lastRenderedPageBreak/>
        <w:t>dentro del soporte documental respectivo objeto de las versiones públicas que se formulen y se ponga a disposición de la parte recurrente.</w:t>
      </w:r>
    </w:p>
    <w:p w14:paraId="666D5E53" w14:textId="77777777" w:rsidR="00352847" w:rsidRPr="006C7201" w:rsidRDefault="00352847" w:rsidP="003A2D8F">
      <w:pPr>
        <w:spacing w:line="360" w:lineRule="auto"/>
        <w:jc w:val="both"/>
        <w:rPr>
          <w:rFonts w:ascii="Palatino Linotype" w:eastAsia="Calibri" w:hAnsi="Palatino Linotype" w:cs="Arial"/>
        </w:rPr>
      </w:pPr>
    </w:p>
    <w:p w14:paraId="0CC88E0B" w14:textId="09081F1B" w:rsidR="00352847" w:rsidRPr="006C7201" w:rsidRDefault="00352847" w:rsidP="003A2D8F">
      <w:pPr>
        <w:spacing w:line="360" w:lineRule="auto"/>
        <w:jc w:val="both"/>
        <w:rPr>
          <w:rFonts w:ascii="Palatino Linotype" w:eastAsia="Calibri" w:hAnsi="Palatino Linotype" w:cs="Arial"/>
        </w:rPr>
      </w:pPr>
      <w:r w:rsidRPr="006C7201">
        <w:rPr>
          <w:rFonts w:ascii="Palatino Linotype" w:eastAsia="Calibri" w:hAnsi="Palatino Linotype" w:cs="Arial"/>
        </w:rPr>
        <w:t>De ser el caso de que no se cuente con alguno de los documentos que se ordena entregar</w:t>
      </w:r>
      <w:r w:rsidR="00FD7CB2" w:rsidRPr="006C7201">
        <w:rPr>
          <w:rFonts w:ascii="Palatino Linotype" w:eastAsia="Calibri" w:hAnsi="Palatino Linotype" w:cs="Arial"/>
        </w:rPr>
        <w:t xml:space="preserve"> en los numerales 2, 3, 4, 5, 6, 7, 8, 9, 10, 11, 12 y/o 13</w:t>
      </w:r>
      <w:r w:rsidRPr="006C7201">
        <w:rPr>
          <w:rFonts w:ascii="Palatino Linotype" w:eastAsia="Calibri" w:hAnsi="Palatino Linotype" w:cs="Arial"/>
        </w:rPr>
        <w:t>, el Sujeto Obligado deberá de manifestar tal circunstancia en términos del artículo 19 segundo párrafo de la Ley de Transparencia y Acceso a la Información Pública del Estado de México y Municipios.</w:t>
      </w:r>
    </w:p>
    <w:p w14:paraId="65A77A3C" w14:textId="77777777" w:rsidR="003A2D8F" w:rsidRPr="006C7201" w:rsidRDefault="003A2D8F" w:rsidP="003A2D8F">
      <w:pPr>
        <w:spacing w:line="360" w:lineRule="auto"/>
        <w:jc w:val="both"/>
        <w:rPr>
          <w:rFonts w:ascii="Palatino Linotype" w:eastAsia="Calibri" w:hAnsi="Palatino Linotype" w:cs="Arial"/>
        </w:rPr>
      </w:pPr>
    </w:p>
    <w:p w14:paraId="6509327A" w14:textId="77777777" w:rsidR="003A2D8F" w:rsidRPr="006C7201" w:rsidRDefault="003A2D8F" w:rsidP="003A2D8F">
      <w:pPr>
        <w:tabs>
          <w:tab w:val="left" w:pos="284"/>
          <w:tab w:val="left" w:pos="8080"/>
        </w:tabs>
        <w:spacing w:line="360" w:lineRule="auto"/>
        <w:ind w:right="49"/>
        <w:contextualSpacing/>
        <w:jc w:val="both"/>
        <w:rPr>
          <w:rFonts w:ascii="Palatino Linotype" w:hAnsi="Palatino Linotype" w:cs="Arial"/>
          <w:color w:val="222222"/>
          <w:shd w:val="clear" w:color="auto" w:fill="FFFFFF"/>
        </w:rPr>
      </w:pPr>
      <w:r w:rsidRPr="006C7201">
        <w:rPr>
          <w:rFonts w:ascii="Palatino Linotype" w:eastAsia="Palatino Linotype" w:hAnsi="Palatino Linotype" w:cs="Palatino Linotype"/>
          <w:b/>
          <w:lang w:val="es-ES_tradnl"/>
        </w:rPr>
        <w:t xml:space="preserve">TERCERO. </w:t>
      </w:r>
      <w:r w:rsidRPr="006C7201">
        <w:rPr>
          <w:rFonts w:ascii="Palatino Linotype" w:hAnsi="Palatino Linotype" w:cs="Arial"/>
          <w:b/>
          <w:color w:val="222222"/>
          <w:shd w:val="clear" w:color="auto" w:fill="FFFFFF"/>
        </w:rPr>
        <w:t>NOTIFÍQUESE</w:t>
      </w:r>
      <w:r w:rsidRPr="006C7201">
        <w:rPr>
          <w:rFonts w:ascii="Palatino Linotype" w:hAnsi="Palatino Linotype" w:cs="Arial"/>
          <w:color w:val="222222"/>
          <w:shd w:val="clear" w:color="auto" w:fill="FFFFFF"/>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w:t>
      </w:r>
      <w:r w:rsidRPr="006C7201">
        <w:rPr>
          <w:rFonts w:ascii="Palatino Linotype" w:hAnsi="Palatino Linotype" w:cs="Arial"/>
          <w:b/>
          <w:bCs/>
          <w:color w:val="222222"/>
          <w:shd w:val="clear" w:color="auto" w:fill="FFFFFF"/>
        </w:rPr>
        <w:t>del plazo de diez días hábiles</w:t>
      </w:r>
      <w:r w:rsidRPr="006C7201">
        <w:rPr>
          <w:rFonts w:ascii="Palatino Linotype" w:hAnsi="Palatino Linotype" w:cs="Arial"/>
          <w:color w:val="222222"/>
          <w:shd w:val="clear" w:color="auto" w:fill="FFFFFF"/>
        </w:rPr>
        <w:t>,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CE254A1" w14:textId="77777777" w:rsidR="003A2D8F" w:rsidRPr="006C7201" w:rsidRDefault="003A2D8F" w:rsidP="003A2D8F">
      <w:pPr>
        <w:tabs>
          <w:tab w:val="left" w:pos="284"/>
          <w:tab w:val="left" w:pos="8080"/>
        </w:tabs>
        <w:spacing w:line="360" w:lineRule="auto"/>
        <w:ind w:right="49"/>
        <w:contextualSpacing/>
        <w:jc w:val="both"/>
        <w:rPr>
          <w:rFonts w:ascii="Palatino Linotype" w:hAnsi="Palatino Linotype" w:cs="Arial"/>
          <w:color w:val="222222"/>
          <w:shd w:val="clear" w:color="auto" w:fill="FFFFFF"/>
        </w:rPr>
      </w:pPr>
    </w:p>
    <w:p w14:paraId="01D563F5" w14:textId="1B55C6E8" w:rsidR="003A2D8F" w:rsidRPr="006C7201" w:rsidRDefault="003A2D8F" w:rsidP="003A2D8F">
      <w:pPr>
        <w:tabs>
          <w:tab w:val="left" w:pos="284"/>
          <w:tab w:val="left" w:pos="8080"/>
        </w:tabs>
        <w:spacing w:line="360" w:lineRule="auto"/>
        <w:ind w:right="49"/>
        <w:contextualSpacing/>
        <w:jc w:val="both"/>
        <w:rPr>
          <w:rFonts w:ascii="Palatino Linotype" w:eastAsia="MS Mincho" w:hAnsi="Palatino Linotype"/>
          <w:lang w:val="es-ES_tradnl"/>
        </w:rPr>
      </w:pPr>
      <w:r w:rsidRPr="006C7201">
        <w:rPr>
          <w:rFonts w:ascii="Palatino Linotype" w:hAnsi="Palatino Linotype" w:cs="Arial"/>
          <w:b/>
          <w:lang w:val="es-ES_tradnl"/>
        </w:rPr>
        <w:t xml:space="preserve">CUARTO. </w:t>
      </w:r>
      <w:r w:rsidRPr="006C7201">
        <w:rPr>
          <w:rFonts w:ascii="Palatino Linotype" w:hAnsi="Palatino Linotype"/>
          <w:b/>
          <w:bCs/>
          <w:color w:val="222222"/>
          <w:lang w:val="es-ES"/>
        </w:rPr>
        <w:t xml:space="preserve">Notifíquese </w:t>
      </w:r>
      <w:r w:rsidRPr="006C7201">
        <w:rPr>
          <w:rFonts w:ascii="Palatino Linotype" w:hAnsi="Palatino Linotype"/>
          <w:bCs/>
          <w:color w:val="222222"/>
          <w:lang w:val="es-ES"/>
        </w:rPr>
        <w:t xml:space="preserve">al </w:t>
      </w:r>
      <w:r w:rsidRPr="006C7201">
        <w:rPr>
          <w:rFonts w:ascii="Palatino Linotype" w:hAnsi="Palatino Linotype"/>
          <w:b/>
          <w:bCs/>
          <w:color w:val="222222"/>
          <w:lang w:val="es-ES"/>
        </w:rPr>
        <w:t>RECURRENTE</w:t>
      </w:r>
      <w:r w:rsidRPr="006C7201">
        <w:rPr>
          <w:rFonts w:ascii="Palatino Linotype" w:hAnsi="Palatino Linotype"/>
          <w:b/>
          <w:color w:val="222222"/>
          <w:lang w:val="es-ES"/>
        </w:rPr>
        <w:t xml:space="preserve"> </w:t>
      </w:r>
      <w:r w:rsidRPr="006C7201">
        <w:rPr>
          <w:rFonts w:ascii="Palatino Linotype" w:hAnsi="Palatino Linotype"/>
          <w:lang w:val="es-ES_tradnl"/>
        </w:rPr>
        <w:t>la presente resolución</w:t>
      </w:r>
      <w:r w:rsidRPr="006C7201">
        <w:rPr>
          <w:rFonts w:ascii="Palatino Linotype" w:eastAsia="MS Mincho" w:hAnsi="Palatino Linotype"/>
          <w:lang w:val="es-ES_tradnl"/>
        </w:rPr>
        <w:t xml:space="preserve"> a través del Sistema de Acceso a la In</w:t>
      </w:r>
      <w:r w:rsidR="00E60A7A" w:rsidRPr="006C7201">
        <w:rPr>
          <w:rFonts w:ascii="Palatino Linotype" w:eastAsia="MS Mincho" w:hAnsi="Palatino Linotype"/>
          <w:lang w:val="es-ES_tradnl"/>
        </w:rPr>
        <w:t>formación Mexiquense (SAIMEX).</w:t>
      </w:r>
    </w:p>
    <w:p w14:paraId="0BE3ED6F" w14:textId="77777777" w:rsidR="00E60A7A" w:rsidRPr="006C7201" w:rsidRDefault="00E60A7A" w:rsidP="003A2D8F">
      <w:pPr>
        <w:tabs>
          <w:tab w:val="left" w:pos="284"/>
          <w:tab w:val="left" w:pos="8080"/>
        </w:tabs>
        <w:spacing w:line="360" w:lineRule="auto"/>
        <w:ind w:right="49"/>
        <w:contextualSpacing/>
        <w:jc w:val="both"/>
        <w:rPr>
          <w:rFonts w:ascii="Palatino Linotype" w:eastAsia="MS Mincho" w:hAnsi="Palatino Linotype"/>
          <w:lang w:val="es-ES_tradnl"/>
        </w:rPr>
      </w:pPr>
    </w:p>
    <w:p w14:paraId="5D54739B" w14:textId="77777777" w:rsidR="00E60A7A" w:rsidRPr="006C7201" w:rsidRDefault="00E60A7A" w:rsidP="00E60A7A">
      <w:pPr>
        <w:spacing w:line="360" w:lineRule="auto"/>
        <w:jc w:val="both"/>
        <w:rPr>
          <w:rFonts w:ascii="Palatino Linotype" w:eastAsia="Calibri" w:hAnsi="Palatino Linotype" w:cs="Arial"/>
          <w:bCs/>
        </w:rPr>
      </w:pPr>
      <w:r w:rsidRPr="006C7201">
        <w:rPr>
          <w:rFonts w:ascii="Palatino Linotype" w:hAnsi="Palatino Linotype" w:cs="Arial"/>
          <w:b/>
        </w:rPr>
        <w:lastRenderedPageBreak/>
        <w:t xml:space="preserve">QUINTO. </w:t>
      </w:r>
      <w:r w:rsidRPr="006C720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C5D961B" w14:textId="77777777" w:rsidR="00E60A7A" w:rsidRPr="006C7201" w:rsidRDefault="00E60A7A" w:rsidP="003A2D8F">
      <w:pPr>
        <w:tabs>
          <w:tab w:val="left" w:pos="284"/>
          <w:tab w:val="left" w:pos="8080"/>
        </w:tabs>
        <w:spacing w:line="360" w:lineRule="auto"/>
        <w:ind w:right="49"/>
        <w:contextualSpacing/>
        <w:jc w:val="both"/>
        <w:rPr>
          <w:rFonts w:ascii="Palatino Linotype" w:eastAsia="MS Mincho" w:hAnsi="Palatino Linotype"/>
          <w:lang w:val="es-ES_tradnl"/>
        </w:rPr>
      </w:pPr>
    </w:p>
    <w:p w14:paraId="44721434" w14:textId="69A774A4" w:rsidR="003A2D8F" w:rsidRPr="006C7201" w:rsidRDefault="00E60A7A" w:rsidP="00297A63">
      <w:pPr>
        <w:tabs>
          <w:tab w:val="left" w:pos="284"/>
          <w:tab w:val="left" w:pos="8080"/>
        </w:tabs>
        <w:spacing w:line="360" w:lineRule="auto"/>
        <w:ind w:right="49"/>
        <w:contextualSpacing/>
        <w:jc w:val="both"/>
        <w:rPr>
          <w:rFonts w:ascii="Palatino Linotype" w:eastAsia="MS Mincho" w:hAnsi="Palatino Linotype"/>
          <w:lang w:val="es-ES"/>
        </w:rPr>
      </w:pPr>
      <w:r w:rsidRPr="006C7201">
        <w:rPr>
          <w:rFonts w:ascii="Palatino Linotype" w:eastAsia="MS Mincho" w:hAnsi="Palatino Linotype"/>
          <w:b/>
          <w:lang w:val="es-ES_tradnl"/>
        </w:rPr>
        <w:t>SEXT</w:t>
      </w:r>
      <w:r w:rsidR="00297A63" w:rsidRPr="006C7201">
        <w:rPr>
          <w:rFonts w:ascii="Palatino Linotype" w:eastAsia="MS Mincho" w:hAnsi="Palatino Linotype"/>
          <w:b/>
          <w:lang w:val="es-ES_tradnl"/>
        </w:rPr>
        <w:t xml:space="preserve">O. </w:t>
      </w:r>
      <w:r w:rsidR="003A2D8F" w:rsidRPr="006C7201">
        <w:rPr>
          <w:rFonts w:ascii="Palatino Linotype" w:eastAsia="MS Mincho" w:hAnsi="Palatino Linotype"/>
          <w:lang w:val="es-ES"/>
        </w:rPr>
        <w:t xml:space="preserve">Se hace del conocimiento de </w:t>
      </w:r>
      <w:r w:rsidR="003A2D8F" w:rsidRPr="006C7201">
        <w:rPr>
          <w:rFonts w:ascii="Palatino Linotype" w:hAnsi="Palatino Linotype"/>
          <w:b/>
        </w:rPr>
        <w:t>RECURRENTE</w:t>
      </w:r>
      <w:r w:rsidR="003A2D8F" w:rsidRPr="006C7201">
        <w:rPr>
          <w:rFonts w:ascii="Palatino Linotype" w:hAnsi="Palatino Linotype"/>
        </w:rPr>
        <w:t xml:space="preserve"> </w:t>
      </w:r>
      <w:r w:rsidR="003A2D8F" w:rsidRPr="006C7201">
        <w:rPr>
          <w:rFonts w:ascii="Palatino Linotype" w:eastAsia="MS Mincho" w:hAnsi="Palatino Linotype"/>
          <w:lang w:val="es-ES"/>
        </w:rPr>
        <w:t>que, de conformidad con lo establecido en el artículo 196 de la Ley de Transparencia y Acceso a la Información Pública del Estado de México y Municipios</w:t>
      </w:r>
      <w:r w:rsidR="003A2D8F" w:rsidRPr="006C7201">
        <w:rPr>
          <w:rFonts w:ascii="Palatino Linotype" w:hAnsi="Palatino Linotype"/>
          <w:color w:val="000000"/>
        </w:rPr>
        <w:t xml:space="preserve">, en caso de que considere que la resolución le cause algún perjuicio podrá impugnarla vía </w:t>
      </w:r>
      <w:r w:rsidR="003A2D8F" w:rsidRPr="006C7201">
        <w:rPr>
          <w:rFonts w:ascii="Palatino Linotype" w:eastAsia="MS Mincho" w:hAnsi="Palatino Linotype"/>
          <w:bCs/>
          <w:lang w:val="es-ES"/>
        </w:rPr>
        <w:t>juicio de amparo</w:t>
      </w:r>
      <w:r w:rsidR="003A2D8F" w:rsidRPr="006C7201">
        <w:rPr>
          <w:rFonts w:ascii="Palatino Linotype" w:eastAsia="MS Mincho" w:hAnsi="Palatino Linotype"/>
          <w:lang w:val="es-ES"/>
        </w:rPr>
        <w:t> en los términos de las leyes aplicables.</w:t>
      </w:r>
    </w:p>
    <w:p w14:paraId="741A6E3B" w14:textId="656F634F" w:rsidR="00962716" w:rsidRPr="00624AAD" w:rsidRDefault="00962716" w:rsidP="00962716">
      <w:pPr>
        <w:spacing w:before="240" w:after="240" w:line="360" w:lineRule="auto"/>
        <w:ind w:firstLine="1"/>
        <w:jc w:val="both"/>
        <w:rPr>
          <w:rFonts w:ascii="Palatino Linotype" w:hAnsi="Palatino Linotype"/>
        </w:rPr>
      </w:pPr>
      <w:r w:rsidRPr="006C7201">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w:t>
      </w:r>
      <w:r w:rsidR="006C7201" w:rsidRPr="006C7201">
        <w:rPr>
          <w:rFonts w:ascii="Palatino Linotype" w:hAnsi="Palatino Linotype"/>
        </w:rPr>
        <w:t>ÍNEZ; LUIS GUSTAVO PARRA NORIEGA</w:t>
      </w:r>
      <w:r w:rsidR="00B67B71" w:rsidRPr="006C7201">
        <w:rPr>
          <w:rFonts w:ascii="Palatino Linotype" w:hAnsi="Palatino Linotype"/>
        </w:rPr>
        <w:t xml:space="preserve"> Y GUADALUPE RAMÍREZ PEÑA</w:t>
      </w:r>
      <w:r w:rsidR="006C7201" w:rsidRPr="006C7201">
        <w:rPr>
          <w:rFonts w:ascii="Palatino Linotype" w:hAnsi="Palatino Linotype"/>
        </w:rPr>
        <w:t>;</w:t>
      </w:r>
      <w:r w:rsidR="00B67B71" w:rsidRPr="006C7201">
        <w:rPr>
          <w:rFonts w:ascii="Palatino Linotype" w:hAnsi="Palatino Linotype"/>
        </w:rPr>
        <w:t xml:space="preserve"> EN LA </w:t>
      </w:r>
      <w:r w:rsidR="00AA2ADF" w:rsidRPr="006C7201">
        <w:rPr>
          <w:rFonts w:ascii="Palatino Linotype" w:hAnsi="Palatino Linotype"/>
        </w:rPr>
        <w:t>PRIMERA SES</w:t>
      </w:r>
      <w:r w:rsidR="000544CE" w:rsidRPr="006C7201">
        <w:rPr>
          <w:rFonts w:ascii="Palatino Linotype" w:hAnsi="Palatino Linotype"/>
        </w:rPr>
        <w:t>IÓN</w:t>
      </w:r>
      <w:r w:rsidRPr="006C7201">
        <w:rPr>
          <w:rFonts w:ascii="Palatino Linotype" w:hAnsi="Palatino Linotype"/>
        </w:rPr>
        <w:t xml:space="preserve"> ORDINARIA CELEBRADA EL </w:t>
      </w:r>
      <w:r w:rsidR="00D7207C" w:rsidRPr="006C7201">
        <w:rPr>
          <w:rFonts w:ascii="Palatino Linotype" w:hAnsi="Palatino Linotype"/>
        </w:rPr>
        <w:t>DIECISIETE</w:t>
      </w:r>
      <w:r w:rsidR="00A33C6D" w:rsidRPr="006C7201">
        <w:rPr>
          <w:rFonts w:ascii="Palatino Linotype" w:hAnsi="Palatino Linotype"/>
        </w:rPr>
        <w:t xml:space="preserve"> </w:t>
      </w:r>
      <w:r w:rsidR="007C4861" w:rsidRPr="006C7201">
        <w:rPr>
          <w:rFonts w:ascii="Palatino Linotype" w:hAnsi="Palatino Linotype"/>
        </w:rPr>
        <w:t xml:space="preserve">(17) </w:t>
      </w:r>
      <w:r w:rsidRPr="006C7201">
        <w:rPr>
          <w:rFonts w:ascii="Palatino Linotype" w:hAnsi="Palatino Linotype"/>
        </w:rPr>
        <w:t xml:space="preserve">DE </w:t>
      </w:r>
      <w:r w:rsidR="00AA2ADF" w:rsidRPr="006C7201">
        <w:rPr>
          <w:rFonts w:ascii="Palatino Linotype" w:hAnsi="Palatino Linotype"/>
        </w:rPr>
        <w:t>ENERO</w:t>
      </w:r>
      <w:r w:rsidR="00B67B71" w:rsidRPr="006C7201">
        <w:rPr>
          <w:rFonts w:ascii="Palatino Linotype" w:hAnsi="Palatino Linotype"/>
        </w:rPr>
        <w:t xml:space="preserve"> </w:t>
      </w:r>
      <w:r w:rsidRPr="006C7201">
        <w:rPr>
          <w:rFonts w:ascii="Palatino Linotype" w:hAnsi="Palatino Linotype"/>
        </w:rPr>
        <w:t>DE DOS MIL VEINTI</w:t>
      </w:r>
      <w:r w:rsidR="00AA2ADF" w:rsidRPr="006C7201">
        <w:rPr>
          <w:rFonts w:ascii="Palatino Linotype" w:hAnsi="Palatino Linotype"/>
        </w:rPr>
        <w:t>CUATRO</w:t>
      </w:r>
      <w:r w:rsidRPr="006C7201">
        <w:rPr>
          <w:rFonts w:ascii="Palatino Linotype" w:hAnsi="Palatino Linotype"/>
        </w:rPr>
        <w:t>, ANTE EL SECRETARIO TÉCNICO DEL PLENO ALEXIS TAPIA RAMÍREZ</w:t>
      </w:r>
      <w:r w:rsidR="007C4861" w:rsidRPr="006C7201">
        <w:rPr>
          <w:rFonts w:ascii="Palatino Linotype" w:hAnsi="Palatino Linotype"/>
        </w:rPr>
        <w:t>.</w:t>
      </w:r>
      <w:bookmarkStart w:id="40" w:name="_GoBack"/>
      <w:bookmarkEnd w:id="40"/>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8E4483">
      <w:headerReference w:type="default" r:id="rId12"/>
      <w:footerReference w:type="default" r:id="rId13"/>
      <w:headerReference w:type="first" r:id="rId14"/>
      <w:footerReference w:type="first" r:id="rId15"/>
      <w:pgSz w:w="12240" w:h="15840"/>
      <w:pgMar w:top="2268" w:right="1701" w:bottom="156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59A5D8" w14:textId="77777777" w:rsidR="00A84AC0" w:rsidRDefault="00A84AC0" w:rsidP="00587366">
      <w:r>
        <w:separator/>
      </w:r>
    </w:p>
  </w:endnote>
  <w:endnote w:type="continuationSeparator" w:id="0">
    <w:p w14:paraId="4CC51301" w14:textId="77777777" w:rsidR="00A84AC0" w:rsidRDefault="00A84AC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Content>
      <w:sdt>
        <w:sdtPr>
          <w:rPr>
            <w:rFonts w:ascii="Palatino Linotype" w:hAnsi="Palatino Linotype"/>
            <w:sz w:val="28"/>
          </w:rPr>
          <w:id w:val="284547370"/>
          <w:docPartObj>
            <w:docPartGallery w:val="Page Numbers (Top of Page)"/>
            <w:docPartUnique/>
          </w:docPartObj>
        </w:sdtPr>
        <w:sdtContent>
          <w:p w14:paraId="187818B4" w14:textId="43A93163" w:rsidR="001E62A1" w:rsidRPr="00883450" w:rsidRDefault="001E62A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C7201">
              <w:rPr>
                <w:rFonts w:ascii="Palatino Linotype" w:hAnsi="Palatino Linotype"/>
                <w:b/>
                <w:bCs/>
                <w:noProof/>
                <w:sz w:val="22"/>
                <w:szCs w:val="20"/>
              </w:rPr>
              <w:t>92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C7201">
              <w:rPr>
                <w:rFonts w:ascii="Palatino Linotype" w:hAnsi="Palatino Linotype"/>
                <w:b/>
                <w:bCs/>
                <w:noProof/>
                <w:sz w:val="22"/>
                <w:szCs w:val="20"/>
              </w:rPr>
              <w:t>92</w:t>
            </w:r>
            <w:r w:rsidRPr="00883450">
              <w:rPr>
                <w:rFonts w:ascii="Palatino Linotype" w:hAnsi="Palatino Linotype"/>
                <w:b/>
                <w:bCs/>
                <w:sz w:val="22"/>
                <w:szCs w:val="20"/>
              </w:rPr>
              <w:fldChar w:fldCharType="end"/>
            </w:r>
          </w:p>
        </w:sdtContent>
      </w:sdt>
    </w:sdtContent>
  </w:sdt>
  <w:p w14:paraId="6243EC1B" w14:textId="47B193F0" w:rsidR="001E62A1" w:rsidRDefault="001E62A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42EAC2B" w:rsidR="001E62A1" w:rsidRPr="00883450" w:rsidRDefault="001E62A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C7201" w:rsidRPr="006C7201">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C7201" w:rsidRPr="006C7201">
      <w:rPr>
        <w:rFonts w:ascii="Palatino Linotype" w:hAnsi="Palatino Linotype"/>
        <w:noProof/>
        <w:sz w:val="22"/>
        <w:szCs w:val="22"/>
        <w:lang w:val="es-ES"/>
      </w:rPr>
      <w:t>92</w:t>
    </w:r>
    <w:r w:rsidRPr="00883450">
      <w:rPr>
        <w:rFonts w:ascii="Palatino Linotype" w:hAnsi="Palatino Linotype"/>
        <w:sz w:val="22"/>
        <w:szCs w:val="22"/>
      </w:rPr>
      <w:fldChar w:fldCharType="end"/>
    </w:r>
  </w:p>
  <w:p w14:paraId="5F5C4865" w14:textId="0A9A2B26" w:rsidR="001E62A1" w:rsidRPr="00883450" w:rsidRDefault="001E62A1">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7DD167" w14:textId="77777777" w:rsidR="00A84AC0" w:rsidRDefault="00A84AC0" w:rsidP="00587366">
      <w:r>
        <w:separator/>
      </w:r>
    </w:p>
  </w:footnote>
  <w:footnote w:type="continuationSeparator" w:id="0">
    <w:p w14:paraId="073A4669" w14:textId="77777777" w:rsidR="00A84AC0" w:rsidRDefault="00A84AC0" w:rsidP="00587366">
      <w:r>
        <w:continuationSeparator/>
      </w:r>
    </w:p>
  </w:footnote>
  <w:footnote w:id="1">
    <w:p w14:paraId="32D56466" w14:textId="77777777" w:rsidR="001E62A1" w:rsidRDefault="001E62A1" w:rsidP="008E4483">
      <w:pPr>
        <w:pStyle w:val="Textonotapie"/>
      </w:pPr>
      <w:r>
        <w:rPr>
          <w:rStyle w:val="Refdenotaalpie"/>
        </w:rPr>
        <w:footnoteRef/>
      </w:r>
      <w:r>
        <w:t xml:space="preserve"> Convención Americana sobre Derechos Humanos. Artículo 13.</w:t>
      </w:r>
    </w:p>
  </w:footnote>
  <w:footnote w:id="2">
    <w:p w14:paraId="3F7967D5" w14:textId="77777777" w:rsidR="001E62A1" w:rsidRDefault="001E62A1" w:rsidP="008E4483">
      <w:pPr>
        <w:pStyle w:val="Textonotapie"/>
      </w:pPr>
      <w:r>
        <w:rPr>
          <w:rStyle w:val="Refdenotaalpie"/>
        </w:rPr>
        <w:footnoteRef/>
      </w:r>
      <w:r>
        <w:t xml:space="preserve"> Constitución Política de los Estados Unidos Mexicanos. Artículo sexto, sección A, fracción I.</w:t>
      </w:r>
    </w:p>
  </w:footnote>
  <w:footnote w:id="3">
    <w:p w14:paraId="2F913ADC" w14:textId="77777777" w:rsidR="001E62A1" w:rsidRDefault="001E62A1" w:rsidP="008E448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718BD3A6" w14:textId="77777777" w:rsidR="001E62A1" w:rsidRDefault="001E62A1" w:rsidP="008E4483">
      <w:pPr>
        <w:pStyle w:val="Textonotapie"/>
      </w:pPr>
      <w:r>
        <w:rPr>
          <w:rStyle w:val="Refdenotaalpie"/>
        </w:rPr>
        <w:footnoteRef/>
      </w:r>
      <w:r>
        <w:t xml:space="preserve"> Ibídem. Parr. 87.</w:t>
      </w:r>
    </w:p>
  </w:footnote>
  <w:footnote w:id="5">
    <w:p w14:paraId="1C437D52" w14:textId="77777777" w:rsidR="001E62A1" w:rsidRDefault="001E62A1" w:rsidP="008E4483">
      <w:pPr>
        <w:pStyle w:val="Textonotapie"/>
      </w:pPr>
      <w:r>
        <w:rPr>
          <w:rStyle w:val="Refdenotaalpie"/>
        </w:rPr>
        <w:footnoteRef/>
      </w:r>
      <w:r>
        <w:t xml:space="preserve"> Ley de Transparencia y Acceso a la Información Pública del Estado de México y Municipios. Artículo 9. …</w:t>
      </w:r>
    </w:p>
    <w:p w14:paraId="642B698F" w14:textId="77777777" w:rsidR="001E62A1" w:rsidRDefault="001E62A1" w:rsidP="008E4483">
      <w:pPr>
        <w:pStyle w:val="Textonotapie"/>
      </w:pPr>
      <w:r>
        <w:t>II. Eficacia: Obligación del Instituto para tutelar, de manera efectiva, el derecho de acceso a la información;</w:t>
      </w:r>
    </w:p>
    <w:p w14:paraId="707D8AAF" w14:textId="77777777" w:rsidR="001E62A1" w:rsidRDefault="001E62A1" w:rsidP="008E4483">
      <w:pPr>
        <w:pStyle w:val="Textonotapie"/>
      </w:pPr>
      <w:r>
        <w:t xml:space="preserve">… </w:t>
      </w:r>
    </w:p>
  </w:footnote>
  <w:footnote w:id="6">
    <w:p w14:paraId="0CB63F44" w14:textId="77777777" w:rsidR="001E62A1" w:rsidRDefault="001E62A1" w:rsidP="00FD3086">
      <w:pPr>
        <w:pStyle w:val="Textonotapie"/>
      </w:pPr>
      <w:r>
        <w:rPr>
          <w:rStyle w:val="Refdenotaalpie"/>
        </w:rPr>
        <w:footnoteRef/>
      </w:r>
      <w:r>
        <w:t xml:space="preserve"> Artículo 150. Ley de Transparencia y Acceso a la Información Pública del Estado de México y Municipios.</w:t>
      </w:r>
    </w:p>
    <w:p w14:paraId="46A5CE39" w14:textId="77777777" w:rsidR="001E62A1" w:rsidRDefault="001E62A1" w:rsidP="00FD3086">
      <w:pPr>
        <w:pStyle w:val="Textonotapie"/>
      </w:pPr>
      <w:r>
        <w:t>Artículo 151. Ibídem.</w:t>
      </w:r>
    </w:p>
  </w:footnote>
  <w:footnote w:id="7">
    <w:p w14:paraId="61E53539" w14:textId="77777777" w:rsidR="001E62A1" w:rsidRDefault="001E62A1" w:rsidP="00FD3086">
      <w:pPr>
        <w:pStyle w:val="Textonotapie"/>
      </w:pPr>
      <w:r>
        <w:rPr>
          <w:rStyle w:val="Refdenotaalpie"/>
        </w:rPr>
        <w:footnoteRef/>
      </w:r>
      <w:r>
        <w:t xml:space="preserve"> Fracción IV. Artículo 53. Ibídem.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0"/>
      <w:gridCol w:w="3690"/>
    </w:tblGrid>
    <w:tr w:rsidR="001E62A1" w:rsidRPr="00025127" w14:paraId="07F2896E" w14:textId="77777777" w:rsidTr="00FA0F09">
      <w:trPr>
        <w:trHeight w:val="138"/>
        <w:jc w:val="right"/>
      </w:trPr>
      <w:tc>
        <w:tcPr>
          <w:tcW w:w="3260" w:type="dxa"/>
          <w:vAlign w:val="center"/>
        </w:tcPr>
        <w:p w14:paraId="4A5B1974" w14:textId="44CA9AFE" w:rsidR="001E62A1" w:rsidRPr="00025127" w:rsidRDefault="001E62A1" w:rsidP="005F1362">
          <w:pPr>
            <w:ind w:right="34"/>
            <w:jc w:val="right"/>
            <w:rPr>
              <w:rFonts w:ascii="Palatino Linotype" w:hAnsi="Palatino Linotype"/>
              <w:b/>
              <w:sz w:val="22"/>
              <w:szCs w:val="22"/>
            </w:rPr>
          </w:pPr>
          <w:r w:rsidRPr="00025127">
            <w:rPr>
              <w:rFonts w:ascii="Palatino Linotype" w:hAnsi="Palatino Linotype"/>
              <w:b/>
              <w:sz w:val="22"/>
              <w:szCs w:val="22"/>
            </w:rPr>
            <w:t>RECURSO DE REVISIÓN:</w:t>
          </w:r>
        </w:p>
      </w:tc>
      <w:tc>
        <w:tcPr>
          <w:tcW w:w="3690" w:type="dxa"/>
          <w:vAlign w:val="center"/>
        </w:tcPr>
        <w:p w14:paraId="3A05B4B6" w14:textId="7492E9A1" w:rsidR="001E62A1" w:rsidRPr="00025127" w:rsidRDefault="001E62A1" w:rsidP="00755146">
          <w:pPr>
            <w:pStyle w:val="Encabezado"/>
            <w:jc w:val="both"/>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7623</w:t>
          </w:r>
          <w:r w:rsidRPr="001E50B9">
            <w:rPr>
              <w:rFonts w:ascii="Palatino Linotype" w:hAnsi="Palatino Linotype"/>
              <w:b/>
              <w:sz w:val="22"/>
              <w:szCs w:val="22"/>
            </w:rPr>
            <w:t>/INFOEM/IP/RR/2022</w:t>
          </w:r>
          <w:r>
            <w:rPr>
              <w:rFonts w:ascii="Palatino Linotype" w:hAnsi="Palatino Linotype"/>
              <w:b/>
              <w:sz w:val="22"/>
              <w:szCs w:val="22"/>
            </w:rPr>
            <w:t xml:space="preserve"> y acumulado</w:t>
          </w:r>
        </w:p>
      </w:tc>
    </w:tr>
    <w:tr w:rsidR="001E62A1" w:rsidRPr="00025127" w14:paraId="1B5D8690" w14:textId="77777777" w:rsidTr="00FA0F09">
      <w:trPr>
        <w:trHeight w:val="233"/>
        <w:jc w:val="right"/>
      </w:trPr>
      <w:tc>
        <w:tcPr>
          <w:tcW w:w="3260" w:type="dxa"/>
          <w:vAlign w:val="center"/>
        </w:tcPr>
        <w:p w14:paraId="3903F2C6" w14:textId="22D569F8" w:rsidR="001E62A1" w:rsidRPr="00025127" w:rsidRDefault="001E62A1" w:rsidP="000F55C1">
          <w:pPr>
            <w:ind w:right="34"/>
            <w:jc w:val="right"/>
            <w:rPr>
              <w:rFonts w:ascii="Palatino Linotype" w:hAnsi="Palatino Linotype"/>
              <w:b/>
              <w:sz w:val="22"/>
              <w:szCs w:val="22"/>
            </w:rPr>
          </w:pPr>
          <w:r w:rsidRPr="00025127">
            <w:rPr>
              <w:rFonts w:ascii="Palatino Linotype" w:hAnsi="Palatino Linotype"/>
              <w:b/>
              <w:sz w:val="22"/>
              <w:szCs w:val="22"/>
            </w:rPr>
            <w:t>SUJETO OBLIGADO:</w:t>
          </w:r>
        </w:p>
      </w:tc>
      <w:tc>
        <w:tcPr>
          <w:tcW w:w="3690" w:type="dxa"/>
          <w:vAlign w:val="center"/>
        </w:tcPr>
        <w:p w14:paraId="03C799A2" w14:textId="6C358601" w:rsidR="001E62A1" w:rsidRPr="00025127" w:rsidRDefault="001E62A1" w:rsidP="00FD2865">
          <w:pPr>
            <w:pStyle w:val="Encabezado"/>
            <w:jc w:val="both"/>
            <w:rPr>
              <w:rFonts w:ascii="Palatino Linotype" w:hAnsi="Palatino Linotype"/>
              <w:b/>
              <w:sz w:val="22"/>
              <w:szCs w:val="22"/>
            </w:rPr>
          </w:pPr>
          <w:r>
            <w:rPr>
              <w:rFonts w:ascii="Palatino Linotype" w:eastAsia="Calibri" w:hAnsi="Palatino Linotype" w:cs="Arial"/>
              <w:b/>
              <w:bCs/>
              <w:lang w:val="es-ES"/>
            </w:rPr>
            <w:t>Ayuntamiento de San Mateo Atenco</w:t>
          </w:r>
        </w:p>
      </w:tc>
    </w:tr>
    <w:tr w:rsidR="001E62A1" w:rsidRPr="00025127" w14:paraId="095EB01B" w14:textId="77777777" w:rsidTr="00FA0F09">
      <w:trPr>
        <w:trHeight w:val="321"/>
        <w:jc w:val="right"/>
      </w:trPr>
      <w:tc>
        <w:tcPr>
          <w:tcW w:w="3260" w:type="dxa"/>
          <w:vAlign w:val="center"/>
        </w:tcPr>
        <w:p w14:paraId="6E000A51" w14:textId="05E1861A" w:rsidR="001E62A1" w:rsidRPr="00025127" w:rsidRDefault="001E62A1" w:rsidP="006E6B65">
          <w:pPr>
            <w:ind w:right="34"/>
            <w:jc w:val="right"/>
            <w:rPr>
              <w:rFonts w:ascii="Palatino Linotype" w:hAnsi="Palatino Linotype"/>
              <w:b/>
              <w:sz w:val="22"/>
              <w:szCs w:val="22"/>
            </w:rPr>
          </w:pPr>
          <w:r w:rsidRPr="00025127">
            <w:rPr>
              <w:rFonts w:ascii="Palatino Linotype" w:hAnsi="Palatino Linotype"/>
              <w:b/>
              <w:sz w:val="22"/>
              <w:szCs w:val="22"/>
            </w:rPr>
            <w:t>COMISIONAD</w:t>
          </w:r>
          <w:r>
            <w:rPr>
              <w:rFonts w:ascii="Palatino Linotype" w:hAnsi="Palatino Linotype"/>
              <w:b/>
              <w:sz w:val="22"/>
              <w:szCs w:val="22"/>
            </w:rPr>
            <w:t>A</w:t>
          </w:r>
          <w:r w:rsidRPr="00025127">
            <w:rPr>
              <w:rFonts w:ascii="Palatino Linotype" w:hAnsi="Palatino Linotype"/>
              <w:b/>
              <w:sz w:val="22"/>
              <w:szCs w:val="22"/>
            </w:rPr>
            <w:t xml:space="preserve"> PONENTE:</w:t>
          </w:r>
        </w:p>
      </w:tc>
      <w:tc>
        <w:tcPr>
          <w:tcW w:w="3690" w:type="dxa"/>
          <w:vAlign w:val="center"/>
        </w:tcPr>
        <w:p w14:paraId="07560085" w14:textId="64DC8836" w:rsidR="001E62A1" w:rsidRPr="00025127" w:rsidRDefault="001E62A1" w:rsidP="00472C41">
          <w:pPr>
            <w:pStyle w:val="Encabezado"/>
            <w:rPr>
              <w:rFonts w:ascii="Palatino Linotype" w:hAnsi="Palatino Linotype"/>
              <w:b/>
              <w:sz w:val="22"/>
              <w:szCs w:val="22"/>
            </w:rPr>
          </w:pPr>
          <w:r>
            <w:rPr>
              <w:rFonts w:ascii="Palatino Linotype" w:hAnsi="Palatino Linotype"/>
              <w:b/>
              <w:sz w:val="22"/>
              <w:szCs w:val="22"/>
            </w:rPr>
            <w:t>María del Rosario Mejía Ayala</w:t>
          </w:r>
        </w:p>
      </w:tc>
    </w:tr>
  </w:tbl>
  <w:p w14:paraId="1096C1B8" w14:textId="2BA8EB40" w:rsidR="001E62A1" w:rsidRDefault="001E62A1" w:rsidP="00472C41">
    <w:pPr>
      <w:pStyle w:val="Encabezado"/>
    </w:pPr>
    <w:r>
      <w:rPr>
        <w:noProof/>
        <w:lang w:eastAsia="es-MX"/>
      </w:rPr>
      <w:drawing>
        <wp:anchor distT="0" distB="0" distL="114300" distR="114300" simplePos="0" relativeHeight="251657216" behindDoc="1" locked="0" layoutInCell="0" allowOverlap="1" wp14:anchorId="1A29E15A" wp14:editId="068CFF75">
          <wp:simplePos x="0" y="0"/>
          <wp:positionH relativeFrom="page">
            <wp:posOffset>30785</wp:posOffset>
          </wp:positionH>
          <wp:positionV relativeFrom="page">
            <wp:posOffset>30480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43D004EA" w:rsidR="001E62A1" w:rsidRDefault="001E62A1"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118.65pt;margin-top:-128.35pt;width:663.5pt;height:12in;z-index:-251658240;mso-position-horizontal-relative:margin;mso-position-vertical-relative:margin" o:allowincell="f">
          <v:imagedata r:id="rId1" o:title="PHOTO-2020-08-13-10-14-39"/>
          <w10:wrap anchorx="margin" anchory="margin"/>
        </v:shape>
      </w:pict>
    </w: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E62A1" w:rsidRPr="00025127" w14:paraId="0A3256F2" w14:textId="77777777" w:rsidTr="006E6B65">
      <w:trPr>
        <w:trHeight w:val="138"/>
        <w:jc w:val="right"/>
      </w:trPr>
      <w:tc>
        <w:tcPr>
          <w:tcW w:w="3261" w:type="dxa"/>
          <w:vAlign w:val="center"/>
        </w:tcPr>
        <w:p w14:paraId="3D80769D" w14:textId="316F11F8" w:rsidR="001E62A1" w:rsidRPr="00743FFA" w:rsidRDefault="001E62A1" w:rsidP="005F1362">
          <w:pPr>
            <w:jc w:val="right"/>
            <w:rPr>
              <w:rFonts w:ascii="Palatino Linotype" w:hAnsi="Palatino Linotype"/>
              <w:b/>
              <w:sz w:val="22"/>
              <w:szCs w:val="22"/>
            </w:rPr>
          </w:pPr>
          <w:r w:rsidRPr="00743FFA">
            <w:rPr>
              <w:rFonts w:ascii="Palatino Linotype" w:hAnsi="Palatino Linotype"/>
              <w:b/>
              <w:sz w:val="22"/>
              <w:szCs w:val="22"/>
            </w:rPr>
            <w:t>RECURSO DE REVISIÓN:</w:t>
          </w:r>
        </w:p>
      </w:tc>
      <w:tc>
        <w:tcPr>
          <w:tcW w:w="4111" w:type="dxa"/>
          <w:vAlign w:val="center"/>
        </w:tcPr>
        <w:p w14:paraId="0453495E" w14:textId="4EFB24BA" w:rsidR="001E62A1" w:rsidRPr="00743FFA" w:rsidRDefault="001E62A1" w:rsidP="00093486">
          <w:pPr>
            <w:pStyle w:val="Encabezado"/>
            <w:rPr>
              <w:rFonts w:ascii="Palatino Linotype" w:hAnsi="Palatino Linotype"/>
              <w:b/>
              <w:sz w:val="22"/>
              <w:szCs w:val="22"/>
            </w:rPr>
          </w:pPr>
          <w:r w:rsidRPr="001E50B9">
            <w:rPr>
              <w:rFonts w:ascii="Palatino Linotype" w:eastAsia="Calibri" w:hAnsi="Palatino Linotype" w:cs="Arial"/>
              <w:b/>
              <w:sz w:val="22"/>
              <w:lang w:val="es-ES"/>
            </w:rPr>
            <w:t>1</w:t>
          </w:r>
          <w:r>
            <w:rPr>
              <w:rFonts w:ascii="Palatino Linotype" w:eastAsia="Calibri" w:hAnsi="Palatino Linotype" w:cs="Arial"/>
              <w:b/>
              <w:sz w:val="22"/>
              <w:lang w:val="es-ES"/>
            </w:rPr>
            <w:t>7623</w:t>
          </w:r>
          <w:r w:rsidRPr="001E50B9">
            <w:rPr>
              <w:rFonts w:ascii="Palatino Linotype" w:hAnsi="Palatino Linotype"/>
              <w:b/>
              <w:sz w:val="22"/>
              <w:szCs w:val="22"/>
            </w:rPr>
            <w:t>/INFOEM/IP/RR/2022</w:t>
          </w:r>
          <w:r>
            <w:rPr>
              <w:rFonts w:ascii="Palatino Linotype" w:hAnsi="Palatino Linotype"/>
              <w:b/>
              <w:sz w:val="22"/>
              <w:szCs w:val="22"/>
            </w:rPr>
            <w:t xml:space="preserve"> y acumulado</w:t>
          </w:r>
        </w:p>
      </w:tc>
    </w:tr>
    <w:tr w:rsidR="001E62A1" w:rsidRPr="00025127" w14:paraId="128C8B3C" w14:textId="77777777" w:rsidTr="006E6B65">
      <w:trPr>
        <w:trHeight w:val="233"/>
        <w:jc w:val="right"/>
      </w:trPr>
      <w:tc>
        <w:tcPr>
          <w:tcW w:w="3261" w:type="dxa"/>
          <w:vAlign w:val="center"/>
        </w:tcPr>
        <w:p w14:paraId="483E3371" w14:textId="66B1BC74" w:rsidR="001E62A1" w:rsidRPr="00743FFA" w:rsidRDefault="001E62A1" w:rsidP="00472C41">
          <w:pPr>
            <w:jc w:val="right"/>
            <w:rPr>
              <w:rFonts w:ascii="Palatino Linotype" w:hAnsi="Palatino Linotype"/>
              <w:b/>
              <w:sz w:val="22"/>
              <w:szCs w:val="22"/>
            </w:rPr>
          </w:pPr>
          <w:r w:rsidRPr="00743FFA">
            <w:rPr>
              <w:rFonts w:ascii="Palatino Linotype" w:hAnsi="Palatino Linotype"/>
              <w:b/>
              <w:sz w:val="22"/>
              <w:szCs w:val="22"/>
            </w:rPr>
            <w:t>RECURRENTE:</w:t>
          </w:r>
        </w:p>
      </w:tc>
      <w:tc>
        <w:tcPr>
          <w:tcW w:w="4111" w:type="dxa"/>
        </w:tcPr>
        <w:p w14:paraId="1548525E" w14:textId="58BE7BFD" w:rsidR="001E62A1" w:rsidRPr="00743FFA" w:rsidRDefault="001E62A1" w:rsidP="001E50B9">
          <w:pPr>
            <w:pStyle w:val="Encabezado"/>
            <w:rPr>
              <w:rFonts w:ascii="Palatino Linotype" w:hAnsi="Palatino Linotype"/>
              <w:b/>
              <w:sz w:val="22"/>
              <w:szCs w:val="22"/>
            </w:rPr>
          </w:pPr>
        </w:p>
      </w:tc>
    </w:tr>
    <w:tr w:rsidR="001E62A1" w:rsidRPr="00025127" w14:paraId="41BE0704" w14:textId="77777777" w:rsidTr="006E6B65">
      <w:trPr>
        <w:trHeight w:val="321"/>
        <w:jc w:val="right"/>
      </w:trPr>
      <w:tc>
        <w:tcPr>
          <w:tcW w:w="3261" w:type="dxa"/>
          <w:vAlign w:val="center"/>
        </w:tcPr>
        <w:p w14:paraId="34C64148" w14:textId="10C6C8A9" w:rsidR="001E62A1" w:rsidRPr="00743FFA" w:rsidRDefault="001E62A1" w:rsidP="005F1362">
          <w:pPr>
            <w:jc w:val="right"/>
            <w:rPr>
              <w:rFonts w:ascii="Palatino Linotype" w:hAnsi="Palatino Linotype"/>
              <w:b/>
              <w:sz w:val="22"/>
              <w:szCs w:val="22"/>
            </w:rPr>
          </w:pPr>
          <w:r w:rsidRPr="00743FFA">
            <w:rPr>
              <w:rFonts w:ascii="Palatino Linotype" w:hAnsi="Palatino Linotype"/>
              <w:b/>
              <w:sz w:val="22"/>
              <w:szCs w:val="22"/>
            </w:rPr>
            <w:t>SUJETO OBLIGADO:</w:t>
          </w:r>
        </w:p>
      </w:tc>
      <w:tc>
        <w:tcPr>
          <w:tcW w:w="4111" w:type="dxa"/>
          <w:vAlign w:val="center"/>
        </w:tcPr>
        <w:p w14:paraId="34C341BF" w14:textId="55289FF1" w:rsidR="001E62A1" w:rsidRPr="00743FFA" w:rsidRDefault="001E62A1" w:rsidP="00BB7921">
          <w:pPr>
            <w:pStyle w:val="Encabezado"/>
            <w:jc w:val="both"/>
            <w:rPr>
              <w:rFonts w:ascii="Palatino Linotype" w:hAnsi="Palatino Linotype"/>
              <w:b/>
              <w:sz w:val="22"/>
              <w:szCs w:val="22"/>
            </w:rPr>
          </w:pPr>
          <w:r>
            <w:rPr>
              <w:rFonts w:ascii="Palatino Linotype" w:eastAsia="Calibri" w:hAnsi="Palatino Linotype" w:cs="Arial"/>
              <w:b/>
              <w:bCs/>
              <w:lang w:val="es-ES"/>
            </w:rPr>
            <w:t>Ayuntamiento de San Mateo Atenco</w:t>
          </w:r>
        </w:p>
      </w:tc>
    </w:tr>
    <w:tr w:rsidR="001E62A1" w:rsidRPr="00025127" w14:paraId="0C8B6193" w14:textId="77777777" w:rsidTr="006E6B65">
      <w:trPr>
        <w:trHeight w:val="321"/>
        <w:jc w:val="right"/>
      </w:trPr>
      <w:tc>
        <w:tcPr>
          <w:tcW w:w="3261" w:type="dxa"/>
          <w:vAlign w:val="center"/>
        </w:tcPr>
        <w:p w14:paraId="321FFAFF" w14:textId="0E8C2CE7" w:rsidR="001E62A1" w:rsidRPr="00743FFA" w:rsidRDefault="001E62A1" w:rsidP="00472C41">
          <w:pPr>
            <w:jc w:val="right"/>
            <w:rPr>
              <w:rFonts w:ascii="Palatino Linotype" w:hAnsi="Palatino Linotype"/>
              <w:b/>
              <w:sz w:val="22"/>
              <w:szCs w:val="22"/>
            </w:rPr>
          </w:pPr>
          <w:r w:rsidRPr="00743FFA">
            <w:rPr>
              <w:rFonts w:ascii="Palatino Linotype" w:hAnsi="Palatino Linotype"/>
              <w:b/>
              <w:sz w:val="22"/>
              <w:szCs w:val="22"/>
            </w:rPr>
            <w:t>COMISIONADA PONENTE:</w:t>
          </w:r>
        </w:p>
      </w:tc>
      <w:tc>
        <w:tcPr>
          <w:tcW w:w="4111" w:type="dxa"/>
          <w:vAlign w:val="center"/>
        </w:tcPr>
        <w:p w14:paraId="0FECDA9D" w14:textId="6D336FD0" w:rsidR="001E62A1" w:rsidRPr="00743FFA" w:rsidRDefault="001E62A1" w:rsidP="00B44F9F">
          <w:pPr>
            <w:pStyle w:val="Encabezado"/>
            <w:ind w:left="33"/>
            <w:rPr>
              <w:rFonts w:ascii="Palatino Linotype" w:hAnsi="Palatino Linotype"/>
              <w:b/>
              <w:sz w:val="22"/>
              <w:szCs w:val="22"/>
            </w:rPr>
          </w:pPr>
          <w:r w:rsidRPr="00743FFA">
            <w:rPr>
              <w:rFonts w:ascii="Palatino Linotype" w:hAnsi="Palatino Linotype"/>
              <w:b/>
              <w:sz w:val="22"/>
              <w:szCs w:val="22"/>
            </w:rPr>
            <w:t>María del Rosario Mejía Ayala</w:t>
          </w:r>
        </w:p>
      </w:tc>
    </w:tr>
  </w:tbl>
  <w:p w14:paraId="156B5574" w14:textId="3EA5B995" w:rsidR="001E62A1" w:rsidRDefault="001E62A1"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6F5385"/>
    <w:multiLevelType w:val="hybridMultilevel"/>
    <w:tmpl w:val="1B841244"/>
    <w:lvl w:ilvl="0" w:tplc="2084F372">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15:restartNumberingAfterBreak="0">
    <w:nsid w:val="0B283CF1"/>
    <w:multiLevelType w:val="hybridMultilevel"/>
    <w:tmpl w:val="3906F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26A2D11"/>
    <w:multiLevelType w:val="hybridMultilevel"/>
    <w:tmpl w:val="51F8086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6E3E65"/>
    <w:multiLevelType w:val="hybridMultilevel"/>
    <w:tmpl w:val="FBEC134C"/>
    <w:lvl w:ilvl="0" w:tplc="D28CF752">
      <w:start w:val="1"/>
      <w:numFmt w:val="decimal"/>
      <w:lvlText w:val="%1."/>
      <w:lvlJc w:val="left"/>
      <w:pPr>
        <w:ind w:left="720" w:hanging="360"/>
      </w:pPr>
      <w:rPr>
        <w:b/>
        <w:i w:val="0"/>
        <w:sz w:val="24"/>
      </w:rPr>
    </w:lvl>
    <w:lvl w:ilvl="1" w:tplc="5C580E56">
      <w:start w:val="5"/>
      <w:numFmt w:val="bullet"/>
      <w:lvlText w:val="•"/>
      <w:lvlJc w:val="left"/>
      <w:pPr>
        <w:ind w:left="1785" w:hanging="705"/>
      </w:pPr>
      <w:rPr>
        <w:rFonts w:ascii="Palatino Linotype" w:eastAsiaTheme="minorEastAsia" w:hAnsi="Palatino Linotype" w:cs="Arial" w:hint="default"/>
      </w:rPr>
    </w:lvl>
    <w:lvl w:ilvl="2" w:tplc="8D2E970C">
      <w:start w:val="1"/>
      <w:numFmt w:val="lowerLetter"/>
      <w:lvlText w:val="%3)"/>
      <w:lvlJc w:val="left"/>
      <w:pPr>
        <w:ind w:left="2820" w:hanging="840"/>
      </w:pPr>
      <w:rPr>
        <w:rFonts w:hint="default"/>
      </w:rPr>
    </w:lvl>
    <w:lvl w:ilvl="3" w:tplc="354C2A32">
      <w:start w:val="1"/>
      <w:numFmt w:val="upperRoman"/>
      <w:lvlText w:val="%4."/>
      <w:lvlJc w:val="left"/>
      <w:pPr>
        <w:ind w:left="3240" w:hanging="720"/>
      </w:pPr>
      <w:rPr>
        <w:rFonts w:hint="default"/>
      </w:rPr>
    </w:lvl>
    <w:lvl w:ilvl="4" w:tplc="5F60518E">
      <w:start w:val="1"/>
      <w:numFmt w:val="upperLetter"/>
      <w:lvlText w:val="%5."/>
      <w:lvlJc w:val="left"/>
      <w:pPr>
        <w:ind w:left="3600" w:hanging="360"/>
      </w:pPr>
      <w:rPr>
        <w:rFonts w:hint="default"/>
      </w:rPr>
    </w:lvl>
    <w:lvl w:ilvl="5" w:tplc="DAF0C25E">
      <w:start w:val="70"/>
      <w:numFmt w:val="bullet"/>
      <w:lvlText w:val="·"/>
      <w:lvlJc w:val="left"/>
      <w:pPr>
        <w:ind w:left="4500" w:hanging="360"/>
      </w:pPr>
      <w:rPr>
        <w:rFonts w:ascii="Palatino Linotype" w:eastAsiaTheme="minorEastAsia" w:hAnsi="Palatino Linotype" w:cs="Arial" w:hint="default"/>
      </w:r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8D2CA5"/>
    <w:multiLevelType w:val="hybridMultilevel"/>
    <w:tmpl w:val="CBC61E76"/>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142871D0"/>
    <w:multiLevelType w:val="hybridMultilevel"/>
    <w:tmpl w:val="EFBED2C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1A3069B7"/>
    <w:multiLevelType w:val="hybridMultilevel"/>
    <w:tmpl w:val="B40E05CA"/>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FC21D4"/>
    <w:multiLevelType w:val="hybridMultilevel"/>
    <w:tmpl w:val="C6C297F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22A4D07"/>
    <w:multiLevelType w:val="hybridMultilevel"/>
    <w:tmpl w:val="B9AEE2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32D2DBB"/>
    <w:multiLevelType w:val="hybridMultilevel"/>
    <w:tmpl w:val="3906FF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58C1C8A"/>
    <w:multiLevelType w:val="hybridMultilevel"/>
    <w:tmpl w:val="7E3A1908"/>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4" w15:restartNumberingAfterBreak="0">
    <w:nsid w:val="2F516685"/>
    <w:multiLevelType w:val="hybridMultilevel"/>
    <w:tmpl w:val="8538536E"/>
    <w:lvl w:ilvl="0" w:tplc="080A000B">
      <w:start w:val="1"/>
      <w:numFmt w:val="bullet"/>
      <w:lvlText w:val=""/>
      <w:lvlJc w:val="left"/>
      <w:pPr>
        <w:ind w:left="1713" w:hanging="360"/>
      </w:pPr>
      <w:rPr>
        <w:rFonts w:ascii="Wingdings" w:hAnsi="Wingdings"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5" w15:restartNumberingAfterBreak="0">
    <w:nsid w:val="30783ADA"/>
    <w:multiLevelType w:val="hybridMultilevel"/>
    <w:tmpl w:val="B950E5B0"/>
    <w:lvl w:ilvl="0" w:tplc="A2D079EA">
      <w:start w:val="1"/>
      <w:numFmt w:val="bullet"/>
      <w:lvlText w:val=""/>
      <w:lvlJc w:val="left"/>
      <w:pPr>
        <w:ind w:left="1429" w:hanging="360"/>
      </w:pPr>
      <w:rPr>
        <w:rFonts w:ascii="Wingdings" w:hAnsi="Wingdings" w:hint="default"/>
        <w:sz w:val="24"/>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32164072"/>
    <w:multiLevelType w:val="hybridMultilevel"/>
    <w:tmpl w:val="49221B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4B0F17"/>
    <w:multiLevelType w:val="hybridMultilevel"/>
    <w:tmpl w:val="1AB0364E"/>
    <w:lvl w:ilvl="0" w:tplc="0060D402">
      <w:start w:val="1"/>
      <w:numFmt w:val="bullet"/>
      <w:lvlText w:val=""/>
      <w:lvlJc w:val="left"/>
      <w:pPr>
        <w:ind w:left="1440" w:hanging="360"/>
      </w:pPr>
      <w:rPr>
        <w:rFonts w:ascii="Symbol" w:hAnsi="Symbol" w:hint="default"/>
        <w:sz w:val="24"/>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15:restartNumberingAfterBreak="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784484"/>
    <w:multiLevelType w:val="hybridMultilevel"/>
    <w:tmpl w:val="5D02B27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0" w15:restartNumberingAfterBreak="0">
    <w:nsid w:val="38487013"/>
    <w:multiLevelType w:val="hybridMultilevel"/>
    <w:tmpl w:val="BDF8708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B915C4"/>
    <w:multiLevelType w:val="hybridMultilevel"/>
    <w:tmpl w:val="B6F45360"/>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E8F3631"/>
    <w:multiLevelType w:val="hybridMultilevel"/>
    <w:tmpl w:val="7794F6B4"/>
    <w:lvl w:ilvl="0" w:tplc="0060D402">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10E07E7"/>
    <w:multiLevelType w:val="hybridMultilevel"/>
    <w:tmpl w:val="B2CCB110"/>
    <w:lvl w:ilvl="0" w:tplc="080A000D">
      <w:start w:val="1"/>
      <w:numFmt w:val="bullet"/>
      <w:lvlText w:val=""/>
      <w:lvlJc w:val="left"/>
      <w:pPr>
        <w:ind w:left="2149" w:hanging="360"/>
      </w:pPr>
      <w:rPr>
        <w:rFonts w:ascii="Wingdings" w:hAnsi="Wingdings" w:hint="default"/>
      </w:rPr>
    </w:lvl>
    <w:lvl w:ilvl="1" w:tplc="080A0003" w:tentative="1">
      <w:start w:val="1"/>
      <w:numFmt w:val="bullet"/>
      <w:lvlText w:val="o"/>
      <w:lvlJc w:val="left"/>
      <w:pPr>
        <w:ind w:left="2869" w:hanging="360"/>
      </w:pPr>
      <w:rPr>
        <w:rFonts w:ascii="Courier New" w:hAnsi="Courier New" w:cs="Courier New" w:hint="default"/>
      </w:rPr>
    </w:lvl>
    <w:lvl w:ilvl="2" w:tplc="080A0005" w:tentative="1">
      <w:start w:val="1"/>
      <w:numFmt w:val="bullet"/>
      <w:lvlText w:val=""/>
      <w:lvlJc w:val="left"/>
      <w:pPr>
        <w:ind w:left="3589" w:hanging="360"/>
      </w:pPr>
      <w:rPr>
        <w:rFonts w:ascii="Wingdings" w:hAnsi="Wingdings" w:hint="default"/>
      </w:rPr>
    </w:lvl>
    <w:lvl w:ilvl="3" w:tplc="080A0001" w:tentative="1">
      <w:start w:val="1"/>
      <w:numFmt w:val="bullet"/>
      <w:lvlText w:val=""/>
      <w:lvlJc w:val="left"/>
      <w:pPr>
        <w:ind w:left="4309" w:hanging="360"/>
      </w:pPr>
      <w:rPr>
        <w:rFonts w:ascii="Symbol" w:hAnsi="Symbol" w:hint="default"/>
      </w:rPr>
    </w:lvl>
    <w:lvl w:ilvl="4" w:tplc="080A0003" w:tentative="1">
      <w:start w:val="1"/>
      <w:numFmt w:val="bullet"/>
      <w:lvlText w:val="o"/>
      <w:lvlJc w:val="left"/>
      <w:pPr>
        <w:ind w:left="5029" w:hanging="360"/>
      </w:pPr>
      <w:rPr>
        <w:rFonts w:ascii="Courier New" w:hAnsi="Courier New" w:cs="Courier New" w:hint="default"/>
      </w:rPr>
    </w:lvl>
    <w:lvl w:ilvl="5" w:tplc="080A0005" w:tentative="1">
      <w:start w:val="1"/>
      <w:numFmt w:val="bullet"/>
      <w:lvlText w:val=""/>
      <w:lvlJc w:val="left"/>
      <w:pPr>
        <w:ind w:left="5749" w:hanging="360"/>
      </w:pPr>
      <w:rPr>
        <w:rFonts w:ascii="Wingdings" w:hAnsi="Wingdings" w:hint="default"/>
      </w:rPr>
    </w:lvl>
    <w:lvl w:ilvl="6" w:tplc="080A0001" w:tentative="1">
      <w:start w:val="1"/>
      <w:numFmt w:val="bullet"/>
      <w:lvlText w:val=""/>
      <w:lvlJc w:val="left"/>
      <w:pPr>
        <w:ind w:left="6469" w:hanging="360"/>
      </w:pPr>
      <w:rPr>
        <w:rFonts w:ascii="Symbol" w:hAnsi="Symbol" w:hint="default"/>
      </w:rPr>
    </w:lvl>
    <w:lvl w:ilvl="7" w:tplc="080A0003" w:tentative="1">
      <w:start w:val="1"/>
      <w:numFmt w:val="bullet"/>
      <w:lvlText w:val="o"/>
      <w:lvlJc w:val="left"/>
      <w:pPr>
        <w:ind w:left="7189" w:hanging="360"/>
      </w:pPr>
      <w:rPr>
        <w:rFonts w:ascii="Courier New" w:hAnsi="Courier New" w:cs="Courier New" w:hint="default"/>
      </w:rPr>
    </w:lvl>
    <w:lvl w:ilvl="8" w:tplc="080A0005" w:tentative="1">
      <w:start w:val="1"/>
      <w:numFmt w:val="bullet"/>
      <w:lvlText w:val=""/>
      <w:lvlJc w:val="left"/>
      <w:pPr>
        <w:ind w:left="7909" w:hanging="360"/>
      </w:pPr>
      <w:rPr>
        <w:rFonts w:ascii="Wingdings" w:hAnsi="Wingdings" w:hint="default"/>
      </w:rPr>
    </w:lvl>
  </w:abstractNum>
  <w:abstractNum w:abstractNumId="24" w15:restartNumberingAfterBreak="0">
    <w:nsid w:val="426F6E97"/>
    <w:multiLevelType w:val="hybridMultilevel"/>
    <w:tmpl w:val="AB9E49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2EA4647"/>
    <w:multiLevelType w:val="hybridMultilevel"/>
    <w:tmpl w:val="8716E9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C517B70"/>
    <w:multiLevelType w:val="hybridMultilevel"/>
    <w:tmpl w:val="4552F19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7" w15:restartNumberingAfterBreak="0">
    <w:nsid w:val="4CF7617E"/>
    <w:multiLevelType w:val="hybridMultilevel"/>
    <w:tmpl w:val="8AAE969E"/>
    <w:lvl w:ilvl="0" w:tplc="080A000B">
      <w:start w:val="1"/>
      <w:numFmt w:val="bullet"/>
      <w:lvlText w:val=""/>
      <w:lvlJc w:val="left"/>
      <w:pPr>
        <w:ind w:left="720" w:hanging="360"/>
      </w:pPr>
      <w:rPr>
        <w:rFonts w:ascii="Wingdings" w:hAnsi="Wingding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9" w15:restartNumberingAfterBreak="0">
    <w:nsid w:val="5AA10D7A"/>
    <w:multiLevelType w:val="multilevel"/>
    <w:tmpl w:val="481A7F5A"/>
    <w:lvl w:ilvl="0">
      <w:start w:val="1"/>
      <w:numFmt w:val="decimal"/>
      <w:lvlText w:val="%1."/>
      <w:lvlJc w:val="left"/>
      <w:pPr>
        <w:ind w:left="644" w:hanging="358"/>
      </w:pPr>
    </w:lvl>
    <w:lvl w:ilvl="1">
      <w:start w:val="1"/>
      <w:numFmt w:val="lowerLetter"/>
      <w:lvlText w:val="%2."/>
      <w:lvlJc w:val="left"/>
      <w:pPr>
        <w:ind w:left="1364" w:hanging="360"/>
      </w:pPr>
      <w:rPr>
        <w:sz w:val="14"/>
        <w:szCs w:val="14"/>
      </w:r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0" w15:restartNumberingAfterBreak="0">
    <w:nsid w:val="5AF94A7E"/>
    <w:multiLevelType w:val="hybridMultilevel"/>
    <w:tmpl w:val="0BEE1290"/>
    <w:lvl w:ilvl="0" w:tplc="080A000F">
      <w:start w:val="1"/>
      <w:numFmt w:val="decimal"/>
      <w:lvlText w:val="%1."/>
      <w:lvlJc w:val="lef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3366AA1"/>
    <w:multiLevelType w:val="hybridMultilevel"/>
    <w:tmpl w:val="FAA41D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EA48C9"/>
    <w:multiLevelType w:val="multilevel"/>
    <w:tmpl w:val="FFD42C9A"/>
    <w:lvl w:ilvl="0">
      <w:start w:val="1"/>
      <w:numFmt w:val="lowerLetter"/>
      <w:lvlText w:val="%1."/>
      <w:lvlJc w:val="left"/>
      <w:pPr>
        <w:ind w:left="1776" w:hanging="360"/>
      </w:pPr>
    </w:lvl>
    <w:lvl w:ilvl="1">
      <w:start w:val="1"/>
      <w:numFmt w:val="bullet"/>
      <w:lvlText w:val="o"/>
      <w:lvlJc w:val="left"/>
      <w:pPr>
        <w:ind w:left="2496" w:hanging="360"/>
      </w:pPr>
      <w:rPr>
        <w:rFonts w:ascii="Courier New" w:eastAsia="Courier New" w:hAnsi="Courier New" w:cs="Courier New"/>
      </w:rPr>
    </w:lvl>
    <w:lvl w:ilvl="2">
      <w:start w:val="1"/>
      <w:numFmt w:val="bullet"/>
      <w:lvlText w:val="▪"/>
      <w:lvlJc w:val="left"/>
      <w:pPr>
        <w:ind w:left="3216" w:hanging="360"/>
      </w:pPr>
      <w:rPr>
        <w:rFonts w:ascii="Noto Sans Symbols" w:eastAsia="Noto Sans Symbols" w:hAnsi="Noto Sans Symbols" w:cs="Noto Sans Symbols"/>
      </w:rPr>
    </w:lvl>
    <w:lvl w:ilvl="3">
      <w:start w:val="1"/>
      <w:numFmt w:val="bullet"/>
      <w:lvlText w:val="●"/>
      <w:lvlJc w:val="left"/>
      <w:pPr>
        <w:ind w:left="3936" w:hanging="360"/>
      </w:pPr>
      <w:rPr>
        <w:rFonts w:ascii="Noto Sans Symbols" w:eastAsia="Noto Sans Symbols" w:hAnsi="Noto Sans Symbols" w:cs="Noto Sans Symbols"/>
      </w:rPr>
    </w:lvl>
    <w:lvl w:ilvl="4">
      <w:start w:val="1"/>
      <w:numFmt w:val="bullet"/>
      <w:lvlText w:val="o"/>
      <w:lvlJc w:val="left"/>
      <w:pPr>
        <w:ind w:left="4656" w:hanging="360"/>
      </w:pPr>
      <w:rPr>
        <w:rFonts w:ascii="Courier New" w:eastAsia="Courier New" w:hAnsi="Courier New" w:cs="Courier New"/>
      </w:rPr>
    </w:lvl>
    <w:lvl w:ilvl="5">
      <w:start w:val="1"/>
      <w:numFmt w:val="bullet"/>
      <w:lvlText w:val="▪"/>
      <w:lvlJc w:val="left"/>
      <w:pPr>
        <w:ind w:left="5376" w:hanging="360"/>
      </w:pPr>
      <w:rPr>
        <w:rFonts w:ascii="Noto Sans Symbols" w:eastAsia="Noto Sans Symbols" w:hAnsi="Noto Sans Symbols" w:cs="Noto Sans Symbols"/>
      </w:rPr>
    </w:lvl>
    <w:lvl w:ilvl="6">
      <w:start w:val="1"/>
      <w:numFmt w:val="bullet"/>
      <w:lvlText w:val="●"/>
      <w:lvlJc w:val="left"/>
      <w:pPr>
        <w:ind w:left="6096" w:hanging="360"/>
      </w:pPr>
      <w:rPr>
        <w:rFonts w:ascii="Noto Sans Symbols" w:eastAsia="Noto Sans Symbols" w:hAnsi="Noto Sans Symbols" w:cs="Noto Sans Symbols"/>
      </w:rPr>
    </w:lvl>
    <w:lvl w:ilvl="7">
      <w:start w:val="1"/>
      <w:numFmt w:val="bullet"/>
      <w:lvlText w:val="o"/>
      <w:lvlJc w:val="left"/>
      <w:pPr>
        <w:ind w:left="6816" w:hanging="360"/>
      </w:pPr>
      <w:rPr>
        <w:rFonts w:ascii="Courier New" w:eastAsia="Courier New" w:hAnsi="Courier New" w:cs="Courier New"/>
      </w:rPr>
    </w:lvl>
    <w:lvl w:ilvl="8">
      <w:start w:val="1"/>
      <w:numFmt w:val="bullet"/>
      <w:lvlText w:val="▪"/>
      <w:lvlJc w:val="left"/>
      <w:pPr>
        <w:ind w:left="7536" w:hanging="360"/>
      </w:pPr>
      <w:rPr>
        <w:rFonts w:ascii="Noto Sans Symbols" w:eastAsia="Noto Sans Symbols" w:hAnsi="Noto Sans Symbols" w:cs="Noto Sans Symbols"/>
      </w:rPr>
    </w:lvl>
  </w:abstractNum>
  <w:abstractNum w:abstractNumId="33" w15:restartNumberingAfterBreak="0">
    <w:nsid w:val="647829F8"/>
    <w:multiLevelType w:val="hybridMultilevel"/>
    <w:tmpl w:val="B9206F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982643C"/>
    <w:multiLevelType w:val="hybridMultilevel"/>
    <w:tmpl w:val="1C30B49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B344D8"/>
    <w:multiLevelType w:val="hybridMultilevel"/>
    <w:tmpl w:val="9154E92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DB6270C"/>
    <w:multiLevelType w:val="hybridMultilevel"/>
    <w:tmpl w:val="49686A30"/>
    <w:lvl w:ilvl="0" w:tplc="080A000D">
      <w:start w:val="1"/>
      <w:numFmt w:val="bullet"/>
      <w:lvlText w:val=""/>
      <w:lvlJc w:val="left"/>
      <w:pPr>
        <w:ind w:left="1571" w:hanging="360"/>
      </w:pPr>
      <w:rPr>
        <w:rFonts w:ascii="Wingdings" w:hAnsi="Wingdings"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712B46B2"/>
    <w:multiLevelType w:val="hybridMultilevel"/>
    <w:tmpl w:val="BBF40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54E7BE5"/>
    <w:multiLevelType w:val="multilevel"/>
    <w:tmpl w:val="ADE832FE"/>
    <w:lvl w:ilvl="0">
      <w:start w:val="1"/>
      <w:numFmt w:val="decimal"/>
      <w:lvlText w:val="%1."/>
      <w:lvlJc w:val="left"/>
      <w:pPr>
        <w:ind w:left="644" w:hanging="358"/>
      </w:pPr>
      <w:rPr>
        <w:sz w:val="14"/>
        <w:szCs w:val="14"/>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9" w15:restartNumberingAfterBreak="0">
    <w:nsid w:val="770F53BE"/>
    <w:multiLevelType w:val="hybridMultilevel"/>
    <w:tmpl w:val="E74AC2B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15:restartNumberingAfterBreak="0">
    <w:nsid w:val="77C87420"/>
    <w:multiLevelType w:val="hybridMultilevel"/>
    <w:tmpl w:val="8CA2AEEC"/>
    <w:lvl w:ilvl="0" w:tplc="080A001B">
      <w:start w:val="1"/>
      <w:numFmt w:val="lowerRoman"/>
      <w:lvlText w:val="%1."/>
      <w:lvlJc w:val="right"/>
      <w:pPr>
        <w:ind w:left="720" w:hanging="360"/>
      </w:pPr>
      <w:rPr>
        <w:rFonts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7ED23F6"/>
    <w:multiLevelType w:val="hybridMultilevel"/>
    <w:tmpl w:val="0458F1F4"/>
    <w:lvl w:ilvl="0" w:tplc="8E04AE4C">
      <w:start w:val="2"/>
      <w:numFmt w:val="bullet"/>
      <w:lvlText w:val="-"/>
      <w:lvlJc w:val="left"/>
      <w:pPr>
        <w:ind w:left="2629" w:hanging="360"/>
      </w:pPr>
      <w:rPr>
        <w:rFonts w:ascii="Cambria" w:eastAsiaTheme="minorEastAsia" w:hAnsi="Cambria" w:cstheme="minorBidi" w:hint="default"/>
      </w:rPr>
    </w:lvl>
    <w:lvl w:ilvl="1" w:tplc="080A0003" w:tentative="1">
      <w:start w:val="1"/>
      <w:numFmt w:val="bullet"/>
      <w:lvlText w:val="o"/>
      <w:lvlJc w:val="left"/>
      <w:pPr>
        <w:ind w:left="3349" w:hanging="360"/>
      </w:pPr>
      <w:rPr>
        <w:rFonts w:ascii="Courier New" w:hAnsi="Courier New" w:cs="Courier New" w:hint="default"/>
      </w:rPr>
    </w:lvl>
    <w:lvl w:ilvl="2" w:tplc="080A0005" w:tentative="1">
      <w:start w:val="1"/>
      <w:numFmt w:val="bullet"/>
      <w:lvlText w:val=""/>
      <w:lvlJc w:val="left"/>
      <w:pPr>
        <w:ind w:left="4069" w:hanging="360"/>
      </w:pPr>
      <w:rPr>
        <w:rFonts w:ascii="Wingdings" w:hAnsi="Wingdings" w:hint="default"/>
      </w:rPr>
    </w:lvl>
    <w:lvl w:ilvl="3" w:tplc="080A0001" w:tentative="1">
      <w:start w:val="1"/>
      <w:numFmt w:val="bullet"/>
      <w:lvlText w:val=""/>
      <w:lvlJc w:val="left"/>
      <w:pPr>
        <w:ind w:left="4789" w:hanging="360"/>
      </w:pPr>
      <w:rPr>
        <w:rFonts w:ascii="Symbol" w:hAnsi="Symbol" w:hint="default"/>
      </w:rPr>
    </w:lvl>
    <w:lvl w:ilvl="4" w:tplc="080A0003" w:tentative="1">
      <w:start w:val="1"/>
      <w:numFmt w:val="bullet"/>
      <w:lvlText w:val="o"/>
      <w:lvlJc w:val="left"/>
      <w:pPr>
        <w:ind w:left="5509" w:hanging="360"/>
      </w:pPr>
      <w:rPr>
        <w:rFonts w:ascii="Courier New" w:hAnsi="Courier New" w:cs="Courier New" w:hint="default"/>
      </w:rPr>
    </w:lvl>
    <w:lvl w:ilvl="5" w:tplc="080A0005" w:tentative="1">
      <w:start w:val="1"/>
      <w:numFmt w:val="bullet"/>
      <w:lvlText w:val=""/>
      <w:lvlJc w:val="left"/>
      <w:pPr>
        <w:ind w:left="6229" w:hanging="360"/>
      </w:pPr>
      <w:rPr>
        <w:rFonts w:ascii="Wingdings" w:hAnsi="Wingdings" w:hint="default"/>
      </w:rPr>
    </w:lvl>
    <w:lvl w:ilvl="6" w:tplc="080A0001" w:tentative="1">
      <w:start w:val="1"/>
      <w:numFmt w:val="bullet"/>
      <w:lvlText w:val=""/>
      <w:lvlJc w:val="left"/>
      <w:pPr>
        <w:ind w:left="6949" w:hanging="360"/>
      </w:pPr>
      <w:rPr>
        <w:rFonts w:ascii="Symbol" w:hAnsi="Symbol" w:hint="default"/>
      </w:rPr>
    </w:lvl>
    <w:lvl w:ilvl="7" w:tplc="080A0003" w:tentative="1">
      <w:start w:val="1"/>
      <w:numFmt w:val="bullet"/>
      <w:lvlText w:val="o"/>
      <w:lvlJc w:val="left"/>
      <w:pPr>
        <w:ind w:left="7669" w:hanging="360"/>
      </w:pPr>
      <w:rPr>
        <w:rFonts w:ascii="Courier New" w:hAnsi="Courier New" w:cs="Courier New" w:hint="default"/>
      </w:rPr>
    </w:lvl>
    <w:lvl w:ilvl="8" w:tplc="080A0005" w:tentative="1">
      <w:start w:val="1"/>
      <w:numFmt w:val="bullet"/>
      <w:lvlText w:val=""/>
      <w:lvlJc w:val="left"/>
      <w:pPr>
        <w:ind w:left="8389" w:hanging="360"/>
      </w:pPr>
      <w:rPr>
        <w:rFonts w:ascii="Wingdings" w:hAnsi="Wingdings" w:hint="default"/>
      </w:rPr>
    </w:lvl>
  </w:abstractNum>
  <w:abstractNum w:abstractNumId="42" w15:restartNumberingAfterBreak="0">
    <w:nsid w:val="77F12A61"/>
    <w:multiLevelType w:val="hybridMultilevel"/>
    <w:tmpl w:val="B852986C"/>
    <w:lvl w:ilvl="0" w:tplc="0AB292AE">
      <w:start w:val="1"/>
      <w:numFmt w:val="decimal"/>
      <w:lvlText w:val="%1)"/>
      <w:lvlJc w:val="left"/>
      <w:pPr>
        <w:ind w:left="927" w:hanging="360"/>
      </w:pPr>
      <w:rPr>
        <w:rFonts w:hint="default"/>
        <w:b/>
        <w:sz w:val="24"/>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3" w15:restartNumberingAfterBreak="0">
    <w:nsid w:val="784137B7"/>
    <w:multiLevelType w:val="hybridMultilevel"/>
    <w:tmpl w:val="AA064046"/>
    <w:lvl w:ilvl="0" w:tplc="080A0001">
      <w:start w:val="1"/>
      <w:numFmt w:val="bullet"/>
      <w:lvlText w:val=""/>
      <w:lvlJc w:val="left"/>
      <w:pPr>
        <w:ind w:left="927" w:hanging="360"/>
      </w:pPr>
      <w:rPr>
        <w:rFonts w:ascii="Symbol" w:hAnsi="Symbo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4" w15:restartNumberingAfterBreak="0">
    <w:nsid w:val="7AF8402A"/>
    <w:multiLevelType w:val="hybridMultilevel"/>
    <w:tmpl w:val="7FEE6F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C7E4ABA"/>
    <w:multiLevelType w:val="hybridMultilevel"/>
    <w:tmpl w:val="218EAA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28"/>
  </w:num>
  <w:num w:numId="3">
    <w:abstractNumId w:val="0"/>
  </w:num>
  <w:num w:numId="4">
    <w:abstractNumId w:val="18"/>
  </w:num>
  <w:num w:numId="5">
    <w:abstractNumId w:val="4"/>
  </w:num>
  <w:num w:numId="6">
    <w:abstractNumId w:val="21"/>
  </w:num>
  <w:num w:numId="7">
    <w:abstractNumId w:val="34"/>
  </w:num>
  <w:num w:numId="8">
    <w:abstractNumId w:val="20"/>
  </w:num>
  <w:num w:numId="9">
    <w:abstractNumId w:val="32"/>
  </w:num>
  <w:num w:numId="10">
    <w:abstractNumId w:val="38"/>
  </w:num>
  <w:num w:numId="11">
    <w:abstractNumId w:val="29"/>
  </w:num>
  <w:num w:numId="12">
    <w:abstractNumId w:val="39"/>
  </w:num>
  <w:num w:numId="13">
    <w:abstractNumId w:val="25"/>
  </w:num>
  <w:num w:numId="14">
    <w:abstractNumId w:val="8"/>
  </w:num>
  <w:num w:numId="15">
    <w:abstractNumId w:val="23"/>
  </w:num>
  <w:num w:numId="16">
    <w:abstractNumId w:val="5"/>
  </w:num>
  <w:num w:numId="17">
    <w:abstractNumId w:val="36"/>
  </w:num>
  <w:num w:numId="18">
    <w:abstractNumId w:val="26"/>
  </w:num>
  <w:num w:numId="19">
    <w:abstractNumId w:val="14"/>
  </w:num>
  <w:num w:numId="20">
    <w:abstractNumId w:val="16"/>
  </w:num>
  <w:num w:numId="21">
    <w:abstractNumId w:val="18"/>
  </w:num>
  <w:num w:numId="22">
    <w:abstractNumId w:val="9"/>
  </w:num>
  <w:num w:numId="23">
    <w:abstractNumId w:val="18"/>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41"/>
  </w:num>
  <w:num w:numId="26">
    <w:abstractNumId w:val="24"/>
  </w:num>
  <w:num w:numId="27">
    <w:abstractNumId w:val="30"/>
  </w:num>
  <w:num w:numId="28">
    <w:abstractNumId w:val="19"/>
  </w:num>
  <w:num w:numId="29">
    <w:abstractNumId w:val="33"/>
  </w:num>
  <w:num w:numId="30">
    <w:abstractNumId w:val="27"/>
  </w:num>
  <w:num w:numId="31">
    <w:abstractNumId w:val="44"/>
  </w:num>
  <w:num w:numId="32">
    <w:abstractNumId w:val="35"/>
  </w:num>
  <w:num w:numId="33">
    <w:abstractNumId w:val="22"/>
  </w:num>
  <w:num w:numId="34">
    <w:abstractNumId w:val="7"/>
  </w:num>
  <w:num w:numId="35">
    <w:abstractNumId w:val="6"/>
  </w:num>
  <w:num w:numId="36">
    <w:abstractNumId w:val="10"/>
  </w:num>
  <w:num w:numId="37">
    <w:abstractNumId w:val="13"/>
  </w:num>
  <w:num w:numId="38">
    <w:abstractNumId w:val="37"/>
  </w:num>
  <w:num w:numId="39">
    <w:abstractNumId w:val="42"/>
  </w:num>
  <w:num w:numId="40">
    <w:abstractNumId w:val="40"/>
  </w:num>
  <w:num w:numId="41">
    <w:abstractNumId w:val="43"/>
  </w:num>
  <w:num w:numId="42">
    <w:abstractNumId w:val="17"/>
  </w:num>
  <w:num w:numId="43">
    <w:abstractNumId w:val="31"/>
  </w:num>
  <w:num w:numId="44">
    <w:abstractNumId w:val="11"/>
  </w:num>
  <w:num w:numId="45">
    <w:abstractNumId w:val="15"/>
  </w:num>
  <w:num w:numId="46">
    <w:abstractNumId w:val="2"/>
  </w:num>
  <w:num w:numId="47">
    <w:abstractNumId w:val="1"/>
  </w:num>
  <w:num w:numId="48">
    <w:abstractNumId w:val="12"/>
  </w:num>
  <w:num w:numId="49">
    <w:abstractNumId w:val="4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1265"/>
    <w:rsid w:val="00001558"/>
    <w:rsid w:val="000021A0"/>
    <w:rsid w:val="0000310F"/>
    <w:rsid w:val="0000381E"/>
    <w:rsid w:val="00003A05"/>
    <w:rsid w:val="0000407F"/>
    <w:rsid w:val="000058E3"/>
    <w:rsid w:val="0000797D"/>
    <w:rsid w:val="00007E8A"/>
    <w:rsid w:val="000100D7"/>
    <w:rsid w:val="0001106B"/>
    <w:rsid w:val="00011B17"/>
    <w:rsid w:val="00011F17"/>
    <w:rsid w:val="00012472"/>
    <w:rsid w:val="000128B5"/>
    <w:rsid w:val="0001398B"/>
    <w:rsid w:val="00014006"/>
    <w:rsid w:val="000152B8"/>
    <w:rsid w:val="0001539E"/>
    <w:rsid w:val="000160F8"/>
    <w:rsid w:val="000170F8"/>
    <w:rsid w:val="000203D3"/>
    <w:rsid w:val="000204A6"/>
    <w:rsid w:val="000211F8"/>
    <w:rsid w:val="0002146F"/>
    <w:rsid w:val="0002239D"/>
    <w:rsid w:val="000223F0"/>
    <w:rsid w:val="00022D89"/>
    <w:rsid w:val="000236A3"/>
    <w:rsid w:val="00024849"/>
    <w:rsid w:val="00024F35"/>
    <w:rsid w:val="00025127"/>
    <w:rsid w:val="00025266"/>
    <w:rsid w:val="0003063D"/>
    <w:rsid w:val="00031D37"/>
    <w:rsid w:val="00031F10"/>
    <w:rsid w:val="00031F98"/>
    <w:rsid w:val="00032493"/>
    <w:rsid w:val="00037A0E"/>
    <w:rsid w:val="0004072A"/>
    <w:rsid w:val="0004193F"/>
    <w:rsid w:val="00041DCC"/>
    <w:rsid w:val="00042380"/>
    <w:rsid w:val="00044DB9"/>
    <w:rsid w:val="000450E1"/>
    <w:rsid w:val="0004686A"/>
    <w:rsid w:val="000468E2"/>
    <w:rsid w:val="00046CEE"/>
    <w:rsid w:val="000478BA"/>
    <w:rsid w:val="0005237C"/>
    <w:rsid w:val="00052A3C"/>
    <w:rsid w:val="000544CE"/>
    <w:rsid w:val="00054A03"/>
    <w:rsid w:val="00056A79"/>
    <w:rsid w:val="0005777B"/>
    <w:rsid w:val="00061344"/>
    <w:rsid w:val="00061A86"/>
    <w:rsid w:val="000622ED"/>
    <w:rsid w:val="0006247F"/>
    <w:rsid w:val="00062648"/>
    <w:rsid w:val="000631D9"/>
    <w:rsid w:val="0006381D"/>
    <w:rsid w:val="00063D06"/>
    <w:rsid w:val="0006407E"/>
    <w:rsid w:val="000643B8"/>
    <w:rsid w:val="00064577"/>
    <w:rsid w:val="00064A37"/>
    <w:rsid w:val="00064B95"/>
    <w:rsid w:val="0007221E"/>
    <w:rsid w:val="00072239"/>
    <w:rsid w:val="00072C90"/>
    <w:rsid w:val="00073E80"/>
    <w:rsid w:val="00074573"/>
    <w:rsid w:val="000762A5"/>
    <w:rsid w:val="000800AC"/>
    <w:rsid w:val="00080B7D"/>
    <w:rsid w:val="0008230A"/>
    <w:rsid w:val="00082D11"/>
    <w:rsid w:val="00082E28"/>
    <w:rsid w:val="000834FE"/>
    <w:rsid w:val="0008465D"/>
    <w:rsid w:val="00084E31"/>
    <w:rsid w:val="0008542A"/>
    <w:rsid w:val="00086AD0"/>
    <w:rsid w:val="00087CFE"/>
    <w:rsid w:val="00090D6F"/>
    <w:rsid w:val="00091221"/>
    <w:rsid w:val="00091C2C"/>
    <w:rsid w:val="00091F3E"/>
    <w:rsid w:val="00092253"/>
    <w:rsid w:val="000929FF"/>
    <w:rsid w:val="00093486"/>
    <w:rsid w:val="00093FB4"/>
    <w:rsid w:val="00093FC7"/>
    <w:rsid w:val="000953E2"/>
    <w:rsid w:val="00095BB9"/>
    <w:rsid w:val="0009663D"/>
    <w:rsid w:val="000A0A85"/>
    <w:rsid w:val="000A26B8"/>
    <w:rsid w:val="000A2D61"/>
    <w:rsid w:val="000A3F90"/>
    <w:rsid w:val="000A4554"/>
    <w:rsid w:val="000A45FD"/>
    <w:rsid w:val="000A4E44"/>
    <w:rsid w:val="000A556A"/>
    <w:rsid w:val="000A76EC"/>
    <w:rsid w:val="000A77ED"/>
    <w:rsid w:val="000A7BFC"/>
    <w:rsid w:val="000B020C"/>
    <w:rsid w:val="000B0370"/>
    <w:rsid w:val="000B0E89"/>
    <w:rsid w:val="000B5AB1"/>
    <w:rsid w:val="000B5D79"/>
    <w:rsid w:val="000B6D31"/>
    <w:rsid w:val="000B750B"/>
    <w:rsid w:val="000B7C4F"/>
    <w:rsid w:val="000C0061"/>
    <w:rsid w:val="000C0663"/>
    <w:rsid w:val="000C0BBB"/>
    <w:rsid w:val="000C10B9"/>
    <w:rsid w:val="000C1D19"/>
    <w:rsid w:val="000C2E5F"/>
    <w:rsid w:val="000C3423"/>
    <w:rsid w:val="000C3861"/>
    <w:rsid w:val="000C4698"/>
    <w:rsid w:val="000C48CA"/>
    <w:rsid w:val="000C4A8E"/>
    <w:rsid w:val="000C5A04"/>
    <w:rsid w:val="000C5AF7"/>
    <w:rsid w:val="000C75E3"/>
    <w:rsid w:val="000D0855"/>
    <w:rsid w:val="000D11CC"/>
    <w:rsid w:val="000D1E0F"/>
    <w:rsid w:val="000D2B05"/>
    <w:rsid w:val="000D2DC2"/>
    <w:rsid w:val="000D3275"/>
    <w:rsid w:val="000D37E7"/>
    <w:rsid w:val="000D5A1D"/>
    <w:rsid w:val="000D62FF"/>
    <w:rsid w:val="000D69DF"/>
    <w:rsid w:val="000D7369"/>
    <w:rsid w:val="000D7394"/>
    <w:rsid w:val="000E07DC"/>
    <w:rsid w:val="000E1389"/>
    <w:rsid w:val="000E2665"/>
    <w:rsid w:val="000E2A46"/>
    <w:rsid w:val="000E5176"/>
    <w:rsid w:val="000E67FC"/>
    <w:rsid w:val="000E77B8"/>
    <w:rsid w:val="000F1508"/>
    <w:rsid w:val="000F1731"/>
    <w:rsid w:val="000F1792"/>
    <w:rsid w:val="000F1B9F"/>
    <w:rsid w:val="000F2739"/>
    <w:rsid w:val="000F27AE"/>
    <w:rsid w:val="000F2EDD"/>
    <w:rsid w:val="000F3457"/>
    <w:rsid w:val="000F37A8"/>
    <w:rsid w:val="000F55C1"/>
    <w:rsid w:val="000F5661"/>
    <w:rsid w:val="000F56C0"/>
    <w:rsid w:val="000F6BFE"/>
    <w:rsid w:val="000F6D7E"/>
    <w:rsid w:val="00100187"/>
    <w:rsid w:val="001009A9"/>
    <w:rsid w:val="00100C6D"/>
    <w:rsid w:val="00100DDD"/>
    <w:rsid w:val="001023CC"/>
    <w:rsid w:val="00102D65"/>
    <w:rsid w:val="0010333B"/>
    <w:rsid w:val="00103662"/>
    <w:rsid w:val="00103888"/>
    <w:rsid w:val="00104148"/>
    <w:rsid w:val="00107499"/>
    <w:rsid w:val="00107557"/>
    <w:rsid w:val="00111418"/>
    <w:rsid w:val="0011167C"/>
    <w:rsid w:val="00111F02"/>
    <w:rsid w:val="0011279B"/>
    <w:rsid w:val="00112B02"/>
    <w:rsid w:val="00112F09"/>
    <w:rsid w:val="00114A21"/>
    <w:rsid w:val="00115C8B"/>
    <w:rsid w:val="00115E30"/>
    <w:rsid w:val="00115F2B"/>
    <w:rsid w:val="00116127"/>
    <w:rsid w:val="00117441"/>
    <w:rsid w:val="0012006D"/>
    <w:rsid w:val="00121F4A"/>
    <w:rsid w:val="00122E4B"/>
    <w:rsid w:val="0012380D"/>
    <w:rsid w:val="00123CC2"/>
    <w:rsid w:val="00124015"/>
    <w:rsid w:val="00124BBC"/>
    <w:rsid w:val="00124CF1"/>
    <w:rsid w:val="001250B4"/>
    <w:rsid w:val="001253D1"/>
    <w:rsid w:val="001277ED"/>
    <w:rsid w:val="00127E68"/>
    <w:rsid w:val="001318D2"/>
    <w:rsid w:val="00132C06"/>
    <w:rsid w:val="00133B79"/>
    <w:rsid w:val="00133CE5"/>
    <w:rsid w:val="00134AEC"/>
    <w:rsid w:val="001352E5"/>
    <w:rsid w:val="00135C45"/>
    <w:rsid w:val="00135DD5"/>
    <w:rsid w:val="0013673A"/>
    <w:rsid w:val="00136781"/>
    <w:rsid w:val="0013695B"/>
    <w:rsid w:val="0013752C"/>
    <w:rsid w:val="00140206"/>
    <w:rsid w:val="00140D44"/>
    <w:rsid w:val="001417ED"/>
    <w:rsid w:val="00142648"/>
    <w:rsid w:val="00142896"/>
    <w:rsid w:val="00143219"/>
    <w:rsid w:val="001436BB"/>
    <w:rsid w:val="001437CC"/>
    <w:rsid w:val="00143BD1"/>
    <w:rsid w:val="001459C8"/>
    <w:rsid w:val="001468E9"/>
    <w:rsid w:val="00147864"/>
    <w:rsid w:val="00151114"/>
    <w:rsid w:val="0015233C"/>
    <w:rsid w:val="00152F19"/>
    <w:rsid w:val="001534BC"/>
    <w:rsid w:val="00153833"/>
    <w:rsid w:val="00153FA4"/>
    <w:rsid w:val="00154304"/>
    <w:rsid w:val="0015466E"/>
    <w:rsid w:val="00154765"/>
    <w:rsid w:val="001548CB"/>
    <w:rsid w:val="00154EF0"/>
    <w:rsid w:val="00156A23"/>
    <w:rsid w:val="00160FDB"/>
    <w:rsid w:val="001611E5"/>
    <w:rsid w:val="001619E4"/>
    <w:rsid w:val="00161E95"/>
    <w:rsid w:val="001631F7"/>
    <w:rsid w:val="001636EB"/>
    <w:rsid w:val="00163780"/>
    <w:rsid w:val="0016383D"/>
    <w:rsid w:val="00163B1F"/>
    <w:rsid w:val="001648EE"/>
    <w:rsid w:val="00164B65"/>
    <w:rsid w:val="00165105"/>
    <w:rsid w:val="001656F2"/>
    <w:rsid w:val="00166794"/>
    <w:rsid w:val="00166C3F"/>
    <w:rsid w:val="00167813"/>
    <w:rsid w:val="0017273C"/>
    <w:rsid w:val="001732E3"/>
    <w:rsid w:val="00174E02"/>
    <w:rsid w:val="0017653A"/>
    <w:rsid w:val="00176AD0"/>
    <w:rsid w:val="001775DF"/>
    <w:rsid w:val="00185460"/>
    <w:rsid w:val="001862A3"/>
    <w:rsid w:val="00186F78"/>
    <w:rsid w:val="0019069A"/>
    <w:rsid w:val="00190C3D"/>
    <w:rsid w:val="00192E4B"/>
    <w:rsid w:val="00194D62"/>
    <w:rsid w:val="001961E4"/>
    <w:rsid w:val="00196407"/>
    <w:rsid w:val="00197091"/>
    <w:rsid w:val="001972CC"/>
    <w:rsid w:val="001A032D"/>
    <w:rsid w:val="001A0C28"/>
    <w:rsid w:val="001A138D"/>
    <w:rsid w:val="001A2857"/>
    <w:rsid w:val="001A2A89"/>
    <w:rsid w:val="001A2C62"/>
    <w:rsid w:val="001A3634"/>
    <w:rsid w:val="001A4261"/>
    <w:rsid w:val="001A4D5D"/>
    <w:rsid w:val="001A5150"/>
    <w:rsid w:val="001A58B9"/>
    <w:rsid w:val="001A61E1"/>
    <w:rsid w:val="001A6C1E"/>
    <w:rsid w:val="001A7A87"/>
    <w:rsid w:val="001B30F9"/>
    <w:rsid w:val="001B32B2"/>
    <w:rsid w:val="001B3659"/>
    <w:rsid w:val="001B3E61"/>
    <w:rsid w:val="001B40F3"/>
    <w:rsid w:val="001B53A0"/>
    <w:rsid w:val="001B5F70"/>
    <w:rsid w:val="001B61F1"/>
    <w:rsid w:val="001B6845"/>
    <w:rsid w:val="001B6B2E"/>
    <w:rsid w:val="001C0AED"/>
    <w:rsid w:val="001C13B1"/>
    <w:rsid w:val="001C1C2A"/>
    <w:rsid w:val="001C1CDE"/>
    <w:rsid w:val="001C20E8"/>
    <w:rsid w:val="001C263B"/>
    <w:rsid w:val="001C2713"/>
    <w:rsid w:val="001C2EF3"/>
    <w:rsid w:val="001C34D6"/>
    <w:rsid w:val="001C4F63"/>
    <w:rsid w:val="001C54A9"/>
    <w:rsid w:val="001C6012"/>
    <w:rsid w:val="001C67B0"/>
    <w:rsid w:val="001C695B"/>
    <w:rsid w:val="001C79FA"/>
    <w:rsid w:val="001C7F2D"/>
    <w:rsid w:val="001D07C9"/>
    <w:rsid w:val="001D195D"/>
    <w:rsid w:val="001D3AB5"/>
    <w:rsid w:val="001D62F7"/>
    <w:rsid w:val="001D726F"/>
    <w:rsid w:val="001D7D8F"/>
    <w:rsid w:val="001D7DF0"/>
    <w:rsid w:val="001D7E82"/>
    <w:rsid w:val="001E018C"/>
    <w:rsid w:val="001E0AD2"/>
    <w:rsid w:val="001E1094"/>
    <w:rsid w:val="001E3596"/>
    <w:rsid w:val="001E3F91"/>
    <w:rsid w:val="001E4152"/>
    <w:rsid w:val="001E489D"/>
    <w:rsid w:val="001E4C30"/>
    <w:rsid w:val="001E50B9"/>
    <w:rsid w:val="001E5BE5"/>
    <w:rsid w:val="001E5C94"/>
    <w:rsid w:val="001E62A1"/>
    <w:rsid w:val="001E6822"/>
    <w:rsid w:val="001E74A5"/>
    <w:rsid w:val="001E7B9E"/>
    <w:rsid w:val="001F025B"/>
    <w:rsid w:val="001F2B8C"/>
    <w:rsid w:val="001F3773"/>
    <w:rsid w:val="001F783F"/>
    <w:rsid w:val="001F7AFD"/>
    <w:rsid w:val="001F7DE2"/>
    <w:rsid w:val="002001BE"/>
    <w:rsid w:val="00200C0D"/>
    <w:rsid w:val="00202737"/>
    <w:rsid w:val="002031F3"/>
    <w:rsid w:val="002058A7"/>
    <w:rsid w:val="00205A1A"/>
    <w:rsid w:val="00206B83"/>
    <w:rsid w:val="00207665"/>
    <w:rsid w:val="00211229"/>
    <w:rsid w:val="00211E8C"/>
    <w:rsid w:val="00212C9C"/>
    <w:rsid w:val="00212FCA"/>
    <w:rsid w:val="00213108"/>
    <w:rsid w:val="0021356B"/>
    <w:rsid w:val="0021453E"/>
    <w:rsid w:val="0021475E"/>
    <w:rsid w:val="00216B8B"/>
    <w:rsid w:val="00216D2F"/>
    <w:rsid w:val="002179AC"/>
    <w:rsid w:val="00220ADB"/>
    <w:rsid w:val="002217BA"/>
    <w:rsid w:val="00221DDC"/>
    <w:rsid w:val="00221E74"/>
    <w:rsid w:val="00223507"/>
    <w:rsid w:val="00223ACC"/>
    <w:rsid w:val="00223BA6"/>
    <w:rsid w:val="00223F1A"/>
    <w:rsid w:val="0022448D"/>
    <w:rsid w:val="002275DE"/>
    <w:rsid w:val="0022774F"/>
    <w:rsid w:val="00230170"/>
    <w:rsid w:val="002305CF"/>
    <w:rsid w:val="00233E08"/>
    <w:rsid w:val="002345FF"/>
    <w:rsid w:val="00234CD2"/>
    <w:rsid w:val="00236319"/>
    <w:rsid w:val="00237611"/>
    <w:rsid w:val="002408D7"/>
    <w:rsid w:val="002426EA"/>
    <w:rsid w:val="00244458"/>
    <w:rsid w:val="00244476"/>
    <w:rsid w:val="002457CF"/>
    <w:rsid w:val="00250126"/>
    <w:rsid w:val="002507D8"/>
    <w:rsid w:val="00252A20"/>
    <w:rsid w:val="00252B41"/>
    <w:rsid w:val="00253C63"/>
    <w:rsid w:val="00254362"/>
    <w:rsid w:val="0025524F"/>
    <w:rsid w:val="00257E5F"/>
    <w:rsid w:val="00260C1D"/>
    <w:rsid w:val="00261001"/>
    <w:rsid w:val="00261A42"/>
    <w:rsid w:val="00261D84"/>
    <w:rsid w:val="002629A6"/>
    <w:rsid w:val="00262C1D"/>
    <w:rsid w:val="002630E4"/>
    <w:rsid w:val="00263F23"/>
    <w:rsid w:val="00264D02"/>
    <w:rsid w:val="0026500D"/>
    <w:rsid w:val="00265CD7"/>
    <w:rsid w:val="00266588"/>
    <w:rsid w:val="002665BD"/>
    <w:rsid w:val="002679DD"/>
    <w:rsid w:val="00271B06"/>
    <w:rsid w:val="00272FEC"/>
    <w:rsid w:val="00273013"/>
    <w:rsid w:val="00273C37"/>
    <w:rsid w:val="00273D1A"/>
    <w:rsid w:val="0027430D"/>
    <w:rsid w:val="002746D9"/>
    <w:rsid w:val="00274ED2"/>
    <w:rsid w:val="0027504E"/>
    <w:rsid w:val="00275260"/>
    <w:rsid w:val="002765F2"/>
    <w:rsid w:val="00277A35"/>
    <w:rsid w:val="00280994"/>
    <w:rsid w:val="00280E3F"/>
    <w:rsid w:val="00280F05"/>
    <w:rsid w:val="00281DE0"/>
    <w:rsid w:val="0028248C"/>
    <w:rsid w:val="00284ECC"/>
    <w:rsid w:val="00285BA4"/>
    <w:rsid w:val="00286DDB"/>
    <w:rsid w:val="002871EB"/>
    <w:rsid w:val="00293711"/>
    <w:rsid w:val="002948C4"/>
    <w:rsid w:val="00294B11"/>
    <w:rsid w:val="002977BE"/>
    <w:rsid w:val="00297A63"/>
    <w:rsid w:val="00297E45"/>
    <w:rsid w:val="002A2099"/>
    <w:rsid w:val="002A222E"/>
    <w:rsid w:val="002A229B"/>
    <w:rsid w:val="002A35B6"/>
    <w:rsid w:val="002A4172"/>
    <w:rsid w:val="002A43A4"/>
    <w:rsid w:val="002A4516"/>
    <w:rsid w:val="002A54DE"/>
    <w:rsid w:val="002A7A1C"/>
    <w:rsid w:val="002A7DEF"/>
    <w:rsid w:val="002A7FAB"/>
    <w:rsid w:val="002B085C"/>
    <w:rsid w:val="002B1AE9"/>
    <w:rsid w:val="002B2278"/>
    <w:rsid w:val="002B284F"/>
    <w:rsid w:val="002B2A2E"/>
    <w:rsid w:val="002B2F59"/>
    <w:rsid w:val="002B309C"/>
    <w:rsid w:val="002B4D21"/>
    <w:rsid w:val="002B7A58"/>
    <w:rsid w:val="002C0074"/>
    <w:rsid w:val="002C0159"/>
    <w:rsid w:val="002C0804"/>
    <w:rsid w:val="002C0DC5"/>
    <w:rsid w:val="002C1007"/>
    <w:rsid w:val="002C2460"/>
    <w:rsid w:val="002C2D44"/>
    <w:rsid w:val="002C42F3"/>
    <w:rsid w:val="002C4715"/>
    <w:rsid w:val="002C4780"/>
    <w:rsid w:val="002C47ED"/>
    <w:rsid w:val="002C484A"/>
    <w:rsid w:val="002C4DBD"/>
    <w:rsid w:val="002C570D"/>
    <w:rsid w:val="002C6561"/>
    <w:rsid w:val="002C6DB3"/>
    <w:rsid w:val="002D0E3D"/>
    <w:rsid w:val="002D10C8"/>
    <w:rsid w:val="002D147E"/>
    <w:rsid w:val="002D1A38"/>
    <w:rsid w:val="002D1A9E"/>
    <w:rsid w:val="002D1AA7"/>
    <w:rsid w:val="002D1EBB"/>
    <w:rsid w:val="002D28CB"/>
    <w:rsid w:val="002D2E16"/>
    <w:rsid w:val="002D356E"/>
    <w:rsid w:val="002D35AE"/>
    <w:rsid w:val="002D373C"/>
    <w:rsid w:val="002D65BC"/>
    <w:rsid w:val="002D6CF5"/>
    <w:rsid w:val="002E0259"/>
    <w:rsid w:val="002E126F"/>
    <w:rsid w:val="002E160F"/>
    <w:rsid w:val="002E191E"/>
    <w:rsid w:val="002E1C05"/>
    <w:rsid w:val="002E2FCB"/>
    <w:rsid w:val="002E3FAE"/>
    <w:rsid w:val="002E482C"/>
    <w:rsid w:val="002E5399"/>
    <w:rsid w:val="002E5A0B"/>
    <w:rsid w:val="002E6295"/>
    <w:rsid w:val="002E6531"/>
    <w:rsid w:val="002E66CA"/>
    <w:rsid w:val="002E689B"/>
    <w:rsid w:val="002E6CFE"/>
    <w:rsid w:val="002E6D27"/>
    <w:rsid w:val="002E74CE"/>
    <w:rsid w:val="002E76FD"/>
    <w:rsid w:val="002E77D0"/>
    <w:rsid w:val="002E7AD0"/>
    <w:rsid w:val="002F0AA9"/>
    <w:rsid w:val="002F0EDC"/>
    <w:rsid w:val="002F1781"/>
    <w:rsid w:val="002F1871"/>
    <w:rsid w:val="002F3672"/>
    <w:rsid w:val="002F37C1"/>
    <w:rsid w:val="002F4E26"/>
    <w:rsid w:val="002F5665"/>
    <w:rsid w:val="002F6FF0"/>
    <w:rsid w:val="002F72FA"/>
    <w:rsid w:val="002F7C3D"/>
    <w:rsid w:val="002F7D11"/>
    <w:rsid w:val="00300352"/>
    <w:rsid w:val="003007E0"/>
    <w:rsid w:val="0030150B"/>
    <w:rsid w:val="00301B41"/>
    <w:rsid w:val="00301D47"/>
    <w:rsid w:val="003030B1"/>
    <w:rsid w:val="00303717"/>
    <w:rsid w:val="003037AE"/>
    <w:rsid w:val="00303E86"/>
    <w:rsid w:val="00304013"/>
    <w:rsid w:val="00304056"/>
    <w:rsid w:val="00304137"/>
    <w:rsid w:val="003046AA"/>
    <w:rsid w:val="003049F3"/>
    <w:rsid w:val="00304CDF"/>
    <w:rsid w:val="00304E81"/>
    <w:rsid w:val="00305BB3"/>
    <w:rsid w:val="00305F6D"/>
    <w:rsid w:val="003064B8"/>
    <w:rsid w:val="00306E7D"/>
    <w:rsid w:val="00307194"/>
    <w:rsid w:val="00307227"/>
    <w:rsid w:val="003076B1"/>
    <w:rsid w:val="0030794F"/>
    <w:rsid w:val="003105D0"/>
    <w:rsid w:val="003105D6"/>
    <w:rsid w:val="00310B1D"/>
    <w:rsid w:val="00310D66"/>
    <w:rsid w:val="003111C5"/>
    <w:rsid w:val="00311481"/>
    <w:rsid w:val="003115F5"/>
    <w:rsid w:val="003116A6"/>
    <w:rsid w:val="00311863"/>
    <w:rsid w:val="00312733"/>
    <w:rsid w:val="00316065"/>
    <w:rsid w:val="00317319"/>
    <w:rsid w:val="00317883"/>
    <w:rsid w:val="003179DA"/>
    <w:rsid w:val="00317EFF"/>
    <w:rsid w:val="00320B6E"/>
    <w:rsid w:val="00321141"/>
    <w:rsid w:val="00321AA3"/>
    <w:rsid w:val="00321AE9"/>
    <w:rsid w:val="00321EEE"/>
    <w:rsid w:val="00323895"/>
    <w:rsid w:val="00325738"/>
    <w:rsid w:val="003257EE"/>
    <w:rsid w:val="0032586C"/>
    <w:rsid w:val="00326579"/>
    <w:rsid w:val="00327D79"/>
    <w:rsid w:val="00332BCD"/>
    <w:rsid w:val="00332E6B"/>
    <w:rsid w:val="003337F3"/>
    <w:rsid w:val="00333A85"/>
    <w:rsid w:val="00333BE8"/>
    <w:rsid w:val="003344DB"/>
    <w:rsid w:val="00335793"/>
    <w:rsid w:val="00335898"/>
    <w:rsid w:val="00335BFE"/>
    <w:rsid w:val="00335E9C"/>
    <w:rsid w:val="0033608B"/>
    <w:rsid w:val="0033675D"/>
    <w:rsid w:val="0033729C"/>
    <w:rsid w:val="00337941"/>
    <w:rsid w:val="003407D0"/>
    <w:rsid w:val="0034181B"/>
    <w:rsid w:val="0034219E"/>
    <w:rsid w:val="00342C51"/>
    <w:rsid w:val="00345856"/>
    <w:rsid w:val="0034595C"/>
    <w:rsid w:val="00345B79"/>
    <w:rsid w:val="00345D0F"/>
    <w:rsid w:val="0034614E"/>
    <w:rsid w:val="00346885"/>
    <w:rsid w:val="003472B3"/>
    <w:rsid w:val="0035066B"/>
    <w:rsid w:val="0035104F"/>
    <w:rsid w:val="003522BF"/>
    <w:rsid w:val="00352847"/>
    <w:rsid w:val="00352901"/>
    <w:rsid w:val="00355AEE"/>
    <w:rsid w:val="00355D3B"/>
    <w:rsid w:val="0035606B"/>
    <w:rsid w:val="0036073F"/>
    <w:rsid w:val="003615A3"/>
    <w:rsid w:val="003616E0"/>
    <w:rsid w:val="00361758"/>
    <w:rsid w:val="00361C38"/>
    <w:rsid w:val="003629EE"/>
    <w:rsid w:val="003643B3"/>
    <w:rsid w:val="00364564"/>
    <w:rsid w:val="00365135"/>
    <w:rsid w:val="00370102"/>
    <w:rsid w:val="003708DD"/>
    <w:rsid w:val="00370B8E"/>
    <w:rsid w:val="00370BB1"/>
    <w:rsid w:val="003718A1"/>
    <w:rsid w:val="003721B2"/>
    <w:rsid w:val="00372328"/>
    <w:rsid w:val="00374557"/>
    <w:rsid w:val="00374B45"/>
    <w:rsid w:val="00374CE8"/>
    <w:rsid w:val="003762FD"/>
    <w:rsid w:val="00376FD2"/>
    <w:rsid w:val="00377278"/>
    <w:rsid w:val="0038132B"/>
    <w:rsid w:val="00382196"/>
    <w:rsid w:val="00383E66"/>
    <w:rsid w:val="00384AE2"/>
    <w:rsid w:val="00384F2B"/>
    <w:rsid w:val="003854D2"/>
    <w:rsid w:val="00385699"/>
    <w:rsid w:val="003856AC"/>
    <w:rsid w:val="00387DC9"/>
    <w:rsid w:val="00390D23"/>
    <w:rsid w:val="0039142B"/>
    <w:rsid w:val="0039193E"/>
    <w:rsid w:val="00391ADA"/>
    <w:rsid w:val="00392CDB"/>
    <w:rsid w:val="003936A8"/>
    <w:rsid w:val="0039380F"/>
    <w:rsid w:val="00393B71"/>
    <w:rsid w:val="00394095"/>
    <w:rsid w:val="003940F6"/>
    <w:rsid w:val="003948DE"/>
    <w:rsid w:val="00394DF8"/>
    <w:rsid w:val="00394E80"/>
    <w:rsid w:val="00395353"/>
    <w:rsid w:val="003955D3"/>
    <w:rsid w:val="00396545"/>
    <w:rsid w:val="0039671B"/>
    <w:rsid w:val="00396F3B"/>
    <w:rsid w:val="00396F71"/>
    <w:rsid w:val="00397A93"/>
    <w:rsid w:val="003A03D0"/>
    <w:rsid w:val="003A04FF"/>
    <w:rsid w:val="003A05C7"/>
    <w:rsid w:val="003A18C0"/>
    <w:rsid w:val="003A1B01"/>
    <w:rsid w:val="003A2029"/>
    <w:rsid w:val="003A2D8F"/>
    <w:rsid w:val="003A30C1"/>
    <w:rsid w:val="003A40C9"/>
    <w:rsid w:val="003A4320"/>
    <w:rsid w:val="003A6080"/>
    <w:rsid w:val="003A6417"/>
    <w:rsid w:val="003A65FE"/>
    <w:rsid w:val="003A6A5A"/>
    <w:rsid w:val="003A7221"/>
    <w:rsid w:val="003A730E"/>
    <w:rsid w:val="003B1CEE"/>
    <w:rsid w:val="003B1D5E"/>
    <w:rsid w:val="003B2199"/>
    <w:rsid w:val="003B2693"/>
    <w:rsid w:val="003B2856"/>
    <w:rsid w:val="003B2A0D"/>
    <w:rsid w:val="003B2CD6"/>
    <w:rsid w:val="003B31FA"/>
    <w:rsid w:val="003B55AD"/>
    <w:rsid w:val="003B5FD2"/>
    <w:rsid w:val="003B63E1"/>
    <w:rsid w:val="003B7EC4"/>
    <w:rsid w:val="003C183D"/>
    <w:rsid w:val="003C1B1B"/>
    <w:rsid w:val="003C7282"/>
    <w:rsid w:val="003D00D5"/>
    <w:rsid w:val="003D0A29"/>
    <w:rsid w:val="003D0BC7"/>
    <w:rsid w:val="003D181D"/>
    <w:rsid w:val="003D20C4"/>
    <w:rsid w:val="003D2A8E"/>
    <w:rsid w:val="003D379C"/>
    <w:rsid w:val="003D4163"/>
    <w:rsid w:val="003D46D0"/>
    <w:rsid w:val="003D5661"/>
    <w:rsid w:val="003D6C5D"/>
    <w:rsid w:val="003D792A"/>
    <w:rsid w:val="003E2E98"/>
    <w:rsid w:val="003E4096"/>
    <w:rsid w:val="003E4701"/>
    <w:rsid w:val="003E6079"/>
    <w:rsid w:val="003E6128"/>
    <w:rsid w:val="003E6679"/>
    <w:rsid w:val="003E6D0F"/>
    <w:rsid w:val="003E712E"/>
    <w:rsid w:val="003F0DDA"/>
    <w:rsid w:val="003F140F"/>
    <w:rsid w:val="003F15DB"/>
    <w:rsid w:val="003F1A79"/>
    <w:rsid w:val="003F1FFB"/>
    <w:rsid w:val="003F2190"/>
    <w:rsid w:val="003F2702"/>
    <w:rsid w:val="003F2778"/>
    <w:rsid w:val="003F2CBE"/>
    <w:rsid w:val="003F2E6E"/>
    <w:rsid w:val="003F36A4"/>
    <w:rsid w:val="003F4900"/>
    <w:rsid w:val="003F4A7B"/>
    <w:rsid w:val="003F70CA"/>
    <w:rsid w:val="003F7823"/>
    <w:rsid w:val="004002D0"/>
    <w:rsid w:val="00400E76"/>
    <w:rsid w:val="0040137F"/>
    <w:rsid w:val="00402179"/>
    <w:rsid w:val="0040278D"/>
    <w:rsid w:val="00402B2F"/>
    <w:rsid w:val="00402F25"/>
    <w:rsid w:val="00403249"/>
    <w:rsid w:val="004078C8"/>
    <w:rsid w:val="004102DE"/>
    <w:rsid w:val="00411FFF"/>
    <w:rsid w:val="00412696"/>
    <w:rsid w:val="00412E24"/>
    <w:rsid w:val="004130AB"/>
    <w:rsid w:val="00413D35"/>
    <w:rsid w:val="004144F7"/>
    <w:rsid w:val="004147B1"/>
    <w:rsid w:val="00416727"/>
    <w:rsid w:val="0042068A"/>
    <w:rsid w:val="0042267F"/>
    <w:rsid w:val="00424246"/>
    <w:rsid w:val="0042437A"/>
    <w:rsid w:val="00424992"/>
    <w:rsid w:val="00424E72"/>
    <w:rsid w:val="00425F0D"/>
    <w:rsid w:val="00426D7C"/>
    <w:rsid w:val="00427621"/>
    <w:rsid w:val="004300ED"/>
    <w:rsid w:val="00431687"/>
    <w:rsid w:val="00432B72"/>
    <w:rsid w:val="00433016"/>
    <w:rsid w:val="004333EB"/>
    <w:rsid w:val="004342F1"/>
    <w:rsid w:val="004349C0"/>
    <w:rsid w:val="004351E8"/>
    <w:rsid w:val="00435602"/>
    <w:rsid w:val="004364EE"/>
    <w:rsid w:val="00437702"/>
    <w:rsid w:val="00437909"/>
    <w:rsid w:val="004401B5"/>
    <w:rsid w:val="0044066C"/>
    <w:rsid w:val="00440800"/>
    <w:rsid w:val="004413DD"/>
    <w:rsid w:val="00442393"/>
    <w:rsid w:val="00442E71"/>
    <w:rsid w:val="004436D7"/>
    <w:rsid w:val="00443DCB"/>
    <w:rsid w:val="00443DEB"/>
    <w:rsid w:val="0044535B"/>
    <w:rsid w:val="00445CA7"/>
    <w:rsid w:val="00445FDA"/>
    <w:rsid w:val="004466B2"/>
    <w:rsid w:val="004473B2"/>
    <w:rsid w:val="00447F0D"/>
    <w:rsid w:val="00450A5F"/>
    <w:rsid w:val="00451514"/>
    <w:rsid w:val="00451B95"/>
    <w:rsid w:val="00453BB4"/>
    <w:rsid w:val="00454B9D"/>
    <w:rsid w:val="00456317"/>
    <w:rsid w:val="00456348"/>
    <w:rsid w:val="004572A1"/>
    <w:rsid w:val="00457D45"/>
    <w:rsid w:val="00457F74"/>
    <w:rsid w:val="00460D39"/>
    <w:rsid w:val="004613B1"/>
    <w:rsid w:val="00461F2A"/>
    <w:rsid w:val="0046231E"/>
    <w:rsid w:val="00462526"/>
    <w:rsid w:val="0046294C"/>
    <w:rsid w:val="00463239"/>
    <w:rsid w:val="0046340E"/>
    <w:rsid w:val="004635E2"/>
    <w:rsid w:val="00464CB6"/>
    <w:rsid w:val="0046532D"/>
    <w:rsid w:val="0046566E"/>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3BC"/>
    <w:rsid w:val="0048658E"/>
    <w:rsid w:val="00487D6A"/>
    <w:rsid w:val="004911B6"/>
    <w:rsid w:val="00491C96"/>
    <w:rsid w:val="004923B6"/>
    <w:rsid w:val="00493C7B"/>
    <w:rsid w:val="00494294"/>
    <w:rsid w:val="00495611"/>
    <w:rsid w:val="00495C02"/>
    <w:rsid w:val="004961DA"/>
    <w:rsid w:val="00496359"/>
    <w:rsid w:val="00496510"/>
    <w:rsid w:val="00497529"/>
    <w:rsid w:val="00497926"/>
    <w:rsid w:val="004A115C"/>
    <w:rsid w:val="004A14BE"/>
    <w:rsid w:val="004A2BF5"/>
    <w:rsid w:val="004A305D"/>
    <w:rsid w:val="004A3085"/>
    <w:rsid w:val="004A3C58"/>
    <w:rsid w:val="004A3E5A"/>
    <w:rsid w:val="004A4178"/>
    <w:rsid w:val="004A4BD5"/>
    <w:rsid w:val="004A4CFD"/>
    <w:rsid w:val="004A677C"/>
    <w:rsid w:val="004A6C04"/>
    <w:rsid w:val="004B05A5"/>
    <w:rsid w:val="004B0EB6"/>
    <w:rsid w:val="004B176B"/>
    <w:rsid w:val="004B293C"/>
    <w:rsid w:val="004B2A69"/>
    <w:rsid w:val="004B3A2A"/>
    <w:rsid w:val="004B3D59"/>
    <w:rsid w:val="004B50F8"/>
    <w:rsid w:val="004B58EA"/>
    <w:rsid w:val="004B73EF"/>
    <w:rsid w:val="004C09B4"/>
    <w:rsid w:val="004C20F2"/>
    <w:rsid w:val="004C251E"/>
    <w:rsid w:val="004C3F25"/>
    <w:rsid w:val="004C4727"/>
    <w:rsid w:val="004C4E77"/>
    <w:rsid w:val="004C525E"/>
    <w:rsid w:val="004C6796"/>
    <w:rsid w:val="004C67E2"/>
    <w:rsid w:val="004C7263"/>
    <w:rsid w:val="004C7A27"/>
    <w:rsid w:val="004D0490"/>
    <w:rsid w:val="004D12F1"/>
    <w:rsid w:val="004D1805"/>
    <w:rsid w:val="004D1CB6"/>
    <w:rsid w:val="004D2229"/>
    <w:rsid w:val="004D257A"/>
    <w:rsid w:val="004D2676"/>
    <w:rsid w:val="004D3142"/>
    <w:rsid w:val="004D36A1"/>
    <w:rsid w:val="004D37D7"/>
    <w:rsid w:val="004D4509"/>
    <w:rsid w:val="004D52DD"/>
    <w:rsid w:val="004D5A26"/>
    <w:rsid w:val="004D5A36"/>
    <w:rsid w:val="004D67A2"/>
    <w:rsid w:val="004D68F8"/>
    <w:rsid w:val="004D6D19"/>
    <w:rsid w:val="004D7F7F"/>
    <w:rsid w:val="004E11D8"/>
    <w:rsid w:val="004E197E"/>
    <w:rsid w:val="004E27D2"/>
    <w:rsid w:val="004E3F7A"/>
    <w:rsid w:val="004E6E3A"/>
    <w:rsid w:val="004F0C96"/>
    <w:rsid w:val="004F0F98"/>
    <w:rsid w:val="004F1169"/>
    <w:rsid w:val="004F28A0"/>
    <w:rsid w:val="004F32E5"/>
    <w:rsid w:val="004F39A4"/>
    <w:rsid w:val="004F44C7"/>
    <w:rsid w:val="004F489F"/>
    <w:rsid w:val="004F4958"/>
    <w:rsid w:val="004F663C"/>
    <w:rsid w:val="004F766F"/>
    <w:rsid w:val="004F7768"/>
    <w:rsid w:val="004F785F"/>
    <w:rsid w:val="004F78B7"/>
    <w:rsid w:val="004F7944"/>
    <w:rsid w:val="00500224"/>
    <w:rsid w:val="00501B93"/>
    <w:rsid w:val="005041C2"/>
    <w:rsid w:val="00505CA0"/>
    <w:rsid w:val="00506989"/>
    <w:rsid w:val="00507043"/>
    <w:rsid w:val="00507C08"/>
    <w:rsid w:val="00507D18"/>
    <w:rsid w:val="0051016E"/>
    <w:rsid w:val="00511A30"/>
    <w:rsid w:val="00512C46"/>
    <w:rsid w:val="00512F22"/>
    <w:rsid w:val="00513D5C"/>
    <w:rsid w:val="005140E4"/>
    <w:rsid w:val="00514343"/>
    <w:rsid w:val="00514426"/>
    <w:rsid w:val="005152E8"/>
    <w:rsid w:val="00515DEC"/>
    <w:rsid w:val="00516603"/>
    <w:rsid w:val="005166F9"/>
    <w:rsid w:val="005167B1"/>
    <w:rsid w:val="00517A46"/>
    <w:rsid w:val="00517D20"/>
    <w:rsid w:val="00520763"/>
    <w:rsid w:val="005215EE"/>
    <w:rsid w:val="00521F15"/>
    <w:rsid w:val="00522599"/>
    <w:rsid w:val="00522F5F"/>
    <w:rsid w:val="005248B9"/>
    <w:rsid w:val="005255D3"/>
    <w:rsid w:val="00525C4F"/>
    <w:rsid w:val="00526446"/>
    <w:rsid w:val="00527495"/>
    <w:rsid w:val="00527E7A"/>
    <w:rsid w:val="00531594"/>
    <w:rsid w:val="00534A71"/>
    <w:rsid w:val="00534DA2"/>
    <w:rsid w:val="00535C87"/>
    <w:rsid w:val="00537E2C"/>
    <w:rsid w:val="00540208"/>
    <w:rsid w:val="0054098C"/>
    <w:rsid w:val="00542797"/>
    <w:rsid w:val="00542B3A"/>
    <w:rsid w:val="00544ADC"/>
    <w:rsid w:val="00544B9C"/>
    <w:rsid w:val="00544E13"/>
    <w:rsid w:val="00544EC9"/>
    <w:rsid w:val="00545B93"/>
    <w:rsid w:val="00546FBD"/>
    <w:rsid w:val="00547349"/>
    <w:rsid w:val="00550AD3"/>
    <w:rsid w:val="0055159A"/>
    <w:rsid w:val="005516E0"/>
    <w:rsid w:val="00551A9B"/>
    <w:rsid w:val="005520BF"/>
    <w:rsid w:val="00552213"/>
    <w:rsid w:val="0055252F"/>
    <w:rsid w:val="005526F4"/>
    <w:rsid w:val="0055407C"/>
    <w:rsid w:val="00554D65"/>
    <w:rsid w:val="0055544F"/>
    <w:rsid w:val="00555A48"/>
    <w:rsid w:val="00556B04"/>
    <w:rsid w:val="00556F72"/>
    <w:rsid w:val="00556F82"/>
    <w:rsid w:val="00560C00"/>
    <w:rsid w:val="00561ED1"/>
    <w:rsid w:val="00562B0A"/>
    <w:rsid w:val="00562CCE"/>
    <w:rsid w:val="00563FC3"/>
    <w:rsid w:val="0056555A"/>
    <w:rsid w:val="005669D6"/>
    <w:rsid w:val="0056788F"/>
    <w:rsid w:val="00567998"/>
    <w:rsid w:val="00567EA1"/>
    <w:rsid w:val="005710D4"/>
    <w:rsid w:val="0057176B"/>
    <w:rsid w:val="00571CE4"/>
    <w:rsid w:val="00572FB8"/>
    <w:rsid w:val="00573BC6"/>
    <w:rsid w:val="0057594C"/>
    <w:rsid w:val="005759CD"/>
    <w:rsid w:val="00575D39"/>
    <w:rsid w:val="00575F2C"/>
    <w:rsid w:val="00577884"/>
    <w:rsid w:val="00581C0F"/>
    <w:rsid w:val="00582919"/>
    <w:rsid w:val="005849B2"/>
    <w:rsid w:val="00585172"/>
    <w:rsid w:val="00586E35"/>
    <w:rsid w:val="00587366"/>
    <w:rsid w:val="0058757A"/>
    <w:rsid w:val="00587CE5"/>
    <w:rsid w:val="00590037"/>
    <w:rsid w:val="00590892"/>
    <w:rsid w:val="00590EF2"/>
    <w:rsid w:val="00593476"/>
    <w:rsid w:val="005937BC"/>
    <w:rsid w:val="005946F4"/>
    <w:rsid w:val="00594C52"/>
    <w:rsid w:val="00595511"/>
    <w:rsid w:val="00596514"/>
    <w:rsid w:val="0059679B"/>
    <w:rsid w:val="005974B4"/>
    <w:rsid w:val="00597B44"/>
    <w:rsid w:val="00597D18"/>
    <w:rsid w:val="00597F7B"/>
    <w:rsid w:val="005A094D"/>
    <w:rsid w:val="005A0D3F"/>
    <w:rsid w:val="005A1464"/>
    <w:rsid w:val="005A1FAB"/>
    <w:rsid w:val="005A228F"/>
    <w:rsid w:val="005A2A65"/>
    <w:rsid w:val="005A2F65"/>
    <w:rsid w:val="005A3513"/>
    <w:rsid w:val="005A3581"/>
    <w:rsid w:val="005A3A07"/>
    <w:rsid w:val="005A3BD7"/>
    <w:rsid w:val="005A3F61"/>
    <w:rsid w:val="005A60E1"/>
    <w:rsid w:val="005A6788"/>
    <w:rsid w:val="005A786F"/>
    <w:rsid w:val="005B0765"/>
    <w:rsid w:val="005B13E4"/>
    <w:rsid w:val="005B169C"/>
    <w:rsid w:val="005B2DD1"/>
    <w:rsid w:val="005B3A49"/>
    <w:rsid w:val="005B42D8"/>
    <w:rsid w:val="005B6244"/>
    <w:rsid w:val="005B6ADF"/>
    <w:rsid w:val="005B773D"/>
    <w:rsid w:val="005B7C5D"/>
    <w:rsid w:val="005C02B5"/>
    <w:rsid w:val="005C0821"/>
    <w:rsid w:val="005C0828"/>
    <w:rsid w:val="005C1A74"/>
    <w:rsid w:val="005C3294"/>
    <w:rsid w:val="005C347F"/>
    <w:rsid w:val="005C3B63"/>
    <w:rsid w:val="005C450C"/>
    <w:rsid w:val="005C4B7C"/>
    <w:rsid w:val="005C6961"/>
    <w:rsid w:val="005C6F55"/>
    <w:rsid w:val="005D0843"/>
    <w:rsid w:val="005D0EB4"/>
    <w:rsid w:val="005D18A6"/>
    <w:rsid w:val="005D27DD"/>
    <w:rsid w:val="005D3493"/>
    <w:rsid w:val="005D52F5"/>
    <w:rsid w:val="005D5927"/>
    <w:rsid w:val="005D622E"/>
    <w:rsid w:val="005D6617"/>
    <w:rsid w:val="005D6FF0"/>
    <w:rsid w:val="005E0930"/>
    <w:rsid w:val="005E11D5"/>
    <w:rsid w:val="005E1382"/>
    <w:rsid w:val="005E2B66"/>
    <w:rsid w:val="005E34D4"/>
    <w:rsid w:val="005E3716"/>
    <w:rsid w:val="005E3AE2"/>
    <w:rsid w:val="005E3FDE"/>
    <w:rsid w:val="005E55F2"/>
    <w:rsid w:val="005E68FC"/>
    <w:rsid w:val="005E7271"/>
    <w:rsid w:val="005E7989"/>
    <w:rsid w:val="005E7CC9"/>
    <w:rsid w:val="005F0007"/>
    <w:rsid w:val="005F0E6C"/>
    <w:rsid w:val="005F1362"/>
    <w:rsid w:val="005F1655"/>
    <w:rsid w:val="005F1BAD"/>
    <w:rsid w:val="005F235E"/>
    <w:rsid w:val="005F29F1"/>
    <w:rsid w:val="005F396F"/>
    <w:rsid w:val="005F487C"/>
    <w:rsid w:val="005F53A4"/>
    <w:rsid w:val="005F5FE1"/>
    <w:rsid w:val="005F62B2"/>
    <w:rsid w:val="005F715E"/>
    <w:rsid w:val="005F726C"/>
    <w:rsid w:val="006010DA"/>
    <w:rsid w:val="006017AB"/>
    <w:rsid w:val="00604AC3"/>
    <w:rsid w:val="00605865"/>
    <w:rsid w:val="006079AA"/>
    <w:rsid w:val="00607B9A"/>
    <w:rsid w:val="006113DA"/>
    <w:rsid w:val="00611613"/>
    <w:rsid w:val="00611DC1"/>
    <w:rsid w:val="006124AE"/>
    <w:rsid w:val="00613655"/>
    <w:rsid w:val="006144EE"/>
    <w:rsid w:val="0061507A"/>
    <w:rsid w:val="00615E9B"/>
    <w:rsid w:val="0061616C"/>
    <w:rsid w:val="00617125"/>
    <w:rsid w:val="00617813"/>
    <w:rsid w:val="006178C6"/>
    <w:rsid w:val="006206CC"/>
    <w:rsid w:val="00622B06"/>
    <w:rsid w:val="00624425"/>
    <w:rsid w:val="00625136"/>
    <w:rsid w:val="006257C2"/>
    <w:rsid w:val="00625B2B"/>
    <w:rsid w:val="00626056"/>
    <w:rsid w:val="00627163"/>
    <w:rsid w:val="0063034E"/>
    <w:rsid w:val="00631C43"/>
    <w:rsid w:val="00632E24"/>
    <w:rsid w:val="00633581"/>
    <w:rsid w:val="00634476"/>
    <w:rsid w:val="00634884"/>
    <w:rsid w:val="006348F0"/>
    <w:rsid w:val="006351A9"/>
    <w:rsid w:val="0063717E"/>
    <w:rsid w:val="00637475"/>
    <w:rsid w:val="0064393B"/>
    <w:rsid w:val="006439A1"/>
    <w:rsid w:val="00644375"/>
    <w:rsid w:val="00644A5C"/>
    <w:rsid w:val="0064565D"/>
    <w:rsid w:val="00646A08"/>
    <w:rsid w:val="00650392"/>
    <w:rsid w:val="0065061D"/>
    <w:rsid w:val="00651701"/>
    <w:rsid w:val="00655146"/>
    <w:rsid w:val="0065715E"/>
    <w:rsid w:val="00657670"/>
    <w:rsid w:val="00657DBF"/>
    <w:rsid w:val="00657DE0"/>
    <w:rsid w:val="00657ED7"/>
    <w:rsid w:val="00662C69"/>
    <w:rsid w:val="006630FB"/>
    <w:rsid w:val="006633C0"/>
    <w:rsid w:val="00663470"/>
    <w:rsid w:val="00663CC7"/>
    <w:rsid w:val="00663F82"/>
    <w:rsid w:val="0066458B"/>
    <w:rsid w:val="006646C6"/>
    <w:rsid w:val="00664805"/>
    <w:rsid w:val="00664FB5"/>
    <w:rsid w:val="006656FD"/>
    <w:rsid w:val="006674A0"/>
    <w:rsid w:val="006718FB"/>
    <w:rsid w:val="00671FDF"/>
    <w:rsid w:val="006720F3"/>
    <w:rsid w:val="00672744"/>
    <w:rsid w:val="0067296F"/>
    <w:rsid w:val="00673695"/>
    <w:rsid w:val="00673DB5"/>
    <w:rsid w:val="00674701"/>
    <w:rsid w:val="00674A46"/>
    <w:rsid w:val="006752B0"/>
    <w:rsid w:val="00675F80"/>
    <w:rsid w:val="006761E3"/>
    <w:rsid w:val="00676959"/>
    <w:rsid w:val="00676C6B"/>
    <w:rsid w:val="00677358"/>
    <w:rsid w:val="006773BA"/>
    <w:rsid w:val="006779A3"/>
    <w:rsid w:val="00680F25"/>
    <w:rsid w:val="00682297"/>
    <w:rsid w:val="006822B0"/>
    <w:rsid w:val="00682EF5"/>
    <w:rsid w:val="00683ACA"/>
    <w:rsid w:val="006842C0"/>
    <w:rsid w:val="00684605"/>
    <w:rsid w:val="00685689"/>
    <w:rsid w:val="0068594B"/>
    <w:rsid w:val="00686B04"/>
    <w:rsid w:val="00687CAD"/>
    <w:rsid w:val="006901FA"/>
    <w:rsid w:val="006903C0"/>
    <w:rsid w:val="006904D3"/>
    <w:rsid w:val="00690719"/>
    <w:rsid w:val="00690ED0"/>
    <w:rsid w:val="00692D5E"/>
    <w:rsid w:val="00693427"/>
    <w:rsid w:val="00693FA4"/>
    <w:rsid w:val="006942FD"/>
    <w:rsid w:val="00694C00"/>
    <w:rsid w:val="00695857"/>
    <w:rsid w:val="006958A7"/>
    <w:rsid w:val="00695F94"/>
    <w:rsid w:val="0069611A"/>
    <w:rsid w:val="006964F5"/>
    <w:rsid w:val="006969B1"/>
    <w:rsid w:val="00696EF8"/>
    <w:rsid w:val="00697159"/>
    <w:rsid w:val="00697365"/>
    <w:rsid w:val="00697C1C"/>
    <w:rsid w:val="006A0339"/>
    <w:rsid w:val="006A1047"/>
    <w:rsid w:val="006A11C8"/>
    <w:rsid w:val="006A2CF3"/>
    <w:rsid w:val="006A2D34"/>
    <w:rsid w:val="006A2EDE"/>
    <w:rsid w:val="006A2EFB"/>
    <w:rsid w:val="006A32B6"/>
    <w:rsid w:val="006A3D7A"/>
    <w:rsid w:val="006A4178"/>
    <w:rsid w:val="006A4193"/>
    <w:rsid w:val="006A4523"/>
    <w:rsid w:val="006A553A"/>
    <w:rsid w:val="006A79C3"/>
    <w:rsid w:val="006B004E"/>
    <w:rsid w:val="006B0198"/>
    <w:rsid w:val="006B0F92"/>
    <w:rsid w:val="006B12E8"/>
    <w:rsid w:val="006B1C19"/>
    <w:rsid w:val="006B31E7"/>
    <w:rsid w:val="006B65D4"/>
    <w:rsid w:val="006B7A58"/>
    <w:rsid w:val="006C0F87"/>
    <w:rsid w:val="006C13A5"/>
    <w:rsid w:val="006C1BCA"/>
    <w:rsid w:val="006C26B3"/>
    <w:rsid w:val="006C2FEE"/>
    <w:rsid w:val="006C339C"/>
    <w:rsid w:val="006C50B1"/>
    <w:rsid w:val="006C50C2"/>
    <w:rsid w:val="006C563A"/>
    <w:rsid w:val="006C6C8C"/>
    <w:rsid w:val="006C6E1A"/>
    <w:rsid w:val="006C7201"/>
    <w:rsid w:val="006D24C4"/>
    <w:rsid w:val="006D27EF"/>
    <w:rsid w:val="006D425C"/>
    <w:rsid w:val="006D52D1"/>
    <w:rsid w:val="006D5F9D"/>
    <w:rsid w:val="006D77A2"/>
    <w:rsid w:val="006E013D"/>
    <w:rsid w:val="006E1056"/>
    <w:rsid w:val="006E3A2A"/>
    <w:rsid w:val="006E3C4C"/>
    <w:rsid w:val="006E4BD4"/>
    <w:rsid w:val="006E4E2A"/>
    <w:rsid w:val="006E5809"/>
    <w:rsid w:val="006E5950"/>
    <w:rsid w:val="006E62F0"/>
    <w:rsid w:val="006E65C0"/>
    <w:rsid w:val="006E6627"/>
    <w:rsid w:val="006E6B65"/>
    <w:rsid w:val="006E6C14"/>
    <w:rsid w:val="006E7CC5"/>
    <w:rsid w:val="006F001C"/>
    <w:rsid w:val="006F0826"/>
    <w:rsid w:val="006F0FB5"/>
    <w:rsid w:val="006F1AA0"/>
    <w:rsid w:val="006F1E31"/>
    <w:rsid w:val="006F2842"/>
    <w:rsid w:val="006F2A6B"/>
    <w:rsid w:val="006F2C12"/>
    <w:rsid w:val="006F2F92"/>
    <w:rsid w:val="006F31F3"/>
    <w:rsid w:val="006F3266"/>
    <w:rsid w:val="006F40FD"/>
    <w:rsid w:val="006F51AA"/>
    <w:rsid w:val="006F668E"/>
    <w:rsid w:val="006F69E5"/>
    <w:rsid w:val="00705087"/>
    <w:rsid w:val="007050B1"/>
    <w:rsid w:val="00705527"/>
    <w:rsid w:val="00705BB0"/>
    <w:rsid w:val="00707096"/>
    <w:rsid w:val="007076C5"/>
    <w:rsid w:val="00710012"/>
    <w:rsid w:val="007127BB"/>
    <w:rsid w:val="007136BC"/>
    <w:rsid w:val="00714576"/>
    <w:rsid w:val="00714FEC"/>
    <w:rsid w:val="00715A04"/>
    <w:rsid w:val="00715B7D"/>
    <w:rsid w:val="00715E8F"/>
    <w:rsid w:val="00721335"/>
    <w:rsid w:val="00721924"/>
    <w:rsid w:val="00721F66"/>
    <w:rsid w:val="00722B93"/>
    <w:rsid w:val="0072445A"/>
    <w:rsid w:val="00725CA2"/>
    <w:rsid w:val="00727C53"/>
    <w:rsid w:val="00731F1F"/>
    <w:rsid w:val="0073324B"/>
    <w:rsid w:val="007337E6"/>
    <w:rsid w:val="00735A75"/>
    <w:rsid w:val="007363AE"/>
    <w:rsid w:val="007365AD"/>
    <w:rsid w:val="00736F44"/>
    <w:rsid w:val="00737E75"/>
    <w:rsid w:val="00740BA4"/>
    <w:rsid w:val="00742486"/>
    <w:rsid w:val="00743FFA"/>
    <w:rsid w:val="0074433B"/>
    <w:rsid w:val="007446C2"/>
    <w:rsid w:val="0074573F"/>
    <w:rsid w:val="00745A57"/>
    <w:rsid w:val="0074628D"/>
    <w:rsid w:val="007469DE"/>
    <w:rsid w:val="007473D2"/>
    <w:rsid w:val="007479C2"/>
    <w:rsid w:val="00750A80"/>
    <w:rsid w:val="00751061"/>
    <w:rsid w:val="0075151E"/>
    <w:rsid w:val="00751F6F"/>
    <w:rsid w:val="00752573"/>
    <w:rsid w:val="0075265E"/>
    <w:rsid w:val="0075373B"/>
    <w:rsid w:val="00753B59"/>
    <w:rsid w:val="0075440D"/>
    <w:rsid w:val="00754EF8"/>
    <w:rsid w:val="00755146"/>
    <w:rsid w:val="00755369"/>
    <w:rsid w:val="0075604A"/>
    <w:rsid w:val="0075650E"/>
    <w:rsid w:val="0075728A"/>
    <w:rsid w:val="00757995"/>
    <w:rsid w:val="00760BAE"/>
    <w:rsid w:val="00762511"/>
    <w:rsid w:val="00762642"/>
    <w:rsid w:val="00762697"/>
    <w:rsid w:val="00762E0A"/>
    <w:rsid w:val="007644E6"/>
    <w:rsid w:val="007652EA"/>
    <w:rsid w:val="00765786"/>
    <w:rsid w:val="00766CDD"/>
    <w:rsid w:val="00766E0D"/>
    <w:rsid w:val="007674F3"/>
    <w:rsid w:val="00767CD2"/>
    <w:rsid w:val="00770859"/>
    <w:rsid w:val="007719E1"/>
    <w:rsid w:val="00772DA4"/>
    <w:rsid w:val="007736E4"/>
    <w:rsid w:val="00774A5F"/>
    <w:rsid w:val="00774AB3"/>
    <w:rsid w:val="00774DFD"/>
    <w:rsid w:val="007753FA"/>
    <w:rsid w:val="0077544D"/>
    <w:rsid w:val="00775598"/>
    <w:rsid w:val="007758D3"/>
    <w:rsid w:val="00775D67"/>
    <w:rsid w:val="00776C78"/>
    <w:rsid w:val="00777498"/>
    <w:rsid w:val="0078079A"/>
    <w:rsid w:val="007820F2"/>
    <w:rsid w:val="0078249C"/>
    <w:rsid w:val="0078254B"/>
    <w:rsid w:val="00782942"/>
    <w:rsid w:val="00784AA0"/>
    <w:rsid w:val="00784F3D"/>
    <w:rsid w:val="00785321"/>
    <w:rsid w:val="00785E63"/>
    <w:rsid w:val="007860B9"/>
    <w:rsid w:val="00786DD5"/>
    <w:rsid w:val="00787184"/>
    <w:rsid w:val="007914E4"/>
    <w:rsid w:val="00791C43"/>
    <w:rsid w:val="00791E58"/>
    <w:rsid w:val="00793B7B"/>
    <w:rsid w:val="00794C2B"/>
    <w:rsid w:val="00797D59"/>
    <w:rsid w:val="007A0692"/>
    <w:rsid w:val="007A078A"/>
    <w:rsid w:val="007A082B"/>
    <w:rsid w:val="007A0A0E"/>
    <w:rsid w:val="007A1303"/>
    <w:rsid w:val="007A1A1A"/>
    <w:rsid w:val="007A2C90"/>
    <w:rsid w:val="007A4419"/>
    <w:rsid w:val="007A65E0"/>
    <w:rsid w:val="007A70B9"/>
    <w:rsid w:val="007A729D"/>
    <w:rsid w:val="007A7602"/>
    <w:rsid w:val="007A76B7"/>
    <w:rsid w:val="007A774C"/>
    <w:rsid w:val="007A7A58"/>
    <w:rsid w:val="007A7E06"/>
    <w:rsid w:val="007B02B9"/>
    <w:rsid w:val="007B1146"/>
    <w:rsid w:val="007B12AA"/>
    <w:rsid w:val="007B1AED"/>
    <w:rsid w:val="007B1C41"/>
    <w:rsid w:val="007B233D"/>
    <w:rsid w:val="007B2587"/>
    <w:rsid w:val="007B26B2"/>
    <w:rsid w:val="007B30F3"/>
    <w:rsid w:val="007B50DF"/>
    <w:rsid w:val="007B58D7"/>
    <w:rsid w:val="007B5ACB"/>
    <w:rsid w:val="007B5AF0"/>
    <w:rsid w:val="007B6317"/>
    <w:rsid w:val="007B694D"/>
    <w:rsid w:val="007B79A9"/>
    <w:rsid w:val="007C0013"/>
    <w:rsid w:val="007C0CBC"/>
    <w:rsid w:val="007C255D"/>
    <w:rsid w:val="007C37D2"/>
    <w:rsid w:val="007C3985"/>
    <w:rsid w:val="007C4861"/>
    <w:rsid w:val="007C48DB"/>
    <w:rsid w:val="007C5B45"/>
    <w:rsid w:val="007C6110"/>
    <w:rsid w:val="007C6AE2"/>
    <w:rsid w:val="007C7154"/>
    <w:rsid w:val="007D0C01"/>
    <w:rsid w:val="007D0CA5"/>
    <w:rsid w:val="007D26D2"/>
    <w:rsid w:val="007D2922"/>
    <w:rsid w:val="007D2DBC"/>
    <w:rsid w:val="007D3FBD"/>
    <w:rsid w:val="007D49A0"/>
    <w:rsid w:val="007D586E"/>
    <w:rsid w:val="007D74D9"/>
    <w:rsid w:val="007D7CA5"/>
    <w:rsid w:val="007D7EF3"/>
    <w:rsid w:val="007E0553"/>
    <w:rsid w:val="007E0C6A"/>
    <w:rsid w:val="007E5125"/>
    <w:rsid w:val="007E5DB4"/>
    <w:rsid w:val="007E5EC6"/>
    <w:rsid w:val="007E6334"/>
    <w:rsid w:val="007E64B6"/>
    <w:rsid w:val="007E72DF"/>
    <w:rsid w:val="007F0617"/>
    <w:rsid w:val="007F089C"/>
    <w:rsid w:val="007F1BCA"/>
    <w:rsid w:val="007F313E"/>
    <w:rsid w:val="007F372C"/>
    <w:rsid w:val="007F3993"/>
    <w:rsid w:val="007F3A5A"/>
    <w:rsid w:val="007F3C0D"/>
    <w:rsid w:val="007F5AD6"/>
    <w:rsid w:val="007F6F57"/>
    <w:rsid w:val="007F729E"/>
    <w:rsid w:val="00800E69"/>
    <w:rsid w:val="00800EFF"/>
    <w:rsid w:val="00801202"/>
    <w:rsid w:val="00802BFE"/>
    <w:rsid w:val="00803827"/>
    <w:rsid w:val="0080391F"/>
    <w:rsid w:val="008039C2"/>
    <w:rsid w:val="008046E4"/>
    <w:rsid w:val="00804992"/>
    <w:rsid w:val="00804C3D"/>
    <w:rsid w:val="008055FF"/>
    <w:rsid w:val="00806782"/>
    <w:rsid w:val="00807314"/>
    <w:rsid w:val="00810109"/>
    <w:rsid w:val="00810302"/>
    <w:rsid w:val="00810806"/>
    <w:rsid w:val="0081094B"/>
    <w:rsid w:val="00810F94"/>
    <w:rsid w:val="008118AF"/>
    <w:rsid w:val="00814A17"/>
    <w:rsid w:val="008167F5"/>
    <w:rsid w:val="00816F51"/>
    <w:rsid w:val="00817944"/>
    <w:rsid w:val="0081794B"/>
    <w:rsid w:val="00817D8E"/>
    <w:rsid w:val="008200A3"/>
    <w:rsid w:val="00820AAB"/>
    <w:rsid w:val="00820BF2"/>
    <w:rsid w:val="00822F36"/>
    <w:rsid w:val="00823390"/>
    <w:rsid w:val="00824C4E"/>
    <w:rsid w:val="00826125"/>
    <w:rsid w:val="00826F38"/>
    <w:rsid w:val="00830D70"/>
    <w:rsid w:val="00831969"/>
    <w:rsid w:val="0083380F"/>
    <w:rsid w:val="00833E4C"/>
    <w:rsid w:val="00834316"/>
    <w:rsid w:val="00834CD3"/>
    <w:rsid w:val="00836224"/>
    <w:rsid w:val="00836B88"/>
    <w:rsid w:val="00836FF4"/>
    <w:rsid w:val="008374E9"/>
    <w:rsid w:val="008376CD"/>
    <w:rsid w:val="00837BE4"/>
    <w:rsid w:val="00840559"/>
    <w:rsid w:val="00840DAB"/>
    <w:rsid w:val="00841E02"/>
    <w:rsid w:val="00842534"/>
    <w:rsid w:val="00843153"/>
    <w:rsid w:val="008433C1"/>
    <w:rsid w:val="00843908"/>
    <w:rsid w:val="008443E1"/>
    <w:rsid w:val="00845B67"/>
    <w:rsid w:val="00845D12"/>
    <w:rsid w:val="00845F84"/>
    <w:rsid w:val="00846713"/>
    <w:rsid w:val="00846D48"/>
    <w:rsid w:val="00847095"/>
    <w:rsid w:val="008473FA"/>
    <w:rsid w:val="00847830"/>
    <w:rsid w:val="00850A36"/>
    <w:rsid w:val="00851A81"/>
    <w:rsid w:val="00851DE7"/>
    <w:rsid w:val="00851F4C"/>
    <w:rsid w:val="0085224B"/>
    <w:rsid w:val="008523BA"/>
    <w:rsid w:val="00852B26"/>
    <w:rsid w:val="00853703"/>
    <w:rsid w:val="0085480B"/>
    <w:rsid w:val="00855021"/>
    <w:rsid w:val="00855985"/>
    <w:rsid w:val="008560F4"/>
    <w:rsid w:val="008568B1"/>
    <w:rsid w:val="008570EB"/>
    <w:rsid w:val="00860A1E"/>
    <w:rsid w:val="00861622"/>
    <w:rsid w:val="00861F40"/>
    <w:rsid w:val="00863125"/>
    <w:rsid w:val="008662C0"/>
    <w:rsid w:val="0087030B"/>
    <w:rsid w:val="008705E1"/>
    <w:rsid w:val="0087101A"/>
    <w:rsid w:val="0087153F"/>
    <w:rsid w:val="00872622"/>
    <w:rsid w:val="00872938"/>
    <w:rsid w:val="00873ABF"/>
    <w:rsid w:val="00874321"/>
    <w:rsid w:val="0087459A"/>
    <w:rsid w:val="00875167"/>
    <w:rsid w:val="00875A88"/>
    <w:rsid w:val="00875AC2"/>
    <w:rsid w:val="00875DF8"/>
    <w:rsid w:val="008765E3"/>
    <w:rsid w:val="00876C70"/>
    <w:rsid w:val="00876DCE"/>
    <w:rsid w:val="00876FBF"/>
    <w:rsid w:val="00880132"/>
    <w:rsid w:val="00881572"/>
    <w:rsid w:val="008815B5"/>
    <w:rsid w:val="008822DD"/>
    <w:rsid w:val="00882FEA"/>
    <w:rsid w:val="00883143"/>
    <w:rsid w:val="0088320F"/>
    <w:rsid w:val="00883450"/>
    <w:rsid w:val="0088398C"/>
    <w:rsid w:val="00885A71"/>
    <w:rsid w:val="00885C6E"/>
    <w:rsid w:val="00886776"/>
    <w:rsid w:val="00886AF2"/>
    <w:rsid w:val="0088743F"/>
    <w:rsid w:val="0088798B"/>
    <w:rsid w:val="0089067B"/>
    <w:rsid w:val="00890700"/>
    <w:rsid w:val="00892AB9"/>
    <w:rsid w:val="00893857"/>
    <w:rsid w:val="00893F73"/>
    <w:rsid w:val="0089412A"/>
    <w:rsid w:val="00894767"/>
    <w:rsid w:val="00895335"/>
    <w:rsid w:val="00895536"/>
    <w:rsid w:val="0089651A"/>
    <w:rsid w:val="008965EF"/>
    <w:rsid w:val="0089660B"/>
    <w:rsid w:val="00896AD4"/>
    <w:rsid w:val="008970A3"/>
    <w:rsid w:val="00897752"/>
    <w:rsid w:val="008A0475"/>
    <w:rsid w:val="008A20CA"/>
    <w:rsid w:val="008A2811"/>
    <w:rsid w:val="008A3FC8"/>
    <w:rsid w:val="008A52F3"/>
    <w:rsid w:val="008A5456"/>
    <w:rsid w:val="008A5CF5"/>
    <w:rsid w:val="008A5EBD"/>
    <w:rsid w:val="008A6581"/>
    <w:rsid w:val="008A7536"/>
    <w:rsid w:val="008A7F7D"/>
    <w:rsid w:val="008B1A5A"/>
    <w:rsid w:val="008B2913"/>
    <w:rsid w:val="008B382F"/>
    <w:rsid w:val="008B38BC"/>
    <w:rsid w:val="008B3CF5"/>
    <w:rsid w:val="008B4590"/>
    <w:rsid w:val="008B51A7"/>
    <w:rsid w:val="008B5AB4"/>
    <w:rsid w:val="008B66A6"/>
    <w:rsid w:val="008B6849"/>
    <w:rsid w:val="008B7FFE"/>
    <w:rsid w:val="008C00AF"/>
    <w:rsid w:val="008C0446"/>
    <w:rsid w:val="008C0D98"/>
    <w:rsid w:val="008C2B3C"/>
    <w:rsid w:val="008C41A7"/>
    <w:rsid w:val="008C5283"/>
    <w:rsid w:val="008C6F34"/>
    <w:rsid w:val="008C7108"/>
    <w:rsid w:val="008C75C8"/>
    <w:rsid w:val="008D02A3"/>
    <w:rsid w:val="008D22D8"/>
    <w:rsid w:val="008D259C"/>
    <w:rsid w:val="008D2BCD"/>
    <w:rsid w:val="008D406E"/>
    <w:rsid w:val="008D4558"/>
    <w:rsid w:val="008D4E99"/>
    <w:rsid w:val="008D5066"/>
    <w:rsid w:val="008D5329"/>
    <w:rsid w:val="008D5A97"/>
    <w:rsid w:val="008D6697"/>
    <w:rsid w:val="008D6CF4"/>
    <w:rsid w:val="008D728C"/>
    <w:rsid w:val="008E0674"/>
    <w:rsid w:val="008E11CC"/>
    <w:rsid w:val="008E1696"/>
    <w:rsid w:val="008E1B8F"/>
    <w:rsid w:val="008E2B17"/>
    <w:rsid w:val="008E3E12"/>
    <w:rsid w:val="008E4483"/>
    <w:rsid w:val="008E4C69"/>
    <w:rsid w:val="008E4DCD"/>
    <w:rsid w:val="008E5767"/>
    <w:rsid w:val="008E580D"/>
    <w:rsid w:val="008E6960"/>
    <w:rsid w:val="008F0B97"/>
    <w:rsid w:val="008F12E6"/>
    <w:rsid w:val="008F1558"/>
    <w:rsid w:val="008F2B44"/>
    <w:rsid w:val="008F382E"/>
    <w:rsid w:val="008F4A9E"/>
    <w:rsid w:val="008F5927"/>
    <w:rsid w:val="008F5F96"/>
    <w:rsid w:val="008F617F"/>
    <w:rsid w:val="008F7258"/>
    <w:rsid w:val="008F7752"/>
    <w:rsid w:val="0090174A"/>
    <w:rsid w:val="00901BB1"/>
    <w:rsid w:val="00902E52"/>
    <w:rsid w:val="009036B3"/>
    <w:rsid w:val="00905619"/>
    <w:rsid w:val="0090620F"/>
    <w:rsid w:val="00906D07"/>
    <w:rsid w:val="009071FE"/>
    <w:rsid w:val="00907761"/>
    <w:rsid w:val="009077A0"/>
    <w:rsid w:val="00907A46"/>
    <w:rsid w:val="00910076"/>
    <w:rsid w:val="00910C28"/>
    <w:rsid w:val="0091242A"/>
    <w:rsid w:val="00912B6D"/>
    <w:rsid w:val="00912E53"/>
    <w:rsid w:val="0091395C"/>
    <w:rsid w:val="00913AA4"/>
    <w:rsid w:val="00915778"/>
    <w:rsid w:val="00915D23"/>
    <w:rsid w:val="009164DD"/>
    <w:rsid w:val="0091764B"/>
    <w:rsid w:val="0092087C"/>
    <w:rsid w:val="009210C9"/>
    <w:rsid w:val="00921375"/>
    <w:rsid w:val="00925C68"/>
    <w:rsid w:val="009263CF"/>
    <w:rsid w:val="00926429"/>
    <w:rsid w:val="00927DE1"/>
    <w:rsid w:val="00930741"/>
    <w:rsid w:val="009307AA"/>
    <w:rsid w:val="009315B0"/>
    <w:rsid w:val="009316E9"/>
    <w:rsid w:val="00931C93"/>
    <w:rsid w:val="00931EE2"/>
    <w:rsid w:val="00931FD8"/>
    <w:rsid w:val="0093282F"/>
    <w:rsid w:val="009334FC"/>
    <w:rsid w:val="0093416D"/>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57A5"/>
    <w:rsid w:val="00956219"/>
    <w:rsid w:val="009563A5"/>
    <w:rsid w:val="00956868"/>
    <w:rsid w:val="0095723E"/>
    <w:rsid w:val="009572EE"/>
    <w:rsid w:val="0095765F"/>
    <w:rsid w:val="009606E6"/>
    <w:rsid w:val="009609D2"/>
    <w:rsid w:val="00960CFA"/>
    <w:rsid w:val="0096161F"/>
    <w:rsid w:val="00962055"/>
    <w:rsid w:val="0096234B"/>
    <w:rsid w:val="00962716"/>
    <w:rsid w:val="00962F40"/>
    <w:rsid w:val="00963968"/>
    <w:rsid w:val="009670E9"/>
    <w:rsid w:val="00970F70"/>
    <w:rsid w:val="00971056"/>
    <w:rsid w:val="0097210F"/>
    <w:rsid w:val="0097252B"/>
    <w:rsid w:val="00972668"/>
    <w:rsid w:val="009727B4"/>
    <w:rsid w:val="00972C36"/>
    <w:rsid w:val="00972DF8"/>
    <w:rsid w:val="009750AA"/>
    <w:rsid w:val="00976266"/>
    <w:rsid w:val="00977D37"/>
    <w:rsid w:val="009813EA"/>
    <w:rsid w:val="0098257E"/>
    <w:rsid w:val="00982DC5"/>
    <w:rsid w:val="009830D3"/>
    <w:rsid w:val="00983B8F"/>
    <w:rsid w:val="0098595E"/>
    <w:rsid w:val="00986073"/>
    <w:rsid w:val="009868A1"/>
    <w:rsid w:val="00990EE2"/>
    <w:rsid w:val="009916D2"/>
    <w:rsid w:val="009917E9"/>
    <w:rsid w:val="009918B3"/>
    <w:rsid w:val="009918B7"/>
    <w:rsid w:val="009918C6"/>
    <w:rsid w:val="0099229C"/>
    <w:rsid w:val="00994158"/>
    <w:rsid w:val="00994E0F"/>
    <w:rsid w:val="00994E5F"/>
    <w:rsid w:val="009959DB"/>
    <w:rsid w:val="00995C9F"/>
    <w:rsid w:val="0099752D"/>
    <w:rsid w:val="00997C2A"/>
    <w:rsid w:val="009A0358"/>
    <w:rsid w:val="009A0461"/>
    <w:rsid w:val="009A0754"/>
    <w:rsid w:val="009A0E2A"/>
    <w:rsid w:val="009A28A2"/>
    <w:rsid w:val="009A2D33"/>
    <w:rsid w:val="009A3B2B"/>
    <w:rsid w:val="009A5191"/>
    <w:rsid w:val="009A593A"/>
    <w:rsid w:val="009A5FBB"/>
    <w:rsid w:val="009B0F5C"/>
    <w:rsid w:val="009B11D6"/>
    <w:rsid w:val="009B1D13"/>
    <w:rsid w:val="009B2EE9"/>
    <w:rsid w:val="009B3771"/>
    <w:rsid w:val="009B4864"/>
    <w:rsid w:val="009B5504"/>
    <w:rsid w:val="009B5D1A"/>
    <w:rsid w:val="009B649B"/>
    <w:rsid w:val="009B6F16"/>
    <w:rsid w:val="009B7195"/>
    <w:rsid w:val="009B7C14"/>
    <w:rsid w:val="009C0057"/>
    <w:rsid w:val="009C0215"/>
    <w:rsid w:val="009C0940"/>
    <w:rsid w:val="009C0950"/>
    <w:rsid w:val="009C131C"/>
    <w:rsid w:val="009C1D99"/>
    <w:rsid w:val="009C1F8B"/>
    <w:rsid w:val="009C20A8"/>
    <w:rsid w:val="009C4417"/>
    <w:rsid w:val="009C44CF"/>
    <w:rsid w:val="009C4817"/>
    <w:rsid w:val="009C5057"/>
    <w:rsid w:val="009C674E"/>
    <w:rsid w:val="009D1378"/>
    <w:rsid w:val="009D1780"/>
    <w:rsid w:val="009D2384"/>
    <w:rsid w:val="009D3240"/>
    <w:rsid w:val="009D3A6E"/>
    <w:rsid w:val="009D6087"/>
    <w:rsid w:val="009D61D9"/>
    <w:rsid w:val="009D624D"/>
    <w:rsid w:val="009D6AD5"/>
    <w:rsid w:val="009E0AB4"/>
    <w:rsid w:val="009E0E14"/>
    <w:rsid w:val="009E10C7"/>
    <w:rsid w:val="009E23A0"/>
    <w:rsid w:val="009E3466"/>
    <w:rsid w:val="009E360A"/>
    <w:rsid w:val="009E38A4"/>
    <w:rsid w:val="009E3D82"/>
    <w:rsid w:val="009E3DE7"/>
    <w:rsid w:val="009E3DF8"/>
    <w:rsid w:val="009E4942"/>
    <w:rsid w:val="009E55A7"/>
    <w:rsid w:val="009E6A7E"/>
    <w:rsid w:val="009E6E48"/>
    <w:rsid w:val="009F0B67"/>
    <w:rsid w:val="009F1566"/>
    <w:rsid w:val="009F1E4B"/>
    <w:rsid w:val="009F307E"/>
    <w:rsid w:val="009F37D5"/>
    <w:rsid w:val="009F4778"/>
    <w:rsid w:val="009F50DE"/>
    <w:rsid w:val="009F52EF"/>
    <w:rsid w:val="009F552F"/>
    <w:rsid w:val="009F5735"/>
    <w:rsid w:val="009F5F3E"/>
    <w:rsid w:val="009F6D34"/>
    <w:rsid w:val="009F74A2"/>
    <w:rsid w:val="009F7BB0"/>
    <w:rsid w:val="00A0054B"/>
    <w:rsid w:val="00A0179F"/>
    <w:rsid w:val="00A01B7D"/>
    <w:rsid w:val="00A036C5"/>
    <w:rsid w:val="00A03AD2"/>
    <w:rsid w:val="00A05222"/>
    <w:rsid w:val="00A05504"/>
    <w:rsid w:val="00A05DA0"/>
    <w:rsid w:val="00A073A0"/>
    <w:rsid w:val="00A07D84"/>
    <w:rsid w:val="00A07F09"/>
    <w:rsid w:val="00A10336"/>
    <w:rsid w:val="00A10CE2"/>
    <w:rsid w:val="00A13703"/>
    <w:rsid w:val="00A13811"/>
    <w:rsid w:val="00A15332"/>
    <w:rsid w:val="00A15C42"/>
    <w:rsid w:val="00A1658E"/>
    <w:rsid w:val="00A16D17"/>
    <w:rsid w:val="00A16DF1"/>
    <w:rsid w:val="00A17302"/>
    <w:rsid w:val="00A17A17"/>
    <w:rsid w:val="00A17F6F"/>
    <w:rsid w:val="00A20B1F"/>
    <w:rsid w:val="00A20E85"/>
    <w:rsid w:val="00A21050"/>
    <w:rsid w:val="00A22536"/>
    <w:rsid w:val="00A235D0"/>
    <w:rsid w:val="00A24131"/>
    <w:rsid w:val="00A27A7F"/>
    <w:rsid w:val="00A31445"/>
    <w:rsid w:val="00A31BF8"/>
    <w:rsid w:val="00A31CEA"/>
    <w:rsid w:val="00A3276A"/>
    <w:rsid w:val="00A33C6D"/>
    <w:rsid w:val="00A349D2"/>
    <w:rsid w:val="00A34C05"/>
    <w:rsid w:val="00A3511D"/>
    <w:rsid w:val="00A35492"/>
    <w:rsid w:val="00A4044E"/>
    <w:rsid w:val="00A40951"/>
    <w:rsid w:val="00A42161"/>
    <w:rsid w:val="00A42475"/>
    <w:rsid w:val="00A42869"/>
    <w:rsid w:val="00A4292F"/>
    <w:rsid w:val="00A4379F"/>
    <w:rsid w:val="00A4434D"/>
    <w:rsid w:val="00A44C1A"/>
    <w:rsid w:val="00A45039"/>
    <w:rsid w:val="00A454E0"/>
    <w:rsid w:val="00A45546"/>
    <w:rsid w:val="00A4585A"/>
    <w:rsid w:val="00A459B3"/>
    <w:rsid w:val="00A459D6"/>
    <w:rsid w:val="00A45B12"/>
    <w:rsid w:val="00A462D5"/>
    <w:rsid w:val="00A4650A"/>
    <w:rsid w:val="00A46F7C"/>
    <w:rsid w:val="00A471A7"/>
    <w:rsid w:val="00A47279"/>
    <w:rsid w:val="00A50720"/>
    <w:rsid w:val="00A50922"/>
    <w:rsid w:val="00A50B8A"/>
    <w:rsid w:val="00A516B2"/>
    <w:rsid w:val="00A51F40"/>
    <w:rsid w:val="00A520BA"/>
    <w:rsid w:val="00A554EB"/>
    <w:rsid w:val="00A55D2B"/>
    <w:rsid w:val="00A572BC"/>
    <w:rsid w:val="00A579F6"/>
    <w:rsid w:val="00A57A82"/>
    <w:rsid w:val="00A60B73"/>
    <w:rsid w:val="00A610E7"/>
    <w:rsid w:val="00A61DCD"/>
    <w:rsid w:val="00A62B7B"/>
    <w:rsid w:val="00A64F7B"/>
    <w:rsid w:val="00A66AE9"/>
    <w:rsid w:val="00A67428"/>
    <w:rsid w:val="00A70C6A"/>
    <w:rsid w:val="00A70CF3"/>
    <w:rsid w:val="00A7155E"/>
    <w:rsid w:val="00A73C34"/>
    <w:rsid w:val="00A74E17"/>
    <w:rsid w:val="00A74EDE"/>
    <w:rsid w:val="00A763AE"/>
    <w:rsid w:val="00A76619"/>
    <w:rsid w:val="00A766D5"/>
    <w:rsid w:val="00A766FE"/>
    <w:rsid w:val="00A76B0D"/>
    <w:rsid w:val="00A77F48"/>
    <w:rsid w:val="00A80223"/>
    <w:rsid w:val="00A8037C"/>
    <w:rsid w:val="00A816EE"/>
    <w:rsid w:val="00A81AB5"/>
    <w:rsid w:val="00A82724"/>
    <w:rsid w:val="00A82C5A"/>
    <w:rsid w:val="00A837E2"/>
    <w:rsid w:val="00A83DDE"/>
    <w:rsid w:val="00A83FF6"/>
    <w:rsid w:val="00A84AC0"/>
    <w:rsid w:val="00A85CB7"/>
    <w:rsid w:val="00A85D62"/>
    <w:rsid w:val="00A8620F"/>
    <w:rsid w:val="00A8652F"/>
    <w:rsid w:val="00A86AAB"/>
    <w:rsid w:val="00A86D49"/>
    <w:rsid w:val="00A8769A"/>
    <w:rsid w:val="00A878A8"/>
    <w:rsid w:val="00A87B22"/>
    <w:rsid w:val="00A90FF4"/>
    <w:rsid w:val="00A92E9F"/>
    <w:rsid w:val="00A92EC0"/>
    <w:rsid w:val="00A92EED"/>
    <w:rsid w:val="00A975D5"/>
    <w:rsid w:val="00A9772B"/>
    <w:rsid w:val="00AA0660"/>
    <w:rsid w:val="00AA1409"/>
    <w:rsid w:val="00AA18E3"/>
    <w:rsid w:val="00AA2ADF"/>
    <w:rsid w:val="00AA32EF"/>
    <w:rsid w:val="00AA36BA"/>
    <w:rsid w:val="00AA37A7"/>
    <w:rsid w:val="00AA3875"/>
    <w:rsid w:val="00AA404A"/>
    <w:rsid w:val="00AA40DC"/>
    <w:rsid w:val="00AA6228"/>
    <w:rsid w:val="00AA6595"/>
    <w:rsid w:val="00AA69A4"/>
    <w:rsid w:val="00AB02A0"/>
    <w:rsid w:val="00AB1131"/>
    <w:rsid w:val="00AB182C"/>
    <w:rsid w:val="00AB1B91"/>
    <w:rsid w:val="00AB2744"/>
    <w:rsid w:val="00AB274F"/>
    <w:rsid w:val="00AB30D3"/>
    <w:rsid w:val="00AB3B37"/>
    <w:rsid w:val="00AB5F30"/>
    <w:rsid w:val="00AB61E4"/>
    <w:rsid w:val="00AB6BE3"/>
    <w:rsid w:val="00AB7AAA"/>
    <w:rsid w:val="00AC2197"/>
    <w:rsid w:val="00AC37C3"/>
    <w:rsid w:val="00AC3E65"/>
    <w:rsid w:val="00AC420C"/>
    <w:rsid w:val="00AC535B"/>
    <w:rsid w:val="00AC5BA4"/>
    <w:rsid w:val="00AC5F6A"/>
    <w:rsid w:val="00AD0B3C"/>
    <w:rsid w:val="00AD0FC3"/>
    <w:rsid w:val="00AD1CC0"/>
    <w:rsid w:val="00AD22B5"/>
    <w:rsid w:val="00AD2718"/>
    <w:rsid w:val="00AD2900"/>
    <w:rsid w:val="00AD33D3"/>
    <w:rsid w:val="00AD3DB4"/>
    <w:rsid w:val="00AD3E16"/>
    <w:rsid w:val="00AD5133"/>
    <w:rsid w:val="00AD5712"/>
    <w:rsid w:val="00AD6AC5"/>
    <w:rsid w:val="00AD76A1"/>
    <w:rsid w:val="00AE0CDF"/>
    <w:rsid w:val="00AE1C92"/>
    <w:rsid w:val="00AE3841"/>
    <w:rsid w:val="00AE48E8"/>
    <w:rsid w:val="00AE5466"/>
    <w:rsid w:val="00AE7F20"/>
    <w:rsid w:val="00AF0BFB"/>
    <w:rsid w:val="00AF0E7C"/>
    <w:rsid w:val="00AF1F04"/>
    <w:rsid w:val="00AF246D"/>
    <w:rsid w:val="00AF2612"/>
    <w:rsid w:val="00AF3B55"/>
    <w:rsid w:val="00AF3D59"/>
    <w:rsid w:val="00AF50BF"/>
    <w:rsid w:val="00AF5C7E"/>
    <w:rsid w:val="00AF5DAA"/>
    <w:rsid w:val="00AF6794"/>
    <w:rsid w:val="00AF6795"/>
    <w:rsid w:val="00AF6F48"/>
    <w:rsid w:val="00AF7023"/>
    <w:rsid w:val="00AF717E"/>
    <w:rsid w:val="00AF758F"/>
    <w:rsid w:val="00B016F7"/>
    <w:rsid w:val="00B02BDD"/>
    <w:rsid w:val="00B04E10"/>
    <w:rsid w:val="00B055B9"/>
    <w:rsid w:val="00B113F9"/>
    <w:rsid w:val="00B13243"/>
    <w:rsid w:val="00B13511"/>
    <w:rsid w:val="00B13D85"/>
    <w:rsid w:val="00B154C4"/>
    <w:rsid w:val="00B16296"/>
    <w:rsid w:val="00B16954"/>
    <w:rsid w:val="00B16CC7"/>
    <w:rsid w:val="00B17748"/>
    <w:rsid w:val="00B1786A"/>
    <w:rsid w:val="00B206D6"/>
    <w:rsid w:val="00B206D8"/>
    <w:rsid w:val="00B20C75"/>
    <w:rsid w:val="00B22AB4"/>
    <w:rsid w:val="00B22B27"/>
    <w:rsid w:val="00B230E5"/>
    <w:rsid w:val="00B231FB"/>
    <w:rsid w:val="00B23E88"/>
    <w:rsid w:val="00B24F64"/>
    <w:rsid w:val="00B267A4"/>
    <w:rsid w:val="00B312C7"/>
    <w:rsid w:val="00B316B9"/>
    <w:rsid w:val="00B316DD"/>
    <w:rsid w:val="00B31E90"/>
    <w:rsid w:val="00B32E58"/>
    <w:rsid w:val="00B335A2"/>
    <w:rsid w:val="00B342D1"/>
    <w:rsid w:val="00B34371"/>
    <w:rsid w:val="00B346F5"/>
    <w:rsid w:val="00B34758"/>
    <w:rsid w:val="00B357DD"/>
    <w:rsid w:val="00B36BEC"/>
    <w:rsid w:val="00B37104"/>
    <w:rsid w:val="00B406E3"/>
    <w:rsid w:val="00B40D9D"/>
    <w:rsid w:val="00B41516"/>
    <w:rsid w:val="00B433EB"/>
    <w:rsid w:val="00B447D7"/>
    <w:rsid w:val="00B44F9F"/>
    <w:rsid w:val="00B451F7"/>
    <w:rsid w:val="00B452A3"/>
    <w:rsid w:val="00B4545E"/>
    <w:rsid w:val="00B47889"/>
    <w:rsid w:val="00B47D0D"/>
    <w:rsid w:val="00B5053A"/>
    <w:rsid w:val="00B52B7D"/>
    <w:rsid w:val="00B531D2"/>
    <w:rsid w:val="00B53665"/>
    <w:rsid w:val="00B537D8"/>
    <w:rsid w:val="00B53CCA"/>
    <w:rsid w:val="00B54441"/>
    <w:rsid w:val="00B54A5F"/>
    <w:rsid w:val="00B54CAF"/>
    <w:rsid w:val="00B560C2"/>
    <w:rsid w:val="00B560C6"/>
    <w:rsid w:val="00B56409"/>
    <w:rsid w:val="00B56753"/>
    <w:rsid w:val="00B56F9B"/>
    <w:rsid w:val="00B600F3"/>
    <w:rsid w:val="00B64099"/>
    <w:rsid w:val="00B643D6"/>
    <w:rsid w:val="00B64919"/>
    <w:rsid w:val="00B65016"/>
    <w:rsid w:val="00B663B2"/>
    <w:rsid w:val="00B66585"/>
    <w:rsid w:val="00B667C6"/>
    <w:rsid w:val="00B66BC8"/>
    <w:rsid w:val="00B66EE0"/>
    <w:rsid w:val="00B67B71"/>
    <w:rsid w:val="00B71F08"/>
    <w:rsid w:val="00B73838"/>
    <w:rsid w:val="00B7421A"/>
    <w:rsid w:val="00B74366"/>
    <w:rsid w:val="00B75CBE"/>
    <w:rsid w:val="00B75F20"/>
    <w:rsid w:val="00B762FD"/>
    <w:rsid w:val="00B77310"/>
    <w:rsid w:val="00B774A5"/>
    <w:rsid w:val="00B808A4"/>
    <w:rsid w:val="00B81371"/>
    <w:rsid w:val="00B818B8"/>
    <w:rsid w:val="00B8225B"/>
    <w:rsid w:val="00B8240B"/>
    <w:rsid w:val="00B83E2E"/>
    <w:rsid w:val="00B855AA"/>
    <w:rsid w:val="00B85BBB"/>
    <w:rsid w:val="00B87705"/>
    <w:rsid w:val="00B8780A"/>
    <w:rsid w:val="00B87CD6"/>
    <w:rsid w:val="00B902E7"/>
    <w:rsid w:val="00B922D9"/>
    <w:rsid w:val="00B9253C"/>
    <w:rsid w:val="00B926D6"/>
    <w:rsid w:val="00B93351"/>
    <w:rsid w:val="00B945F2"/>
    <w:rsid w:val="00B95670"/>
    <w:rsid w:val="00B959FD"/>
    <w:rsid w:val="00B966BF"/>
    <w:rsid w:val="00B974B4"/>
    <w:rsid w:val="00BA0012"/>
    <w:rsid w:val="00BA0458"/>
    <w:rsid w:val="00BA0A18"/>
    <w:rsid w:val="00BA3A12"/>
    <w:rsid w:val="00BA4F66"/>
    <w:rsid w:val="00BA54A2"/>
    <w:rsid w:val="00BA619F"/>
    <w:rsid w:val="00BA6638"/>
    <w:rsid w:val="00BA6D15"/>
    <w:rsid w:val="00BA7987"/>
    <w:rsid w:val="00BA7CFA"/>
    <w:rsid w:val="00BB1309"/>
    <w:rsid w:val="00BB219F"/>
    <w:rsid w:val="00BB2522"/>
    <w:rsid w:val="00BB2592"/>
    <w:rsid w:val="00BB3156"/>
    <w:rsid w:val="00BB5CA9"/>
    <w:rsid w:val="00BB6662"/>
    <w:rsid w:val="00BB7921"/>
    <w:rsid w:val="00BB7E0C"/>
    <w:rsid w:val="00BC0CE4"/>
    <w:rsid w:val="00BC12BA"/>
    <w:rsid w:val="00BC22CD"/>
    <w:rsid w:val="00BC260A"/>
    <w:rsid w:val="00BC2690"/>
    <w:rsid w:val="00BC30BF"/>
    <w:rsid w:val="00BC3150"/>
    <w:rsid w:val="00BC4307"/>
    <w:rsid w:val="00BC4C44"/>
    <w:rsid w:val="00BC5109"/>
    <w:rsid w:val="00BC56DB"/>
    <w:rsid w:val="00BC5950"/>
    <w:rsid w:val="00BC61B2"/>
    <w:rsid w:val="00BC7E69"/>
    <w:rsid w:val="00BD025A"/>
    <w:rsid w:val="00BD02D5"/>
    <w:rsid w:val="00BD0A1C"/>
    <w:rsid w:val="00BD0DA4"/>
    <w:rsid w:val="00BD1B67"/>
    <w:rsid w:val="00BD2E8E"/>
    <w:rsid w:val="00BD335B"/>
    <w:rsid w:val="00BD33B6"/>
    <w:rsid w:val="00BD3D7F"/>
    <w:rsid w:val="00BD4097"/>
    <w:rsid w:val="00BD4163"/>
    <w:rsid w:val="00BD47D0"/>
    <w:rsid w:val="00BD4E41"/>
    <w:rsid w:val="00BD4F95"/>
    <w:rsid w:val="00BD517B"/>
    <w:rsid w:val="00BD650E"/>
    <w:rsid w:val="00BD6560"/>
    <w:rsid w:val="00BD687D"/>
    <w:rsid w:val="00BD6C40"/>
    <w:rsid w:val="00BE00FA"/>
    <w:rsid w:val="00BE068C"/>
    <w:rsid w:val="00BE0C95"/>
    <w:rsid w:val="00BE1433"/>
    <w:rsid w:val="00BE23ED"/>
    <w:rsid w:val="00BE2CF3"/>
    <w:rsid w:val="00BE31BD"/>
    <w:rsid w:val="00BE38FF"/>
    <w:rsid w:val="00BE462E"/>
    <w:rsid w:val="00BE545A"/>
    <w:rsid w:val="00BE57A2"/>
    <w:rsid w:val="00BE5E11"/>
    <w:rsid w:val="00BE6407"/>
    <w:rsid w:val="00BE6C95"/>
    <w:rsid w:val="00BE6EDF"/>
    <w:rsid w:val="00BE74FA"/>
    <w:rsid w:val="00BF0A54"/>
    <w:rsid w:val="00BF0F1C"/>
    <w:rsid w:val="00BF1278"/>
    <w:rsid w:val="00BF1B7F"/>
    <w:rsid w:val="00BF2346"/>
    <w:rsid w:val="00BF3B85"/>
    <w:rsid w:val="00BF46DB"/>
    <w:rsid w:val="00BF485E"/>
    <w:rsid w:val="00BF6B5B"/>
    <w:rsid w:val="00BF6D83"/>
    <w:rsid w:val="00BF704D"/>
    <w:rsid w:val="00BF7365"/>
    <w:rsid w:val="00BF7824"/>
    <w:rsid w:val="00BF793C"/>
    <w:rsid w:val="00C00393"/>
    <w:rsid w:val="00C020F8"/>
    <w:rsid w:val="00C02535"/>
    <w:rsid w:val="00C04666"/>
    <w:rsid w:val="00C04D22"/>
    <w:rsid w:val="00C05FBF"/>
    <w:rsid w:val="00C06C02"/>
    <w:rsid w:val="00C1054C"/>
    <w:rsid w:val="00C11482"/>
    <w:rsid w:val="00C1254E"/>
    <w:rsid w:val="00C12A1B"/>
    <w:rsid w:val="00C12E38"/>
    <w:rsid w:val="00C1428C"/>
    <w:rsid w:val="00C14CDF"/>
    <w:rsid w:val="00C150E0"/>
    <w:rsid w:val="00C150F6"/>
    <w:rsid w:val="00C15F97"/>
    <w:rsid w:val="00C160D4"/>
    <w:rsid w:val="00C16762"/>
    <w:rsid w:val="00C17548"/>
    <w:rsid w:val="00C17637"/>
    <w:rsid w:val="00C179FC"/>
    <w:rsid w:val="00C203F6"/>
    <w:rsid w:val="00C205D6"/>
    <w:rsid w:val="00C20A03"/>
    <w:rsid w:val="00C20EB1"/>
    <w:rsid w:val="00C2139F"/>
    <w:rsid w:val="00C24101"/>
    <w:rsid w:val="00C24FF3"/>
    <w:rsid w:val="00C2575E"/>
    <w:rsid w:val="00C26121"/>
    <w:rsid w:val="00C2692D"/>
    <w:rsid w:val="00C274FD"/>
    <w:rsid w:val="00C2753C"/>
    <w:rsid w:val="00C275CF"/>
    <w:rsid w:val="00C27ABF"/>
    <w:rsid w:val="00C3086E"/>
    <w:rsid w:val="00C315FB"/>
    <w:rsid w:val="00C31713"/>
    <w:rsid w:val="00C317BD"/>
    <w:rsid w:val="00C33279"/>
    <w:rsid w:val="00C337CA"/>
    <w:rsid w:val="00C34B8F"/>
    <w:rsid w:val="00C35332"/>
    <w:rsid w:val="00C35726"/>
    <w:rsid w:val="00C37421"/>
    <w:rsid w:val="00C41015"/>
    <w:rsid w:val="00C41131"/>
    <w:rsid w:val="00C411C1"/>
    <w:rsid w:val="00C41747"/>
    <w:rsid w:val="00C422BD"/>
    <w:rsid w:val="00C42ED3"/>
    <w:rsid w:val="00C431DD"/>
    <w:rsid w:val="00C43A3B"/>
    <w:rsid w:val="00C45581"/>
    <w:rsid w:val="00C45BF0"/>
    <w:rsid w:val="00C46213"/>
    <w:rsid w:val="00C4712A"/>
    <w:rsid w:val="00C47468"/>
    <w:rsid w:val="00C47CDC"/>
    <w:rsid w:val="00C47E36"/>
    <w:rsid w:val="00C50570"/>
    <w:rsid w:val="00C50A2B"/>
    <w:rsid w:val="00C51671"/>
    <w:rsid w:val="00C5280A"/>
    <w:rsid w:val="00C52849"/>
    <w:rsid w:val="00C5401F"/>
    <w:rsid w:val="00C54922"/>
    <w:rsid w:val="00C55FE8"/>
    <w:rsid w:val="00C565D9"/>
    <w:rsid w:val="00C601EF"/>
    <w:rsid w:val="00C61825"/>
    <w:rsid w:val="00C6220B"/>
    <w:rsid w:val="00C62658"/>
    <w:rsid w:val="00C62C1C"/>
    <w:rsid w:val="00C634D6"/>
    <w:rsid w:val="00C63CF2"/>
    <w:rsid w:val="00C6440A"/>
    <w:rsid w:val="00C648FC"/>
    <w:rsid w:val="00C6521F"/>
    <w:rsid w:val="00C65EDE"/>
    <w:rsid w:val="00C65F7D"/>
    <w:rsid w:val="00C663BE"/>
    <w:rsid w:val="00C66700"/>
    <w:rsid w:val="00C66F15"/>
    <w:rsid w:val="00C70AB7"/>
    <w:rsid w:val="00C711D3"/>
    <w:rsid w:val="00C7137A"/>
    <w:rsid w:val="00C71858"/>
    <w:rsid w:val="00C722C5"/>
    <w:rsid w:val="00C74346"/>
    <w:rsid w:val="00C744AE"/>
    <w:rsid w:val="00C74781"/>
    <w:rsid w:val="00C76B87"/>
    <w:rsid w:val="00C77EBA"/>
    <w:rsid w:val="00C80034"/>
    <w:rsid w:val="00C809C7"/>
    <w:rsid w:val="00C8103F"/>
    <w:rsid w:val="00C81382"/>
    <w:rsid w:val="00C828E8"/>
    <w:rsid w:val="00C83579"/>
    <w:rsid w:val="00C83EA7"/>
    <w:rsid w:val="00C84559"/>
    <w:rsid w:val="00C847E1"/>
    <w:rsid w:val="00C84E31"/>
    <w:rsid w:val="00C86205"/>
    <w:rsid w:val="00C862C4"/>
    <w:rsid w:val="00C86977"/>
    <w:rsid w:val="00C86B34"/>
    <w:rsid w:val="00C86FFF"/>
    <w:rsid w:val="00C871C7"/>
    <w:rsid w:val="00C87BF5"/>
    <w:rsid w:val="00C91060"/>
    <w:rsid w:val="00C928FD"/>
    <w:rsid w:val="00C94441"/>
    <w:rsid w:val="00C95593"/>
    <w:rsid w:val="00C967DD"/>
    <w:rsid w:val="00CA0640"/>
    <w:rsid w:val="00CA2022"/>
    <w:rsid w:val="00CA4741"/>
    <w:rsid w:val="00CA64E9"/>
    <w:rsid w:val="00CA7A78"/>
    <w:rsid w:val="00CA7F49"/>
    <w:rsid w:val="00CB2089"/>
    <w:rsid w:val="00CB2FC0"/>
    <w:rsid w:val="00CB3C69"/>
    <w:rsid w:val="00CB4E1C"/>
    <w:rsid w:val="00CB57BF"/>
    <w:rsid w:val="00CB58C6"/>
    <w:rsid w:val="00CB5AEC"/>
    <w:rsid w:val="00CB7269"/>
    <w:rsid w:val="00CB7F82"/>
    <w:rsid w:val="00CC0B3A"/>
    <w:rsid w:val="00CC0F86"/>
    <w:rsid w:val="00CC10A6"/>
    <w:rsid w:val="00CC10B3"/>
    <w:rsid w:val="00CC27BA"/>
    <w:rsid w:val="00CC2DE4"/>
    <w:rsid w:val="00CC360E"/>
    <w:rsid w:val="00CC3B04"/>
    <w:rsid w:val="00CC3D18"/>
    <w:rsid w:val="00CC3FC7"/>
    <w:rsid w:val="00CC48D6"/>
    <w:rsid w:val="00CC63CB"/>
    <w:rsid w:val="00CC65DF"/>
    <w:rsid w:val="00CC72F5"/>
    <w:rsid w:val="00CD32FE"/>
    <w:rsid w:val="00CD350E"/>
    <w:rsid w:val="00CD3E7D"/>
    <w:rsid w:val="00CD5036"/>
    <w:rsid w:val="00CD6866"/>
    <w:rsid w:val="00CD76D4"/>
    <w:rsid w:val="00CD7893"/>
    <w:rsid w:val="00CD7911"/>
    <w:rsid w:val="00CE035D"/>
    <w:rsid w:val="00CE03CC"/>
    <w:rsid w:val="00CE1B43"/>
    <w:rsid w:val="00CE2885"/>
    <w:rsid w:val="00CE3655"/>
    <w:rsid w:val="00CE7D15"/>
    <w:rsid w:val="00CE7E6A"/>
    <w:rsid w:val="00CF018E"/>
    <w:rsid w:val="00CF030B"/>
    <w:rsid w:val="00CF23A2"/>
    <w:rsid w:val="00CF4218"/>
    <w:rsid w:val="00CF4D2B"/>
    <w:rsid w:val="00CF5D77"/>
    <w:rsid w:val="00CF6EB2"/>
    <w:rsid w:val="00CF7612"/>
    <w:rsid w:val="00D00269"/>
    <w:rsid w:val="00D007D1"/>
    <w:rsid w:val="00D00A2E"/>
    <w:rsid w:val="00D01E69"/>
    <w:rsid w:val="00D02F72"/>
    <w:rsid w:val="00D0377B"/>
    <w:rsid w:val="00D06772"/>
    <w:rsid w:val="00D07CFB"/>
    <w:rsid w:val="00D10889"/>
    <w:rsid w:val="00D10AB0"/>
    <w:rsid w:val="00D12402"/>
    <w:rsid w:val="00D12EE7"/>
    <w:rsid w:val="00D1373C"/>
    <w:rsid w:val="00D16B19"/>
    <w:rsid w:val="00D16BAD"/>
    <w:rsid w:val="00D172B8"/>
    <w:rsid w:val="00D1735B"/>
    <w:rsid w:val="00D17702"/>
    <w:rsid w:val="00D17C3D"/>
    <w:rsid w:val="00D20E91"/>
    <w:rsid w:val="00D22448"/>
    <w:rsid w:val="00D225CB"/>
    <w:rsid w:val="00D2342C"/>
    <w:rsid w:val="00D23CD2"/>
    <w:rsid w:val="00D25A9F"/>
    <w:rsid w:val="00D266ED"/>
    <w:rsid w:val="00D2734A"/>
    <w:rsid w:val="00D276CF"/>
    <w:rsid w:val="00D27729"/>
    <w:rsid w:val="00D27F25"/>
    <w:rsid w:val="00D30003"/>
    <w:rsid w:val="00D306AB"/>
    <w:rsid w:val="00D30FEE"/>
    <w:rsid w:val="00D317B7"/>
    <w:rsid w:val="00D31B40"/>
    <w:rsid w:val="00D31B93"/>
    <w:rsid w:val="00D31D5F"/>
    <w:rsid w:val="00D32293"/>
    <w:rsid w:val="00D33323"/>
    <w:rsid w:val="00D33F79"/>
    <w:rsid w:val="00D3469A"/>
    <w:rsid w:val="00D3478C"/>
    <w:rsid w:val="00D34A5C"/>
    <w:rsid w:val="00D35986"/>
    <w:rsid w:val="00D36CE3"/>
    <w:rsid w:val="00D37494"/>
    <w:rsid w:val="00D3789A"/>
    <w:rsid w:val="00D407B7"/>
    <w:rsid w:val="00D409B3"/>
    <w:rsid w:val="00D41B84"/>
    <w:rsid w:val="00D41E2D"/>
    <w:rsid w:val="00D42588"/>
    <w:rsid w:val="00D4287D"/>
    <w:rsid w:val="00D42957"/>
    <w:rsid w:val="00D43915"/>
    <w:rsid w:val="00D446E7"/>
    <w:rsid w:val="00D47015"/>
    <w:rsid w:val="00D47265"/>
    <w:rsid w:val="00D47500"/>
    <w:rsid w:val="00D4793C"/>
    <w:rsid w:val="00D60582"/>
    <w:rsid w:val="00D61222"/>
    <w:rsid w:val="00D63800"/>
    <w:rsid w:val="00D63990"/>
    <w:rsid w:val="00D64226"/>
    <w:rsid w:val="00D65068"/>
    <w:rsid w:val="00D65243"/>
    <w:rsid w:val="00D658A1"/>
    <w:rsid w:val="00D65BBD"/>
    <w:rsid w:val="00D66DC3"/>
    <w:rsid w:val="00D67E99"/>
    <w:rsid w:val="00D71057"/>
    <w:rsid w:val="00D7207C"/>
    <w:rsid w:val="00D730F6"/>
    <w:rsid w:val="00D734A2"/>
    <w:rsid w:val="00D738F0"/>
    <w:rsid w:val="00D75295"/>
    <w:rsid w:val="00D75E6C"/>
    <w:rsid w:val="00D76548"/>
    <w:rsid w:val="00D80639"/>
    <w:rsid w:val="00D82CB3"/>
    <w:rsid w:val="00D82FC0"/>
    <w:rsid w:val="00D8322A"/>
    <w:rsid w:val="00D83C17"/>
    <w:rsid w:val="00D85023"/>
    <w:rsid w:val="00D8541E"/>
    <w:rsid w:val="00D85885"/>
    <w:rsid w:val="00D8720F"/>
    <w:rsid w:val="00D87527"/>
    <w:rsid w:val="00D87652"/>
    <w:rsid w:val="00D905C2"/>
    <w:rsid w:val="00D91544"/>
    <w:rsid w:val="00D91EFC"/>
    <w:rsid w:val="00D92D08"/>
    <w:rsid w:val="00D931C8"/>
    <w:rsid w:val="00D9372E"/>
    <w:rsid w:val="00D938BE"/>
    <w:rsid w:val="00D9392E"/>
    <w:rsid w:val="00D947F0"/>
    <w:rsid w:val="00D955B9"/>
    <w:rsid w:val="00D963CC"/>
    <w:rsid w:val="00DA22D8"/>
    <w:rsid w:val="00DA2D95"/>
    <w:rsid w:val="00DA3A4F"/>
    <w:rsid w:val="00DA42C0"/>
    <w:rsid w:val="00DA50D4"/>
    <w:rsid w:val="00DA52A2"/>
    <w:rsid w:val="00DA57B0"/>
    <w:rsid w:val="00DA7AD7"/>
    <w:rsid w:val="00DA7E2F"/>
    <w:rsid w:val="00DB0C0B"/>
    <w:rsid w:val="00DB2446"/>
    <w:rsid w:val="00DB31E7"/>
    <w:rsid w:val="00DB3A66"/>
    <w:rsid w:val="00DB40BF"/>
    <w:rsid w:val="00DB4BEF"/>
    <w:rsid w:val="00DB53D1"/>
    <w:rsid w:val="00DB546B"/>
    <w:rsid w:val="00DB64D6"/>
    <w:rsid w:val="00DB74A4"/>
    <w:rsid w:val="00DB7886"/>
    <w:rsid w:val="00DB78B2"/>
    <w:rsid w:val="00DC0423"/>
    <w:rsid w:val="00DC073A"/>
    <w:rsid w:val="00DC0A7B"/>
    <w:rsid w:val="00DC1539"/>
    <w:rsid w:val="00DC1606"/>
    <w:rsid w:val="00DC2022"/>
    <w:rsid w:val="00DC230C"/>
    <w:rsid w:val="00DC26FB"/>
    <w:rsid w:val="00DC27E7"/>
    <w:rsid w:val="00DC2CE7"/>
    <w:rsid w:val="00DC301A"/>
    <w:rsid w:val="00DC5188"/>
    <w:rsid w:val="00DC5190"/>
    <w:rsid w:val="00DC6294"/>
    <w:rsid w:val="00DC6944"/>
    <w:rsid w:val="00DC6AEA"/>
    <w:rsid w:val="00DC7377"/>
    <w:rsid w:val="00DD2912"/>
    <w:rsid w:val="00DD353B"/>
    <w:rsid w:val="00DD3902"/>
    <w:rsid w:val="00DD417A"/>
    <w:rsid w:val="00DD45C1"/>
    <w:rsid w:val="00DD4849"/>
    <w:rsid w:val="00DD4E6B"/>
    <w:rsid w:val="00DD5654"/>
    <w:rsid w:val="00DE0FC0"/>
    <w:rsid w:val="00DE190A"/>
    <w:rsid w:val="00DE1A76"/>
    <w:rsid w:val="00DE31D8"/>
    <w:rsid w:val="00DE37A7"/>
    <w:rsid w:val="00DE3A31"/>
    <w:rsid w:val="00DE4F75"/>
    <w:rsid w:val="00DE5C78"/>
    <w:rsid w:val="00DE5F76"/>
    <w:rsid w:val="00DF09A4"/>
    <w:rsid w:val="00DF0DF7"/>
    <w:rsid w:val="00DF13A5"/>
    <w:rsid w:val="00DF1C93"/>
    <w:rsid w:val="00DF1E5D"/>
    <w:rsid w:val="00DF2ABA"/>
    <w:rsid w:val="00DF391A"/>
    <w:rsid w:val="00DF4084"/>
    <w:rsid w:val="00DF419C"/>
    <w:rsid w:val="00DF4A75"/>
    <w:rsid w:val="00DF51C5"/>
    <w:rsid w:val="00DF5E58"/>
    <w:rsid w:val="00DF65E6"/>
    <w:rsid w:val="00DF72C7"/>
    <w:rsid w:val="00E00CF8"/>
    <w:rsid w:val="00E00D6F"/>
    <w:rsid w:val="00E03246"/>
    <w:rsid w:val="00E03508"/>
    <w:rsid w:val="00E03C0E"/>
    <w:rsid w:val="00E04397"/>
    <w:rsid w:val="00E047DA"/>
    <w:rsid w:val="00E048BE"/>
    <w:rsid w:val="00E066DF"/>
    <w:rsid w:val="00E06CEA"/>
    <w:rsid w:val="00E07128"/>
    <w:rsid w:val="00E073C2"/>
    <w:rsid w:val="00E10AC3"/>
    <w:rsid w:val="00E10C25"/>
    <w:rsid w:val="00E1123F"/>
    <w:rsid w:val="00E12D1C"/>
    <w:rsid w:val="00E1398D"/>
    <w:rsid w:val="00E14266"/>
    <w:rsid w:val="00E14307"/>
    <w:rsid w:val="00E15911"/>
    <w:rsid w:val="00E16412"/>
    <w:rsid w:val="00E165DD"/>
    <w:rsid w:val="00E168A7"/>
    <w:rsid w:val="00E16A98"/>
    <w:rsid w:val="00E176B0"/>
    <w:rsid w:val="00E227C3"/>
    <w:rsid w:val="00E22843"/>
    <w:rsid w:val="00E23111"/>
    <w:rsid w:val="00E23B9E"/>
    <w:rsid w:val="00E23CA4"/>
    <w:rsid w:val="00E24BC3"/>
    <w:rsid w:val="00E24C79"/>
    <w:rsid w:val="00E25996"/>
    <w:rsid w:val="00E26881"/>
    <w:rsid w:val="00E26DFE"/>
    <w:rsid w:val="00E2713B"/>
    <w:rsid w:val="00E274D7"/>
    <w:rsid w:val="00E3177E"/>
    <w:rsid w:val="00E32652"/>
    <w:rsid w:val="00E32DDF"/>
    <w:rsid w:val="00E33108"/>
    <w:rsid w:val="00E3387F"/>
    <w:rsid w:val="00E34622"/>
    <w:rsid w:val="00E34657"/>
    <w:rsid w:val="00E34706"/>
    <w:rsid w:val="00E35537"/>
    <w:rsid w:val="00E36F7D"/>
    <w:rsid w:val="00E4180B"/>
    <w:rsid w:val="00E43304"/>
    <w:rsid w:val="00E43ABE"/>
    <w:rsid w:val="00E44057"/>
    <w:rsid w:val="00E44072"/>
    <w:rsid w:val="00E44438"/>
    <w:rsid w:val="00E445BD"/>
    <w:rsid w:val="00E44E71"/>
    <w:rsid w:val="00E46673"/>
    <w:rsid w:val="00E47A5F"/>
    <w:rsid w:val="00E506E7"/>
    <w:rsid w:val="00E507A5"/>
    <w:rsid w:val="00E50851"/>
    <w:rsid w:val="00E5188A"/>
    <w:rsid w:val="00E51A57"/>
    <w:rsid w:val="00E528D2"/>
    <w:rsid w:val="00E5453E"/>
    <w:rsid w:val="00E54E89"/>
    <w:rsid w:val="00E56DBA"/>
    <w:rsid w:val="00E5741D"/>
    <w:rsid w:val="00E57E0F"/>
    <w:rsid w:val="00E601CE"/>
    <w:rsid w:val="00E602CF"/>
    <w:rsid w:val="00E60A7A"/>
    <w:rsid w:val="00E60ACE"/>
    <w:rsid w:val="00E60B1D"/>
    <w:rsid w:val="00E61D98"/>
    <w:rsid w:val="00E61EE8"/>
    <w:rsid w:val="00E62061"/>
    <w:rsid w:val="00E62441"/>
    <w:rsid w:val="00E63879"/>
    <w:rsid w:val="00E63E17"/>
    <w:rsid w:val="00E643C1"/>
    <w:rsid w:val="00E647FF"/>
    <w:rsid w:val="00E650C6"/>
    <w:rsid w:val="00E66A80"/>
    <w:rsid w:val="00E66EE6"/>
    <w:rsid w:val="00E7041F"/>
    <w:rsid w:val="00E7063D"/>
    <w:rsid w:val="00E71329"/>
    <w:rsid w:val="00E71633"/>
    <w:rsid w:val="00E7206F"/>
    <w:rsid w:val="00E7218C"/>
    <w:rsid w:val="00E72689"/>
    <w:rsid w:val="00E730AA"/>
    <w:rsid w:val="00E74C7A"/>
    <w:rsid w:val="00E75B53"/>
    <w:rsid w:val="00E76251"/>
    <w:rsid w:val="00E76F52"/>
    <w:rsid w:val="00E76FA6"/>
    <w:rsid w:val="00E777E8"/>
    <w:rsid w:val="00E7785D"/>
    <w:rsid w:val="00E826D6"/>
    <w:rsid w:val="00E82B54"/>
    <w:rsid w:val="00E8380C"/>
    <w:rsid w:val="00E838B2"/>
    <w:rsid w:val="00E84521"/>
    <w:rsid w:val="00E84D6B"/>
    <w:rsid w:val="00E856B0"/>
    <w:rsid w:val="00E85D85"/>
    <w:rsid w:val="00E8628E"/>
    <w:rsid w:val="00E86868"/>
    <w:rsid w:val="00E86C2A"/>
    <w:rsid w:val="00E86CA1"/>
    <w:rsid w:val="00E87AD0"/>
    <w:rsid w:val="00E87F07"/>
    <w:rsid w:val="00E90A69"/>
    <w:rsid w:val="00E91E35"/>
    <w:rsid w:val="00E92215"/>
    <w:rsid w:val="00E93630"/>
    <w:rsid w:val="00E937B5"/>
    <w:rsid w:val="00E9442F"/>
    <w:rsid w:val="00E94495"/>
    <w:rsid w:val="00E9486B"/>
    <w:rsid w:val="00E95534"/>
    <w:rsid w:val="00E95618"/>
    <w:rsid w:val="00E95892"/>
    <w:rsid w:val="00E96326"/>
    <w:rsid w:val="00E969D2"/>
    <w:rsid w:val="00E97D83"/>
    <w:rsid w:val="00EA0CA1"/>
    <w:rsid w:val="00EA1D8B"/>
    <w:rsid w:val="00EA3158"/>
    <w:rsid w:val="00EA3249"/>
    <w:rsid w:val="00EA3C59"/>
    <w:rsid w:val="00EA4CEB"/>
    <w:rsid w:val="00EA5118"/>
    <w:rsid w:val="00EA6C56"/>
    <w:rsid w:val="00EB02F9"/>
    <w:rsid w:val="00EB0C63"/>
    <w:rsid w:val="00EB0DF0"/>
    <w:rsid w:val="00EB1A2C"/>
    <w:rsid w:val="00EB2513"/>
    <w:rsid w:val="00EB36A4"/>
    <w:rsid w:val="00EB3DF7"/>
    <w:rsid w:val="00EB3F5C"/>
    <w:rsid w:val="00EB40DC"/>
    <w:rsid w:val="00EB4A53"/>
    <w:rsid w:val="00EB4A69"/>
    <w:rsid w:val="00EB5616"/>
    <w:rsid w:val="00EB701A"/>
    <w:rsid w:val="00EB743F"/>
    <w:rsid w:val="00EC064C"/>
    <w:rsid w:val="00EC0BFA"/>
    <w:rsid w:val="00EC0D38"/>
    <w:rsid w:val="00EC0ED2"/>
    <w:rsid w:val="00EC115D"/>
    <w:rsid w:val="00EC152A"/>
    <w:rsid w:val="00EC3328"/>
    <w:rsid w:val="00EC34A9"/>
    <w:rsid w:val="00EC3934"/>
    <w:rsid w:val="00EC437F"/>
    <w:rsid w:val="00EC6F0E"/>
    <w:rsid w:val="00EC7352"/>
    <w:rsid w:val="00ED2270"/>
    <w:rsid w:val="00ED2AB9"/>
    <w:rsid w:val="00ED3818"/>
    <w:rsid w:val="00ED3B1D"/>
    <w:rsid w:val="00ED512E"/>
    <w:rsid w:val="00ED7544"/>
    <w:rsid w:val="00EE01FD"/>
    <w:rsid w:val="00EE0293"/>
    <w:rsid w:val="00EE03EC"/>
    <w:rsid w:val="00EE048D"/>
    <w:rsid w:val="00EE0ACB"/>
    <w:rsid w:val="00EE107C"/>
    <w:rsid w:val="00EE280E"/>
    <w:rsid w:val="00EE3E9C"/>
    <w:rsid w:val="00EE3FD0"/>
    <w:rsid w:val="00EE453F"/>
    <w:rsid w:val="00EE4D4C"/>
    <w:rsid w:val="00EE4FBE"/>
    <w:rsid w:val="00EF014A"/>
    <w:rsid w:val="00EF01CE"/>
    <w:rsid w:val="00EF0558"/>
    <w:rsid w:val="00EF0C03"/>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07C50"/>
    <w:rsid w:val="00F104AB"/>
    <w:rsid w:val="00F10D6B"/>
    <w:rsid w:val="00F12C08"/>
    <w:rsid w:val="00F12CDC"/>
    <w:rsid w:val="00F13E45"/>
    <w:rsid w:val="00F147C6"/>
    <w:rsid w:val="00F15830"/>
    <w:rsid w:val="00F20933"/>
    <w:rsid w:val="00F21705"/>
    <w:rsid w:val="00F22774"/>
    <w:rsid w:val="00F231FC"/>
    <w:rsid w:val="00F24AB7"/>
    <w:rsid w:val="00F24D2D"/>
    <w:rsid w:val="00F2518D"/>
    <w:rsid w:val="00F253CD"/>
    <w:rsid w:val="00F2567E"/>
    <w:rsid w:val="00F25E84"/>
    <w:rsid w:val="00F26068"/>
    <w:rsid w:val="00F26161"/>
    <w:rsid w:val="00F2706D"/>
    <w:rsid w:val="00F2723F"/>
    <w:rsid w:val="00F27ADB"/>
    <w:rsid w:val="00F31178"/>
    <w:rsid w:val="00F325F9"/>
    <w:rsid w:val="00F32971"/>
    <w:rsid w:val="00F3400B"/>
    <w:rsid w:val="00F35C44"/>
    <w:rsid w:val="00F37B6F"/>
    <w:rsid w:val="00F40C05"/>
    <w:rsid w:val="00F40E86"/>
    <w:rsid w:val="00F40E92"/>
    <w:rsid w:val="00F42168"/>
    <w:rsid w:val="00F425B3"/>
    <w:rsid w:val="00F448C5"/>
    <w:rsid w:val="00F44C78"/>
    <w:rsid w:val="00F44F38"/>
    <w:rsid w:val="00F452C0"/>
    <w:rsid w:val="00F459E6"/>
    <w:rsid w:val="00F465D8"/>
    <w:rsid w:val="00F52739"/>
    <w:rsid w:val="00F53104"/>
    <w:rsid w:val="00F537FF"/>
    <w:rsid w:val="00F53C70"/>
    <w:rsid w:val="00F55309"/>
    <w:rsid w:val="00F55C10"/>
    <w:rsid w:val="00F55C7C"/>
    <w:rsid w:val="00F562A9"/>
    <w:rsid w:val="00F56E00"/>
    <w:rsid w:val="00F56E0D"/>
    <w:rsid w:val="00F60C62"/>
    <w:rsid w:val="00F6300E"/>
    <w:rsid w:val="00F6301A"/>
    <w:rsid w:val="00F63564"/>
    <w:rsid w:val="00F63F09"/>
    <w:rsid w:val="00F645AF"/>
    <w:rsid w:val="00F64A6F"/>
    <w:rsid w:val="00F66BB5"/>
    <w:rsid w:val="00F66BC9"/>
    <w:rsid w:val="00F67946"/>
    <w:rsid w:val="00F67E8B"/>
    <w:rsid w:val="00F723D0"/>
    <w:rsid w:val="00F72B99"/>
    <w:rsid w:val="00F72CCD"/>
    <w:rsid w:val="00F72E9F"/>
    <w:rsid w:val="00F73166"/>
    <w:rsid w:val="00F73528"/>
    <w:rsid w:val="00F736F9"/>
    <w:rsid w:val="00F739E9"/>
    <w:rsid w:val="00F778B2"/>
    <w:rsid w:val="00F815E3"/>
    <w:rsid w:val="00F81620"/>
    <w:rsid w:val="00F84240"/>
    <w:rsid w:val="00F84865"/>
    <w:rsid w:val="00F849C5"/>
    <w:rsid w:val="00F851AF"/>
    <w:rsid w:val="00F85237"/>
    <w:rsid w:val="00F8564F"/>
    <w:rsid w:val="00F8609D"/>
    <w:rsid w:val="00F87DAE"/>
    <w:rsid w:val="00F9000A"/>
    <w:rsid w:val="00F9002A"/>
    <w:rsid w:val="00F906D0"/>
    <w:rsid w:val="00F90771"/>
    <w:rsid w:val="00F90CC8"/>
    <w:rsid w:val="00F93FEB"/>
    <w:rsid w:val="00F94AEA"/>
    <w:rsid w:val="00F94E43"/>
    <w:rsid w:val="00F953AB"/>
    <w:rsid w:val="00F96156"/>
    <w:rsid w:val="00F96460"/>
    <w:rsid w:val="00F97AFE"/>
    <w:rsid w:val="00F97E65"/>
    <w:rsid w:val="00FA0128"/>
    <w:rsid w:val="00FA0F09"/>
    <w:rsid w:val="00FA1786"/>
    <w:rsid w:val="00FA17C2"/>
    <w:rsid w:val="00FA215F"/>
    <w:rsid w:val="00FA2429"/>
    <w:rsid w:val="00FA3191"/>
    <w:rsid w:val="00FA375C"/>
    <w:rsid w:val="00FA4709"/>
    <w:rsid w:val="00FA5AE3"/>
    <w:rsid w:val="00FA73DD"/>
    <w:rsid w:val="00FB13C2"/>
    <w:rsid w:val="00FB27FA"/>
    <w:rsid w:val="00FB2C94"/>
    <w:rsid w:val="00FB35D3"/>
    <w:rsid w:val="00FB380D"/>
    <w:rsid w:val="00FB3C07"/>
    <w:rsid w:val="00FB3FB7"/>
    <w:rsid w:val="00FB63DD"/>
    <w:rsid w:val="00FB68A4"/>
    <w:rsid w:val="00FB76C5"/>
    <w:rsid w:val="00FB7FBE"/>
    <w:rsid w:val="00FC0824"/>
    <w:rsid w:val="00FC08C9"/>
    <w:rsid w:val="00FC0C57"/>
    <w:rsid w:val="00FC16B9"/>
    <w:rsid w:val="00FC1A99"/>
    <w:rsid w:val="00FC1DA7"/>
    <w:rsid w:val="00FC2414"/>
    <w:rsid w:val="00FC2C4D"/>
    <w:rsid w:val="00FC2E20"/>
    <w:rsid w:val="00FC3B15"/>
    <w:rsid w:val="00FC44A1"/>
    <w:rsid w:val="00FC4DEB"/>
    <w:rsid w:val="00FC50CE"/>
    <w:rsid w:val="00FC62AC"/>
    <w:rsid w:val="00FC6AC7"/>
    <w:rsid w:val="00FC77FF"/>
    <w:rsid w:val="00FC7E40"/>
    <w:rsid w:val="00FD0B5A"/>
    <w:rsid w:val="00FD0BDD"/>
    <w:rsid w:val="00FD0CF4"/>
    <w:rsid w:val="00FD1351"/>
    <w:rsid w:val="00FD189D"/>
    <w:rsid w:val="00FD2865"/>
    <w:rsid w:val="00FD3086"/>
    <w:rsid w:val="00FD4B65"/>
    <w:rsid w:val="00FD6729"/>
    <w:rsid w:val="00FD7507"/>
    <w:rsid w:val="00FD7996"/>
    <w:rsid w:val="00FD7B5E"/>
    <w:rsid w:val="00FD7CB2"/>
    <w:rsid w:val="00FD7EFE"/>
    <w:rsid w:val="00FE1B40"/>
    <w:rsid w:val="00FE2025"/>
    <w:rsid w:val="00FE2D9D"/>
    <w:rsid w:val="00FE3280"/>
    <w:rsid w:val="00FE3629"/>
    <w:rsid w:val="00FE38A6"/>
    <w:rsid w:val="00FE3975"/>
    <w:rsid w:val="00FE45B9"/>
    <w:rsid w:val="00FE4790"/>
    <w:rsid w:val="00FE49E3"/>
    <w:rsid w:val="00FE4E1B"/>
    <w:rsid w:val="00FE562B"/>
    <w:rsid w:val="00FE576E"/>
    <w:rsid w:val="00FE5FF0"/>
    <w:rsid w:val="00FE6243"/>
    <w:rsid w:val="00FE7171"/>
    <w:rsid w:val="00FE7777"/>
    <w:rsid w:val="00FE7904"/>
    <w:rsid w:val="00FE79C6"/>
    <w:rsid w:val="00FF0AD1"/>
    <w:rsid w:val="00FF1502"/>
    <w:rsid w:val="00FF2F56"/>
    <w:rsid w:val="00FF3373"/>
    <w:rsid w:val="00FF3B7B"/>
    <w:rsid w:val="00FF3F58"/>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30"/>
  <w15:docId w15:val="{C687A79C-B816-4B77-99CD-22B902712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3F2CBE"/>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qFormat/>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qFormat/>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qFormat/>
    <w:rsid w:val="00D00269"/>
    <w:pPr>
      <w:numPr>
        <w:numId w:val="3"/>
      </w:numPr>
      <w:contextualSpacing/>
    </w:pPr>
    <w:rPr>
      <w:rFonts w:ascii="Times New Roman" w:eastAsia="Times New Roman" w:hAnsi="Times New Roman" w:cs="Times New Roman"/>
      <w:sz w:val="20"/>
      <w:szCs w:val="20"/>
    </w:rPr>
  </w:style>
  <w:style w:type="character" w:customStyle="1" w:styleId="Ttulo3Car">
    <w:name w:val="Título 3 Car"/>
    <w:basedOn w:val="Fuentedeprrafopredeter"/>
    <w:link w:val="Ttulo3"/>
    <w:uiPriority w:val="9"/>
    <w:rsid w:val="003F2CBE"/>
    <w:rPr>
      <w:rFonts w:asciiTheme="majorHAnsi" w:eastAsiaTheme="majorEastAsia" w:hAnsiTheme="majorHAnsi" w:cstheme="majorBidi"/>
      <w:color w:val="243F60" w:themeColor="accent1" w:themeShade="7F"/>
      <w:lang w:val="es-MX"/>
    </w:rPr>
  </w:style>
  <w:style w:type="paragraph" w:styleId="Sangradetextonormal">
    <w:name w:val="Body Text Indent"/>
    <w:basedOn w:val="Normal"/>
    <w:link w:val="SangradetextonormalCar"/>
    <w:uiPriority w:val="99"/>
    <w:unhideWhenUsed/>
    <w:qFormat/>
    <w:rsid w:val="00834CD3"/>
    <w:pPr>
      <w:spacing w:after="120"/>
      <w:ind w:left="283"/>
    </w:pPr>
    <w:rPr>
      <w:rFonts w:ascii="Times New Roman" w:eastAsia="Times New Roman" w:hAnsi="Times New Roman" w:cs="Times New Roman"/>
      <w:sz w:val="20"/>
      <w:szCs w:val="20"/>
    </w:rPr>
  </w:style>
  <w:style w:type="character" w:customStyle="1" w:styleId="SangradetextonormalCar">
    <w:name w:val="Sangría de texto normal Car"/>
    <w:basedOn w:val="Fuentedeprrafopredeter"/>
    <w:link w:val="Sangradetextonormal"/>
    <w:uiPriority w:val="99"/>
    <w:qFormat/>
    <w:rsid w:val="00834CD3"/>
    <w:rPr>
      <w:rFonts w:ascii="Times New Roman" w:eastAsia="Times New Roman" w:hAnsi="Times New Roman" w:cs="Times New Roman"/>
      <w:sz w:val="20"/>
      <w:szCs w:val="20"/>
      <w:lang w:val="es-MX"/>
    </w:rPr>
  </w:style>
  <w:style w:type="character" w:customStyle="1" w:styleId="Mencinsinresolver4">
    <w:name w:val="Mención sin resolver4"/>
    <w:basedOn w:val="Fuentedeprrafopredeter"/>
    <w:uiPriority w:val="99"/>
    <w:semiHidden/>
    <w:unhideWhenUsed/>
    <w:rsid w:val="00E44E71"/>
    <w:rPr>
      <w:color w:val="605E5C"/>
      <w:shd w:val="clear" w:color="auto" w:fill="E1DFDD"/>
    </w:rPr>
  </w:style>
  <w:style w:type="table" w:styleId="Tablanormal1">
    <w:name w:val="Plain Table 1"/>
    <w:basedOn w:val="Tablanormal"/>
    <w:uiPriority w:val="41"/>
    <w:rsid w:val="0071001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5907675151158779931gmail-msolistparagraph">
    <w:name w:val="m_5907675151158779931gmail-msolistparagraph"/>
    <w:basedOn w:val="Normal"/>
    <w:rsid w:val="00671FDF"/>
    <w:pPr>
      <w:spacing w:before="100" w:beforeAutospacing="1" w:after="100" w:afterAutospacing="1"/>
    </w:pPr>
    <w:rPr>
      <w:rFonts w:ascii="Times New Roman" w:eastAsia="Times New Roman" w:hAnsi="Times New Roman" w:cs="Times New Roman"/>
      <w:lang w:eastAsia="es-MX"/>
    </w:rPr>
  </w:style>
  <w:style w:type="paragraph" w:customStyle="1" w:styleId="m1609377113336227858gmail-msonormal">
    <w:name w:val="m_1609377113336227858gmail-msonormal"/>
    <w:basedOn w:val="Normal"/>
    <w:rsid w:val="00751F6F"/>
    <w:pPr>
      <w:spacing w:before="100" w:beforeAutospacing="1" w:after="100" w:afterAutospacing="1"/>
    </w:pPr>
    <w:rPr>
      <w:rFonts w:ascii="Times New Roman" w:eastAsia="Times New Roman" w:hAnsi="Times New Roman" w:cs="Times New Roman"/>
      <w:lang w:val="es-ES"/>
    </w:rPr>
  </w:style>
  <w:style w:type="character" w:customStyle="1" w:styleId="Mencinsinresolver5">
    <w:name w:val="Mención sin resolver5"/>
    <w:basedOn w:val="Fuentedeprrafopredeter"/>
    <w:uiPriority w:val="99"/>
    <w:semiHidden/>
    <w:unhideWhenUsed/>
    <w:rsid w:val="003948DE"/>
    <w:rPr>
      <w:color w:val="605E5C"/>
      <w:shd w:val="clear" w:color="auto" w:fill="E1DFDD"/>
    </w:rPr>
  </w:style>
  <w:style w:type="paragraph" w:customStyle="1" w:styleId="Citas">
    <w:name w:val="Citas"/>
    <w:basedOn w:val="Normal"/>
    <w:qFormat/>
    <w:rsid w:val="001D726F"/>
    <w:pPr>
      <w:spacing w:before="240" w:after="160" w:line="360" w:lineRule="auto"/>
      <w:ind w:left="851" w:right="851"/>
      <w:jc w:val="both"/>
    </w:pPr>
    <w:rPr>
      <w:rFonts w:ascii="Palatino Linotype" w:eastAsiaTheme="minorHAnsi" w:hAnsi="Palatino Linotype" w:cs="Arial"/>
      <w:i/>
      <w:sz w:val="22"/>
      <w:szCs w:val="22"/>
      <w:lang w:eastAsia="en-US"/>
    </w:rPr>
  </w:style>
  <w:style w:type="paragraph" w:customStyle="1" w:styleId="m-698976158124685028gmail-msolistparagraph">
    <w:name w:val="m_-69897615812468502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483811427706604298gmail-msolistparagraph">
    <w:name w:val="m_-698976158124685028gmail-m483811427706604298gmail-msolistparagraph"/>
    <w:basedOn w:val="Normal"/>
    <w:rsid w:val="005C0828"/>
    <w:pPr>
      <w:spacing w:before="100" w:beforeAutospacing="1" w:after="100" w:afterAutospacing="1"/>
    </w:pPr>
    <w:rPr>
      <w:rFonts w:ascii="Times New Roman" w:eastAsia="Times New Roman" w:hAnsi="Times New Roman" w:cs="Times New Roman"/>
      <w:lang w:eastAsia="es-MX"/>
    </w:rPr>
  </w:style>
  <w:style w:type="paragraph" w:customStyle="1" w:styleId="m-698976158124685028gmail-msonormal">
    <w:name w:val="m_-698976158124685028gmail-msonormal"/>
    <w:basedOn w:val="Normal"/>
    <w:rsid w:val="005C0828"/>
    <w:pPr>
      <w:spacing w:before="100" w:beforeAutospacing="1" w:after="100" w:afterAutospacing="1"/>
    </w:pPr>
    <w:rPr>
      <w:rFonts w:ascii="Times New Roman" w:eastAsia="Times New Roman" w:hAnsi="Times New Roman" w:cs="Times New Roman"/>
      <w:lang w:eastAsia="es-MX"/>
    </w:rPr>
  </w:style>
  <w:style w:type="character" w:customStyle="1" w:styleId="m-698976158124685028gmail-apple-converted-space">
    <w:name w:val="m_-698976158124685028gmail-apple-converted-space"/>
    <w:basedOn w:val="Fuentedeprrafopredeter"/>
    <w:rsid w:val="005C0828"/>
  </w:style>
  <w:style w:type="character" w:customStyle="1" w:styleId="il">
    <w:name w:val="il"/>
    <w:basedOn w:val="Fuentedeprrafopredeter"/>
    <w:rsid w:val="009334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3737">
      <w:bodyDiv w:val="1"/>
      <w:marLeft w:val="0"/>
      <w:marRight w:val="0"/>
      <w:marTop w:val="0"/>
      <w:marBottom w:val="0"/>
      <w:divBdr>
        <w:top w:val="none" w:sz="0" w:space="0" w:color="auto"/>
        <w:left w:val="none" w:sz="0" w:space="0" w:color="auto"/>
        <w:bottom w:val="none" w:sz="0" w:space="0" w:color="auto"/>
        <w:right w:val="none" w:sz="0" w:space="0" w:color="auto"/>
      </w:divBdr>
    </w:div>
    <w:div w:id="14580405">
      <w:bodyDiv w:val="1"/>
      <w:marLeft w:val="0"/>
      <w:marRight w:val="0"/>
      <w:marTop w:val="0"/>
      <w:marBottom w:val="0"/>
      <w:divBdr>
        <w:top w:val="none" w:sz="0" w:space="0" w:color="auto"/>
        <w:left w:val="none" w:sz="0" w:space="0" w:color="auto"/>
        <w:bottom w:val="none" w:sz="0" w:space="0" w:color="auto"/>
        <w:right w:val="none" w:sz="0" w:space="0" w:color="auto"/>
      </w:divBdr>
    </w:div>
    <w:div w:id="23751835">
      <w:bodyDiv w:val="1"/>
      <w:marLeft w:val="0"/>
      <w:marRight w:val="0"/>
      <w:marTop w:val="0"/>
      <w:marBottom w:val="0"/>
      <w:divBdr>
        <w:top w:val="none" w:sz="0" w:space="0" w:color="auto"/>
        <w:left w:val="none" w:sz="0" w:space="0" w:color="auto"/>
        <w:bottom w:val="none" w:sz="0" w:space="0" w:color="auto"/>
        <w:right w:val="none" w:sz="0" w:space="0" w:color="auto"/>
      </w:divBdr>
    </w:div>
    <w:div w:id="25835703">
      <w:bodyDiv w:val="1"/>
      <w:marLeft w:val="0"/>
      <w:marRight w:val="0"/>
      <w:marTop w:val="0"/>
      <w:marBottom w:val="0"/>
      <w:divBdr>
        <w:top w:val="none" w:sz="0" w:space="0" w:color="auto"/>
        <w:left w:val="none" w:sz="0" w:space="0" w:color="auto"/>
        <w:bottom w:val="none" w:sz="0" w:space="0" w:color="auto"/>
        <w:right w:val="none" w:sz="0" w:space="0" w:color="auto"/>
      </w:divBdr>
    </w:div>
    <w:div w:id="37825140">
      <w:bodyDiv w:val="1"/>
      <w:marLeft w:val="0"/>
      <w:marRight w:val="0"/>
      <w:marTop w:val="0"/>
      <w:marBottom w:val="0"/>
      <w:divBdr>
        <w:top w:val="none" w:sz="0" w:space="0" w:color="auto"/>
        <w:left w:val="none" w:sz="0" w:space="0" w:color="auto"/>
        <w:bottom w:val="none" w:sz="0" w:space="0" w:color="auto"/>
        <w:right w:val="none" w:sz="0" w:space="0" w:color="auto"/>
      </w:divBdr>
    </w:div>
    <w:div w:id="43335137">
      <w:bodyDiv w:val="1"/>
      <w:marLeft w:val="0"/>
      <w:marRight w:val="0"/>
      <w:marTop w:val="0"/>
      <w:marBottom w:val="0"/>
      <w:divBdr>
        <w:top w:val="none" w:sz="0" w:space="0" w:color="auto"/>
        <w:left w:val="none" w:sz="0" w:space="0" w:color="auto"/>
        <w:bottom w:val="none" w:sz="0" w:space="0" w:color="auto"/>
        <w:right w:val="none" w:sz="0" w:space="0" w:color="auto"/>
      </w:divBdr>
    </w:div>
    <w:div w:id="44454693">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46629830">
      <w:bodyDiv w:val="1"/>
      <w:marLeft w:val="0"/>
      <w:marRight w:val="0"/>
      <w:marTop w:val="0"/>
      <w:marBottom w:val="0"/>
      <w:divBdr>
        <w:top w:val="none" w:sz="0" w:space="0" w:color="auto"/>
        <w:left w:val="none" w:sz="0" w:space="0" w:color="auto"/>
        <w:bottom w:val="none" w:sz="0" w:space="0" w:color="auto"/>
        <w:right w:val="none" w:sz="0" w:space="0" w:color="auto"/>
      </w:divBdr>
    </w:div>
    <w:div w:id="155343392">
      <w:bodyDiv w:val="1"/>
      <w:marLeft w:val="0"/>
      <w:marRight w:val="0"/>
      <w:marTop w:val="0"/>
      <w:marBottom w:val="0"/>
      <w:divBdr>
        <w:top w:val="none" w:sz="0" w:space="0" w:color="auto"/>
        <w:left w:val="none" w:sz="0" w:space="0" w:color="auto"/>
        <w:bottom w:val="none" w:sz="0" w:space="0" w:color="auto"/>
        <w:right w:val="none" w:sz="0" w:space="0" w:color="auto"/>
      </w:divBdr>
    </w:div>
    <w:div w:id="15731230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11813908">
      <w:bodyDiv w:val="1"/>
      <w:marLeft w:val="0"/>
      <w:marRight w:val="0"/>
      <w:marTop w:val="0"/>
      <w:marBottom w:val="0"/>
      <w:divBdr>
        <w:top w:val="none" w:sz="0" w:space="0" w:color="auto"/>
        <w:left w:val="none" w:sz="0" w:space="0" w:color="auto"/>
        <w:bottom w:val="none" w:sz="0" w:space="0" w:color="auto"/>
        <w:right w:val="none" w:sz="0" w:space="0" w:color="auto"/>
      </w:divBdr>
    </w:div>
    <w:div w:id="214586375">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33976431">
      <w:bodyDiv w:val="1"/>
      <w:marLeft w:val="0"/>
      <w:marRight w:val="0"/>
      <w:marTop w:val="0"/>
      <w:marBottom w:val="0"/>
      <w:divBdr>
        <w:top w:val="none" w:sz="0" w:space="0" w:color="auto"/>
        <w:left w:val="none" w:sz="0" w:space="0" w:color="auto"/>
        <w:bottom w:val="none" w:sz="0" w:space="0" w:color="auto"/>
        <w:right w:val="none" w:sz="0" w:space="0" w:color="auto"/>
      </w:divBdr>
    </w:div>
    <w:div w:id="241263730">
      <w:bodyDiv w:val="1"/>
      <w:marLeft w:val="0"/>
      <w:marRight w:val="0"/>
      <w:marTop w:val="0"/>
      <w:marBottom w:val="0"/>
      <w:divBdr>
        <w:top w:val="none" w:sz="0" w:space="0" w:color="auto"/>
        <w:left w:val="none" w:sz="0" w:space="0" w:color="auto"/>
        <w:bottom w:val="none" w:sz="0" w:space="0" w:color="auto"/>
        <w:right w:val="none" w:sz="0" w:space="0" w:color="auto"/>
      </w:divBdr>
    </w:div>
    <w:div w:id="255603561">
      <w:bodyDiv w:val="1"/>
      <w:marLeft w:val="0"/>
      <w:marRight w:val="0"/>
      <w:marTop w:val="0"/>
      <w:marBottom w:val="0"/>
      <w:divBdr>
        <w:top w:val="none" w:sz="0" w:space="0" w:color="auto"/>
        <w:left w:val="none" w:sz="0" w:space="0" w:color="auto"/>
        <w:bottom w:val="none" w:sz="0" w:space="0" w:color="auto"/>
        <w:right w:val="none" w:sz="0" w:space="0" w:color="auto"/>
      </w:divBdr>
    </w:div>
    <w:div w:id="265507823">
      <w:bodyDiv w:val="1"/>
      <w:marLeft w:val="0"/>
      <w:marRight w:val="0"/>
      <w:marTop w:val="0"/>
      <w:marBottom w:val="0"/>
      <w:divBdr>
        <w:top w:val="none" w:sz="0" w:space="0" w:color="auto"/>
        <w:left w:val="none" w:sz="0" w:space="0" w:color="auto"/>
        <w:bottom w:val="none" w:sz="0" w:space="0" w:color="auto"/>
        <w:right w:val="none" w:sz="0" w:space="0" w:color="auto"/>
      </w:divBdr>
    </w:div>
    <w:div w:id="269974517">
      <w:bodyDiv w:val="1"/>
      <w:marLeft w:val="0"/>
      <w:marRight w:val="0"/>
      <w:marTop w:val="0"/>
      <w:marBottom w:val="0"/>
      <w:divBdr>
        <w:top w:val="none" w:sz="0" w:space="0" w:color="auto"/>
        <w:left w:val="none" w:sz="0" w:space="0" w:color="auto"/>
        <w:bottom w:val="none" w:sz="0" w:space="0" w:color="auto"/>
        <w:right w:val="none" w:sz="0" w:space="0" w:color="auto"/>
      </w:divBdr>
    </w:div>
    <w:div w:id="272250608">
      <w:bodyDiv w:val="1"/>
      <w:marLeft w:val="0"/>
      <w:marRight w:val="0"/>
      <w:marTop w:val="0"/>
      <w:marBottom w:val="0"/>
      <w:divBdr>
        <w:top w:val="none" w:sz="0" w:space="0" w:color="auto"/>
        <w:left w:val="none" w:sz="0" w:space="0" w:color="auto"/>
        <w:bottom w:val="none" w:sz="0" w:space="0" w:color="auto"/>
        <w:right w:val="none" w:sz="0" w:space="0" w:color="auto"/>
      </w:divBdr>
    </w:div>
    <w:div w:id="297146159">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299388917">
      <w:bodyDiv w:val="1"/>
      <w:marLeft w:val="0"/>
      <w:marRight w:val="0"/>
      <w:marTop w:val="0"/>
      <w:marBottom w:val="0"/>
      <w:divBdr>
        <w:top w:val="none" w:sz="0" w:space="0" w:color="auto"/>
        <w:left w:val="none" w:sz="0" w:space="0" w:color="auto"/>
        <w:bottom w:val="none" w:sz="0" w:space="0" w:color="auto"/>
        <w:right w:val="none" w:sz="0" w:space="0" w:color="auto"/>
      </w:divBdr>
    </w:div>
    <w:div w:id="326716760">
      <w:bodyDiv w:val="1"/>
      <w:marLeft w:val="0"/>
      <w:marRight w:val="0"/>
      <w:marTop w:val="0"/>
      <w:marBottom w:val="0"/>
      <w:divBdr>
        <w:top w:val="none" w:sz="0" w:space="0" w:color="auto"/>
        <w:left w:val="none" w:sz="0" w:space="0" w:color="auto"/>
        <w:bottom w:val="none" w:sz="0" w:space="0" w:color="auto"/>
        <w:right w:val="none" w:sz="0" w:space="0" w:color="auto"/>
      </w:divBdr>
    </w:div>
    <w:div w:id="359278069">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368992500">
      <w:bodyDiv w:val="1"/>
      <w:marLeft w:val="0"/>
      <w:marRight w:val="0"/>
      <w:marTop w:val="0"/>
      <w:marBottom w:val="0"/>
      <w:divBdr>
        <w:top w:val="none" w:sz="0" w:space="0" w:color="auto"/>
        <w:left w:val="none" w:sz="0" w:space="0" w:color="auto"/>
        <w:bottom w:val="none" w:sz="0" w:space="0" w:color="auto"/>
        <w:right w:val="none" w:sz="0" w:space="0" w:color="auto"/>
      </w:divBdr>
    </w:div>
    <w:div w:id="370999639">
      <w:bodyDiv w:val="1"/>
      <w:marLeft w:val="0"/>
      <w:marRight w:val="0"/>
      <w:marTop w:val="0"/>
      <w:marBottom w:val="0"/>
      <w:divBdr>
        <w:top w:val="none" w:sz="0" w:space="0" w:color="auto"/>
        <w:left w:val="none" w:sz="0" w:space="0" w:color="auto"/>
        <w:bottom w:val="none" w:sz="0" w:space="0" w:color="auto"/>
        <w:right w:val="none" w:sz="0" w:space="0" w:color="auto"/>
      </w:divBdr>
    </w:div>
    <w:div w:id="377243701">
      <w:bodyDiv w:val="1"/>
      <w:marLeft w:val="0"/>
      <w:marRight w:val="0"/>
      <w:marTop w:val="0"/>
      <w:marBottom w:val="0"/>
      <w:divBdr>
        <w:top w:val="none" w:sz="0" w:space="0" w:color="auto"/>
        <w:left w:val="none" w:sz="0" w:space="0" w:color="auto"/>
        <w:bottom w:val="none" w:sz="0" w:space="0" w:color="auto"/>
        <w:right w:val="none" w:sz="0" w:space="0" w:color="auto"/>
      </w:divBdr>
    </w:div>
    <w:div w:id="378748397">
      <w:bodyDiv w:val="1"/>
      <w:marLeft w:val="0"/>
      <w:marRight w:val="0"/>
      <w:marTop w:val="0"/>
      <w:marBottom w:val="0"/>
      <w:divBdr>
        <w:top w:val="none" w:sz="0" w:space="0" w:color="auto"/>
        <w:left w:val="none" w:sz="0" w:space="0" w:color="auto"/>
        <w:bottom w:val="none" w:sz="0" w:space="0" w:color="auto"/>
        <w:right w:val="none" w:sz="0" w:space="0" w:color="auto"/>
      </w:divBdr>
      <w:divsChild>
        <w:div w:id="1951088865">
          <w:marLeft w:val="0"/>
          <w:marRight w:val="0"/>
          <w:marTop w:val="0"/>
          <w:marBottom w:val="0"/>
          <w:divBdr>
            <w:top w:val="none" w:sz="0" w:space="0" w:color="auto"/>
            <w:left w:val="none" w:sz="0" w:space="0" w:color="auto"/>
            <w:bottom w:val="none" w:sz="0" w:space="0" w:color="auto"/>
            <w:right w:val="none" w:sz="0" w:space="0" w:color="auto"/>
          </w:divBdr>
        </w:div>
      </w:divsChild>
    </w:div>
    <w:div w:id="380059603">
      <w:bodyDiv w:val="1"/>
      <w:marLeft w:val="0"/>
      <w:marRight w:val="0"/>
      <w:marTop w:val="0"/>
      <w:marBottom w:val="0"/>
      <w:divBdr>
        <w:top w:val="none" w:sz="0" w:space="0" w:color="auto"/>
        <w:left w:val="none" w:sz="0" w:space="0" w:color="auto"/>
        <w:bottom w:val="none" w:sz="0" w:space="0" w:color="auto"/>
        <w:right w:val="none" w:sz="0" w:space="0" w:color="auto"/>
      </w:divBdr>
    </w:div>
    <w:div w:id="409498868">
      <w:bodyDiv w:val="1"/>
      <w:marLeft w:val="0"/>
      <w:marRight w:val="0"/>
      <w:marTop w:val="0"/>
      <w:marBottom w:val="0"/>
      <w:divBdr>
        <w:top w:val="none" w:sz="0" w:space="0" w:color="auto"/>
        <w:left w:val="none" w:sz="0" w:space="0" w:color="auto"/>
        <w:bottom w:val="none" w:sz="0" w:space="0" w:color="auto"/>
        <w:right w:val="none" w:sz="0" w:space="0" w:color="auto"/>
      </w:divBdr>
    </w:div>
    <w:div w:id="424226963">
      <w:bodyDiv w:val="1"/>
      <w:marLeft w:val="0"/>
      <w:marRight w:val="0"/>
      <w:marTop w:val="0"/>
      <w:marBottom w:val="0"/>
      <w:divBdr>
        <w:top w:val="none" w:sz="0" w:space="0" w:color="auto"/>
        <w:left w:val="none" w:sz="0" w:space="0" w:color="auto"/>
        <w:bottom w:val="none" w:sz="0" w:space="0" w:color="auto"/>
        <w:right w:val="none" w:sz="0" w:space="0" w:color="auto"/>
      </w:divBdr>
    </w:div>
    <w:div w:id="424501615">
      <w:bodyDiv w:val="1"/>
      <w:marLeft w:val="0"/>
      <w:marRight w:val="0"/>
      <w:marTop w:val="0"/>
      <w:marBottom w:val="0"/>
      <w:divBdr>
        <w:top w:val="none" w:sz="0" w:space="0" w:color="auto"/>
        <w:left w:val="none" w:sz="0" w:space="0" w:color="auto"/>
        <w:bottom w:val="none" w:sz="0" w:space="0" w:color="auto"/>
        <w:right w:val="none" w:sz="0" w:space="0" w:color="auto"/>
      </w:divBdr>
    </w:div>
    <w:div w:id="435711760">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469978788">
      <w:bodyDiv w:val="1"/>
      <w:marLeft w:val="0"/>
      <w:marRight w:val="0"/>
      <w:marTop w:val="0"/>
      <w:marBottom w:val="0"/>
      <w:divBdr>
        <w:top w:val="none" w:sz="0" w:space="0" w:color="auto"/>
        <w:left w:val="none" w:sz="0" w:space="0" w:color="auto"/>
        <w:bottom w:val="none" w:sz="0" w:space="0" w:color="auto"/>
        <w:right w:val="none" w:sz="0" w:space="0" w:color="auto"/>
      </w:divBdr>
    </w:div>
    <w:div w:id="498349527">
      <w:bodyDiv w:val="1"/>
      <w:marLeft w:val="0"/>
      <w:marRight w:val="0"/>
      <w:marTop w:val="0"/>
      <w:marBottom w:val="0"/>
      <w:divBdr>
        <w:top w:val="none" w:sz="0" w:space="0" w:color="auto"/>
        <w:left w:val="none" w:sz="0" w:space="0" w:color="auto"/>
        <w:bottom w:val="none" w:sz="0" w:space="0" w:color="auto"/>
        <w:right w:val="none" w:sz="0" w:space="0" w:color="auto"/>
      </w:divBdr>
    </w:div>
    <w:div w:id="512652635">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0556417">
      <w:bodyDiv w:val="1"/>
      <w:marLeft w:val="0"/>
      <w:marRight w:val="0"/>
      <w:marTop w:val="0"/>
      <w:marBottom w:val="0"/>
      <w:divBdr>
        <w:top w:val="none" w:sz="0" w:space="0" w:color="auto"/>
        <w:left w:val="none" w:sz="0" w:space="0" w:color="auto"/>
        <w:bottom w:val="none" w:sz="0" w:space="0" w:color="auto"/>
        <w:right w:val="none" w:sz="0" w:space="0" w:color="auto"/>
      </w:divBdr>
    </w:div>
    <w:div w:id="550655133">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401633">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16330902">
      <w:bodyDiv w:val="1"/>
      <w:marLeft w:val="0"/>
      <w:marRight w:val="0"/>
      <w:marTop w:val="0"/>
      <w:marBottom w:val="0"/>
      <w:divBdr>
        <w:top w:val="none" w:sz="0" w:space="0" w:color="auto"/>
        <w:left w:val="none" w:sz="0" w:space="0" w:color="auto"/>
        <w:bottom w:val="none" w:sz="0" w:space="0" w:color="auto"/>
        <w:right w:val="none" w:sz="0" w:space="0" w:color="auto"/>
      </w:divBdr>
    </w:div>
    <w:div w:id="622615097">
      <w:bodyDiv w:val="1"/>
      <w:marLeft w:val="0"/>
      <w:marRight w:val="0"/>
      <w:marTop w:val="0"/>
      <w:marBottom w:val="0"/>
      <w:divBdr>
        <w:top w:val="none" w:sz="0" w:space="0" w:color="auto"/>
        <w:left w:val="none" w:sz="0" w:space="0" w:color="auto"/>
        <w:bottom w:val="none" w:sz="0" w:space="0" w:color="auto"/>
        <w:right w:val="none" w:sz="0" w:space="0" w:color="auto"/>
      </w:divBdr>
    </w:div>
    <w:div w:id="630675422">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646589492">
      <w:bodyDiv w:val="1"/>
      <w:marLeft w:val="0"/>
      <w:marRight w:val="0"/>
      <w:marTop w:val="0"/>
      <w:marBottom w:val="0"/>
      <w:divBdr>
        <w:top w:val="none" w:sz="0" w:space="0" w:color="auto"/>
        <w:left w:val="none" w:sz="0" w:space="0" w:color="auto"/>
        <w:bottom w:val="none" w:sz="0" w:space="0" w:color="auto"/>
        <w:right w:val="none" w:sz="0" w:space="0" w:color="auto"/>
      </w:divBdr>
    </w:div>
    <w:div w:id="696583510">
      <w:bodyDiv w:val="1"/>
      <w:marLeft w:val="0"/>
      <w:marRight w:val="0"/>
      <w:marTop w:val="0"/>
      <w:marBottom w:val="0"/>
      <w:divBdr>
        <w:top w:val="none" w:sz="0" w:space="0" w:color="auto"/>
        <w:left w:val="none" w:sz="0" w:space="0" w:color="auto"/>
        <w:bottom w:val="none" w:sz="0" w:space="0" w:color="auto"/>
        <w:right w:val="none" w:sz="0" w:space="0" w:color="auto"/>
      </w:divBdr>
    </w:div>
    <w:div w:id="699471327">
      <w:bodyDiv w:val="1"/>
      <w:marLeft w:val="0"/>
      <w:marRight w:val="0"/>
      <w:marTop w:val="0"/>
      <w:marBottom w:val="0"/>
      <w:divBdr>
        <w:top w:val="none" w:sz="0" w:space="0" w:color="auto"/>
        <w:left w:val="none" w:sz="0" w:space="0" w:color="auto"/>
        <w:bottom w:val="none" w:sz="0" w:space="0" w:color="auto"/>
        <w:right w:val="none" w:sz="0" w:space="0" w:color="auto"/>
      </w:divBdr>
    </w:div>
    <w:div w:id="699673068">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30926545">
      <w:bodyDiv w:val="1"/>
      <w:marLeft w:val="0"/>
      <w:marRight w:val="0"/>
      <w:marTop w:val="0"/>
      <w:marBottom w:val="0"/>
      <w:divBdr>
        <w:top w:val="none" w:sz="0" w:space="0" w:color="auto"/>
        <w:left w:val="none" w:sz="0" w:space="0" w:color="auto"/>
        <w:bottom w:val="none" w:sz="0" w:space="0" w:color="auto"/>
        <w:right w:val="none" w:sz="0" w:space="0" w:color="auto"/>
      </w:divBdr>
      <w:divsChild>
        <w:div w:id="283779620">
          <w:marLeft w:val="0"/>
          <w:marRight w:val="0"/>
          <w:marTop w:val="0"/>
          <w:marBottom w:val="0"/>
          <w:divBdr>
            <w:top w:val="none" w:sz="0" w:space="0" w:color="auto"/>
            <w:left w:val="none" w:sz="0" w:space="0" w:color="auto"/>
            <w:bottom w:val="none" w:sz="0" w:space="0" w:color="auto"/>
            <w:right w:val="none" w:sz="0" w:space="0" w:color="auto"/>
          </w:divBdr>
        </w:div>
        <w:div w:id="1276910018">
          <w:marLeft w:val="0"/>
          <w:marRight w:val="0"/>
          <w:marTop w:val="0"/>
          <w:marBottom w:val="0"/>
          <w:divBdr>
            <w:top w:val="none" w:sz="0" w:space="0" w:color="auto"/>
            <w:left w:val="none" w:sz="0" w:space="0" w:color="auto"/>
            <w:bottom w:val="none" w:sz="0" w:space="0" w:color="auto"/>
            <w:right w:val="none" w:sz="0" w:space="0" w:color="auto"/>
          </w:divBdr>
        </w:div>
      </w:divsChild>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758867410">
      <w:bodyDiv w:val="1"/>
      <w:marLeft w:val="0"/>
      <w:marRight w:val="0"/>
      <w:marTop w:val="0"/>
      <w:marBottom w:val="0"/>
      <w:divBdr>
        <w:top w:val="none" w:sz="0" w:space="0" w:color="auto"/>
        <w:left w:val="none" w:sz="0" w:space="0" w:color="auto"/>
        <w:bottom w:val="none" w:sz="0" w:space="0" w:color="auto"/>
        <w:right w:val="none" w:sz="0" w:space="0" w:color="auto"/>
      </w:divBdr>
    </w:div>
    <w:div w:id="761800739">
      <w:bodyDiv w:val="1"/>
      <w:marLeft w:val="0"/>
      <w:marRight w:val="0"/>
      <w:marTop w:val="0"/>
      <w:marBottom w:val="0"/>
      <w:divBdr>
        <w:top w:val="none" w:sz="0" w:space="0" w:color="auto"/>
        <w:left w:val="none" w:sz="0" w:space="0" w:color="auto"/>
        <w:bottom w:val="none" w:sz="0" w:space="0" w:color="auto"/>
        <w:right w:val="none" w:sz="0" w:space="0" w:color="auto"/>
      </w:divBdr>
    </w:div>
    <w:div w:id="767434802">
      <w:bodyDiv w:val="1"/>
      <w:marLeft w:val="0"/>
      <w:marRight w:val="0"/>
      <w:marTop w:val="0"/>
      <w:marBottom w:val="0"/>
      <w:divBdr>
        <w:top w:val="none" w:sz="0" w:space="0" w:color="auto"/>
        <w:left w:val="none" w:sz="0" w:space="0" w:color="auto"/>
        <w:bottom w:val="none" w:sz="0" w:space="0" w:color="auto"/>
        <w:right w:val="none" w:sz="0" w:space="0" w:color="auto"/>
      </w:divBdr>
    </w:div>
    <w:div w:id="769158194">
      <w:bodyDiv w:val="1"/>
      <w:marLeft w:val="0"/>
      <w:marRight w:val="0"/>
      <w:marTop w:val="0"/>
      <w:marBottom w:val="0"/>
      <w:divBdr>
        <w:top w:val="none" w:sz="0" w:space="0" w:color="auto"/>
        <w:left w:val="none" w:sz="0" w:space="0" w:color="auto"/>
        <w:bottom w:val="none" w:sz="0" w:space="0" w:color="auto"/>
        <w:right w:val="none" w:sz="0" w:space="0" w:color="auto"/>
      </w:divBdr>
    </w:div>
    <w:div w:id="770055826">
      <w:bodyDiv w:val="1"/>
      <w:marLeft w:val="0"/>
      <w:marRight w:val="0"/>
      <w:marTop w:val="0"/>
      <w:marBottom w:val="0"/>
      <w:divBdr>
        <w:top w:val="none" w:sz="0" w:space="0" w:color="auto"/>
        <w:left w:val="none" w:sz="0" w:space="0" w:color="auto"/>
        <w:bottom w:val="none" w:sz="0" w:space="0" w:color="auto"/>
        <w:right w:val="none" w:sz="0" w:space="0" w:color="auto"/>
      </w:divBdr>
    </w:div>
    <w:div w:id="772750422">
      <w:bodyDiv w:val="1"/>
      <w:marLeft w:val="0"/>
      <w:marRight w:val="0"/>
      <w:marTop w:val="0"/>
      <w:marBottom w:val="0"/>
      <w:divBdr>
        <w:top w:val="none" w:sz="0" w:space="0" w:color="auto"/>
        <w:left w:val="none" w:sz="0" w:space="0" w:color="auto"/>
        <w:bottom w:val="none" w:sz="0" w:space="0" w:color="auto"/>
        <w:right w:val="none" w:sz="0" w:space="0" w:color="auto"/>
      </w:divBdr>
    </w:div>
    <w:div w:id="775756615">
      <w:bodyDiv w:val="1"/>
      <w:marLeft w:val="0"/>
      <w:marRight w:val="0"/>
      <w:marTop w:val="0"/>
      <w:marBottom w:val="0"/>
      <w:divBdr>
        <w:top w:val="none" w:sz="0" w:space="0" w:color="auto"/>
        <w:left w:val="none" w:sz="0" w:space="0" w:color="auto"/>
        <w:bottom w:val="none" w:sz="0" w:space="0" w:color="auto"/>
        <w:right w:val="none" w:sz="0" w:space="0" w:color="auto"/>
      </w:divBdr>
    </w:div>
    <w:div w:id="787506829">
      <w:bodyDiv w:val="1"/>
      <w:marLeft w:val="0"/>
      <w:marRight w:val="0"/>
      <w:marTop w:val="0"/>
      <w:marBottom w:val="0"/>
      <w:divBdr>
        <w:top w:val="none" w:sz="0" w:space="0" w:color="auto"/>
        <w:left w:val="none" w:sz="0" w:space="0" w:color="auto"/>
        <w:bottom w:val="none" w:sz="0" w:space="0" w:color="auto"/>
        <w:right w:val="none" w:sz="0" w:space="0" w:color="auto"/>
      </w:divBdr>
    </w:div>
    <w:div w:id="814569090">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135505">
      <w:bodyDiv w:val="1"/>
      <w:marLeft w:val="0"/>
      <w:marRight w:val="0"/>
      <w:marTop w:val="0"/>
      <w:marBottom w:val="0"/>
      <w:divBdr>
        <w:top w:val="none" w:sz="0" w:space="0" w:color="auto"/>
        <w:left w:val="none" w:sz="0" w:space="0" w:color="auto"/>
        <w:bottom w:val="none" w:sz="0" w:space="0" w:color="auto"/>
        <w:right w:val="none" w:sz="0" w:space="0" w:color="auto"/>
      </w:divBdr>
    </w:div>
    <w:div w:id="835732966">
      <w:bodyDiv w:val="1"/>
      <w:marLeft w:val="0"/>
      <w:marRight w:val="0"/>
      <w:marTop w:val="0"/>
      <w:marBottom w:val="0"/>
      <w:divBdr>
        <w:top w:val="none" w:sz="0" w:space="0" w:color="auto"/>
        <w:left w:val="none" w:sz="0" w:space="0" w:color="auto"/>
        <w:bottom w:val="none" w:sz="0" w:space="0" w:color="auto"/>
        <w:right w:val="none" w:sz="0" w:space="0" w:color="auto"/>
      </w:divBdr>
    </w:div>
    <w:div w:id="837311207">
      <w:bodyDiv w:val="1"/>
      <w:marLeft w:val="0"/>
      <w:marRight w:val="0"/>
      <w:marTop w:val="0"/>
      <w:marBottom w:val="0"/>
      <w:divBdr>
        <w:top w:val="none" w:sz="0" w:space="0" w:color="auto"/>
        <w:left w:val="none" w:sz="0" w:space="0" w:color="auto"/>
        <w:bottom w:val="none" w:sz="0" w:space="0" w:color="auto"/>
        <w:right w:val="none" w:sz="0" w:space="0" w:color="auto"/>
      </w:divBdr>
    </w:div>
    <w:div w:id="839270832">
      <w:bodyDiv w:val="1"/>
      <w:marLeft w:val="0"/>
      <w:marRight w:val="0"/>
      <w:marTop w:val="0"/>
      <w:marBottom w:val="0"/>
      <w:divBdr>
        <w:top w:val="none" w:sz="0" w:space="0" w:color="auto"/>
        <w:left w:val="none" w:sz="0" w:space="0" w:color="auto"/>
        <w:bottom w:val="none" w:sz="0" w:space="0" w:color="auto"/>
        <w:right w:val="none" w:sz="0" w:space="0" w:color="auto"/>
      </w:divBdr>
    </w:div>
    <w:div w:id="842859894">
      <w:bodyDiv w:val="1"/>
      <w:marLeft w:val="0"/>
      <w:marRight w:val="0"/>
      <w:marTop w:val="0"/>
      <w:marBottom w:val="0"/>
      <w:divBdr>
        <w:top w:val="none" w:sz="0" w:space="0" w:color="auto"/>
        <w:left w:val="none" w:sz="0" w:space="0" w:color="auto"/>
        <w:bottom w:val="none" w:sz="0" w:space="0" w:color="auto"/>
        <w:right w:val="none" w:sz="0" w:space="0" w:color="auto"/>
      </w:divBdr>
    </w:div>
    <w:div w:id="864366767">
      <w:bodyDiv w:val="1"/>
      <w:marLeft w:val="0"/>
      <w:marRight w:val="0"/>
      <w:marTop w:val="0"/>
      <w:marBottom w:val="0"/>
      <w:divBdr>
        <w:top w:val="none" w:sz="0" w:space="0" w:color="auto"/>
        <w:left w:val="none" w:sz="0" w:space="0" w:color="auto"/>
        <w:bottom w:val="none" w:sz="0" w:space="0" w:color="auto"/>
        <w:right w:val="none" w:sz="0" w:space="0" w:color="auto"/>
      </w:divBdr>
    </w:div>
    <w:div w:id="869803735">
      <w:bodyDiv w:val="1"/>
      <w:marLeft w:val="0"/>
      <w:marRight w:val="0"/>
      <w:marTop w:val="0"/>
      <w:marBottom w:val="0"/>
      <w:divBdr>
        <w:top w:val="none" w:sz="0" w:space="0" w:color="auto"/>
        <w:left w:val="none" w:sz="0" w:space="0" w:color="auto"/>
        <w:bottom w:val="none" w:sz="0" w:space="0" w:color="auto"/>
        <w:right w:val="none" w:sz="0" w:space="0" w:color="auto"/>
      </w:divBdr>
    </w:div>
    <w:div w:id="889222642">
      <w:bodyDiv w:val="1"/>
      <w:marLeft w:val="0"/>
      <w:marRight w:val="0"/>
      <w:marTop w:val="0"/>
      <w:marBottom w:val="0"/>
      <w:divBdr>
        <w:top w:val="none" w:sz="0" w:space="0" w:color="auto"/>
        <w:left w:val="none" w:sz="0" w:space="0" w:color="auto"/>
        <w:bottom w:val="none" w:sz="0" w:space="0" w:color="auto"/>
        <w:right w:val="none" w:sz="0" w:space="0" w:color="auto"/>
      </w:divBdr>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4295338">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17136159">
      <w:bodyDiv w:val="1"/>
      <w:marLeft w:val="0"/>
      <w:marRight w:val="0"/>
      <w:marTop w:val="0"/>
      <w:marBottom w:val="0"/>
      <w:divBdr>
        <w:top w:val="none" w:sz="0" w:space="0" w:color="auto"/>
        <w:left w:val="none" w:sz="0" w:space="0" w:color="auto"/>
        <w:bottom w:val="none" w:sz="0" w:space="0" w:color="auto"/>
        <w:right w:val="none" w:sz="0" w:space="0" w:color="auto"/>
      </w:divBdr>
    </w:div>
    <w:div w:id="918752598">
      <w:bodyDiv w:val="1"/>
      <w:marLeft w:val="0"/>
      <w:marRight w:val="0"/>
      <w:marTop w:val="0"/>
      <w:marBottom w:val="0"/>
      <w:divBdr>
        <w:top w:val="none" w:sz="0" w:space="0" w:color="auto"/>
        <w:left w:val="none" w:sz="0" w:space="0" w:color="auto"/>
        <w:bottom w:val="none" w:sz="0" w:space="0" w:color="auto"/>
        <w:right w:val="none" w:sz="0" w:space="0" w:color="auto"/>
      </w:divBdr>
    </w:div>
    <w:div w:id="949706520">
      <w:bodyDiv w:val="1"/>
      <w:marLeft w:val="0"/>
      <w:marRight w:val="0"/>
      <w:marTop w:val="0"/>
      <w:marBottom w:val="0"/>
      <w:divBdr>
        <w:top w:val="none" w:sz="0" w:space="0" w:color="auto"/>
        <w:left w:val="none" w:sz="0" w:space="0" w:color="auto"/>
        <w:bottom w:val="none" w:sz="0" w:space="0" w:color="auto"/>
        <w:right w:val="none" w:sz="0" w:space="0" w:color="auto"/>
      </w:divBdr>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61964185">
      <w:bodyDiv w:val="1"/>
      <w:marLeft w:val="0"/>
      <w:marRight w:val="0"/>
      <w:marTop w:val="0"/>
      <w:marBottom w:val="0"/>
      <w:divBdr>
        <w:top w:val="none" w:sz="0" w:space="0" w:color="auto"/>
        <w:left w:val="none" w:sz="0" w:space="0" w:color="auto"/>
        <w:bottom w:val="none" w:sz="0" w:space="0" w:color="auto"/>
        <w:right w:val="none" w:sz="0" w:space="0" w:color="auto"/>
      </w:divBdr>
    </w:div>
    <w:div w:id="977299825">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06981955">
      <w:bodyDiv w:val="1"/>
      <w:marLeft w:val="0"/>
      <w:marRight w:val="0"/>
      <w:marTop w:val="0"/>
      <w:marBottom w:val="0"/>
      <w:divBdr>
        <w:top w:val="none" w:sz="0" w:space="0" w:color="auto"/>
        <w:left w:val="none" w:sz="0" w:space="0" w:color="auto"/>
        <w:bottom w:val="none" w:sz="0" w:space="0" w:color="auto"/>
        <w:right w:val="none" w:sz="0" w:space="0" w:color="auto"/>
      </w:divBdr>
    </w:div>
    <w:div w:id="1014185267">
      <w:bodyDiv w:val="1"/>
      <w:marLeft w:val="0"/>
      <w:marRight w:val="0"/>
      <w:marTop w:val="0"/>
      <w:marBottom w:val="0"/>
      <w:divBdr>
        <w:top w:val="none" w:sz="0" w:space="0" w:color="auto"/>
        <w:left w:val="none" w:sz="0" w:space="0" w:color="auto"/>
        <w:bottom w:val="none" w:sz="0" w:space="0" w:color="auto"/>
        <w:right w:val="none" w:sz="0" w:space="0" w:color="auto"/>
      </w:divBdr>
    </w:div>
    <w:div w:id="1049764292">
      <w:bodyDiv w:val="1"/>
      <w:marLeft w:val="0"/>
      <w:marRight w:val="0"/>
      <w:marTop w:val="0"/>
      <w:marBottom w:val="0"/>
      <w:divBdr>
        <w:top w:val="none" w:sz="0" w:space="0" w:color="auto"/>
        <w:left w:val="none" w:sz="0" w:space="0" w:color="auto"/>
        <w:bottom w:val="none" w:sz="0" w:space="0" w:color="auto"/>
        <w:right w:val="none" w:sz="0" w:space="0" w:color="auto"/>
      </w:divBdr>
    </w:div>
    <w:div w:id="1058940467">
      <w:bodyDiv w:val="1"/>
      <w:marLeft w:val="0"/>
      <w:marRight w:val="0"/>
      <w:marTop w:val="0"/>
      <w:marBottom w:val="0"/>
      <w:divBdr>
        <w:top w:val="none" w:sz="0" w:space="0" w:color="auto"/>
        <w:left w:val="none" w:sz="0" w:space="0" w:color="auto"/>
        <w:bottom w:val="none" w:sz="0" w:space="0" w:color="auto"/>
        <w:right w:val="none" w:sz="0" w:space="0" w:color="auto"/>
      </w:divBdr>
    </w:div>
    <w:div w:id="1060135077">
      <w:bodyDiv w:val="1"/>
      <w:marLeft w:val="0"/>
      <w:marRight w:val="0"/>
      <w:marTop w:val="0"/>
      <w:marBottom w:val="0"/>
      <w:divBdr>
        <w:top w:val="none" w:sz="0" w:space="0" w:color="auto"/>
        <w:left w:val="none" w:sz="0" w:space="0" w:color="auto"/>
        <w:bottom w:val="none" w:sz="0" w:space="0" w:color="auto"/>
        <w:right w:val="none" w:sz="0" w:space="0" w:color="auto"/>
      </w:divBdr>
    </w:div>
    <w:div w:id="1073045595">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089079630">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05807174">
      <w:bodyDiv w:val="1"/>
      <w:marLeft w:val="0"/>
      <w:marRight w:val="0"/>
      <w:marTop w:val="0"/>
      <w:marBottom w:val="0"/>
      <w:divBdr>
        <w:top w:val="none" w:sz="0" w:space="0" w:color="auto"/>
        <w:left w:val="none" w:sz="0" w:space="0" w:color="auto"/>
        <w:bottom w:val="none" w:sz="0" w:space="0" w:color="auto"/>
        <w:right w:val="none" w:sz="0" w:space="0" w:color="auto"/>
      </w:divBdr>
    </w:div>
    <w:div w:id="1107045381">
      <w:bodyDiv w:val="1"/>
      <w:marLeft w:val="0"/>
      <w:marRight w:val="0"/>
      <w:marTop w:val="0"/>
      <w:marBottom w:val="0"/>
      <w:divBdr>
        <w:top w:val="none" w:sz="0" w:space="0" w:color="auto"/>
        <w:left w:val="none" w:sz="0" w:space="0" w:color="auto"/>
        <w:bottom w:val="none" w:sz="0" w:space="0" w:color="auto"/>
        <w:right w:val="none" w:sz="0" w:space="0" w:color="auto"/>
      </w:divBdr>
    </w:div>
    <w:div w:id="1118110774">
      <w:bodyDiv w:val="1"/>
      <w:marLeft w:val="0"/>
      <w:marRight w:val="0"/>
      <w:marTop w:val="0"/>
      <w:marBottom w:val="0"/>
      <w:divBdr>
        <w:top w:val="none" w:sz="0" w:space="0" w:color="auto"/>
        <w:left w:val="none" w:sz="0" w:space="0" w:color="auto"/>
        <w:bottom w:val="none" w:sz="0" w:space="0" w:color="auto"/>
        <w:right w:val="none" w:sz="0" w:space="0" w:color="auto"/>
      </w:divBdr>
    </w:div>
    <w:div w:id="1120757099">
      <w:bodyDiv w:val="1"/>
      <w:marLeft w:val="0"/>
      <w:marRight w:val="0"/>
      <w:marTop w:val="0"/>
      <w:marBottom w:val="0"/>
      <w:divBdr>
        <w:top w:val="none" w:sz="0" w:space="0" w:color="auto"/>
        <w:left w:val="none" w:sz="0" w:space="0" w:color="auto"/>
        <w:bottom w:val="none" w:sz="0" w:space="0" w:color="auto"/>
        <w:right w:val="none" w:sz="0" w:space="0" w:color="auto"/>
      </w:divBdr>
    </w:div>
    <w:div w:id="1126122031">
      <w:bodyDiv w:val="1"/>
      <w:marLeft w:val="0"/>
      <w:marRight w:val="0"/>
      <w:marTop w:val="0"/>
      <w:marBottom w:val="0"/>
      <w:divBdr>
        <w:top w:val="none" w:sz="0" w:space="0" w:color="auto"/>
        <w:left w:val="none" w:sz="0" w:space="0" w:color="auto"/>
        <w:bottom w:val="none" w:sz="0" w:space="0" w:color="auto"/>
        <w:right w:val="none" w:sz="0" w:space="0" w:color="auto"/>
      </w:divBdr>
    </w:div>
    <w:div w:id="1143354527">
      <w:bodyDiv w:val="1"/>
      <w:marLeft w:val="0"/>
      <w:marRight w:val="0"/>
      <w:marTop w:val="0"/>
      <w:marBottom w:val="0"/>
      <w:divBdr>
        <w:top w:val="none" w:sz="0" w:space="0" w:color="auto"/>
        <w:left w:val="none" w:sz="0" w:space="0" w:color="auto"/>
        <w:bottom w:val="none" w:sz="0" w:space="0" w:color="auto"/>
        <w:right w:val="none" w:sz="0" w:space="0" w:color="auto"/>
      </w:divBdr>
    </w:div>
    <w:div w:id="1171918020">
      <w:bodyDiv w:val="1"/>
      <w:marLeft w:val="0"/>
      <w:marRight w:val="0"/>
      <w:marTop w:val="0"/>
      <w:marBottom w:val="0"/>
      <w:divBdr>
        <w:top w:val="none" w:sz="0" w:space="0" w:color="auto"/>
        <w:left w:val="none" w:sz="0" w:space="0" w:color="auto"/>
        <w:bottom w:val="none" w:sz="0" w:space="0" w:color="auto"/>
        <w:right w:val="none" w:sz="0" w:space="0" w:color="auto"/>
      </w:divBdr>
    </w:div>
    <w:div w:id="1173185707">
      <w:bodyDiv w:val="1"/>
      <w:marLeft w:val="0"/>
      <w:marRight w:val="0"/>
      <w:marTop w:val="0"/>
      <w:marBottom w:val="0"/>
      <w:divBdr>
        <w:top w:val="none" w:sz="0" w:space="0" w:color="auto"/>
        <w:left w:val="none" w:sz="0" w:space="0" w:color="auto"/>
        <w:bottom w:val="none" w:sz="0" w:space="0" w:color="auto"/>
        <w:right w:val="none" w:sz="0" w:space="0" w:color="auto"/>
      </w:divBdr>
    </w:div>
    <w:div w:id="1174418717">
      <w:bodyDiv w:val="1"/>
      <w:marLeft w:val="0"/>
      <w:marRight w:val="0"/>
      <w:marTop w:val="0"/>
      <w:marBottom w:val="0"/>
      <w:divBdr>
        <w:top w:val="none" w:sz="0" w:space="0" w:color="auto"/>
        <w:left w:val="none" w:sz="0" w:space="0" w:color="auto"/>
        <w:bottom w:val="none" w:sz="0" w:space="0" w:color="auto"/>
        <w:right w:val="none" w:sz="0" w:space="0" w:color="auto"/>
      </w:divBdr>
    </w:div>
    <w:div w:id="1204904718">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19319204">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281035005">
      <w:bodyDiv w:val="1"/>
      <w:marLeft w:val="0"/>
      <w:marRight w:val="0"/>
      <w:marTop w:val="0"/>
      <w:marBottom w:val="0"/>
      <w:divBdr>
        <w:top w:val="none" w:sz="0" w:space="0" w:color="auto"/>
        <w:left w:val="none" w:sz="0" w:space="0" w:color="auto"/>
        <w:bottom w:val="none" w:sz="0" w:space="0" w:color="auto"/>
        <w:right w:val="none" w:sz="0" w:space="0" w:color="auto"/>
      </w:divBdr>
    </w:div>
    <w:div w:id="1303195047">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14329145">
      <w:bodyDiv w:val="1"/>
      <w:marLeft w:val="0"/>
      <w:marRight w:val="0"/>
      <w:marTop w:val="0"/>
      <w:marBottom w:val="0"/>
      <w:divBdr>
        <w:top w:val="none" w:sz="0" w:space="0" w:color="auto"/>
        <w:left w:val="none" w:sz="0" w:space="0" w:color="auto"/>
        <w:bottom w:val="none" w:sz="0" w:space="0" w:color="auto"/>
        <w:right w:val="none" w:sz="0" w:space="0" w:color="auto"/>
      </w:divBdr>
      <w:divsChild>
        <w:div w:id="1337882881">
          <w:marLeft w:val="0"/>
          <w:marRight w:val="0"/>
          <w:marTop w:val="0"/>
          <w:marBottom w:val="0"/>
          <w:divBdr>
            <w:top w:val="none" w:sz="0" w:space="0" w:color="auto"/>
            <w:left w:val="none" w:sz="0" w:space="0" w:color="auto"/>
            <w:bottom w:val="none" w:sz="0" w:space="0" w:color="auto"/>
            <w:right w:val="none" w:sz="0" w:space="0" w:color="auto"/>
          </w:divBdr>
        </w:div>
      </w:divsChild>
    </w:div>
    <w:div w:id="1322277389">
      <w:bodyDiv w:val="1"/>
      <w:marLeft w:val="0"/>
      <w:marRight w:val="0"/>
      <w:marTop w:val="0"/>
      <w:marBottom w:val="0"/>
      <w:divBdr>
        <w:top w:val="none" w:sz="0" w:space="0" w:color="auto"/>
        <w:left w:val="none" w:sz="0" w:space="0" w:color="auto"/>
        <w:bottom w:val="none" w:sz="0" w:space="0" w:color="auto"/>
        <w:right w:val="none" w:sz="0" w:space="0" w:color="auto"/>
      </w:divBdr>
    </w:div>
    <w:div w:id="1332102168">
      <w:bodyDiv w:val="1"/>
      <w:marLeft w:val="0"/>
      <w:marRight w:val="0"/>
      <w:marTop w:val="0"/>
      <w:marBottom w:val="0"/>
      <w:divBdr>
        <w:top w:val="none" w:sz="0" w:space="0" w:color="auto"/>
        <w:left w:val="none" w:sz="0" w:space="0" w:color="auto"/>
        <w:bottom w:val="none" w:sz="0" w:space="0" w:color="auto"/>
        <w:right w:val="none" w:sz="0" w:space="0" w:color="auto"/>
      </w:divBdr>
    </w:div>
    <w:div w:id="1338656619">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0932037">
      <w:bodyDiv w:val="1"/>
      <w:marLeft w:val="0"/>
      <w:marRight w:val="0"/>
      <w:marTop w:val="0"/>
      <w:marBottom w:val="0"/>
      <w:divBdr>
        <w:top w:val="none" w:sz="0" w:space="0" w:color="auto"/>
        <w:left w:val="none" w:sz="0" w:space="0" w:color="auto"/>
        <w:bottom w:val="none" w:sz="0" w:space="0" w:color="auto"/>
        <w:right w:val="none" w:sz="0" w:space="0" w:color="auto"/>
      </w:divBdr>
    </w:div>
    <w:div w:id="1385448748">
      <w:bodyDiv w:val="1"/>
      <w:marLeft w:val="0"/>
      <w:marRight w:val="0"/>
      <w:marTop w:val="0"/>
      <w:marBottom w:val="0"/>
      <w:divBdr>
        <w:top w:val="none" w:sz="0" w:space="0" w:color="auto"/>
        <w:left w:val="none" w:sz="0" w:space="0" w:color="auto"/>
        <w:bottom w:val="none" w:sz="0" w:space="0" w:color="auto"/>
        <w:right w:val="none" w:sz="0" w:space="0" w:color="auto"/>
      </w:divBdr>
    </w:div>
    <w:div w:id="1385639683">
      <w:bodyDiv w:val="1"/>
      <w:marLeft w:val="0"/>
      <w:marRight w:val="0"/>
      <w:marTop w:val="0"/>
      <w:marBottom w:val="0"/>
      <w:divBdr>
        <w:top w:val="none" w:sz="0" w:space="0" w:color="auto"/>
        <w:left w:val="none" w:sz="0" w:space="0" w:color="auto"/>
        <w:bottom w:val="none" w:sz="0" w:space="0" w:color="auto"/>
        <w:right w:val="none" w:sz="0" w:space="0" w:color="auto"/>
      </w:divBdr>
    </w:div>
    <w:div w:id="138775588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23531196">
      <w:bodyDiv w:val="1"/>
      <w:marLeft w:val="0"/>
      <w:marRight w:val="0"/>
      <w:marTop w:val="0"/>
      <w:marBottom w:val="0"/>
      <w:divBdr>
        <w:top w:val="none" w:sz="0" w:space="0" w:color="auto"/>
        <w:left w:val="none" w:sz="0" w:space="0" w:color="auto"/>
        <w:bottom w:val="none" w:sz="0" w:space="0" w:color="auto"/>
        <w:right w:val="none" w:sz="0" w:space="0" w:color="auto"/>
      </w:divBdr>
    </w:div>
    <w:div w:id="1434201738">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55824901">
      <w:bodyDiv w:val="1"/>
      <w:marLeft w:val="0"/>
      <w:marRight w:val="0"/>
      <w:marTop w:val="0"/>
      <w:marBottom w:val="0"/>
      <w:divBdr>
        <w:top w:val="none" w:sz="0" w:space="0" w:color="auto"/>
        <w:left w:val="none" w:sz="0" w:space="0" w:color="auto"/>
        <w:bottom w:val="none" w:sz="0" w:space="0" w:color="auto"/>
        <w:right w:val="none" w:sz="0" w:space="0" w:color="auto"/>
      </w:divBdr>
    </w:div>
    <w:div w:id="1461613204">
      <w:bodyDiv w:val="1"/>
      <w:marLeft w:val="0"/>
      <w:marRight w:val="0"/>
      <w:marTop w:val="0"/>
      <w:marBottom w:val="0"/>
      <w:divBdr>
        <w:top w:val="none" w:sz="0" w:space="0" w:color="auto"/>
        <w:left w:val="none" w:sz="0" w:space="0" w:color="auto"/>
        <w:bottom w:val="none" w:sz="0" w:space="0" w:color="auto"/>
        <w:right w:val="none" w:sz="0" w:space="0" w:color="auto"/>
      </w:divBdr>
    </w:div>
    <w:div w:id="1477256793">
      <w:bodyDiv w:val="1"/>
      <w:marLeft w:val="0"/>
      <w:marRight w:val="0"/>
      <w:marTop w:val="0"/>
      <w:marBottom w:val="0"/>
      <w:divBdr>
        <w:top w:val="none" w:sz="0" w:space="0" w:color="auto"/>
        <w:left w:val="none" w:sz="0" w:space="0" w:color="auto"/>
        <w:bottom w:val="none" w:sz="0" w:space="0" w:color="auto"/>
        <w:right w:val="none" w:sz="0" w:space="0" w:color="auto"/>
      </w:divBdr>
    </w:div>
    <w:div w:id="1489518195">
      <w:bodyDiv w:val="1"/>
      <w:marLeft w:val="0"/>
      <w:marRight w:val="0"/>
      <w:marTop w:val="0"/>
      <w:marBottom w:val="0"/>
      <w:divBdr>
        <w:top w:val="none" w:sz="0" w:space="0" w:color="auto"/>
        <w:left w:val="none" w:sz="0" w:space="0" w:color="auto"/>
        <w:bottom w:val="none" w:sz="0" w:space="0" w:color="auto"/>
        <w:right w:val="none" w:sz="0" w:space="0" w:color="auto"/>
      </w:divBdr>
    </w:div>
    <w:div w:id="1489857128">
      <w:bodyDiv w:val="1"/>
      <w:marLeft w:val="0"/>
      <w:marRight w:val="0"/>
      <w:marTop w:val="0"/>
      <w:marBottom w:val="0"/>
      <w:divBdr>
        <w:top w:val="none" w:sz="0" w:space="0" w:color="auto"/>
        <w:left w:val="none" w:sz="0" w:space="0" w:color="auto"/>
        <w:bottom w:val="none" w:sz="0" w:space="0" w:color="auto"/>
        <w:right w:val="none" w:sz="0" w:space="0" w:color="auto"/>
      </w:divBdr>
    </w:div>
    <w:div w:id="1490907215">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03350677">
      <w:bodyDiv w:val="1"/>
      <w:marLeft w:val="0"/>
      <w:marRight w:val="0"/>
      <w:marTop w:val="0"/>
      <w:marBottom w:val="0"/>
      <w:divBdr>
        <w:top w:val="none" w:sz="0" w:space="0" w:color="auto"/>
        <w:left w:val="none" w:sz="0" w:space="0" w:color="auto"/>
        <w:bottom w:val="none" w:sz="0" w:space="0" w:color="auto"/>
        <w:right w:val="none" w:sz="0" w:space="0" w:color="auto"/>
      </w:divBdr>
    </w:div>
    <w:div w:id="1520193509">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27324443">
      <w:bodyDiv w:val="1"/>
      <w:marLeft w:val="0"/>
      <w:marRight w:val="0"/>
      <w:marTop w:val="0"/>
      <w:marBottom w:val="0"/>
      <w:divBdr>
        <w:top w:val="none" w:sz="0" w:space="0" w:color="auto"/>
        <w:left w:val="none" w:sz="0" w:space="0" w:color="auto"/>
        <w:bottom w:val="none" w:sz="0" w:space="0" w:color="auto"/>
        <w:right w:val="none" w:sz="0" w:space="0" w:color="auto"/>
      </w:divBdr>
    </w:div>
    <w:div w:id="1530021681">
      <w:bodyDiv w:val="1"/>
      <w:marLeft w:val="0"/>
      <w:marRight w:val="0"/>
      <w:marTop w:val="0"/>
      <w:marBottom w:val="0"/>
      <w:divBdr>
        <w:top w:val="none" w:sz="0" w:space="0" w:color="auto"/>
        <w:left w:val="none" w:sz="0" w:space="0" w:color="auto"/>
        <w:bottom w:val="none" w:sz="0" w:space="0" w:color="auto"/>
        <w:right w:val="none" w:sz="0" w:space="0" w:color="auto"/>
      </w:divBdr>
    </w:div>
    <w:div w:id="1539125018">
      <w:bodyDiv w:val="1"/>
      <w:marLeft w:val="0"/>
      <w:marRight w:val="0"/>
      <w:marTop w:val="0"/>
      <w:marBottom w:val="0"/>
      <w:divBdr>
        <w:top w:val="none" w:sz="0" w:space="0" w:color="auto"/>
        <w:left w:val="none" w:sz="0" w:space="0" w:color="auto"/>
        <w:bottom w:val="none" w:sz="0" w:space="0" w:color="auto"/>
        <w:right w:val="none" w:sz="0" w:space="0" w:color="auto"/>
      </w:divBdr>
    </w:div>
    <w:div w:id="1540557234">
      <w:bodyDiv w:val="1"/>
      <w:marLeft w:val="0"/>
      <w:marRight w:val="0"/>
      <w:marTop w:val="0"/>
      <w:marBottom w:val="0"/>
      <w:divBdr>
        <w:top w:val="none" w:sz="0" w:space="0" w:color="auto"/>
        <w:left w:val="none" w:sz="0" w:space="0" w:color="auto"/>
        <w:bottom w:val="none" w:sz="0" w:space="0" w:color="auto"/>
        <w:right w:val="none" w:sz="0" w:space="0" w:color="auto"/>
      </w:divBdr>
    </w:div>
    <w:div w:id="155264587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71454832">
      <w:bodyDiv w:val="1"/>
      <w:marLeft w:val="0"/>
      <w:marRight w:val="0"/>
      <w:marTop w:val="0"/>
      <w:marBottom w:val="0"/>
      <w:divBdr>
        <w:top w:val="none" w:sz="0" w:space="0" w:color="auto"/>
        <w:left w:val="none" w:sz="0" w:space="0" w:color="auto"/>
        <w:bottom w:val="none" w:sz="0" w:space="0" w:color="auto"/>
        <w:right w:val="none" w:sz="0" w:space="0" w:color="auto"/>
      </w:divBdr>
    </w:div>
    <w:div w:id="1598442226">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37030799">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6572314">
      <w:bodyDiv w:val="1"/>
      <w:marLeft w:val="0"/>
      <w:marRight w:val="0"/>
      <w:marTop w:val="0"/>
      <w:marBottom w:val="0"/>
      <w:divBdr>
        <w:top w:val="none" w:sz="0" w:space="0" w:color="auto"/>
        <w:left w:val="none" w:sz="0" w:space="0" w:color="auto"/>
        <w:bottom w:val="none" w:sz="0" w:space="0" w:color="auto"/>
        <w:right w:val="none" w:sz="0" w:space="0" w:color="auto"/>
      </w:divBdr>
    </w:div>
    <w:div w:id="1695644958">
      <w:bodyDiv w:val="1"/>
      <w:marLeft w:val="0"/>
      <w:marRight w:val="0"/>
      <w:marTop w:val="0"/>
      <w:marBottom w:val="0"/>
      <w:divBdr>
        <w:top w:val="none" w:sz="0" w:space="0" w:color="auto"/>
        <w:left w:val="none" w:sz="0" w:space="0" w:color="auto"/>
        <w:bottom w:val="none" w:sz="0" w:space="0" w:color="auto"/>
        <w:right w:val="none" w:sz="0" w:space="0" w:color="auto"/>
      </w:divBdr>
    </w:div>
    <w:div w:id="1712144553">
      <w:bodyDiv w:val="1"/>
      <w:marLeft w:val="0"/>
      <w:marRight w:val="0"/>
      <w:marTop w:val="0"/>
      <w:marBottom w:val="0"/>
      <w:divBdr>
        <w:top w:val="none" w:sz="0" w:space="0" w:color="auto"/>
        <w:left w:val="none" w:sz="0" w:space="0" w:color="auto"/>
        <w:bottom w:val="none" w:sz="0" w:space="0" w:color="auto"/>
        <w:right w:val="none" w:sz="0" w:space="0" w:color="auto"/>
      </w:divBdr>
    </w:div>
    <w:div w:id="1712345402">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49383584">
      <w:bodyDiv w:val="1"/>
      <w:marLeft w:val="0"/>
      <w:marRight w:val="0"/>
      <w:marTop w:val="0"/>
      <w:marBottom w:val="0"/>
      <w:divBdr>
        <w:top w:val="none" w:sz="0" w:space="0" w:color="auto"/>
        <w:left w:val="none" w:sz="0" w:space="0" w:color="auto"/>
        <w:bottom w:val="none" w:sz="0" w:space="0" w:color="auto"/>
        <w:right w:val="none" w:sz="0" w:space="0" w:color="auto"/>
      </w:divBdr>
    </w:div>
    <w:div w:id="1770465577">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793591348">
      <w:bodyDiv w:val="1"/>
      <w:marLeft w:val="0"/>
      <w:marRight w:val="0"/>
      <w:marTop w:val="0"/>
      <w:marBottom w:val="0"/>
      <w:divBdr>
        <w:top w:val="none" w:sz="0" w:space="0" w:color="auto"/>
        <w:left w:val="none" w:sz="0" w:space="0" w:color="auto"/>
        <w:bottom w:val="none" w:sz="0" w:space="0" w:color="auto"/>
        <w:right w:val="none" w:sz="0" w:space="0" w:color="auto"/>
      </w:divBdr>
    </w:div>
    <w:div w:id="1802260897">
      <w:bodyDiv w:val="1"/>
      <w:marLeft w:val="0"/>
      <w:marRight w:val="0"/>
      <w:marTop w:val="0"/>
      <w:marBottom w:val="0"/>
      <w:divBdr>
        <w:top w:val="none" w:sz="0" w:space="0" w:color="auto"/>
        <w:left w:val="none" w:sz="0" w:space="0" w:color="auto"/>
        <w:bottom w:val="none" w:sz="0" w:space="0" w:color="auto"/>
        <w:right w:val="none" w:sz="0" w:space="0" w:color="auto"/>
      </w:divBdr>
    </w:div>
    <w:div w:id="1834221733">
      <w:bodyDiv w:val="1"/>
      <w:marLeft w:val="0"/>
      <w:marRight w:val="0"/>
      <w:marTop w:val="0"/>
      <w:marBottom w:val="0"/>
      <w:divBdr>
        <w:top w:val="none" w:sz="0" w:space="0" w:color="auto"/>
        <w:left w:val="none" w:sz="0" w:space="0" w:color="auto"/>
        <w:bottom w:val="none" w:sz="0" w:space="0" w:color="auto"/>
        <w:right w:val="none" w:sz="0" w:space="0" w:color="auto"/>
      </w:divBdr>
    </w:div>
    <w:div w:id="1835993985">
      <w:bodyDiv w:val="1"/>
      <w:marLeft w:val="0"/>
      <w:marRight w:val="0"/>
      <w:marTop w:val="0"/>
      <w:marBottom w:val="0"/>
      <w:divBdr>
        <w:top w:val="none" w:sz="0" w:space="0" w:color="auto"/>
        <w:left w:val="none" w:sz="0" w:space="0" w:color="auto"/>
        <w:bottom w:val="none" w:sz="0" w:space="0" w:color="auto"/>
        <w:right w:val="none" w:sz="0" w:space="0" w:color="auto"/>
      </w:divBdr>
    </w:div>
    <w:div w:id="1838761582">
      <w:bodyDiv w:val="1"/>
      <w:marLeft w:val="0"/>
      <w:marRight w:val="0"/>
      <w:marTop w:val="0"/>
      <w:marBottom w:val="0"/>
      <w:divBdr>
        <w:top w:val="none" w:sz="0" w:space="0" w:color="auto"/>
        <w:left w:val="none" w:sz="0" w:space="0" w:color="auto"/>
        <w:bottom w:val="none" w:sz="0" w:space="0" w:color="auto"/>
        <w:right w:val="none" w:sz="0" w:space="0" w:color="auto"/>
      </w:divBdr>
    </w:div>
    <w:div w:id="1844978610">
      <w:bodyDiv w:val="1"/>
      <w:marLeft w:val="0"/>
      <w:marRight w:val="0"/>
      <w:marTop w:val="0"/>
      <w:marBottom w:val="0"/>
      <w:divBdr>
        <w:top w:val="none" w:sz="0" w:space="0" w:color="auto"/>
        <w:left w:val="none" w:sz="0" w:space="0" w:color="auto"/>
        <w:bottom w:val="none" w:sz="0" w:space="0" w:color="auto"/>
        <w:right w:val="none" w:sz="0" w:space="0" w:color="auto"/>
      </w:divBdr>
    </w:div>
    <w:div w:id="1850369821">
      <w:bodyDiv w:val="1"/>
      <w:marLeft w:val="0"/>
      <w:marRight w:val="0"/>
      <w:marTop w:val="0"/>
      <w:marBottom w:val="0"/>
      <w:divBdr>
        <w:top w:val="none" w:sz="0" w:space="0" w:color="auto"/>
        <w:left w:val="none" w:sz="0" w:space="0" w:color="auto"/>
        <w:bottom w:val="none" w:sz="0" w:space="0" w:color="auto"/>
        <w:right w:val="none" w:sz="0" w:space="0" w:color="auto"/>
      </w:divBdr>
    </w:div>
    <w:div w:id="1851219655">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0528742">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891073069">
      <w:bodyDiv w:val="1"/>
      <w:marLeft w:val="0"/>
      <w:marRight w:val="0"/>
      <w:marTop w:val="0"/>
      <w:marBottom w:val="0"/>
      <w:divBdr>
        <w:top w:val="none" w:sz="0" w:space="0" w:color="auto"/>
        <w:left w:val="none" w:sz="0" w:space="0" w:color="auto"/>
        <w:bottom w:val="none" w:sz="0" w:space="0" w:color="auto"/>
        <w:right w:val="none" w:sz="0" w:space="0" w:color="auto"/>
      </w:divBdr>
    </w:div>
    <w:div w:id="1896508979">
      <w:bodyDiv w:val="1"/>
      <w:marLeft w:val="0"/>
      <w:marRight w:val="0"/>
      <w:marTop w:val="0"/>
      <w:marBottom w:val="0"/>
      <w:divBdr>
        <w:top w:val="none" w:sz="0" w:space="0" w:color="auto"/>
        <w:left w:val="none" w:sz="0" w:space="0" w:color="auto"/>
        <w:bottom w:val="none" w:sz="0" w:space="0" w:color="auto"/>
        <w:right w:val="none" w:sz="0" w:space="0" w:color="auto"/>
      </w:divBdr>
    </w:div>
    <w:div w:id="1915973447">
      <w:bodyDiv w:val="1"/>
      <w:marLeft w:val="0"/>
      <w:marRight w:val="0"/>
      <w:marTop w:val="0"/>
      <w:marBottom w:val="0"/>
      <w:divBdr>
        <w:top w:val="none" w:sz="0" w:space="0" w:color="auto"/>
        <w:left w:val="none" w:sz="0" w:space="0" w:color="auto"/>
        <w:bottom w:val="none" w:sz="0" w:space="0" w:color="auto"/>
        <w:right w:val="none" w:sz="0" w:space="0" w:color="auto"/>
      </w:divBdr>
    </w:div>
    <w:div w:id="1918513986">
      <w:bodyDiv w:val="1"/>
      <w:marLeft w:val="0"/>
      <w:marRight w:val="0"/>
      <w:marTop w:val="0"/>
      <w:marBottom w:val="0"/>
      <w:divBdr>
        <w:top w:val="none" w:sz="0" w:space="0" w:color="auto"/>
        <w:left w:val="none" w:sz="0" w:space="0" w:color="auto"/>
        <w:bottom w:val="none" w:sz="0" w:space="0" w:color="auto"/>
        <w:right w:val="none" w:sz="0" w:space="0" w:color="auto"/>
      </w:divBdr>
    </w:div>
    <w:div w:id="1918977245">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0772584">
      <w:bodyDiv w:val="1"/>
      <w:marLeft w:val="0"/>
      <w:marRight w:val="0"/>
      <w:marTop w:val="0"/>
      <w:marBottom w:val="0"/>
      <w:divBdr>
        <w:top w:val="none" w:sz="0" w:space="0" w:color="auto"/>
        <w:left w:val="none" w:sz="0" w:space="0" w:color="auto"/>
        <w:bottom w:val="none" w:sz="0" w:space="0" w:color="auto"/>
        <w:right w:val="none" w:sz="0" w:space="0" w:color="auto"/>
      </w:divBdr>
    </w:div>
    <w:div w:id="1941909872">
      <w:bodyDiv w:val="1"/>
      <w:marLeft w:val="0"/>
      <w:marRight w:val="0"/>
      <w:marTop w:val="0"/>
      <w:marBottom w:val="0"/>
      <w:divBdr>
        <w:top w:val="none" w:sz="0" w:space="0" w:color="auto"/>
        <w:left w:val="none" w:sz="0" w:space="0" w:color="auto"/>
        <w:bottom w:val="none" w:sz="0" w:space="0" w:color="auto"/>
        <w:right w:val="none" w:sz="0" w:space="0" w:color="auto"/>
      </w:divBdr>
    </w:div>
    <w:div w:id="1957826767">
      <w:bodyDiv w:val="1"/>
      <w:marLeft w:val="0"/>
      <w:marRight w:val="0"/>
      <w:marTop w:val="0"/>
      <w:marBottom w:val="0"/>
      <w:divBdr>
        <w:top w:val="none" w:sz="0" w:space="0" w:color="auto"/>
        <w:left w:val="none" w:sz="0" w:space="0" w:color="auto"/>
        <w:bottom w:val="none" w:sz="0" w:space="0" w:color="auto"/>
        <w:right w:val="none" w:sz="0" w:space="0" w:color="auto"/>
      </w:divBdr>
    </w:div>
    <w:div w:id="1967813795">
      <w:bodyDiv w:val="1"/>
      <w:marLeft w:val="0"/>
      <w:marRight w:val="0"/>
      <w:marTop w:val="0"/>
      <w:marBottom w:val="0"/>
      <w:divBdr>
        <w:top w:val="none" w:sz="0" w:space="0" w:color="auto"/>
        <w:left w:val="none" w:sz="0" w:space="0" w:color="auto"/>
        <w:bottom w:val="none" w:sz="0" w:space="0" w:color="auto"/>
        <w:right w:val="none" w:sz="0" w:space="0" w:color="auto"/>
      </w:divBdr>
    </w:div>
    <w:div w:id="1975285636">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1988436235">
      <w:bodyDiv w:val="1"/>
      <w:marLeft w:val="0"/>
      <w:marRight w:val="0"/>
      <w:marTop w:val="0"/>
      <w:marBottom w:val="0"/>
      <w:divBdr>
        <w:top w:val="none" w:sz="0" w:space="0" w:color="auto"/>
        <w:left w:val="none" w:sz="0" w:space="0" w:color="auto"/>
        <w:bottom w:val="none" w:sz="0" w:space="0" w:color="auto"/>
        <w:right w:val="none" w:sz="0" w:space="0" w:color="auto"/>
      </w:divBdr>
    </w:div>
    <w:div w:id="1998917815">
      <w:bodyDiv w:val="1"/>
      <w:marLeft w:val="0"/>
      <w:marRight w:val="0"/>
      <w:marTop w:val="0"/>
      <w:marBottom w:val="0"/>
      <w:divBdr>
        <w:top w:val="none" w:sz="0" w:space="0" w:color="auto"/>
        <w:left w:val="none" w:sz="0" w:space="0" w:color="auto"/>
        <w:bottom w:val="none" w:sz="0" w:space="0" w:color="auto"/>
        <w:right w:val="none" w:sz="0" w:space="0" w:color="auto"/>
      </w:divBdr>
    </w:div>
    <w:div w:id="2000496629">
      <w:bodyDiv w:val="1"/>
      <w:marLeft w:val="0"/>
      <w:marRight w:val="0"/>
      <w:marTop w:val="0"/>
      <w:marBottom w:val="0"/>
      <w:divBdr>
        <w:top w:val="none" w:sz="0" w:space="0" w:color="auto"/>
        <w:left w:val="none" w:sz="0" w:space="0" w:color="auto"/>
        <w:bottom w:val="none" w:sz="0" w:space="0" w:color="auto"/>
        <w:right w:val="none" w:sz="0" w:space="0" w:color="auto"/>
      </w:divBdr>
    </w:div>
    <w:div w:id="2019117911">
      <w:bodyDiv w:val="1"/>
      <w:marLeft w:val="0"/>
      <w:marRight w:val="0"/>
      <w:marTop w:val="0"/>
      <w:marBottom w:val="0"/>
      <w:divBdr>
        <w:top w:val="none" w:sz="0" w:space="0" w:color="auto"/>
        <w:left w:val="none" w:sz="0" w:space="0" w:color="auto"/>
        <w:bottom w:val="none" w:sz="0" w:space="0" w:color="auto"/>
        <w:right w:val="none" w:sz="0" w:space="0" w:color="auto"/>
      </w:divBdr>
    </w:div>
    <w:div w:id="2029062302">
      <w:bodyDiv w:val="1"/>
      <w:marLeft w:val="0"/>
      <w:marRight w:val="0"/>
      <w:marTop w:val="0"/>
      <w:marBottom w:val="0"/>
      <w:divBdr>
        <w:top w:val="none" w:sz="0" w:space="0" w:color="auto"/>
        <w:left w:val="none" w:sz="0" w:space="0" w:color="auto"/>
        <w:bottom w:val="none" w:sz="0" w:space="0" w:color="auto"/>
        <w:right w:val="none" w:sz="0" w:space="0" w:color="auto"/>
      </w:divBdr>
    </w:div>
    <w:div w:id="2064677078">
      <w:bodyDiv w:val="1"/>
      <w:marLeft w:val="0"/>
      <w:marRight w:val="0"/>
      <w:marTop w:val="0"/>
      <w:marBottom w:val="0"/>
      <w:divBdr>
        <w:top w:val="none" w:sz="0" w:space="0" w:color="auto"/>
        <w:left w:val="none" w:sz="0" w:space="0" w:color="auto"/>
        <w:bottom w:val="none" w:sz="0" w:space="0" w:color="auto"/>
        <w:right w:val="none" w:sz="0" w:space="0" w:color="auto"/>
      </w:divBdr>
    </w:div>
    <w:div w:id="2067024556">
      <w:bodyDiv w:val="1"/>
      <w:marLeft w:val="0"/>
      <w:marRight w:val="0"/>
      <w:marTop w:val="0"/>
      <w:marBottom w:val="0"/>
      <w:divBdr>
        <w:top w:val="none" w:sz="0" w:space="0" w:color="auto"/>
        <w:left w:val="none" w:sz="0" w:space="0" w:color="auto"/>
        <w:bottom w:val="none" w:sz="0" w:space="0" w:color="auto"/>
        <w:right w:val="none" w:sz="0" w:space="0" w:color="auto"/>
      </w:divBdr>
    </w:div>
    <w:div w:id="2085759491">
      <w:bodyDiv w:val="1"/>
      <w:marLeft w:val="0"/>
      <w:marRight w:val="0"/>
      <w:marTop w:val="0"/>
      <w:marBottom w:val="0"/>
      <w:divBdr>
        <w:top w:val="none" w:sz="0" w:space="0" w:color="auto"/>
        <w:left w:val="none" w:sz="0" w:space="0" w:color="auto"/>
        <w:bottom w:val="none" w:sz="0" w:space="0" w:color="auto"/>
        <w:right w:val="none" w:sz="0" w:space="0" w:color="auto"/>
      </w:divBdr>
    </w:div>
    <w:div w:id="2093316087">
      <w:bodyDiv w:val="1"/>
      <w:marLeft w:val="0"/>
      <w:marRight w:val="0"/>
      <w:marTop w:val="0"/>
      <w:marBottom w:val="0"/>
      <w:divBdr>
        <w:top w:val="none" w:sz="0" w:space="0" w:color="auto"/>
        <w:left w:val="none" w:sz="0" w:space="0" w:color="auto"/>
        <w:bottom w:val="none" w:sz="0" w:space="0" w:color="auto"/>
        <w:right w:val="none" w:sz="0" w:space="0" w:color="auto"/>
      </w:divBdr>
    </w:div>
    <w:div w:id="2093431297">
      <w:bodyDiv w:val="1"/>
      <w:marLeft w:val="0"/>
      <w:marRight w:val="0"/>
      <w:marTop w:val="0"/>
      <w:marBottom w:val="0"/>
      <w:divBdr>
        <w:top w:val="none" w:sz="0" w:space="0" w:color="auto"/>
        <w:left w:val="none" w:sz="0" w:space="0" w:color="auto"/>
        <w:bottom w:val="none" w:sz="0" w:space="0" w:color="auto"/>
        <w:right w:val="none" w:sz="0" w:space="0" w:color="auto"/>
      </w:divBdr>
    </w:div>
    <w:div w:id="2105686226">
      <w:bodyDiv w:val="1"/>
      <w:marLeft w:val="0"/>
      <w:marRight w:val="0"/>
      <w:marTop w:val="0"/>
      <w:marBottom w:val="0"/>
      <w:divBdr>
        <w:top w:val="none" w:sz="0" w:space="0" w:color="auto"/>
        <w:left w:val="none" w:sz="0" w:space="0" w:color="auto"/>
        <w:bottom w:val="none" w:sz="0" w:space="0" w:color="auto"/>
        <w:right w:val="none" w:sz="0" w:space="0" w:color="auto"/>
      </w:divBdr>
    </w:div>
    <w:div w:id="2115055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E644C2-342C-45C5-A20E-151984072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92</Pages>
  <Words>20193</Words>
  <Characters>111062</Characters>
  <Application>Microsoft Office Word</Application>
  <DocSecurity>0</DocSecurity>
  <Lines>925</Lines>
  <Paragraphs>261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DTPDP578</cp:lastModifiedBy>
  <cp:revision>21</cp:revision>
  <cp:lastPrinted>2024-01-18T16:56:00Z</cp:lastPrinted>
  <dcterms:created xsi:type="dcterms:W3CDTF">2023-12-14T16:27:00Z</dcterms:created>
  <dcterms:modified xsi:type="dcterms:W3CDTF">2024-01-18T16:56:00Z</dcterms:modified>
</cp:coreProperties>
</file>