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A65" w:rsidRDefault="001A4A65">
      <w:pPr>
        <w:widowControl w:val="0"/>
        <w:pBdr>
          <w:top w:val="nil"/>
          <w:left w:val="nil"/>
          <w:bottom w:val="nil"/>
          <w:right w:val="nil"/>
          <w:between w:val="nil"/>
        </w:pBdr>
        <w:spacing w:after="0" w:line="276" w:lineRule="auto"/>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dieciocho de diciembre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b/>
        </w:rPr>
        <w:t xml:space="preserve">VISTO </w:t>
      </w:r>
      <w:r w:rsidRPr="00B35470">
        <w:rPr>
          <w:rFonts w:ascii="Palatino Linotype" w:eastAsia="Palatino Linotype" w:hAnsi="Palatino Linotype" w:cs="Palatino Linotype"/>
        </w:rPr>
        <w:t xml:space="preserve">el expediente conformado con motivo del Recurso de Revisión </w:t>
      </w:r>
      <w:r w:rsidRPr="005752A5">
        <w:rPr>
          <w:rFonts w:ascii="Palatino Linotype" w:eastAsia="Palatino Linotype" w:hAnsi="Palatino Linotype" w:cs="Palatino Linotype"/>
          <w:b/>
          <w:color w:val="0D0D0D"/>
        </w:rPr>
        <w:t>07411/INFOEM/IP/RR/2024</w:t>
      </w:r>
      <w:r w:rsidRPr="00B35470">
        <w:rPr>
          <w:rFonts w:ascii="Palatino Linotype" w:eastAsia="Palatino Linotype" w:hAnsi="Palatino Linotype" w:cs="Palatino Linotype"/>
        </w:rPr>
        <w:t xml:space="preserve">, interpuesto por </w:t>
      </w:r>
      <w:r w:rsidR="00F86B0F" w:rsidRPr="009D058A">
        <w:rPr>
          <w:rFonts w:ascii="Palatino Linotype" w:eastAsia="Palatino Linotype" w:hAnsi="Palatino Linotype" w:cs="Palatino Linotype"/>
          <w:b/>
          <w:color w:val="000000" w:themeColor="text1"/>
          <w:shd w:val="clear" w:color="auto" w:fill="000000" w:themeFill="text1"/>
        </w:rPr>
        <w:t>XXXXXXXXXXXXXXXXXXX</w:t>
      </w:r>
      <w:r w:rsidRPr="00B35470">
        <w:rPr>
          <w:rFonts w:ascii="Palatino Linotype" w:eastAsia="Palatino Linotype" w:hAnsi="Palatino Linotype" w:cs="Palatino Linotype"/>
        </w:rPr>
        <w:t xml:space="preserve">, en lo sucesivo el Recurrente o Particular, en contra de la respuesta del Sujeto Obligado, </w:t>
      </w:r>
      <w:r w:rsidRPr="005752A5">
        <w:rPr>
          <w:rFonts w:ascii="Palatino Linotype" w:eastAsia="Palatino Linotype" w:hAnsi="Palatino Linotype" w:cs="Palatino Linotype"/>
          <w:b/>
          <w:color w:val="000000"/>
        </w:rPr>
        <w:t>Ayuntamiento de Toluca</w:t>
      </w:r>
      <w:r w:rsidRPr="005752A5">
        <w:rPr>
          <w:rFonts w:ascii="Palatino Linotype" w:eastAsia="Palatino Linotype" w:hAnsi="Palatino Linotype" w:cs="Palatino Linotype"/>
          <w:b/>
        </w:rPr>
        <w:t xml:space="preserve">, </w:t>
      </w:r>
      <w:r w:rsidRPr="00B35470">
        <w:rPr>
          <w:rFonts w:ascii="Palatino Linotype" w:eastAsia="Palatino Linotype" w:hAnsi="Palatino Linotype" w:cs="Palatino Linotype"/>
        </w:rPr>
        <w:t xml:space="preserve">a la solicitud de acceso a la información pública con número de folio </w:t>
      </w:r>
      <w:r w:rsidRPr="00B35470">
        <w:rPr>
          <w:rFonts w:ascii="Palatino Linotype" w:eastAsia="Palatino Linotype" w:hAnsi="Palatino Linotype" w:cs="Palatino Linotype"/>
          <w:color w:val="000000"/>
        </w:rPr>
        <w:t>02784/TOLUCA/IP/2024</w:t>
      </w:r>
      <w:r w:rsidRPr="00B35470">
        <w:rPr>
          <w:rFonts w:ascii="Palatino Linotype" w:eastAsia="Palatino Linotype" w:hAnsi="Palatino Linotype" w:cs="Palatino Linotype"/>
        </w:rPr>
        <w:t>, se emite la presente Resolución, con base en los Antecedentes y Considerandos que se exponen a continuación:</w:t>
      </w:r>
    </w:p>
    <w:p w:rsidR="001A4A65" w:rsidRPr="00B35470" w:rsidRDefault="001A4A65">
      <w:pPr>
        <w:spacing w:after="0" w:line="360" w:lineRule="auto"/>
        <w:ind w:right="-28"/>
        <w:jc w:val="both"/>
        <w:rPr>
          <w:rFonts w:ascii="Palatino Linotype" w:eastAsia="Palatino Linotype" w:hAnsi="Palatino Linotype" w:cs="Palatino Linotype"/>
          <w:b/>
          <w:color w:val="0D0D0D"/>
        </w:rPr>
      </w:pPr>
    </w:p>
    <w:p w:rsidR="001A4A65" w:rsidRPr="00B35470" w:rsidRDefault="00142F97">
      <w:pPr>
        <w:tabs>
          <w:tab w:val="center" w:pos="4522"/>
          <w:tab w:val="left" w:pos="7245"/>
          <w:tab w:val="right" w:pos="9044"/>
        </w:tabs>
        <w:spacing w:after="0" w:line="360" w:lineRule="auto"/>
        <w:ind w:right="-28"/>
        <w:jc w:val="center"/>
        <w:rPr>
          <w:rFonts w:ascii="Palatino Linotype" w:eastAsia="Palatino Linotype" w:hAnsi="Palatino Linotype" w:cs="Palatino Linotype"/>
          <w:b/>
        </w:rPr>
      </w:pPr>
      <w:r w:rsidRPr="00B35470">
        <w:rPr>
          <w:rFonts w:ascii="Palatino Linotype" w:eastAsia="Palatino Linotype" w:hAnsi="Palatino Linotype" w:cs="Palatino Linotype"/>
          <w:b/>
        </w:rPr>
        <w:t>A N T E C E D E N T E S</w:t>
      </w:r>
    </w:p>
    <w:p w:rsidR="001A4A65" w:rsidRPr="00B35470" w:rsidRDefault="001A4A65">
      <w:pPr>
        <w:tabs>
          <w:tab w:val="center" w:pos="4522"/>
          <w:tab w:val="left" w:pos="7245"/>
          <w:tab w:val="right" w:pos="9044"/>
        </w:tabs>
        <w:spacing w:after="0" w:line="360" w:lineRule="auto"/>
        <w:ind w:right="-28"/>
        <w:rPr>
          <w:rFonts w:ascii="Palatino Linotype" w:eastAsia="Palatino Linotype" w:hAnsi="Palatino Linotype" w:cs="Palatino Linotype"/>
          <w:b/>
        </w:rPr>
      </w:pPr>
    </w:p>
    <w:p w:rsidR="001A4A65" w:rsidRPr="00B35470" w:rsidRDefault="00142F97">
      <w:pPr>
        <w:pBdr>
          <w:top w:val="nil"/>
          <w:left w:val="nil"/>
          <w:bottom w:val="nil"/>
          <w:right w:val="nil"/>
          <w:between w:val="nil"/>
        </w:pBdr>
        <w:tabs>
          <w:tab w:val="left" w:pos="567"/>
        </w:tabs>
        <w:spacing w:after="0" w:line="360" w:lineRule="auto"/>
        <w:ind w:right="-28"/>
        <w:jc w:val="both"/>
        <w:rPr>
          <w:rFonts w:ascii="Palatino Linotype" w:eastAsia="Palatino Linotype" w:hAnsi="Palatino Linotype" w:cs="Palatino Linotype"/>
          <w:b/>
          <w:color w:val="000000"/>
        </w:rPr>
      </w:pPr>
      <w:r w:rsidRPr="00B35470">
        <w:rPr>
          <w:rFonts w:ascii="Palatino Linotype" w:eastAsia="Palatino Linotype" w:hAnsi="Palatino Linotype" w:cs="Palatino Linotype"/>
          <w:b/>
          <w:color w:val="000000"/>
        </w:rPr>
        <w:t>I. Presentación de la solicitud de información</w:t>
      </w:r>
    </w:p>
    <w:p w:rsidR="001A4A65" w:rsidRPr="00B35470" w:rsidRDefault="001A4A65">
      <w:pPr>
        <w:pBdr>
          <w:top w:val="nil"/>
          <w:left w:val="nil"/>
          <w:bottom w:val="nil"/>
          <w:right w:val="nil"/>
          <w:between w:val="nil"/>
        </w:pBdr>
        <w:tabs>
          <w:tab w:val="left" w:pos="1050"/>
        </w:tabs>
        <w:spacing w:after="0" w:line="360" w:lineRule="auto"/>
        <w:ind w:right="-28"/>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Con fecha veintinueve de octubre de dos mil veinticuatro, el Particular presentó una solicitud de acceso a la información pública, a través de la Plataforma Nacional de Transparencia (PNT), ante el </w:t>
      </w:r>
      <w:r w:rsidRPr="00B35470">
        <w:rPr>
          <w:rFonts w:ascii="Palatino Linotype" w:eastAsia="Palatino Linotype" w:hAnsi="Palatino Linotype" w:cs="Palatino Linotype"/>
          <w:color w:val="000000"/>
        </w:rPr>
        <w:t>Ayuntamiento de Toluca</w:t>
      </w:r>
      <w:r w:rsidRPr="00B35470">
        <w:rPr>
          <w:rFonts w:ascii="Palatino Linotype" w:eastAsia="Palatino Linotype" w:hAnsi="Palatino Linotype" w:cs="Palatino Linotype"/>
          <w:b/>
        </w:rPr>
        <w:t xml:space="preserve">, </w:t>
      </w:r>
      <w:r w:rsidRPr="00B35470">
        <w:rPr>
          <w:rFonts w:ascii="Palatino Linotype" w:eastAsia="Palatino Linotype" w:hAnsi="Palatino Linotype" w:cs="Palatino Linotype"/>
        </w:rPr>
        <w:t>mediante la cual requirió lo siguiente:</w:t>
      </w:r>
    </w:p>
    <w:p w:rsidR="001A4A65" w:rsidRPr="00B35470" w:rsidRDefault="001A4A65">
      <w:pPr>
        <w:tabs>
          <w:tab w:val="left" w:pos="4667"/>
        </w:tabs>
        <w:spacing w:after="0" w:line="360" w:lineRule="auto"/>
        <w:ind w:right="567"/>
        <w:jc w:val="both"/>
        <w:rPr>
          <w:rFonts w:ascii="Palatino Linotype" w:eastAsia="Palatino Linotype" w:hAnsi="Palatino Linotype" w:cs="Palatino Linotype"/>
          <w:b/>
          <w:i/>
        </w:rPr>
      </w:pPr>
    </w:p>
    <w:p w:rsidR="001A4A65" w:rsidRPr="00B35470" w:rsidRDefault="00142F97">
      <w:pPr>
        <w:tabs>
          <w:tab w:val="left" w:pos="4667"/>
        </w:tabs>
        <w:spacing w:after="0" w:line="360" w:lineRule="auto"/>
        <w:ind w:left="567" w:right="567"/>
        <w:jc w:val="both"/>
        <w:rPr>
          <w:rFonts w:ascii="Palatino Linotype" w:eastAsia="Palatino Linotype" w:hAnsi="Palatino Linotype" w:cs="Palatino Linotype"/>
          <w:b/>
          <w:i/>
          <w:sz w:val="20"/>
          <w:szCs w:val="20"/>
        </w:rPr>
      </w:pPr>
      <w:bookmarkStart w:id="0" w:name="_heading=h.gjdgxs" w:colFirst="0" w:colLast="0"/>
      <w:bookmarkEnd w:id="0"/>
      <w:r w:rsidRPr="00B35470">
        <w:rPr>
          <w:rFonts w:ascii="Palatino Linotype" w:eastAsia="Palatino Linotype" w:hAnsi="Palatino Linotype" w:cs="Palatino Linotype"/>
          <w:b/>
          <w:i/>
          <w:sz w:val="20"/>
          <w:szCs w:val="20"/>
        </w:rPr>
        <w:t>“DESCRIPCIÓN CLARA Y PRECISA DE LA INFORMACIÓN SOLICITADA:</w:t>
      </w:r>
    </w:p>
    <w:p w:rsidR="001A4A65" w:rsidRPr="00B35470" w:rsidRDefault="009D058A">
      <w:pPr>
        <w:spacing w:after="0" w:line="360" w:lineRule="auto"/>
        <w:ind w:left="567" w:right="567"/>
        <w:jc w:val="both"/>
        <w:rPr>
          <w:rFonts w:ascii="Palatino Linotype" w:eastAsia="Palatino Linotype" w:hAnsi="Palatino Linotype" w:cs="Palatino Linotype"/>
          <w:i/>
          <w:sz w:val="20"/>
          <w:szCs w:val="20"/>
        </w:rPr>
      </w:pPr>
      <w:r w:rsidRPr="00B35470">
        <w:rPr>
          <w:rFonts w:ascii="Palatino Linotype" w:eastAsia="Palatino Linotype" w:hAnsi="Palatino Linotype" w:cs="Palatino Linotype"/>
          <w:i/>
          <w:color w:val="000000"/>
          <w:sz w:val="20"/>
          <w:szCs w:val="20"/>
        </w:rPr>
        <w:t>Solicito</w:t>
      </w:r>
      <w:r w:rsidR="00142F97" w:rsidRPr="00B35470">
        <w:rPr>
          <w:rFonts w:ascii="Palatino Linotype" w:eastAsia="Palatino Linotype" w:hAnsi="Palatino Linotype" w:cs="Palatino Linotype"/>
          <w:i/>
          <w:color w:val="000000"/>
          <w:sz w:val="20"/>
          <w:szCs w:val="20"/>
        </w:rPr>
        <w:t xml:space="preserve"> la </w:t>
      </w:r>
      <w:r w:rsidRPr="00B35470">
        <w:rPr>
          <w:rFonts w:ascii="Palatino Linotype" w:eastAsia="Palatino Linotype" w:hAnsi="Palatino Linotype" w:cs="Palatino Linotype"/>
          <w:i/>
          <w:color w:val="000000"/>
          <w:sz w:val="20"/>
          <w:szCs w:val="20"/>
        </w:rPr>
        <w:t>nómina</w:t>
      </w:r>
      <w:r w:rsidR="00142F97" w:rsidRPr="00B35470">
        <w:rPr>
          <w:rFonts w:ascii="Palatino Linotype" w:eastAsia="Palatino Linotype" w:hAnsi="Palatino Linotype" w:cs="Palatino Linotype"/>
          <w:i/>
          <w:color w:val="000000"/>
          <w:sz w:val="20"/>
          <w:szCs w:val="20"/>
        </w:rPr>
        <w:t xml:space="preserve"> y los recibos de la </w:t>
      </w:r>
      <w:r w:rsidRPr="00B35470">
        <w:rPr>
          <w:rFonts w:ascii="Palatino Linotype" w:eastAsia="Palatino Linotype" w:hAnsi="Palatino Linotype" w:cs="Palatino Linotype"/>
          <w:i/>
          <w:color w:val="000000"/>
          <w:sz w:val="20"/>
          <w:szCs w:val="20"/>
        </w:rPr>
        <w:t>nómina</w:t>
      </w:r>
      <w:r w:rsidR="00142F97" w:rsidRPr="00B35470">
        <w:rPr>
          <w:rFonts w:ascii="Palatino Linotype" w:eastAsia="Palatino Linotype" w:hAnsi="Palatino Linotype" w:cs="Palatino Linotype"/>
          <w:i/>
          <w:color w:val="000000"/>
          <w:sz w:val="20"/>
          <w:szCs w:val="20"/>
        </w:rPr>
        <w:t xml:space="preserve"> de la unidad de transparencia, </w:t>
      </w:r>
      <w:r w:rsidRPr="00B35470">
        <w:rPr>
          <w:rFonts w:ascii="Palatino Linotype" w:eastAsia="Palatino Linotype" w:hAnsi="Palatino Linotype" w:cs="Palatino Linotype"/>
          <w:i/>
          <w:color w:val="000000"/>
          <w:sz w:val="20"/>
          <w:szCs w:val="20"/>
        </w:rPr>
        <w:t>así</w:t>
      </w:r>
      <w:r w:rsidR="00142F97" w:rsidRPr="00B35470">
        <w:rPr>
          <w:rFonts w:ascii="Palatino Linotype" w:eastAsia="Palatino Linotype" w:hAnsi="Palatino Linotype" w:cs="Palatino Linotype"/>
          <w:i/>
          <w:color w:val="000000"/>
          <w:sz w:val="20"/>
          <w:szCs w:val="20"/>
        </w:rPr>
        <w:t xml:space="preserve"> como de todo el personal que labora en la misma, del periodo enero a marzo del año 2023 y 2024.</w:t>
      </w:r>
      <w:r w:rsidR="00142F97" w:rsidRPr="00B35470">
        <w:rPr>
          <w:rFonts w:ascii="Palatino Linotype" w:eastAsia="Palatino Linotype" w:hAnsi="Palatino Linotype" w:cs="Palatino Linotype"/>
          <w:i/>
          <w:sz w:val="20"/>
          <w:szCs w:val="20"/>
        </w:rPr>
        <w:t>” (Sic)</w:t>
      </w:r>
    </w:p>
    <w:p w:rsidR="001A4A65" w:rsidRPr="00B35470" w:rsidRDefault="001A4A65">
      <w:pPr>
        <w:tabs>
          <w:tab w:val="left" w:pos="4667"/>
        </w:tabs>
        <w:spacing w:after="0" w:line="360" w:lineRule="auto"/>
        <w:ind w:left="567" w:right="567"/>
        <w:jc w:val="both"/>
        <w:rPr>
          <w:rFonts w:ascii="Palatino Linotype" w:eastAsia="Palatino Linotype" w:hAnsi="Palatino Linotype" w:cs="Palatino Linotype"/>
          <w:i/>
          <w:sz w:val="20"/>
          <w:szCs w:val="20"/>
        </w:rPr>
      </w:pPr>
    </w:p>
    <w:p w:rsidR="001A4A65" w:rsidRPr="00B35470" w:rsidRDefault="00142F97">
      <w:pPr>
        <w:tabs>
          <w:tab w:val="left" w:pos="4667"/>
        </w:tabs>
        <w:spacing w:after="0" w:line="360" w:lineRule="auto"/>
        <w:ind w:left="567" w:right="567"/>
        <w:jc w:val="both"/>
        <w:rPr>
          <w:rFonts w:ascii="Palatino Linotype" w:eastAsia="Palatino Linotype" w:hAnsi="Palatino Linotype" w:cs="Palatino Linotype"/>
          <w:b/>
          <w:i/>
          <w:sz w:val="20"/>
          <w:szCs w:val="20"/>
        </w:rPr>
      </w:pPr>
      <w:r w:rsidRPr="00B35470">
        <w:rPr>
          <w:rFonts w:ascii="Palatino Linotype" w:eastAsia="Palatino Linotype" w:hAnsi="Palatino Linotype" w:cs="Palatino Linotype"/>
          <w:b/>
          <w:i/>
          <w:sz w:val="20"/>
          <w:szCs w:val="20"/>
        </w:rPr>
        <w:t xml:space="preserve">“Modalidad de Entrega: </w:t>
      </w:r>
    </w:p>
    <w:p w:rsidR="001A4A65" w:rsidRPr="00B35470" w:rsidRDefault="00142F97">
      <w:pPr>
        <w:tabs>
          <w:tab w:val="left" w:pos="567"/>
        </w:tabs>
        <w:spacing w:after="0" w:line="360" w:lineRule="auto"/>
        <w:ind w:left="567" w:right="567"/>
        <w:jc w:val="both"/>
        <w:rPr>
          <w:rFonts w:ascii="Palatino Linotype" w:eastAsia="Palatino Linotype" w:hAnsi="Palatino Linotype" w:cs="Palatino Linotype"/>
          <w:i/>
          <w:sz w:val="20"/>
          <w:szCs w:val="20"/>
        </w:rPr>
      </w:pPr>
      <w:r w:rsidRPr="00B35470">
        <w:rPr>
          <w:rFonts w:ascii="Palatino Linotype" w:eastAsia="Palatino Linotype" w:hAnsi="Palatino Linotype" w:cs="Palatino Linotype"/>
          <w:b/>
          <w:i/>
          <w:sz w:val="20"/>
          <w:szCs w:val="20"/>
        </w:rPr>
        <w:t xml:space="preserve"> </w:t>
      </w:r>
      <w:r w:rsidRPr="00B35470">
        <w:rPr>
          <w:rFonts w:ascii="Palatino Linotype" w:eastAsia="Palatino Linotype" w:hAnsi="Palatino Linotype" w:cs="Palatino Linotype"/>
          <w:i/>
          <w:sz w:val="20"/>
          <w:szCs w:val="20"/>
        </w:rPr>
        <w:t xml:space="preserve">A través de SAIMEX” </w:t>
      </w:r>
    </w:p>
    <w:p w:rsidR="001A4A65" w:rsidRPr="00B35470" w:rsidRDefault="001A4A65">
      <w:pPr>
        <w:spacing w:after="0" w:line="360" w:lineRule="auto"/>
        <w:rPr>
          <w:rFonts w:ascii="Palatino Linotype" w:eastAsia="Palatino Linotype" w:hAnsi="Palatino Linotype" w:cs="Palatino Linotype"/>
          <w:b/>
        </w:rPr>
      </w:pPr>
      <w:bookmarkStart w:id="1" w:name="_heading=h.30j0zll" w:colFirst="0" w:colLast="0"/>
      <w:bookmarkEnd w:id="1"/>
    </w:p>
    <w:p w:rsidR="001A4A65" w:rsidRPr="00B35470" w:rsidRDefault="00142F97">
      <w:pPr>
        <w:pBdr>
          <w:top w:val="nil"/>
          <w:left w:val="nil"/>
          <w:bottom w:val="nil"/>
          <w:right w:val="nil"/>
          <w:between w:val="nil"/>
        </w:pBdr>
        <w:spacing w:after="0" w:line="360" w:lineRule="auto"/>
        <w:ind w:right="-30"/>
        <w:jc w:val="both"/>
        <w:rPr>
          <w:rFonts w:ascii="Palatino Linotype" w:eastAsia="Palatino Linotype" w:hAnsi="Palatino Linotype" w:cs="Palatino Linotype"/>
          <w:b/>
          <w:color w:val="000000"/>
          <w:sz w:val="24"/>
          <w:szCs w:val="24"/>
        </w:rPr>
      </w:pPr>
      <w:r w:rsidRPr="00B35470">
        <w:rPr>
          <w:rFonts w:ascii="Palatino Linotype" w:eastAsia="Palatino Linotype" w:hAnsi="Palatino Linotype" w:cs="Palatino Linotype"/>
          <w:b/>
          <w:color w:val="000000"/>
        </w:rPr>
        <w:lastRenderedPageBreak/>
        <w:t xml:space="preserve">II. </w:t>
      </w:r>
      <w:r w:rsidRPr="00B35470">
        <w:rPr>
          <w:rFonts w:ascii="Palatino Linotype" w:eastAsia="Palatino Linotype" w:hAnsi="Palatino Linotype" w:cs="Palatino Linotype"/>
          <w:b/>
          <w:color w:val="000000"/>
          <w:sz w:val="24"/>
          <w:szCs w:val="24"/>
        </w:rPr>
        <w:t>Respuesta del Sujeto Obligado</w:t>
      </w:r>
    </w:p>
    <w:p w:rsidR="00D354AB" w:rsidRPr="00B35470" w:rsidRDefault="00D354AB">
      <w:pPr>
        <w:pBdr>
          <w:top w:val="nil"/>
          <w:left w:val="nil"/>
          <w:bottom w:val="nil"/>
          <w:right w:val="nil"/>
          <w:between w:val="nil"/>
        </w:pBdr>
        <w:spacing w:after="0" w:line="360" w:lineRule="auto"/>
        <w:ind w:right="-30"/>
        <w:jc w:val="both"/>
        <w:rPr>
          <w:rFonts w:ascii="Palatino Linotype" w:eastAsia="Palatino Linotype" w:hAnsi="Palatino Linotype" w:cs="Palatino Linotype"/>
          <w:i/>
          <w:color w:val="000000"/>
          <w:sz w:val="20"/>
          <w:szCs w:val="20"/>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Con fecha veintiuno de noviembre de dos mil veinticuatro, el</w:t>
      </w:r>
      <w:r w:rsidRPr="00B35470">
        <w:rPr>
          <w:rFonts w:ascii="Palatino Linotype" w:eastAsia="Palatino Linotype" w:hAnsi="Palatino Linotype" w:cs="Palatino Linotype"/>
          <w:b/>
        </w:rPr>
        <w:t xml:space="preserve"> </w:t>
      </w:r>
      <w:r w:rsidRPr="00B35470">
        <w:rPr>
          <w:rFonts w:ascii="Palatino Linotype" w:eastAsia="Palatino Linotype" w:hAnsi="Palatino Linotype" w:cs="Palatino Linotype"/>
        </w:rPr>
        <w:t>Sujeto Obligado dio respuesta a la solicitud de acceso a la información a través del Sistema de Acceso a la Información Mexiquense (SAIMEX), a través de la digitalización de los documentos siguientes:</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i) Oficio sin número, de fecha de su presentación suscrito por la Titular de la Unidad de Transparencia, dirigido al Solicitante, por medio del cual manifiesta y expone esencialmente lo siguiente:</w:t>
      </w:r>
    </w:p>
    <w:p w:rsidR="001A4A65" w:rsidRPr="00B35470" w:rsidRDefault="001A4A65">
      <w:pPr>
        <w:spacing w:after="0" w:line="360" w:lineRule="auto"/>
        <w:ind w:left="567" w:right="567"/>
        <w:jc w:val="both"/>
        <w:rPr>
          <w:rFonts w:ascii="Palatino Linotype" w:eastAsia="Palatino Linotype" w:hAnsi="Palatino Linotype" w:cs="Palatino Linotype"/>
          <w:i/>
          <w:sz w:val="20"/>
          <w:szCs w:val="20"/>
        </w:rPr>
      </w:pPr>
    </w:p>
    <w:p w:rsidR="001A4A65" w:rsidRPr="00B35470" w:rsidRDefault="00142F97">
      <w:pPr>
        <w:spacing w:after="0" w:line="360" w:lineRule="auto"/>
        <w:ind w:left="567" w:right="567"/>
        <w:jc w:val="both"/>
        <w:rPr>
          <w:rFonts w:ascii="Palatino Linotype" w:eastAsia="Palatino Linotype" w:hAnsi="Palatino Linotype" w:cs="Palatino Linotype"/>
          <w:i/>
          <w:sz w:val="20"/>
          <w:szCs w:val="20"/>
        </w:rPr>
      </w:pPr>
      <w:r w:rsidRPr="00B35470">
        <w:rPr>
          <w:rFonts w:ascii="Palatino Linotype" w:eastAsia="Palatino Linotype" w:hAnsi="Palatino Linotype" w:cs="Palatino Linotype"/>
          <w:i/>
          <w:sz w:val="20"/>
          <w:szCs w:val="20"/>
        </w:rPr>
        <w:t>“…</w:t>
      </w:r>
    </w:p>
    <w:p w:rsidR="001A4A65" w:rsidRPr="00B35470" w:rsidRDefault="009D058A">
      <w:pPr>
        <w:spacing w:after="0" w:line="360" w:lineRule="auto"/>
        <w:ind w:left="567" w:right="567"/>
        <w:jc w:val="both"/>
        <w:rPr>
          <w:rFonts w:ascii="Palatino Linotype" w:eastAsia="Palatino Linotype" w:hAnsi="Palatino Linotype" w:cs="Palatino Linotype"/>
          <w:i/>
          <w:sz w:val="20"/>
          <w:szCs w:val="20"/>
        </w:rPr>
      </w:pPr>
      <w:r w:rsidRPr="00B35470">
        <w:rPr>
          <w:rFonts w:ascii="Palatino Linotype" w:eastAsia="Palatino Linotype" w:hAnsi="Palatino Linotype" w:cs="Palatino Linotype"/>
          <w:i/>
          <w:sz w:val="20"/>
          <w:szCs w:val="20"/>
        </w:rPr>
        <w:t>Hago</w:t>
      </w:r>
      <w:r w:rsidR="00142F97" w:rsidRPr="00B35470">
        <w:rPr>
          <w:rFonts w:ascii="Palatino Linotype" w:eastAsia="Palatino Linotype" w:hAnsi="Palatino Linotype" w:cs="Palatino Linotype"/>
          <w:i/>
          <w:sz w:val="20"/>
          <w:szCs w:val="20"/>
        </w:rPr>
        <w:t xml:space="preserve"> de su conocimiento que la Dirección General de Administración, y Servidor Público Habilitado, informó que la Dirección de Recursos Humanos adscrita a esta, en ámbito de competencia, después de una búsqueda exhaustiva y razonable a los archivos que guarda el Departamento de Nóminas, se anexa la información solicitada.</w:t>
      </w:r>
    </w:p>
    <w:p w:rsidR="001A4A65" w:rsidRPr="00B35470" w:rsidRDefault="001A4A65">
      <w:pPr>
        <w:spacing w:after="0" w:line="360" w:lineRule="auto"/>
        <w:ind w:left="567" w:right="567"/>
        <w:jc w:val="both"/>
        <w:rPr>
          <w:rFonts w:ascii="Palatino Linotype" w:eastAsia="Palatino Linotype" w:hAnsi="Palatino Linotype" w:cs="Palatino Linotype"/>
          <w:i/>
          <w:sz w:val="20"/>
          <w:szCs w:val="20"/>
        </w:rPr>
      </w:pPr>
    </w:p>
    <w:p w:rsidR="001A4A65" w:rsidRPr="00B35470" w:rsidRDefault="00142F97">
      <w:pPr>
        <w:spacing w:after="0" w:line="360" w:lineRule="auto"/>
        <w:ind w:left="567" w:right="567"/>
        <w:jc w:val="both"/>
        <w:rPr>
          <w:rFonts w:ascii="Palatino Linotype" w:eastAsia="Palatino Linotype" w:hAnsi="Palatino Linotype" w:cs="Palatino Linotype"/>
          <w:i/>
          <w:sz w:val="20"/>
          <w:szCs w:val="20"/>
        </w:rPr>
      </w:pPr>
      <w:r w:rsidRPr="00B35470">
        <w:rPr>
          <w:rFonts w:ascii="Palatino Linotype" w:eastAsia="Palatino Linotype" w:hAnsi="Palatino Linotype" w:cs="Palatino Linotype"/>
          <w:i/>
          <w:sz w:val="20"/>
          <w:szCs w:val="20"/>
        </w:rPr>
        <w:t>No omito comentar que la información, fue clasificada como confidencial en partes, por contener datos personales concernientes a la vida privada de los servidores públicos en términos del artículo 143 fracción I de la Ley de Transparencia y Acceso a la Información Pública del Estado de México y Municipios, mediante acuerdo número AT/CT/01/2024, aprobado por el Comité de Transparencia en la Noningentésima Quincuagésima Segunda Sesión Extraordinaria, de fecha 20 de noviembre de 2024.</w:t>
      </w:r>
    </w:p>
    <w:p w:rsidR="001A4A65" w:rsidRPr="00B35470" w:rsidRDefault="00142F97">
      <w:pPr>
        <w:spacing w:after="0" w:line="360" w:lineRule="auto"/>
        <w:ind w:left="567" w:right="567"/>
        <w:jc w:val="both"/>
        <w:rPr>
          <w:rFonts w:ascii="Palatino Linotype" w:eastAsia="Palatino Linotype" w:hAnsi="Palatino Linotype" w:cs="Palatino Linotype"/>
          <w:i/>
          <w:sz w:val="20"/>
          <w:szCs w:val="20"/>
        </w:rPr>
      </w:pPr>
      <w:r w:rsidRPr="00B35470">
        <w:rPr>
          <w:rFonts w:ascii="Palatino Linotype" w:eastAsia="Palatino Linotype" w:hAnsi="Palatino Linotype" w:cs="Palatino Linotype"/>
          <w:i/>
          <w:sz w:val="20"/>
          <w:szCs w:val="20"/>
        </w:rPr>
        <w:t>…”</w:t>
      </w:r>
    </w:p>
    <w:p w:rsidR="001A4A65" w:rsidRPr="00B35470" w:rsidRDefault="001A4A65">
      <w:pPr>
        <w:spacing w:after="0" w:line="360" w:lineRule="auto"/>
        <w:ind w:right="-28"/>
        <w:jc w:val="both"/>
        <w:rPr>
          <w:rFonts w:ascii="Palatino Linotype" w:eastAsia="Palatino Linotype" w:hAnsi="Palatino Linotype" w:cs="Palatino Linotype"/>
          <w:b/>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ii) Recibos de nómina de </w:t>
      </w:r>
      <w:proofErr w:type="spellStart"/>
      <w:r w:rsidRPr="00B35470">
        <w:rPr>
          <w:rFonts w:ascii="Palatino Linotype" w:eastAsia="Palatino Linotype" w:hAnsi="Palatino Linotype" w:cs="Palatino Linotype"/>
        </w:rPr>
        <w:t>Jovana</w:t>
      </w:r>
      <w:proofErr w:type="spellEnd"/>
      <w:r w:rsidRPr="00B35470">
        <w:rPr>
          <w:rFonts w:ascii="Palatino Linotype" w:eastAsia="Palatino Linotype" w:hAnsi="Palatino Linotype" w:cs="Palatino Linotype"/>
        </w:rPr>
        <w:t xml:space="preserve"> Aguilar Venado, de las quincenas de marzo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lastRenderedPageBreak/>
        <w:t xml:space="preserve">iii) Recibos de nómina de Cielo </w:t>
      </w:r>
      <w:proofErr w:type="spellStart"/>
      <w:r w:rsidRPr="00B35470">
        <w:rPr>
          <w:rFonts w:ascii="Palatino Linotype" w:eastAsia="Palatino Linotype" w:hAnsi="Palatino Linotype" w:cs="Palatino Linotype"/>
        </w:rPr>
        <w:t>Jarely</w:t>
      </w:r>
      <w:proofErr w:type="spellEnd"/>
      <w:r w:rsidRPr="00B35470">
        <w:rPr>
          <w:rFonts w:ascii="Palatino Linotype" w:eastAsia="Palatino Linotype" w:hAnsi="Palatino Linotype" w:cs="Palatino Linotype"/>
        </w:rPr>
        <w:t xml:space="preserve"> Aranza </w:t>
      </w:r>
      <w:proofErr w:type="spellStart"/>
      <w:r w:rsidRPr="00B35470">
        <w:rPr>
          <w:rFonts w:ascii="Palatino Linotype" w:eastAsia="Palatino Linotype" w:hAnsi="Palatino Linotype" w:cs="Palatino Linotype"/>
        </w:rPr>
        <w:t>Mendez</w:t>
      </w:r>
      <w:proofErr w:type="spellEnd"/>
      <w:r w:rsidRPr="00B35470">
        <w:rPr>
          <w:rFonts w:ascii="Palatino Linotype" w:eastAsia="Palatino Linotype" w:hAnsi="Palatino Linotype" w:cs="Palatino Linotype"/>
        </w:rPr>
        <w:t>, de las quincenas de enero, febrero y marzo de dos mil veintitrés.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iv) Recibos de nómina de Cielo </w:t>
      </w:r>
      <w:proofErr w:type="spellStart"/>
      <w:r w:rsidRPr="00B35470">
        <w:rPr>
          <w:rFonts w:ascii="Palatino Linotype" w:eastAsia="Palatino Linotype" w:hAnsi="Palatino Linotype" w:cs="Palatino Linotype"/>
        </w:rPr>
        <w:t>Jarely</w:t>
      </w:r>
      <w:proofErr w:type="spellEnd"/>
      <w:r w:rsidRPr="00B35470">
        <w:rPr>
          <w:rFonts w:ascii="Palatino Linotype" w:eastAsia="Palatino Linotype" w:hAnsi="Palatino Linotype" w:cs="Palatino Linotype"/>
        </w:rPr>
        <w:t xml:space="preserve"> Aranza </w:t>
      </w:r>
      <w:proofErr w:type="spellStart"/>
      <w:r w:rsidRPr="00B35470">
        <w:rPr>
          <w:rFonts w:ascii="Palatino Linotype" w:eastAsia="Palatino Linotype" w:hAnsi="Palatino Linotype" w:cs="Palatino Linotype"/>
        </w:rPr>
        <w:t>Mendez</w:t>
      </w:r>
      <w:proofErr w:type="spellEnd"/>
      <w:r w:rsidRPr="00B35470">
        <w:rPr>
          <w:rFonts w:ascii="Palatino Linotype" w:eastAsia="Palatino Linotype" w:hAnsi="Palatino Linotype" w:cs="Palatino Linotype"/>
        </w:rPr>
        <w:t>, de las quincenas de enero, febrero y marzo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v) Recibos de nómina de Pablo Carranza Hernández, de las quincenas de enero, febrero y marzo de dos mil veintitrés.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left="708" w:right="-28" w:hanging="708"/>
        <w:jc w:val="both"/>
        <w:rPr>
          <w:rFonts w:ascii="Palatino Linotype" w:eastAsia="Palatino Linotype" w:hAnsi="Palatino Linotype" w:cs="Palatino Linotype"/>
        </w:rPr>
      </w:pPr>
      <w:proofErr w:type="gramStart"/>
      <w:r w:rsidRPr="00B35470">
        <w:rPr>
          <w:rFonts w:ascii="Palatino Linotype" w:eastAsia="Palatino Linotype" w:hAnsi="Palatino Linotype" w:cs="Palatino Linotype"/>
        </w:rPr>
        <w:t>vi</w:t>
      </w:r>
      <w:proofErr w:type="gramEnd"/>
      <w:r w:rsidRPr="00B35470">
        <w:rPr>
          <w:rFonts w:ascii="Palatino Linotype" w:eastAsia="Palatino Linotype" w:hAnsi="Palatino Linotype" w:cs="Palatino Linotype"/>
        </w:rPr>
        <w:t>) Recibos de nómina de Amelia Castañeda Aguilar, de las quincenas de enero, febrero y marzo de dos mil veintitrés.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vii) Recibos de nómina de Amelia Castañeda Aguilar, de las quincenas de enero, febrero y marzo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viii) Recibos de nómina de Violeta Figueroa Flores, de las quincenas de enero de dos mil veintitrés.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ix) Recibos de nómina de Carlos Jacobo Garduño López, de las quincenas de enero, febrero y marzo de dos mil veintitrés.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 Recibos de nómina de Carlos Jacobo Garduño López, de las quincenas de enero, febrero y marzo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xi) Recibos de nómina de Iván González </w:t>
      </w:r>
      <w:proofErr w:type="spellStart"/>
      <w:r w:rsidRPr="00B35470">
        <w:rPr>
          <w:rFonts w:ascii="Palatino Linotype" w:eastAsia="Palatino Linotype" w:hAnsi="Palatino Linotype" w:cs="Palatino Linotype"/>
        </w:rPr>
        <w:t>Neria</w:t>
      </w:r>
      <w:proofErr w:type="spellEnd"/>
      <w:r w:rsidRPr="00B35470">
        <w:rPr>
          <w:rFonts w:ascii="Palatino Linotype" w:eastAsia="Palatino Linotype" w:hAnsi="Palatino Linotype" w:cs="Palatino Linotype"/>
        </w:rPr>
        <w:t>, de las quincenas de enero, febrero y marzo de dos mil veintitrés.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xii) Recibos de nómina de Luis Alberto Guadarrama Olivares, de las quincenas de enero, febrero y marzo de dos mil veintitrés.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xiii) Recibos de nómina de Luis Alberto Guadarrama Olivares, de las quincenas de enero, febrero y marzo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xiv) Recibos de nómina de Itzel Aurora Hernández Alvarado, de las quincenas de enero y febrero de dos mil veintitrés.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xv) Recibos de nómina de Itzel Aurora Hernández Alvarado, de las quincenas de enero y febrero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xvi) Recibos de nómina de Maricruz López Torres, de las quincenas de enero, febrero y marzo de dos mil veintitrés. </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xvii) Recibos de nómina de Norma Sofía Pérez Martínez, de las quincenas de enero, febrero y marzo de dos mil veintitrés.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xvii) Recibos de nómina de Norma Sofía Pérez Martínez, de las quincenas de enero, febrero y marzo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xviii) Recibos de nómina de Sergio Eduardo Pichardo Almazán, de las quincenas de enero, febrero y marzo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lastRenderedPageBreak/>
        <w:t>xix) Recibos de nómina de Diana Laura Ramírez Álvarez, de las quincenas de enero y febrero de dos mil veintitrés.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xx) Recibos de nómina de Diana Laura Ramírez Álvarez, de las quincenas de enero, febrero y marzo de dos mil veintitrés.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xxi) Recibos de nómina de Diana Laura Ramírez Álvarez, de las quincenas de enero, febrero y marzo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xxii) Recibos de nómina de Roberto Daniel Sánchez Arias, de las quincenas de enero, febrero y marzo de dos mil veintitrés.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xxiii) Recibos de nómina de Roberto Daniel Sánchez Arias, de las quincenas de enero, febrero y marzo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xxiv) Recibos de nómina de Andrea Alejandra Sánchez Valdez, de las quincenas de enero, febrero y marzo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xxv) Recibos de nómina de </w:t>
      </w:r>
      <w:proofErr w:type="spellStart"/>
      <w:r w:rsidRPr="00B35470">
        <w:rPr>
          <w:rFonts w:ascii="Palatino Linotype" w:eastAsia="Palatino Linotype" w:hAnsi="Palatino Linotype" w:cs="Palatino Linotype"/>
        </w:rPr>
        <w:t>Suzett</w:t>
      </w:r>
      <w:proofErr w:type="spellEnd"/>
      <w:r w:rsidRPr="00B35470">
        <w:rPr>
          <w:rFonts w:ascii="Palatino Linotype" w:eastAsia="Palatino Linotype" w:hAnsi="Palatino Linotype" w:cs="Palatino Linotype"/>
        </w:rPr>
        <w:t xml:space="preserve"> </w:t>
      </w:r>
      <w:proofErr w:type="spellStart"/>
      <w:r w:rsidRPr="00B35470">
        <w:rPr>
          <w:rFonts w:ascii="Palatino Linotype" w:eastAsia="Palatino Linotype" w:hAnsi="Palatino Linotype" w:cs="Palatino Linotype"/>
        </w:rPr>
        <w:t>Jeraim</w:t>
      </w:r>
      <w:proofErr w:type="spellEnd"/>
      <w:r w:rsidRPr="00B35470">
        <w:rPr>
          <w:rFonts w:ascii="Palatino Linotype" w:eastAsia="Palatino Linotype" w:hAnsi="Palatino Linotype" w:cs="Palatino Linotype"/>
        </w:rPr>
        <w:t xml:space="preserve"> Torres Coria, de las quincenas de enero, febrero y marzo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xxvi) Recibos de nómina de Abril Alexa </w:t>
      </w:r>
      <w:proofErr w:type="spellStart"/>
      <w:r w:rsidRPr="00B35470">
        <w:rPr>
          <w:rFonts w:ascii="Palatino Linotype" w:eastAsia="Palatino Linotype" w:hAnsi="Palatino Linotype" w:cs="Palatino Linotype"/>
        </w:rPr>
        <w:t>Vieyra</w:t>
      </w:r>
      <w:proofErr w:type="spellEnd"/>
      <w:r w:rsidRPr="00B35470">
        <w:rPr>
          <w:rFonts w:ascii="Palatino Linotype" w:eastAsia="Palatino Linotype" w:hAnsi="Palatino Linotype" w:cs="Palatino Linotype"/>
        </w:rPr>
        <w:t xml:space="preserve"> Matías, de las quincenas de marzo de dos mil veintitrés. </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xxvii) Recibos de nómina de Abril Alexa </w:t>
      </w:r>
      <w:proofErr w:type="spellStart"/>
      <w:r w:rsidRPr="00B35470">
        <w:rPr>
          <w:rFonts w:ascii="Palatino Linotype" w:eastAsia="Palatino Linotype" w:hAnsi="Palatino Linotype" w:cs="Palatino Linotype"/>
        </w:rPr>
        <w:t>Vieyra</w:t>
      </w:r>
      <w:proofErr w:type="spellEnd"/>
      <w:r w:rsidRPr="00B35470">
        <w:rPr>
          <w:rFonts w:ascii="Palatino Linotype" w:eastAsia="Palatino Linotype" w:hAnsi="Palatino Linotype" w:cs="Palatino Linotype"/>
        </w:rPr>
        <w:t xml:space="preserve"> Matías, de las quincenas de enero, febrero y marzo de dos mil veinticuatro.</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xxviii) Listado de nómina de la primera, segunda, tercera, cuarta, quinta y sexta quincenas del personal adscrito a la Unidad de Transparencia de dos mil veintitrés.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xxix) Listado de nómina de la primera, segunda, tercera, cuarta, quinta y sexta quincenas del personal adscrito a la Unidad de Transparencia de dos mil veinticuatro.</w:t>
      </w:r>
    </w:p>
    <w:p w:rsidR="001A4A65" w:rsidRPr="00B35470" w:rsidRDefault="001A4A65">
      <w:pPr>
        <w:spacing w:after="0" w:line="360" w:lineRule="auto"/>
        <w:ind w:right="-28"/>
        <w:jc w:val="both"/>
        <w:rPr>
          <w:rFonts w:ascii="Palatino Linotype" w:eastAsia="Palatino Linotype" w:hAnsi="Palatino Linotype" w:cs="Palatino Linotype"/>
          <w:b/>
        </w:rPr>
      </w:pPr>
    </w:p>
    <w:p w:rsidR="001A4A65" w:rsidRPr="00B35470" w:rsidRDefault="00142F97">
      <w:pPr>
        <w:spacing w:after="0" w:line="360" w:lineRule="auto"/>
        <w:ind w:right="-28"/>
        <w:jc w:val="both"/>
        <w:rPr>
          <w:rFonts w:ascii="Palatino Linotype" w:eastAsia="Palatino Linotype" w:hAnsi="Palatino Linotype" w:cs="Palatino Linotype"/>
          <w:b/>
        </w:rPr>
      </w:pPr>
      <w:r w:rsidRPr="00B35470">
        <w:rPr>
          <w:rFonts w:ascii="Palatino Linotype" w:eastAsia="Palatino Linotype" w:hAnsi="Palatino Linotype" w:cs="Palatino Linotype"/>
          <w:b/>
        </w:rPr>
        <w:t>III. Interposición del Recurso de Revisión</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Con fecha veintiocho de noviembre de dos mil veinticuatro, se recibió en este Instituto, a través del Sistema de Acceso a la Información Mexiquense (SAIMEX), el Recurso de Revisión interpuesto por la parte Recurrente, en contra de la respuesta del Sujeto Obligado, en los siguientes términos:</w:t>
      </w:r>
    </w:p>
    <w:p w:rsidR="001A4A65" w:rsidRPr="00B35470" w:rsidRDefault="001A4A65">
      <w:pPr>
        <w:spacing w:after="0" w:line="360" w:lineRule="auto"/>
        <w:ind w:right="-28"/>
        <w:jc w:val="both"/>
        <w:rPr>
          <w:rFonts w:ascii="Palatino Linotype" w:eastAsia="Palatino Linotype" w:hAnsi="Palatino Linotype" w:cs="Palatino Linotype"/>
          <w:i/>
        </w:rPr>
      </w:pPr>
    </w:p>
    <w:p w:rsidR="001A4A65" w:rsidRPr="00B35470" w:rsidRDefault="00142F97">
      <w:pPr>
        <w:tabs>
          <w:tab w:val="left" w:pos="4667"/>
        </w:tabs>
        <w:spacing w:after="0" w:line="360" w:lineRule="auto"/>
        <w:ind w:left="567" w:right="567"/>
        <w:jc w:val="both"/>
        <w:rPr>
          <w:rFonts w:ascii="Palatino Linotype" w:eastAsia="Palatino Linotype" w:hAnsi="Palatino Linotype" w:cs="Palatino Linotype"/>
          <w:b/>
          <w:i/>
          <w:sz w:val="20"/>
          <w:szCs w:val="20"/>
        </w:rPr>
      </w:pPr>
      <w:r w:rsidRPr="00B35470">
        <w:rPr>
          <w:rFonts w:ascii="Palatino Linotype" w:eastAsia="Palatino Linotype" w:hAnsi="Palatino Linotype" w:cs="Palatino Linotype"/>
          <w:b/>
          <w:i/>
          <w:sz w:val="20"/>
          <w:szCs w:val="20"/>
        </w:rPr>
        <w:t>“ACTO IMPUGNADO</w:t>
      </w:r>
    </w:p>
    <w:p w:rsidR="001A4A65" w:rsidRPr="00B35470" w:rsidRDefault="00142F97">
      <w:pPr>
        <w:spacing w:after="0" w:line="360" w:lineRule="auto"/>
        <w:ind w:left="567" w:right="567"/>
        <w:jc w:val="both"/>
        <w:rPr>
          <w:rFonts w:ascii="Palatino Linotype" w:eastAsia="Palatino Linotype" w:hAnsi="Palatino Linotype" w:cs="Palatino Linotype"/>
          <w:i/>
          <w:sz w:val="20"/>
          <w:szCs w:val="20"/>
        </w:rPr>
      </w:pPr>
      <w:proofErr w:type="gramStart"/>
      <w:r w:rsidRPr="00B35470">
        <w:rPr>
          <w:rFonts w:ascii="Palatino Linotype" w:eastAsia="Palatino Linotype" w:hAnsi="Palatino Linotype" w:cs="Palatino Linotype"/>
          <w:i/>
          <w:sz w:val="20"/>
          <w:szCs w:val="20"/>
        </w:rPr>
        <w:t>la</w:t>
      </w:r>
      <w:proofErr w:type="gramEnd"/>
      <w:r w:rsidRPr="00B35470">
        <w:rPr>
          <w:rFonts w:ascii="Palatino Linotype" w:eastAsia="Palatino Linotype" w:hAnsi="Palatino Linotype" w:cs="Palatino Linotype"/>
          <w:i/>
          <w:sz w:val="20"/>
          <w:szCs w:val="20"/>
        </w:rPr>
        <w:t xml:space="preserve"> tunante respuesta” (Sic.)</w:t>
      </w:r>
    </w:p>
    <w:p w:rsidR="001A4A65" w:rsidRPr="00B35470" w:rsidRDefault="001A4A65">
      <w:pPr>
        <w:tabs>
          <w:tab w:val="left" w:pos="4667"/>
        </w:tabs>
        <w:spacing w:after="0" w:line="360" w:lineRule="auto"/>
        <w:ind w:left="567" w:right="567"/>
        <w:jc w:val="both"/>
        <w:rPr>
          <w:rFonts w:ascii="Palatino Linotype" w:eastAsia="Palatino Linotype" w:hAnsi="Palatino Linotype" w:cs="Palatino Linotype"/>
          <w:i/>
          <w:sz w:val="20"/>
          <w:szCs w:val="20"/>
        </w:rPr>
      </w:pPr>
    </w:p>
    <w:p w:rsidR="001A4A65" w:rsidRPr="00B35470" w:rsidRDefault="00142F97">
      <w:pPr>
        <w:tabs>
          <w:tab w:val="left" w:pos="4667"/>
        </w:tabs>
        <w:spacing w:after="0" w:line="360" w:lineRule="auto"/>
        <w:ind w:left="567" w:right="567"/>
        <w:jc w:val="both"/>
        <w:rPr>
          <w:rFonts w:ascii="Palatino Linotype" w:eastAsia="Palatino Linotype" w:hAnsi="Palatino Linotype" w:cs="Palatino Linotype"/>
          <w:b/>
          <w:i/>
          <w:sz w:val="20"/>
          <w:szCs w:val="20"/>
        </w:rPr>
      </w:pPr>
      <w:r w:rsidRPr="00B35470">
        <w:rPr>
          <w:rFonts w:ascii="Palatino Linotype" w:eastAsia="Palatino Linotype" w:hAnsi="Palatino Linotype" w:cs="Palatino Linotype"/>
          <w:b/>
          <w:i/>
          <w:sz w:val="20"/>
          <w:szCs w:val="20"/>
        </w:rPr>
        <w:t>“RAZONES O MOTIVOS DE LA INCONFORMIDAD</w:t>
      </w:r>
    </w:p>
    <w:p w:rsidR="001A4A65" w:rsidRPr="00B35470" w:rsidRDefault="00142F97">
      <w:pPr>
        <w:spacing w:after="0" w:line="360" w:lineRule="auto"/>
        <w:ind w:left="567" w:right="567"/>
        <w:jc w:val="both"/>
        <w:rPr>
          <w:rFonts w:ascii="Palatino Linotype" w:eastAsia="Palatino Linotype" w:hAnsi="Palatino Linotype" w:cs="Palatino Linotype"/>
          <w:i/>
          <w:sz w:val="20"/>
          <w:szCs w:val="20"/>
        </w:rPr>
      </w:pPr>
      <w:proofErr w:type="gramStart"/>
      <w:r w:rsidRPr="00B35470">
        <w:rPr>
          <w:rFonts w:ascii="Palatino Linotype" w:eastAsia="Palatino Linotype" w:hAnsi="Palatino Linotype" w:cs="Palatino Linotype"/>
          <w:i/>
          <w:color w:val="000000"/>
          <w:sz w:val="20"/>
          <w:szCs w:val="20"/>
        </w:rPr>
        <w:t>y</w:t>
      </w:r>
      <w:proofErr w:type="gramEnd"/>
      <w:r w:rsidRPr="00B35470">
        <w:rPr>
          <w:rFonts w:ascii="Palatino Linotype" w:eastAsia="Palatino Linotype" w:hAnsi="Palatino Linotype" w:cs="Palatino Linotype"/>
          <w:i/>
          <w:color w:val="000000"/>
          <w:sz w:val="20"/>
          <w:szCs w:val="20"/>
        </w:rPr>
        <w:t xml:space="preserve"> el acta de </w:t>
      </w:r>
      <w:r w:rsidR="009D058A" w:rsidRPr="00B35470">
        <w:rPr>
          <w:rFonts w:ascii="Palatino Linotype" w:eastAsia="Palatino Linotype" w:hAnsi="Palatino Linotype" w:cs="Palatino Linotype"/>
          <w:i/>
          <w:color w:val="000000"/>
          <w:sz w:val="20"/>
          <w:szCs w:val="20"/>
        </w:rPr>
        <w:t>comité</w:t>
      </w:r>
      <w:r w:rsidRPr="00B35470">
        <w:rPr>
          <w:rFonts w:ascii="Palatino Linotype" w:eastAsia="Palatino Linotype" w:hAnsi="Palatino Linotype" w:cs="Palatino Linotype"/>
          <w:i/>
          <w:color w:val="000000"/>
          <w:sz w:val="20"/>
          <w:szCs w:val="20"/>
        </w:rPr>
        <w:t>?.</w:t>
      </w:r>
      <w:r w:rsidRPr="00B35470">
        <w:rPr>
          <w:rFonts w:ascii="Palatino Linotype" w:eastAsia="Palatino Linotype" w:hAnsi="Palatino Linotype" w:cs="Palatino Linotype"/>
          <w:i/>
          <w:sz w:val="20"/>
          <w:szCs w:val="20"/>
        </w:rPr>
        <w:t>” (Sic)</w:t>
      </w:r>
    </w:p>
    <w:p w:rsidR="001A4A65" w:rsidRPr="00B35470" w:rsidRDefault="001A4A65">
      <w:pPr>
        <w:spacing w:after="0" w:line="360" w:lineRule="auto"/>
        <w:ind w:right="-28"/>
        <w:jc w:val="both"/>
        <w:rPr>
          <w:rFonts w:ascii="Palatino Linotype" w:eastAsia="Palatino Linotype" w:hAnsi="Palatino Linotype" w:cs="Palatino Linotype"/>
          <w:b/>
        </w:rPr>
      </w:pPr>
    </w:p>
    <w:p w:rsidR="001A4A65" w:rsidRPr="00B35470" w:rsidRDefault="00142F97">
      <w:pPr>
        <w:spacing w:after="0" w:line="360" w:lineRule="auto"/>
        <w:ind w:right="-28"/>
        <w:jc w:val="both"/>
        <w:rPr>
          <w:rFonts w:ascii="Palatino Linotype" w:eastAsia="Palatino Linotype" w:hAnsi="Palatino Linotype" w:cs="Palatino Linotype"/>
          <w:b/>
        </w:rPr>
      </w:pPr>
      <w:r w:rsidRPr="00B35470">
        <w:rPr>
          <w:rFonts w:ascii="Palatino Linotype" w:eastAsia="Palatino Linotype" w:hAnsi="Palatino Linotype" w:cs="Palatino Linotype"/>
          <w:b/>
        </w:rPr>
        <w:t>IV. Trámite del Recurso de Revisión ante el Instituto</w:t>
      </w:r>
    </w:p>
    <w:p w:rsidR="001A4A65" w:rsidRPr="00B35470" w:rsidRDefault="001A4A65">
      <w:pPr>
        <w:spacing w:after="0" w:line="360" w:lineRule="auto"/>
        <w:ind w:right="-28"/>
        <w:jc w:val="both"/>
        <w:rPr>
          <w:rFonts w:ascii="Palatino Linotype" w:eastAsia="Palatino Linotype" w:hAnsi="Palatino Linotype" w:cs="Palatino Linotype"/>
          <w:b/>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b/>
        </w:rPr>
        <w:t xml:space="preserve">a) Turno del Recurso de Revisión. </w:t>
      </w:r>
      <w:r w:rsidRPr="00B35470">
        <w:rPr>
          <w:rFonts w:ascii="Palatino Linotype" w:eastAsia="Palatino Linotype" w:hAnsi="Palatino Linotype" w:cs="Palatino Linotype"/>
        </w:rPr>
        <w:t xml:space="preserve">El veintiocho de noviembre de dos mil veinticuatro, el Sistema de Acceso a la Información Mexiquense (SAIMEX), asignó el número de expediente </w:t>
      </w:r>
      <w:r w:rsidRPr="00B35470">
        <w:rPr>
          <w:rFonts w:ascii="Palatino Linotype" w:eastAsia="Palatino Linotype" w:hAnsi="Palatino Linotype" w:cs="Palatino Linotype"/>
          <w:b/>
        </w:rPr>
        <w:t xml:space="preserve">07411/INFOEM/IP/RR/2024, </w:t>
      </w:r>
      <w:r w:rsidRPr="00B35470">
        <w:rPr>
          <w:rFonts w:ascii="Palatino Linotype" w:eastAsia="Palatino Linotype" w:hAnsi="Palatino Linotype" w:cs="Palatino Linotype"/>
        </w:rPr>
        <w:t xml:space="preserve">al Recurso de Revisión y lo turnó al Comisionado Ponente </w:t>
      </w:r>
      <w:r w:rsidRPr="00B35470">
        <w:rPr>
          <w:rFonts w:ascii="Palatino Linotype" w:eastAsia="Palatino Linotype" w:hAnsi="Palatino Linotype" w:cs="Palatino Linotype"/>
          <w:b/>
        </w:rPr>
        <w:t>Luis Gustavo Parra Noriega</w:t>
      </w:r>
      <w:r w:rsidRPr="00B35470">
        <w:rPr>
          <w:rFonts w:ascii="Palatino Linotype" w:eastAsia="Palatino Linotype" w:hAnsi="Palatino Linotype" w:cs="Palatino Linotype"/>
        </w:rPr>
        <w:t>, para los efectos del artículo 185, fracción I, de la Ley de Transparencia y Acceso a la Información Pública del Estado de México y Municipios.</w:t>
      </w:r>
    </w:p>
    <w:p w:rsidR="001A4A65" w:rsidRPr="00B35470" w:rsidRDefault="001A4A65">
      <w:pPr>
        <w:spacing w:after="0" w:line="360" w:lineRule="auto"/>
        <w:ind w:right="-28"/>
        <w:jc w:val="both"/>
        <w:rPr>
          <w:rFonts w:ascii="Palatino Linotype" w:eastAsia="Palatino Linotype" w:hAnsi="Palatino Linotype" w:cs="Palatino Linotype"/>
          <w:b/>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b/>
        </w:rPr>
        <w:t xml:space="preserve">b) Admisión del Recurso de Revisión. </w:t>
      </w:r>
      <w:r w:rsidRPr="00B35470">
        <w:rPr>
          <w:rFonts w:ascii="Palatino Linotype" w:eastAsia="Palatino Linotype" w:hAnsi="Palatino Linotype" w:cs="Palatino Linotype"/>
        </w:rPr>
        <w:t>El tres de diciembre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b/>
        </w:rPr>
        <w:t xml:space="preserve">c) Informe Justificado. </w:t>
      </w:r>
      <w:r w:rsidRPr="00B35470">
        <w:rPr>
          <w:rFonts w:ascii="Palatino Linotype" w:eastAsia="Palatino Linotype" w:hAnsi="Palatino Linotype" w:cs="Palatino Linotype"/>
        </w:rPr>
        <w:t>El once de diciembre de dos mil veinticuatro, se recibió en este Instituto, a través del Sistema de Acceso a la Información Mexiquense (SAIMEX), el Informe Justificado del Sujeto Obligado, por medio de la digitalización de los documentos siguientes:</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i) Oficio número 2010A4000/UT/RR/0592/2024, de fecha de su recepción, suscrito por la Titular de la Unidad de Transparencia, dirigido al Comisionado Ponente, por medio del cual esencialmente ratifica su respuesta, y adiciona lo siguiente:</w:t>
      </w:r>
      <w:r w:rsidRPr="00B35470">
        <w:rPr>
          <w:rFonts w:ascii="Palatino Linotype" w:eastAsia="Palatino Linotype" w:hAnsi="Palatino Linotype" w:cs="Palatino Linotype"/>
        </w:rPr>
        <w:br/>
      </w:r>
    </w:p>
    <w:p w:rsidR="001A4A65" w:rsidRPr="00B35470" w:rsidRDefault="00142F97">
      <w:pPr>
        <w:spacing w:after="0" w:line="360" w:lineRule="auto"/>
        <w:ind w:left="567" w:right="567"/>
        <w:jc w:val="both"/>
        <w:rPr>
          <w:rFonts w:ascii="Palatino Linotype" w:eastAsia="Palatino Linotype" w:hAnsi="Palatino Linotype" w:cs="Palatino Linotype"/>
          <w:i/>
          <w:sz w:val="20"/>
          <w:szCs w:val="20"/>
        </w:rPr>
      </w:pPr>
      <w:r w:rsidRPr="00B35470">
        <w:rPr>
          <w:rFonts w:ascii="Palatino Linotype" w:eastAsia="Palatino Linotype" w:hAnsi="Palatino Linotype" w:cs="Palatino Linotype"/>
          <w:i/>
          <w:sz w:val="20"/>
          <w:szCs w:val="20"/>
        </w:rPr>
        <w:t>“…</w:t>
      </w:r>
    </w:p>
    <w:p w:rsidR="001A4A65" w:rsidRPr="00B35470" w:rsidRDefault="00142F97">
      <w:pPr>
        <w:spacing w:after="0" w:line="360" w:lineRule="auto"/>
        <w:ind w:left="567" w:right="567"/>
        <w:jc w:val="both"/>
        <w:rPr>
          <w:rFonts w:ascii="Palatino Linotype" w:eastAsia="Palatino Linotype" w:hAnsi="Palatino Linotype" w:cs="Palatino Linotype"/>
          <w:i/>
          <w:sz w:val="20"/>
          <w:szCs w:val="20"/>
        </w:rPr>
      </w:pPr>
      <w:r w:rsidRPr="00B35470">
        <w:rPr>
          <w:rFonts w:ascii="Palatino Linotype" w:eastAsia="Palatino Linotype" w:hAnsi="Palatino Linotype" w:cs="Palatino Linotype"/>
          <w:i/>
          <w:sz w:val="20"/>
          <w:szCs w:val="20"/>
        </w:rPr>
        <w:t>No obstante, atendiendo a lo que el Recurrente se adolece que es el “Acuerdo del Comité” por el que se aprueba la clasificación como confidencial la información, de acuerdo con el Acta de la Noningentésima Quincuagésima Segunda Sesión Extraordinaria 2024 del Comité de Transparencia, misma que se adjunta al presente para mayor referencia.</w:t>
      </w:r>
    </w:p>
    <w:p w:rsidR="001A4A65" w:rsidRPr="00B35470" w:rsidRDefault="00142F97">
      <w:pPr>
        <w:spacing w:after="0" w:line="360" w:lineRule="auto"/>
        <w:ind w:left="567" w:right="567"/>
        <w:jc w:val="both"/>
        <w:rPr>
          <w:rFonts w:ascii="Palatino Linotype" w:eastAsia="Palatino Linotype" w:hAnsi="Palatino Linotype" w:cs="Palatino Linotype"/>
          <w:i/>
          <w:sz w:val="20"/>
          <w:szCs w:val="20"/>
        </w:rPr>
      </w:pPr>
      <w:r w:rsidRPr="00B35470">
        <w:rPr>
          <w:rFonts w:ascii="Palatino Linotype" w:eastAsia="Palatino Linotype" w:hAnsi="Palatino Linotype" w:cs="Palatino Linotype"/>
          <w:i/>
          <w:sz w:val="20"/>
          <w:szCs w:val="20"/>
        </w:rPr>
        <w:t>…”</w:t>
      </w: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br/>
        <w:t>ii) Acta de la Noningentésima Quincuagésima Segunda Sesión Extraordinaria del Comité de Transparencia, del veinte de noviembre de dos mil veinticuatro, por la que se sustenta la clasificación de los recibos de nómina remitidos en respuesta.</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b/>
        </w:rPr>
        <w:t xml:space="preserve">d) Vista de Informe Justificado. </w:t>
      </w:r>
      <w:r w:rsidRPr="00B35470">
        <w:rPr>
          <w:rFonts w:ascii="Palatino Linotype" w:eastAsia="Palatino Linotype" w:hAnsi="Palatino Linotype" w:cs="Palatino Linotype"/>
        </w:rPr>
        <w:t>El once de diciembre de dos mil veinticuatro, se notificó a través del SAIMEX y correo electrónico,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rsidR="00D354AB" w:rsidRPr="00B35470" w:rsidRDefault="00D354AB">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b/>
        </w:rPr>
      </w:pPr>
      <w:r w:rsidRPr="00B35470">
        <w:rPr>
          <w:rFonts w:ascii="Palatino Linotype" w:eastAsia="Palatino Linotype" w:hAnsi="Palatino Linotype" w:cs="Palatino Linotype"/>
          <w:b/>
        </w:rPr>
        <w:t xml:space="preserve">e) Cierre de instrucción. </w:t>
      </w:r>
      <w:r w:rsidRPr="00B35470">
        <w:rPr>
          <w:rFonts w:ascii="Palatino Linotype" w:eastAsia="Palatino Linotype" w:hAnsi="Palatino Linotype" w:cs="Palatino Linotype"/>
        </w:rPr>
        <w:t>El diecisiete de diciembre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diecinueve de dicho mes y año, a través del Sistema de Acceso a la Información Mexiquense (SAIMEX).</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Derecho proceda, de acuerdo a los siguientes:</w:t>
      </w:r>
    </w:p>
    <w:p w:rsidR="001A4A65" w:rsidRPr="00B35470" w:rsidRDefault="001A4A65">
      <w:pPr>
        <w:spacing w:after="0" w:line="360" w:lineRule="auto"/>
        <w:ind w:right="-28"/>
        <w:jc w:val="both"/>
        <w:rPr>
          <w:rFonts w:ascii="Palatino Linotype" w:eastAsia="Palatino Linotype" w:hAnsi="Palatino Linotype" w:cs="Palatino Linotype"/>
          <w:color w:val="000000"/>
        </w:rPr>
      </w:pPr>
    </w:p>
    <w:p w:rsidR="001A4A65" w:rsidRPr="00B35470" w:rsidRDefault="00142F97">
      <w:pPr>
        <w:spacing w:after="0" w:line="360" w:lineRule="auto"/>
        <w:ind w:right="-28"/>
        <w:jc w:val="center"/>
        <w:rPr>
          <w:rFonts w:ascii="Palatino Linotype" w:eastAsia="Palatino Linotype" w:hAnsi="Palatino Linotype" w:cs="Palatino Linotype"/>
          <w:b/>
        </w:rPr>
      </w:pPr>
      <w:r w:rsidRPr="00B35470">
        <w:rPr>
          <w:rFonts w:ascii="Palatino Linotype" w:eastAsia="Palatino Linotype" w:hAnsi="Palatino Linotype" w:cs="Palatino Linotype"/>
          <w:b/>
        </w:rPr>
        <w:t>C O N S I D E R A N D O S</w:t>
      </w:r>
    </w:p>
    <w:p w:rsidR="001A4A65" w:rsidRPr="00B35470" w:rsidRDefault="001A4A65">
      <w:pPr>
        <w:spacing w:after="0" w:line="360" w:lineRule="auto"/>
        <w:ind w:right="-28"/>
        <w:jc w:val="center"/>
        <w:rPr>
          <w:rFonts w:ascii="Palatino Linotype" w:eastAsia="Palatino Linotype" w:hAnsi="Palatino Linotype" w:cs="Palatino Linotype"/>
          <w:b/>
        </w:rPr>
      </w:pPr>
    </w:p>
    <w:p w:rsidR="001A4A65" w:rsidRPr="00B35470" w:rsidRDefault="00142F97">
      <w:pPr>
        <w:spacing w:after="0" w:line="360" w:lineRule="auto"/>
        <w:ind w:right="-28"/>
        <w:jc w:val="both"/>
        <w:rPr>
          <w:rFonts w:ascii="Palatino Linotype" w:eastAsia="Palatino Linotype" w:hAnsi="Palatino Linotype" w:cs="Palatino Linotype"/>
          <w:b/>
        </w:rPr>
      </w:pPr>
      <w:r w:rsidRPr="00B35470">
        <w:rPr>
          <w:rFonts w:ascii="Palatino Linotype" w:eastAsia="Palatino Linotype" w:hAnsi="Palatino Linotype" w:cs="Palatino Linotype"/>
          <w:b/>
          <w:color w:val="000000"/>
        </w:rPr>
        <w:t>PRIMERO</w:t>
      </w:r>
      <w:r w:rsidRPr="00B35470">
        <w:rPr>
          <w:rFonts w:ascii="Palatino Linotype" w:eastAsia="Palatino Linotype" w:hAnsi="Palatino Linotype" w:cs="Palatino Linotype"/>
          <w:color w:val="000000"/>
        </w:rPr>
        <w:t xml:space="preserve">. </w:t>
      </w:r>
      <w:r w:rsidRPr="00B35470">
        <w:rPr>
          <w:rFonts w:ascii="Palatino Linotype" w:eastAsia="Palatino Linotype" w:hAnsi="Palatino Linotype" w:cs="Palatino Linotype"/>
          <w:b/>
        </w:rPr>
        <w:t>Competencia</w:t>
      </w:r>
    </w:p>
    <w:p w:rsidR="001A4A65" w:rsidRPr="00B35470" w:rsidRDefault="001A4A65">
      <w:pPr>
        <w:spacing w:after="0" w:line="360" w:lineRule="auto"/>
        <w:ind w:right="-28"/>
        <w:jc w:val="both"/>
        <w:rPr>
          <w:rFonts w:ascii="Palatino Linotype" w:eastAsia="Palatino Linotype" w:hAnsi="Palatino Linotype" w:cs="Palatino Linotype"/>
          <w:b/>
        </w:rPr>
      </w:pPr>
    </w:p>
    <w:p w:rsidR="001A4A65" w:rsidRPr="00B35470" w:rsidRDefault="00142F97">
      <w:pPr>
        <w:spacing w:after="0" w:line="360" w:lineRule="auto"/>
        <w:ind w:right="-28"/>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Pr="00B35470">
        <w:rPr>
          <w:rFonts w:ascii="Palatino Linotype" w:eastAsia="Palatino Linotype" w:hAnsi="Palatino Linotype" w:cs="Palatino Linotype"/>
          <w:color w:val="000000"/>
        </w:rPr>
        <w:lastRenderedPageBreak/>
        <w:t>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B35470">
        <w:rPr>
          <w:color w:val="000000"/>
        </w:rPr>
        <w:t xml:space="preserve"> 7°, </w:t>
      </w:r>
      <w:r w:rsidRPr="00B35470">
        <w:rPr>
          <w:rFonts w:ascii="Palatino Linotype" w:eastAsia="Palatino Linotype" w:hAnsi="Palatino Linotype" w:cs="Palatino Linotype"/>
          <w:color w:val="000000"/>
        </w:rPr>
        <w:t>9°, fracciones I y XXIII y 11 del Reglamento Interior del Instituto de Transparencia, Acceso a la Información Pública y Protección de Datos Personales del Estado de México y Municipios.</w:t>
      </w:r>
    </w:p>
    <w:p w:rsidR="001A4A65" w:rsidRPr="00B35470" w:rsidRDefault="001A4A65">
      <w:pPr>
        <w:spacing w:after="0" w:line="360" w:lineRule="auto"/>
        <w:ind w:right="-28"/>
        <w:jc w:val="both"/>
        <w:rPr>
          <w:rFonts w:ascii="Palatino Linotype" w:eastAsia="Palatino Linotype" w:hAnsi="Palatino Linotype" w:cs="Palatino Linotype"/>
          <w:color w:val="000000"/>
        </w:rPr>
      </w:pPr>
    </w:p>
    <w:p w:rsidR="001A4A65" w:rsidRPr="00B35470" w:rsidRDefault="00142F97">
      <w:pPr>
        <w:spacing w:after="0" w:line="360" w:lineRule="auto"/>
        <w:ind w:right="-28"/>
        <w:jc w:val="both"/>
        <w:rPr>
          <w:rFonts w:ascii="Palatino Linotype" w:eastAsia="Palatino Linotype" w:hAnsi="Palatino Linotype" w:cs="Palatino Linotype"/>
          <w:b/>
          <w:color w:val="000000"/>
        </w:rPr>
      </w:pPr>
      <w:r w:rsidRPr="00B35470">
        <w:rPr>
          <w:rFonts w:ascii="Palatino Linotype" w:eastAsia="Palatino Linotype" w:hAnsi="Palatino Linotype" w:cs="Palatino Linotype"/>
          <w:b/>
          <w:color w:val="000000"/>
        </w:rPr>
        <w:t>SEGUNDO. Causales de improcedencia</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ind w:right="-28"/>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1A4A65" w:rsidRPr="00B35470" w:rsidRDefault="001A4A65">
      <w:pPr>
        <w:spacing w:after="0" w:line="360" w:lineRule="auto"/>
        <w:ind w:right="-28"/>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rPr>
        <w:t>En el presente caso, </w:t>
      </w:r>
      <w:r w:rsidRPr="00B35470">
        <w:rPr>
          <w:rFonts w:ascii="Palatino Linotype" w:eastAsia="Palatino Linotype" w:hAnsi="Palatino Linotype" w:cs="Palatino Linotype"/>
          <w:b/>
        </w:rPr>
        <w:t>no se actualiza ninguna de las causales de improcedencia</w:t>
      </w:r>
      <w:r w:rsidRPr="00B35470">
        <w:rPr>
          <w:rFonts w:ascii="Palatino Linotype" w:eastAsia="Palatino Linotype" w:hAnsi="Palatino Linotype" w:cs="Palatino Linotype"/>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w:t>
      </w:r>
      <w:r w:rsidRPr="00B35470">
        <w:rPr>
          <w:rFonts w:ascii="Palatino Linotype" w:eastAsia="Palatino Linotype" w:hAnsi="Palatino Linotype" w:cs="Palatino Linotype"/>
        </w:rPr>
        <w:lastRenderedPageBreak/>
        <w:t xml:space="preserve">no formó parte del agravio; ni se realizó una consulta o ampliación a los alcances del requerimiento informativo; además de que </w:t>
      </w:r>
      <w:r w:rsidRPr="00B35470">
        <w:rPr>
          <w:rFonts w:ascii="Palatino Linotype" w:eastAsia="Palatino Linotype" w:hAnsi="Palatino Linotype" w:cs="Palatino Linotype"/>
          <w:color w:val="000000"/>
        </w:rPr>
        <w:t>el medio de impugnación fue presentado en tiempo.</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widowControl w:val="0"/>
        <w:spacing w:after="0" w:line="360" w:lineRule="auto"/>
        <w:jc w:val="both"/>
        <w:rPr>
          <w:rFonts w:ascii="Palatino Linotype" w:eastAsia="Palatino Linotype" w:hAnsi="Palatino Linotype" w:cs="Palatino Linotype"/>
          <w:color w:val="222222"/>
        </w:rPr>
      </w:pPr>
      <w:r w:rsidRPr="00B35470">
        <w:rPr>
          <w:rFonts w:ascii="Palatino Linotype" w:eastAsia="Palatino Linotype" w:hAnsi="Palatino Linotype" w:cs="Palatino Linotype"/>
        </w:rPr>
        <w:t xml:space="preserve">Asimismo, se actualiza la causal de procedencia del Recurso de Revisión señalada en el artículo 179, fracción II, de la Ley en cita, </w:t>
      </w:r>
      <w:r w:rsidRPr="00B35470">
        <w:rPr>
          <w:rFonts w:ascii="Palatino Linotype" w:eastAsia="Palatino Linotype" w:hAnsi="Palatino Linotype" w:cs="Palatino Linotype"/>
          <w:color w:val="000000"/>
        </w:rPr>
        <w:t>pues el Recurrente se inconformó con la clasificación de la información.</w:t>
      </w:r>
    </w:p>
    <w:p w:rsidR="001A4A65" w:rsidRPr="00B35470" w:rsidRDefault="001A4A65">
      <w:pPr>
        <w:spacing w:after="0" w:line="360" w:lineRule="auto"/>
        <w:ind w:right="-28"/>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b/>
        </w:rPr>
        <w:t>TERCERO. Causales de sobreseimiento.</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Por ser de previo y especial pronunciamiento, este Instituto analiza si se actualiza alguna causal de sobreseimiento.</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B35470">
        <w:rPr>
          <w:rFonts w:ascii="Palatino Linotype" w:eastAsia="Palatino Linotype" w:hAnsi="Palatino Linotype" w:cs="Palatino Linotype"/>
          <w:b/>
        </w:rPr>
        <w:t>que no se actualizan los supuestos de sobreseimiento previstos en las fracciones I, II, IV y V</w:t>
      </w:r>
      <w:r w:rsidRPr="00B35470">
        <w:rPr>
          <w:rFonts w:ascii="Palatino Linotype" w:eastAsia="Palatino Linotype" w:hAnsi="Palatino Linotype" w:cs="Palatino Linotype"/>
        </w:rPr>
        <w:t xml:space="preserve">, del artículo en comento, lo anterior, en virtud de que no hay constancias en el expediente en que se actúa, de que el Recurrente se haya desistido del recurso, haya fallecido, o bien, se haya actualizado alguna causal de improcedencia. </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tabs>
          <w:tab w:val="left" w:pos="4962"/>
        </w:tabs>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No obstante, por lo que hace a la fracción III, del artículo 192, de la Ley de la materia, es de señalar que el Sujeto Obligado modificó su respuesta, durante la sustanciación del Medio de Impugnación; por lo que, se estima procedente entrar al estudio de dicha causal de sobreseimiento, para lo cual, es necesario precisar que el Particular requirió, respecto de los </w:t>
      </w:r>
      <w:r w:rsidRPr="00B35470">
        <w:rPr>
          <w:rFonts w:ascii="Palatino Linotype" w:eastAsia="Palatino Linotype" w:hAnsi="Palatino Linotype" w:cs="Palatino Linotype"/>
        </w:rPr>
        <w:lastRenderedPageBreak/>
        <w:t>servidores públicos adscritos a la Unidad de Transparencia, de la primera y segunda quincena de enero, febrero, y marzo de dos mil veintitrés, y dos mil veinticuatro, lo siguiente:</w:t>
      </w:r>
    </w:p>
    <w:p w:rsidR="001A4A65" w:rsidRPr="00B35470" w:rsidRDefault="001A4A65">
      <w:pPr>
        <w:tabs>
          <w:tab w:val="left" w:pos="4962"/>
        </w:tabs>
        <w:spacing w:after="0" w:line="360" w:lineRule="auto"/>
        <w:ind w:right="-28"/>
        <w:jc w:val="both"/>
        <w:rPr>
          <w:rFonts w:ascii="Palatino Linotype" w:eastAsia="Palatino Linotype" w:hAnsi="Palatino Linotype" w:cs="Palatino Linotype"/>
        </w:rPr>
      </w:pPr>
    </w:p>
    <w:p w:rsidR="001A4A65" w:rsidRPr="00B35470" w:rsidRDefault="00142F97">
      <w:pPr>
        <w:numPr>
          <w:ilvl w:val="0"/>
          <w:numId w:val="1"/>
        </w:numPr>
        <w:pBdr>
          <w:top w:val="nil"/>
          <w:left w:val="nil"/>
          <w:bottom w:val="nil"/>
          <w:right w:val="nil"/>
          <w:between w:val="nil"/>
        </w:pBdr>
        <w:tabs>
          <w:tab w:val="left" w:pos="4962"/>
        </w:tabs>
        <w:spacing w:after="0" w:line="360" w:lineRule="auto"/>
        <w:ind w:right="-28"/>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Nómina del personal, y</w:t>
      </w:r>
    </w:p>
    <w:p w:rsidR="001A4A65" w:rsidRPr="00B35470" w:rsidRDefault="00142F97">
      <w:pPr>
        <w:numPr>
          <w:ilvl w:val="0"/>
          <w:numId w:val="1"/>
        </w:numPr>
        <w:pBdr>
          <w:top w:val="nil"/>
          <w:left w:val="nil"/>
          <w:bottom w:val="nil"/>
          <w:right w:val="nil"/>
          <w:between w:val="nil"/>
        </w:pBdr>
        <w:tabs>
          <w:tab w:val="left" w:pos="4962"/>
        </w:tabs>
        <w:spacing w:after="0" w:line="360" w:lineRule="auto"/>
        <w:ind w:right="-28"/>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Recibos de Nómina.</w:t>
      </w:r>
    </w:p>
    <w:p w:rsidR="001A4A65" w:rsidRPr="00B35470" w:rsidRDefault="001A4A65">
      <w:pPr>
        <w:tabs>
          <w:tab w:val="left" w:pos="4962"/>
        </w:tabs>
        <w:spacing w:after="0" w:line="360" w:lineRule="auto"/>
        <w:ind w:right="-28"/>
        <w:jc w:val="both"/>
        <w:rPr>
          <w:rFonts w:ascii="Palatino Linotype" w:eastAsia="Palatino Linotype" w:hAnsi="Palatino Linotype" w:cs="Palatino Linotype"/>
        </w:rPr>
      </w:pPr>
    </w:p>
    <w:p w:rsidR="001A4A65" w:rsidRPr="00B35470" w:rsidRDefault="00142F97">
      <w:pPr>
        <w:tabs>
          <w:tab w:val="left" w:pos="4667"/>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rPr>
        <w:t>En respuesta, el Sujeto Obligado proporcionó diversos listados de nómina, y recibos de  nómina del personal adscrito a la Unidad de Transparencia por el periodo requerido; ante dicha circunstancia, la parte Recurrente se inconformó de la clasificación de la información</w:t>
      </w:r>
      <w:r w:rsidRPr="00B35470">
        <w:rPr>
          <w:rFonts w:ascii="Palatino Linotype" w:eastAsia="Palatino Linotype" w:hAnsi="Palatino Linotype" w:cs="Palatino Linotype"/>
          <w:color w:val="000000"/>
        </w:rPr>
        <w:t xml:space="preserve">, al señalar que no habían proporcionado el acuerdo del Comité de Transparencia que sustentara la clasificación de los documentos proporcionados, lo cual actualiza el supuesto previsto en el artículo 179, fracción II, de la Ley de Transparencia y Acceso a la Información Pública del Estado de México y Municipios. </w:t>
      </w:r>
    </w:p>
    <w:p w:rsidR="001A4A65" w:rsidRPr="00B35470" w:rsidRDefault="001A4A65">
      <w:pPr>
        <w:tabs>
          <w:tab w:val="left" w:pos="4667"/>
        </w:tabs>
        <w:spacing w:after="0" w:line="360" w:lineRule="auto"/>
        <w:jc w:val="both"/>
        <w:rPr>
          <w:rFonts w:ascii="Palatino Linotype" w:eastAsia="Palatino Linotype" w:hAnsi="Palatino Linotype" w:cs="Palatino Linotype"/>
          <w:color w:val="000000"/>
        </w:rPr>
      </w:pPr>
    </w:p>
    <w:p w:rsidR="001A4A65" w:rsidRPr="00B35470" w:rsidRDefault="00142F97">
      <w:pPr>
        <w:tabs>
          <w:tab w:val="left" w:pos="4667"/>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xml:space="preserve">Conforme a lo anterior, se logra vislumbrar que la ahora Recurrente no se agravió, de los listados de nómina y los recibos de pago proporcionados, sino de la clasificación de datos de los segundos documentos señalados, al precisar que faltaba el Acuerdo del Comité de Transparencia;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B35470">
        <w:rPr>
          <w:rFonts w:ascii="Palatino Linotype" w:eastAsia="Palatino Linotype" w:hAnsi="Palatino Linotype" w:cs="Palatino Linotype"/>
          <w:b/>
          <w:color w:val="000000"/>
        </w:rPr>
        <w:t>los actos que se hayan consentido tácitamente,</w:t>
      </w:r>
      <w:r w:rsidRPr="00B35470">
        <w:rPr>
          <w:rFonts w:ascii="Palatino Linotype" w:eastAsia="Palatino Linotype" w:hAnsi="Palatino Linotype" w:cs="Palatino Linotype"/>
          <w:color w:val="000000"/>
        </w:rPr>
        <w:t xml:space="preserve"> entendiéndose por estos cuando el agravio no se haya promovido en el plazo señalado para el efecto.</w:t>
      </w:r>
    </w:p>
    <w:p w:rsidR="001A4A65" w:rsidRPr="00B35470" w:rsidRDefault="00142F97">
      <w:pPr>
        <w:tabs>
          <w:tab w:val="left" w:pos="4667"/>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xml:space="preserve"> </w:t>
      </w:r>
    </w:p>
    <w:p w:rsidR="001A4A65" w:rsidRPr="00B35470" w:rsidRDefault="00142F97">
      <w:pPr>
        <w:tabs>
          <w:tab w:val="left" w:pos="4667"/>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xml:space="preserve">De la misma manera resulta aplicable el criterio sostenido por el Poder Judicial de la Federación de rubro </w:t>
      </w:r>
      <w:r w:rsidRPr="00B35470">
        <w:rPr>
          <w:rFonts w:ascii="Palatino Linotype" w:eastAsia="Palatino Linotype" w:hAnsi="Palatino Linotype" w:cs="Palatino Linotype"/>
          <w:b/>
          <w:color w:val="000000"/>
        </w:rPr>
        <w:t>ACTOS CONSENTIDOS TÁCITAMENTE</w:t>
      </w:r>
      <w:r w:rsidRPr="00B35470">
        <w:rPr>
          <w:rFonts w:ascii="Palatino Linotype" w:eastAsia="Palatino Linotype" w:hAnsi="Palatino Linotype" w:cs="Palatino Linotype"/>
          <w:color w:val="000000"/>
        </w:rPr>
        <w:t xml:space="preserve">, Tesis VI.2o. J/21, emitida en </w:t>
      </w:r>
      <w:r w:rsidRPr="00B35470">
        <w:rPr>
          <w:rFonts w:ascii="Palatino Linotype" w:eastAsia="Palatino Linotype" w:hAnsi="Palatino Linotype" w:cs="Palatino Linotype"/>
          <w:color w:val="000000"/>
        </w:rPr>
        <w:lastRenderedPageBreak/>
        <w:t>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rsidR="001A4A65" w:rsidRPr="00B35470" w:rsidRDefault="00142F97">
      <w:pPr>
        <w:tabs>
          <w:tab w:val="left" w:pos="4667"/>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xml:space="preserve"> </w:t>
      </w:r>
    </w:p>
    <w:p w:rsidR="001A4A65" w:rsidRPr="00B35470" w:rsidRDefault="00142F97">
      <w:pPr>
        <w:tabs>
          <w:tab w:val="left" w:pos="4667"/>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rsidR="001A4A65" w:rsidRPr="00B35470" w:rsidRDefault="00142F97">
      <w:pPr>
        <w:tabs>
          <w:tab w:val="left" w:pos="4667"/>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xml:space="preserve"> </w:t>
      </w:r>
    </w:p>
    <w:p w:rsidR="001A4A65" w:rsidRPr="00B35470" w:rsidRDefault="00142F97">
      <w:pPr>
        <w:tabs>
          <w:tab w:val="left" w:pos="4667"/>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se tiene por consentida la información entregada por el Sujeto Obligado, por lo que, únicamente se analizará lo relacionado con la clasificación de los datos testados.</w:t>
      </w:r>
    </w:p>
    <w:p w:rsidR="001A4A65" w:rsidRPr="00B35470" w:rsidRDefault="001A4A65">
      <w:pPr>
        <w:tabs>
          <w:tab w:val="left" w:pos="4667"/>
        </w:tabs>
        <w:spacing w:after="0" w:line="360" w:lineRule="auto"/>
        <w:jc w:val="both"/>
        <w:rPr>
          <w:rFonts w:ascii="Palatino Linotype" w:eastAsia="Palatino Linotype" w:hAnsi="Palatino Linotype" w:cs="Palatino Linotype"/>
          <w:color w:val="000000"/>
        </w:rPr>
      </w:pPr>
    </w:p>
    <w:p w:rsidR="001A4A65" w:rsidRPr="00B35470" w:rsidRDefault="00142F97">
      <w:pPr>
        <w:tabs>
          <w:tab w:val="left" w:pos="4667"/>
        </w:tabs>
        <w:spacing w:after="0" w:line="360" w:lineRule="auto"/>
        <w:jc w:val="both"/>
        <w:rPr>
          <w:rFonts w:ascii="Palatino Linotype" w:eastAsia="Palatino Linotype" w:hAnsi="Palatino Linotype" w:cs="Palatino Linotype"/>
          <w:color w:val="000000"/>
        </w:rPr>
      </w:pPr>
      <w:r w:rsidRPr="00B35470">
        <w:t xml:space="preserve">Así las cosas, una vez admitido y notificado el Recurso de Revisión a las partes, el Sujeto Obligado el Sujeto Obligado proporcionó </w:t>
      </w:r>
      <w:r w:rsidRPr="00B35470">
        <w:rPr>
          <w:rFonts w:ascii="Palatino Linotype" w:eastAsia="Palatino Linotype" w:hAnsi="Palatino Linotype" w:cs="Palatino Linotype"/>
        </w:rPr>
        <w:t xml:space="preserve">el Acuerdo AT/CT/01/2024, emitido en la Noningentésima </w:t>
      </w:r>
      <w:r w:rsidR="009D058A" w:rsidRPr="00B35470">
        <w:rPr>
          <w:rFonts w:ascii="Palatino Linotype" w:eastAsia="Palatino Linotype" w:hAnsi="Palatino Linotype" w:cs="Palatino Linotype"/>
        </w:rPr>
        <w:t>Quincuagésima</w:t>
      </w:r>
      <w:bookmarkStart w:id="2" w:name="_GoBack"/>
      <w:bookmarkEnd w:id="2"/>
      <w:r w:rsidRPr="00B35470">
        <w:rPr>
          <w:rFonts w:ascii="Palatino Linotype" w:eastAsia="Palatino Linotype" w:hAnsi="Palatino Linotype" w:cs="Palatino Linotype"/>
        </w:rPr>
        <w:t xml:space="preserve"> Segunda Sesión Extraordinaria de Comité de Transparencia celebrada el veinte de noviembre de dos mil veinticuatro, mediante el cual se aprueba la clasificación de los datos testados y se acredita la versión pública.</w:t>
      </w:r>
    </w:p>
    <w:p w:rsidR="001A4A65" w:rsidRPr="00B35470" w:rsidRDefault="001A4A65">
      <w:pPr>
        <w:tabs>
          <w:tab w:val="left" w:pos="4667"/>
        </w:tabs>
        <w:spacing w:after="0" w:line="360" w:lineRule="auto"/>
        <w:jc w:val="both"/>
        <w:rPr>
          <w:rFonts w:ascii="Palatino Linotype" w:eastAsia="Palatino Linotype" w:hAnsi="Palatino Linotype" w:cs="Palatino Linotype"/>
          <w:color w:val="000000"/>
        </w:rPr>
      </w:pPr>
    </w:p>
    <w:p w:rsidR="001A4A65" w:rsidRPr="00B35470" w:rsidRDefault="00142F97">
      <w:pPr>
        <w:tabs>
          <w:tab w:val="left" w:pos="4667"/>
        </w:tabs>
        <w:spacing w:after="0" w:line="360" w:lineRule="auto"/>
        <w:jc w:val="both"/>
        <w:rPr>
          <w:rFonts w:ascii="Palatino Linotype" w:eastAsia="Palatino Linotype" w:hAnsi="Palatino Linotype" w:cs="Palatino Linotype"/>
          <w:b/>
        </w:rPr>
      </w:pPr>
      <w:r w:rsidRPr="00B35470">
        <w:rPr>
          <w:rFonts w:ascii="Palatino Linotype" w:eastAsia="Palatino Linotype" w:hAnsi="Palatino Linotype" w:cs="Palatino Linotype"/>
        </w:rPr>
        <w:t xml:space="preserve">Lo anterior, se desprende de las documentales que obran en el expediente de referencia, materia de la presente resolución, consistentes en: la solicitud de acceso a la información; la </w:t>
      </w:r>
      <w:r w:rsidRPr="00B35470">
        <w:rPr>
          <w:rFonts w:ascii="Palatino Linotype" w:eastAsia="Palatino Linotype" w:hAnsi="Palatino Linotype" w:cs="Palatino Linotype"/>
        </w:rPr>
        <w:lastRenderedPageBreak/>
        <w:t xml:space="preserve">respuesta proporcionada por el Sujeto Obligado, y 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rsidR="001A4A65" w:rsidRPr="00B35470" w:rsidRDefault="001A4A65">
      <w:pPr>
        <w:spacing w:after="0" w:line="360" w:lineRule="auto"/>
        <w:ind w:right="-28"/>
        <w:jc w:val="both"/>
        <w:rPr>
          <w:rFonts w:ascii="Palatino Linotype" w:eastAsia="Palatino Linotype" w:hAnsi="Palatino Linotype" w:cs="Palatino Linotype"/>
          <w:b/>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color w:val="000000"/>
        </w:rPr>
        <w:t xml:space="preserve">Expuestas las posturas de las partes, se procede al análisis del agravio hecho valer por el Recurrente, concerniente </w:t>
      </w:r>
      <w:r w:rsidRPr="00B35470">
        <w:rPr>
          <w:rFonts w:ascii="Palatino Linotype" w:eastAsia="Palatino Linotype" w:hAnsi="Palatino Linotype" w:cs="Palatino Linotype"/>
        </w:rPr>
        <w:t>a la clasificación de la información, por lo que, de la revisión de la información entregada, se logra vislumbrar que el Sujeto Obligado clasificó los siguientes datos: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numPr>
          <w:ilvl w:val="0"/>
          <w:numId w:val="7"/>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Registro Federal de Contribuyentes;</w:t>
      </w:r>
    </w:p>
    <w:p w:rsidR="001A4A65" w:rsidRPr="00B35470" w:rsidRDefault="00142F97">
      <w:pPr>
        <w:numPr>
          <w:ilvl w:val="0"/>
          <w:numId w:val="7"/>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Clave Única de Registro de Población;</w:t>
      </w:r>
    </w:p>
    <w:p w:rsidR="001A4A65" w:rsidRPr="00B35470" w:rsidRDefault="00142F97">
      <w:pPr>
        <w:numPr>
          <w:ilvl w:val="0"/>
          <w:numId w:val="7"/>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Número de seguridad social del Instituto de Seguridad Social del Estado de México y Municipios;</w:t>
      </w:r>
    </w:p>
    <w:p w:rsidR="001A4A65" w:rsidRPr="00B35470" w:rsidRDefault="00142F97">
      <w:pPr>
        <w:numPr>
          <w:ilvl w:val="0"/>
          <w:numId w:val="7"/>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Deducciones personales;</w:t>
      </w:r>
    </w:p>
    <w:p w:rsidR="001A4A65" w:rsidRPr="00B35470" w:rsidRDefault="00142F97">
      <w:pPr>
        <w:numPr>
          <w:ilvl w:val="0"/>
          <w:numId w:val="7"/>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Número de empleado, y</w:t>
      </w:r>
    </w:p>
    <w:p w:rsidR="001A4A65" w:rsidRPr="00B35470" w:rsidRDefault="00142F97">
      <w:pPr>
        <w:numPr>
          <w:ilvl w:val="0"/>
          <w:numId w:val="7"/>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Cuenta bancaria</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Al respecto, resulta procedente analizar si dicho dato es público o privado; para lo cual, cabe mencionar que el artículo 143, fracción I, de la Ley previamente citada, establece que la información privada y los datos personales, concernientes a una persona física o jurídica colectiva identificada o identificable son confidenciales.</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w:t>
      </w:r>
      <w:r w:rsidRPr="00B35470">
        <w:rPr>
          <w:rFonts w:ascii="Palatino Linotype" w:eastAsia="Palatino Linotype" w:hAnsi="Palatino Linotype" w:cs="Palatino Linotype"/>
        </w:rPr>
        <w:lastRenderedPageBreak/>
        <w:t>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En términos de lo expuesto, la documentación y aquellos datos que se consideren confidenciales, serán una limitante del derecho de acceso a la información, siempre y cuando:</w:t>
      </w:r>
    </w:p>
    <w:p w:rsidR="001A4A65" w:rsidRPr="00B35470" w:rsidRDefault="00142F97">
      <w:pPr>
        <w:numPr>
          <w:ilvl w:val="0"/>
          <w:numId w:val="3"/>
        </w:num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Se trate de datos personales o información privada; esto es, información concerniente a una persona física o jurídico colectiva y que esta sea identificada o identificable. </w:t>
      </w:r>
    </w:p>
    <w:p w:rsidR="001A4A65" w:rsidRPr="00B35470" w:rsidRDefault="00142F97">
      <w:pPr>
        <w:numPr>
          <w:ilvl w:val="0"/>
          <w:numId w:val="3"/>
        </w:num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Para la difusión de los datos, se requiera el consentimiento del titular. </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En este sentido, un dato personal es cualquier información que pueda hacer a una persona física o jurídica colectiva identificada e identificable; sin embargo, cuando las personas tienen una relación laboral con una institución pública, necesariamente por un tema de interés público, debe cederse un poco de privacidad, de tal forma que la gente en general pueda verificar el debido desempeño de los servidores públicos, la aplicación de la ley y el ejercicio </w:t>
      </w:r>
      <w:r w:rsidRPr="00B35470">
        <w:rPr>
          <w:rFonts w:ascii="Palatino Linotype" w:eastAsia="Palatino Linotype" w:hAnsi="Palatino Linotype" w:cs="Palatino Linotype"/>
        </w:rPr>
        <w:lastRenderedPageBreak/>
        <w:t>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son confidenciales o públicos.</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numPr>
          <w:ilvl w:val="0"/>
          <w:numId w:val="4"/>
        </w:numPr>
        <w:spacing w:after="0" w:line="360" w:lineRule="auto"/>
        <w:jc w:val="both"/>
        <w:rPr>
          <w:rFonts w:ascii="Palatino Linotype" w:eastAsia="Palatino Linotype" w:hAnsi="Palatino Linotype" w:cs="Palatino Linotype"/>
          <w:b/>
          <w:color w:val="000000"/>
        </w:rPr>
      </w:pPr>
      <w:r w:rsidRPr="00B35470">
        <w:rPr>
          <w:rFonts w:ascii="Palatino Linotype" w:eastAsia="Palatino Linotype" w:hAnsi="Palatino Linotype" w:cs="Palatino Linotype"/>
          <w:b/>
          <w:color w:val="000000"/>
        </w:rPr>
        <w:t>Clave Única de Registro de Población (CURP)</w:t>
      </w:r>
    </w:p>
    <w:p w:rsidR="001A4A65" w:rsidRPr="00B35470" w:rsidRDefault="001A4A65">
      <w:pPr>
        <w:spacing w:after="0" w:line="360" w:lineRule="auto"/>
        <w:ind w:left="720"/>
        <w:jc w:val="both"/>
        <w:rPr>
          <w:rFonts w:ascii="Palatino Linotype" w:eastAsia="Palatino Linotype" w:hAnsi="Palatino Linotype" w:cs="Palatino Linotype"/>
          <w:b/>
          <w:color w:val="000000"/>
        </w:rPr>
      </w:pPr>
    </w:p>
    <w:p w:rsidR="001A4A65" w:rsidRPr="00B35470" w:rsidRDefault="00142F97">
      <w:pPr>
        <w:tabs>
          <w:tab w:val="left" w:pos="4962"/>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1A4A65" w:rsidRPr="00B35470" w:rsidRDefault="001A4A65">
      <w:pPr>
        <w:tabs>
          <w:tab w:val="left" w:pos="4962"/>
        </w:tabs>
        <w:spacing w:after="0" w:line="360" w:lineRule="auto"/>
        <w:jc w:val="both"/>
        <w:rPr>
          <w:rFonts w:ascii="Palatino Linotype" w:eastAsia="Palatino Linotype" w:hAnsi="Palatino Linotype" w:cs="Palatino Linotype"/>
          <w:color w:val="000000"/>
        </w:rPr>
      </w:pPr>
    </w:p>
    <w:p w:rsidR="001A4A65" w:rsidRPr="00B35470" w:rsidRDefault="00142F97">
      <w:pPr>
        <w:tabs>
          <w:tab w:val="left" w:pos="4962"/>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1A4A65" w:rsidRPr="00B35470" w:rsidRDefault="001A4A65">
      <w:pPr>
        <w:tabs>
          <w:tab w:val="left" w:pos="4962"/>
        </w:tabs>
        <w:spacing w:after="0" w:line="360" w:lineRule="auto"/>
        <w:jc w:val="both"/>
        <w:rPr>
          <w:rFonts w:ascii="Palatino Linotype" w:eastAsia="Palatino Linotype" w:hAnsi="Palatino Linotype" w:cs="Palatino Linotype"/>
          <w:color w:val="000000"/>
        </w:rPr>
      </w:pPr>
    </w:p>
    <w:p w:rsidR="001A4A65" w:rsidRPr="00B35470" w:rsidRDefault="00142F97">
      <w:pPr>
        <w:tabs>
          <w:tab w:val="left" w:pos="4962"/>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En ese orden de ideas, la Secretaría de Gobernación en las direcciones https://consultas.curp.gob.mx/CurpSP/html/informacionecurpPS.html y https://www.gob.mx/segob/renapo/acciones-y-programas/clave-unica-de-registro-de-</w:t>
      </w:r>
    </w:p>
    <w:p w:rsidR="001A4A65" w:rsidRPr="00B35470" w:rsidRDefault="00142F97">
      <w:pPr>
        <w:tabs>
          <w:tab w:val="left" w:pos="4962"/>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xml:space="preserve">poblacion-curp-142226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B35470">
        <w:rPr>
          <w:rFonts w:ascii="Palatino Linotype" w:eastAsia="Palatino Linotype" w:hAnsi="Palatino Linotype" w:cs="Palatino Linotype"/>
          <w:b/>
          <w:color w:val="000000"/>
        </w:rPr>
        <w:t xml:space="preserve">se </w:t>
      </w:r>
      <w:r w:rsidRPr="00B35470">
        <w:rPr>
          <w:rFonts w:ascii="Palatino Linotype" w:eastAsia="Palatino Linotype" w:hAnsi="Palatino Linotype" w:cs="Palatino Linotype"/>
          <w:b/>
          <w:color w:val="000000"/>
        </w:rPr>
        <w:lastRenderedPageBreak/>
        <w:t>generan a partir de los datos contenidos en el documento probatorio de la identidad del interesado</w:t>
      </w:r>
      <w:r w:rsidRPr="00B35470">
        <w:rPr>
          <w:rFonts w:ascii="Palatino Linotype" w:eastAsia="Palatino Linotype" w:hAnsi="Palatino Linotype" w:cs="Palatino Linotype"/>
          <w:color w:val="000000"/>
        </w:rPr>
        <w:t xml:space="preserve"> (acta de nacimiento, carta de naturalización o documento migratorio) de la siguiente forma:</w:t>
      </w:r>
    </w:p>
    <w:p w:rsidR="001A4A65" w:rsidRPr="00B35470" w:rsidRDefault="001A4A65">
      <w:pPr>
        <w:tabs>
          <w:tab w:val="left" w:pos="4962"/>
        </w:tabs>
        <w:spacing w:after="0" w:line="360" w:lineRule="auto"/>
        <w:jc w:val="both"/>
        <w:rPr>
          <w:rFonts w:ascii="Palatino Linotype" w:eastAsia="Palatino Linotype" w:hAnsi="Palatino Linotype" w:cs="Palatino Linotype"/>
          <w:color w:val="000000"/>
        </w:rPr>
      </w:pPr>
    </w:p>
    <w:p w:rsidR="001A4A65" w:rsidRPr="00B35470" w:rsidRDefault="00142F97">
      <w:pPr>
        <w:numPr>
          <w:ilvl w:val="0"/>
          <w:numId w:val="5"/>
        </w:numPr>
        <w:tabs>
          <w:tab w:val="left" w:pos="4962"/>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El primero y segundo apellidos, así como al nombre de pila;</w:t>
      </w:r>
    </w:p>
    <w:p w:rsidR="001A4A65" w:rsidRPr="00B35470" w:rsidRDefault="00142F97">
      <w:pPr>
        <w:numPr>
          <w:ilvl w:val="0"/>
          <w:numId w:val="5"/>
        </w:numPr>
        <w:tabs>
          <w:tab w:val="left" w:pos="4962"/>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La fecha de nacimiento;</w:t>
      </w:r>
    </w:p>
    <w:p w:rsidR="001A4A65" w:rsidRPr="00B35470" w:rsidRDefault="00142F97">
      <w:pPr>
        <w:numPr>
          <w:ilvl w:val="0"/>
          <w:numId w:val="5"/>
        </w:numPr>
        <w:tabs>
          <w:tab w:val="left" w:pos="4962"/>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El sexo, y</w:t>
      </w:r>
    </w:p>
    <w:p w:rsidR="001A4A65" w:rsidRPr="00B35470" w:rsidRDefault="00142F97">
      <w:pPr>
        <w:numPr>
          <w:ilvl w:val="0"/>
          <w:numId w:val="5"/>
        </w:numPr>
        <w:tabs>
          <w:tab w:val="left" w:pos="4962"/>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La entidad federativa de nacimiento.</w:t>
      </w:r>
    </w:p>
    <w:p w:rsidR="001A4A65" w:rsidRPr="00B35470" w:rsidRDefault="001A4A65">
      <w:pPr>
        <w:tabs>
          <w:tab w:val="left" w:pos="4962"/>
        </w:tabs>
        <w:spacing w:after="0" w:line="360" w:lineRule="auto"/>
        <w:jc w:val="both"/>
        <w:rPr>
          <w:rFonts w:ascii="Palatino Linotype" w:eastAsia="Palatino Linotype" w:hAnsi="Palatino Linotype" w:cs="Palatino Linotype"/>
          <w:color w:val="000000"/>
        </w:rPr>
      </w:pPr>
    </w:p>
    <w:p w:rsidR="001A4A65" w:rsidRPr="00B35470" w:rsidRDefault="00142F97">
      <w:pPr>
        <w:tabs>
          <w:tab w:val="left" w:pos="4962"/>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Los dos últimos elementos de la Clave Única de Registro de Población evitan la duplicidad de la Clave y garantizan su correcta integración.</w:t>
      </w:r>
    </w:p>
    <w:p w:rsidR="001A4A65" w:rsidRPr="00B35470" w:rsidRDefault="001A4A65">
      <w:pPr>
        <w:tabs>
          <w:tab w:val="left" w:pos="4962"/>
        </w:tabs>
        <w:spacing w:after="0" w:line="360" w:lineRule="auto"/>
        <w:jc w:val="both"/>
        <w:rPr>
          <w:rFonts w:ascii="Palatino Linotype" w:eastAsia="Palatino Linotype" w:hAnsi="Palatino Linotype" w:cs="Palatino Linotype"/>
          <w:color w:val="000000"/>
        </w:rPr>
      </w:pPr>
    </w:p>
    <w:p w:rsidR="001A4A65" w:rsidRPr="00B35470" w:rsidRDefault="00142F97">
      <w:pPr>
        <w:tabs>
          <w:tab w:val="left" w:pos="4962"/>
        </w:tabs>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1A4A65" w:rsidRPr="00B35470" w:rsidRDefault="001A4A65">
      <w:pPr>
        <w:tabs>
          <w:tab w:val="left" w:pos="4962"/>
        </w:tabs>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Situación que se robustece, con el Criterio de Interpretación, de la Segunda Época, con número de registro SO/018/2017, emitido por el Instituto Nacional de Transparencia, Acceso a la Información y Protección de Datos Personales, que establece lo siguiente:</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ind w:left="567" w:right="567"/>
        <w:jc w:val="both"/>
        <w:rPr>
          <w:rFonts w:ascii="Palatino Linotype" w:eastAsia="Palatino Linotype" w:hAnsi="Palatino Linotype" w:cs="Palatino Linotype"/>
          <w:i/>
          <w:color w:val="000000"/>
          <w:sz w:val="20"/>
          <w:szCs w:val="20"/>
        </w:rPr>
      </w:pPr>
      <w:r w:rsidRPr="00B35470">
        <w:rPr>
          <w:rFonts w:ascii="Palatino Linotype" w:eastAsia="Palatino Linotype" w:hAnsi="Palatino Linotype" w:cs="Palatino Linotype"/>
          <w:b/>
          <w:i/>
          <w:color w:val="000000"/>
          <w:sz w:val="20"/>
          <w:szCs w:val="20"/>
        </w:rPr>
        <w:t xml:space="preserve">“Clave Única de Registro de Población (CURP). </w:t>
      </w:r>
      <w:r w:rsidRPr="00B35470">
        <w:rPr>
          <w:rFonts w:ascii="Palatino Linotype" w:eastAsia="Palatino Linotype" w:hAnsi="Palatino Linotype" w:cs="Palatino Linotype"/>
          <w:i/>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w:t>
      </w:r>
      <w:r w:rsidRPr="00B35470">
        <w:rPr>
          <w:rFonts w:ascii="Palatino Linotype" w:eastAsia="Palatino Linotype" w:hAnsi="Palatino Linotype" w:cs="Palatino Linotype"/>
          <w:i/>
          <w:color w:val="000000"/>
          <w:sz w:val="20"/>
          <w:szCs w:val="20"/>
        </w:rPr>
        <w:lastRenderedPageBreak/>
        <w:t xml:space="preserve">información que distingue plenamente a una persona física del resto de los habitantes del país, por lo que la CURP está considerada como información confidencial.” </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xml:space="preserve">De acuerdo con lo anterior, resulta procedente la clasificación de </w:t>
      </w:r>
      <w:r w:rsidRPr="00B35470">
        <w:rPr>
          <w:rFonts w:ascii="Palatino Linotype" w:eastAsia="Palatino Linotype" w:hAnsi="Palatino Linotype" w:cs="Palatino Linotype"/>
          <w:b/>
          <w:color w:val="000000"/>
        </w:rPr>
        <w:t>la Clave Única de Registro de Población</w:t>
      </w:r>
      <w:r w:rsidRPr="00B35470">
        <w:rPr>
          <w:rFonts w:ascii="Palatino Linotype" w:eastAsia="Palatino Linotype" w:hAnsi="Palatino Linotype" w:cs="Palatino Linotype"/>
          <w:color w:val="000000"/>
        </w:rPr>
        <w:t xml:space="preserve">, por tratarse de un dato personal confidencial, en términos del artículo 143, fracción I, de la Ley de Transparencia y Acceso a la Información Pública del Estado de México y Municipios. </w:t>
      </w:r>
    </w:p>
    <w:p w:rsidR="001A4A65" w:rsidRPr="00B35470" w:rsidRDefault="001A4A65">
      <w:pPr>
        <w:tabs>
          <w:tab w:val="left" w:pos="4962"/>
        </w:tabs>
        <w:spacing w:after="0" w:line="360" w:lineRule="auto"/>
        <w:jc w:val="both"/>
        <w:rPr>
          <w:rFonts w:ascii="Palatino Linotype" w:eastAsia="Palatino Linotype" w:hAnsi="Palatino Linotype" w:cs="Palatino Linotype"/>
          <w:color w:val="000000"/>
        </w:rPr>
      </w:pPr>
    </w:p>
    <w:p w:rsidR="001A4A65" w:rsidRPr="00B35470" w:rsidRDefault="00142F97">
      <w:pPr>
        <w:numPr>
          <w:ilvl w:val="0"/>
          <w:numId w:val="4"/>
        </w:numPr>
        <w:spacing w:after="0" w:line="360" w:lineRule="auto"/>
        <w:jc w:val="both"/>
        <w:rPr>
          <w:rFonts w:ascii="Palatino Linotype" w:eastAsia="Palatino Linotype" w:hAnsi="Palatino Linotype" w:cs="Palatino Linotype"/>
          <w:b/>
          <w:color w:val="000000"/>
        </w:rPr>
      </w:pPr>
      <w:r w:rsidRPr="00B35470">
        <w:rPr>
          <w:rFonts w:ascii="Palatino Linotype" w:eastAsia="Palatino Linotype" w:hAnsi="Palatino Linotype" w:cs="Palatino Linotype"/>
          <w:b/>
          <w:color w:val="000000"/>
        </w:rPr>
        <w:t>Registro Federal de Contribuyentes (RFC)</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xml:space="preserve">Ahora bien, la clave del Registro Federal de Contribuyentes, es el medio de control que tiene la Secretaría de Hacienda y Crédito Público, a través del Servicio de Administración Tributaria, para exigir y vigilar el cumplimiento de las obligaciones fiscales de los </w:t>
      </w:r>
      <w:r w:rsidRPr="00B35470">
        <w:rPr>
          <w:rFonts w:ascii="Palatino Linotype" w:eastAsia="Palatino Linotype" w:hAnsi="Palatino Linotype" w:cs="Palatino Linotype"/>
          <w:color w:val="000000"/>
        </w:rPr>
        <w:lastRenderedPageBreak/>
        <w:t>contribuyentes; mientras que los particulares tramitan dicho dato, con el único propósito de realizar mediante esa clave de identificación, operaciones o actividades de naturaleza fiscal.</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ind w:left="567" w:right="567"/>
        <w:jc w:val="both"/>
        <w:rPr>
          <w:rFonts w:ascii="Palatino Linotype" w:eastAsia="Palatino Linotype" w:hAnsi="Palatino Linotype" w:cs="Palatino Linotype"/>
          <w:i/>
          <w:color w:val="000000"/>
          <w:sz w:val="20"/>
          <w:szCs w:val="20"/>
        </w:rPr>
      </w:pPr>
      <w:r w:rsidRPr="00B35470">
        <w:rPr>
          <w:rFonts w:ascii="Palatino Linotype" w:eastAsia="Palatino Linotype" w:hAnsi="Palatino Linotype" w:cs="Palatino Linotype"/>
          <w:b/>
          <w:i/>
          <w:color w:val="000000"/>
          <w:sz w:val="20"/>
          <w:szCs w:val="20"/>
        </w:rPr>
        <w:t>“Registro Federal de Contribuyentes (RFC) de personas físicas.</w:t>
      </w:r>
      <w:r w:rsidRPr="00B35470">
        <w:rPr>
          <w:rFonts w:ascii="Palatino Linotype" w:eastAsia="Palatino Linotype" w:hAnsi="Palatino Linotype" w:cs="Palatino Linotype"/>
          <w:i/>
          <w:color w:val="000000"/>
          <w:sz w:val="20"/>
          <w:szCs w:val="20"/>
        </w:rPr>
        <w:t xml:space="preserve"> El RFC es una clave de carácter fiscal, única e irrepetible, que permite identificar al titular, su edad y fecha de nacimiento, por lo que es un dato personal de carácter confidencial.”</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r w:rsidRPr="00B35470">
        <w:rPr>
          <w:rFonts w:ascii="Palatino Linotype" w:eastAsia="Palatino Linotype" w:hAnsi="Palatino Linotype" w:cs="Palatino Linotype"/>
          <w:b/>
          <w:color w:val="000000"/>
        </w:rPr>
        <w:t xml:space="preserve"> </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numPr>
          <w:ilvl w:val="0"/>
          <w:numId w:val="2"/>
        </w:numPr>
        <w:spacing w:after="0" w:line="360" w:lineRule="auto"/>
        <w:jc w:val="both"/>
        <w:rPr>
          <w:rFonts w:ascii="Palatino Linotype" w:eastAsia="Palatino Linotype" w:hAnsi="Palatino Linotype" w:cs="Palatino Linotype"/>
          <w:b/>
          <w:color w:val="000000"/>
        </w:rPr>
      </w:pPr>
      <w:r w:rsidRPr="00B35470">
        <w:rPr>
          <w:rFonts w:ascii="Palatino Linotype" w:eastAsia="Palatino Linotype" w:hAnsi="Palatino Linotype" w:cs="Palatino Linotype"/>
          <w:b/>
          <w:color w:val="000000"/>
        </w:rPr>
        <w:t>Número de seguridad social del Instituto de Seguridad Social del Estado de México y Municipios</w:t>
      </w:r>
    </w:p>
    <w:p w:rsidR="001A4A65" w:rsidRPr="00B35470" w:rsidRDefault="001A4A65">
      <w:pPr>
        <w:spacing w:after="0" w:line="360" w:lineRule="auto"/>
        <w:jc w:val="both"/>
        <w:rPr>
          <w:rFonts w:ascii="Palatino Linotype" w:eastAsia="Palatino Linotype" w:hAnsi="Palatino Linotype" w:cs="Palatino Linotype"/>
          <w:b/>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B35470">
        <w:rPr>
          <w:rFonts w:ascii="Palatino Linotype" w:eastAsia="Palatino Linotype" w:hAnsi="Palatino Linotype" w:cs="Palatino Linotype"/>
          <w:b/>
          <w:color w:val="000000"/>
        </w:rPr>
        <w:t>y se le asigna una clave para hacer identificable al trabajador con el objetivo de poder proporcionar los servicios que brinda el Instituto de Seguridad Social del Estado de México y Municipios.</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b/>
          <w:color w:val="000000"/>
        </w:rPr>
      </w:pPr>
      <w:r w:rsidRPr="00B35470">
        <w:rPr>
          <w:rFonts w:ascii="Palatino Linotype" w:eastAsia="Palatino Linotype" w:hAnsi="Palatino Linotype" w:cs="Palatino Linotype"/>
          <w:color w:val="000000"/>
        </w:rPr>
        <w:t xml:space="preserve">En ese sentido, contar con la prestación de seguridad social que brinda el Instituto de Seguridad Social del Estado de México y Municipios no es una obligación para entrar a </w:t>
      </w:r>
      <w:r w:rsidRPr="00B35470">
        <w:rPr>
          <w:rFonts w:ascii="Palatino Linotype" w:eastAsia="Palatino Linotype" w:hAnsi="Palatino Linotype" w:cs="Palatino Linotype"/>
          <w:color w:val="000000"/>
        </w:rPr>
        <w:lastRenderedPageBreak/>
        <w:t>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rsidR="001A4A65" w:rsidRPr="00B35470" w:rsidRDefault="001A4A65">
      <w:pPr>
        <w:spacing w:after="0" w:line="360" w:lineRule="auto"/>
        <w:jc w:val="both"/>
        <w:rPr>
          <w:rFonts w:ascii="Palatino Linotype" w:eastAsia="Palatino Linotype" w:hAnsi="Palatino Linotype" w:cs="Palatino Linotype"/>
          <w:b/>
          <w:color w:val="000000"/>
        </w:rPr>
      </w:pPr>
    </w:p>
    <w:p w:rsidR="001A4A65" w:rsidRPr="00B35470" w:rsidRDefault="00142F97">
      <w:pPr>
        <w:numPr>
          <w:ilvl w:val="0"/>
          <w:numId w:val="6"/>
        </w:numPr>
        <w:spacing w:after="0" w:line="360" w:lineRule="auto"/>
        <w:jc w:val="both"/>
        <w:rPr>
          <w:rFonts w:ascii="Palatino Linotype" w:eastAsia="Palatino Linotype" w:hAnsi="Palatino Linotype" w:cs="Palatino Linotype"/>
          <w:b/>
          <w:color w:val="000000"/>
        </w:rPr>
      </w:pPr>
      <w:r w:rsidRPr="00B35470">
        <w:rPr>
          <w:rFonts w:ascii="Palatino Linotype" w:eastAsia="Palatino Linotype" w:hAnsi="Palatino Linotype" w:cs="Palatino Linotype"/>
          <w:b/>
          <w:color w:val="000000"/>
        </w:rPr>
        <w:t>Descuentos personales</w:t>
      </w:r>
    </w:p>
    <w:p w:rsidR="001A4A65" w:rsidRPr="00B35470" w:rsidRDefault="001A4A65">
      <w:pPr>
        <w:spacing w:after="0" w:line="360" w:lineRule="auto"/>
        <w:jc w:val="both"/>
        <w:rPr>
          <w:rFonts w:ascii="Palatino Linotype" w:eastAsia="Palatino Linotype" w:hAnsi="Palatino Linotype" w:cs="Palatino Linotype"/>
          <w:b/>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Es necesario precisar que existen deducciones que se generan con motivo de una decisión libre y voluntaria de los servidores públicos, como son: créditos personales, cuotas sindicales, los fondos de resistencia, de mutualidad y de ahorro del Sindicato Único de Trabajadores de los Poderes, Municipios e Institución Descentralizadas del Estado de México, seguro de vida, accidentes y enfermedades.</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Asimismo, hay otras que se generan con motivo de una sentencia judicial, como es la pensión alimenticia que periódicamente se retira de la cuenta de un empleado, a efecto de que sea entregado a un tercero.  </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b/>
          <w:color w:val="000000"/>
        </w:rPr>
      </w:pPr>
      <w:r w:rsidRPr="00B35470">
        <w:rPr>
          <w:rFonts w:ascii="Palatino Linotype" w:eastAsia="Palatino Linotype" w:hAnsi="Palatino Linotype" w:cs="Palatino Linotype"/>
          <w:color w:val="000000"/>
        </w:rPr>
        <w:t xml:space="preserve">Así, dichas deducciones reflejan el destino que un servidor público da a su patrimonio y, por lo tanto, resulta procedente clasificar dichos datos, en el caso, que obren, en los documentos </w:t>
      </w:r>
      <w:r w:rsidRPr="00B35470">
        <w:rPr>
          <w:rFonts w:ascii="Palatino Linotype" w:eastAsia="Palatino Linotype" w:hAnsi="Palatino Linotype" w:cs="Palatino Linotype"/>
          <w:color w:val="000000"/>
        </w:rPr>
        <w:lastRenderedPageBreak/>
        <w:t xml:space="preserve">que dan cuenta de lo requerido, en términos del artículo 143, fracción I de la Ley de Transparencia y Acceso a la Información Pública del Estado de México y Municipios. </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numPr>
          <w:ilvl w:val="0"/>
          <w:numId w:val="2"/>
        </w:numPr>
        <w:spacing w:after="0" w:line="360" w:lineRule="auto"/>
        <w:jc w:val="both"/>
        <w:rPr>
          <w:rFonts w:ascii="Palatino Linotype" w:eastAsia="Palatino Linotype" w:hAnsi="Palatino Linotype" w:cs="Palatino Linotype"/>
          <w:b/>
        </w:rPr>
      </w:pPr>
      <w:r w:rsidRPr="00B35470">
        <w:rPr>
          <w:rFonts w:ascii="Palatino Linotype" w:eastAsia="Palatino Linotype" w:hAnsi="Palatino Linotype" w:cs="Palatino Linotype"/>
          <w:b/>
        </w:rPr>
        <w:t>Número de empleado</w:t>
      </w:r>
    </w:p>
    <w:p w:rsidR="001A4A65" w:rsidRPr="00B35470" w:rsidRDefault="001A4A65">
      <w:pPr>
        <w:spacing w:after="0" w:line="360" w:lineRule="auto"/>
        <w:jc w:val="both"/>
        <w:rPr>
          <w:rFonts w:ascii="Palatino Linotype" w:eastAsia="Palatino Linotype" w:hAnsi="Palatino Linotype" w:cs="Palatino Linotype"/>
          <w:b/>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Lo anterior, toma sustento en el Criterio de Interpretación, de la Segunda Época, con número de registro SO/006/2019, emitido por el Instituto Nacional de Transparencia, Acceso a la Información y Protección de Datos Personales, que establece lo siguiente:</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ind w:left="567" w:right="567"/>
        <w:jc w:val="both"/>
        <w:rPr>
          <w:rFonts w:ascii="Palatino Linotype" w:eastAsia="Palatino Linotype" w:hAnsi="Palatino Linotype" w:cs="Palatino Linotype"/>
          <w:i/>
          <w:sz w:val="20"/>
          <w:szCs w:val="20"/>
        </w:rPr>
      </w:pPr>
      <w:r w:rsidRPr="00B35470">
        <w:rPr>
          <w:rFonts w:ascii="Palatino Linotype" w:eastAsia="Palatino Linotype" w:hAnsi="Palatino Linotype" w:cs="Palatino Linotype"/>
          <w:b/>
          <w:i/>
          <w:sz w:val="20"/>
          <w:szCs w:val="20"/>
        </w:rPr>
        <w:t xml:space="preserve">“Número de empleado. </w:t>
      </w:r>
      <w:r w:rsidRPr="00B35470">
        <w:rPr>
          <w:rFonts w:ascii="Palatino Linotype" w:eastAsia="Palatino Linotype" w:hAnsi="Palatino Linotype" w:cs="Palatino Linotype"/>
          <w:i/>
          <w:sz w:val="20"/>
          <w:szCs w:val="20"/>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lastRenderedPageBreak/>
        <w:t>Así, se colige que solamente procederá la clasificación del número de empleado, cuando se integre con datos personales de los servidores públicos o funcione como clave de acceso que no requiera una contraseña para ingresar a sistemas o bases de datos.</w:t>
      </w:r>
    </w:p>
    <w:p w:rsidR="001A4A65" w:rsidRPr="00B35470" w:rsidRDefault="001A4A65">
      <w:pPr>
        <w:spacing w:after="0" w:line="360" w:lineRule="auto"/>
        <w:jc w:val="both"/>
        <w:rPr>
          <w:rFonts w:ascii="Palatino Linotype" w:eastAsia="Palatino Linotype" w:hAnsi="Palatino Linotype" w:cs="Palatino Linotype"/>
          <w:b/>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En ese contexto, sobre dicho dato, este Instituto localizó el Cumplimiento a la Resolución al Recurso de Revisión 01471/INFOEM/IP/RR/2023, en el cual, por medio del Comité de Transparencia precisó que el número de empleado se conformaba de datos personales o funcionaba para dar acceso a sistemas o base de datos personales sin necesidad de contraseña; por lo que, se logra vislumbrar, que en el presente caso, procede su clasificación, en términos del artículo 143, fracción I de la Ley de la materia.</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numPr>
          <w:ilvl w:val="0"/>
          <w:numId w:val="9"/>
        </w:numPr>
        <w:spacing w:after="0" w:line="360" w:lineRule="auto"/>
        <w:jc w:val="both"/>
        <w:rPr>
          <w:rFonts w:ascii="Palatino Linotype" w:eastAsia="Palatino Linotype" w:hAnsi="Palatino Linotype" w:cs="Palatino Linotype"/>
          <w:b/>
          <w:color w:val="000000"/>
        </w:rPr>
      </w:pPr>
      <w:r w:rsidRPr="00B35470">
        <w:rPr>
          <w:rFonts w:ascii="Palatino Linotype" w:eastAsia="Palatino Linotype" w:hAnsi="Palatino Linotype" w:cs="Palatino Linotype"/>
          <w:b/>
          <w:color w:val="000000"/>
        </w:rPr>
        <w:t>Cuenta bancaria de servidores públicos</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xml:space="preserve">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w:t>
      </w:r>
      <w:r w:rsidRPr="00B35470">
        <w:rPr>
          <w:rFonts w:ascii="Palatino Linotype" w:eastAsia="Palatino Linotype" w:hAnsi="Palatino Linotype" w:cs="Palatino Linotype"/>
        </w:rPr>
        <w:t>de fondos</w:t>
      </w:r>
      <w:r w:rsidRPr="00B35470">
        <w:rPr>
          <w:rFonts w:ascii="Palatino Linotype" w:eastAsia="Palatino Linotype" w:hAnsi="Palatino Linotype" w:cs="Palatino Linotype"/>
          <w:color w:val="000000"/>
        </w:rPr>
        <w:t xml:space="preserve"> interbancarios, entre otros movimientos que sean utilizados exclusivamente en la cuenta señalada por el cliente y por lo tanto, los datos bancarios corresponden a información que se encuentra relacionada con el patrimonio de la persona titular de la cuenta.</w:t>
      </w: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 </w:t>
      </w: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A mayor abundamiento, resulta necesario traer a colación el Criterio SO/010/2017, emitido por el Instituto Nacional de Transparencia, Acceso a la Información y Protección de Datos Personales, mismo que establece lo siguiente:</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ind w:left="567" w:right="567"/>
        <w:jc w:val="both"/>
        <w:rPr>
          <w:rFonts w:ascii="Palatino Linotype" w:eastAsia="Palatino Linotype" w:hAnsi="Palatino Linotype" w:cs="Palatino Linotype"/>
          <w:i/>
          <w:color w:val="000000"/>
          <w:sz w:val="20"/>
          <w:szCs w:val="20"/>
        </w:rPr>
      </w:pPr>
      <w:r w:rsidRPr="00B35470">
        <w:rPr>
          <w:rFonts w:ascii="Palatino Linotype" w:eastAsia="Palatino Linotype" w:hAnsi="Palatino Linotype" w:cs="Palatino Linotype"/>
          <w:i/>
          <w:color w:val="000000"/>
          <w:sz w:val="20"/>
          <w:szCs w:val="20"/>
        </w:rPr>
        <w:lastRenderedPageBreak/>
        <w:t>“</w:t>
      </w:r>
      <w:r w:rsidRPr="00B35470">
        <w:rPr>
          <w:rFonts w:ascii="Palatino Linotype" w:eastAsia="Palatino Linotype" w:hAnsi="Palatino Linotype" w:cs="Palatino Linotype"/>
          <w:b/>
          <w:i/>
          <w:color w:val="000000"/>
          <w:sz w:val="20"/>
          <w:szCs w:val="20"/>
        </w:rPr>
        <w:t>Cuentas bancarias y/o CLABE interbancaria de personas físicas y morales privadas.</w:t>
      </w:r>
      <w:r w:rsidRPr="00B35470">
        <w:rPr>
          <w:rFonts w:ascii="Palatino Linotype" w:eastAsia="Palatino Linotype" w:hAnsi="Palatino Linotype" w:cs="Palatino Linotype"/>
          <w:i/>
          <w:color w:val="000000"/>
          <w:sz w:val="20"/>
          <w:szCs w:val="20"/>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spacing w:after="0" w:line="360" w:lineRule="auto"/>
        <w:jc w:val="both"/>
        <w:rPr>
          <w:rFonts w:ascii="Palatino Linotype" w:eastAsia="Palatino Linotype" w:hAnsi="Palatino Linotype" w:cs="Palatino Linotype"/>
          <w:color w:val="000000"/>
        </w:rPr>
      </w:pPr>
      <w:r w:rsidRPr="00B35470">
        <w:rPr>
          <w:rFonts w:ascii="Palatino Linotype" w:eastAsia="Palatino Linotype" w:hAnsi="Palatino Linotype" w:cs="Palatino Linotype"/>
          <w:color w:val="000000"/>
        </w:rPr>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rsidR="001A4A65" w:rsidRPr="00B35470" w:rsidRDefault="001A4A65">
      <w:pPr>
        <w:spacing w:after="0" w:line="360" w:lineRule="auto"/>
        <w:jc w:val="both"/>
        <w:rPr>
          <w:rFonts w:ascii="Palatino Linotype" w:eastAsia="Palatino Linotype" w:hAnsi="Palatino Linotype" w:cs="Palatino Linotype"/>
          <w:color w:val="000000"/>
        </w:rPr>
      </w:pPr>
    </w:p>
    <w:p w:rsidR="001A4A65" w:rsidRPr="00B35470" w:rsidRDefault="00142F97">
      <w:pPr>
        <w:tabs>
          <w:tab w:val="left" w:pos="3962"/>
        </w:tabs>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En ese contexto, toda vez que resultó procedente la clasificación de los datos testados y, por lo tanto, es correcta la versión pública entregada, debe traerse a colación lo dispuesto en el artículo 168 de la Ley de Transparencia y Acceso a la Información Pública del Estado de México y Municipios, que precisa que</w:t>
      </w:r>
      <w:r w:rsidRPr="00B35470">
        <w:rPr>
          <w:rFonts w:ascii="Arial" w:eastAsia="Arial" w:hAnsi="Arial" w:cs="Arial"/>
          <w:sz w:val="24"/>
          <w:szCs w:val="24"/>
        </w:rPr>
        <w:t xml:space="preserve"> </w:t>
      </w:r>
      <w:r w:rsidRPr="00B35470">
        <w:rPr>
          <w:rFonts w:ascii="Palatino Linotype" w:eastAsia="Palatino Linotype" w:hAnsi="Palatino Linotype" w:cs="Palatino Linotype"/>
        </w:rPr>
        <w:t>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rsidR="001A4A65" w:rsidRPr="00B35470" w:rsidRDefault="001A4A65">
      <w:pPr>
        <w:tabs>
          <w:tab w:val="left" w:pos="3962"/>
        </w:tabs>
        <w:spacing w:after="0" w:line="360" w:lineRule="auto"/>
        <w:jc w:val="both"/>
        <w:rPr>
          <w:rFonts w:ascii="Palatino Linotype" w:eastAsia="Palatino Linotype" w:hAnsi="Palatino Linotype" w:cs="Palatino Linotype"/>
        </w:rPr>
      </w:pPr>
    </w:p>
    <w:p w:rsidR="001A4A65" w:rsidRPr="00B35470" w:rsidRDefault="00142F97">
      <w:pPr>
        <w:numPr>
          <w:ilvl w:val="0"/>
          <w:numId w:val="8"/>
        </w:numPr>
        <w:tabs>
          <w:tab w:val="left" w:pos="3962"/>
        </w:tabs>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Confirmar la clasificación;</w:t>
      </w:r>
    </w:p>
    <w:p w:rsidR="001A4A65" w:rsidRPr="00B35470" w:rsidRDefault="00142F97">
      <w:pPr>
        <w:numPr>
          <w:ilvl w:val="0"/>
          <w:numId w:val="8"/>
        </w:numPr>
        <w:tabs>
          <w:tab w:val="left" w:pos="3962"/>
        </w:tabs>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Modificar la clasificación y, otorgar total o parcialmente el acceso a la información, o</w:t>
      </w:r>
    </w:p>
    <w:p w:rsidR="001A4A65" w:rsidRPr="00B35470" w:rsidRDefault="00142F97">
      <w:pPr>
        <w:numPr>
          <w:ilvl w:val="0"/>
          <w:numId w:val="8"/>
        </w:numPr>
        <w:tabs>
          <w:tab w:val="left" w:pos="3962"/>
        </w:tabs>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Revocar la clasificación y conceder el acceso a la información.</w:t>
      </w:r>
    </w:p>
    <w:p w:rsidR="001A4A65" w:rsidRPr="00B35470" w:rsidRDefault="001A4A65">
      <w:pPr>
        <w:tabs>
          <w:tab w:val="left" w:pos="3962"/>
        </w:tabs>
        <w:spacing w:after="0" w:line="360" w:lineRule="auto"/>
        <w:jc w:val="both"/>
        <w:rPr>
          <w:rFonts w:ascii="Palatino Linotype" w:eastAsia="Palatino Linotype" w:hAnsi="Palatino Linotype" w:cs="Palatino Linotype"/>
        </w:rPr>
      </w:pPr>
    </w:p>
    <w:p w:rsidR="001A4A65" w:rsidRPr="00B35470" w:rsidRDefault="00142F97">
      <w:pPr>
        <w:tabs>
          <w:tab w:val="left" w:pos="3962"/>
        </w:tabs>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lastRenderedPageBreak/>
        <w:t>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no sucedió, pues si bien en respuesta se indicó que la versión pública había sido validada por el Comité de Transparencia, se omitió entregar el Acuerdo de Clasificación respectivo.</w:t>
      </w:r>
    </w:p>
    <w:p w:rsidR="001A4A65" w:rsidRPr="00B35470" w:rsidRDefault="001A4A65">
      <w:pPr>
        <w:tabs>
          <w:tab w:val="left" w:pos="3962"/>
        </w:tabs>
        <w:spacing w:after="0" w:line="360" w:lineRule="auto"/>
        <w:jc w:val="both"/>
        <w:rPr>
          <w:rFonts w:ascii="Palatino Linotype" w:eastAsia="Palatino Linotype" w:hAnsi="Palatino Linotype" w:cs="Palatino Linotype"/>
        </w:rPr>
      </w:pPr>
    </w:p>
    <w:p w:rsidR="001A4A65" w:rsidRPr="00B35470" w:rsidRDefault="00142F97">
      <w:pPr>
        <w:tabs>
          <w:tab w:val="left" w:pos="3962"/>
        </w:tabs>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No obstante lo anterior, durante la sustanciación del Medio de Impugnación, el Sujeto Obligado proporcionó el Acuerdo AT/CT/01/2024, emitido en la Noningentésima Quincuagésima Segunda Sesión Extraordinaria de Comité de Transparencia celebrada el veinte de noviembre de dos mil veinticuatro, de cuya revisión, se logra vislumbrar que de manera fundada y motivada, acredita la clasificación de los datos testados y valida la versión pública, por lo que, atendió lo establecido en el artículo 168 de la Ley de Transparencia y Acceso a la Información Pública del Estado de México y Municipios. </w:t>
      </w:r>
    </w:p>
    <w:p w:rsidR="001A4A65" w:rsidRPr="00B35470" w:rsidRDefault="001A4A65">
      <w:pPr>
        <w:tabs>
          <w:tab w:val="left" w:pos="3962"/>
        </w:tabs>
        <w:spacing w:after="0" w:line="360" w:lineRule="auto"/>
        <w:jc w:val="both"/>
        <w:rPr>
          <w:rFonts w:ascii="Palatino Linotype" w:eastAsia="Palatino Linotype" w:hAnsi="Palatino Linotype" w:cs="Palatino Linotype"/>
        </w:rPr>
      </w:pPr>
    </w:p>
    <w:p w:rsidR="001A4A65" w:rsidRPr="00B35470" w:rsidRDefault="00142F97">
      <w:pPr>
        <w:tabs>
          <w:tab w:val="left" w:pos="3962"/>
        </w:tabs>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Así, se concluye que, durante la sustanciación del Medio de Impugnación, el Sujeto Obligado proporcionó el Acuerdo de Clasificación que valida las versiones públicas entregadas en respuesta, cumpliendo con las formalidades establecidas en la Ley de la materia; por lo que, se considera que la impugnación que se dirime ha quedado sin materia.</w:t>
      </w:r>
    </w:p>
    <w:p w:rsidR="001A4A65" w:rsidRPr="00B35470" w:rsidRDefault="001A4A65">
      <w:pPr>
        <w:spacing w:after="0" w:line="360" w:lineRule="auto"/>
        <w:jc w:val="both"/>
        <w:rPr>
          <w:rFonts w:ascii="Palatino Linotype" w:eastAsia="Palatino Linotype" w:hAnsi="Palatino Linotype" w:cs="Palatino Linotype"/>
          <w:b/>
        </w:rPr>
      </w:pPr>
    </w:p>
    <w:p w:rsidR="001A4A65" w:rsidRPr="00B35470" w:rsidRDefault="00142F97">
      <w:pPr>
        <w:spacing w:after="0" w:line="360" w:lineRule="auto"/>
        <w:ind w:right="-28"/>
        <w:jc w:val="both"/>
        <w:rPr>
          <w:rFonts w:ascii="Palatino Linotype" w:eastAsia="Palatino Linotype" w:hAnsi="Palatino Linotype" w:cs="Palatino Linotype"/>
          <w:b/>
        </w:rPr>
      </w:pPr>
      <w:r w:rsidRPr="00B35470">
        <w:rPr>
          <w:rFonts w:ascii="Palatino Linotype" w:eastAsia="Palatino Linotype" w:hAnsi="Palatino Linotype" w:cs="Palatino Linotype"/>
          <w:b/>
        </w:rPr>
        <w:t>CUARTO. Decisión</w:t>
      </w:r>
    </w:p>
    <w:p w:rsidR="001A4A65" w:rsidRPr="00B35470" w:rsidRDefault="001A4A65">
      <w:pPr>
        <w:spacing w:after="0" w:line="360" w:lineRule="auto"/>
        <w:ind w:right="-28"/>
        <w:jc w:val="both"/>
        <w:rPr>
          <w:rFonts w:ascii="Palatino Linotype" w:eastAsia="Palatino Linotype" w:hAnsi="Palatino Linotype" w:cs="Palatino Linotype"/>
          <w:b/>
          <w:color w:val="FF0000"/>
        </w:rPr>
      </w:pPr>
    </w:p>
    <w:p w:rsidR="001A4A65" w:rsidRPr="00B35470" w:rsidRDefault="00142F97">
      <w:pPr>
        <w:spacing w:after="0" w:line="360" w:lineRule="auto"/>
        <w:ind w:right="-28"/>
        <w:jc w:val="both"/>
        <w:rPr>
          <w:rFonts w:ascii="Palatino Linotype" w:eastAsia="Palatino Linotype" w:hAnsi="Palatino Linotype" w:cs="Palatino Linotype"/>
          <w:color w:val="FF0000"/>
        </w:rPr>
      </w:pPr>
      <w:r w:rsidRPr="00B35470">
        <w:rPr>
          <w:rFonts w:ascii="Palatino Linotype" w:eastAsia="Palatino Linotype" w:hAnsi="Palatino Linotype" w:cs="Palatino Linotype"/>
        </w:rPr>
        <w:t xml:space="preserve">Con fundamento en lo dispuesto en el artículo 186, fracción I, de la Ley de Transparencia y Acceso a la Información Pública del Estado de México y Municipios, se considera procedente </w:t>
      </w:r>
      <w:r w:rsidRPr="00B35470">
        <w:rPr>
          <w:rFonts w:ascii="Palatino Linotype" w:eastAsia="Palatino Linotype" w:hAnsi="Palatino Linotype" w:cs="Palatino Linotype"/>
          <w:b/>
        </w:rPr>
        <w:t xml:space="preserve">SOBRESEER </w:t>
      </w:r>
      <w:r w:rsidRPr="00B35470">
        <w:rPr>
          <w:rFonts w:ascii="Palatino Linotype" w:eastAsia="Palatino Linotype" w:hAnsi="Palatino Linotype" w:cs="Palatino Linotype"/>
        </w:rPr>
        <w:t xml:space="preserve">el Recurso de Revisión, en virtud de que se actualiza la hipótesis normativa </w:t>
      </w:r>
      <w:r w:rsidRPr="00B35470">
        <w:rPr>
          <w:rFonts w:ascii="Palatino Linotype" w:eastAsia="Palatino Linotype" w:hAnsi="Palatino Linotype" w:cs="Palatino Linotype"/>
        </w:rPr>
        <w:lastRenderedPageBreak/>
        <w:t>prevista en la fracción III, del artículo 192, del citado ordenamiento legal, al modificar la respuesta a la solicitud de acceso a la información.</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b/>
        </w:rPr>
      </w:pPr>
      <w:r w:rsidRPr="00B35470">
        <w:rPr>
          <w:rFonts w:ascii="Palatino Linotype" w:eastAsia="Palatino Linotype" w:hAnsi="Palatino Linotype" w:cs="Palatino Linotype"/>
          <w:b/>
        </w:rPr>
        <w:t>Términos de la Resolución para conocimiento del Particular</w:t>
      </w:r>
    </w:p>
    <w:p w:rsidR="001A4A65" w:rsidRPr="00B35470" w:rsidRDefault="00142F97">
      <w:pPr>
        <w:spacing w:after="0" w:line="360" w:lineRule="auto"/>
        <w:jc w:val="both"/>
        <w:rPr>
          <w:rFonts w:ascii="Palatino Linotype" w:eastAsia="Palatino Linotype" w:hAnsi="Palatino Linotype" w:cs="Palatino Linotype"/>
          <w:b/>
        </w:rPr>
      </w:pPr>
      <w:r w:rsidRPr="00B35470">
        <w:rPr>
          <w:rFonts w:ascii="Palatino Linotype" w:eastAsia="Palatino Linotype" w:hAnsi="Palatino Linotype" w:cs="Palatino Linotype"/>
          <w:b/>
        </w:rPr>
        <w:t xml:space="preserve"> </w:t>
      </w: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Se le hace del conocimiento del Particular, que, si bien en un principio se le daba la razón, pues el Sujeto Obligado omitió entregar el Acuerdo del Comité de Transparencia, lo cierto es que fue proporcionado mediante Informe Justificado. </w:t>
      </w:r>
    </w:p>
    <w:p w:rsidR="001A4A65" w:rsidRPr="00B35470" w:rsidRDefault="001A4A65">
      <w:pPr>
        <w:spacing w:after="0" w:line="360" w:lineRule="auto"/>
        <w:ind w:right="-28"/>
        <w:jc w:val="both"/>
        <w:rPr>
          <w:rFonts w:ascii="Palatino Linotype" w:eastAsia="Palatino Linotype" w:hAnsi="Palatino Linotype" w:cs="Palatino Linotype"/>
        </w:rPr>
      </w:pPr>
    </w:p>
    <w:p w:rsidR="001A4A65" w:rsidRPr="00B35470" w:rsidRDefault="00142F97">
      <w:pPr>
        <w:spacing w:after="0" w:line="360" w:lineRule="auto"/>
        <w:ind w:right="-28"/>
        <w:jc w:val="both"/>
        <w:rPr>
          <w:rFonts w:ascii="Palatino Linotype" w:eastAsia="Palatino Linotype" w:hAnsi="Palatino Linotype" w:cs="Palatino Linotype"/>
        </w:rPr>
      </w:pPr>
      <w:r w:rsidRPr="00B35470">
        <w:rPr>
          <w:rFonts w:ascii="Palatino Linotype" w:eastAsia="Palatino Linotype" w:hAnsi="Palatino Linotype" w:cs="Palatino Linotype"/>
        </w:rPr>
        <w:t>F</w:t>
      </w:r>
      <w:r w:rsidRPr="00B35470">
        <w:rPr>
          <w:rFonts w:ascii="Palatino Linotype" w:eastAsia="Palatino Linotype" w:hAnsi="Palatino Linotype" w:cs="Palatino Linotype"/>
          <w:color w:val="000000"/>
        </w:rPr>
        <w:t>inalmente, se le informa que la labor del Instituto de Transparencia, Acceso a la Información Pública y Protección de Datos Personales del Estado de México y Municipios, es apoyar a la población a acceder a la información pública y garantizar la protección de los datos personales.</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Por lo expuesto y fundado, este Pleno:</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center"/>
        <w:rPr>
          <w:rFonts w:ascii="Palatino Linotype" w:eastAsia="Palatino Linotype" w:hAnsi="Palatino Linotype" w:cs="Palatino Linotype"/>
          <w:b/>
        </w:rPr>
      </w:pPr>
      <w:r w:rsidRPr="00B35470">
        <w:rPr>
          <w:rFonts w:ascii="Palatino Linotype" w:eastAsia="Palatino Linotype" w:hAnsi="Palatino Linotype" w:cs="Palatino Linotype"/>
          <w:b/>
        </w:rPr>
        <w:t>R E S U E L V E</w:t>
      </w: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 </w:t>
      </w:r>
    </w:p>
    <w:p w:rsidR="001A4A65" w:rsidRPr="00B35470"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b/>
        </w:rPr>
        <w:t xml:space="preserve">PRIMERO. </w:t>
      </w:r>
      <w:r w:rsidRPr="00B35470">
        <w:rPr>
          <w:rFonts w:ascii="Palatino Linotype" w:eastAsia="Palatino Linotype" w:hAnsi="Palatino Linotype" w:cs="Palatino Linotype"/>
        </w:rPr>
        <w:t xml:space="preserve">Se </w:t>
      </w:r>
      <w:r w:rsidRPr="00B35470">
        <w:rPr>
          <w:rFonts w:ascii="Palatino Linotype" w:eastAsia="Palatino Linotype" w:hAnsi="Palatino Linotype" w:cs="Palatino Linotype"/>
          <w:b/>
        </w:rPr>
        <w:t xml:space="preserve">SOBRESEE </w:t>
      </w:r>
      <w:r w:rsidRPr="00B35470">
        <w:rPr>
          <w:rFonts w:ascii="Palatino Linotype" w:eastAsia="Palatino Linotype" w:hAnsi="Palatino Linotype" w:cs="Palatino Linotype"/>
        </w:rPr>
        <w:t>el Recurso de Revisión con número</w:t>
      </w:r>
      <w:r w:rsidRPr="00B35470">
        <w:rPr>
          <w:rFonts w:ascii="Palatino Linotype" w:eastAsia="Palatino Linotype" w:hAnsi="Palatino Linotype" w:cs="Palatino Linotype"/>
          <w:b/>
        </w:rPr>
        <w:t xml:space="preserve"> </w:t>
      </w:r>
      <w:r w:rsidRPr="00B35470">
        <w:rPr>
          <w:rFonts w:ascii="Palatino Linotype" w:eastAsia="Palatino Linotype" w:hAnsi="Palatino Linotype" w:cs="Palatino Linotype"/>
        </w:rPr>
        <w:t>07411/INFOEM/IP/RR/2024, en términos del artículo 192, fracción III, de la Ley de Transparencia y Acceso a la Información Pública del Estado de México y Municipios,</w:t>
      </w:r>
      <w:r w:rsidRPr="00B35470">
        <w:rPr>
          <w:rFonts w:ascii="Palatino Linotype" w:eastAsia="Palatino Linotype" w:hAnsi="Palatino Linotype" w:cs="Palatino Linotype"/>
          <w:b/>
        </w:rPr>
        <w:t xml:space="preserve"> </w:t>
      </w:r>
      <w:r w:rsidRPr="00B35470">
        <w:rPr>
          <w:rFonts w:ascii="Palatino Linotype" w:eastAsia="Palatino Linotype" w:hAnsi="Palatino Linotype" w:cs="Palatino Linotype"/>
        </w:rPr>
        <w:t xml:space="preserve">porque el Sujeto Obligado, al modificar la respuesta a la solicitud de acceso a la información con número </w:t>
      </w:r>
      <w:r w:rsidRPr="00B35470">
        <w:rPr>
          <w:rFonts w:ascii="Palatino Linotype" w:eastAsia="Palatino Linotype" w:hAnsi="Palatino Linotype" w:cs="Palatino Linotype"/>
          <w:color w:val="000000"/>
        </w:rPr>
        <w:t>02784/TOLUCA/IP/2024</w:t>
      </w:r>
      <w:r w:rsidRPr="00B35470">
        <w:rPr>
          <w:rFonts w:ascii="Palatino Linotype" w:eastAsia="Palatino Linotype" w:hAnsi="Palatino Linotype" w:cs="Palatino Linotype"/>
        </w:rPr>
        <w:t>, el Medio de Impugnación, quedó sin materia, en términos de los Considerandos</w:t>
      </w:r>
      <w:r w:rsidRPr="00B35470">
        <w:rPr>
          <w:rFonts w:ascii="Palatino Linotype" w:eastAsia="Palatino Linotype" w:hAnsi="Palatino Linotype" w:cs="Palatino Linotype"/>
          <w:b/>
        </w:rPr>
        <w:t xml:space="preserve"> TERCERO </w:t>
      </w:r>
      <w:r w:rsidRPr="00B35470">
        <w:rPr>
          <w:rFonts w:ascii="Palatino Linotype" w:eastAsia="Palatino Linotype" w:hAnsi="Palatino Linotype" w:cs="Palatino Linotype"/>
        </w:rPr>
        <w:t>y</w:t>
      </w:r>
      <w:r w:rsidRPr="00B35470">
        <w:rPr>
          <w:rFonts w:ascii="Palatino Linotype" w:eastAsia="Palatino Linotype" w:hAnsi="Palatino Linotype" w:cs="Palatino Linotype"/>
          <w:b/>
        </w:rPr>
        <w:t xml:space="preserve"> CUARTO </w:t>
      </w:r>
      <w:r w:rsidRPr="00B35470">
        <w:rPr>
          <w:rFonts w:ascii="Palatino Linotype" w:eastAsia="Palatino Linotype" w:hAnsi="Palatino Linotype" w:cs="Palatino Linotype"/>
        </w:rPr>
        <w:t>de la presente Resolución.</w:t>
      </w:r>
    </w:p>
    <w:p w:rsidR="001A4A65" w:rsidRPr="00B35470" w:rsidRDefault="001A4A65">
      <w:pPr>
        <w:spacing w:after="0" w:line="360" w:lineRule="auto"/>
        <w:jc w:val="both"/>
        <w:rPr>
          <w:rFonts w:ascii="Palatino Linotype" w:eastAsia="Palatino Linotype" w:hAnsi="Palatino Linotype" w:cs="Palatino Linotype"/>
        </w:rPr>
      </w:pPr>
    </w:p>
    <w:p w:rsidR="001A4A65" w:rsidRPr="00B35470" w:rsidRDefault="00142F97">
      <w:pPr>
        <w:spacing w:after="0" w:line="360" w:lineRule="auto"/>
        <w:jc w:val="both"/>
        <w:rPr>
          <w:rFonts w:ascii="Palatino Linotype" w:eastAsia="Palatino Linotype" w:hAnsi="Palatino Linotype" w:cs="Palatino Linotype"/>
          <w:b/>
        </w:rPr>
      </w:pPr>
      <w:r w:rsidRPr="00B35470">
        <w:rPr>
          <w:rFonts w:ascii="Palatino Linotype" w:eastAsia="Palatino Linotype" w:hAnsi="Palatino Linotype" w:cs="Palatino Linotype"/>
          <w:b/>
        </w:rPr>
        <w:t xml:space="preserve">SEGUNDO. NOTIFÍQUESE POR SAIMEX </w:t>
      </w:r>
      <w:r w:rsidRPr="00B35470">
        <w:rPr>
          <w:rFonts w:ascii="Palatino Linotype" w:eastAsia="Palatino Linotype" w:hAnsi="Palatino Linotype" w:cs="Palatino Linotype"/>
        </w:rPr>
        <w:t>la presente Resolución al Titular de la Unidad de Transparencia del Sujeto Obligado.</w:t>
      </w:r>
    </w:p>
    <w:p w:rsidR="001A4A65" w:rsidRPr="00B35470" w:rsidRDefault="001A4A65">
      <w:pPr>
        <w:spacing w:after="0" w:line="360" w:lineRule="auto"/>
        <w:jc w:val="both"/>
        <w:rPr>
          <w:rFonts w:ascii="Palatino Linotype" w:eastAsia="Palatino Linotype" w:hAnsi="Palatino Linotype" w:cs="Palatino Linotype"/>
          <w:b/>
          <w:i/>
        </w:rPr>
      </w:pPr>
    </w:p>
    <w:p w:rsidR="001A4A65" w:rsidRPr="00B35470" w:rsidRDefault="00142F97">
      <w:pPr>
        <w:spacing w:after="0" w:line="360" w:lineRule="auto"/>
        <w:jc w:val="both"/>
        <w:rPr>
          <w:rFonts w:ascii="Palatino Linotype" w:eastAsia="Palatino Linotype" w:hAnsi="Palatino Linotype" w:cs="Palatino Linotype"/>
          <w:b/>
        </w:rPr>
      </w:pPr>
      <w:r w:rsidRPr="00B35470">
        <w:rPr>
          <w:rFonts w:ascii="Palatino Linotype" w:eastAsia="Palatino Linotype" w:hAnsi="Palatino Linotype" w:cs="Palatino Linotype"/>
          <w:b/>
        </w:rPr>
        <w:t xml:space="preserve">TERCERO. NOTIFÍQUESE POR SAIMEX </w:t>
      </w:r>
      <w:r w:rsidRPr="00B35470">
        <w:rPr>
          <w:rFonts w:ascii="Palatino Linotype" w:eastAsia="Palatino Linotype" w:hAnsi="Palatino Linotype" w:cs="Palatino Linotype"/>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1A4A65" w:rsidRPr="00B35470" w:rsidRDefault="001A4A65">
      <w:pPr>
        <w:spacing w:after="0" w:line="360" w:lineRule="auto"/>
        <w:jc w:val="both"/>
        <w:rPr>
          <w:rFonts w:ascii="Palatino Linotype" w:eastAsia="Palatino Linotype" w:hAnsi="Palatino Linotype" w:cs="Palatino Linotype"/>
        </w:rPr>
      </w:pPr>
    </w:p>
    <w:p w:rsidR="001A4A65" w:rsidRDefault="00142F97">
      <w:pPr>
        <w:spacing w:after="0" w:line="360" w:lineRule="auto"/>
        <w:jc w:val="both"/>
        <w:rPr>
          <w:rFonts w:ascii="Palatino Linotype" w:eastAsia="Palatino Linotype" w:hAnsi="Palatino Linotype" w:cs="Palatino Linotype"/>
        </w:rPr>
      </w:pPr>
      <w:r w:rsidRPr="00B35470">
        <w:rPr>
          <w:rFonts w:ascii="Palatino Linotype" w:eastAsia="Palatino Linotype" w:hAnsi="Palatino Linotype" w:cs="Palatino Linotype"/>
        </w:rPr>
        <w:t xml:space="preserve">ASÍ LO RESUELVE, POR </w:t>
      </w:r>
      <w:r w:rsidRPr="005752A5">
        <w:rPr>
          <w:rFonts w:ascii="Palatino Linotype" w:eastAsia="Palatino Linotype" w:hAnsi="Palatino Linotype" w:cs="Palatino Linotype"/>
          <w:b/>
        </w:rPr>
        <w:t xml:space="preserve">UNANIMIDAD </w:t>
      </w:r>
      <w:r w:rsidRPr="00B35470">
        <w:rPr>
          <w:rFonts w:ascii="Palatino Linotype" w:eastAsia="Palatino Linotype" w:hAnsi="Palatino Linotype" w:cs="Palatino Linotype"/>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rsidR="001A4A65" w:rsidRDefault="00142F97">
      <w:pPr>
        <w:spacing w:after="0" w:line="360" w:lineRule="auto"/>
        <w:jc w:val="both"/>
        <w:rPr>
          <w:rFonts w:ascii="Palatino Linotype" w:eastAsia="Palatino Linotype" w:hAnsi="Palatino Linotype" w:cs="Palatino Linotype"/>
        </w:rPr>
      </w:pPr>
      <w:r>
        <w:br w:type="page"/>
      </w:r>
    </w:p>
    <w:p w:rsidR="001A4A65" w:rsidRDefault="001A4A65">
      <w:pPr>
        <w:spacing w:after="0" w:line="360" w:lineRule="auto"/>
        <w:jc w:val="both"/>
        <w:rPr>
          <w:rFonts w:ascii="Palatino Linotype" w:eastAsia="Palatino Linotype" w:hAnsi="Palatino Linotype" w:cs="Palatino Linotype"/>
        </w:rPr>
      </w:pPr>
    </w:p>
    <w:sectPr w:rsidR="001A4A65">
      <w:headerReference w:type="even" r:id="rId8"/>
      <w:headerReference w:type="default" r:id="rId9"/>
      <w:footerReference w:type="default" r:id="rId10"/>
      <w:headerReference w:type="first" r:id="rId11"/>
      <w:footerReference w:type="first" r:id="rId12"/>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42D" w:rsidRDefault="002F542D">
      <w:pPr>
        <w:spacing w:after="0" w:line="240" w:lineRule="auto"/>
      </w:pPr>
      <w:r>
        <w:separator/>
      </w:r>
    </w:p>
  </w:endnote>
  <w:endnote w:type="continuationSeparator" w:id="0">
    <w:p w:rsidR="002F542D" w:rsidRDefault="002F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A65" w:rsidRDefault="001A4A6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6"/>
        <w:szCs w:val="26"/>
      </w:rPr>
    </w:pPr>
  </w:p>
  <w:p w:rsidR="001A4A65" w:rsidRDefault="00142F9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D058A">
      <w:rPr>
        <w:rFonts w:ascii="Times New Roman" w:eastAsia="Times New Roman" w:hAnsi="Times New Roman" w:cs="Times New Roman"/>
        <w:b/>
        <w:noProof/>
        <w:color w:val="000000"/>
        <w:sz w:val="24"/>
        <w:szCs w:val="24"/>
      </w:rPr>
      <w:t>25</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D058A">
      <w:rPr>
        <w:rFonts w:ascii="Times New Roman" w:eastAsia="Times New Roman" w:hAnsi="Times New Roman" w:cs="Times New Roman"/>
        <w:b/>
        <w:noProof/>
        <w:color w:val="000000"/>
        <w:sz w:val="24"/>
        <w:szCs w:val="24"/>
      </w:rPr>
      <w:t>27</w:t>
    </w:r>
    <w:r>
      <w:rPr>
        <w:rFonts w:ascii="Times New Roman" w:eastAsia="Times New Roman" w:hAnsi="Times New Roman" w:cs="Times New Roman"/>
        <w:b/>
        <w:color w:val="000000"/>
        <w:sz w:val="24"/>
        <w:szCs w:val="24"/>
      </w:rPr>
      <w:fldChar w:fldCharType="end"/>
    </w:r>
  </w:p>
  <w:p w:rsidR="001A4A65" w:rsidRDefault="001A4A6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A65" w:rsidRDefault="001A4A6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p>
  <w:p w:rsidR="001A4A65" w:rsidRDefault="001A4A6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p>
  <w:p w:rsidR="001A4A65" w:rsidRDefault="001A4A6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p>
  <w:p w:rsidR="001A4A65" w:rsidRDefault="00142F97">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D058A">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D058A">
      <w:rPr>
        <w:rFonts w:ascii="Times New Roman" w:eastAsia="Times New Roman" w:hAnsi="Times New Roman" w:cs="Times New Roman"/>
        <w:b/>
        <w:noProof/>
        <w:color w:val="000000"/>
        <w:sz w:val="24"/>
        <w:szCs w:val="24"/>
      </w:rPr>
      <w:t>27</w:t>
    </w:r>
    <w:r>
      <w:rPr>
        <w:rFonts w:ascii="Times New Roman" w:eastAsia="Times New Roman" w:hAnsi="Times New Roman" w:cs="Times New Roman"/>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42D" w:rsidRDefault="002F542D">
      <w:pPr>
        <w:spacing w:after="0" w:line="240" w:lineRule="auto"/>
      </w:pPr>
      <w:r>
        <w:separator/>
      </w:r>
    </w:p>
  </w:footnote>
  <w:footnote w:type="continuationSeparator" w:id="0">
    <w:p w:rsidR="002F542D" w:rsidRDefault="002F5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A65" w:rsidRDefault="002F542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A65" w:rsidRDefault="002F542D">
    <w:pPr>
      <w:tabs>
        <w:tab w:val="left" w:pos="3416"/>
      </w:tabs>
    </w:pPr>
    <w:r>
      <w:rPr>
        <w:sz w:val="14"/>
        <w:szCs w:val="14"/>
      </w:rPr>
      <w:pict w14:anchorId="6B1B6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1A4A65">
      <w:trPr>
        <w:trHeight w:val="70"/>
      </w:trPr>
      <w:tc>
        <w:tcPr>
          <w:tcW w:w="2268" w:type="dxa"/>
          <w:shd w:val="clear" w:color="auto" w:fill="auto"/>
        </w:tcPr>
        <w:p w:rsidR="001A4A65" w:rsidRDefault="001A4A65">
          <w:pPr>
            <w:tabs>
              <w:tab w:val="right" w:pos="4273"/>
            </w:tabs>
            <w:rPr>
              <w:rFonts w:ascii="Garamond" w:eastAsia="Garamond" w:hAnsi="Garamond" w:cs="Garamond"/>
              <w:sz w:val="16"/>
              <w:szCs w:val="16"/>
            </w:rPr>
          </w:pPr>
        </w:p>
      </w:tc>
      <w:tc>
        <w:tcPr>
          <w:tcW w:w="7193" w:type="dxa"/>
          <w:shd w:val="clear" w:color="auto" w:fill="auto"/>
        </w:tcPr>
        <w:p w:rsidR="001A4A65" w:rsidRDefault="001A4A65">
          <w:pPr>
            <w:widowControl w:val="0"/>
            <w:pBdr>
              <w:top w:val="nil"/>
              <w:left w:val="nil"/>
              <w:bottom w:val="nil"/>
              <w:right w:val="nil"/>
              <w:between w:val="nil"/>
            </w:pBdr>
            <w:spacing w:after="0"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67"/>
            <w:gridCol w:w="4071"/>
          </w:tblGrid>
          <w:tr w:rsidR="001A4A65">
            <w:trPr>
              <w:trHeight w:val="128"/>
            </w:trPr>
            <w:tc>
              <w:tcPr>
                <w:tcW w:w="3867" w:type="dxa"/>
                <w:vAlign w:val="bottom"/>
              </w:tcPr>
              <w:p w:rsidR="001A4A65" w:rsidRDefault="00142F97">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Recurso de Revisión:</w:t>
                </w:r>
              </w:p>
            </w:tc>
            <w:tc>
              <w:tcPr>
                <w:tcW w:w="4071" w:type="dxa"/>
              </w:tcPr>
              <w:p w:rsidR="001A4A65" w:rsidRDefault="00142F97">
                <w:pPr>
                  <w:tabs>
                    <w:tab w:val="right" w:pos="8838"/>
                  </w:tabs>
                  <w:ind w:right="683"/>
                  <w:rPr>
                    <w:rFonts w:ascii="Palatino Linotype" w:eastAsia="Palatino Linotype" w:hAnsi="Palatino Linotype" w:cs="Palatino Linotype"/>
                  </w:rPr>
                </w:pPr>
                <w:r>
                  <w:rPr>
                    <w:rFonts w:ascii="Palatino Linotype" w:eastAsia="Palatino Linotype" w:hAnsi="Palatino Linotype" w:cs="Palatino Linotype"/>
                  </w:rPr>
                  <w:t>07411/INFOEM/IP/RR/2024</w:t>
                </w:r>
              </w:p>
            </w:tc>
          </w:tr>
          <w:tr w:rsidR="001A4A65">
            <w:trPr>
              <w:trHeight w:val="251"/>
            </w:trPr>
            <w:tc>
              <w:tcPr>
                <w:tcW w:w="3867" w:type="dxa"/>
              </w:tcPr>
              <w:p w:rsidR="001A4A65" w:rsidRDefault="00142F97">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Sujeto Obligado:</w:t>
                </w:r>
              </w:p>
            </w:tc>
            <w:tc>
              <w:tcPr>
                <w:tcW w:w="4071" w:type="dxa"/>
              </w:tcPr>
              <w:p w:rsidR="001A4A65" w:rsidRDefault="00142F97">
                <w:pPr>
                  <w:tabs>
                    <w:tab w:val="right" w:pos="8838"/>
                  </w:tabs>
                  <w:ind w:right="1008"/>
                  <w:jc w:val="both"/>
                  <w:rPr>
                    <w:rFonts w:ascii="Palatino Linotype" w:eastAsia="Palatino Linotype" w:hAnsi="Palatino Linotype" w:cs="Palatino Linotype"/>
                  </w:rPr>
                </w:pPr>
                <w:r>
                  <w:rPr>
                    <w:rFonts w:ascii="Palatino Linotype" w:eastAsia="Palatino Linotype" w:hAnsi="Palatino Linotype" w:cs="Palatino Linotype"/>
                    <w:color w:val="000000"/>
                  </w:rPr>
                  <w:t>Ayuntamiento de Toluca</w:t>
                </w:r>
              </w:p>
            </w:tc>
          </w:tr>
          <w:tr w:rsidR="001A4A65">
            <w:trPr>
              <w:trHeight w:val="251"/>
            </w:trPr>
            <w:tc>
              <w:tcPr>
                <w:tcW w:w="3867" w:type="dxa"/>
              </w:tcPr>
              <w:p w:rsidR="001A4A65" w:rsidRDefault="00142F97">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Comisionado Ponente:</w:t>
                </w:r>
              </w:p>
            </w:tc>
            <w:tc>
              <w:tcPr>
                <w:tcW w:w="4071" w:type="dxa"/>
              </w:tcPr>
              <w:p w:rsidR="001A4A65" w:rsidRDefault="00142F97">
                <w:pPr>
                  <w:tabs>
                    <w:tab w:val="right" w:pos="8838"/>
                  </w:tabs>
                  <w:ind w:right="-32"/>
                  <w:rPr>
                    <w:rFonts w:ascii="Palatino Linotype" w:eastAsia="Palatino Linotype" w:hAnsi="Palatino Linotype" w:cs="Palatino Linotype"/>
                    <w:b/>
                  </w:rPr>
                </w:pPr>
                <w:r>
                  <w:rPr>
                    <w:rFonts w:ascii="Palatino Linotype" w:eastAsia="Palatino Linotype" w:hAnsi="Palatino Linotype" w:cs="Palatino Linotype"/>
                  </w:rPr>
                  <w:t>Luis Gustavo Parra Noriega</w:t>
                </w:r>
              </w:p>
            </w:tc>
          </w:tr>
        </w:tbl>
        <w:p w:rsidR="001A4A65" w:rsidRDefault="001A4A65">
          <w:pPr>
            <w:tabs>
              <w:tab w:val="right" w:pos="8838"/>
            </w:tabs>
            <w:ind w:left="-28"/>
            <w:rPr>
              <w:rFonts w:ascii="Arial" w:eastAsia="Arial" w:hAnsi="Arial" w:cs="Arial"/>
              <w:b/>
            </w:rPr>
          </w:pPr>
        </w:p>
      </w:tc>
    </w:tr>
  </w:tbl>
  <w:p w:rsidR="001A4A65" w:rsidRDefault="001A4A6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4"/>
        <w:szCs w:val="14"/>
      </w:rPr>
    </w:pPr>
  </w:p>
  <w:p w:rsidR="001A4A65" w:rsidRDefault="001A4A6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A65" w:rsidRDefault="001A4A6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828"/>
      <w:gridCol w:w="3118"/>
    </w:tblGrid>
    <w:tr w:rsidR="001A4A65">
      <w:trPr>
        <w:trHeight w:val="302"/>
      </w:trPr>
      <w:tc>
        <w:tcPr>
          <w:tcW w:w="3828" w:type="dxa"/>
        </w:tcPr>
        <w:p w:rsidR="001A4A65" w:rsidRDefault="00142F97">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Recurso de Revisión:</w:t>
          </w:r>
        </w:p>
      </w:tc>
      <w:tc>
        <w:tcPr>
          <w:tcW w:w="3118" w:type="dxa"/>
        </w:tcPr>
        <w:p w:rsidR="001A4A65" w:rsidRDefault="00142F97">
          <w:pPr>
            <w:tabs>
              <w:tab w:val="right" w:pos="8838"/>
            </w:tabs>
            <w:jc w:val="both"/>
            <w:rPr>
              <w:rFonts w:ascii="Palatino Linotype" w:eastAsia="Palatino Linotype" w:hAnsi="Palatino Linotype" w:cs="Palatino Linotype"/>
            </w:rPr>
          </w:pPr>
          <w:r>
            <w:rPr>
              <w:rFonts w:ascii="Palatino Linotype" w:eastAsia="Palatino Linotype" w:hAnsi="Palatino Linotype" w:cs="Palatino Linotype"/>
            </w:rPr>
            <w:t>07411/INFOEM/IP/RR/2024</w:t>
          </w:r>
        </w:p>
      </w:tc>
    </w:tr>
    <w:tr w:rsidR="001A4A65" w:rsidTr="00F86B0F">
      <w:trPr>
        <w:trHeight w:val="110"/>
      </w:trPr>
      <w:tc>
        <w:tcPr>
          <w:tcW w:w="3828" w:type="dxa"/>
        </w:tcPr>
        <w:p w:rsidR="001A4A65" w:rsidRDefault="00142F97">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Recurrente:</w:t>
          </w:r>
        </w:p>
      </w:tc>
      <w:tc>
        <w:tcPr>
          <w:tcW w:w="3118" w:type="dxa"/>
          <w:shd w:val="clear" w:color="auto" w:fill="000000" w:themeFill="text1"/>
        </w:tcPr>
        <w:p w:rsidR="001A4A65" w:rsidRDefault="00F86B0F">
          <w:pPr>
            <w:jc w:val="both"/>
            <w:rPr>
              <w:rFonts w:ascii="Palatino Linotype" w:eastAsia="Palatino Linotype" w:hAnsi="Palatino Linotype" w:cs="Palatino Linotype"/>
            </w:rPr>
          </w:pPr>
          <w:r w:rsidRPr="009D058A">
            <w:rPr>
              <w:rFonts w:ascii="Palatino Linotype" w:eastAsia="Palatino Linotype" w:hAnsi="Palatino Linotype" w:cs="Palatino Linotype"/>
              <w:color w:val="000000" w:themeColor="text1"/>
            </w:rPr>
            <w:t>XXXXXXXXXXXXXXXXXX</w:t>
          </w:r>
        </w:p>
      </w:tc>
    </w:tr>
    <w:tr w:rsidR="001A4A65">
      <w:trPr>
        <w:trHeight w:val="248"/>
      </w:trPr>
      <w:tc>
        <w:tcPr>
          <w:tcW w:w="3828" w:type="dxa"/>
        </w:tcPr>
        <w:p w:rsidR="001A4A65" w:rsidRDefault="00142F97">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Sujeto Obligado:</w:t>
          </w:r>
        </w:p>
      </w:tc>
      <w:tc>
        <w:tcPr>
          <w:tcW w:w="3118" w:type="dxa"/>
        </w:tcPr>
        <w:p w:rsidR="001A4A65" w:rsidRDefault="00142F97">
          <w:pPr>
            <w:tabs>
              <w:tab w:val="right" w:pos="8838"/>
            </w:tabs>
            <w:jc w:val="both"/>
            <w:rPr>
              <w:rFonts w:ascii="Palatino Linotype" w:eastAsia="Palatino Linotype" w:hAnsi="Palatino Linotype" w:cs="Palatino Linotype"/>
            </w:rPr>
          </w:pPr>
          <w:r>
            <w:rPr>
              <w:rFonts w:ascii="Palatino Linotype" w:eastAsia="Palatino Linotype" w:hAnsi="Palatino Linotype" w:cs="Palatino Linotype"/>
              <w:color w:val="000000"/>
            </w:rPr>
            <w:t>Ayuntamiento de Toluca</w:t>
          </w:r>
        </w:p>
      </w:tc>
    </w:tr>
    <w:tr w:rsidR="001A4A65">
      <w:trPr>
        <w:trHeight w:val="248"/>
      </w:trPr>
      <w:tc>
        <w:tcPr>
          <w:tcW w:w="3828" w:type="dxa"/>
        </w:tcPr>
        <w:p w:rsidR="001A4A65" w:rsidRDefault="00142F97">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Comisionado Ponente:</w:t>
          </w:r>
        </w:p>
      </w:tc>
      <w:tc>
        <w:tcPr>
          <w:tcW w:w="3118" w:type="dxa"/>
        </w:tcPr>
        <w:p w:rsidR="001A4A65" w:rsidRDefault="00142F97">
          <w:pPr>
            <w:tabs>
              <w:tab w:val="right" w:pos="8838"/>
            </w:tabs>
            <w:rPr>
              <w:rFonts w:ascii="Palatino Linotype" w:eastAsia="Palatino Linotype" w:hAnsi="Palatino Linotype" w:cs="Palatino Linotype"/>
            </w:rPr>
          </w:pPr>
          <w:r>
            <w:rPr>
              <w:rFonts w:ascii="Palatino Linotype" w:eastAsia="Palatino Linotype" w:hAnsi="Palatino Linotype" w:cs="Palatino Linotype"/>
            </w:rPr>
            <w:t>Luis Gustavo Parra Noriega</w:t>
          </w:r>
        </w:p>
      </w:tc>
    </w:tr>
  </w:tbl>
  <w:p w:rsidR="001A4A65" w:rsidRDefault="002F542D">
    <w:pPr>
      <w:ind w:right="-3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71.15pt;margin-top:-132.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68DB"/>
    <w:multiLevelType w:val="multilevel"/>
    <w:tmpl w:val="B986C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8B50F8"/>
    <w:multiLevelType w:val="multilevel"/>
    <w:tmpl w:val="DC6811BE"/>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B15067"/>
    <w:multiLevelType w:val="multilevel"/>
    <w:tmpl w:val="B15820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05025A"/>
    <w:multiLevelType w:val="multilevel"/>
    <w:tmpl w:val="DA129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B66791"/>
    <w:multiLevelType w:val="multilevel"/>
    <w:tmpl w:val="C4E062F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5A1BEA"/>
    <w:multiLevelType w:val="multilevel"/>
    <w:tmpl w:val="4732CE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12F6AB6"/>
    <w:multiLevelType w:val="multilevel"/>
    <w:tmpl w:val="3C9A6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5C2637"/>
    <w:multiLevelType w:val="multilevel"/>
    <w:tmpl w:val="86C497D0"/>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573837"/>
    <w:multiLevelType w:val="multilevel"/>
    <w:tmpl w:val="976A394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2"/>
  </w:num>
  <w:num w:numId="4">
    <w:abstractNumId w:val="1"/>
  </w:num>
  <w:num w:numId="5">
    <w:abstractNumId w:val="6"/>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65"/>
    <w:rsid w:val="00142F97"/>
    <w:rsid w:val="001554C9"/>
    <w:rsid w:val="001A4A65"/>
    <w:rsid w:val="002F542D"/>
    <w:rsid w:val="005752A5"/>
    <w:rsid w:val="008173D6"/>
    <w:rsid w:val="009D058A"/>
    <w:rsid w:val="00B35470"/>
    <w:rsid w:val="00CF4872"/>
    <w:rsid w:val="00D354AB"/>
    <w:rsid w:val="00F86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5291DA1-80CA-433A-AA56-8F2D3609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5C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855C4"/>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855C4"/>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9855C4"/>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855C4"/>
    <w:rPr>
      <w:rFonts w:ascii="Times New Roman" w:eastAsia="Times New Roman" w:hAnsi="Times New Roman" w:cs="Times New Roman"/>
      <w:kern w:val="0"/>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855C4"/>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9855C4"/>
    <w:rPr>
      <w:rFonts w:ascii="Century Gothic" w:eastAsia="Times New Roman" w:hAnsi="Century Gothic" w:cs="Times New Roman"/>
      <w:kern w:val="0"/>
      <w:szCs w:val="24"/>
      <w:lang w:eastAsia="es-ES"/>
    </w:rPr>
  </w:style>
  <w:style w:type="table" w:styleId="Tablaconcuadrcula">
    <w:name w:val="Table Grid"/>
    <w:basedOn w:val="Tablanormal"/>
    <w:uiPriority w:val="39"/>
    <w:rsid w:val="009855C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855C4"/>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9855C4"/>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wBPuhPlTLFIGS/1+ur4GRQfsHA==">CgMxLjAyCGguZ2pkZ3hzMgloLjMwajB6bGw4AHIhMTRtdXRhMXhaTkFJUjUzXzR0Y1lDdlVyX3RVc3hDS1pD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6186</Words>
  <Characters>34025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cp:lastModifiedBy>
  <cp:revision>5</cp:revision>
  <cp:lastPrinted>2024-12-19T19:01:00Z</cp:lastPrinted>
  <dcterms:created xsi:type="dcterms:W3CDTF">2024-12-19T19:01:00Z</dcterms:created>
  <dcterms:modified xsi:type="dcterms:W3CDTF">2025-02-04T17:33:00Z</dcterms:modified>
</cp:coreProperties>
</file>