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78AB" w14:textId="77777777" w:rsidR="002A76B7" w:rsidRPr="007D1383" w:rsidRDefault="008F7530">
      <w:pPr>
        <w:spacing w:before="240"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3A85F543"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401EED92" w14:textId="26031932"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Visto </w:t>
      </w:r>
      <w:r w:rsidRPr="007D1383">
        <w:rPr>
          <w:rFonts w:ascii="Palatino Linotype" w:eastAsia="Palatino Linotype" w:hAnsi="Palatino Linotype" w:cs="Palatino Linotype"/>
          <w:sz w:val="24"/>
          <w:szCs w:val="24"/>
        </w:rPr>
        <w:t xml:space="preserve">el expediente relativo al recurso de revisión </w:t>
      </w:r>
      <w:r w:rsidRPr="007D1383">
        <w:rPr>
          <w:rFonts w:ascii="Palatino Linotype" w:eastAsia="Palatino Linotype" w:hAnsi="Palatino Linotype" w:cs="Palatino Linotype"/>
          <w:b/>
          <w:sz w:val="24"/>
          <w:szCs w:val="24"/>
        </w:rPr>
        <w:t>05309/INFOEM/IP/RR/2024</w:t>
      </w:r>
      <w:r w:rsidRPr="007D1383">
        <w:rPr>
          <w:rFonts w:ascii="Palatino Linotype" w:eastAsia="Palatino Linotype" w:hAnsi="Palatino Linotype" w:cs="Palatino Linotype"/>
          <w:sz w:val="24"/>
          <w:szCs w:val="24"/>
        </w:rPr>
        <w:t>, interpuesto por</w:t>
      </w:r>
      <w:r w:rsidRPr="007D1383">
        <w:rPr>
          <w:rFonts w:ascii="Palatino Linotype" w:eastAsia="Palatino Linotype" w:hAnsi="Palatino Linotype" w:cs="Palatino Linotype"/>
          <w:b/>
          <w:sz w:val="24"/>
          <w:szCs w:val="24"/>
        </w:rPr>
        <w:t xml:space="preserve"> </w:t>
      </w:r>
      <w:r w:rsidR="003D6ABE" w:rsidRPr="003D6ABE">
        <w:rPr>
          <w:rFonts w:ascii="Palatino Linotype" w:eastAsia="Palatino Linotype" w:hAnsi="Palatino Linotype" w:cs="Palatino Linotype"/>
          <w:b/>
          <w:sz w:val="24"/>
          <w:szCs w:val="24"/>
        </w:rPr>
        <w:t>XXXXXXX</w:t>
      </w:r>
      <w:r w:rsidRPr="007D1383">
        <w:rPr>
          <w:rFonts w:ascii="Palatino Linotype" w:eastAsia="Palatino Linotype" w:hAnsi="Palatino Linotype" w:cs="Palatino Linotype"/>
          <w:sz w:val="24"/>
          <w:szCs w:val="24"/>
        </w:rPr>
        <w:t xml:space="preserve">, en lo sucesivo se le denominara </w:t>
      </w:r>
      <w:r w:rsidRPr="007D1383">
        <w:rPr>
          <w:rFonts w:ascii="Palatino Linotype" w:eastAsia="Palatino Linotype" w:hAnsi="Palatino Linotype" w:cs="Palatino Linotype"/>
          <w:b/>
          <w:sz w:val="24"/>
          <w:szCs w:val="24"/>
        </w:rPr>
        <w:t>LA PARTE RECURRENTE</w:t>
      </w:r>
      <w:r w:rsidRPr="007D1383">
        <w:rPr>
          <w:rFonts w:ascii="Palatino Linotype" w:eastAsia="Palatino Linotype" w:hAnsi="Palatino Linotype" w:cs="Palatino Linotype"/>
          <w:sz w:val="24"/>
          <w:szCs w:val="24"/>
        </w:rPr>
        <w:t xml:space="preserve">, en contra de la respuesta a la solicitud de información con número de folio </w:t>
      </w:r>
      <w:r w:rsidRPr="007D1383">
        <w:rPr>
          <w:rFonts w:ascii="Palatino Linotype" w:eastAsia="Palatino Linotype" w:hAnsi="Palatino Linotype" w:cs="Palatino Linotype"/>
          <w:b/>
          <w:sz w:val="24"/>
          <w:szCs w:val="24"/>
        </w:rPr>
        <w:t>00129/SEMUJS/IP/2024</w:t>
      </w:r>
      <w:r w:rsidRPr="007D1383">
        <w:rPr>
          <w:rFonts w:ascii="Palatino Linotype" w:eastAsia="Palatino Linotype" w:hAnsi="Palatino Linotype" w:cs="Palatino Linotype"/>
          <w:sz w:val="24"/>
          <w:szCs w:val="24"/>
        </w:rPr>
        <w:t>, por parte de la</w:t>
      </w:r>
      <w:r w:rsidRPr="007D1383">
        <w:rPr>
          <w:rFonts w:ascii="Palatino Linotype" w:eastAsia="Palatino Linotype" w:hAnsi="Palatino Linotype" w:cs="Palatino Linotype"/>
          <w:b/>
          <w:sz w:val="24"/>
          <w:szCs w:val="24"/>
        </w:rPr>
        <w:t xml:space="preserve"> Secretaría de las Mujeres</w:t>
      </w:r>
      <w:r w:rsidRPr="007D1383">
        <w:rPr>
          <w:rFonts w:ascii="Palatino Linotype" w:eastAsia="Palatino Linotype" w:hAnsi="Palatino Linotype" w:cs="Palatino Linotype"/>
          <w:sz w:val="24"/>
          <w:szCs w:val="24"/>
        </w:rPr>
        <w:t>, en lo sucesivo</w:t>
      </w:r>
      <w:r w:rsidRPr="007D1383">
        <w:rPr>
          <w:rFonts w:ascii="Palatino Linotype" w:eastAsia="Palatino Linotype" w:hAnsi="Palatino Linotype" w:cs="Palatino Linotype"/>
          <w:b/>
          <w:sz w:val="24"/>
          <w:szCs w:val="24"/>
        </w:rPr>
        <w:t xml:space="preserve"> EL SUJETO OBLIGADO; </w:t>
      </w:r>
      <w:r w:rsidRPr="007D1383">
        <w:rPr>
          <w:rFonts w:ascii="Palatino Linotype" w:eastAsia="Palatino Linotype" w:hAnsi="Palatino Linotype" w:cs="Palatino Linotype"/>
          <w:sz w:val="24"/>
          <w:szCs w:val="24"/>
        </w:rPr>
        <w:t>se procede a dictar la presente resolución, con base en lo siguiente.</w:t>
      </w:r>
    </w:p>
    <w:p w14:paraId="7D8CD8E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1F69C7BF" w14:textId="77777777" w:rsidR="002A76B7" w:rsidRPr="007D1383" w:rsidRDefault="008F7530">
      <w:pPr>
        <w:spacing w:after="0" w:line="360" w:lineRule="auto"/>
        <w:ind w:right="51"/>
        <w:jc w:val="center"/>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A N T E C E D E N T E S</w:t>
      </w:r>
    </w:p>
    <w:p w14:paraId="3820BC49" w14:textId="77777777" w:rsidR="002A76B7" w:rsidRPr="007D1383" w:rsidRDefault="002A76B7">
      <w:pPr>
        <w:spacing w:after="0" w:line="360" w:lineRule="auto"/>
        <w:ind w:right="51"/>
        <w:jc w:val="center"/>
        <w:rPr>
          <w:rFonts w:ascii="Palatino Linotype" w:eastAsia="Palatino Linotype" w:hAnsi="Palatino Linotype" w:cs="Palatino Linotype"/>
          <w:sz w:val="24"/>
          <w:szCs w:val="24"/>
        </w:rPr>
      </w:pPr>
    </w:p>
    <w:p w14:paraId="5AE40473"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1.</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 xml:space="preserve">SOLICITUD DE INFORMACIÓN. </w:t>
      </w:r>
      <w:r w:rsidRPr="007D1383">
        <w:rPr>
          <w:rFonts w:ascii="Palatino Linotype" w:eastAsia="Palatino Linotype" w:hAnsi="Palatino Linotype" w:cs="Palatino Linotype"/>
          <w:sz w:val="24"/>
          <w:szCs w:val="24"/>
        </w:rPr>
        <w:t xml:space="preserve">Con fecha cinco de agosto de dos mil veinticuatro, </w:t>
      </w:r>
      <w:r w:rsidRPr="007D1383">
        <w:rPr>
          <w:rFonts w:ascii="Palatino Linotype" w:eastAsia="Palatino Linotype" w:hAnsi="Palatino Linotype" w:cs="Palatino Linotype"/>
          <w:b/>
          <w:sz w:val="24"/>
          <w:szCs w:val="24"/>
        </w:rPr>
        <w:t>LA PARTE RECURRENTE</w:t>
      </w:r>
      <w:r w:rsidRPr="007D1383">
        <w:rPr>
          <w:rFonts w:ascii="Palatino Linotype" w:eastAsia="Palatino Linotype" w:hAnsi="Palatino Linotype" w:cs="Palatino Linotype"/>
          <w:sz w:val="24"/>
          <w:szCs w:val="24"/>
        </w:rPr>
        <w:t>, presentó a través de la Plataforma Nacional de Transparencia (PNT) vinculada al Sistema de Acceso a la Información Mexiquense (</w:t>
      </w:r>
      <w:r w:rsidRPr="007D1383">
        <w:rPr>
          <w:rFonts w:ascii="Palatino Linotype" w:eastAsia="Palatino Linotype" w:hAnsi="Palatino Linotype" w:cs="Palatino Linotype"/>
          <w:b/>
          <w:sz w:val="24"/>
          <w:szCs w:val="24"/>
        </w:rPr>
        <w:t>SAIMEX)</w:t>
      </w:r>
      <w:r w:rsidRPr="007D1383">
        <w:rPr>
          <w:rFonts w:ascii="Palatino Linotype" w:eastAsia="Palatino Linotype" w:hAnsi="Palatino Linotype" w:cs="Palatino Linotype"/>
          <w:sz w:val="24"/>
          <w:szCs w:val="24"/>
        </w:rPr>
        <w:t xml:space="preserve"> ante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la solicitud de acceso a la información pública, registrada bajo el número de expediente</w:t>
      </w:r>
      <w:r w:rsidRPr="007D1383">
        <w:rPr>
          <w:rFonts w:ascii="Verdana" w:eastAsia="Verdana" w:hAnsi="Verdana" w:cs="Verdana"/>
          <w:b/>
        </w:rPr>
        <w:t> </w:t>
      </w:r>
      <w:r w:rsidRPr="007D1383">
        <w:rPr>
          <w:rFonts w:ascii="Palatino Linotype" w:eastAsia="Palatino Linotype" w:hAnsi="Palatino Linotype" w:cs="Palatino Linotype"/>
          <w:b/>
          <w:sz w:val="24"/>
          <w:szCs w:val="24"/>
        </w:rPr>
        <w:t>00129/SEMUJS/IP/2024</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mediante la cual solicitó la siguiente información:</w:t>
      </w:r>
    </w:p>
    <w:p w14:paraId="788B9800"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bookmarkStart w:id="0" w:name="_heading=h.gjdgxs" w:colFirst="0" w:colLast="0"/>
      <w:bookmarkEnd w:id="0"/>
    </w:p>
    <w:p w14:paraId="1E532B3E" w14:textId="77777777" w:rsidR="002A76B7" w:rsidRPr="007D1383" w:rsidRDefault="008F7530">
      <w:pPr>
        <w:spacing w:after="0" w:line="276" w:lineRule="auto"/>
        <w:ind w:left="709" w:right="760"/>
        <w:jc w:val="both"/>
        <w:rPr>
          <w:rFonts w:ascii="Palatino Linotype" w:eastAsia="Palatino Linotype" w:hAnsi="Palatino Linotype" w:cs="Palatino Linotype"/>
          <w:i/>
        </w:rPr>
      </w:pPr>
      <w:bookmarkStart w:id="1" w:name="_heading=h.25aiclkkvop6" w:colFirst="0" w:colLast="0"/>
      <w:bookmarkEnd w:id="1"/>
      <w:r w:rsidRPr="007D1383">
        <w:rPr>
          <w:rFonts w:ascii="Palatino Linotype" w:eastAsia="Palatino Linotype" w:hAnsi="Palatino Linotype" w:cs="Palatino Linotype"/>
          <w:i/>
        </w:rPr>
        <w:lastRenderedPageBreak/>
        <w:t xml:space="preserve">“Solicito información sobre la fecha y los detalles de la licitación para el año 2024 para la realización de obras de teatro en relación a los proyectos de alerta de género </w:t>
      </w:r>
      <w:proofErr w:type="spellStart"/>
      <w:r w:rsidRPr="007D1383">
        <w:rPr>
          <w:rFonts w:ascii="Palatino Linotype" w:eastAsia="Palatino Linotype" w:hAnsi="Palatino Linotype" w:cs="Palatino Linotype"/>
          <w:i/>
        </w:rPr>
        <w:t>ademas</w:t>
      </w:r>
      <w:proofErr w:type="spellEnd"/>
      <w:r w:rsidRPr="007D1383">
        <w:rPr>
          <w:rFonts w:ascii="Palatino Linotype" w:eastAsia="Palatino Linotype" w:hAnsi="Palatino Linotype" w:cs="Palatino Linotype"/>
          <w:i/>
        </w:rPr>
        <w:t xml:space="preserve"> de respuesta a lo siguiente: ¿por qué medio la ciudadanía se enteró? ¿quiénes participaron y sus </w:t>
      </w:r>
      <w:proofErr w:type="spellStart"/>
      <w:r w:rsidRPr="007D1383">
        <w:rPr>
          <w:rFonts w:ascii="Palatino Linotype" w:eastAsia="Palatino Linotype" w:hAnsi="Palatino Linotype" w:cs="Palatino Linotype"/>
          <w:i/>
        </w:rPr>
        <w:t>cv</w:t>
      </w:r>
      <w:proofErr w:type="spellEnd"/>
      <w:r w:rsidRPr="007D1383">
        <w:rPr>
          <w:rFonts w:ascii="Palatino Linotype" w:eastAsia="Palatino Linotype" w:hAnsi="Palatino Linotype" w:cs="Palatino Linotype"/>
          <w:i/>
        </w:rPr>
        <w:t>? ¿a quién se asignó? ¿cuáles fueron los criterios?” (Sic).</w:t>
      </w:r>
    </w:p>
    <w:p w14:paraId="77AEAB15" w14:textId="77777777" w:rsidR="002A76B7" w:rsidRPr="007D1383" w:rsidRDefault="002A76B7">
      <w:pPr>
        <w:spacing w:after="0" w:line="276" w:lineRule="auto"/>
        <w:ind w:left="709" w:right="760"/>
        <w:jc w:val="both"/>
        <w:rPr>
          <w:rFonts w:ascii="Palatino Linotype" w:eastAsia="Palatino Linotype" w:hAnsi="Palatino Linotype" w:cs="Palatino Linotype"/>
          <w:i/>
          <w:sz w:val="24"/>
          <w:szCs w:val="24"/>
        </w:rPr>
      </w:pPr>
    </w:p>
    <w:p w14:paraId="02E6425D"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Modalidad de entrega: A través del </w:t>
      </w:r>
      <w:r w:rsidRPr="007D1383">
        <w:rPr>
          <w:rFonts w:ascii="Palatino Linotype" w:eastAsia="Palatino Linotype" w:hAnsi="Palatino Linotype" w:cs="Palatino Linotype"/>
          <w:b/>
          <w:sz w:val="24"/>
          <w:szCs w:val="24"/>
        </w:rPr>
        <w:t>SAIMEX</w:t>
      </w:r>
      <w:r w:rsidRPr="007D1383">
        <w:rPr>
          <w:rFonts w:ascii="Palatino Linotype" w:eastAsia="Palatino Linotype" w:hAnsi="Palatino Linotype" w:cs="Palatino Linotype"/>
          <w:sz w:val="24"/>
          <w:szCs w:val="24"/>
        </w:rPr>
        <w:t xml:space="preserve"> y correo electrónico. </w:t>
      </w:r>
    </w:p>
    <w:p w14:paraId="568C9578"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6A4EF276"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2. RESPUESTA.  </w:t>
      </w:r>
      <w:r w:rsidRPr="007D1383">
        <w:rPr>
          <w:rFonts w:ascii="Palatino Linotype" w:eastAsia="Palatino Linotype" w:hAnsi="Palatino Linotype" w:cs="Palatino Linotype"/>
          <w:sz w:val="24"/>
          <w:szCs w:val="24"/>
        </w:rPr>
        <w:t xml:space="preserve">Con fecha veintitrés de agosto del dos mil veinticuatro,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1B88FDA"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073891E"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602587" w14:textId="4AD3A48D" w:rsidR="002A76B7" w:rsidRPr="007D1383" w:rsidRDefault="003D6ABE">
      <w:pPr>
        <w:spacing w:after="0" w:line="276" w:lineRule="auto"/>
        <w:ind w:left="851" w:right="902"/>
        <w:jc w:val="both"/>
        <w:rPr>
          <w:rFonts w:ascii="Palatino Linotype" w:eastAsia="Palatino Linotype" w:hAnsi="Palatino Linotype" w:cs="Palatino Linotype"/>
          <w:i/>
        </w:rPr>
      </w:pPr>
      <w:bookmarkStart w:id="2" w:name="_heading=h.1fob9te" w:colFirst="0" w:colLast="0"/>
      <w:bookmarkEnd w:id="2"/>
      <w:r>
        <w:rPr>
          <w:rFonts w:ascii="Palatino Linotype" w:eastAsia="Palatino Linotype" w:hAnsi="Palatino Linotype" w:cs="Palatino Linotype"/>
          <w:i/>
        </w:rPr>
        <w:t>XXXXXXXXXXX</w:t>
      </w:r>
      <w:r w:rsidR="008F7530" w:rsidRPr="007D1383">
        <w:rPr>
          <w:rFonts w:ascii="Palatino Linotype" w:eastAsia="Palatino Linotype" w:hAnsi="Palatino Linotype" w:cs="Palatino Linotype"/>
          <w:i/>
        </w:rPr>
        <w:t xml:space="preserve"> En atención a su solicitud con número de folio 00129/SEMUJS/IP/2024, y con fundamento en lo dispuesto por los artículos 12 párrafo segundo, 23 fracción I, 24 párrafo tercero, 162 y 163 de la Ley de Transparencia y Acceso a la Información Pública del Estado de México y Municipios, se le informa que se llevó a cabo una búsqueda exhaustiva y razonable en los archivos de la Coordinación Administrativa de la Secretaría de las Mujeres; por lo cual, me permito adjuntar al presente, copia digitalizada de los siguientes documentos en los que se detalla la información relacionada con la solicitud 00129/SEMUJS/IP/2024. • Oficio número 22700004000000S/5866/2024 de fecha 19 de agosto de 2024, emitido por la Servidora Pública Habilitada de la Coordinación Administrativa de la Secretaría de las Mujeres, así como sus anexos correspondientes. • Resolución número 02: CTSEMUJS/EXT/017/2024 de fecha 22 de agosto de 2024, mediante la cual, el Comité de Transparencia confirmó la clasificación como confidencial de la información contenida en el “Currículum Vitae de las empresas que participaron en el proceso adquisitivo para la realización de las obras de teatro para los </w:t>
      </w:r>
      <w:r w:rsidR="008F7530" w:rsidRPr="007D1383">
        <w:rPr>
          <w:rFonts w:ascii="Palatino Linotype" w:eastAsia="Palatino Linotype" w:hAnsi="Palatino Linotype" w:cs="Palatino Linotype"/>
          <w:i/>
        </w:rPr>
        <w:lastRenderedPageBreak/>
        <w:t>proyectos de alerta de violencia de género para el año 2024”, requerido en la solicitud 00129/SEMUJS/IP/2024. • Acta de la Décima Séptima Sesión Extraordinaria del Comité de Transparencia de fecha 22 de agosto de 2024, aprobándose la resolución señalada anteriormente. Quedo a sus órdenes.</w:t>
      </w:r>
    </w:p>
    <w:p w14:paraId="328C9FE2"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ATENTAMENTE</w:t>
      </w:r>
    </w:p>
    <w:p w14:paraId="57DE740C"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LCDA. ERIKA NÚÑEZ GUTIÉRREZ” (Sic).</w:t>
      </w:r>
    </w:p>
    <w:p w14:paraId="0C16CD20" w14:textId="77777777" w:rsidR="002A76B7" w:rsidRPr="007D1383" w:rsidRDefault="002A76B7">
      <w:pPr>
        <w:spacing w:after="0" w:line="276" w:lineRule="auto"/>
        <w:ind w:right="902"/>
        <w:jc w:val="both"/>
        <w:rPr>
          <w:rFonts w:ascii="Palatino Linotype" w:eastAsia="Palatino Linotype" w:hAnsi="Palatino Linotype" w:cs="Palatino Linotype"/>
          <w:sz w:val="24"/>
          <w:szCs w:val="24"/>
        </w:rPr>
      </w:pPr>
    </w:p>
    <w:p w14:paraId="61C7F327"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adjuntó para tal efecto los archivos electrónicos:</w:t>
      </w:r>
    </w:p>
    <w:p w14:paraId="4EC817A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6D403E80"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i/>
          <w:sz w:val="24"/>
          <w:szCs w:val="24"/>
          <w:u w:val="single"/>
        </w:rPr>
        <w:t>RESOLUCION 02 DECIMA SEPTIMA SES ECTRAORD.pdf</w:t>
      </w:r>
      <w:r w:rsidRPr="007D1383">
        <w:rPr>
          <w:rFonts w:ascii="Palatino Linotype" w:eastAsia="Palatino Linotype" w:hAnsi="Palatino Linotype" w:cs="Palatino Linotype"/>
          <w:sz w:val="24"/>
          <w:szCs w:val="24"/>
        </w:rPr>
        <w:t xml:space="preserve">”: Resolución 02: CTSEMUJS/EXT/017/2024 de fecha veintidós de agosto de dos mil veinticuatro. </w:t>
      </w:r>
    </w:p>
    <w:p w14:paraId="54AAB6B9" w14:textId="77777777" w:rsidR="002A76B7" w:rsidRPr="007D1383" w:rsidRDefault="002A76B7">
      <w:pPr>
        <w:spacing w:after="0" w:line="360" w:lineRule="auto"/>
        <w:ind w:right="51"/>
        <w:jc w:val="both"/>
        <w:rPr>
          <w:rFonts w:ascii="Palatino Linotype" w:eastAsia="Palatino Linotype" w:hAnsi="Palatino Linotype" w:cs="Palatino Linotype"/>
          <w:b/>
          <w:i/>
          <w:sz w:val="24"/>
          <w:szCs w:val="24"/>
          <w:u w:val="single"/>
        </w:rPr>
      </w:pPr>
    </w:p>
    <w:p w14:paraId="3430CBB9"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i/>
          <w:sz w:val="24"/>
          <w:szCs w:val="24"/>
          <w:u w:val="single"/>
        </w:rPr>
        <w:t>CUADRO DE CLASIFICACIÓN 00129.pdf</w:t>
      </w:r>
      <w:r w:rsidRPr="007D1383">
        <w:rPr>
          <w:rFonts w:ascii="Palatino Linotype" w:eastAsia="Palatino Linotype" w:hAnsi="Palatino Linotype" w:cs="Palatino Linotype"/>
          <w:sz w:val="24"/>
          <w:szCs w:val="24"/>
        </w:rPr>
        <w:t xml:space="preserve">”: Cuadro de clasificación de la solicitud 00129/SEMUJS/IP/2024. </w:t>
      </w:r>
    </w:p>
    <w:p w14:paraId="4F043CFE" w14:textId="77777777" w:rsidR="002A76B7" w:rsidRPr="007D1383" w:rsidRDefault="002A76B7">
      <w:pPr>
        <w:spacing w:after="0" w:line="360" w:lineRule="auto"/>
        <w:ind w:right="51"/>
        <w:jc w:val="both"/>
        <w:rPr>
          <w:rFonts w:ascii="Palatino Linotype" w:eastAsia="Palatino Linotype" w:hAnsi="Palatino Linotype" w:cs="Palatino Linotype"/>
          <w:b/>
          <w:i/>
          <w:sz w:val="24"/>
          <w:szCs w:val="24"/>
          <w:u w:val="single"/>
        </w:rPr>
      </w:pPr>
    </w:p>
    <w:p w14:paraId="70A4AC5E"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i/>
          <w:sz w:val="24"/>
          <w:szCs w:val="24"/>
          <w:u w:val="single"/>
        </w:rPr>
        <w:t>ANEXO 1 CURRICULUMS EMPRESAS.pdf</w:t>
      </w:r>
      <w:r w:rsidRPr="007D1383">
        <w:rPr>
          <w:rFonts w:ascii="Palatino Linotype" w:eastAsia="Palatino Linotype" w:hAnsi="Palatino Linotype" w:cs="Palatino Linotype"/>
          <w:sz w:val="24"/>
          <w:szCs w:val="24"/>
        </w:rPr>
        <w:t xml:space="preserve">”: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empresarial de las personas jurídico colectivas participantes en las obras. </w:t>
      </w:r>
    </w:p>
    <w:p w14:paraId="78759904" w14:textId="77777777" w:rsidR="002A76B7" w:rsidRPr="007D1383" w:rsidRDefault="002A76B7">
      <w:pPr>
        <w:spacing w:after="0" w:line="360" w:lineRule="auto"/>
        <w:ind w:right="51"/>
        <w:jc w:val="both"/>
        <w:rPr>
          <w:rFonts w:ascii="Palatino Linotype" w:eastAsia="Palatino Linotype" w:hAnsi="Palatino Linotype" w:cs="Palatino Linotype"/>
          <w:b/>
          <w:i/>
          <w:sz w:val="24"/>
          <w:szCs w:val="24"/>
          <w:u w:val="single"/>
        </w:rPr>
      </w:pPr>
    </w:p>
    <w:p w14:paraId="527C2CDB"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i/>
          <w:sz w:val="24"/>
          <w:szCs w:val="24"/>
          <w:u w:val="single"/>
        </w:rPr>
        <w:t>00129-RESPUESTA-SPH-COORD ADMVA.pdf</w:t>
      </w:r>
      <w:r w:rsidRPr="007D1383">
        <w:rPr>
          <w:rFonts w:ascii="Palatino Linotype" w:eastAsia="Palatino Linotype" w:hAnsi="Palatino Linotype" w:cs="Palatino Linotype"/>
          <w:sz w:val="24"/>
          <w:szCs w:val="24"/>
        </w:rPr>
        <w:t>”: Oficio No. 22700004000000S/5866/2024, signado por la Coordinadora Administrativa, mediante el cual señala:</w:t>
      </w:r>
    </w:p>
    <w:p w14:paraId="00D1B7E3"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Sobre la fecha y detalles de la licitación para la realización de las obras:</w:t>
      </w:r>
    </w:p>
    <w:p w14:paraId="08882947"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4" w:name="_heading=h.2et92p0" w:colFirst="0" w:colLast="0"/>
      <w:bookmarkEnd w:id="4"/>
      <w:r w:rsidRPr="007D1383">
        <w:rPr>
          <w:rFonts w:ascii="Palatino Linotype" w:eastAsia="Palatino Linotype" w:hAnsi="Palatino Linotype" w:cs="Palatino Linotype"/>
          <w:sz w:val="24"/>
          <w:szCs w:val="24"/>
        </w:rPr>
        <w:t xml:space="preserve">El procedimiento adquisitivo para la contratación del servicio de diseño e impartición de 22 obras de teatro, no se realizó a través de una licitación pública, se </w:t>
      </w:r>
      <w:r w:rsidRPr="007D1383">
        <w:rPr>
          <w:rFonts w:ascii="Palatino Linotype" w:eastAsia="Palatino Linotype" w:hAnsi="Palatino Linotype" w:cs="Palatino Linotype"/>
          <w:sz w:val="24"/>
          <w:szCs w:val="24"/>
        </w:rPr>
        <w:lastRenderedPageBreak/>
        <w:t>llevó mediante una adjudicación directa mixta No. AA-74-058-915002994-N-8-2024, se inició con la presentación y apertura de cotizaciones el día 28 de junio de 2024.</w:t>
      </w:r>
    </w:p>
    <w:p w14:paraId="6AA449E8"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3BB428B4"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¿Por qué medio la ciudadanía se enteró?</w:t>
      </w:r>
    </w:p>
    <w:p w14:paraId="098A5444"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5" w:name="_heading=h.tyjcwt" w:colFirst="0" w:colLast="0"/>
      <w:bookmarkEnd w:id="5"/>
      <w:r w:rsidRPr="007D1383">
        <w:rPr>
          <w:rFonts w:ascii="Palatino Linotype" w:eastAsia="Palatino Linotype" w:hAnsi="Palatino Linotype" w:cs="Palatino Linotype"/>
          <w:sz w:val="24"/>
          <w:szCs w:val="24"/>
        </w:rPr>
        <w:t>El proceso adquisitivo se publicó en el sistema electrónico de información pública gubernamental federal sobre adquisiciones, arrendamientos y servicios denominado “CompraNet”.</w:t>
      </w:r>
    </w:p>
    <w:p w14:paraId="1ACF6423"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141455E"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¿Quiénes participaron y su CV?</w:t>
      </w:r>
    </w:p>
    <w:p w14:paraId="600EF8E5"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6" w:name="_heading=h.3dy6vkm" w:colFirst="0" w:colLast="0"/>
      <w:bookmarkEnd w:id="6"/>
      <w:r w:rsidRPr="007D1383">
        <w:rPr>
          <w:rFonts w:ascii="Palatino Linotype" w:eastAsia="Palatino Linotype" w:hAnsi="Palatino Linotype" w:cs="Palatino Linotype"/>
          <w:sz w:val="24"/>
          <w:szCs w:val="24"/>
        </w:rPr>
        <w:t>ASOCIACIÓN PARA EL DESARROLLO EMPRESARIAL LF S.C.</w:t>
      </w:r>
    </w:p>
    <w:p w14:paraId="396F498D"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CENTRO DE EVALUACIÓN EDUCATIVO Y COMPETENCIA PROFESIONALES DE HIDALGO CEECPH S.C.</w:t>
      </w:r>
    </w:p>
    <w:p w14:paraId="7D657053"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GRUPO INTERSECCIONAL XIRK S.A.S.</w:t>
      </w:r>
    </w:p>
    <w:p w14:paraId="379312A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03F0C66"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Precisando que se remiten sus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Vitae. </w:t>
      </w:r>
    </w:p>
    <w:p w14:paraId="2DCB715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0C7A045"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 quién se asignó?</w:t>
      </w:r>
    </w:p>
    <w:p w14:paraId="355C6177"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7" w:name="_heading=h.1t3h5sf" w:colFirst="0" w:colLast="0"/>
      <w:bookmarkEnd w:id="7"/>
      <w:r w:rsidRPr="007D1383">
        <w:rPr>
          <w:rFonts w:ascii="Palatino Linotype" w:eastAsia="Palatino Linotype" w:hAnsi="Palatino Linotype" w:cs="Palatino Linotype"/>
          <w:sz w:val="24"/>
          <w:szCs w:val="24"/>
        </w:rPr>
        <w:t>Se emitió el fallo a favor de GRUPO INTERSECCIONAL XIRK S.A.S.</w:t>
      </w:r>
    </w:p>
    <w:p w14:paraId="3413E960"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AECC4DD"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¿Cuáles fueron los criterios? </w:t>
      </w:r>
    </w:p>
    <w:p w14:paraId="68494CF1"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bookmarkStart w:id="8" w:name="_heading=h.4d34og8" w:colFirst="0" w:colLast="0"/>
      <w:bookmarkEnd w:id="8"/>
      <w:r w:rsidRPr="007D1383">
        <w:rPr>
          <w:rFonts w:ascii="Palatino Linotype" w:eastAsia="Palatino Linotype" w:hAnsi="Palatino Linotype" w:cs="Palatino Linotype"/>
          <w:sz w:val="24"/>
          <w:szCs w:val="24"/>
        </w:rPr>
        <w:t xml:space="preserve">Los criterios para la contratación fueron conforme a lo establecido por el artículo 51, párrafo segundo del Reglamento de la Ley de Adquisiciones, Arrendamientos y Servicios del Sector Público, mismo que cito. </w:t>
      </w:r>
    </w:p>
    <w:p w14:paraId="5F19A0BA"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w:t>
      </w:r>
      <w:r w:rsidRPr="007D1383">
        <w:rPr>
          <w:rFonts w:ascii="Palatino Linotype" w:eastAsia="Palatino Linotype" w:hAnsi="Palatino Linotype" w:cs="Palatino Linotype"/>
          <w:b/>
          <w:i/>
          <w:sz w:val="24"/>
          <w:szCs w:val="24"/>
          <w:u w:val="single"/>
        </w:rPr>
        <w:t>ACTA DECIMA SEPTIMA SES EXTRAORD.pdf</w:t>
      </w:r>
      <w:r w:rsidRPr="007D1383">
        <w:rPr>
          <w:rFonts w:ascii="Palatino Linotype" w:eastAsia="Palatino Linotype" w:hAnsi="Palatino Linotype" w:cs="Palatino Linotype"/>
          <w:sz w:val="24"/>
          <w:szCs w:val="24"/>
        </w:rPr>
        <w:t xml:space="preserve">”: Acta de la Décima Séptima Sesión Extraordinaria del Comité de Transparencia, de fecha veintidós de agosto de dos mil veinticuatro, en donde su tercer punto orden del día se aprueba la clasificación de la información como confidencial a la solicitud de información 00129/SEMUJS/IP/2024. </w:t>
      </w:r>
    </w:p>
    <w:p w14:paraId="7537DDFA" w14:textId="77777777" w:rsidR="002A76B7" w:rsidRPr="007D1383" w:rsidRDefault="002A76B7">
      <w:pPr>
        <w:spacing w:after="0" w:line="360" w:lineRule="auto"/>
        <w:ind w:right="51"/>
        <w:jc w:val="both"/>
        <w:rPr>
          <w:rFonts w:ascii="Palatino Linotype" w:eastAsia="Palatino Linotype" w:hAnsi="Palatino Linotype" w:cs="Palatino Linotype"/>
          <w:b/>
          <w:i/>
          <w:sz w:val="24"/>
          <w:szCs w:val="24"/>
          <w:u w:val="single"/>
        </w:rPr>
      </w:pPr>
    </w:p>
    <w:p w14:paraId="7B4BBAED"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i/>
          <w:sz w:val="24"/>
          <w:szCs w:val="24"/>
          <w:u w:val="single"/>
        </w:rPr>
        <w:t>00129-UNIDAD DE TRANSPARENCIA SEMUJERES.pdf</w:t>
      </w:r>
      <w:r w:rsidRPr="007D1383">
        <w:rPr>
          <w:rFonts w:ascii="Palatino Linotype" w:eastAsia="Palatino Linotype" w:hAnsi="Palatino Linotype" w:cs="Palatino Linotype"/>
          <w:sz w:val="24"/>
          <w:szCs w:val="24"/>
        </w:rPr>
        <w:t xml:space="preserve">”: </w:t>
      </w:r>
    </w:p>
    <w:p w14:paraId="234F00B9"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8DB7EF8"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Oficio No. SM/UT/0570/2024 de fecha cinco de julio de dos mil veinticuatro, signado por la Titular de la Unidad de Transparencia, mediante el cual señala que adjunta copia digitalizada de los documentos descritos con anterioridad.</w:t>
      </w:r>
    </w:p>
    <w:p w14:paraId="07A2A7B2"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0608029A" w14:textId="77777777" w:rsidR="002A76B7" w:rsidRPr="007D1383" w:rsidRDefault="008F7530">
      <w:pPr>
        <w:spacing w:after="0" w:line="360" w:lineRule="auto"/>
        <w:ind w:right="-234"/>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3. DEL RECURSO DE REVISIÓN. </w:t>
      </w:r>
      <w:r w:rsidRPr="007D1383">
        <w:rPr>
          <w:rFonts w:ascii="Palatino Linotype" w:eastAsia="Palatino Linotype" w:hAnsi="Palatino Linotype" w:cs="Palatino Linotype"/>
          <w:sz w:val="24"/>
          <w:szCs w:val="24"/>
        </w:rPr>
        <w:t>Inconforme con la respuesta del</w:t>
      </w:r>
      <w:r w:rsidRPr="007D1383">
        <w:rPr>
          <w:rFonts w:ascii="Palatino Linotype" w:eastAsia="Palatino Linotype" w:hAnsi="Palatino Linotype" w:cs="Palatino Linotype"/>
          <w:b/>
          <w:sz w:val="24"/>
          <w:szCs w:val="24"/>
        </w:rPr>
        <w:t xml:space="preserve"> SUJETO OBLIGADO</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en fecha tres de septiembre de dos mil veinticuatro,</w:t>
      </w:r>
      <w:r w:rsidRPr="007D1383">
        <w:rPr>
          <w:rFonts w:ascii="Palatino Linotype" w:eastAsia="Palatino Linotype" w:hAnsi="Palatino Linotype" w:cs="Palatino Linotype"/>
          <w:b/>
          <w:sz w:val="24"/>
          <w:szCs w:val="24"/>
        </w:rPr>
        <w:t xml:space="preserve"> LA PARTE RECURRENTE </w:t>
      </w:r>
      <w:r w:rsidRPr="007D1383">
        <w:rPr>
          <w:rFonts w:ascii="Palatino Linotype" w:eastAsia="Palatino Linotype" w:hAnsi="Palatino Linotype" w:cs="Palatino Linotype"/>
          <w:sz w:val="24"/>
          <w:szCs w:val="24"/>
        </w:rPr>
        <w:t>interpuso el recurso de revisión, el cual fue registrado</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 xml:space="preserve">en el sistema electrónico con el expediente número </w:t>
      </w:r>
      <w:r w:rsidRPr="007D1383">
        <w:rPr>
          <w:rFonts w:ascii="Palatino Linotype" w:eastAsia="Palatino Linotype" w:hAnsi="Palatino Linotype" w:cs="Palatino Linotype"/>
          <w:b/>
          <w:sz w:val="24"/>
          <w:szCs w:val="24"/>
        </w:rPr>
        <w:t>05309/INFOEM/IP/RR/2024</w:t>
      </w:r>
      <w:r w:rsidRPr="007D1383">
        <w:rPr>
          <w:rFonts w:ascii="Palatino Linotype" w:eastAsia="Palatino Linotype" w:hAnsi="Palatino Linotype" w:cs="Palatino Linotype"/>
          <w:sz w:val="24"/>
          <w:szCs w:val="24"/>
        </w:rPr>
        <w:t>, en el cual manifiesta, lo siguiente:</w:t>
      </w:r>
    </w:p>
    <w:p w14:paraId="7C58847D" w14:textId="77777777" w:rsidR="002A76B7" w:rsidRPr="007D1383" w:rsidRDefault="002A76B7">
      <w:pPr>
        <w:spacing w:after="0" w:line="360" w:lineRule="auto"/>
        <w:ind w:right="-234"/>
        <w:jc w:val="both"/>
        <w:rPr>
          <w:rFonts w:ascii="Palatino Linotype" w:eastAsia="Palatino Linotype" w:hAnsi="Palatino Linotype" w:cs="Palatino Linotype"/>
          <w:sz w:val="24"/>
          <w:szCs w:val="24"/>
        </w:rPr>
      </w:pPr>
    </w:p>
    <w:p w14:paraId="6ADFB89A" w14:textId="77777777" w:rsidR="002A76B7" w:rsidRPr="007D1383" w:rsidRDefault="008F753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D1383">
        <w:rPr>
          <w:rFonts w:ascii="Palatino Linotype" w:eastAsia="Palatino Linotype" w:hAnsi="Palatino Linotype" w:cs="Palatino Linotype"/>
          <w:b/>
          <w:i/>
          <w:sz w:val="24"/>
          <w:szCs w:val="24"/>
        </w:rPr>
        <w:t>Acto Impugnado:</w:t>
      </w:r>
    </w:p>
    <w:p w14:paraId="23B9DC44" w14:textId="77777777" w:rsidR="002A76B7" w:rsidRPr="007D1383" w:rsidRDefault="008F7530">
      <w:pPr>
        <w:tabs>
          <w:tab w:val="left" w:pos="8222"/>
        </w:tabs>
        <w:spacing w:before="240" w:after="240" w:line="276" w:lineRule="auto"/>
        <w:ind w:left="851" w:right="616"/>
        <w:jc w:val="both"/>
        <w:rPr>
          <w:rFonts w:ascii="Palatino Linotype" w:eastAsia="Palatino Linotype" w:hAnsi="Palatino Linotype" w:cs="Palatino Linotype"/>
          <w:i/>
        </w:rPr>
      </w:pPr>
      <w:r w:rsidRPr="007D1383">
        <w:rPr>
          <w:rFonts w:ascii="Palatino Linotype" w:eastAsia="Palatino Linotype" w:hAnsi="Palatino Linotype" w:cs="Palatino Linotype"/>
          <w:i/>
        </w:rPr>
        <w:t>“La respuesta otorgada por la Secretaría de las Mujeres no es clara, está incompleta y no hay manera de comprobar que esta sea verídica.” [sic]</w:t>
      </w:r>
    </w:p>
    <w:p w14:paraId="2C43DAF8" w14:textId="77777777" w:rsidR="002A76B7" w:rsidRPr="007D1383" w:rsidRDefault="008F753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D1383">
        <w:rPr>
          <w:rFonts w:ascii="Palatino Linotype" w:eastAsia="Palatino Linotype" w:hAnsi="Palatino Linotype" w:cs="Palatino Linotype"/>
          <w:b/>
          <w:i/>
          <w:sz w:val="24"/>
          <w:szCs w:val="24"/>
        </w:rPr>
        <w:t>Razones o Motivos de Inconformidad</w:t>
      </w:r>
      <w:r w:rsidRPr="007D1383">
        <w:rPr>
          <w:rFonts w:ascii="Palatino Linotype" w:eastAsia="Palatino Linotype" w:hAnsi="Palatino Linotype" w:cs="Palatino Linotype"/>
          <w:i/>
          <w:sz w:val="24"/>
          <w:szCs w:val="24"/>
        </w:rPr>
        <w:t>:</w:t>
      </w:r>
    </w:p>
    <w:p w14:paraId="423433C3" w14:textId="77777777" w:rsidR="002A76B7" w:rsidRPr="007D1383" w:rsidRDefault="008F7530">
      <w:pPr>
        <w:spacing w:before="240" w:after="240" w:line="276" w:lineRule="auto"/>
        <w:ind w:left="851" w:right="616"/>
        <w:jc w:val="both"/>
        <w:rPr>
          <w:rFonts w:ascii="Palatino Linotype" w:eastAsia="Palatino Linotype" w:hAnsi="Palatino Linotype" w:cs="Palatino Linotype"/>
        </w:rPr>
      </w:pPr>
      <w:r w:rsidRPr="007D1383">
        <w:rPr>
          <w:rFonts w:ascii="Palatino Linotype" w:eastAsia="Palatino Linotype" w:hAnsi="Palatino Linotype" w:cs="Palatino Linotype"/>
          <w:sz w:val="24"/>
          <w:szCs w:val="24"/>
        </w:rPr>
        <w:t xml:space="preserve">No refirió razones o motivos de inconformidad </w:t>
      </w:r>
    </w:p>
    <w:p w14:paraId="67B2873F" w14:textId="77777777" w:rsidR="002A76B7" w:rsidRPr="007D1383" w:rsidRDefault="008F7530">
      <w:pPr>
        <w:spacing w:before="240" w:after="0" w:line="360" w:lineRule="auto"/>
        <w:ind w:right="51"/>
        <w:contextualSpacing/>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lastRenderedPageBreak/>
        <w:t>LA PARTE RECURRENTE</w:t>
      </w:r>
      <w:r w:rsidRPr="007D1383">
        <w:rPr>
          <w:rFonts w:ascii="Palatino Linotype" w:eastAsia="Palatino Linotype" w:hAnsi="Palatino Linotype" w:cs="Palatino Linotype"/>
          <w:sz w:val="24"/>
          <w:szCs w:val="24"/>
        </w:rPr>
        <w:t xml:space="preserve"> adjuntó el archivo electrónico “</w:t>
      </w:r>
      <w:r w:rsidRPr="007D1383">
        <w:rPr>
          <w:rFonts w:ascii="Palatino Linotype" w:eastAsia="Palatino Linotype" w:hAnsi="Palatino Linotype" w:cs="Palatino Linotype"/>
          <w:b/>
          <w:i/>
          <w:sz w:val="24"/>
          <w:szCs w:val="24"/>
          <w:u w:val="single"/>
        </w:rPr>
        <w:t>Archivo1725402704157null</w:t>
      </w:r>
      <w:r w:rsidRPr="007D1383">
        <w:rPr>
          <w:rFonts w:ascii="Palatino Linotype" w:eastAsia="Palatino Linotype" w:hAnsi="Palatino Linotype" w:cs="Palatino Linotype"/>
          <w:sz w:val="24"/>
          <w:szCs w:val="24"/>
        </w:rPr>
        <w:t xml:space="preserve">” del cual no se advierte contenido. </w:t>
      </w:r>
    </w:p>
    <w:p w14:paraId="46FB59B2" w14:textId="77777777" w:rsidR="002A76B7" w:rsidRPr="007D1383" w:rsidRDefault="002A76B7">
      <w:pPr>
        <w:spacing w:before="240" w:after="0" w:line="360" w:lineRule="auto"/>
        <w:ind w:right="51"/>
        <w:contextualSpacing/>
        <w:jc w:val="both"/>
        <w:rPr>
          <w:rFonts w:ascii="Palatino Linotype" w:eastAsia="Palatino Linotype" w:hAnsi="Palatino Linotype" w:cs="Palatino Linotype"/>
          <w:sz w:val="24"/>
          <w:szCs w:val="24"/>
        </w:rPr>
      </w:pPr>
    </w:p>
    <w:p w14:paraId="33ACEB64" w14:textId="77777777" w:rsidR="002A76B7" w:rsidRPr="007D1383" w:rsidRDefault="008F7530">
      <w:pPr>
        <w:spacing w:after="0" w:line="360" w:lineRule="auto"/>
        <w:contextualSpacing/>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4. TURNO. </w:t>
      </w:r>
      <w:r w:rsidRPr="007D138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D1383">
        <w:rPr>
          <w:rFonts w:ascii="Palatino Linotype" w:eastAsia="Palatino Linotype" w:hAnsi="Palatino Linotype" w:cs="Palatino Linotype"/>
          <w:b/>
          <w:sz w:val="24"/>
          <w:szCs w:val="24"/>
        </w:rPr>
        <w:t xml:space="preserve">Guadalupe Ramírez Peña, </w:t>
      </w:r>
      <w:r w:rsidRPr="007D1383">
        <w:rPr>
          <w:rFonts w:ascii="Palatino Linotype" w:eastAsia="Palatino Linotype" w:hAnsi="Palatino Linotype" w:cs="Palatino Linotype"/>
          <w:sz w:val="24"/>
          <w:szCs w:val="24"/>
        </w:rPr>
        <w:t xml:space="preserve">a efecto de que analizara sobre su admisión o su </w:t>
      </w:r>
      <w:proofErr w:type="spellStart"/>
      <w:r w:rsidRPr="007D1383">
        <w:rPr>
          <w:rFonts w:ascii="Palatino Linotype" w:eastAsia="Palatino Linotype" w:hAnsi="Palatino Linotype" w:cs="Palatino Linotype"/>
          <w:sz w:val="24"/>
          <w:szCs w:val="24"/>
        </w:rPr>
        <w:t>desechamiento</w:t>
      </w:r>
      <w:proofErr w:type="spellEnd"/>
      <w:r w:rsidRPr="007D1383">
        <w:rPr>
          <w:rFonts w:ascii="Palatino Linotype" w:eastAsia="Palatino Linotype" w:hAnsi="Palatino Linotype" w:cs="Palatino Linotype"/>
          <w:sz w:val="24"/>
          <w:szCs w:val="24"/>
        </w:rPr>
        <w:t>.</w:t>
      </w:r>
    </w:p>
    <w:p w14:paraId="0BCF1A1F" w14:textId="77777777" w:rsidR="002A76B7" w:rsidRPr="007D1383" w:rsidRDefault="008F7530">
      <w:pPr>
        <w:spacing w:after="0" w:line="360" w:lineRule="auto"/>
        <w:ind w:right="51"/>
        <w:contextualSpacing/>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 </w:t>
      </w:r>
    </w:p>
    <w:p w14:paraId="2329D2FB" w14:textId="77777777" w:rsidR="002A76B7" w:rsidRPr="007D1383" w:rsidRDefault="008F7530">
      <w:pPr>
        <w:spacing w:after="0" w:line="360" w:lineRule="auto"/>
        <w:contextualSpacing/>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5. ADMISIÓN DEL RECURSO DE REVISIÓN.</w:t>
      </w:r>
      <w:r w:rsidRPr="007D1383">
        <w:rPr>
          <w:rFonts w:ascii="Palatino Linotype" w:eastAsia="Palatino Linotype" w:hAnsi="Palatino Linotype" w:cs="Palatino Linotype"/>
          <w:sz w:val="24"/>
          <w:szCs w:val="24"/>
        </w:rPr>
        <w:t xml:space="preserve"> Con fecha</w:t>
      </w:r>
      <w:r w:rsidRPr="007D1383">
        <w:rPr>
          <w:rFonts w:ascii="Palatino Linotype" w:eastAsia="Palatino Linotype" w:hAnsi="Palatino Linotype" w:cs="Palatino Linotype"/>
          <w:b/>
          <w:sz w:val="24"/>
          <w:szCs w:val="24"/>
        </w:rPr>
        <w:t xml:space="preserve"> seis de septiembre de dos mil veinticuatro</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D1383">
        <w:rPr>
          <w:rFonts w:ascii="Palatino Linotype" w:eastAsia="Palatino Linotype" w:hAnsi="Palatino Linotype" w:cs="Palatino Linotype"/>
          <w:b/>
          <w:sz w:val="24"/>
          <w:szCs w:val="24"/>
        </w:rPr>
        <w:t xml:space="preserve">SUJETO OBLIGADO </w:t>
      </w:r>
      <w:r w:rsidRPr="007D1383">
        <w:rPr>
          <w:rFonts w:ascii="Palatino Linotype" w:eastAsia="Palatino Linotype" w:hAnsi="Palatino Linotype" w:cs="Palatino Linotype"/>
          <w:sz w:val="24"/>
          <w:szCs w:val="24"/>
        </w:rPr>
        <w:t>presentará su informe justificado.</w:t>
      </w:r>
    </w:p>
    <w:p w14:paraId="168FB81C"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296C43E"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6. MANIFESTACIONES.</w:t>
      </w:r>
      <w:r w:rsidRPr="007D1383">
        <w:rPr>
          <w:rFonts w:ascii="Palatino Linotype" w:eastAsia="Palatino Linotype" w:hAnsi="Palatino Linotype" w:cs="Palatino Linotype"/>
          <w:sz w:val="24"/>
          <w:szCs w:val="24"/>
        </w:rPr>
        <w:t xml:space="preserve"> Con fecha once de septiembre de dos mil veinticuatro se recibió, a través del Sistema de Acceso a la Información Mexiquense (SAIMEX), el informe justificado del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 xml:space="preserve">a través del siguiente archivo electrónico: </w:t>
      </w:r>
    </w:p>
    <w:p w14:paraId="0CF34F99"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6D416896"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w:t>
      </w:r>
      <w:r w:rsidRPr="007D1383">
        <w:rPr>
          <w:rFonts w:ascii="Palatino Linotype" w:eastAsia="Palatino Linotype" w:hAnsi="Palatino Linotype" w:cs="Palatino Linotype"/>
          <w:b/>
          <w:i/>
          <w:sz w:val="24"/>
          <w:szCs w:val="24"/>
          <w:u w:val="single"/>
        </w:rPr>
        <w:t>00129 INFORME JUSTIFICADO.pdf</w:t>
      </w:r>
      <w:r w:rsidRPr="007D1383">
        <w:rPr>
          <w:rFonts w:ascii="Palatino Linotype" w:eastAsia="Palatino Linotype" w:hAnsi="Palatino Linotype" w:cs="Palatino Linotype"/>
          <w:sz w:val="24"/>
          <w:szCs w:val="24"/>
        </w:rPr>
        <w:t xml:space="preserve">”: Escrito de fecha once de septiembre de dos mil veinticuatro, signado por la Titular de la Unidad de Transparencia, mediante el cual describe las constancias que obran en el SAIMEX, ratificando en términos generales su respuesta inicial. </w:t>
      </w:r>
    </w:p>
    <w:p w14:paraId="015631B1"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62BCF5B1"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Documento que se puso a la vista de </w:t>
      </w:r>
      <w:r w:rsidRPr="007D1383">
        <w:rPr>
          <w:rFonts w:ascii="Palatino Linotype" w:eastAsia="Palatino Linotype" w:hAnsi="Palatino Linotype" w:cs="Palatino Linotype"/>
          <w:b/>
          <w:sz w:val="24"/>
          <w:szCs w:val="24"/>
        </w:rPr>
        <w:t xml:space="preserve">LA PARTE RECURRENTE </w:t>
      </w:r>
      <w:r w:rsidRPr="007D1383">
        <w:rPr>
          <w:rFonts w:ascii="Palatino Linotype" w:eastAsia="Palatino Linotype" w:hAnsi="Palatino Linotype" w:cs="Palatino Linotype"/>
          <w:sz w:val="24"/>
          <w:szCs w:val="24"/>
        </w:rPr>
        <w:t xml:space="preserve">en fecha diez de octubre de dos mil veinticuatro, mismo que resultó omiso de emitir sus manifestaciones conforme a derecho le corresponde. </w:t>
      </w:r>
    </w:p>
    <w:p w14:paraId="062A6F7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5028684"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7. AMPLIACIÓN DEL TÉRMINO PARA RESOLVER</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rPr>
        <w:t xml:space="preserve"> </w:t>
      </w:r>
      <w:r w:rsidRPr="007D1383">
        <w:rPr>
          <w:rFonts w:ascii="Palatino Linotype" w:eastAsia="Palatino Linotype" w:hAnsi="Palatino Linotype" w:cs="Palatino Linotype"/>
          <w:sz w:val="24"/>
          <w:szCs w:val="24"/>
        </w:rPr>
        <w:t>El dieciséis de octubre de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6CEF3378"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F96614E"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8. CIERRE DE INSTRUCCIÓN. </w:t>
      </w:r>
      <w:r w:rsidRPr="007D1383">
        <w:rPr>
          <w:rFonts w:ascii="Palatino Linotype" w:eastAsia="Palatino Linotype" w:hAnsi="Palatino Linotype" w:cs="Palatino Linotype"/>
          <w:sz w:val="24"/>
          <w:szCs w:val="24"/>
        </w:rPr>
        <w:t>El dieciséis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71FB797"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6D2F5EB"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76311EF2"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57D1D4D" w14:textId="77777777" w:rsidR="002A76B7" w:rsidRPr="007D1383" w:rsidRDefault="008F7530">
      <w:pPr>
        <w:widowControl w:val="0"/>
        <w:spacing w:after="0" w:line="360" w:lineRule="auto"/>
        <w:jc w:val="center"/>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C O N S I D E R A N D O S</w:t>
      </w:r>
    </w:p>
    <w:p w14:paraId="3BDA08B0" w14:textId="77777777" w:rsidR="002A76B7" w:rsidRPr="007D1383" w:rsidRDefault="002A76B7">
      <w:pPr>
        <w:widowControl w:val="0"/>
        <w:spacing w:after="0" w:line="360" w:lineRule="auto"/>
        <w:jc w:val="center"/>
        <w:rPr>
          <w:rFonts w:ascii="Palatino Linotype" w:eastAsia="Palatino Linotype" w:hAnsi="Palatino Linotype" w:cs="Palatino Linotype"/>
          <w:b/>
          <w:sz w:val="24"/>
          <w:szCs w:val="24"/>
        </w:rPr>
      </w:pPr>
    </w:p>
    <w:p w14:paraId="368C0920"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PRIMERO. COMPETENCIA.</w:t>
      </w:r>
      <w:r w:rsidRPr="007D138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546EB84"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7CC5E717"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SEGUNDO. OPORTUNIDAD Y PROCEDIBILIDAD DEL RECURSO DE REVISIÓN.  </w:t>
      </w:r>
      <w:r w:rsidRPr="007D1383">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7D1383">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4F3F49C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9FE2AD6"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D1383">
        <w:rPr>
          <w:rFonts w:ascii="Palatino Linotype" w:eastAsia="Palatino Linotype" w:hAnsi="Palatino Linotype" w:cs="Palatino Linotype"/>
          <w:b/>
          <w:sz w:val="24"/>
          <w:szCs w:val="24"/>
        </w:rPr>
        <w:t xml:space="preserve"> EL SUJETO OBLIGADO </w:t>
      </w:r>
      <w:r w:rsidRPr="007D1383">
        <w:rPr>
          <w:rFonts w:ascii="Palatino Linotype" w:eastAsia="Palatino Linotype" w:hAnsi="Palatino Linotype" w:cs="Palatino Linotype"/>
          <w:sz w:val="24"/>
          <w:szCs w:val="24"/>
        </w:rPr>
        <w:t xml:space="preserve">emitió la respuesta, toda vez que esta fue pronunciada el día veintitrés de agosto del año dos mil veinticuatro, mientras que </w:t>
      </w:r>
      <w:r w:rsidRPr="007D1383">
        <w:rPr>
          <w:rFonts w:ascii="Palatino Linotype" w:eastAsia="Palatino Linotype" w:hAnsi="Palatino Linotype" w:cs="Palatino Linotype"/>
          <w:b/>
          <w:sz w:val="24"/>
          <w:szCs w:val="24"/>
        </w:rPr>
        <w:t>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xml:space="preserve"> interpuso el recurso de revisión en fecha tres de septiembres de dos mil veinticuatro, es decir, al séptimo día hábil de haber recibido la respuesta. </w:t>
      </w:r>
    </w:p>
    <w:p w14:paraId="36BE41E3"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3BF27BC1"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7D1383">
        <w:rPr>
          <w:rFonts w:ascii="Palatino Linotype" w:eastAsia="Palatino Linotype" w:hAnsi="Palatino Linotype" w:cs="Palatino Linotype"/>
          <w:b/>
          <w:sz w:val="24"/>
          <w:szCs w:val="24"/>
        </w:rPr>
        <w:t>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82703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7186E77" w14:textId="77777777" w:rsidR="002A76B7" w:rsidRPr="007D1383" w:rsidRDefault="008F7530">
      <w:pPr>
        <w:spacing w:after="0" w:line="276" w:lineRule="auto"/>
        <w:ind w:left="851" w:right="902"/>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F527557" w14:textId="77777777" w:rsidR="002A76B7" w:rsidRPr="007D1383" w:rsidRDefault="002A76B7">
      <w:pPr>
        <w:spacing w:after="0" w:line="360" w:lineRule="auto"/>
        <w:ind w:left="851" w:right="902"/>
        <w:jc w:val="both"/>
        <w:rPr>
          <w:rFonts w:ascii="Palatino Linotype" w:eastAsia="Palatino Linotype" w:hAnsi="Palatino Linotype" w:cs="Palatino Linotype"/>
          <w:sz w:val="24"/>
          <w:szCs w:val="24"/>
        </w:rPr>
      </w:pPr>
    </w:p>
    <w:p w14:paraId="296C6798" w14:textId="77777777" w:rsidR="002A76B7" w:rsidRPr="007D1383" w:rsidRDefault="008F7530">
      <w:pPr>
        <w:spacing w:after="0" w:line="360" w:lineRule="auto"/>
        <w:jc w:val="both"/>
        <w:rPr>
          <w:rFonts w:ascii="Palatino Linotype" w:eastAsia="Palatino Linotype" w:hAnsi="Palatino Linotype" w:cs="Palatino Linotype"/>
          <w:b/>
          <w:sz w:val="24"/>
          <w:szCs w:val="24"/>
        </w:rPr>
      </w:pPr>
      <w:r w:rsidRPr="007D1383">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D1383">
        <w:rPr>
          <w:rFonts w:ascii="Palatino Linotype" w:eastAsia="Palatino Linotype" w:hAnsi="Palatino Linotype" w:cs="Palatino Linotype"/>
          <w:b/>
          <w:sz w:val="24"/>
          <w:szCs w:val="24"/>
        </w:rPr>
        <w:t xml:space="preserve">EL SAIMEX.  </w:t>
      </w:r>
    </w:p>
    <w:p w14:paraId="3ECEF5A8"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24B2F3CB" w14:textId="77777777" w:rsidR="002A76B7" w:rsidRPr="007D1383" w:rsidRDefault="008F753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Finalmente, resulta procedente la interposición del recurso, según lo aducido por </w:t>
      </w:r>
      <w:r w:rsidRPr="007D1383">
        <w:rPr>
          <w:rFonts w:ascii="Palatino Linotype" w:eastAsia="Palatino Linotype" w:hAnsi="Palatino Linotype" w:cs="Palatino Linotype"/>
          <w:b/>
          <w:sz w:val="24"/>
          <w:szCs w:val="24"/>
        </w:rPr>
        <w:t>LA PARTE RECURRENTE</w:t>
      </w:r>
      <w:r w:rsidRPr="007D1383">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003F6A59" w14:textId="77777777" w:rsidR="002A76B7" w:rsidRPr="007D1383" w:rsidRDefault="002A76B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BDF8345" w14:textId="77777777" w:rsidR="002A76B7" w:rsidRPr="007D1383" w:rsidRDefault="008F753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179</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El recurso de revisión</w:t>
      </w:r>
      <w:r w:rsidRPr="007D138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D1383">
        <w:rPr>
          <w:rFonts w:ascii="Palatino Linotype" w:eastAsia="Palatino Linotype" w:hAnsi="Palatino Linotype" w:cs="Palatino Linotype"/>
          <w:b/>
          <w:i/>
        </w:rPr>
        <w:t>, y procederá en contra de las siguientes causas</w:t>
      </w:r>
      <w:r w:rsidRPr="007D1383">
        <w:rPr>
          <w:rFonts w:ascii="Palatino Linotype" w:eastAsia="Palatino Linotype" w:hAnsi="Palatino Linotype" w:cs="Palatino Linotype"/>
          <w:i/>
        </w:rPr>
        <w:t>:</w:t>
      </w:r>
    </w:p>
    <w:p w14:paraId="68BBA49D" w14:textId="77777777" w:rsidR="002A76B7" w:rsidRPr="007D1383" w:rsidRDefault="008F753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01A70C42" w14:textId="77777777" w:rsidR="002A76B7" w:rsidRPr="007D1383" w:rsidRDefault="008F753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V. La entrega de información incompleta;</w:t>
      </w:r>
      <w:r w:rsidRPr="007D1383">
        <w:rPr>
          <w:rFonts w:ascii="Palatino Linotype" w:eastAsia="Palatino Linotype" w:hAnsi="Palatino Linotype" w:cs="Palatino Linotype"/>
          <w:i/>
        </w:rPr>
        <w:t>”</w:t>
      </w:r>
    </w:p>
    <w:p w14:paraId="008DDEB4"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DA53EA3"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TERCERO. MATERIA DE LA REVISIÓN. </w:t>
      </w:r>
      <w:r w:rsidRPr="007D138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7D1383">
        <w:rPr>
          <w:rFonts w:ascii="Palatino Linotype" w:eastAsia="Palatino Linotype" w:hAnsi="Palatino Linotype" w:cs="Palatino Linotype"/>
          <w:b/>
          <w:sz w:val="24"/>
          <w:szCs w:val="24"/>
        </w:rPr>
        <w:t>EL</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 xml:space="preserve"> satisface el derecho de acceso a la información pública de </w:t>
      </w:r>
      <w:r w:rsidRPr="007D1383">
        <w:rPr>
          <w:rFonts w:ascii="Palatino Linotype" w:eastAsia="Palatino Linotype" w:hAnsi="Palatino Linotype" w:cs="Palatino Linotype"/>
          <w:b/>
          <w:sz w:val="24"/>
          <w:szCs w:val="24"/>
        </w:rPr>
        <w:t>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o en su defecto, en caso de ser procedente, ordenar la entrega de información.</w:t>
      </w:r>
    </w:p>
    <w:p w14:paraId="2760CEBD"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7E7F9E2"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lastRenderedPageBreak/>
        <w:t xml:space="preserve">CUARTO. ESTUDIO Y RESOLUCIÓN DEL ASUNTO.  </w:t>
      </w:r>
      <w:r w:rsidRPr="007D138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96A290C"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8B571F2" w14:textId="77777777" w:rsidR="002A76B7" w:rsidRPr="007D1383" w:rsidRDefault="008F7530">
      <w:pPr>
        <w:tabs>
          <w:tab w:val="left" w:pos="709"/>
        </w:tabs>
        <w:spacing w:after="0" w:line="276" w:lineRule="auto"/>
        <w:ind w:left="851" w:right="850"/>
        <w:jc w:val="both"/>
        <w:rPr>
          <w:rFonts w:ascii="Palatino Linotype" w:eastAsia="Palatino Linotype" w:hAnsi="Palatino Linotype" w:cs="Palatino Linotype"/>
          <w:i/>
        </w:rPr>
      </w:pPr>
      <w:r w:rsidRPr="007D138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D138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3E140C9" w14:textId="77777777" w:rsidR="002A76B7" w:rsidRPr="007D1383" w:rsidRDefault="008F7530">
      <w:pPr>
        <w:tabs>
          <w:tab w:val="left" w:pos="709"/>
        </w:tabs>
        <w:spacing w:after="0" w:line="276" w:lineRule="auto"/>
        <w:ind w:left="851" w:right="850"/>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37F19C3" w14:textId="77777777" w:rsidR="002A76B7" w:rsidRPr="007D1383" w:rsidRDefault="008F7530">
      <w:pPr>
        <w:tabs>
          <w:tab w:val="left" w:pos="709"/>
        </w:tabs>
        <w:spacing w:after="0" w:line="276" w:lineRule="auto"/>
        <w:ind w:left="851" w:right="850"/>
        <w:jc w:val="both"/>
        <w:rPr>
          <w:rFonts w:ascii="Palatino Linotype" w:eastAsia="Palatino Linotype" w:hAnsi="Palatino Linotype" w:cs="Palatino Linotype"/>
          <w:i/>
        </w:rPr>
      </w:pPr>
      <w:r w:rsidRPr="007D138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D138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E0C3743" w14:textId="77777777" w:rsidR="002A76B7" w:rsidRPr="007D1383" w:rsidRDefault="008F7530">
      <w:pPr>
        <w:tabs>
          <w:tab w:val="left" w:pos="709"/>
        </w:tabs>
        <w:spacing w:after="0" w:line="276" w:lineRule="auto"/>
        <w:ind w:left="851" w:right="85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35B0F4FC" w14:textId="77777777" w:rsidR="002A76B7" w:rsidRPr="007D1383" w:rsidRDefault="008F7530">
      <w:pPr>
        <w:spacing w:after="0" w:line="276" w:lineRule="auto"/>
        <w:ind w:left="851" w:right="901"/>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6o.</w:t>
      </w:r>
    </w:p>
    <w:p w14:paraId="60B333E6" w14:textId="77777777" w:rsidR="002A76B7" w:rsidRPr="007D1383" w:rsidRDefault="008F7530">
      <w:pPr>
        <w:spacing w:after="0" w:line="276" w:lineRule="auto"/>
        <w:ind w:left="851" w:right="901"/>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55DADBEA"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A. Para el ejercicio del derecho de acceso a la información, la Federación y </w:t>
      </w:r>
      <w:r w:rsidRPr="007D1383">
        <w:rPr>
          <w:rFonts w:ascii="Palatino Linotype" w:eastAsia="Palatino Linotype" w:hAnsi="Palatino Linotype" w:cs="Palatino Linotype"/>
          <w:b/>
          <w:i/>
          <w:u w:val="single"/>
        </w:rPr>
        <w:t>las entidades federativas</w:t>
      </w:r>
      <w:r w:rsidRPr="007D1383">
        <w:rPr>
          <w:rFonts w:ascii="Palatino Linotype" w:eastAsia="Palatino Linotype" w:hAnsi="Palatino Linotype" w:cs="Palatino Linotype"/>
          <w:b/>
          <w:i/>
        </w:rPr>
        <w:t>,</w:t>
      </w:r>
      <w:r w:rsidRPr="007D1383">
        <w:rPr>
          <w:rFonts w:ascii="Palatino Linotype" w:eastAsia="Palatino Linotype" w:hAnsi="Palatino Linotype" w:cs="Palatino Linotype"/>
          <w:i/>
        </w:rPr>
        <w:t xml:space="preserve"> en el ámbito de sus respectivas competencias, se regirán por los siguientes principios y bases:</w:t>
      </w:r>
    </w:p>
    <w:p w14:paraId="48338649"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lastRenderedPageBreak/>
        <w:t xml:space="preserve">I. </w:t>
      </w:r>
      <w:r w:rsidRPr="007D1383">
        <w:rPr>
          <w:rFonts w:ascii="Palatino Linotype" w:eastAsia="Palatino Linotype" w:hAnsi="Palatino Linotype" w:cs="Palatino Linotype"/>
          <w:b/>
          <w:i/>
          <w:u w:val="single"/>
        </w:rPr>
        <w:t>Toda la información en posesión de cualquier autoridad, entidad, órgano y organismo de los Poderes</w:t>
      </w:r>
      <w:r w:rsidRPr="007D1383">
        <w:rPr>
          <w:rFonts w:ascii="Palatino Linotype" w:eastAsia="Palatino Linotype" w:hAnsi="Palatino Linotype" w:cs="Palatino Linotype"/>
          <w:i/>
        </w:rPr>
        <w:t xml:space="preserve"> Ejecutivo, Legislativo </w:t>
      </w:r>
      <w:r w:rsidRPr="007D1383">
        <w:rPr>
          <w:rFonts w:ascii="Palatino Linotype" w:eastAsia="Palatino Linotype" w:hAnsi="Palatino Linotype" w:cs="Palatino Linotype"/>
          <w:b/>
          <w:i/>
          <w:u w:val="single"/>
        </w:rPr>
        <w:t>y Judicial</w:t>
      </w:r>
      <w:r w:rsidRPr="007D138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D1383">
        <w:rPr>
          <w:rFonts w:ascii="Palatino Linotype" w:eastAsia="Palatino Linotype" w:hAnsi="Palatino Linotype" w:cs="Palatino Linotype"/>
          <w:b/>
          <w:i/>
        </w:rPr>
        <w:t>es pública y sólo podrá ser reservada temporalmente por razones de interés público y seguridad nacional,</w:t>
      </w:r>
      <w:r w:rsidRPr="007D138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BB37608" w14:textId="77777777" w:rsidR="002A76B7" w:rsidRPr="007D1383" w:rsidRDefault="008F7530">
      <w:pPr>
        <w:spacing w:after="0" w:line="276" w:lineRule="auto"/>
        <w:ind w:left="851" w:right="851"/>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EC4171B"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III. </w:t>
      </w:r>
      <w:r w:rsidRPr="007D138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D1383">
        <w:rPr>
          <w:rFonts w:ascii="Palatino Linotype" w:eastAsia="Palatino Linotype" w:hAnsi="Palatino Linotype" w:cs="Palatino Linotype"/>
          <w:i/>
        </w:rPr>
        <w:t xml:space="preserve"> a sus datos personales o a la rectificación de éstos.</w:t>
      </w:r>
    </w:p>
    <w:p w14:paraId="33B72693"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IV. </w:t>
      </w:r>
      <w:r w:rsidRPr="007D138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44F9EFC"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V. </w:t>
      </w:r>
      <w:r w:rsidRPr="007D138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D92EB42"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VI. </w:t>
      </w:r>
      <w:r w:rsidRPr="007D138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8582848"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VII. </w:t>
      </w:r>
      <w:r w:rsidRPr="007D138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90E1BD0" w14:textId="77777777" w:rsidR="002A76B7" w:rsidRPr="007D1383" w:rsidRDefault="002A76B7">
      <w:pPr>
        <w:tabs>
          <w:tab w:val="left" w:pos="709"/>
        </w:tabs>
        <w:spacing w:after="0" w:line="360" w:lineRule="auto"/>
        <w:jc w:val="both"/>
        <w:rPr>
          <w:rFonts w:ascii="Palatino Linotype" w:eastAsia="Palatino Linotype" w:hAnsi="Palatino Linotype" w:cs="Palatino Linotype"/>
          <w:sz w:val="24"/>
          <w:szCs w:val="24"/>
        </w:rPr>
      </w:pPr>
    </w:p>
    <w:p w14:paraId="7D4DC33D" w14:textId="77777777" w:rsidR="002A76B7" w:rsidRPr="007D1383" w:rsidRDefault="008F7530">
      <w:pPr>
        <w:tabs>
          <w:tab w:val="left" w:pos="709"/>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sidRPr="007D1383">
        <w:rPr>
          <w:rFonts w:ascii="Palatino Linotype" w:eastAsia="Palatino Linotype" w:hAnsi="Palatino Linotype" w:cs="Palatino Linotype"/>
          <w:sz w:val="24"/>
          <w:szCs w:val="24"/>
        </w:rPr>
        <w:lastRenderedPageBreak/>
        <w:t>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B4802B5" w14:textId="77777777" w:rsidR="002A76B7" w:rsidRPr="007D1383" w:rsidRDefault="002A76B7">
      <w:pPr>
        <w:tabs>
          <w:tab w:val="left" w:pos="709"/>
        </w:tabs>
        <w:spacing w:after="0" w:line="360" w:lineRule="auto"/>
        <w:jc w:val="both"/>
        <w:rPr>
          <w:rFonts w:ascii="Palatino Linotype" w:eastAsia="Palatino Linotype" w:hAnsi="Palatino Linotype" w:cs="Palatino Linotype"/>
          <w:sz w:val="24"/>
          <w:szCs w:val="24"/>
        </w:rPr>
      </w:pPr>
    </w:p>
    <w:p w14:paraId="049CA3DD" w14:textId="77777777" w:rsidR="002A76B7" w:rsidRPr="007D1383" w:rsidRDefault="008F7530">
      <w:pPr>
        <w:tabs>
          <w:tab w:val="left" w:pos="709"/>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En primer lugar, es conveniente analizar si la respuesta del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846FB0E" w14:textId="77777777" w:rsidR="002A76B7" w:rsidRPr="007D1383" w:rsidRDefault="002A76B7">
      <w:pPr>
        <w:tabs>
          <w:tab w:val="left" w:pos="709"/>
        </w:tabs>
        <w:spacing w:after="0" w:line="360" w:lineRule="auto"/>
        <w:jc w:val="both"/>
        <w:rPr>
          <w:rFonts w:ascii="Palatino Linotype" w:eastAsia="Palatino Linotype" w:hAnsi="Palatino Linotype" w:cs="Palatino Linotype"/>
          <w:sz w:val="24"/>
          <w:szCs w:val="24"/>
        </w:rPr>
      </w:pPr>
    </w:p>
    <w:p w14:paraId="2619EA2E" w14:textId="77777777" w:rsidR="002A76B7" w:rsidRPr="007D1383" w:rsidRDefault="008F7530">
      <w:pPr>
        <w:spacing w:after="0" w:line="276" w:lineRule="auto"/>
        <w:ind w:left="709"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Artículo 4.</w:t>
      </w:r>
      <w:r w:rsidRPr="007D138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B39B2FD" w14:textId="77777777" w:rsidR="002A76B7" w:rsidRPr="007D1383" w:rsidRDefault="008F7530">
      <w:pPr>
        <w:spacing w:after="0" w:line="276" w:lineRule="auto"/>
        <w:ind w:left="709"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D1383">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7D1383">
        <w:rPr>
          <w:rFonts w:ascii="Palatino Linotype" w:eastAsia="Palatino Linotype" w:hAnsi="Palatino Linotype" w:cs="Palatino Linotype"/>
          <w:i/>
        </w:rPr>
        <w:lastRenderedPageBreak/>
        <w:t>de México y Municipios 29 como reservada temporalmente por razones de interés público, en los términos de las causas legítimas y estrictamente necesarias previstas por esta Ley.</w:t>
      </w:r>
    </w:p>
    <w:p w14:paraId="7F946A4D" w14:textId="77777777" w:rsidR="002A76B7" w:rsidRPr="007D1383" w:rsidRDefault="008F7530">
      <w:pPr>
        <w:spacing w:after="0" w:line="276" w:lineRule="auto"/>
        <w:ind w:left="709"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D1383">
        <w:rPr>
          <w:rFonts w:ascii="Palatino Linotype" w:eastAsia="Palatino Linotype" w:hAnsi="Palatino Linotype" w:cs="Palatino Linotype"/>
          <w:i/>
        </w:rPr>
        <w:t>.”</w:t>
      </w:r>
    </w:p>
    <w:p w14:paraId="7BBEF65E" w14:textId="77777777" w:rsidR="002A76B7" w:rsidRPr="007D1383" w:rsidRDefault="002A76B7">
      <w:pPr>
        <w:spacing w:after="0" w:line="360" w:lineRule="auto"/>
        <w:ind w:left="709" w:right="760"/>
        <w:jc w:val="both"/>
        <w:rPr>
          <w:rFonts w:ascii="Palatino Linotype" w:eastAsia="Palatino Linotype" w:hAnsi="Palatino Linotype" w:cs="Palatino Linotype"/>
          <w:sz w:val="24"/>
          <w:szCs w:val="24"/>
        </w:rPr>
      </w:pPr>
    </w:p>
    <w:p w14:paraId="67FE71A7"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75AF71A"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7C65558" w14:textId="77777777" w:rsidR="002A76B7" w:rsidRPr="007D1383" w:rsidRDefault="008F7530">
      <w:pPr>
        <w:spacing w:after="0" w:line="276" w:lineRule="auto"/>
        <w:ind w:left="567"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Artículo 12.-</w:t>
      </w:r>
      <w:r w:rsidRPr="007D138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EC4F3F3" w14:textId="77777777" w:rsidR="002A76B7" w:rsidRPr="007D1383" w:rsidRDefault="002A76B7">
      <w:pPr>
        <w:spacing w:after="0" w:line="276" w:lineRule="auto"/>
        <w:ind w:left="567" w:right="760"/>
        <w:jc w:val="both"/>
        <w:rPr>
          <w:rFonts w:ascii="Palatino Linotype" w:eastAsia="Palatino Linotype" w:hAnsi="Palatino Linotype" w:cs="Palatino Linotype"/>
          <w:i/>
        </w:rPr>
      </w:pPr>
    </w:p>
    <w:p w14:paraId="24CF8918" w14:textId="77777777" w:rsidR="002A76B7" w:rsidRPr="007D1383" w:rsidRDefault="008F7530">
      <w:pPr>
        <w:spacing w:after="0" w:line="276" w:lineRule="auto"/>
        <w:ind w:left="567"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8CB3310"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3672C262"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w:t>
      </w:r>
      <w:r w:rsidRPr="007D1383">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r w:rsidRPr="007D1383">
        <w:rPr>
          <w:rFonts w:ascii="Palatino Linotype" w:eastAsia="Palatino Linotype" w:hAnsi="Palatino Linotype" w:cs="Palatino Linotype"/>
          <w:strike/>
          <w:sz w:val="24"/>
          <w:szCs w:val="24"/>
        </w:rPr>
        <w:t xml:space="preserve"> </w:t>
      </w:r>
    </w:p>
    <w:p w14:paraId="6B97EDB6"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3E873D3A"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44B94D"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1885BA02"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D3D9BF1"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F9455C1"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18.</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D1383">
        <w:rPr>
          <w:rFonts w:ascii="Palatino Linotype" w:eastAsia="Palatino Linotype" w:hAnsi="Palatino Linotype" w:cs="Palatino Linotype"/>
          <w:i/>
        </w:rPr>
        <w:t xml:space="preserve"> y reutilización de la información que generen.</w:t>
      </w:r>
    </w:p>
    <w:p w14:paraId="18AA817E"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Artículo 19. </w:t>
      </w:r>
      <w:r w:rsidRPr="007D138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D1383">
        <w:rPr>
          <w:rFonts w:ascii="Palatino Linotype" w:eastAsia="Palatino Linotype" w:hAnsi="Palatino Linotype" w:cs="Palatino Linotype"/>
          <w:i/>
        </w:rPr>
        <w:t>.</w:t>
      </w:r>
    </w:p>
    <w:p w14:paraId="603670F9"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398F51F" w14:textId="77777777" w:rsidR="002A76B7" w:rsidRPr="007D1383" w:rsidRDefault="008F7530">
      <w:pPr>
        <w:spacing w:after="0" w:line="276" w:lineRule="auto"/>
        <w:ind w:left="851" w:right="851"/>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E0078FC" w14:textId="77777777" w:rsidR="002A76B7" w:rsidRPr="007D1383" w:rsidRDefault="002A76B7">
      <w:pPr>
        <w:spacing w:after="0" w:line="276" w:lineRule="auto"/>
        <w:ind w:left="851" w:right="851"/>
        <w:jc w:val="both"/>
        <w:rPr>
          <w:rFonts w:ascii="Palatino Linotype" w:eastAsia="Palatino Linotype" w:hAnsi="Palatino Linotype" w:cs="Palatino Linotype"/>
          <w:i/>
          <w:sz w:val="24"/>
          <w:szCs w:val="24"/>
        </w:rPr>
      </w:pPr>
    </w:p>
    <w:p w14:paraId="332E2367"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C1107A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46048D9"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CD76DD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F9ED0F6"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w:t>
      </w:r>
      <w:r w:rsidRPr="007D1383">
        <w:rPr>
          <w:rFonts w:ascii="Palatino Linotype" w:eastAsia="Palatino Linotype" w:hAnsi="Palatino Linotype" w:cs="Palatino Linotype"/>
          <w:b/>
          <w:i/>
        </w:rPr>
        <w:t xml:space="preserve">Artículo 3. </w:t>
      </w:r>
      <w:r w:rsidRPr="007D1383">
        <w:rPr>
          <w:rFonts w:ascii="Palatino Linotype" w:eastAsia="Palatino Linotype" w:hAnsi="Palatino Linotype" w:cs="Palatino Linotype"/>
          <w:i/>
        </w:rPr>
        <w:t>Para los efectos de la presente Ley se entenderá por:</w:t>
      </w:r>
    </w:p>
    <w:p w14:paraId="3AC35C30"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73B469C9"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XI. Documento:</w:t>
      </w:r>
      <w:r w:rsidRPr="007D1383">
        <w:rPr>
          <w:rFonts w:ascii="Palatino Linotype" w:eastAsia="Palatino Linotype" w:hAnsi="Palatino Linotype" w:cs="Palatino Linotype"/>
          <w:i/>
        </w:rPr>
        <w:t xml:space="preserve"> Los expedientes, reportes, estudios, actas</w:t>
      </w:r>
      <w:r w:rsidRPr="007D1383">
        <w:rPr>
          <w:rFonts w:ascii="Palatino Linotype" w:eastAsia="Palatino Linotype" w:hAnsi="Palatino Linotype" w:cs="Palatino Linotype"/>
          <w:b/>
          <w:i/>
        </w:rPr>
        <w:t>,</w:t>
      </w:r>
      <w:r w:rsidRPr="007D138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B4B47BE" w14:textId="77777777" w:rsidR="002A76B7" w:rsidRPr="007D1383" w:rsidRDefault="002A76B7">
      <w:pPr>
        <w:spacing w:after="0" w:line="360" w:lineRule="auto"/>
        <w:ind w:left="851" w:right="899"/>
        <w:jc w:val="both"/>
        <w:rPr>
          <w:rFonts w:ascii="Palatino Linotype" w:eastAsia="Palatino Linotype" w:hAnsi="Palatino Linotype" w:cs="Palatino Linotype"/>
          <w:sz w:val="24"/>
          <w:szCs w:val="24"/>
        </w:rPr>
      </w:pPr>
    </w:p>
    <w:p w14:paraId="420C2A73"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7C5634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A7F85E6" w14:textId="77777777" w:rsidR="002A76B7" w:rsidRPr="007D1383" w:rsidRDefault="008F7530">
      <w:pPr>
        <w:spacing w:after="0" w:line="276" w:lineRule="auto"/>
        <w:ind w:left="851" w:right="902"/>
        <w:jc w:val="both"/>
        <w:rPr>
          <w:rFonts w:ascii="Palatino Linotype" w:eastAsia="Palatino Linotype" w:hAnsi="Palatino Linotype" w:cs="Palatino Linotype"/>
          <w:b/>
          <w:i/>
        </w:rPr>
      </w:pPr>
      <w:r w:rsidRPr="007D1383">
        <w:rPr>
          <w:rFonts w:ascii="Palatino Linotype" w:eastAsia="Palatino Linotype" w:hAnsi="Palatino Linotype" w:cs="Palatino Linotype"/>
          <w:b/>
        </w:rPr>
        <w:t>“</w:t>
      </w:r>
      <w:r w:rsidRPr="007D1383">
        <w:rPr>
          <w:rFonts w:ascii="Palatino Linotype" w:eastAsia="Palatino Linotype" w:hAnsi="Palatino Linotype" w:cs="Palatino Linotype"/>
          <w:b/>
          <w:i/>
        </w:rPr>
        <w:t>CRITERIO 0002-11</w:t>
      </w:r>
    </w:p>
    <w:p w14:paraId="294084E0"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D138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364152"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En </w:t>
      </w:r>
      <w:proofErr w:type="gramStart"/>
      <w:r w:rsidRPr="007D1383">
        <w:rPr>
          <w:rFonts w:ascii="Palatino Linotype" w:eastAsia="Palatino Linotype" w:hAnsi="Palatino Linotype" w:cs="Palatino Linotype"/>
          <w:i/>
        </w:rPr>
        <w:t>consecuencia</w:t>
      </w:r>
      <w:proofErr w:type="gramEnd"/>
      <w:r w:rsidRPr="007D1383">
        <w:rPr>
          <w:rFonts w:ascii="Palatino Linotype" w:eastAsia="Palatino Linotype" w:hAnsi="Palatino Linotype" w:cs="Palatino Linotype"/>
          <w:i/>
        </w:rPr>
        <w:t xml:space="preserve"> el acceso a la información se refiere a que se cumplan cualquiera de los siguientes tres supuestos:</w:t>
      </w:r>
    </w:p>
    <w:p w14:paraId="5B74A641"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1) Que se trate de información registrada en cualquier soporte documental, </w:t>
      </w:r>
      <w:proofErr w:type="gramStart"/>
      <w:r w:rsidRPr="007D1383">
        <w:rPr>
          <w:rFonts w:ascii="Palatino Linotype" w:eastAsia="Palatino Linotype" w:hAnsi="Palatino Linotype" w:cs="Palatino Linotype"/>
          <w:i/>
        </w:rPr>
        <w:t>que</w:t>
      </w:r>
      <w:proofErr w:type="gramEnd"/>
      <w:r w:rsidRPr="007D1383">
        <w:rPr>
          <w:rFonts w:ascii="Palatino Linotype" w:eastAsia="Palatino Linotype" w:hAnsi="Palatino Linotype" w:cs="Palatino Linotype"/>
          <w:i/>
        </w:rPr>
        <w:t xml:space="preserve"> en ejercicio de las atribuciones conferidas, sea generada por los Sujetos Obligados;</w:t>
      </w:r>
    </w:p>
    <w:p w14:paraId="251ADFAF"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 xml:space="preserve">2) Que se trate de información registrada en cualquier soporte documental, </w:t>
      </w:r>
      <w:proofErr w:type="gramStart"/>
      <w:r w:rsidRPr="007D1383">
        <w:rPr>
          <w:rFonts w:ascii="Palatino Linotype" w:eastAsia="Palatino Linotype" w:hAnsi="Palatino Linotype" w:cs="Palatino Linotype"/>
          <w:i/>
        </w:rPr>
        <w:t>que</w:t>
      </w:r>
      <w:proofErr w:type="gramEnd"/>
      <w:r w:rsidRPr="007D1383">
        <w:rPr>
          <w:rFonts w:ascii="Palatino Linotype" w:eastAsia="Palatino Linotype" w:hAnsi="Palatino Linotype" w:cs="Palatino Linotype"/>
          <w:i/>
        </w:rPr>
        <w:t xml:space="preserve"> en ejercicio de las atribuciones conferidas, sea administrada por los Sujetos Obligados, y</w:t>
      </w:r>
    </w:p>
    <w:p w14:paraId="13040EC6"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3) Que se trate de información registrada en cualquier soporte documental, </w:t>
      </w:r>
      <w:proofErr w:type="gramStart"/>
      <w:r w:rsidRPr="007D1383">
        <w:rPr>
          <w:rFonts w:ascii="Palatino Linotype" w:eastAsia="Palatino Linotype" w:hAnsi="Palatino Linotype" w:cs="Palatino Linotype"/>
          <w:i/>
        </w:rPr>
        <w:t>que</w:t>
      </w:r>
      <w:proofErr w:type="gramEnd"/>
      <w:r w:rsidRPr="007D1383">
        <w:rPr>
          <w:rFonts w:ascii="Palatino Linotype" w:eastAsia="Palatino Linotype" w:hAnsi="Palatino Linotype" w:cs="Palatino Linotype"/>
          <w:i/>
        </w:rPr>
        <w:t xml:space="preserve"> en ejercicio de las atribuciones conferidas, se encuentre en posesión de los Sujetos Obligados.” </w:t>
      </w:r>
    </w:p>
    <w:p w14:paraId="1DB77F60" w14:textId="77777777" w:rsidR="002A76B7" w:rsidRPr="007D1383" w:rsidRDefault="002A76B7">
      <w:pPr>
        <w:spacing w:after="0" w:line="276" w:lineRule="auto"/>
        <w:ind w:left="851" w:right="902"/>
        <w:jc w:val="both"/>
        <w:rPr>
          <w:rFonts w:ascii="Palatino Linotype" w:eastAsia="Palatino Linotype" w:hAnsi="Palatino Linotype" w:cs="Palatino Linotype"/>
          <w:sz w:val="24"/>
          <w:szCs w:val="24"/>
        </w:rPr>
      </w:pPr>
    </w:p>
    <w:p w14:paraId="239E3741"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De ahí que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D1383">
        <w:rPr>
          <w:rFonts w:ascii="Palatino Linotype" w:eastAsia="Palatino Linotype" w:hAnsi="Palatino Linotype" w:cs="Palatino Linotype"/>
          <w:sz w:val="24"/>
          <w:szCs w:val="24"/>
          <w:vertAlign w:val="superscript"/>
        </w:rPr>
        <w:footnoteReference w:id="1"/>
      </w:r>
      <w:r w:rsidRPr="007D138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D1383">
        <w:rPr>
          <w:rFonts w:ascii="Palatino Linotype" w:eastAsia="Palatino Linotype" w:hAnsi="Palatino Linotype" w:cs="Palatino Linotype"/>
          <w:sz w:val="24"/>
          <w:szCs w:val="24"/>
          <w:vertAlign w:val="superscript"/>
        </w:rPr>
        <w:footnoteReference w:id="2"/>
      </w:r>
      <w:r w:rsidRPr="007D138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7BA86F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9D9719A" w14:textId="77777777" w:rsidR="002A76B7" w:rsidRPr="007D1383" w:rsidRDefault="008F7530">
      <w:pPr>
        <w:spacing w:after="24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0"/>
        <w:gridCol w:w="1276"/>
      </w:tblGrid>
      <w:tr w:rsidR="007D1383" w:rsidRPr="007D1383" w14:paraId="7AEC7DC1" w14:textId="77777777">
        <w:tc>
          <w:tcPr>
            <w:tcW w:w="1980" w:type="dxa"/>
            <w:shd w:val="clear" w:color="auto" w:fill="AEAAAA"/>
          </w:tcPr>
          <w:p w14:paraId="45E7E4AE"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b/>
                <w:sz w:val="20"/>
                <w:szCs w:val="20"/>
              </w:rPr>
              <w:t>Solicitud</w:t>
            </w:r>
            <w:r w:rsidRPr="007D1383">
              <w:rPr>
                <w:rFonts w:ascii="Palatino Linotype" w:eastAsia="Palatino Linotype" w:hAnsi="Palatino Linotype" w:cs="Palatino Linotype"/>
                <w:sz w:val="20"/>
                <w:szCs w:val="20"/>
              </w:rPr>
              <w:t xml:space="preserve"> </w:t>
            </w:r>
          </w:p>
          <w:p w14:paraId="6C3CC8D7"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18"/>
                <w:szCs w:val="18"/>
              </w:rPr>
              <w:t>De las obras de teatro en relación a los proyectos de alerta de género del 2024:</w:t>
            </w:r>
          </w:p>
        </w:tc>
        <w:tc>
          <w:tcPr>
            <w:tcW w:w="5670" w:type="dxa"/>
            <w:shd w:val="clear" w:color="auto" w:fill="AEAAAA"/>
          </w:tcPr>
          <w:p w14:paraId="72F1D3F1" w14:textId="77777777" w:rsidR="002A76B7" w:rsidRPr="007D1383" w:rsidRDefault="008F7530">
            <w:pPr>
              <w:spacing w:before="240" w:after="240" w:line="360" w:lineRule="auto"/>
              <w:jc w:val="center"/>
              <w:rPr>
                <w:rFonts w:ascii="Palatino Linotype" w:eastAsia="Palatino Linotype" w:hAnsi="Palatino Linotype" w:cs="Palatino Linotype"/>
                <w:b/>
                <w:sz w:val="20"/>
                <w:szCs w:val="20"/>
              </w:rPr>
            </w:pPr>
            <w:r w:rsidRPr="007D1383">
              <w:rPr>
                <w:rFonts w:ascii="Palatino Linotype" w:eastAsia="Palatino Linotype" w:hAnsi="Palatino Linotype" w:cs="Palatino Linotype"/>
                <w:b/>
                <w:sz w:val="20"/>
                <w:szCs w:val="20"/>
              </w:rPr>
              <w:t>Respuesta</w:t>
            </w:r>
          </w:p>
        </w:tc>
        <w:tc>
          <w:tcPr>
            <w:tcW w:w="1276" w:type="dxa"/>
            <w:shd w:val="clear" w:color="auto" w:fill="AEAAAA"/>
          </w:tcPr>
          <w:p w14:paraId="425CBDDC" w14:textId="77777777" w:rsidR="002A76B7" w:rsidRPr="007D1383" w:rsidRDefault="008F7530">
            <w:pPr>
              <w:spacing w:before="240" w:after="240" w:line="360" w:lineRule="auto"/>
              <w:jc w:val="center"/>
              <w:rPr>
                <w:rFonts w:ascii="Palatino Linotype" w:eastAsia="Palatino Linotype" w:hAnsi="Palatino Linotype" w:cs="Palatino Linotype"/>
                <w:b/>
                <w:sz w:val="20"/>
                <w:szCs w:val="20"/>
              </w:rPr>
            </w:pPr>
            <w:r w:rsidRPr="007D1383">
              <w:rPr>
                <w:rFonts w:ascii="Palatino Linotype" w:eastAsia="Palatino Linotype" w:hAnsi="Palatino Linotype" w:cs="Palatino Linotype"/>
                <w:b/>
                <w:sz w:val="20"/>
                <w:szCs w:val="20"/>
              </w:rPr>
              <w:t>Informe Justificado</w:t>
            </w:r>
          </w:p>
        </w:tc>
      </w:tr>
      <w:tr w:rsidR="007D1383" w:rsidRPr="007D1383" w14:paraId="08577771" w14:textId="77777777">
        <w:tc>
          <w:tcPr>
            <w:tcW w:w="1980" w:type="dxa"/>
            <w:shd w:val="clear" w:color="auto" w:fill="auto"/>
          </w:tcPr>
          <w:p w14:paraId="5DA15756"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La fecha y detalles de la licitación.</w:t>
            </w:r>
          </w:p>
        </w:tc>
        <w:tc>
          <w:tcPr>
            <w:tcW w:w="5670" w:type="dxa"/>
            <w:shd w:val="clear" w:color="auto" w:fill="auto"/>
          </w:tcPr>
          <w:p w14:paraId="11A072C2" w14:textId="77777777" w:rsidR="002A76B7" w:rsidRPr="007D1383" w:rsidRDefault="008F7530">
            <w:pPr>
              <w:spacing w:before="240" w:after="240" w:line="360"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El procedimiento adquisitivo para la contratación del servicio de diseño e impartición de 22 obras de teatro, no se realizó a través de una licitación pública, se llevó mediante una adjudicación directa mixta No. AA-74-058-915002994-N-8-2024, se inició con la presentación y apertura de cotizaciones el día 28 de junio de 2024.</w:t>
            </w:r>
          </w:p>
        </w:tc>
        <w:tc>
          <w:tcPr>
            <w:tcW w:w="1276" w:type="dxa"/>
            <w:shd w:val="clear" w:color="auto" w:fill="auto"/>
          </w:tcPr>
          <w:p w14:paraId="535F4143" w14:textId="77777777" w:rsidR="002A76B7" w:rsidRPr="007D1383" w:rsidRDefault="008F7530">
            <w:pPr>
              <w:spacing w:before="240" w:after="240" w:line="276" w:lineRule="auto"/>
              <w:ind w:right="51"/>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 xml:space="preserve">Ratifica.  </w:t>
            </w:r>
          </w:p>
        </w:tc>
      </w:tr>
      <w:tr w:rsidR="007D1383" w:rsidRPr="007D1383" w14:paraId="53D0E948" w14:textId="77777777">
        <w:tc>
          <w:tcPr>
            <w:tcW w:w="1980" w:type="dxa"/>
            <w:shd w:val="clear" w:color="auto" w:fill="auto"/>
          </w:tcPr>
          <w:p w14:paraId="1E8DE433"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¿Por qué medio la ciudadanía se enteró?</w:t>
            </w:r>
          </w:p>
        </w:tc>
        <w:tc>
          <w:tcPr>
            <w:tcW w:w="5670" w:type="dxa"/>
            <w:shd w:val="clear" w:color="auto" w:fill="auto"/>
          </w:tcPr>
          <w:p w14:paraId="44782A34" w14:textId="77777777" w:rsidR="002A76B7" w:rsidRPr="007D1383" w:rsidRDefault="008F7530">
            <w:pPr>
              <w:spacing w:before="240" w:after="240" w:line="360"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El proceso adquisitivo se publicó en el sistema electrónico de información pública gubernamental federal sobre adquisiciones, arrendamientos y servicios denominado “CompraNet”.</w:t>
            </w:r>
          </w:p>
        </w:tc>
        <w:tc>
          <w:tcPr>
            <w:tcW w:w="1276" w:type="dxa"/>
            <w:shd w:val="clear" w:color="auto" w:fill="auto"/>
          </w:tcPr>
          <w:p w14:paraId="50F7F723" w14:textId="77777777" w:rsidR="002A76B7" w:rsidRPr="007D1383" w:rsidRDefault="008F7530">
            <w:pPr>
              <w:spacing w:before="240" w:after="240" w:line="276" w:lineRule="auto"/>
              <w:ind w:right="51"/>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 xml:space="preserve">Ratifica.  </w:t>
            </w:r>
          </w:p>
        </w:tc>
      </w:tr>
      <w:tr w:rsidR="007D1383" w:rsidRPr="007D1383" w14:paraId="381C3DC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925AC2"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¿Quiénes participaron y su CV?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9B071A8" w14:textId="77777777" w:rsidR="002A76B7" w:rsidRPr="007D1383" w:rsidRDefault="008F7530">
            <w:pPr>
              <w:spacing w:before="240" w:after="240" w:line="360" w:lineRule="auto"/>
              <w:jc w:val="both"/>
              <w:rPr>
                <w:rFonts w:ascii="Palatino Linotype" w:eastAsia="Palatino Linotype" w:hAnsi="Palatino Linotype" w:cs="Palatino Linotype"/>
                <w:sz w:val="18"/>
                <w:szCs w:val="18"/>
              </w:rPr>
            </w:pPr>
            <w:r w:rsidRPr="007D1383">
              <w:rPr>
                <w:rFonts w:ascii="Palatino Linotype" w:eastAsia="Palatino Linotype" w:hAnsi="Palatino Linotype" w:cs="Palatino Linotype"/>
                <w:sz w:val="18"/>
                <w:szCs w:val="18"/>
              </w:rPr>
              <w:t>ASOCIACIÓN PARA EL DESARROLLO EMPRESARIAL LF S.C.</w:t>
            </w:r>
          </w:p>
          <w:p w14:paraId="6105282D" w14:textId="77777777" w:rsidR="002A76B7" w:rsidRPr="007D1383" w:rsidRDefault="008F7530">
            <w:pPr>
              <w:spacing w:before="240" w:after="240" w:line="360" w:lineRule="auto"/>
              <w:jc w:val="both"/>
              <w:rPr>
                <w:rFonts w:ascii="Palatino Linotype" w:eastAsia="Palatino Linotype" w:hAnsi="Palatino Linotype" w:cs="Palatino Linotype"/>
                <w:sz w:val="18"/>
                <w:szCs w:val="18"/>
              </w:rPr>
            </w:pPr>
            <w:r w:rsidRPr="007D1383">
              <w:rPr>
                <w:rFonts w:ascii="Palatino Linotype" w:eastAsia="Palatino Linotype" w:hAnsi="Palatino Linotype" w:cs="Palatino Linotype"/>
                <w:sz w:val="18"/>
                <w:szCs w:val="18"/>
              </w:rPr>
              <w:t>CENTRO DE EVALUACIÓN EDUCATIVO Y COMPETENCIA PROFESIONALES DE HIDALGO CEECPH S.C.</w:t>
            </w:r>
          </w:p>
          <w:p w14:paraId="1DE320A3" w14:textId="77777777" w:rsidR="002A76B7" w:rsidRPr="007D1383" w:rsidRDefault="008F7530">
            <w:pPr>
              <w:spacing w:before="240" w:after="240" w:line="360" w:lineRule="auto"/>
              <w:jc w:val="both"/>
              <w:rPr>
                <w:rFonts w:ascii="Palatino Linotype" w:eastAsia="Palatino Linotype" w:hAnsi="Palatino Linotype" w:cs="Palatino Linotype"/>
                <w:sz w:val="18"/>
                <w:szCs w:val="18"/>
              </w:rPr>
            </w:pPr>
            <w:r w:rsidRPr="007D1383">
              <w:rPr>
                <w:rFonts w:ascii="Palatino Linotype" w:eastAsia="Palatino Linotype" w:hAnsi="Palatino Linotype" w:cs="Palatino Linotype"/>
                <w:sz w:val="18"/>
                <w:szCs w:val="18"/>
              </w:rPr>
              <w:t>GRUPO INTERSECCIONAL XIRK S.A.S.</w:t>
            </w:r>
          </w:p>
          <w:p w14:paraId="2D67E256" w14:textId="77777777" w:rsidR="002A76B7" w:rsidRPr="007D1383" w:rsidRDefault="008F7530">
            <w:pPr>
              <w:spacing w:before="240" w:after="240" w:line="360"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lastRenderedPageBreak/>
              <w:t xml:space="preserve">Adjuntando el </w:t>
            </w:r>
            <w:proofErr w:type="spellStart"/>
            <w:r w:rsidRPr="007D1383">
              <w:rPr>
                <w:rFonts w:ascii="Palatino Linotype" w:eastAsia="Palatino Linotype" w:hAnsi="Palatino Linotype" w:cs="Palatino Linotype"/>
                <w:sz w:val="20"/>
                <w:szCs w:val="20"/>
              </w:rPr>
              <w:t>Curriculum</w:t>
            </w:r>
            <w:proofErr w:type="spellEnd"/>
            <w:r w:rsidRPr="007D1383">
              <w:rPr>
                <w:rFonts w:ascii="Palatino Linotype" w:eastAsia="Palatino Linotype" w:hAnsi="Palatino Linotype" w:cs="Palatino Linotype"/>
                <w:sz w:val="20"/>
                <w:szCs w:val="20"/>
              </w:rPr>
              <w:t xml:space="preserve"> Vitae de las empresas.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62BDE9" w14:textId="77777777" w:rsidR="002A76B7" w:rsidRPr="007D1383" w:rsidRDefault="008F7530">
            <w:pPr>
              <w:spacing w:before="240" w:after="240" w:line="276" w:lineRule="auto"/>
              <w:ind w:right="51"/>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lastRenderedPageBreak/>
              <w:t xml:space="preserve">Ratifica.  </w:t>
            </w:r>
          </w:p>
        </w:tc>
      </w:tr>
      <w:tr w:rsidR="007D1383" w:rsidRPr="007D1383" w14:paraId="6EDEAEE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E79F21A"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¿A quién se asignó?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74992E2" w14:textId="77777777" w:rsidR="002A76B7" w:rsidRPr="007D1383" w:rsidRDefault="008F7530">
            <w:pPr>
              <w:spacing w:before="240" w:after="240" w:line="360"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Se emitió el fallo a favor de GRUPO INTERSECCIONAL XIRK S.A.S.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4ADDB" w14:textId="77777777" w:rsidR="002A76B7" w:rsidRPr="007D1383" w:rsidRDefault="008F7530">
            <w:pPr>
              <w:spacing w:before="240" w:after="240" w:line="276" w:lineRule="auto"/>
              <w:ind w:right="51"/>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 xml:space="preserve">Ratifica.  </w:t>
            </w:r>
          </w:p>
        </w:tc>
      </w:tr>
      <w:tr w:rsidR="002A76B7" w:rsidRPr="007D1383" w14:paraId="1E225C5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FE7E58C" w14:textId="77777777" w:rsidR="002A76B7" w:rsidRPr="007D1383" w:rsidRDefault="008F7530">
            <w:pPr>
              <w:spacing w:before="240" w:after="240" w:line="276"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¿Cuáles fueron los criterios?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E5E16C9" w14:textId="77777777" w:rsidR="002A76B7" w:rsidRPr="007D1383" w:rsidRDefault="008F7530">
            <w:pPr>
              <w:spacing w:before="240" w:after="240" w:line="360" w:lineRule="auto"/>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Los criterios para la contratación fueron conforme a lo establecido por el artículo 51, párrafo segundo del Reglamento de la Ley de Adquisiciones, Arrendamientos y Servicios del Sector Público, mismo que cito.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9CD849" w14:textId="77777777" w:rsidR="002A76B7" w:rsidRPr="007D1383" w:rsidRDefault="008F7530">
            <w:pPr>
              <w:spacing w:before="240" w:after="240" w:line="276" w:lineRule="auto"/>
              <w:ind w:right="51"/>
              <w:jc w:val="both"/>
              <w:rPr>
                <w:rFonts w:ascii="Palatino Linotype" w:eastAsia="Palatino Linotype" w:hAnsi="Palatino Linotype" w:cs="Palatino Linotype"/>
                <w:sz w:val="20"/>
                <w:szCs w:val="20"/>
              </w:rPr>
            </w:pPr>
            <w:r w:rsidRPr="007D1383">
              <w:rPr>
                <w:rFonts w:ascii="Palatino Linotype" w:eastAsia="Palatino Linotype" w:hAnsi="Palatino Linotype" w:cs="Palatino Linotype"/>
                <w:sz w:val="20"/>
                <w:szCs w:val="20"/>
              </w:rPr>
              <w:t xml:space="preserve">Ratifica.  </w:t>
            </w:r>
          </w:p>
        </w:tc>
      </w:tr>
    </w:tbl>
    <w:p w14:paraId="273E0838"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11CE1B2C"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En relación a lo anterior, resulta oportuno citar lo siguiente:</w:t>
      </w:r>
    </w:p>
    <w:p w14:paraId="2AF51DC2"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8836CDA" w14:textId="77777777" w:rsidR="002A76B7" w:rsidRPr="007D1383" w:rsidRDefault="008F7530">
      <w:pPr>
        <w:spacing w:after="0" w:line="276" w:lineRule="auto"/>
        <w:ind w:left="851" w:right="902"/>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“LEY DE CONTRATACIÓN PÚBLICA DEL ESTADO DE MÉXICO Y MUNICIPIOS</w:t>
      </w:r>
    </w:p>
    <w:p w14:paraId="04F3A4B7" w14:textId="77777777" w:rsidR="002A76B7" w:rsidRPr="007D1383" w:rsidRDefault="002A76B7">
      <w:pPr>
        <w:spacing w:after="0" w:line="276" w:lineRule="auto"/>
        <w:ind w:right="902"/>
        <w:jc w:val="both"/>
        <w:rPr>
          <w:rFonts w:ascii="Palatino Linotype" w:eastAsia="Palatino Linotype" w:hAnsi="Palatino Linotype" w:cs="Palatino Linotype"/>
          <w:i/>
        </w:rPr>
      </w:pPr>
    </w:p>
    <w:p w14:paraId="1202B8D4"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27.-</w:t>
      </w:r>
      <w:r w:rsidRPr="007D1383">
        <w:rPr>
          <w:rFonts w:ascii="Palatino Linotype" w:eastAsia="Palatino Linotype" w:hAnsi="Palatino Linotype" w:cs="Palatino Linotype"/>
          <w:i/>
        </w:rPr>
        <w:t xml:space="preserve"> La Oficialía Mayor, las entidades, los tribunales administrativos y los ayuntamientos podrán adjudicar adquisiciones, arrendamientos y servicios, mediante las excepciones al procedimiento de licitación que a continuación se señalan: </w:t>
      </w:r>
    </w:p>
    <w:p w14:paraId="0D796746"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 Invitación restringida. </w:t>
      </w:r>
    </w:p>
    <w:p w14:paraId="057B9C22" w14:textId="77777777" w:rsidR="002A76B7" w:rsidRPr="007D1383" w:rsidRDefault="008F7530">
      <w:pPr>
        <w:spacing w:after="0" w:line="276" w:lineRule="auto"/>
        <w:ind w:left="851" w:right="902"/>
        <w:jc w:val="both"/>
        <w:rPr>
          <w:rFonts w:ascii="Palatino Linotype" w:eastAsia="Palatino Linotype" w:hAnsi="Palatino Linotype" w:cs="Palatino Linotype"/>
          <w:i/>
          <w:sz w:val="24"/>
          <w:szCs w:val="24"/>
        </w:rPr>
      </w:pPr>
      <w:r w:rsidRPr="007D1383">
        <w:rPr>
          <w:rFonts w:ascii="Palatino Linotype" w:eastAsia="Palatino Linotype" w:hAnsi="Palatino Linotype" w:cs="Palatino Linotype"/>
          <w:i/>
        </w:rPr>
        <w:t>II. Adjudicación directa.</w:t>
      </w:r>
    </w:p>
    <w:p w14:paraId="72218490" w14:textId="77777777" w:rsidR="002A76B7" w:rsidRPr="007D1383" w:rsidRDefault="002A76B7">
      <w:pPr>
        <w:spacing w:after="0" w:line="276" w:lineRule="auto"/>
        <w:ind w:left="851" w:right="902"/>
        <w:jc w:val="both"/>
        <w:rPr>
          <w:rFonts w:ascii="Palatino Linotype" w:eastAsia="Palatino Linotype" w:hAnsi="Palatino Linotype" w:cs="Palatino Linotype"/>
          <w:i/>
          <w:sz w:val="24"/>
          <w:szCs w:val="24"/>
        </w:rPr>
      </w:pPr>
    </w:p>
    <w:p w14:paraId="0AE77BB5" w14:textId="77777777" w:rsidR="002A76B7" w:rsidRPr="007D1383" w:rsidRDefault="008F7530">
      <w:pPr>
        <w:spacing w:after="0" w:line="276" w:lineRule="auto"/>
        <w:ind w:left="851" w:right="902"/>
        <w:jc w:val="both"/>
        <w:rPr>
          <w:rFonts w:ascii="Palatino Linotype" w:eastAsia="Palatino Linotype" w:hAnsi="Palatino Linotype" w:cs="Palatino Linotype"/>
          <w:b/>
          <w:i/>
          <w:sz w:val="24"/>
          <w:szCs w:val="24"/>
        </w:rPr>
      </w:pPr>
      <w:r w:rsidRPr="007D1383">
        <w:rPr>
          <w:rFonts w:ascii="Palatino Linotype" w:eastAsia="Palatino Linotype" w:hAnsi="Palatino Linotype" w:cs="Palatino Linotype"/>
          <w:b/>
          <w:i/>
        </w:rPr>
        <w:t>REGLAMENTO DE LA LEY DE CONTRATACIÓN PÚBLICA DEL ESTADO DE MÉXICO Y MUNICIPIOS</w:t>
      </w:r>
    </w:p>
    <w:p w14:paraId="6D8177BD" w14:textId="77777777" w:rsidR="002A76B7" w:rsidRPr="007D1383" w:rsidRDefault="002A76B7">
      <w:pPr>
        <w:spacing w:after="0" w:line="276" w:lineRule="auto"/>
        <w:ind w:left="851" w:right="902"/>
        <w:jc w:val="both"/>
        <w:rPr>
          <w:rFonts w:ascii="Palatino Linotype" w:eastAsia="Palatino Linotype" w:hAnsi="Palatino Linotype" w:cs="Palatino Linotype"/>
          <w:b/>
          <w:i/>
          <w:sz w:val="24"/>
          <w:szCs w:val="24"/>
        </w:rPr>
      </w:pPr>
    </w:p>
    <w:p w14:paraId="1ADB7537"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93.-</w:t>
      </w:r>
      <w:r w:rsidRPr="007D1383">
        <w:rPr>
          <w:rFonts w:ascii="Palatino Linotype" w:eastAsia="Palatino Linotype" w:hAnsi="Palatino Linotype" w:cs="Palatino Linotype"/>
          <w:i/>
        </w:rPr>
        <w:t xml:space="preserve"> La Secretaría, organismos auxiliares, tribunales administrativos y municipios, solicitarán al comité el dictamen de procedencia del procedimiento de adjudicación directa, acreditando previamente: </w:t>
      </w:r>
    </w:p>
    <w:p w14:paraId="702C73A7"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 La descripción general de los bienes a adquirir o el servicio a contratar; </w:t>
      </w:r>
    </w:p>
    <w:p w14:paraId="745DC21B"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 xml:space="preserve">II. La justificación o conveniencia de llevar a cabo la adjudicación directa; y </w:t>
      </w:r>
    </w:p>
    <w:p w14:paraId="4BEC6A23" w14:textId="77777777" w:rsidR="002A76B7" w:rsidRPr="007D1383" w:rsidRDefault="008F7530">
      <w:pPr>
        <w:spacing w:after="0" w:line="276" w:lineRule="auto"/>
        <w:ind w:left="851" w:right="902"/>
        <w:jc w:val="both"/>
        <w:rPr>
          <w:rFonts w:ascii="Palatino Linotype" w:eastAsia="Palatino Linotype" w:hAnsi="Palatino Linotype" w:cs="Palatino Linotype"/>
          <w:i/>
          <w:sz w:val="24"/>
          <w:szCs w:val="24"/>
        </w:rPr>
      </w:pPr>
      <w:r w:rsidRPr="007D1383">
        <w:rPr>
          <w:rFonts w:ascii="Palatino Linotype" w:eastAsia="Palatino Linotype" w:hAnsi="Palatino Linotype" w:cs="Palatino Linotype"/>
          <w:i/>
        </w:rPr>
        <w:t>III. Certificación de suficiencia presupuestaria.</w:t>
      </w:r>
    </w:p>
    <w:p w14:paraId="47B0A2F2" w14:textId="77777777" w:rsidR="002A76B7" w:rsidRPr="007D1383" w:rsidRDefault="002A76B7">
      <w:pPr>
        <w:spacing w:after="0" w:line="276" w:lineRule="auto"/>
        <w:ind w:left="851" w:right="902"/>
        <w:jc w:val="both"/>
        <w:rPr>
          <w:rFonts w:ascii="Palatino Linotype" w:eastAsia="Palatino Linotype" w:hAnsi="Palatino Linotype" w:cs="Palatino Linotype"/>
          <w:i/>
          <w:sz w:val="24"/>
          <w:szCs w:val="24"/>
        </w:rPr>
      </w:pPr>
    </w:p>
    <w:p w14:paraId="5E67FCC6"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94.-</w:t>
      </w:r>
      <w:r w:rsidRPr="007D1383">
        <w:rPr>
          <w:rFonts w:ascii="Palatino Linotype" w:eastAsia="Palatino Linotype" w:hAnsi="Palatino Linotype" w:cs="Palatino Linotype"/>
          <w:i/>
        </w:rPr>
        <w:t xml:space="preserve"> En el procedimiento de adjudicación directa se observará lo siguiente: </w:t>
      </w:r>
    </w:p>
    <w:p w14:paraId="5659101F"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 Las adquisiciones de bienes y la contratación de servicios, se </w:t>
      </w:r>
      <w:proofErr w:type="gramStart"/>
      <w:r w:rsidRPr="007D1383">
        <w:rPr>
          <w:rFonts w:ascii="Palatino Linotype" w:eastAsia="Palatino Linotype" w:hAnsi="Palatino Linotype" w:cs="Palatino Linotype"/>
          <w:i/>
        </w:rPr>
        <w:t>efectuaran</w:t>
      </w:r>
      <w:proofErr w:type="gramEnd"/>
      <w:r w:rsidRPr="007D1383">
        <w:rPr>
          <w:rFonts w:ascii="Palatino Linotype" w:eastAsia="Palatino Linotype" w:hAnsi="Palatino Linotype" w:cs="Palatino Linotype"/>
          <w:i/>
        </w:rPr>
        <w:t xml:space="preserve">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31CC4716"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04CFD7F5"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III. La solicitud de participación contendrá, como mínimo, la descripción y cantidad de los bienes o servicios requeridos, lugar, plazo de entrega o duración del servicio y forma de pago; </w:t>
      </w:r>
    </w:p>
    <w:p w14:paraId="349C97FD"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IV. La solicitud de participación deberá señalar el día, hora y lugar en que tendrá verificativo el acto de presentación y apertura de ofertas; </w:t>
      </w:r>
    </w:p>
    <w:p w14:paraId="767F9169"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 Atendiendo a la naturaleza de los bienes o servicios, la convocante podrá optar entre celebrar o no junta de aclaraciones, en términos de lo dispuesto por este Reglamento; </w:t>
      </w:r>
    </w:p>
    <w:p w14:paraId="16FA5472"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VI. El servidor público designado por la convocante será el responsable de llevar a cabo el acto de presentación y apertura de propuestas; </w:t>
      </w:r>
    </w:p>
    <w:p w14:paraId="1C865117"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VII. Se observarán, en lo conducente, las disposiciones relativas a la contraoferta; y </w:t>
      </w:r>
    </w:p>
    <w:p w14:paraId="67E19141"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VIII. El comité será responsable de emitir el dictamen de adjudicación que servirá de base para el fallo de adjudicación; correspondiendo a la convocante emitir dicho fallo, quien lo hará del conocimiento de los licitantes. Los actos referidos en los incisos anteriores deberán documentarse en el acta correspondiente y publicarse en el sistema COMPRAMEX. </w:t>
      </w:r>
    </w:p>
    <w:p w14:paraId="538E69C4" w14:textId="77777777" w:rsidR="002A76B7" w:rsidRPr="007D1383" w:rsidRDefault="008F7530">
      <w:pPr>
        <w:spacing w:after="0" w:line="276" w:lineRule="auto"/>
        <w:ind w:left="851" w:right="902"/>
        <w:jc w:val="both"/>
        <w:rPr>
          <w:rFonts w:ascii="Palatino Linotype" w:eastAsia="Palatino Linotype" w:hAnsi="Palatino Linotype" w:cs="Palatino Linotype"/>
          <w:i/>
          <w:sz w:val="24"/>
          <w:szCs w:val="24"/>
        </w:rPr>
      </w:pPr>
      <w:r w:rsidRPr="007D1383">
        <w:rPr>
          <w:rFonts w:ascii="Palatino Linotype" w:eastAsia="Palatino Linotype" w:hAnsi="Palatino Linotype" w:cs="Palatino Linotype"/>
          <w:i/>
        </w:rPr>
        <w:lastRenderedPageBreak/>
        <w:t>Artículo 95.- En los procedimientos de adjudicación directa, previa dictaminación del Comité respectivo, la convocante podrá adjudicar el contrato al oferente que reúna el mayor número de requisitos solicitados.”</w:t>
      </w:r>
    </w:p>
    <w:p w14:paraId="197C6769"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497ED80"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Al respecto, las adquisiciones y servicios, se adjudicarán a través de procedimientos de licitación o excepcionalmente por invitación restringida y adjudicación directa, por lo que los ayuntamientos solicitaran al comité el dictamen de procedencia del procedimiento de adjudicación directa en donde se acredite la descripción del servicio a contratar, la justificación o conveniencia de llevar a cabo la adjudicación directa y la certificación de suficiencia presupuestal, además el procedimiento de adjudicación directa deberá observar diversas formalidades. </w:t>
      </w:r>
    </w:p>
    <w:p w14:paraId="637F36D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267D32A"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Ahora bien, la respuesta fue otorgada por la Coordinadora Administrativa, quien cuenta con las siguientes atribuciones:</w:t>
      </w:r>
    </w:p>
    <w:p w14:paraId="041CABCF"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5AF7C47E" w14:textId="77777777" w:rsidR="002A76B7" w:rsidRPr="007D1383" w:rsidRDefault="008F7530">
      <w:pPr>
        <w:spacing w:after="0" w:line="276" w:lineRule="auto"/>
        <w:ind w:left="851" w:right="902"/>
        <w:jc w:val="both"/>
        <w:rPr>
          <w:rFonts w:ascii="Palatino Linotype" w:eastAsia="Palatino Linotype" w:hAnsi="Palatino Linotype" w:cs="Palatino Linotype"/>
          <w:b/>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REGLAMENTO INTERIOR DE LA SECRETARÍA DE LAS MUJERES</w:t>
      </w:r>
    </w:p>
    <w:p w14:paraId="6E39FAA0" w14:textId="77777777" w:rsidR="002A76B7" w:rsidRPr="007D1383" w:rsidRDefault="002A76B7">
      <w:pPr>
        <w:spacing w:after="0" w:line="276" w:lineRule="auto"/>
        <w:ind w:left="851" w:right="902"/>
        <w:jc w:val="both"/>
        <w:rPr>
          <w:rFonts w:ascii="Palatino Linotype" w:eastAsia="Palatino Linotype" w:hAnsi="Palatino Linotype" w:cs="Palatino Linotype"/>
          <w:i/>
        </w:rPr>
      </w:pPr>
    </w:p>
    <w:p w14:paraId="4150B8B2"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Artículo 13. </w:t>
      </w:r>
      <w:r w:rsidRPr="007D1383">
        <w:rPr>
          <w:rFonts w:ascii="Palatino Linotype" w:eastAsia="Palatino Linotype" w:hAnsi="Palatino Linotype" w:cs="Palatino Linotype"/>
          <w:i/>
        </w:rPr>
        <w:t>Corresponden a la Coordinación Administrativa las siguientes atribuciones:</w:t>
      </w:r>
    </w:p>
    <w:p w14:paraId="50CA6625"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w:t>
      </w:r>
      <w:r w:rsidRPr="007D1383">
        <w:rPr>
          <w:rFonts w:ascii="Palatino Linotype" w:eastAsia="Palatino Linotype" w:hAnsi="Palatino Linotype" w:cs="Palatino Linotype"/>
          <w:i/>
        </w:rPr>
        <w:t>)</w:t>
      </w:r>
    </w:p>
    <w:p w14:paraId="7FBD7F57"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III. Cumplir y hacer cumplir las normas y políticas aplicables en materia de administración de recursos humanos, materiales y financieros;</w:t>
      </w:r>
    </w:p>
    <w:p w14:paraId="23CB2E02"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44B0D0E0"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VII. Programar, formular, coordinar, establecer y ejecutar las acciones y procedimientos para la adquisición de bienes y contratación de servicios que requiera la Secretaría, de acuerdo con la normatividad aplicable;”</w:t>
      </w:r>
    </w:p>
    <w:p w14:paraId="4E4A0C86" w14:textId="77777777" w:rsidR="002A76B7" w:rsidRPr="007D1383" w:rsidRDefault="002A76B7">
      <w:pPr>
        <w:spacing w:after="0" w:line="276" w:lineRule="auto"/>
        <w:ind w:right="902"/>
        <w:jc w:val="both"/>
        <w:rPr>
          <w:rFonts w:ascii="Palatino Linotype" w:eastAsia="Palatino Linotype" w:hAnsi="Palatino Linotype" w:cs="Palatino Linotype"/>
          <w:i/>
          <w:sz w:val="24"/>
          <w:szCs w:val="24"/>
        </w:rPr>
      </w:pPr>
    </w:p>
    <w:p w14:paraId="09CF40C8"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 xml:space="preserve">De acuerdo a lo anterior, la Coordinadora Administrativa cumple y hace cumplir las normas y políticas aplicables en materia de administración de recursos humanos, materiales y financieros, programa, formula, coordina, establece y ejecuta las acciones y procedimientos para la adquisición de bienes y contratación de servicios que requiera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D1383">
        <w:rPr>
          <w:rFonts w:ascii="Palatino Linotype" w:eastAsia="Palatino Linotype" w:hAnsi="Palatino Linotype" w:cs="Palatino Linotype"/>
          <w:b/>
          <w:sz w:val="24"/>
          <w:szCs w:val="24"/>
        </w:rPr>
        <w:t>tramitar ante las Áreas poseedoras de la información lo que se solicita</w:t>
      </w:r>
      <w:r w:rsidRPr="007D1383">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6EF4F2CC"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46137A83" w14:textId="77777777" w:rsidR="002A76B7" w:rsidRPr="007D1383" w:rsidRDefault="008F7530">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7D1383">
        <w:rPr>
          <w:rFonts w:ascii="Palatino Linotype" w:eastAsia="Palatino Linotype" w:hAnsi="Palatino Linotype" w:cs="Palatino Linotype"/>
          <w:b/>
        </w:rPr>
        <w:t>“Ley de Transparencia y Acceso a la Información Pública del Estado de México y Municipios</w:t>
      </w:r>
    </w:p>
    <w:p w14:paraId="744FDDE9" w14:textId="77777777" w:rsidR="002A76B7" w:rsidRPr="007D1383" w:rsidRDefault="002A76B7">
      <w:pPr>
        <w:tabs>
          <w:tab w:val="left" w:pos="709"/>
        </w:tabs>
        <w:spacing w:after="0" w:line="276" w:lineRule="auto"/>
        <w:ind w:left="851" w:right="760"/>
        <w:jc w:val="both"/>
        <w:rPr>
          <w:rFonts w:ascii="Palatino Linotype" w:eastAsia="Palatino Linotype" w:hAnsi="Palatino Linotype" w:cs="Palatino Linotype"/>
          <w:i/>
          <w:sz w:val="20"/>
          <w:szCs w:val="20"/>
        </w:rPr>
      </w:pPr>
    </w:p>
    <w:p w14:paraId="37012A2F"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42BC0E56"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D1383">
        <w:rPr>
          <w:rFonts w:ascii="Palatino Linotype" w:eastAsia="Palatino Linotype" w:hAnsi="Palatino Linotype" w:cs="Palatino Linotype"/>
          <w:b/>
          <w:i/>
          <w:u w:val="single"/>
        </w:rPr>
        <w:t>Dicha Unidad será la encargada de tramitar internamente la solicitud de información</w:t>
      </w:r>
      <w:r w:rsidRPr="007D1383">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7D1383">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437EDB19"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74A83076"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Artículo 53. Las Unidades de Transparencia tendrán las siguientes funciones:</w:t>
      </w:r>
    </w:p>
    <w:p w14:paraId="73580BA9"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13C448B6"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II. Recibir, tramitar y dar respuesta a las solicitudes de acceso a la información; </w:t>
      </w:r>
    </w:p>
    <w:p w14:paraId="6C261A66"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0CCFA24F"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b/>
          <w:i/>
          <w:u w:val="single"/>
        </w:rPr>
      </w:pPr>
      <w:r w:rsidRPr="007D1383">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14926FDE"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 Entregar, en su caso, a los particulares la información solicitada; </w:t>
      </w:r>
    </w:p>
    <w:p w14:paraId="50DA4FD8" w14:textId="77777777" w:rsidR="002A76B7" w:rsidRPr="007D1383" w:rsidRDefault="008F7530">
      <w:pPr>
        <w:tabs>
          <w:tab w:val="left" w:pos="709"/>
        </w:tabs>
        <w:spacing w:after="0" w:line="276" w:lineRule="auto"/>
        <w:ind w:left="851" w:right="760"/>
        <w:jc w:val="both"/>
        <w:rPr>
          <w:rFonts w:ascii="Palatino Linotype" w:eastAsia="Palatino Linotype" w:hAnsi="Palatino Linotype" w:cs="Palatino Linotype"/>
          <w:i/>
        </w:rPr>
      </w:pPr>
      <w:r w:rsidRPr="007D1383">
        <w:rPr>
          <w:rFonts w:ascii="Palatino Linotype" w:eastAsia="Palatino Linotype" w:hAnsi="Palatino Linotype" w:cs="Palatino Linotype"/>
          <w:i/>
        </w:rPr>
        <w:t>VI. Efectuar las notificaciones a los solicitantes;”</w:t>
      </w:r>
    </w:p>
    <w:p w14:paraId="6235F426" w14:textId="77777777" w:rsidR="002A76B7" w:rsidRPr="007D1383" w:rsidRDefault="002A76B7">
      <w:pPr>
        <w:tabs>
          <w:tab w:val="left" w:pos="709"/>
        </w:tabs>
        <w:spacing w:after="0" w:line="276" w:lineRule="auto"/>
        <w:ind w:left="851" w:right="760"/>
        <w:jc w:val="both"/>
        <w:rPr>
          <w:rFonts w:ascii="Palatino Linotype" w:eastAsia="Palatino Linotype" w:hAnsi="Palatino Linotype" w:cs="Palatino Linotype"/>
          <w:i/>
          <w:sz w:val="24"/>
          <w:szCs w:val="24"/>
        </w:rPr>
      </w:pPr>
    </w:p>
    <w:p w14:paraId="4AE4381C"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 xml:space="preserve">, lo cierto es que también tienen diversas Unidades Administrativas y cada área cuenta con un </w:t>
      </w:r>
      <w:r w:rsidRPr="007D1383">
        <w:rPr>
          <w:rFonts w:ascii="Palatino Linotype" w:eastAsia="Palatino Linotype" w:hAnsi="Palatino Linotype" w:cs="Palatino Linotype"/>
          <w:b/>
          <w:sz w:val="24"/>
          <w:szCs w:val="24"/>
        </w:rPr>
        <w:t>Servidor Público Habilitado</w:t>
      </w:r>
      <w:r w:rsidRPr="007D1383">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0497000" w14:textId="77777777" w:rsidR="002A76B7" w:rsidRPr="007D1383" w:rsidRDefault="002A76B7">
      <w:pPr>
        <w:spacing w:after="0" w:line="360" w:lineRule="auto"/>
        <w:rPr>
          <w:rFonts w:ascii="Palatino Linotype" w:eastAsia="Palatino Linotype" w:hAnsi="Palatino Linotype" w:cs="Palatino Linotype"/>
          <w:sz w:val="24"/>
          <w:szCs w:val="24"/>
        </w:rPr>
      </w:pPr>
    </w:p>
    <w:p w14:paraId="0C5A8413"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3.</w:t>
      </w:r>
      <w:r w:rsidRPr="007D1383">
        <w:rPr>
          <w:rFonts w:ascii="Palatino Linotype" w:eastAsia="Palatino Linotype" w:hAnsi="Palatino Linotype" w:cs="Palatino Linotype"/>
          <w:i/>
        </w:rPr>
        <w:t xml:space="preserve"> Para los efectos de la presente Ley se entenderá por:</w:t>
      </w:r>
    </w:p>
    <w:p w14:paraId="078978BD"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3FE9A81A"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 xml:space="preserve">XXXIX. Servidor público habilitado: </w:t>
      </w:r>
      <w:r w:rsidRPr="007D1383">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w:t>
      </w:r>
      <w:r w:rsidRPr="007D1383">
        <w:rPr>
          <w:rFonts w:ascii="Palatino Linotype" w:eastAsia="Palatino Linotype" w:hAnsi="Palatino Linotype" w:cs="Palatino Linotype"/>
          <w:i/>
        </w:rPr>
        <w:lastRenderedPageBreak/>
        <w:t>unidades de transparencia; respecto de las solicitudes presentadas y aportar en primera instancia el fundamento y motivación de la clasificación de la información;</w:t>
      </w:r>
    </w:p>
    <w:p w14:paraId="01E2C531"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p>
    <w:p w14:paraId="73B390CF" w14:textId="77777777" w:rsidR="002A76B7" w:rsidRPr="007D1383" w:rsidRDefault="008F7530">
      <w:pPr>
        <w:spacing w:after="0" w:line="276" w:lineRule="auto"/>
        <w:ind w:left="567" w:right="708"/>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58.</w:t>
      </w:r>
      <w:r w:rsidRPr="007D1383">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AC75541" w14:textId="77777777" w:rsidR="002A76B7" w:rsidRPr="007D1383" w:rsidRDefault="008F7530">
      <w:pPr>
        <w:spacing w:after="0" w:line="276" w:lineRule="auto"/>
        <w:ind w:left="567" w:right="708"/>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59.</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u w:val="single"/>
        </w:rPr>
        <w:t>Los servidores públicos habilitados</w:t>
      </w:r>
      <w:r w:rsidRPr="007D1383">
        <w:rPr>
          <w:rFonts w:ascii="Palatino Linotype" w:eastAsia="Palatino Linotype" w:hAnsi="Palatino Linotype" w:cs="Palatino Linotype"/>
          <w:i/>
        </w:rPr>
        <w:t xml:space="preserve"> tendrán las funciones siguientes:</w:t>
      </w:r>
    </w:p>
    <w:p w14:paraId="5C1E795A" w14:textId="77777777" w:rsidR="002A76B7" w:rsidRPr="007D1383" w:rsidRDefault="008F7530">
      <w:pPr>
        <w:spacing w:after="0" w:line="276" w:lineRule="auto"/>
        <w:ind w:left="567" w:right="708"/>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 </w:t>
      </w:r>
      <w:r w:rsidRPr="007D1383">
        <w:rPr>
          <w:rFonts w:ascii="Palatino Linotype" w:eastAsia="Palatino Linotype" w:hAnsi="Palatino Linotype" w:cs="Palatino Linotype"/>
          <w:b/>
          <w:i/>
          <w:u w:val="single"/>
        </w:rPr>
        <w:t>Localizar la información que le solicite la Unidad de Transparencia</w:t>
      </w:r>
      <w:r w:rsidRPr="007D1383">
        <w:rPr>
          <w:rFonts w:ascii="Palatino Linotype" w:eastAsia="Palatino Linotype" w:hAnsi="Palatino Linotype" w:cs="Palatino Linotype"/>
          <w:i/>
        </w:rPr>
        <w:t>;</w:t>
      </w:r>
    </w:p>
    <w:p w14:paraId="18224A43" w14:textId="77777777" w:rsidR="002A76B7" w:rsidRPr="007D1383" w:rsidRDefault="008F7530">
      <w:pPr>
        <w:spacing w:after="0" w:line="276" w:lineRule="auto"/>
        <w:ind w:left="567" w:right="708"/>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II. </w:t>
      </w:r>
      <w:r w:rsidRPr="007D1383">
        <w:rPr>
          <w:rFonts w:ascii="Palatino Linotype" w:eastAsia="Palatino Linotype" w:hAnsi="Palatino Linotype" w:cs="Palatino Linotype"/>
          <w:b/>
          <w:i/>
          <w:u w:val="single"/>
        </w:rPr>
        <w:t>Proporcionar la información que obre en los archivos y que le sea solicitada por la Unidad de Transparencia</w:t>
      </w:r>
      <w:r w:rsidRPr="007D1383">
        <w:rPr>
          <w:rFonts w:ascii="Palatino Linotype" w:eastAsia="Palatino Linotype" w:hAnsi="Palatino Linotype" w:cs="Palatino Linotype"/>
          <w:i/>
        </w:rPr>
        <w:t>;</w:t>
      </w:r>
    </w:p>
    <w:p w14:paraId="7687BAA3"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III. Apoyar a la Unidad de Transparencia en lo que esta le solicite para el cumplimiento de sus funciones;</w:t>
      </w:r>
    </w:p>
    <w:p w14:paraId="500FF84C"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IV. Proporcionar a la Unidad de Transparencia, las modificaciones a la información pública de oficio que obre en su poder;</w:t>
      </w:r>
    </w:p>
    <w:p w14:paraId="0FB569D5"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DA9CB46"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VI. Verificar, una vez analizado el contenido de la información, que no se encuentre en los supuestos de información clasificada; y</w:t>
      </w:r>
    </w:p>
    <w:p w14:paraId="35E80D6E"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VII. Dar cuenta a la Unidad de Transparencia del vencimiento de los plazos de reserva.”</w:t>
      </w:r>
    </w:p>
    <w:p w14:paraId="2257F600"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3852AF4"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En otras palabras, </w:t>
      </w:r>
      <w:r w:rsidRPr="007D1383">
        <w:rPr>
          <w:rFonts w:ascii="Palatino Linotype" w:eastAsia="Palatino Linotype" w:hAnsi="Palatino Linotype" w:cs="Palatino Linotype"/>
          <w:b/>
          <w:sz w:val="24"/>
          <w:szCs w:val="24"/>
        </w:rPr>
        <w:t xml:space="preserve">EL SUJETO OBLIGADO </w:t>
      </w:r>
      <w:r w:rsidRPr="007D1383">
        <w:rPr>
          <w:rFonts w:ascii="Palatino Linotype" w:eastAsia="Palatino Linotype" w:hAnsi="Palatino Linotype" w:cs="Palatino Linotype"/>
          <w:sz w:val="24"/>
          <w:szCs w:val="24"/>
        </w:rPr>
        <w:t xml:space="preserve">cumplió con lo </w:t>
      </w:r>
      <w:proofErr w:type="gramStart"/>
      <w:r w:rsidRPr="007D1383">
        <w:rPr>
          <w:rFonts w:ascii="Palatino Linotype" w:eastAsia="Palatino Linotype" w:hAnsi="Palatino Linotype" w:cs="Palatino Linotype"/>
          <w:sz w:val="24"/>
          <w:szCs w:val="24"/>
        </w:rPr>
        <w:t>que</w:t>
      </w:r>
      <w:proofErr w:type="gramEnd"/>
      <w:r w:rsidRPr="007D1383">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46CD9B05" w14:textId="77777777" w:rsidR="002A76B7" w:rsidRPr="007D1383" w:rsidRDefault="002A76B7">
      <w:pPr>
        <w:rPr>
          <w:rFonts w:ascii="Palatino Linotype" w:eastAsia="Palatino Linotype" w:hAnsi="Palatino Linotype" w:cs="Palatino Linotype"/>
          <w:sz w:val="24"/>
          <w:szCs w:val="24"/>
        </w:rPr>
      </w:pPr>
    </w:p>
    <w:p w14:paraId="58C0FA7D" w14:textId="77777777" w:rsidR="002A76B7" w:rsidRPr="007D1383" w:rsidRDefault="008F7530">
      <w:pPr>
        <w:spacing w:after="0" w:line="276" w:lineRule="auto"/>
        <w:ind w:left="567"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 xml:space="preserve">Artículo 162. </w:t>
      </w:r>
      <w:r w:rsidRPr="007D1383">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 xml:space="preserve"> [Énfasis añadido]</w:t>
      </w:r>
    </w:p>
    <w:p w14:paraId="7E5667EC" w14:textId="77777777" w:rsidR="002A76B7" w:rsidRPr="007D1383" w:rsidRDefault="002A76B7">
      <w:pPr>
        <w:rPr>
          <w:rFonts w:ascii="Palatino Linotype" w:eastAsia="Palatino Linotype" w:hAnsi="Palatino Linotype" w:cs="Palatino Linotype"/>
          <w:sz w:val="24"/>
          <w:szCs w:val="24"/>
        </w:rPr>
      </w:pPr>
    </w:p>
    <w:p w14:paraId="53DDB2C2" w14:textId="77777777" w:rsidR="002A76B7" w:rsidRPr="007D1383" w:rsidRDefault="008F7530">
      <w:pPr>
        <w:tabs>
          <w:tab w:val="left" w:pos="7938"/>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7B1F9736"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5F8F18D"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Aclarado lo anterior, es oportuno reiterar los puntos siguientes:</w:t>
      </w:r>
    </w:p>
    <w:p w14:paraId="3A57564F"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396F55B" w14:textId="77777777" w:rsidR="002A76B7" w:rsidRPr="007D1383" w:rsidRDefault="008F7530">
      <w:pPr>
        <w:numPr>
          <w:ilvl w:val="0"/>
          <w:numId w:val="4"/>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La fecha y detalles de la licitación.</w:t>
      </w:r>
    </w:p>
    <w:p w14:paraId="114F8A0A"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El procedimiento adquisitivo para la contratación del servicio de diseño e impartición de 22 obras de teatro, no se realizó a través de una licitación pública, se llevó mediante una adjudicación directa mixta No. AA-74-058-915002994-N-8-2024, se inició con la presentación y apertura de cotizaciones el día 28 de junio de 2024.</w:t>
      </w:r>
    </w:p>
    <w:p w14:paraId="336F5D4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25A36BF"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¿Por qué medio la ciudadanía se enteró?</w:t>
      </w:r>
    </w:p>
    <w:p w14:paraId="69F321F0"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El proceso adquisitivo se publicó en el sistema electrónico de información pública gubernamental federal sobre adquisiciones, arrendamientos y servicios denominado “CompraNet”.</w:t>
      </w:r>
    </w:p>
    <w:p w14:paraId="2F69EB40"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¿Quiénes participaron?</w:t>
      </w:r>
    </w:p>
    <w:p w14:paraId="0D72C1C8"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ASOCIACIÓN PARA EL DESARROLLO EMPRESARIAL LF S.C.</w:t>
      </w:r>
    </w:p>
    <w:p w14:paraId="0680CCBB"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CENTRO DE EVALUACIÓN EDUCATIVO Y COMPETENCIA PROFESIONALES DE HIDALGO CEECPH S.C.</w:t>
      </w:r>
    </w:p>
    <w:p w14:paraId="163AE8D2"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GRUPO INTERSECCIONAL XIRK S.A.S.</w:t>
      </w:r>
    </w:p>
    <w:p w14:paraId="6D026D52"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 quién se asignó?</w:t>
      </w:r>
    </w:p>
    <w:p w14:paraId="1128C300"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Se emitió el fallo a favor de GRUPO INTERSECCIONAL XIRK S.A.S.</w:t>
      </w:r>
    </w:p>
    <w:p w14:paraId="63CD932A" w14:textId="77777777" w:rsidR="002A76B7" w:rsidRPr="007D1383" w:rsidRDefault="002A76B7">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p>
    <w:p w14:paraId="6093ACFD"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¿Cuáles fueron los criterios?</w:t>
      </w:r>
    </w:p>
    <w:p w14:paraId="1C6053FB" w14:textId="77777777" w:rsidR="002A76B7" w:rsidRPr="007D1383" w:rsidRDefault="008F7530">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Los criterios para la contratación fueron conforme a lo establecido por el artículo 51, párrafo segundo del Reglamento de la Ley de Adquisiciones, Arrendamientos y Servicios del Sector Público, mismo que cito.</w:t>
      </w:r>
    </w:p>
    <w:p w14:paraId="36829781"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AFB091A"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Por lo anterior, logramos advertir, que </w:t>
      </w:r>
      <w:r w:rsidRPr="007D1383">
        <w:rPr>
          <w:rFonts w:ascii="Palatino Linotype" w:eastAsia="Palatino Linotype" w:hAnsi="Palatino Linotype" w:cs="Palatino Linotype"/>
          <w:b/>
          <w:sz w:val="24"/>
          <w:szCs w:val="24"/>
        </w:rPr>
        <w:t xml:space="preserve">EL SUJETO OBLIGADO </w:t>
      </w:r>
      <w:r w:rsidRPr="007D1383">
        <w:rPr>
          <w:rFonts w:ascii="Palatino Linotype" w:eastAsia="Palatino Linotype" w:hAnsi="Palatino Linotype" w:cs="Palatino Linotype"/>
          <w:sz w:val="24"/>
          <w:szCs w:val="24"/>
        </w:rPr>
        <w:t xml:space="preserve">proporcionó la fecha, los detalles, el medio por el que la ciudadanía se enteró, quiénes participaron, a quién se asignó y </w:t>
      </w:r>
      <w:proofErr w:type="spellStart"/>
      <w:r w:rsidRPr="007D1383">
        <w:rPr>
          <w:rFonts w:ascii="Palatino Linotype" w:eastAsia="Palatino Linotype" w:hAnsi="Palatino Linotype" w:cs="Palatino Linotype"/>
          <w:sz w:val="24"/>
          <w:szCs w:val="24"/>
        </w:rPr>
        <w:t>cuales</w:t>
      </w:r>
      <w:proofErr w:type="spellEnd"/>
      <w:r w:rsidRPr="007D1383">
        <w:rPr>
          <w:rFonts w:ascii="Palatino Linotype" w:eastAsia="Palatino Linotype" w:hAnsi="Palatino Linotype" w:cs="Palatino Linotype"/>
          <w:sz w:val="24"/>
          <w:szCs w:val="24"/>
        </w:rPr>
        <w:t xml:space="preserve"> fueron los criterios para la contratación del servicio referido en la solicitud. </w:t>
      </w:r>
    </w:p>
    <w:p w14:paraId="1B99111A"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A31C013"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1A28A7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3A7EBB4" w14:textId="77777777" w:rsidR="002A76B7" w:rsidRPr="007D1383" w:rsidRDefault="008F753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Sirviendo de apoyo a lo anterior por analogía, el criterio 31-10 emitido por el ahora Instituto Nacional de Transparencia, Acceso a la Información y Protección de Datos Personales, que a la letra dice:</w:t>
      </w:r>
    </w:p>
    <w:p w14:paraId="2C0A0965" w14:textId="77777777" w:rsidR="002A76B7" w:rsidRPr="007D1383" w:rsidRDefault="002A76B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173997" w14:textId="77777777" w:rsidR="002A76B7" w:rsidRPr="007D1383" w:rsidRDefault="008F7530">
      <w:pPr>
        <w:spacing w:after="0" w:line="276" w:lineRule="auto"/>
        <w:ind w:left="567" w:right="618"/>
        <w:jc w:val="both"/>
        <w:rPr>
          <w:rFonts w:ascii="Palatino Linotype" w:eastAsia="Palatino Linotype" w:hAnsi="Palatino Linotype" w:cs="Palatino Linotype"/>
          <w:i/>
        </w:rPr>
      </w:pPr>
      <w:r w:rsidRPr="007D1383">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E091DC9" w14:textId="77777777" w:rsidR="002A76B7" w:rsidRPr="007D1383" w:rsidRDefault="002A76B7">
      <w:pPr>
        <w:tabs>
          <w:tab w:val="left" w:pos="709"/>
        </w:tabs>
        <w:spacing w:after="0" w:line="360" w:lineRule="auto"/>
        <w:ind w:right="40"/>
        <w:jc w:val="both"/>
        <w:rPr>
          <w:rFonts w:ascii="Palatino Linotype" w:eastAsia="Palatino Linotype" w:hAnsi="Palatino Linotype" w:cs="Palatino Linotype"/>
          <w:sz w:val="24"/>
          <w:szCs w:val="24"/>
        </w:rPr>
      </w:pPr>
    </w:p>
    <w:p w14:paraId="4EC8903F" w14:textId="77777777" w:rsidR="002A76B7" w:rsidRPr="007D1383" w:rsidRDefault="008F7530">
      <w:pPr>
        <w:tabs>
          <w:tab w:val="left" w:pos="4962"/>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Por lo anterior, lo procedente es dar por colmado estos puntos de la solicitud. </w:t>
      </w:r>
    </w:p>
    <w:p w14:paraId="7F528DC2"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1D15599E"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 xml:space="preserve">Respecto al </w:t>
      </w:r>
      <w:proofErr w:type="spellStart"/>
      <w:r w:rsidRPr="007D1383">
        <w:rPr>
          <w:rFonts w:ascii="Palatino Linotype" w:eastAsia="Palatino Linotype" w:hAnsi="Palatino Linotype" w:cs="Palatino Linotype"/>
          <w:b/>
          <w:sz w:val="24"/>
          <w:szCs w:val="24"/>
        </w:rPr>
        <w:t>curriculum</w:t>
      </w:r>
      <w:proofErr w:type="spellEnd"/>
      <w:r w:rsidRPr="007D1383">
        <w:rPr>
          <w:rFonts w:ascii="Palatino Linotype" w:eastAsia="Palatino Linotype" w:hAnsi="Palatino Linotype" w:cs="Palatino Linotype"/>
          <w:b/>
          <w:sz w:val="24"/>
          <w:szCs w:val="24"/>
        </w:rPr>
        <w:t xml:space="preserve"> de las empresas participantes. </w:t>
      </w:r>
    </w:p>
    <w:p w14:paraId="571BCBE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606A3E06"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Para tal efecto, debe precisarse en primer lugar, que el concepto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corresponde a una locución latina cuyo significado es </w:t>
      </w:r>
      <w:r w:rsidRPr="007D1383">
        <w:rPr>
          <w:rFonts w:ascii="Palatino Linotype" w:eastAsia="Palatino Linotype" w:hAnsi="Palatino Linotype" w:cs="Palatino Linotype"/>
          <w:i/>
          <w:sz w:val="24"/>
          <w:szCs w:val="24"/>
        </w:rPr>
        <w:t>“carrera de vida”, Se usa como locución nominal masculina para designar la relación de los datos personales, formación académica, actividad laboral y méritos de una persona.” (Sic)</w:t>
      </w:r>
    </w:p>
    <w:p w14:paraId="66DA559A" w14:textId="77777777" w:rsidR="002A76B7" w:rsidRPr="007D1383" w:rsidRDefault="002A76B7">
      <w:pPr>
        <w:spacing w:after="0" w:line="360" w:lineRule="auto"/>
        <w:jc w:val="both"/>
        <w:rPr>
          <w:rFonts w:ascii="Palatino Linotype" w:eastAsia="Palatino Linotype" w:hAnsi="Palatino Linotype" w:cs="Palatino Linotype"/>
          <w:i/>
          <w:sz w:val="24"/>
          <w:szCs w:val="24"/>
        </w:rPr>
      </w:pPr>
    </w:p>
    <w:p w14:paraId="6112E496"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 xml:space="preserve">Como logramos advertir, el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vitae, corresponde a un documento que se genera por una persona física en donde podría apreciar la preparación académica y laboral que tiene, además de los méritos obtenidos tal y como podrían ser cursos, certificaciones o capacitaciones; no obstante, es de reiterar que, en el asunto que nos ocupa resolver, tomando como referencia el contexto de la solicitud, la persona solicitante pretende acceder a los </w:t>
      </w:r>
      <w:proofErr w:type="spellStart"/>
      <w:r w:rsidRPr="007D1383">
        <w:rPr>
          <w:rFonts w:ascii="Palatino Linotype" w:eastAsia="Palatino Linotype" w:hAnsi="Palatino Linotype" w:cs="Palatino Linotype"/>
          <w:sz w:val="24"/>
          <w:szCs w:val="24"/>
        </w:rPr>
        <w:t>curriculums</w:t>
      </w:r>
      <w:proofErr w:type="spellEnd"/>
      <w:r w:rsidRPr="007D1383">
        <w:rPr>
          <w:rFonts w:ascii="Palatino Linotype" w:eastAsia="Palatino Linotype" w:hAnsi="Palatino Linotype" w:cs="Palatino Linotype"/>
          <w:sz w:val="24"/>
          <w:szCs w:val="24"/>
        </w:rPr>
        <w:t xml:space="preserve"> de las empresas que participaron en la adjudicación; y si bien es cierto,  no se logra advertir fuente obligacional para que las empresas participantes presenten su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vitae;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en un ejercicio de máxima publicidad, proporcionó el </w:t>
      </w:r>
      <w:proofErr w:type="spellStart"/>
      <w:r w:rsidRPr="007D1383">
        <w:rPr>
          <w:rFonts w:ascii="Palatino Linotype" w:eastAsia="Palatino Linotype" w:hAnsi="Palatino Linotype" w:cs="Palatino Linotype"/>
          <w:sz w:val="24"/>
          <w:szCs w:val="24"/>
        </w:rPr>
        <w:t>curriculum</w:t>
      </w:r>
      <w:proofErr w:type="spellEnd"/>
      <w:r w:rsidRPr="007D1383">
        <w:rPr>
          <w:rFonts w:ascii="Palatino Linotype" w:eastAsia="Palatino Linotype" w:hAnsi="Palatino Linotype" w:cs="Palatino Linotype"/>
          <w:sz w:val="24"/>
          <w:szCs w:val="24"/>
        </w:rPr>
        <w:t xml:space="preserve"> empresarial, de los cuales se testó el teléfono, correo electrónico, nombre, fotografía, redes sociales y dirección electrónica o sitios web de particulares, sin embargo, en el acuerdo que sustenta la versión pública, no  señala la motivación legal del porque se considera como información confidencial, además de los datos que testó se advierte, lo siguiente:</w:t>
      </w:r>
    </w:p>
    <w:p w14:paraId="2CD8410F"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F44ABDF"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Correo electrónico, teléfono, redes sociales y sitios </w:t>
      </w:r>
      <w:proofErr w:type="spellStart"/>
      <w:r w:rsidRPr="007D1383">
        <w:rPr>
          <w:rFonts w:ascii="Palatino Linotype" w:eastAsia="Palatino Linotype" w:hAnsi="Palatino Linotype" w:cs="Palatino Linotype"/>
          <w:b/>
          <w:sz w:val="24"/>
          <w:szCs w:val="24"/>
        </w:rPr>
        <w:t>wed</w:t>
      </w:r>
      <w:proofErr w:type="spellEnd"/>
      <w:r w:rsidRPr="007D1383">
        <w:rPr>
          <w:rFonts w:ascii="Palatino Linotype" w:eastAsia="Palatino Linotype" w:hAnsi="Palatino Linotype" w:cs="Palatino Linotype"/>
          <w:b/>
          <w:sz w:val="24"/>
          <w:szCs w:val="24"/>
        </w:rPr>
        <w:t xml:space="preserve"> de particulares.</w:t>
      </w:r>
    </w:p>
    <w:p w14:paraId="08827889"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056D040"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Dicho dato se puede asimilar al teléfono, cuya nomenclatura, se considera como un dato personal, toda vez que es un medio para comunicarse con la persona titular del mismo, la hace localizable e incluso identificable, al poder estar conformado por parte de su nombre o bien, fecha de nacimiento, dato corresponde a la persona física y no así en su calidad de trabajador del Gobierno; por lo que corresponde a un dato personal que actualiza la causal de clasificación establecida en el artículo 143, </w:t>
      </w:r>
      <w:r w:rsidRPr="007D1383">
        <w:rPr>
          <w:rFonts w:ascii="Palatino Linotype" w:eastAsia="Palatino Linotype" w:hAnsi="Palatino Linotype" w:cs="Palatino Linotype"/>
          <w:sz w:val="24"/>
          <w:szCs w:val="24"/>
        </w:rPr>
        <w:lastRenderedPageBreak/>
        <w:t>fracción I de la Ley de Transparencia y Acceso a la Información Pública del Estado de México y Municipios.</w:t>
      </w:r>
    </w:p>
    <w:p w14:paraId="6D7FEEB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FF660B6"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Al igual que el correo electrónico, el número asignado a un teléfono particular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 y no como servidor público.</w:t>
      </w:r>
    </w:p>
    <w:p w14:paraId="09E90BCC"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4C76573E"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Sin embargo, no pasa desapercibido mencionar que el número asignado a un teléfono y correo electrónico de un proveedor, si bien hacen identificable a una persona (física o moral), en el caso de proveedores que recibe recursos públicos, derivado de los contratos celebrados con los Sujetos Obligados y, por lo tanto, dichos datos guardan la naturaleza de públicos. 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72FDBFF6"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noProof/>
          <w:sz w:val="24"/>
          <w:szCs w:val="24"/>
        </w:rPr>
        <w:lastRenderedPageBreak/>
        <w:drawing>
          <wp:inline distT="0" distB="0" distL="0" distR="0" wp14:anchorId="52CB2EC0" wp14:editId="57CD591C">
            <wp:extent cx="5612130" cy="139509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179"/>
                    <a:stretch>
                      <a:fillRect/>
                    </a:stretch>
                  </pic:blipFill>
                  <pic:spPr>
                    <a:xfrm>
                      <a:off x="0" y="0"/>
                      <a:ext cx="5612130" cy="1395095"/>
                    </a:xfrm>
                    <a:prstGeom prst="rect">
                      <a:avLst/>
                    </a:prstGeom>
                    <a:ln/>
                  </pic:spPr>
                </pic:pic>
              </a:graphicData>
            </a:graphic>
          </wp:inline>
        </w:drawing>
      </w:r>
    </w:p>
    <w:p w14:paraId="0BBA236D"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Como se logra observar, el teléfono y correo electrónico de los proveedores es público y debe ser transparentado por los Sujetos Obligados, al cumplir con sus obligaciones comunes de transparencia </w:t>
      </w:r>
      <w:proofErr w:type="gramStart"/>
      <w:r w:rsidRPr="007D1383">
        <w:rPr>
          <w:rFonts w:ascii="Palatino Linotype" w:eastAsia="Palatino Linotype" w:hAnsi="Palatino Linotype" w:cs="Palatino Linotype"/>
          <w:sz w:val="24"/>
          <w:szCs w:val="24"/>
        </w:rPr>
        <w:t>y</w:t>
      </w:r>
      <w:proofErr w:type="gramEnd"/>
      <w:r w:rsidRPr="007D1383">
        <w:rPr>
          <w:rFonts w:ascii="Palatino Linotype" w:eastAsia="Palatino Linotype" w:hAnsi="Palatino Linotype" w:cs="Palatino Linotype"/>
          <w:sz w:val="24"/>
          <w:szCs w:val="24"/>
        </w:rPr>
        <w:t xml:space="preserve"> por lo tanto, no actualizan la causal de clasificación en términos del artículo 143, fracción I, de la Ley de Transparencia y Acceso a la Información Pública del Estado de México y Municipios, y es susceptible de entregar. </w:t>
      </w:r>
    </w:p>
    <w:p w14:paraId="7EEDC52A" w14:textId="77777777" w:rsidR="002A76B7" w:rsidRPr="007D1383" w:rsidRDefault="002A76B7">
      <w:pPr>
        <w:spacing w:after="0" w:line="360" w:lineRule="auto"/>
        <w:jc w:val="both"/>
        <w:rPr>
          <w:rFonts w:ascii="Palatino Linotype" w:eastAsia="Palatino Linotype" w:hAnsi="Palatino Linotype" w:cs="Palatino Linotype"/>
          <w:sz w:val="28"/>
          <w:szCs w:val="28"/>
        </w:rPr>
      </w:pPr>
    </w:p>
    <w:p w14:paraId="02B1E1C9" w14:textId="77777777" w:rsidR="002A76B7" w:rsidRPr="007D1383" w:rsidRDefault="008F7530">
      <w:pPr>
        <w:spacing w:after="0" w:line="360" w:lineRule="auto"/>
        <w:ind w:right="51"/>
        <w:jc w:val="both"/>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Fotografía de particulares.</w:t>
      </w:r>
    </w:p>
    <w:p w14:paraId="7D2F8381"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2D4E181" w14:textId="77777777" w:rsidR="002A76B7" w:rsidRPr="007D1383" w:rsidRDefault="008F7530">
      <w:pPr>
        <w:tabs>
          <w:tab w:val="left" w:pos="4962"/>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Es preciso señalar que estas dan cuenta de las características físicas, dando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BDBE329" w14:textId="77777777" w:rsidR="002A76B7" w:rsidRPr="007D1383" w:rsidRDefault="002A76B7">
      <w:pPr>
        <w:tabs>
          <w:tab w:val="left" w:pos="4962"/>
        </w:tabs>
        <w:spacing w:after="0" w:line="360" w:lineRule="auto"/>
        <w:jc w:val="both"/>
        <w:rPr>
          <w:rFonts w:ascii="Palatino Linotype" w:eastAsia="Palatino Linotype" w:hAnsi="Palatino Linotype" w:cs="Palatino Linotype"/>
          <w:sz w:val="24"/>
          <w:szCs w:val="24"/>
        </w:rPr>
      </w:pPr>
    </w:p>
    <w:p w14:paraId="1DA678CF" w14:textId="77777777" w:rsidR="002A76B7" w:rsidRPr="007D1383" w:rsidRDefault="008F7530">
      <w:pPr>
        <w:tabs>
          <w:tab w:val="left" w:pos="4962"/>
        </w:tabs>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Así, </w:t>
      </w:r>
      <w:proofErr w:type="gramStart"/>
      <w:r w:rsidRPr="007D1383">
        <w:rPr>
          <w:rFonts w:ascii="Palatino Linotype" w:eastAsia="Palatino Linotype" w:hAnsi="Palatino Linotype" w:cs="Palatino Linotype"/>
          <w:sz w:val="24"/>
          <w:szCs w:val="24"/>
        </w:rPr>
        <w:t>dicho dato constituyen</w:t>
      </w:r>
      <w:proofErr w:type="gramEnd"/>
      <w:r w:rsidRPr="007D1383">
        <w:rPr>
          <w:rFonts w:ascii="Palatino Linotype" w:eastAsia="Palatino Linotype" w:hAnsi="Palatino Linotype" w:cs="Palatino Linotype"/>
          <w:sz w:val="24"/>
          <w:szCs w:val="24"/>
        </w:rPr>
        <w:t xml:space="preserve"> la reproducción fiel de las características físicas de una persona en un momento determinado, por lo que representan un instrumento de </w:t>
      </w:r>
      <w:r w:rsidRPr="007D1383">
        <w:rPr>
          <w:rFonts w:ascii="Palatino Linotype" w:eastAsia="Palatino Linotype" w:hAnsi="Palatino Linotype" w:cs="Palatino Linotype"/>
          <w:sz w:val="24"/>
          <w:szCs w:val="24"/>
        </w:rPr>
        <w:lastRenderedPageBreak/>
        <w:t>identificación, proyección exterior y factor imprescindible para su propio reconocimiento como sujeto individual, por lo que corresponde a un dato personal que actualiza la causal de clasificación establecida en el artículo 143, fracción I de la Ley de Transparencia y Acceso a la Información Pública del Estado de México y Municipios.</w:t>
      </w:r>
    </w:p>
    <w:p w14:paraId="167559AB" w14:textId="77777777" w:rsidR="002A76B7" w:rsidRPr="007D1383" w:rsidRDefault="002A76B7">
      <w:pPr>
        <w:tabs>
          <w:tab w:val="left" w:pos="4962"/>
        </w:tabs>
        <w:spacing w:after="0" w:line="360" w:lineRule="auto"/>
      </w:pPr>
    </w:p>
    <w:p w14:paraId="2EFDBF00"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Sin embargo, de una revisión a la documentación en análisis, se advierte que no solo se testó la fotografía de particulares, también se testó la fotografía de elementos de seguridad operativos, al respecto, la información </w:t>
      </w:r>
      <w:r w:rsidRPr="007D1383">
        <w:rPr>
          <w:rFonts w:ascii="Palatino Linotype" w:eastAsia="Palatino Linotype" w:hAnsi="Palatino Linotype" w:cs="Palatino Linotype"/>
          <w:b/>
          <w:sz w:val="24"/>
          <w:szCs w:val="24"/>
        </w:rPr>
        <w:t>de los elementos que realizan funciones operativas, entre ellos su imagen debe ser protegido</w:t>
      </w:r>
      <w:r w:rsidRPr="007D1383">
        <w:rPr>
          <w:rFonts w:ascii="Palatino Linotype" w:eastAsia="Palatino Linotype" w:hAnsi="Palatino Linotype" w:cs="Palatino Linotype"/>
          <w:sz w:val="24"/>
          <w:szCs w:val="24"/>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7954096" w14:textId="77777777" w:rsidR="002A76B7" w:rsidRPr="007D1383" w:rsidRDefault="002A76B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3DB8F50" w14:textId="77777777" w:rsidR="002A76B7" w:rsidRPr="007D1383" w:rsidRDefault="008F753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w:t>
      </w:r>
      <w:r w:rsidRPr="007D1383">
        <w:rPr>
          <w:rFonts w:ascii="Palatino Linotype" w:eastAsia="Palatino Linotype" w:hAnsi="Palatino Linotype" w:cs="Palatino Linotype"/>
          <w:sz w:val="24"/>
          <w:szCs w:val="24"/>
        </w:rPr>
        <w:lastRenderedPageBreak/>
        <w:t>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6915BB37" w14:textId="77777777" w:rsidR="002A76B7" w:rsidRPr="007D1383" w:rsidRDefault="002A76B7">
      <w:pPr>
        <w:pBdr>
          <w:top w:val="nil"/>
          <w:left w:val="nil"/>
          <w:bottom w:val="nil"/>
          <w:right w:val="nil"/>
          <w:between w:val="nil"/>
        </w:pBdr>
        <w:spacing w:after="0" w:line="360" w:lineRule="auto"/>
        <w:jc w:val="both"/>
        <w:rPr>
          <w:sz w:val="24"/>
          <w:szCs w:val="24"/>
        </w:rPr>
      </w:pPr>
    </w:p>
    <w:p w14:paraId="01BC0DF1" w14:textId="77777777" w:rsidR="002A76B7" w:rsidRPr="007D1383" w:rsidRDefault="008F7530">
      <w:pPr>
        <w:pBdr>
          <w:top w:val="nil"/>
          <w:left w:val="nil"/>
          <w:bottom w:val="nil"/>
          <w:right w:val="nil"/>
          <w:between w:val="nil"/>
        </w:pBdr>
        <w:spacing w:after="0" w:line="360" w:lineRule="auto"/>
        <w:jc w:val="both"/>
        <w:rPr>
          <w:sz w:val="24"/>
          <w:szCs w:val="24"/>
        </w:rPr>
      </w:pPr>
      <w:r w:rsidRPr="007D1383">
        <w:rPr>
          <w:rFonts w:ascii="Palatino Linotype" w:eastAsia="Palatino Linotype" w:hAnsi="Palatino Linotype" w:cs="Palatino Linotype"/>
          <w:sz w:val="24"/>
          <w:szCs w:val="24"/>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266F8BAD"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04E3D60"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Dicha valoración, debe realizarse caso por caso, a través de lo que se conoce como la llamada </w:t>
      </w:r>
      <w:r w:rsidRPr="007D1383">
        <w:rPr>
          <w:rFonts w:ascii="Palatino Linotype" w:eastAsia="Palatino Linotype" w:hAnsi="Palatino Linotype" w:cs="Palatino Linotype"/>
          <w:i/>
          <w:sz w:val="24"/>
          <w:szCs w:val="24"/>
        </w:rPr>
        <w:t>“prueba de daño”</w:t>
      </w:r>
      <w:r w:rsidRPr="007D1383">
        <w:rPr>
          <w:rFonts w:ascii="Palatino Linotype" w:eastAsia="Palatino Linotype" w:hAnsi="Palatino Linotype" w:cs="Palatino Linotype"/>
          <w:sz w:val="24"/>
          <w:szCs w:val="24"/>
        </w:rPr>
        <w:t xml:space="preserve">, que consiste en exponer los argumentos y razones, basados en elementos objetivos o verificables, a partir de los cuales se derive que la </w:t>
      </w:r>
      <w:r w:rsidRPr="007D1383">
        <w:rPr>
          <w:rFonts w:ascii="Palatino Linotype" w:eastAsia="Palatino Linotype" w:hAnsi="Palatino Linotype" w:cs="Palatino Linotype"/>
          <w:sz w:val="24"/>
          <w:szCs w:val="24"/>
        </w:rPr>
        <w:lastRenderedPageBreak/>
        <w:t xml:space="preserve">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749547F7"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DF6C27F"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1E904E0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10EAF8D"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“Segundo.</w:t>
      </w:r>
      <w:r w:rsidRPr="007D1383">
        <w:rPr>
          <w:rFonts w:ascii="Palatino Linotype" w:eastAsia="Palatino Linotype" w:hAnsi="Palatino Linotype" w:cs="Palatino Linotype"/>
          <w:i/>
        </w:rPr>
        <w:t xml:space="preserve"> Para efectos de los presentes Lineamientos Generales, se entenderá por: </w:t>
      </w:r>
    </w:p>
    <w:p w14:paraId="4B716680" w14:textId="77777777" w:rsidR="002A76B7" w:rsidRPr="007D1383" w:rsidRDefault="008F7530">
      <w:pPr>
        <w:spacing w:after="0" w:line="276" w:lineRule="auto"/>
        <w:ind w:left="1134" w:right="902"/>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w:t>
      </w:r>
    </w:p>
    <w:p w14:paraId="587611C4" w14:textId="77777777" w:rsidR="002A76B7" w:rsidRPr="007D1383" w:rsidRDefault="008F7530">
      <w:pPr>
        <w:spacing w:after="0" w:line="276" w:lineRule="auto"/>
        <w:ind w:left="1134" w:right="902"/>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XIII.    Prueba de daño</w:t>
      </w:r>
      <w:r w:rsidRPr="007D1383">
        <w:rPr>
          <w:rFonts w:ascii="Palatino Linotype" w:eastAsia="Palatino Linotype" w:hAnsi="Palatino Linotype" w:cs="Palatino Linotype"/>
          <w:i/>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7D1383">
        <w:rPr>
          <w:rFonts w:ascii="Palatino Linotype" w:eastAsia="Palatino Linotype" w:hAnsi="Palatino Linotype" w:cs="Palatino Linotype"/>
          <w:b/>
          <w:i/>
        </w:rPr>
        <w:t>”</w:t>
      </w:r>
    </w:p>
    <w:p w14:paraId="4494812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02C16DB"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w:t>
      </w:r>
      <w:r w:rsidRPr="007D1383">
        <w:rPr>
          <w:rFonts w:ascii="Palatino Linotype" w:eastAsia="Palatino Linotype" w:hAnsi="Palatino Linotype" w:cs="Palatino Linotype"/>
          <w:sz w:val="24"/>
          <w:szCs w:val="24"/>
        </w:rPr>
        <w:lastRenderedPageBreak/>
        <w:t>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067586EF"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5C63B37"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0DA9642"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CC31D51" w14:textId="77777777" w:rsidR="002A76B7" w:rsidRPr="007D1383" w:rsidRDefault="008F7530">
      <w:pPr>
        <w:numPr>
          <w:ilvl w:val="0"/>
          <w:numId w:val="3"/>
        </w:numPr>
        <w:spacing w:after="0" w:line="360" w:lineRule="auto"/>
        <w:ind w:left="8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Se reciba una solicitud de acceso a la información.</w:t>
      </w:r>
    </w:p>
    <w:p w14:paraId="4448A73C" w14:textId="77777777" w:rsidR="002A76B7" w:rsidRPr="007D1383" w:rsidRDefault="008F7530">
      <w:pPr>
        <w:numPr>
          <w:ilvl w:val="0"/>
          <w:numId w:val="3"/>
        </w:numPr>
        <w:spacing w:after="0" w:line="360" w:lineRule="auto"/>
        <w:ind w:left="8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Se determine mediante resolución de autoridad competente.</w:t>
      </w:r>
    </w:p>
    <w:p w14:paraId="324482F0" w14:textId="77777777" w:rsidR="002A76B7" w:rsidRPr="007D1383" w:rsidRDefault="008F7530">
      <w:pPr>
        <w:numPr>
          <w:ilvl w:val="0"/>
          <w:numId w:val="3"/>
        </w:numPr>
        <w:spacing w:after="0" w:line="360" w:lineRule="auto"/>
        <w:ind w:left="8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Se generen versiones públicas para dar cumplimiento a las obligaciones de transparencia previstas en la Ley.</w:t>
      </w:r>
    </w:p>
    <w:p w14:paraId="095FF85F"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41C81D6B"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Situación que se robustece con el artículo 141 de la misma Ley, que señala que las causales de reserva previstas, se deberán fundar y motivar, a través de la aplicación de la prueba de daño.</w:t>
      </w:r>
    </w:p>
    <w:p w14:paraId="351D6199"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4335E840"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061BA589"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DAA3AC7"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129</w:t>
      </w:r>
      <w:r w:rsidRPr="007D1383">
        <w:rPr>
          <w:rFonts w:ascii="Palatino Linotype" w:eastAsia="Palatino Linotype" w:hAnsi="Palatino Linotype" w:cs="Palatino Linotype"/>
          <w:i/>
        </w:rPr>
        <w:t>. En la aplicación de la prueba de daño, el sujeto obligado deberá precisar las razones objetivas por las que la apertura de la información generaría una afectación, justificando que:</w:t>
      </w:r>
    </w:p>
    <w:p w14:paraId="369DE578" w14:textId="77777777" w:rsidR="002A76B7" w:rsidRPr="007D1383" w:rsidRDefault="008F7530">
      <w:pPr>
        <w:spacing w:after="0" w:line="276" w:lineRule="auto"/>
        <w:ind w:left="1134"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I</w:t>
      </w:r>
      <w:r w:rsidRPr="007D1383">
        <w:rPr>
          <w:rFonts w:ascii="Palatino Linotype" w:eastAsia="Palatino Linotype" w:hAnsi="Palatino Linotype" w:cs="Palatino Linotype"/>
          <w:i/>
        </w:rPr>
        <w:t xml:space="preserve">. La divulgación de la información representa un riesgo real, demostrable e identificable del perjuicio significativo al interés público o a la seguridad pública; </w:t>
      </w:r>
    </w:p>
    <w:p w14:paraId="62790C20" w14:textId="77777777" w:rsidR="002A76B7" w:rsidRPr="007D1383" w:rsidRDefault="008F7530">
      <w:pPr>
        <w:spacing w:after="0" w:line="276" w:lineRule="auto"/>
        <w:ind w:left="1134"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II.</w:t>
      </w:r>
      <w:r w:rsidRPr="007D1383">
        <w:rPr>
          <w:rFonts w:ascii="Palatino Linotype" w:eastAsia="Palatino Linotype" w:hAnsi="Palatino Linotype" w:cs="Palatino Linotype"/>
          <w:i/>
        </w:rPr>
        <w:t xml:space="preserve"> El riesgo de perjuicio que supondría la divulgación supera el interés público general de que se difunda; y</w:t>
      </w:r>
    </w:p>
    <w:p w14:paraId="58D3182B" w14:textId="77777777" w:rsidR="002A76B7" w:rsidRPr="007D1383" w:rsidRDefault="008F7530">
      <w:pPr>
        <w:spacing w:after="0" w:line="276" w:lineRule="auto"/>
        <w:ind w:left="1134" w:right="902"/>
        <w:jc w:val="both"/>
        <w:rPr>
          <w:rFonts w:ascii="Palatino Linotype" w:eastAsia="Palatino Linotype" w:hAnsi="Palatino Linotype" w:cs="Palatino Linotype"/>
          <w:i/>
        </w:rPr>
      </w:pPr>
      <w:r w:rsidRPr="007D1383">
        <w:rPr>
          <w:rFonts w:ascii="Palatino Linotype" w:eastAsia="Palatino Linotype" w:hAnsi="Palatino Linotype" w:cs="Palatino Linotype"/>
          <w:b/>
          <w:i/>
        </w:rPr>
        <w:t>III.</w:t>
      </w:r>
      <w:r w:rsidRPr="007D1383">
        <w:rPr>
          <w:rFonts w:ascii="Palatino Linotype" w:eastAsia="Palatino Linotype" w:hAnsi="Palatino Linotype" w:cs="Palatino Linotype"/>
          <w:i/>
        </w:rPr>
        <w:t xml:space="preserve"> La limitación se adecua al principio de proporcionalidad y representa el medio menos restrictivo disponible representa el medio menos restrictivo disponible para evitar el perjuicio.”</w:t>
      </w:r>
    </w:p>
    <w:p w14:paraId="3552FCB8" w14:textId="77777777" w:rsidR="002A76B7" w:rsidRPr="007D1383" w:rsidRDefault="002A76B7">
      <w:pPr>
        <w:spacing w:after="0" w:line="276" w:lineRule="auto"/>
        <w:ind w:left="1134" w:right="902"/>
        <w:jc w:val="both"/>
        <w:rPr>
          <w:rFonts w:ascii="Palatino Linotype" w:eastAsia="Palatino Linotype" w:hAnsi="Palatino Linotype" w:cs="Palatino Linotype"/>
          <w:sz w:val="24"/>
          <w:szCs w:val="24"/>
        </w:rPr>
      </w:pPr>
    </w:p>
    <w:p w14:paraId="4BB5E32E"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w:t>
      </w:r>
      <w:r w:rsidRPr="007D1383">
        <w:rPr>
          <w:rFonts w:ascii="Palatino Linotype" w:eastAsia="Palatino Linotype" w:hAnsi="Palatino Linotype" w:cs="Palatino Linotype"/>
          <w:sz w:val="24"/>
          <w:szCs w:val="24"/>
        </w:rPr>
        <w:lastRenderedPageBreak/>
        <w:t>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1BD9285D"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74EE4AA7"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En el mismo tenor el Lineamiento Trigésimo Tercero, de los Lineamientos Generales en Materia de Clasificación y Desclasificación de la Información, dispone lo siguiente:</w:t>
      </w:r>
    </w:p>
    <w:p w14:paraId="74B2E4D2"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E014BBF" w14:textId="77777777" w:rsidR="002A76B7" w:rsidRPr="007D1383" w:rsidRDefault="008F7530">
      <w:pPr>
        <w:spacing w:after="0" w:line="276" w:lineRule="auto"/>
        <w:ind w:left="851" w:right="758"/>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Trigésimo tercero</w:t>
      </w:r>
      <w:r w:rsidRPr="007D1383">
        <w:rPr>
          <w:rFonts w:ascii="Palatino Linotype" w:eastAsia="Palatino Linotype" w:hAnsi="Palatino Linotype" w:cs="Palatino Linotype"/>
          <w:i/>
        </w:rPr>
        <w:t>. Para la aplicación de la prueba de daño a la que hace referencia el artículo 104 de la Ley General, los sujetos obligados atenderán lo siguiente:</w:t>
      </w:r>
    </w:p>
    <w:p w14:paraId="62C390D0"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b/>
          <w:i/>
          <w:sz w:val="20"/>
          <w:szCs w:val="20"/>
        </w:rPr>
      </w:pPr>
      <w:r w:rsidRPr="007D1383">
        <w:rPr>
          <w:rFonts w:ascii="Palatino Linotype" w:eastAsia="Palatino Linotype" w:hAnsi="Palatino Linotype" w:cs="Palatino Linotype"/>
          <w:b/>
          <w:i/>
        </w:rPr>
        <w:t xml:space="preserve">I. </w:t>
      </w:r>
      <w:r w:rsidRPr="007D1383">
        <w:rPr>
          <w:rFonts w:ascii="Palatino Linotype" w:eastAsia="Palatino Linotype" w:hAnsi="Palatino Linotype" w:cs="Palatino Linotype"/>
          <w:i/>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03975EC6"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t>II</w:t>
      </w:r>
      <w:r w:rsidRPr="007D1383">
        <w:rPr>
          <w:rFonts w:ascii="Palatino Linotype" w:eastAsia="Palatino Linotype" w:hAnsi="Palatino Linotype" w:cs="Palatino Linotype"/>
          <w:i/>
        </w:rPr>
        <w:t>. Se deberá motivar la clasificación, señalando las circunstancias de modo, tiempo y lugar que acrediten el vínculo entre la difusión de la información y la afectación al interés público o a la seguridad nacional;</w:t>
      </w:r>
    </w:p>
    <w:p w14:paraId="611B71EC"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lastRenderedPageBreak/>
        <w:t>III.</w:t>
      </w:r>
      <w:r w:rsidRPr="007D1383">
        <w:rPr>
          <w:rFonts w:ascii="Palatino Linotype" w:eastAsia="Palatino Linotype" w:hAnsi="Palatino Linotype" w:cs="Palatino Linotype"/>
          <w:i/>
        </w:rPr>
        <w:t xml:space="preserve"> Se deberán precisar las razones objetivas por las que la apertura de la información generaría un riesgo de perjuicio real, demostrable e identificable al interés jurídico tutelado de que se trate;</w:t>
      </w:r>
    </w:p>
    <w:p w14:paraId="74EE5A13"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IV.</w:t>
      </w:r>
      <w:r w:rsidRPr="007D1383">
        <w:rPr>
          <w:rFonts w:ascii="Palatino Linotype" w:eastAsia="Palatino Linotype" w:hAnsi="Palatino Linotype" w:cs="Palatino Linotype"/>
          <w:i/>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7D1383">
        <w:rPr>
          <w:rFonts w:ascii="Palatino Linotype" w:eastAsia="Palatino Linotype" w:hAnsi="Palatino Linotype" w:cs="Palatino Linotype"/>
          <w:b/>
          <w:i/>
        </w:rPr>
        <w:t xml:space="preserve"> </w:t>
      </w:r>
    </w:p>
    <w:p w14:paraId="770287F4"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V</w:t>
      </w:r>
      <w:r w:rsidRPr="007D1383">
        <w:rPr>
          <w:rFonts w:ascii="Palatino Linotype" w:eastAsia="Palatino Linotype" w:hAnsi="Palatino Linotype" w:cs="Palatino Linotype"/>
          <w:i/>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7D1383">
        <w:rPr>
          <w:rFonts w:ascii="Palatino Linotype" w:eastAsia="Palatino Linotype" w:hAnsi="Palatino Linotype" w:cs="Palatino Linotype"/>
          <w:b/>
          <w:i/>
        </w:rPr>
        <w:t xml:space="preserve"> </w:t>
      </w:r>
    </w:p>
    <w:p w14:paraId="3726A1FD" w14:textId="77777777" w:rsidR="002A76B7" w:rsidRPr="007D1383" w:rsidRDefault="008F7530">
      <w:pPr>
        <w:tabs>
          <w:tab w:val="left" w:pos="1701"/>
        </w:tabs>
        <w:spacing w:after="0" w:line="276" w:lineRule="auto"/>
        <w:ind w:left="1134" w:right="760"/>
        <w:jc w:val="both"/>
        <w:rPr>
          <w:rFonts w:ascii="Palatino Linotype" w:eastAsia="Palatino Linotype" w:hAnsi="Palatino Linotype" w:cs="Palatino Linotype"/>
          <w:i/>
        </w:rPr>
      </w:pPr>
      <w:r w:rsidRPr="007D1383">
        <w:rPr>
          <w:rFonts w:ascii="Palatino Linotype" w:eastAsia="Palatino Linotype" w:hAnsi="Palatino Linotype" w:cs="Palatino Linotype"/>
          <w:b/>
          <w:i/>
        </w:rPr>
        <w:t>VI</w:t>
      </w:r>
      <w:r w:rsidRPr="007D1383">
        <w:rPr>
          <w:rFonts w:ascii="Palatino Linotype" w:eastAsia="Palatino Linotype" w:hAnsi="Palatino Linotype" w:cs="Palatino Linotype"/>
          <w:i/>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021349C" w14:textId="77777777" w:rsidR="002A76B7" w:rsidRPr="007D1383" w:rsidRDefault="002A76B7">
      <w:pPr>
        <w:tabs>
          <w:tab w:val="left" w:pos="1701"/>
        </w:tabs>
        <w:spacing w:after="0" w:line="360" w:lineRule="auto"/>
        <w:ind w:left="1134" w:right="760"/>
        <w:jc w:val="both"/>
        <w:rPr>
          <w:rFonts w:ascii="Palatino Linotype" w:eastAsia="Palatino Linotype" w:hAnsi="Palatino Linotype" w:cs="Palatino Linotype"/>
          <w:i/>
          <w:sz w:val="24"/>
          <w:szCs w:val="24"/>
        </w:rPr>
      </w:pPr>
    </w:p>
    <w:p w14:paraId="74EC2C5F"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236F2157"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795EBE93"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42C2018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7C1F9F4"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w:t>
      </w:r>
      <w:r w:rsidRPr="007D1383">
        <w:rPr>
          <w:rFonts w:ascii="Palatino Linotype" w:eastAsia="Palatino Linotype" w:hAnsi="Palatino Linotype" w:cs="Palatino Linotype"/>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7D1383">
        <w:rPr>
          <w:rFonts w:ascii="Palatino Linotype" w:eastAsia="Palatino Linotype" w:hAnsi="Palatino Linotype" w:cs="Palatino Linotype"/>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D1383">
        <w:rPr>
          <w:rFonts w:ascii="Palatino Linotype" w:eastAsia="Palatino Linotype" w:hAnsi="Palatino Linotype" w:cs="Palatino Linotype"/>
          <w:i/>
        </w:rPr>
        <w:t>officio</w:t>
      </w:r>
      <w:proofErr w:type="spellEnd"/>
      <w:r w:rsidRPr="007D1383">
        <w:rPr>
          <w:rFonts w:ascii="Palatino Linotype" w:eastAsia="Palatino Linotype" w:hAnsi="Palatino Linotype" w:cs="Palatino Linotype"/>
          <w:i/>
        </w:rPr>
        <w:t>, con el propósito de obtener una versión que sea pública para la parte interesada.”</w:t>
      </w:r>
    </w:p>
    <w:p w14:paraId="579ED1EB"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2E7FAC4"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Prueba de daño, que cobra relevancia puesto que sí ésta no arroja resultados contundentes sobre un posible peligro, deberá de publicarse o difundirse la información.</w:t>
      </w:r>
    </w:p>
    <w:p w14:paraId="188BF53E"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4C4BFC4E"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w:t>
      </w:r>
      <w:r w:rsidRPr="007D1383">
        <w:rPr>
          <w:rFonts w:ascii="Palatino Linotype" w:eastAsia="Palatino Linotype" w:hAnsi="Palatino Linotype" w:cs="Palatino Linotype"/>
          <w:sz w:val="24"/>
          <w:szCs w:val="24"/>
        </w:rPr>
        <w:lastRenderedPageBreak/>
        <w:t>resaltándose además que, la clasificación de la información se debe realizar conforme a un análisis caso por caso, mediante la aplicación de la enunciada prueba de daño.</w:t>
      </w:r>
    </w:p>
    <w:p w14:paraId="1A1B1055"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B4E581C"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2796EBBC"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3DE62A9"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w:t>
      </w:r>
      <w:r w:rsidRPr="007D1383">
        <w:rPr>
          <w:rFonts w:ascii="Palatino Linotype" w:eastAsia="Palatino Linotype" w:hAnsi="Palatino Linotype" w:cs="Palatino Linotype"/>
          <w:sz w:val="24"/>
          <w:szCs w:val="24"/>
        </w:rPr>
        <w:lastRenderedPageBreak/>
        <w:t>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657BE5A7"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5D2625F6"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Sirve de sustento a lo anterior, la Tesis jurisprudencial número I.</w:t>
      </w:r>
      <w:proofErr w:type="gramStart"/>
      <w:r w:rsidRPr="007D1383">
        <w:rPr>
          <w:rFonts w:ascii="Palatino Linotype" w:eastAsia="Palatino Linotype" w:hAnsi="Palatino Linotype" w:cs="Palatino Linotype"/>
          <w:sz w:val="24"/>
          <w:szCs w:val="24"/>
        </w:rPr>
        <w:t>4º.A.</w:t>
      </w:r>
      <w:proofErr w:type="gramEnd"/>
      <w:r w:rsidRPr="007D1383">
        <w:rPr>
          <w:rFonts w:ascii="Palatino Linotype" w:eastAsia="Palatino Linotype" w:hAnsi="Palatino Linotype" w:cs="Palatino Linotype"/>
          <w:sz w:val="24"/>
          <w:szCs w:val="24"/>
        </w:rPr>
        <w:t xml:space="preserve"> J/43, publicada en el Semanario Judicial de la Federación y su Gaceta, bajo el número de registro 175,082; que a la letra dice:</w:t>
      </w:r>
    </w:p>
    <w:p w14:paraId="1B8B3698" w14:textId="77777777" w:rsidR="002A76B7" w:rsidRPr="007D1383" w:rsidRDefault="002A76B7">
      <w:pPr>
        <w:spacing w:line="360" w:lineRule="auto"/>
        <w:jc w:val="both"/>
        <w:rPr>
          <w:rFonts w:ascii="Palatino Linotype" w:eastAsia="Palatino Linotype" w:hAnsi="Palatino Linotype" w:cs="Palatino Linotype"/>
          <w:sz w:val="24"/>
          <w:szCs w:val="24"/>
        </w:rPr>
      </w:pPr>
    </w:p>
    <w:p w14:paraId="46BA3218" w14:textId="77777777" w:rsidR="002A76B7" w:rsidRPr="007D1383" w:rsidRDefault="008F7530">
      <w:pP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FUNDAMENTACIÓN Y MOTIVACIÓN. EL ASPECTO FORMAL DE LA GARANTÍA Y SU FINALIDAD SE TRADUCEN EN EXPLICAR, JUSTIFICAR, POSIBILITAR LA DEFENSA Y COMUNICAR LA DECISIÓN. </w:t>
      </w:r>
      <w:r w:rsidRPr="007D1383">
        <w:rPr>
          <w:rFonts w:ascii="Palatino Linotype" w:eastAsia="Palatino Linotype" w:hAnsi="Palatino Linotype" w:cs="Palatino Linotype"/>
          <w:i/>
        </w:rPr>
        <w:t>El contenido formal de la garantía de legalidad prevista en el artículo 16 constitucional relativa a la fundamentación y motivación tiene como propósito primordial y ratio que el justiciable </w:t>
      </w:r>
      <w:r w:rsidRPr="007D1383">
        <w:rPr>
          <w:rFonts w:ascii="Palatino Linotype" w:eastAsia="Palatino Linotype" w:hAnsi="Palatino Linotype" w:cs="Palatino Linotype"/>
          <w:b/>
          <w:i/>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7D1383">
        <w:rPr>
          <w:rFonts w:ascii="Palatino Linotype" w:eastAsia="Palatino Linotype" w:hAnsi="Palatino Linotype" w:cs="Palatino Linotype"/>
          <w:i/>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7D1383">
        <w:rPr>
          <w:rFonts w:ascii="Palatino Linotype" w:eastAsia="Palatino Linotype" w:hAnsi="Palatino Linotype" w:cs="Palatino Linotype"/>
          <w:b/>
          <w:i/>
        </w:rPr>
        <w:t xml:space="preserve">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w:t>
      </w:r>
      <w:r w:rsidRPr="007D1383">
        <w:rPr>
          <w:rFonts w:ascii="Palatino Linotype" w:eastAsia="Palatino Linotype" w:hAnsi="Palatino Linotype" w:cs="Palatino Linotype"/>
          <w:b/>
          <w:i/>
        </w:rPr>
        <w:lastRenderedPageBreak/>
        <w:t>suficiente para acreditar el razonamiento</w:t>
      </w:r>
      <w:r w:rsidRPr="007D1383">
        <w:rPr>
          <w:rFonts w:ascii="Palatino Linotype" w:eastAsia="Palatino Linotype" w:hAnsi="Palatino Linotype" w:cs="Palatino Linotype"/>
          <w:i/>
        </w:rPr>
        <w:t> del que se deduzca la relación de pertenencia lógica de los hechos al derecho invocado, que es la subsunción.”</w:t>
      </w:r>
    </w:p>
    <w:p w14:paraId="7020AA7E" w14:textId="77777777" w:rsidR="002A76B7" w:rsidRPr="007D1383" w:rsidRDefault="002A76B7">
      <w:pPr>
        <w:spacing w:after="0" w:line="276" w:lineRule="auto"/>
        <w:ind w:left="851" w:right="902"/>
        <w:jc w:val="both"/>
        <w:rPr>
          <w:rFonts w:ascii="Palatino Linotype" w:eastAsia="Palatino Linotype" w:hAnsi="Palatino Linotype" w:cs="Palatino Linotype"/>
          <w:sz w:val="24"/>
          <w:szCs w:val="24"/>
        </w:rPr>
      </w:pPr>
    </w:p>
    <w:p w14:paraId="30399391"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 partir de lo anterior, este Organismo Garante estima que la imagen de elementos policiales pudiera ubicarse en el supuesto previsto por el artículo 140, fracción IV de la Ley de Transparencia y  Acceso a la Información Pública del Estado de México y Municipios, que a su vez se vincula con 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BDEFBD1"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246F481C"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Motivo por el cual se ordena la correcta versión pública de la información curricular de las empresas participantes, enviados en respuesta.  </w:t>
      </w:r>
    </w:p>
    <w:p w14:paraId="5C2E2313"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10485FD"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QUINTO. VERSIÓN PÚBLICA. </w:t>
      </w:r>
      <w:r w:rsidRPr="007D1383">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7D1383">
        <w:rPr>
          <w:rFonts w:ascii="Palatino Linotype" w:eastAsia="Palatino Linotype" w:hAnsi="Palatino Linotype" w:cs="Palatino Linotype"/>
          <w:b/>
          <w:sz w:val="24"/>
          <w:szCs w:val="24"/>
        </w:rPr>
        <w:t xml:space="preserve">LA </w:t>
      </w:r>
      <w:r w:rsidRPr="007D1383">
        <w:rPr>
          <w:rFonts w:ascii="Palatino Linotype" w:eastAsia="Palatino Linotype" w:hAnsi="Palatino Linotype" w:cs="Palatino Linotype"/>
          <w:b/>
          <w:sz w:val="24"/>
          <w:szCs w:val="24"/>
        </w:rPr>
        <w:lastRenderedPageBreak/>
        <w:t>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xml:space="preserve"> sin menoscabar el derecho a la protección de los datos personales de terceros.</w:t>
      </w:r>
    </w:p>
    <w:p w14:paraId="55951EF0"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4D0C9E8"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8DEB89F"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35DA8D1" w14:textId="77777777" w:rsidR="002A76B7" w:rsidRPr="007D1383" w:rsidRDefault="008F7530">
      <w:pPr>
        <w:spacing w:after="0" w:line="276" w:lineRule="auto"/>
        <w:ind w:left="992" w:right="1043"/>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t xml:space="preserve"> “Artículo 3. Para los efectos de la presente Ley se entenderá por:</w:t>
      </w:r>
    </w:p>
    <w:p w14:paraId="7B2239D5"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IX. Datos personales:</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La información concerniente a una persona, identificada o identificable</w:t>
      </w:r>
      <w:r w:rsidRPr="007D1383">
        <w:rPr>
          <w:rFonts w:ascii="Palatino Linotype" w:eastAsia="Palatino Linotype" w:hAnsi="Palatino Linotype" w:cs="Palatino Linotype"/>
          <w:i/>
        </w:rPr>
        <w:t xml:space="preserve"> según lo dispuesto por la Ley de Protección de Datos Personales del Estado de México;</w:t>
      </w:r>
    </w:p>
    <w:p w14:paraId="6B118D66"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XX. Información clasificada:</w:t>
      </w:r>
      <w:r w:rsidRPr="007D1383">
        <w:rPr>
          <w:rFonts w:ascii="Palatino Linotype" w:eastAsia="Palatino Linotype" w:hAnsi="Palatino Linotype" w:cs="Palatino Linotype"/>
          <w:i/>
        </w:rPr>
        <w:t xml:space="preserve"> Aquella considerada por la presente Ley como reservada o confidencial;</w:t>
      </w:r>
    </w:p>
    <w:p w14:paraId="1B6A66FC"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XXXII. Protección de Datos Personales:</w:t>
      </w:r>
      <w:r w:rsidRPr="007D1383">
        <w:rPr>
          <w:rFonts w:ascii="Palatino Linotype" w:eastAsia="Palatino Linotype" w:hAnsi="Palatino Linotype" w:cs="Palatino Linotype"/>
          <w:i/>
        </w:rPr>
        <w:t xml:space="preserve"> Derecho humano que tutela la privacidad de datos personales en poder de los sujetos obligados y sujetos particulares;</w:t>
      </w:r>
    </w:p>
    <w:p w14:paraId="5BFD9ECC"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XLV. Versión pública</w:t>
      </w:r>
      <w:r w:rsidRPr="007D1383">
        <w:rPr>
          <w:rFonts w:ascii="Palatino Linotype" w:eastAsia="Palatino Linotype" w:hAnsi="Palatino Linotype" w:cs="Palatino Linotype"/>
          <w:i/>
        </w:rPr>
        <w:t>: Documento en el que se elimine, suprime o borra la información clasificada como reservada o confidencial para permitir su acceso.”</w:t>
      </w:r>
    </w:p>
    <w:p w14:paraId="2BC1DC5D" w14:textId="77777777" w:rsidR="002A76B7" w:rsidRPr="007D1383" w:rsidRDefault="002A76B7">
      <w:pPr>
        <w:spacing w:after="0" w:line="276" w:lineRule="auto"/>
        <w:ind w:left="992" w:right="1043"/>
        <w:jc w:val="both"/>
        <w:rPr>
          <w:rFonts w:ascii="Palatino Linotype" w:eastAsia="Palatino Linotype" w:hAnsi="Palatino Linotype" w:cs="Palatino Linotype"/>
          <w:i/>
        </w:rPr>
      </w:pPr>
    </w:p>
    <w:p w14:paraId="472FB6F9"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6.</w:t>
      </w:r>
      <w:r w:rsidRPr="007D1383">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C8B4A79" w14:textId="77777777" w:rsidR="002A76B7" w:rsidRPr="007D1383" w:rsidRDefault="008F7530">
      <w:pPr>
        <w:spacing w:after="0" w:line="276" w:lineRule="auto"/>
        <w:ind w:left="992" w:right="1043"/>
        <w:jc w:val="both"/>
        <w:rPr>
          <w:rFonts w:ascii="Palatino Linotype" w:eastAsia="Palatino Linotype" w:hAnsi="Palatino Linotype" w:cs="Palatino Linotype"/>
          <w:b/>
          <w:i/>
        </w:rPr>
      </w:pPr>
      <w:r w:rsidRPr="007D1383">
        <w:rPr>
          <w:rFonts w:ascii="Palatino Linotype" w:eastAsia="Palatino Linotype" w:hAnsi="Palatino Linotype" w:cs="Palatino Linotype"/>
          <w:b/>
          <w:i/>
        </w:rPr>
        <w:lastRenderedPageBreak/>
        <w:t>“Artículo 137.</w:t>
      </w:r>
      <w:r w:rsidRPr="007D1383">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6B4B988"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143</w:t>
      </w:r>
      <w:r w:rsidRPr="007D138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E3E6B5F"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I.</w:t>
      </w:r>
      <w:r w:rsidRPr="007D1383">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BAA1AF6"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7D94E84"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6A62798" w14:textId="77777777" w:rsidR="002A76B7" w:rsidRPr="007D1383" w:rsidRDefault="002A76B7">
      <w:pPr>
        <w:ind w:left="993" w:right="1041"/>
        <w:jc w:val="both"/>
        <w:rPr>
          <w:rFonts w:ascii="Palatino Linotype" w:eastAsia="Palatino Linotype" w:hAnsi="Palatino Linotype" w:cs="Palatino Linotype"/>
          <w:i/>
          <w:sz w:val="24"/>
          <w:szCs w:val="24"/>
        </w:rPr>
      </w:pPr>
    </w:p>
    <w:p w14:paraId="0F49E5FC"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7D1383">
        <w:rPr>
          <w:rFonts w:ascii="Palatino Linotype" w:eastAsia="Palatino Linotype" w:hAnsi="Palatino Linotype" w:cs="Palatino Linotype"/>
          <w:b/>
          <w:sz w:val="24"/>
          <w:szCs w:val="24"/>
        </w:rPr>
        <w:t>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w:t>
      </w:r>
      <w:r w:rsidRPr="007D1383">
        <w:rPr>
          <w:rFonts w:ascii="Palatino Linotype" w:eastAsia="Palatino Linotype" w:hAnsi="Palatino Linotype" w:cs="Palatino Linotype"/>
          <w:sz w:val="24"/>
          <w:szCs w:val="24"/>
        </w:rPr>
        <w:lastRenderedPageBreak/>
        <w:t>de la Ley de Protección de Datos Personales en Posesión de Sujetos Obligados del Estado de México.</w:t>
      </w:r>
    </w:p>
    <w:p w14:paraId="2108C060"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67C8F5D2"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38B560D"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3371059E"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w:t>
      </w:r>
      <w:proofErr w:type="gramStart"/>
      <w:r w:rsidRPr="007D1383">
        <w:rPr>
          <w:rFonts w:ascii="Palatino Linotype" w:eastAsia="Palatino Linotype" w:hAnsi="Palatino Linotype" w:cs="Palatino Linotype"/>
          <w:sz w:val="24"/>
          <w:szCs w:val="24"/>
        </w:rPr>
        <w:t>Responsable</w:t>
      </w:r>
      <w:proofErr w:type="gramEnd"/>
      <w:r w:rsidRPr="007D1383">
        <w:rPr>
          <w:rFonts w:ascii="Palatino Linotype" w:eastAsia="Palatino Linotype" w:hAnsi="Palatino Linotype" w:cs="Palatino Linotype"/>
          <w:sz w:val="24"/>
          <w:szCs w:val="24"/>
        </w:rPr>
        <w:t xml:space="preserve"> de la Unidad de Transparencia del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11F15086"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1AADB26"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49.</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Los Comités de Transparencia</w:t>
      </w:r>
      <w:r w:rsidRPr="007D1383">
        <w:rPr>
          <w:rFonts w:ascii="Palatino Linotype" w:eastAsia="Palatino Linotype" w:hAnsi="Palatino Linotype" w:cs="Palatino Linotype"/>
          <w:i/>
        </w:rPr>
        <w:t xml:space="preserve"> tendrán las siguientes atribuciones:</w:t>
      </w:r>
    </w:p>
    <w:p w14:paraId="42A64308"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VIII. Aprobar, modificar o revocar la clasificación de la información</w:t>
      </w:r>
      <w:r w:rsidRPr="007D1383">
        <w:rPr>
          <w:rFonts w:ascii="Palatino Linotype" w:eastAsia="Palatino Linotype" w:hAnsi="Palatino Linotype" w:cs="Palatino Linotype"/>
          <w:i/>
        </w:rPr>
        <w:t>…”</w:t>
      </w:r>
    </w:p>
    <w:p w14:paraId="7F66580E"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Artículo 53.</w:t>
      </w:r>
      <w:r w:rsidRPr="007D1383">
        <w:rPr>
          <w:rFonts w:ascii="Palatino Linotype" w:eastAsia="Palatino Linotype" w:hAnsi="Palatino Linotype" w:cs="Palatino Linotype"/>
          <w:i/>
        </w:rPr>
        <w:t xml:space="preserve"> Las </w:t>
      </w:r>
      <w:r w:rsidRPr="007D1383">
        <w:rPr>
          <w:rFonts w:ascii="Palatino Linotype" w:eastAsia="Palatino Linotype" w:hAnsi="Palatino Linotype" w:cs="Palatino Linotype"/>
          <w:b/>
          <w:i/>
        </w:rPr>
        <w:t>Unidades de Transparencia</w:t>
      </w:r>
      <w:r w:rsidRPr="007D1383">
        <w:rPr>
          <w:rFonts w:ascii="Palatino Linotype" w:eastAsia="Palatino Linotype" w:hAnsi="Palatino Linotype" w:cs="Palatino Linotype"/>
          <w:i/>
        </w:rPr>
        <w:t xml:space="preserve"> tendrán las siguientes </w:t>
      </w:r>
      <w:r w:rsidRPr="007D1383">
        <w:rPr>
          <w:rFonts w:ascii="Palatino Linotype" w:eastAsia="Palatino Linotype" w:hAnsi="Palatino Linotype" w:cs="Palatino Linotype"/>
          <w:b/>
          <w:i/>
        </w:rPr>
        <w:t>funciones</w:t>
      </w:r>
      <w:r w:rsidRPr="007D1383">
        <w:rPr>
          <w:rFonts w:ascii="Palatino Linotype" w:eastAsia="Palatino Linotype" w:hAnsi="Palatino Linotype" w:cs="Palatino Linotype"/>
          <w:i/>
        </w:rPr>
        <w:t>:</w:t>
      </w:r>
    </w:p>
    <w:p w14:paraId="144CFC3D"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X. Presentar ante el Comité, el proyecto de clasificación de información</w:t>
      </w:r>
      <w:r w:rsidRPr="007D1383">
        <w:rPr>
          <w:rFonts w:ascii="Palatino Linotype" w:eastAsia="Palatino Linotype" w:hAnsi="Palatino Linotype" w:cs="Palatino Linotype"/>
          <w:i/>
        </w:rPr>
        <w:t xml:space="preserve">…” </w:t>
      </w:r>
    </w:p>
    <w:p w14:paraId="68755A0B"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t>“Artículo 59.</w:t>
      </w:r>
      <w:r w:rsidRPr="007D1383">
        <w:rPr>
          <w:rFonts w:ascii="Palatino Linotype" w:eastAsia="Palatino Linotype" w:hAnsi="Palatino Linotype" w:cs="Palatino Linotype"/>
          <w:i/>
        </w:rPr>
        <w:t xml:space="preserve"> Los </w:t>
      </w:r>
      <w:r w:rsidRPr="007D1383">
        <w:rPr>
          <w:rFonts w:ascii="Palatino Linotype" w:eastAsia="Palatino Linotype" w:hAnsi="Palatino Linotype" w:cs="Palatino Linotype"/>
          <w:b/>
          <w:i/>
        </w:rPr>
        <w:t>servidores públicos habilitados</w:t>
      </w:r>
      <w:r w:rsidRPr="007D1383">
        <w:rPr>
          <w:rFonts w:ascii="Palatino Linotype" w:eastAsia="Palatino Linotype" w:hAnsi="Palatino Linotype" w:cs="Palatino Linotype"/>
          <w:i/>
        </w:rPr>
        <w:t xml:space="preserve"> tendrán las </w:t>
      </w:r>
      <w:r w:rsidRPr="007D1383">
        <w:rPr>
          <w:rFonts w:ascii="Palatino Linotype" w:eastAsia="Palatino Linotype" w:hAnsi="Palatino Linotype" w:cs="Palatino Linotype"/>
          <w:b/>
          <w:i/>
        </w:rPr>
        <w:t>funciones</w:t>
      </w:r>
      <w:r w:rsidRPr="007D1383">
        <w:rPr>
          <w:rFonts w:ascii="Palatino Linotype" w:eastAsia="Palatino Linotype" w:hAnsi="Palatino Linotype" w:cs="Palatino Linotype"/>
          <w:i/>
        </w:rPr>
        <w:t xml:space="preserve"> siguientes:</w:t>
      </w:r>
    </w:p>
    <w:p w14:paraId="790C4670" w14:textId="77777777" w:rsidR="002A76B7" w:rsidRPr="007D1383" w:rsidRDefault="008F7530">
      <w:pPr>
        <w:spacing w:after="0" w:line="276" w:lineRule="auto"/>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b/>
          <w:i/>
        </w:rPr>
        <w:lastRenderedPageBreak/>
        <w:t>V. Integrar y presentar al responsable de la Unidad de Transparencia la propuesta de clasificación de información</w:t>
      </w:r>
      <w:r w:rsidRPr="007D1383">
        <w:rPr>
          <w:rFonts w:ascii="Palatino Linotype" w:eastAsia="Palatino Linotype" w:hAnsi="Palatino Linotype" w:cs="Palatino Linotype"/>
          <w:i/>
        </w:rPr>
        <w:t xml:space="preserve">, la cual tendrá los fundamentos y argumentos en que se basa dicha propuesta…” </w:t>
      </w:r>
    </w:p>
    <w:p w14:paraId="66F72CD9" w14:textId="77777777" w:rsidR="002A76B7" w:rsidRPr="007D1383" w:rsidRDefault="002A76B7">
      <w:pPr>
        <w:spacing w:after="0" w:line="276" w:lineRule="auto"/>
        <w:ind w:left="992" w:right="1043"/>
        <w:jc w:val="both"/>
        <w:rPr>
          <w:rFonts w:ascii="Palatino Linotype" w:eastAsia="Palatino Linotype" w:hAnsi="Palatino Linotype" w:cs="Palatino Linotype"/>
          <w:sz w:val="24"/>
          <w:szCs w:val="24"/>
        </w:rPr>
      </w:pPr>
    </w:p>
    <w:p w14:paraId="33806BE8"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0B86C69"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E23DCC7"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0D96F98"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109B07FE" w14:textId="77777777" w:rsidR="002A76B7" w:rsidRPr="007D1383" w:rsidRDefault="008F7530">
      <w:pPr>
        <w:spacing w:after="0"/>
        <w:ind w:left="992" w:right="1043"/>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Artículo 149.</w:t>
      </w:r>
      <w:r w:rsidRPr="007D1383">
        <w:rPr>
          <w:rFonts w:ascii="Palatino Linotype" w:eastAsia="Palatino Linotype" w:hAnsi="Palatino Linotype" w:cs="Palatino Linotype"/>
          <w:i/>
        </w:rPr>
        <w:t xml:space="preserve"> El </w:t>
      </w:r>
      <w:r w:rsidRPr="007D1383">
        <w:rPr>
          <w:rFonts w:ascii="Palatino Linotype" w:eastAsia="Palatino Linotype" w:hAnsi="Palatino Linotype" w:cs="Palatino Linotype"/>
          <w:b/>
          <w:i/>
        </w:rPr>
        <w:t>acuerdo que clasifique la información como confidencial</w:t>
      </w:r>
      <w:r w:rsidRPr="007D1383">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268E52B9" w14:textId="77777777" w:rsidR="002A76B7" w:rsidRPr="007D1383" w:rsidRDefault="002A76B7">
      <w:pPr>
        <w:spacing w:line="360" w:lineRule="auto"/>
        <w:ind w:right="51"/>
        <w:jc w:val="both"/>
        <w:rPr>
          <w:rFonts w:ascii="Palatino Linotype" w:eastAsia="Palatino Linotype" w:hAnsi="Palatino Linotype" w:cs="Palatino Linotype"/>
          <w:sz w:val="24"/>
          <w:szCs w:val="24"/>
        </w:rPr>
      </w:pPr>
    </w:p>
    <w:p w14:paraId="3D084691"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Es decir,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7D1383">
        <w:rPr>
          <w:rFonts w:ascii="Palatino Linotype" w:eastAsia="Palatino Linotype" w:hAnsi="Palatino Linotype" w:cs="Palatino Linotype"/>
          <w:sz w:val="24"/>
          <w:szCs w:val="24"/>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1880DD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B876018" w14:textId="77777777" w:rsidR="002A76B7" w:rsidRPr="007D1383" w:rsidRDefault="008F7530">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Respecto del </w:t>
      </w:r>
      <w:r w:rsidRPr="007D1383">
        <w:rPr>
          <w:rFonts w:ascii="Palatino Linotype" w:eastAsia="Palatino Linotype" w:hAnsi="Palatino Linotype" w:cs="Palatino Linotype"/>
          <w:b/>
          <w:sz w:val="24"/>
          <w:szCs w:val="24"/>
        </w:rPr>
        <w:t>nombre de las personas físicas</w:t>
      </w:r>
      <w:r w:rsidRPr="007D1383">
        <w:rPr>
          <w:rFonts w:ascii="Palatino Linotype" w:eastAsia="Palatino Linotype" w:hAnsi="Palatino Linotype" w:cs="Palatino Linotype"/>
          <w:sz w:val="24"/>
          <w:szCs w:val="24"/>
        </w:rPr>
        <w:t xml:space="preserve"> o los </w:t>
      </w:r>
      <w:r w:rsidRPr="007D1383">
        <w:rPr>
          <w:rFonts w:ascii="Palatino Linotype" w:eastAsia="Palatino Linotype" w:hAnsi="Palatino Linotype" w:cs="Palatino Linotype"/>
          <w:b/>
          <w:sz w:val="24"/>
          <w:szCs w:val="24"/>
        </w:rPr>
        <w:t>representantes legales de las personas morales</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en su calidad de proveedores, contratistas o prestadores de servicios, y la firma y rúbrica de estos</w:t>
      </w:r>
      <w:r w:rsidRPr="007D1383">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37E7001" w14:textId="77777777" w:rsidR="002A76B7" w:rsidRPr="007D1383" w:rsidRDefault="008F7530">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549BC242" w14:textId="77777777" w:rsidR="002A76B7" w:rsidRPr="007D1383" w:rsidRDefault="002A76B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p>
    <w:p w14:paraId="76784D64" w14:textId="77777777" w:rsidR="002A76B7" w:rsidRPr="007D1383" w:rsidRDefault="008F7530">
      <w:pPr>
        <w:pBdr>
          <w:top w:val="nil"/>
          <w:left w:val="nil"/>
          <w:bottom w:val="nil"/>
          <w:right w:val="nil"/>
          <w:between w:val="nil"/>
        </w:pBdr>
        <w:spacing w:after="0" w:line="276" w:lineRule="auto"/>
        <w:ind w:left="851" w:right="902"/>
        <w:jc w:val="both"/>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Artículo 23.</w:t>
      </w:r>
      <w:r w:rsidRPr="007D1383">
        <w:rPr>
          <w:rFonts w:ascii="Palatino Linotype" w:eastAsia="Palatino Linotype" w:hAnsi="Palatino Linotype" w:cs="Palatino Linotype"/>
          <w:i/>
        </w:rPr>
        <w:t xml:space="preserve"> (…)</w:t>
      </w:r>
    </w:p>
    <w:p w14:paraId="003DF95B" w14:textId="77777777" w:rsidR="002A76B7" w:rsidRPr="007D1383" w:rsidRDefault="008F753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D1383">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493CDA1" w14:textId="77777777" w:rsidR="002A76B7" w:rsidRPr="007D1383" w:rsidRDefault="008F753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Asimismo, resulta aplicable el contenido del criterio de interpretación 01/19 emitido por el Instituto Nacional de Transparencia, Acceso a la Información, y Protección de Datos Personales, INAI, que lleva por rubro y texto los siguientes</w:t>
      </w:r>
    </w:p>
    <w:p w14:paraId="154494D3" w14:textId="77777777" w:rsidR="002A76B7" w:rsidRPr="007D1383" w:rsidRDefault="002A76B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30E23C5" w14:textId="77777777" w:rsidR="002A76B7" w:rsidRPr="007D1383" w:rsidRDefault="008F7530">
      <w:pPr>
        <w:pBdr>
          <w:top w:val="nil"/>
          <w:left w:val="nil"/>
          <w:bottom w:val="nil"/>
          <w:right w:val="nil"/>
          <w:between w:val="nil"/>
        </w:pBdr>
        <w:spacing w:after="0" w:line="276" w:lineRule="auto"/>
        <w:ind w:left="851" w:right="902"/>
        <w:jc w:val="both"/>
      </w:pPr>
      <w:r w:rsidRPr="007D1383">
        <w:rPr>
          <w:rFonts w:ascii="Palatino Linotype" w:eastAsia="Palatino Linotype" w:hAnsi="Palatino Linotype" w:cs="Palatino Linotype"/>
          <w:b/>
          <w:i/>
        </w:rPr>
        <w:t>“Datos de identificación del representante o apoderado legal.</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 xml:space="preserve">Naturaleza jurídica. El nombre, la </w:t>
      </w:r>
      <w:r w:rsidRPr="007D1383">
        <w:rPr>
          <w:rFonts w:ascii="Palatino Linotype" w:eastAsia="Palatino Linotype" w:hAnsi="Palatino Linotype" w:cs="Palatino Linotype"/>
          <w:b/>
          <w:i/>
          <w:u w:val="single"/>
        </w:rPr>
        <w:t>firma y la rúbrica</w:t>
      </w:r>
      <w:r w:rsidRPr="007D1383">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7D1383">
        <w:rPr>
          <w:rFonts w:ascii="Palatino Linotype" w:eastAsia="Palatino Linotype" w:hAnsi="Palatino Linotype" w:cs="Palatino Linotype"/>
          <w:b/>
          <w:i/>
          <w:u w:val="single"/>
        </w:rPr>
        <w:t>es información pública</w:t>
      </w:r>
      <w:r w:rsidRPr="007D1383">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7D1383">
        <w:rPr>
          <w:rFonts w:ascii="Palatino Linotype" w:eastAsia="Palatino Linotype" w:hAnsi="Palatino Linotype" w:cs="Palatino Linotype"/>
          <w:i/>
        </w:rPr>
        <w:t>.”</w:t>
      </w:r>
    </w:p>
    <w:p w14:paraId="507EEA1F"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2FE891E3"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8318E28"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70273C17" w14:textId="77777777" w:rsidR="002A76B7" w:rsidRPr="007D1383" w:rsidRDefault="008F7530">
      <w:pP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C393AF6"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Lo anterior encuentra sustento en el criterio 10/17 emitido por el Instituto Nacional de Transparencia y Acceso a la Información Pública del Estado de México y Municipios, que a la letra dicen:</w:t>
      </w:r>
    </w:p>
    <w:p w14:paraId="2A97CBE8"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1C764346" w14:textId="77777777" w:rsidR="002A76B7" w:rsidRPr="007D1383" w:rsidRDefault="008F7530">
      <w:pPr>
        <w:spacing w:after="0" w:line="276" w:lineRule="auto"/>
        <w:ind w:left="851" w:right="1134"/>
        <w:jc w:val="both"/>
        <w:rPr>
          <w:rFonts w:ascii="Palatino Linotype" w:eastAsia="Palatino Linotype" w:hAnsi="Palatino Linotype" w:cs="Palatino Linotype"/>
          <w:i/>
        </w:rPr>
      </w:pPr>
      <w:r w:rsidRPr="007D1383">
        <w:rPr>
          <w:rFonts w:ascii="Palatino Linotype" w:eastAsia="Palatino Linotype" w:hAnsi="Palatino Linotype" w:cs="Palatino Linotype"/>
          <w:b/>
          <w:i/>
        </w:rPr>
        <w:t>“Cuentas bancarias y/o CLABE interbancaria de personas físicas y morales privadas.</w:t>
      </w:r>
      <w:r w:rsidRPr="007D1383">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FFF8C8C" w14:textId="77777777" w:rsidR="002A76B7" w:rsidRPr="007D1383" w:rsidRDefault="002A76B7">
      <w:pPr>
        <w:ind w:left="851" w:right="899"/>
        <w:jc w:val="both"/>
        <w:rPr>
          <w:rFonts w:ascii="Palatino Linotype" w:eastAsia="Palatino Linotype" w:hAnsi="Palatino Linotype" w:cs="Palatino Linotype"/>
          <w:sz w:val="24"/>
          <w:szCs w:val="24"/>
        </w:rPr>
      </w:pPr>
    </w:p>
    <w:p w14:paraId="09BFD8F0"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1FF22F41"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290B8FB4" w14:textId="77777777" w:rsidR="002A76B7" w:rsidRPr="007D1383" w:rsidRDefault="008F7530">
      <w:pPr>
        <w:spacing w:after="0" w:line="276" w:lineRule="auto"/>
        <w:ind w:left="851" w:right="1134"/>
        <w:jc w:val="both"/>
        <w:rPr>
          <w:rFonts w:ascii="Palatino Linotype" w:eastAsia="Palatino Linotype" w:hAnsi="Palatino Linotype" w:cs="Palatino Linotype"/>
          <w:i/>
        </w:rPr>
      </w:pPr>
      <w:r w:rsidRPr="007D1383">
        <w:rPr>
          <w:rFonts w:ascii="Palatino Linotype" w:eastAsia="Palatino Linotype" w:hAnsi="Palatino Linotype" w:cs="Palatino Linotype"/>
          <w:i/>
        </w:rPr>
        <w:t>“</w:t>
      </w:r>
      <w:r w:rsidRPr="007D1383">
        <w:rPr>
          <w:rFonts w:ascii="Palatino Linotype" w:eastAsia="Palatino Linotype" w:hAnsi="Palatino Linotype" w:cs="Palatino Linotype"/>
          <w:b/>
          <w:i/>
        </w:rPr>
        <w:t>Cuentas bancarias y/o CLABE interbancaria de sujetos obligados que reciben y/o transfieren recursos públicos, son información pública.</w:t>
      </w:r>
      <w:r w:rsidRPr="007D1383">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3B94C3FB" w14:textId="77777777" w:rsidR="002A76B7" w:rsidRPr="007D1383" w:rsidRDefault="002A76B7">
      <w:pPr>
        <w:spacing w:after="0" w:line="360" w:lineRule="auto"/>
        <w:ind w:left="851" w:right="1134"/>
        <w:jc w:val="both"/>
        <w:rPr>
          <w:rFonts w:ascii="Palatino Linotype" w:eastAsia="Palatino Linotype" w:hAnsi="Palatino Linotype" w:cs="Palatino Linotype"/>
          <w:sz w:val="24"/>
          <w:szCs w:val="24"/>
        </w:rPr>
      </w:pPr>
    </w:p>
    <w:p w14:paraId="552F5AFC"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 xml:space="preserve">Sobre el </w:t>
      </w:r>
      <w:r w:rsidRPr="007D1383">
        <w:rPr>
          <w:rFonts w:ascii="Palatino Linotype" w:eastAsia="Palatino Linotype" w:hAnsi="Palatino Linotype" w:cs="Palatino Linotype"/>
          <w:b/>
          <w:sz w:val="24"/>
          <w:szCs w:val="24"/>
        </w:rPr>
        <w:t>RFC</w:t>
      </w:r>
      <w:r w:rsidRPr="007D1383">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4C2577B"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7EA2CCAA"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692A4CC" w14:textId="77777777" w:rsidR="002A76B7" w:rsidRPr="007D1383" w:rsidRDefault="002A76B7">
      <w:pPr>
        <w:spacing w:after="0" w:line="360" w:lineRule="auto"/>
        <w:ind w:right="50"/>
        <w:jc w:val="both"/>
        <w:rPr>
          <w:rFonts w:ascii="Palatino Linotype" w:eastAsia="Palatino Linotype" w:hAnsi="Palatino Linotype" w:cs="Palatino Linotype"/>
          <w:sz w:val="24"/>
          <w:szCs w:val="24"/>
        </w:rPr>
      </w:pPr>
    </w:p>
    <w:p w14:paraId="02C8F683" w14:textId="77777777" w:rsidR="002A76B7" w:rsidRPr="007D1383" w:rsidRDefault="008F7530">
      <w:pPr>
        <w:spacing w:after="0" w:line="360" w:lineRule="auto"/>
        <w:ind w:right="50"/>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72A5AF3E"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 xml:space="preserve">Al respecto, se destaca que la versión pública que elabore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D1383">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7D1383">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940CB72" w14:textId="77777777" w:rsidR="002A76B7" w:rsidRPr="007D1383" w:rsidRDefault="002A76B7">
      <w:pPr>
        <w:ind w:left="709" w:right="709"/>
        <w:jc w:val="both"/>
        <w:rPr>
          <w:rFonts w:ascii="Palatino Linotype" w:eastAsia="Palatino Linotype" w:hAnsi="Palatino Linotype" w:cs="Palatino Linotype"/>
          <w:b/>
          <w:i/>
          <w:sz w:val="24"/>
          <w:szCs w:val="24"/>
        </w:rPr>
      </w:pPr>
    </w:p>
    <w:p w14:paraId="25C9B0CD"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459080E3"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w:t>
      </w:r>
      <w:proofErr w:type="gramStart"/>
      <w:r w:rsidRPr="007D1383">
        <w:rPr>
          <w:rFonts w:ascii="Palatino Linotype" w:eastAsia="Palatino Linotype" w:hAnsi="Palatino Linotype" w:cs="Palatino Linotype"/>
          <w:b/>
          <w:i/>
        </w:rPr>
        <w:t>Segundo.-</w:t>
      </w:r>
      <w:proofErr w:type="gramEnd"/>
      <w:r w:rsidRPr="007D1383">
        <w:rPr>
          <w:rFonts w:ascii="Palatino Linotype" w:eastAsia="Palatino Linotype" w:hAnsi="Palatino Linotype" w:cs="Palatino Linotype"/>
          <w:i/>
        </w:rPr>
        <w:t xml:space="preserve"> Para efectos de los presentes Lineamientos Generales, se entenderá por:</w:t>
      </w:r>
    </w:p>
    <w:p w14:paraId="53AD6B31"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XVIII.</w:t>
      </w:r>
      <w:r w:rsidRPr="007D1383">
        <w:rPr>
          <w:rFonts w:ascii="Palatino Linotype" w:eastAsia="Palatino Linotype" w:hAnsi="Palatino Linotype" w:cs="Palatino Linotype"/>
          <w:i/>
        </w:rPr>
        <w:t xml:space="preserve"> </w:t>
      </w:r>
      <w:r w:rsidRPr="007D1383">
        <w:rPr>
          <w:rFonts w:ascii="Palatino Linotype" w:eastAsia="Palatino Linotype" w:hAnsi="Palatino Linotype" w:cs="Palatino Linotype"/>
          <w:b/>
          <w:i/>
        </w:rPr>
        <w:t>Versión pública:</w:t>
      </w:r>
      <w:r w:rsidRPr="007D1383">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D1383">
        <w:rPr>
          <w:rFonts w:ascii="Palatino Linotype" w:eastAsia="Palatino Linotype" w:hAnsi="Palatino Linotype" w:cs="Palatino Linotype"/>
          <w:b/>
          <w:i/>
          <w:u w:val="single"/>
        </w:rPr>
        <w:t>fundando y motivando la</w:t>
      </w:r>
      <w:r w:rsidRPr="007D1383">
        <w:rPr>
          <w:rFonts w:ascii="Palatino Linotype" w:eastAsia="Palatino Linotype" w:hAnsi="Palatino Linotype" w:cs="Palatino Linotype"/>
          <w:i/>
        </w:rPr>
        <w:t xml:space="preserve"> reserva o </w:t>
      </w:r>
      <w:r w:rsidRPr="007D1383">
        <w:rPr>
          <w:rFonts w:ascii="Palatino Linotype" w:eastAsia="Palatino Linotype" w:hAnsi="Palatino Linotype" w:cs="Palatino Linotype"/>
          <w:b/>
          <w:i/>
          <w:u w:val="single"/>
        </w:rPr>
        <w:t>confidencialidad</w:t>
      </w:r>
      <w:r w:rsidRPr="007D1383">
        <w:rPr>
          <w:rFonts w:ascii="Palatino Linotype" w:eastAsia="Palatino Linotype" w:hAnsi="Palatino Linotype" w:cs="Palatino Linotype"/>
          <w:i/>
        </w:rPr>
        <w:t>, a través de la resolución que para tal efecto emita el Comité de Transparencia.</w:t>
      </w:r>
    </w:p>
    <w:p w14:paraId="3EF611C4"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Cuarto.</w:t>
      </w:r>
      <w:r w:rsidRPr="007D1383">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7D1383">
        <w:rPr>
          <w:rFonts w:ascii="Palatino Linotype" w:eastAsia="Palatino Linotype" w:hAnsi="Palatino Linotype" w:cs="Palatino Linotype"/>
          <w:i/>
        </w:rPr>
        <w:lastRenderedPageBreak/>
        <w:t>materia en el ámbito de sus respectivas competencias, en tanto estas últimas no contravengan lo dispuesto en la Ley General.</w:t>
      </w:r>
    </w:p>
    <w:p w14:paraId="01145350"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3CCE601"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Quinto.</w:t>
      </w:r>
      <w:r w:rsidRPr="007D1383">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A061D8"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w:t>
      </w:r>
    </w:p>
    <w:p w14:paraId="31D68A9F"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Séptimo.</w:t>
      </w:r>
      <w:r w:rsidRPr="007D1383">
        <w:rPr>
          <w:rFonts w:ascii="Palatino Linotype" w:eastAsia="Palatino Linotype" w:hAnsi="Palatino Linotype" w:cs="Palatino Linotype"/>
          <w:i/>
        </w:rPr>
        <w:t xml:space="preserve"> La clasificación de la información se llevará a cabo en el momento en que:</w:t>
      </w:r>
    </w:p>
    <w:p w14:paraId="0E90C69D"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I.</w:t>
      </w:r>
      <w:r w:rsidRPr="007D1383">
        <w:rPr>
          <w:rFonts w:ascii="Palatino Linotype" w:eastAsia="Palatino Linotype" w:hAnsi="Palatino Linotype" w:cs="Palatino Linotype"/>
          <w:i/>
        </w:rPr>
        <w:t xml:space="preserve"> Se reciba una solicitud de acceso a la información;</w:t>
      </w:r>
    </w:p>
    <w:p w14:paraId="63202822"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II.</w:t>
      </w:r>
      <w:r w:rsidRPr="007D1383">
        <w:rPr>
          <w:rFonts w:ascii="Palatino Linotype" w:eastAsia="Palatino Linotype" w:hAnsi="Palatino Linotype" w:cs="Palatino Linotype"/>
          <w:i/>
        </w:rPr>
        <w:t xml:space="preserve"> </w:t>
      </w:r>
      <w:proofErr w:type="gramStart"/>
      <w:r w:rsidRPr="007D1383">
        <w:rPr>
          <w:rFonts w:ascii="Palatino Linotype" w:eastAsia="Palatino Linotype" w:hAnsi="Palatino Linotype" w:cs="Palatino Linotype"/>
          <w:i/>
        </w:rPr>
        <w:t>Se  determine</w:t>
      </w:r>
      <w:proofErr w:type="gramEnd"/>
      <w:r w:rsidRPr="007D1383">
        <w:rPr>
          <w:rFonts w:ascii="Palatino Linotype" w:eastAsia="Palatino Linotype" w:hAnsi="Palatino Linotype" w:cs="Palatino Linotype"/>
          <w:i/>
        </w:rPr>
        <w:t xml:space="preserve"> mediante resolución del Comité de Transparencia, el órgano garante </w:t>
      </w:r>
    </w:p>
    <w:p w14:paraId="63B09BE8"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competente, o en cumplimiento a una sentencia del Poder Judicial; o</w:t>
      </w:r>
    </w:p>
    <w:p w14:paraId="095A0148"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III.</w:t>
      </w:r>
      <w:r w:rsidRPr="007D1383">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CEFCD25"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769DE1CD"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Octavo.</w:t>
      </w:r>
      <w:r w:rsidRPr="007D1383">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EC5BC0"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388AC58"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D486C69"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lastRenderedPageBreak/>
        <w:t>Noveno.</w:t>
      </w:r>
      <w:r w:rsidRPr="007D1383">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73B3B6"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Décimo.</w:t>
      </w:r>
      <w:r w:rsidRPr="007D1383">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7C23677"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0B05BE9"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Décimo primero.</w:t>
      </w:r>
      <w:r w:rsidRPr="007D1383">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8C2A39C" w14:textId="77777777" w:rsidR="002A76B7" w:rsidRPr="007D1383" w:rsidRDefault="002A76B7">
      <w:pPr>
        <w:pBdr>
          <w:top w:val="nil"/>
          <w:left w:val="nil"/>
          <w:bottom w:val="nil"/>
          <w:right w:val="nil"/>
          <w:between w:val="nil"/>
        </w:pBdr>
        <w:spacing w:after="0" w:line="276" w:lineRule="auto"/>
        <w:ind w:right="709"/>
        <w:jc w:val="both"/>
      </w:pPr>
    </w:p>
    <w:p w14:paraId="2E0B405C"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w:t>
      </w:r>
    </w:p>
    <w:p w14:paraId="00B0E09B" w14:textId="77777777" w:rsidR="002A76B7" w:rsidRPr="007D1383" w:rsidRDefault="008F7530">
      <w:pPr>
        <w:pBdr>
          <w:top w:val="nil"/>
          <w:left w:val="nil"/>
          <w:bottom w:val="nil"/>
          <w:right w:val="nil"/>
          <w:between w:val="nil"/>
        </w:pBdr>
        <w:spacing w:after="0" w:line="276" w:lineRule="auto"/>
        <w:ind w:left="709" w:right="709"/>
        <w:jc w:val="center"/>
      </w:pPr>
      <w:r w:rsidRPr="007D1383">
        <w:rPr>
          <w:rFonts w:ascii="Palatino Linotype" w:eastAsia="Palatino Linotype" w:hAnsi="Palatino Linotype" w:cs="Palatino Linotype"/>
          <w:b/>
          <w:i/>
        </w:rPr>
        <w:t>CAPÍTULO VIII</w:t>
      </w:r>
    </w:p>
    <w:p w14:paraId="1CA5479B" w14:textId="77777777" w:rsidR="002A76B7" w:rsidRPr="007D1383" w:rsidRDefault="008F7530">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7D1383">
        <w:rPr>
          <w:rFonts w:ascii="Palatino Linotype" w:eastAsia="Palatino Linotype" w:hAnsi="Palatino Linotype" w:cs="Palatino Linotype"/>
          <w:b/>
          <w:i/>
        </w:rPr>
        <w:t>DE LOS ELEMENTOS PARA LA CLASIFICACIÓN</w:t>
      </w:r>
    </w:p>
    <w:p w14:paraId="0BB8C45E"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Quincuagésimo</w:t>
      </w:r>
      <w:r w:rsidRPr="007D1383">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A51F036"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Quincuagésimo primero</w:t>
      </w:r>
      <w:r w:rsidRPr="007D1383">
        <w:rPr>
          <w:rFonts w:ascii="Palatino Linotype" w:eastAsia="Palatino Linotype" w:hAnsi="Palatino Linotype" w:cs="Palatino Linotype"/>
          <w:i/>
        </w:rPr>
        <w:t>. Toda acta del Comité de Transparencia deberá contener:</w:t>
      </w:r>
    </w:p>
    <w:p w14:paraId="44792BF2"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I. El número de sesión y fecha; </w:t>
      </w:r>
    </w:p>
    <w:p w14:paraId="7797C511"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 El nombre del área que solicitó la clasificación de información;</w:t>
      </w:r>
    </w:p>
    <w:p w14:paraId="14701B6F"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III. La fundamentación legal y motivación correspondiente;</w:t>
      </w:r>
    </w:p>
    <w:p w14:paraId="2BD92759"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IV. La resolución o resoluciones aprobadas; y</w:t>
      </w:r>
    </w:p>
    <w:p w14:paraId="44C759BF"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V. La rúbrica o firma digital de cada integrante del Comité de Transparencia. </w:t>
      </w:r>
    </w:p>
    <w:p w14:paraId="2ECADB1D"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lastRenderedPageBreak/>
        <w:t>Las resoluciones del Comité en las que se haya determinado confirmar o modificar la clasificación de información pública como reservada, deberán incluir, cuando menos:</w:t>
      </w:r>
    </w:p>
    <w:p w14:paraId="3744C280"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 Los motivos y razonamientos que sustenten la confirmación o modificación de la prueba de daño;</w:t>
      </w:r>
    </w:p>
    <w:p w14:paraId="63E66F9B"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 Descripción de las partes o secciones reservadas, en caso de clasificación parcial;</w:t>
      </w:r>
    </w:p>
    <w:p w14:paraId="1A54759D"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III. El periodo por el que mantendrá su clasificación y fecha de expiración; y</w:t>
      </w:r>
    </w:p>
    <w:p w14:paraId="3530B585"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IV. El nombre del titular y área encargada de realizar la versión pública del documento, en su caso.</w:t>
      </w:r>
    </w:p>
    <w:p w14:paraId="28B06C9C"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343667B"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BBF2CF1"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b/>
          <w:i/>
        </w:rPr>
        <w:t>Quincuagésimo segundo</w:t>
      </w:r>
      <w:r w:rsidRPr="007D1383">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02BCC21"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B42D8C3"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 Fijar la fecha en que se elaboró la versión pública y la fecha en la cual el Comité de Transparencia confirmó dicha versión;</w:t>
      </w:r>
    </w:p>
    <w:p w14:paraId="4E82BBAE"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866F262"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III. Señalar las personas o instancias autorizadas a acceder a la información clasificada.</w:t>
      </w:r>
    </w:p>
    <w:p w14:paraId="706D49DA"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BB72F80"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b/>
          <w:i/>
        </w:rPr>
        <w:t>…</w:t>
      </w:r>
    </w:p>
    <w:p w14:paraId="2DA60C5B" w14:textId="77777777" w:rsidR="002A76B7" w:rsidRPr="007D1383" w:rsidRDefault="008F7530">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Quincuagésimo cuarto. Cuando el Comité de Transparencia confirme la clasificación de documentos reservados y/o confidenciales, sea total o parcialmente; se deberá </w:t>
      </w:r>
      <w:r w:rsidRPr="007D1383">
        <w:rPr>
          <w:rFonts w:ascii="Palatino Linotype" w:eastAsia="Palatino Linotype" w:hAnsi="Palatino Linotype" w:cs="Palatino Linotype"/>
          <w:i/>
        </w:rPr>
        <w:lastRenderedPageBreak/>
        <w:t>anexar al expediente la resolución que determinó la clasificación o, en su defecto, identificar en la carátula del expediente del cual formen parte, la fecha y sesión del Comité de Transparencia en la que se confirmó dicha clasificación.</w:t>
      </w:r>
    </w:p>
    <w:p w14:paraId="5634C424" w14:textId="77777777" w:rsidR="002A76B7" w:rsidRPr="007D1383" w:rsidRDefault="008F7530">
      <w:pPr>
        <w:pBdr>
          <w:top w:val="nil"/>
          <w:left w:val="nil"/>
          <w:bottom w:val="nil"/>
          <w:right w:val="nil"/>
          <w:between w:val="nil"/>
        </w:pBdr>
        <w:spacing w:after="0" w:line="276" w:lineRule="auto"/>
        <w:ind w:left="709" w:right="709"/>
        <w:jc w:val="both"/>
      </w:pPr>
      <w:r w:rsidRPr="007D1383">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7D1383">
        <w:rPr>
          <w:rFonts w:ascii="Palatino Linotype" w:eastAsia="Palatino Linotype" w:hAnsi="Palatino Linotype" w:cs="Palatino Linotype"/>
          <w:i/>
        </w:rPr>
        <w:t>testado</w:t>
      </w:r>
      <w:proofErr w:type="spellEnd"/>
      <w:r w:rsidRPr="007D1383">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155850D" w14:textId="77777777" w:rsidR="002A76B7" w:rsidRPr="007D1383" w:rsidRDefault="002A76B7">
      <w:pPr>
        <w:jc w:val="both"/>
        <w:rPr>
          <w:rFonts w:ascii="Palatino Linotype" w:eastAsia="Palatino Linotype" w:hAnsi="Palatino Linotype" w:cs="Palatino Linotype"/>
          <w:sz w:val="24"/>
          <w:szCs w:val="24"/>
        </w:rPr>
      </w:pPr>
    </w:p>
    <w:p w14:paraId="08DE13C0"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4AA85FED"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3874E343" w14:textId="77777777" w:rsidR="002A76B7" w:rsidRPr="007D1383" w:rsidRDefault="008F7530">
      <w:pPr>
        <w:shd w:val="clear" w:color="auto" w:fill="FFFFFF"/>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D1383">
        <w:rPr>
          <w:rFonts w:ascii="Palatino Linotype" w:eastAsia="Palatino Linotype" w:hAnsi="Palatino Linotype" w:cs="Palatino Linotype"/>
          <w:b/>
          <w:sz w:val="24"/>
          <w:szCs w:val="24"/>
        </w:rPr>
        <w:t>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w:t>
      </w:r>
    </w:p>
    <w:p w14:paraId="773F44D9"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lastRenderedPageBreak/>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51412BEC"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C3ED693" w14:textId="77777777" w:rsidR="002A76B7" w:rsidRPr="007D1383" w:rsidRDefault="008F7530">
      <w:pPr>
        <w:spacing w:after="0" w:line="360" w:lineRule="auto"/>
        <w:ind w:left="1080"/>
        <w:jc w:val="center"/>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R E S U E L V E</w:t>
      </w:r>
    </w:p>
    <w:p w14:paraId="21BA9714" w14:textId="77777777" w:rsidR="002A76B7" w:rsidRPr="007D1383" w:rsidRDefault="002A76B7">
      <w:pPr>
        <w:spacing w:after="0" w:line="360" w:lineRule="auto"/>
        <w:ind w:left="1080"/>
        <w:rPr>
          <w:rFonts w:ascii="Palatino Linotype" w:eastAsia="Palatino Linotype" w:hAnsi="Palatino Linotype" w:cs="Palatino Linotype"/>
          <w:b/>
          <w:sz w:val="24"/>
          <w:szCs w:val="24"/>
        </w:rPr>
      </w:pPr>
    </w:p>
    <w:p w14:paraId="0E428D4C"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PRIMERO. </w:t>
      </w:r>
      <w:r w:rsidRPr="007D1383">
        <w:rPr>
          <w:rFonts w:ascii="Palatino Linotype" w:eastAsia="Palatino Linotype" w:hAnsi="Palatino Linotype" w:cs="Palatino Linotype"/>
          <w:sz w:val="24"/>
          <w:szCs w:val="24"/>
        </w:rPr>
        <w:t xml:space="preserve">Resultan fundados los motivos de inconformidad hechos valer por la parte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xml:space="preserve"> en el Recurso de Revisión </w:t>
      </w:r>
      <w:r w:rsidRPr="007D1383">
        <w:rPr>
          <w:rFonts w:ascii="Palatino Linotype" w:eastAsia="Palatino Linotype" w:hAnsi="Palatino Linotype" w:cs="Palatino Linotype"/>
          <w:b/>
          <w:sz w:val="24"/>
          <w:szCs w:val="24"/>
        </w:rPr>
        <w:t>05309/INFOEM/IP/RR/2024</w:t>
      </w:r>
      <w:r w:rsidRPr="007D1383">
        <w:rPr>
          <w:rFonts w:ascii="Palatino Linotype" w:eastAsia="Palatino Linotype" w:hAnsi="Palatino Linotype" w:cs="Palatino Linotype"/>
          <w:sz w:val="24"/>
          <w:szCs w:val="24"/>
        </w:rPr>
        <w:t>,</w:t>
      </w:r>
      <w:r w:rsidRPr="007D1383">
        <w:rPr>
          <w:rFonts w:ascii="Palatino Linotype" w:eastAsia="Palatino Linotype" w:hAnsi="Palatino Linotype" w:cs="Palatino Linotype"/>
          <w:b/>
          <w:sz w:val="24"/>
          <w:szCs w:val="24"/>
        </w:rPr>
        <w:t xml:space="preserve"> </w:t>
      </w:r>
      <w:r w:rsidRPr="007D1383">
        <w:rPr>
          <w:rFonts w:ascii="Palatino Linotype" w:eastAsia="Palatino Linotype" w:hAnsi="Palatino Linotype" w:cs="Palatino Linotype"/>
          <w:sz w:val="24"/>
          <w:szCs w:val="24"/>
        </w:rPr>
        <w:t xml:space="preserve">por lo que, en términos del considerando </w:t>
      </w:r>
      <w:r w:rsidRPr="007D1383">
        <w:rPr>
          <w:rFonts w:ascii="Palatino Linotype" w:eastAsia="Palatino Linotype" w:hAnsi="Palatino Linotype" w:cs="Palatino Linotype"/>
          <w:b/>
          <w:sz w:val="24"/>
          <w:szCs w:val="24"/>
        </w:rPr>
        <w:t xml:space="preserve">Cuarto </w:t>
      </w:r>
      <w:r w:rsidRPr="007D1383">
        <w:rPr>
          <w:rFonts w:ascii="Palatino Linotype" w:eastAsia="Palatino Linotype" w:hAnsi="Palatino Linotype" w:cs="Palatino Linotype"/>
          <w:sz w:val="24"/>
          <w:szCs w:val="24"/>
        </w:rPr>
        <w:t xml:space="preserve">de esta resolución, se </w:t>
      </w:r>
      <w:r w:rsidRPr="007D1383">
        <w:rPr>
          <w:rFonts w:ascii="Palatino Linotype" w:eastAsia="Palatino Linotype" w:hAnsi="Palatino Linotype" w:cs="Palatino Linotype"/>
          <w:b/>
          <w:sz w:val="24"/>
          <w:szCs w:val="24"/>
        </w:rPr>
        <w:t xml:space="preserve">MODIFICA </w:t>
      </w:r>
      <w:r w:rsidRPr="007D1383">
        <w:rPr>
          <w:rFonts w:ascii="Palatino Linotype" w:eastAsia="Palatino Linotype" w:hAnsi="Palatino Linotype" w:cs="Palatino Linotype"/>
          <w:sz w:val="24"/>
          <w:szCs w:val="24"/>
        </w:rPr>
        <w:t xml:space="preserve">la respuesta emitida por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w:t>
      </w:r>
    </w:p>
    <w:p w14:paraId="2A334479"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0BD6A1B7" w14:textId="77777777" w:rsidR="002A76B7" w:rsidRPr="007D1383" w:rsidRDefault="008F7530">
      <w:pPr>
        <w:spacing w:after="0" w:line="360" w:lineRule="auto"/>
        <w:ind w:right="49"/>
        <w:jc w:val="both"/>
        <w:rPr>
          <w:rFonts w:ascii="Palatino Linotype" w:eastAsia="Palatino Linotype" w:hAnsi="Palatino Linotype" w:cs="Palatino Linotype"/>
          <w:b/>
          <w:sz w:val="24"/>
          <w:szCs w:val="24"/>
        </w:rPr>
      </w:pPr>
      <w:r w:rsidRPr="007D1383">
        <w:rPr>
          <w:rFonts w:ascii="Palatino Linotype" w:eastAsia="Palatino Linotype" w:hAnsi="Palatino Linotype" w:cs="Palatino Linotype"/>
          <w:b/>
          <w:sz w:val="24"/>
          <w:szCs w:val="24"/>
        </w:rPr>
        <w:t xml:space="preserve">SEGUNDO. </w:t>
      </w:r>
      <w:r w:rsidRPr="007D1383">
        <w:rPr>
          <w:rFonts w:ascii="Palatino Linotype" w:eastAsia="Palatino Linotype" w:hAnsi="Palatino Linotype" w:cs="Palatino Linotype"/>
          <w:sz w:val="24"/>
          <w:szCs w:val="24"/>
        </w:rPr>
        <w:t xml:space="preserve">Se </w:t>
      </w:r>
      <w:r w:rsidRPr="007D1383">
        <w:rPr>
          <w:rFonts w:ascii="Palatino Linotype" w:eastAsia="Palatino Linotype" w:hAnsi="Palatino Linotype" w:cs="Palatino Linotype"/>
          <w:b/>
          <w:sz w:val="24"/>
          <w:szCs w:val="24"/>
        </w:rPr>
        <w:t xml:space="preserve">Ordena </w:t>
      </w:r>
      <w:r w:rsidRPr="007D1383">
        <w:rPr>
          <w:rFonts w:ascii="Palatino Linotype" w:eastAsia="Palatino Linotype" w:hAnsi="Palatino Linotype" w:cs="Palatino Linotype"/>
          <w:sz w:val="24"/>
          <w:szCs w:val="24"/>
        </w:rPr>
        <w:t xml:space="preserve">al </w:t>
      </w:r>
      <w:r w:rsidRPr="007D1383">
        <w:rPr>
          <w:rFonts w:ascii="Palatino Linotype" w:eastAsia="Palatino Linotype" w:hAnsi="Palatino Linotype" w:cs="Palatino Linotype"/>
          <w:b/>
          <w:sz w:val="24"/>
          <w:szCs w:val="24"/>
        </w:rPr>
        <w:t>SUJETO OBLIGADO</w:t>
      </w:r>
      <w:r w:rsidRPr="007D1383">
        <w:rPr>
          <w:rFonts w:ascii="Palatino Linotype" w:eastAsia="Palatino Linotype" w:hAnsi="Palatino Linotype" w:cs="Palatino Linotype"/>
          <w:sz w:val="24"/>
          <w:szCs w:val="24"/>
        </w:rPr>
        <w:t xml:space="preserve"> entregue, a</w:t>
      </w:r>
      <w:r w:rsidRPr="007D1383">
        <w:rPr>
          <w:rFonts w:ascii="Palatino Linotype" w:eastAsia="Palatino Linotype" w:hAnsi="Palatino Linotype" w:cs="Palatino Linotype"/>
          <w:b/>
          <w:sz w:val="24"/>
          <w:szCs w:val="24"/>
        </w:rPr>
        <w:t xml:space="preserve"> LA PARTE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RECURRENTE</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vía SAIMEX</w:t>
      </w:r>
      <w:r w:rsidRPr="007D1383">
        <w:rPr>
          <w:rFonts w:ascii="Palatino Linotype" w:eastAsia="Palatino Linotype" w:hAnsi="Palatino Linotype" w:cs="Palatino Linotype"/>
          <w:sz w:val="24"/>
          <w:szCs w:val="24"/>
        </w:rPr>
        <w:t>, y correo electrónico en términos de los</w:t>
      </w:r>
      <w:r w:rsidRPr="007D1383">
        <w:rPr>
          <w:rFonts w:ascii="Palatino Linotype" w:eastAsia="Palatino Linotype" w:hAnsi="Palatino Linotype" w:cs="Palatino Linotype"/>
          <w:b/>
          <w:sz w:val="24"/>
          <w:szCs w:val="24"/>
        </w:rPr>
        <w:t xml:space="preserve"> Considerandos</w:t>
      </w:r>
      <w:r w:rsidRPr="007D1383">
        <w:rPr>
          <w:rFonts w:ascii="Palatino Linotype" w:eastAsia="Palatino Linotype" w:hAnsi="Palatino Linotype" w:cs="Palatino Linotype"/>
          <w:sz w:val="24"/>
          <w:szCs w:val="24"/>
        </w:rPr>
        <w:t xml:space="preserve"> </w:t>
      </w:r>
      <w:r w:rsidRPr="007D1383">
        <w:rPr>
          <w:rFonts w:ascii="Palatino Linotype" w:eastAsia="Palatino Linotype" w:hAnsi="Palatino Linotype" w:cs="Palatino Linotype"/>
          <w:b/>
          <w:sz w:val="24"/>
          <w:szCs w:val="24"/>
        </w:rPr>
        <w:t>Cuarto y Quinto</w:t>
      </w:r>
      <w:r w:rsidRPr="007D1383">
        <w:rPr>
          <w:rFonts w:ascii="Palatino Linotype" w:eastAsia="Palatino Linotype" w:hAnsi="Palatino Linotype" w:cs="Palatino Linotype"/>
          <w:sz w:val="24"/>
          <w:szCs w:val="24"/>
        </w:rPr>
        <w:t>, la correcta versión pública, de lo siguiente:</w:t>
      </w:r>
      <w:r w:rsidRPr="007D1383">
        <w:rPr>
          <w:rFonts w:ascii="Palatino Linotype" w:eastAsia="Palatino Linotype" w:hAnsi="Palatino Linotype" w:cs="Palatino Linotype"/>
          <w:b/>
          <w:sz w:val="24"/>
          <w:szCs w:val="24"/>
        </w:rPr>
        <w:t xml:space="preserve"> </w:t>
      </w:r>
    </w:p>
    <w:p w14:paraId="44068F18" w14:textId="77777777" w:rsidR="002A76B7" w:rsidRPr="007D1383" w:rsidRDefault="002A76B7">
      <w:pPr>
        <w:spacing w:after="0" w:line="360" w:lineRule="auto"/>
        <w:ind w:right="49"/>
        <w:jc w:val="both"/>
        <w:rPr>
          <w:rFonts w:ascii="Palatino Linotype" w:eastAsia="Palatino Linotype" w:hAnsi="Palatino Linotype" w:cs="Palatino Linotype"/>
          <w:b/>
          <w:sz w:val="24"/>
          <w:szCs w:val="24"/>
        </w:rPr>
      </w:pPr>
    </w:p>
    <w:p w14:paraId="4AAC6C9A" w14:textId="77777777" w:rsidR="002A76B7" w:rsidRPr="007D1383" w:rsidRDefault="008F7530">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 xml:space="preserve">Información curricular de las empresas participantes, enviados en respuesta.  </w:t>
      </w:r>
    </w:p>
    <w:p w14:paraId="53CF2477"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bookmarkStart w:id="9" w:name="_heading=h.30j0zll" w:colFirst="0" w:colLast="0"/>
      <w:bookmarkEnd w:id="9"/>
    </w:p>
    <w:p w14:paraId="4CB6BEE0" w14:textId="77777777" w:rsidR="002A76B7" w:rsidRPr="007D1383" w:rsidRDefault="008F7530">
      <w:pPr>
        <w:spacing w:after="0" w:line="276" w:lineRule="auto"/>
        <w:ind w:right="51"/>
        <w:jc w:val="both"/>
        <w:rPr>
          <w:rFonts w:ascii="Palatino Linotype" w:eastAsia="Palatino Linotype" w:hAnsi="Palatino Linotype" w:cs="Palatino Linotype"/>
          <w:i/>
        </w:rPr>
      </w:pPr>
      <w:r w:rsidRPr="007D1383">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7D1383">
        <w:rPr>
          <w:rFonts w:ascii="Palatino Linotype" w:eastAsia="Palatino Linotype" w:hAnsi="Palatino Linotype" w:cs="Palatino Linotype"/>
          <w:b/>
          <w:i/>
        </w:rPr>
        <w:t>LA PARTE RECURRENTE</w:t>
      </w:r>
      <w:r w:rsidRPr="007D1383">
        <w:rPr>
          <w:rFonts w:ascii="Palatino Linotype" w:eastAsia="Palatino Linotype" w:hAnsi="Palatino Linotype" w:cs="Palatino Linotype"/>
          <w:i/>
        </w:rPr>
        <w:t>.</w:t>
      </w:r>
    </w:p>
    <w:p w14:paraId="19C5627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445ED621"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lastRenderedPageBreak/>
        <w:t xml:space="preserve">TERCERO.  Notifíquese vía SAIMEX, </w:t>
      </w:r>
      <w:r w:rsidRPr="007D1383">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498F9A" w14:textId="77777777" w:rsidR="002A76B7" w:rsidRPr="007D1383" w:rsidRDefault="002A76B7">
      <w:pPr>
        <w:spacing w:after="0" w:line="360" w:lineRule="auto"/>
        <w:ind w:right="49"/>
        <w:jc w:val="both"/>
        <w:rPr>
          <w:rFonts w:ascii="Palatino Linotype" w:eastAsia="Palatino Linotype" w:hAnsi="Palatino Linotype" w:cs="Palatino Linotype"/>
          <w:sz w:val="24"/>
          <w:szCs w:val="24"/>
        </w:rPr>
      </w:pPr>
    </w:p>
    <w:p w14:paraId="7216B1BA" w14:textId="77777777" w:rsidR="002A76B7" w:rsidRPr="007D1383" w:rsidRDefault="008F7530">
      <w:pP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CUARTO. </w:t>
      </w:r>
      <w:r w:rsidRPr="007D138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D1383">
        <w:rPr>
          <w:rFonts w:ascii="Palatino Linotype" w:eastAsia="Palatino Linotype" w:hAnsi="Palatino Linotype" w:cs="Palatino Linotype"/>
          <w:b/>
          <w:sz w:val="24"/>
          <w:szCs w:val="24"/>
        </w:rPr>
        <w:t>EL SUJETO OBLIGADO</w:t>
      </w:r>
      <w:r w:rsidRPr="007D138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BAD21E8" w14:textId="77777777" w:rsidR="002A76B7" w:rsidRPr="007D1383" w:rsidRDefault="002A76B7">
      <w:pPr>
        <w:spacing w:after="0" w:line="360" w:lineRule="auto"/>
        <w:jc w:val="both"/>
        <w:rPr>
          <w:rFonts w:ascii="Palatino Linotype" w:eastAsia="Palatino Linotype" w:hAnsi="Palatino Linotype" w:cs="Palatino Linotype"/>
          <w:sz w:val="24"/>
          <w:szCs w:val="24"/>
        </w:rPr>
      </w:pPr>
    </w:p>
    <w:p w14:paraId="6BFAAC80" w14:textId="77777777" w:rsidR="002A76B7" w:rsidRPr="007D1383" w:rsidRDefault="008F753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b/>
          <w:sz w:val="24"/>
          <w:szCs w:val="24"/>
        </w:rPr>
        <w:t xml:space="preserve">QUINTO. Notifíquese, </w:t>
      </w:r>
      <w:r w:rsidRPr="007D1383">
        <w:rPr>
          <w:rFonts w:ascii="Palatino Linotype" w:eastAsia="Palatino Linotype" w:hAnsi="Palatino Linotype" w:cs="Palatino Linotype"/>
          <w:sz w:val="24"/>
          <w:szCs w:val="24"/>
        </w:rPr>
        <w:t xml:space="preserve">vía </w:t>
      </w:r>
      <w:r w:rsidRPr="007D1383">
        <w:rPr>
          <w:rFonts w:ascii="Palatino Linotype" w:eastAsia="Palatino Linotype" w:hAnsi="Palatino Linotype" w:cs="Palatino Linotype"/>
          <w:b/>
          <w:sz w:val="24"/>
          <w:szCs w:val="24"/>
        </w:rPr>
        <w:t>SAIMEX</w:t>
      </w:r>
      <w:r w:rsidRPr="007D1383">
        <w:rPr>
          <w:rFonts w:ascii="Palatino Linotype" w:eastAsia="Palatino Linotype" w:hAnsi="Palatino Linotype" w:cs="Palatino Linotype"/>
          <w:sz w:val="24"/>
          <w:szCs w:val="24"/>
        </w:rPr>
        <w:t xml:space="preserve"> y correo electrónico a </w:t>
      </w:r>
      <w:r w:rsidRPr="007D1383">
        <w:rPr>
          <w:rFonts w:ascii="Palatino Linotype" w:eastAsia="Palatino Linotype" w:hAnsi="Palatino Linotype" w:cs="Palatino Linotype"/>
          <w:b/>
          <w:sz w:val="24"/>
          <w:szCs w:val="24"/>
        </w:rPr>
        <w:t>LA PARTE RECURRENTE</w:t>
      </w:r>
      <w:r w:rsidRPr="007D1383">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AB8A802" w14:textId="77777777" w:rsidR="002A76B7" w:rsidRPr="007D1383" w:rsidRDefault="002A76B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91211CA" w14:textId="77777777" w:rsidR="002A76B7" w:rsidRPr="007D1383" w:rsidRDefault="008F7530">
      <w:pPr>
        <w:spacing w:after="0" w:line="360" w:lineRule="auto"/>
        <w:ind w:right="49"/>
        <w:jc w:val="both"/>
        <w:rPr>
          <w:rFonts w:ascii="Palatino Linotype" w:eastAsia="Palatino Linotype" w:hAnsi="Palatino Linotype" w:cs="Palatino Linotype"/>
          <w:sz w:val="24"/>
          <w:szCs w:val="24"/>
        </w:rPr>
      </w:pPr>
      <w:r w:rsidRPr="007D138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75417401"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6B0C53B4"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52F41EA5"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p w14:paraId="7A487C53"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49D67AEE"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4436E330"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08B68367"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5CDBCD86"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776875FA"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7D82F206"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238BDA46"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47418047"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36E2FD42"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3D1AA22C" w14:textId="77777777" w:rsidR="00A05A18" w:rsidRPr="007D1383" w:rsidRDefault="00A05A18">
      <w:pPr>
        <w:spacing w:after="0" w:line="360" w:lineRule="auto"/>
        <w:ind w:right="51"/>
        <w:jc w:val="both"/>
        <w:rPr>
          <w:rFonts w:ascii="Palatino Linotype" w:eastAsia="Palatino Linotype" w:hAnsi="Palatino Linotype" w:cs="Palatino Linotype"/>
          <w:sz w:val="24"/>
          <w:szCs w:val="24"/>
        </w:rPr>
      </w:pPr>
    </w:p>
    <w:p w14:paraId="41CC399E" w14:textId="77777777" w:rsidR="002A76B7" w:rsidRPr="007D1383" w:rsidRDefault="002A76B7">
      <w:pPr>
        <w:spacing w:after="0" w:line="360" w:lineRule="auto"/>
        <w:ind w:right="51"/>
        <w:jc w:val="both"/>
        <w:rPr>
          <w:rFonts w:ascii="Palatino Linotype" w:eastAsia="Palatino Linotype" w:hAnsi="Palatino Linotype" w:cs="Palatino Linotype"/>
          <w:sz w:val="24"/>
          <w:szCs w:val="24"/>
        </w:rPr>
      </w:pPr>
    </w:p>
    <w:sectPr w:rsidR="002A76B7" w:rsidRPr="007D1383">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3E45" w14:textId="77777777" w:rsidR="008F1BC2" w:rsidRDefault="008F1BC2">
      <w:pPr>
        <w:spacing w:after="0" w:line="240" w:lineRule="auto"/>
      </w:pPr>
      <w:r>
        <w:separator/>
      </w:r>
    </w:p>
  </w:endnote>
  <w:endnote w:type="continuationSeparator" w:id="0">
    <w:p w14:paraId="30DEDB62" w14:textId="77777777" w:rsidR="008F1BC2" w:rsidRDefault="008F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C11" w14:textId="77777777" w:rsidR="002A76B7" w:rsidRDefault="008F753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F151D">
      <w:rPr>
        <w:rFonts w:ascii="Arial" w:eastAsia="Arial" w:hAnsi="Arial" w:cs="Arial"/>
        <w:b/>
        <w:noProof/>
        <w:color w:val="000000"/>
        <w:sz w:val="20"/>
        <w:szCs w:val="20"/>
      </w:rPr>
      <w:t>57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F151D">
      <w:rPr>
        <w:rFonts w:ascii="Arial" w:eastAsia="Arial" w:hAnsi="Arial" w:cs="Arial"/>
        <w:b/>
        <w:noProof/>
        <w:color w:val="000000"/>
        <w:sz w:val="20"/>
        <w:szCs w:val="20"/>
      </w:rPr>
      <w:t>59</w:t>
    </w:r>
    <w:r>
      <w:rPr>
        <w:rFonts w:ascii="Arial" w:eastAsia="Arial" w:hAnsi="Arial" w:cs="Arial"/>
        <w:b/>
        <w:color w:val="000000"/>
        <w:sz w:val="20"/>
        <w:szCs w:val="20"/>
      </w:rPr>
      <w:fldChar w:fldCharType="end"/>
    </w:r>
  </w:p>
  <w:p w14:paraId="399FFBA6" w14:textId="77777777" w:rsidR="002A76B7" w:rsidRDefault="002A76B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6CC" w14:textId="77777777" w:rsidR="002A76B7" w:rsidRDefault="008F753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F151D">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F151D">
      <w:rPr>
        <w:rFonts w:ascii="Arial" w:eastAsia="Arial" w:hAnsi="Arial" w:cs="Arial"/>
        <w:b/>
        <w:noProof/>
        <w:color w:val="000000"/>
        <w:sz w:val="20"/>
        <w:szCs w:val="20"/>
      </w:rPr>
      <w:t>59</w:t>
    </w:r>
    <w:r>
      <w:rPr>
        <w:rFonts w:ascii="Arial" w:eastAsia="Arial" w:hAnsi="Arial" w:cs="Arial"/>
        <w:b/>
        <w:color w:val="000000"/>
        <w:sz w:val="20"/>
        <w:szCs w:val="20"/>
      </w:rPr>
      <w:fldChar w:fldCharType="end"/>
    </w:r>
  </w:p>
  <w:p w14:paraId="2574A07A" w14:textId="77777777" w:rsidR="002A76B7" w:rsidRDefault="002A76B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6D72" w14:textId="77777777" w:rsidR="008F1BC2" w:rsidRDefault="008F1BC2">
      <w:pPr>
        <w:spacing w:after="0" w:line="240" w:lineRule="auto"/>
      </w:pPr>
      <w:r>
        <w:separator/>
      </w:r>
    </w:p>
  </w:footnote>
  <w:footnote w:type="continuationSeparator" w:id="0">
    <w:p w14:paraId="32859915" w14:textId="77777777" w:rsidR="008F1BC2" w:rsidRDefault="008F1BC2">
      <w:pPr>
        <w:spacing w:after="0" w:line="240" w:lineRule="auto"/>
      </w:pPr>
      <w:r>
        <w:continuationSeparator/>
      </w:r>
    </w:p>
  </w:footnote>
  <w:footnote w:id="1">
    <w:p w14:paraId="2593C17C" w14:textId="77777777" w:rsidR="002A76B7" w:rsidRDefault="008F75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0728AFD" w14:textId="77777777" w:rsidR="002A76B7" w:rsidRDefault="008F753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4A8" w14:textId="77777777" w:rsidR="002A76B7" w:rsidRDefault="002A76B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3"/>
      <w:tblW w:w="10538" w:type="dxa"/>
      <w:tblInd w:w="-1281" w:type="dxa"/>
      <w:tblLayout w:type="fixed"/>
      <w:tblLook w:val="0400" w:firstRow="0" w:lastRow="0" w:firstColumn="0" w:lastColumn="0" w:noHBand="0" w:noVBand="1"/>
    </w:tblPr>
    <w:tblGrid>
      <w:gridCol w:w="5660"/>
      <w:gridCol w:w="4878"/>
    </w:tblGrid>
    <w:tr w:rsidR="002A76B7" w14:paraId="5AB7D607" w14:textId="77777777">
      <w:trPr>
        <w:trHeight w:val="260"/>
      </w:trPr>
      <w:tc>
        <w:tcPr>
          <w:tcW w:w="5660" w:type="dxa"/>
        </w:tcPr>
        <w:p w14:paraId="3843D25D" w14:textId="77777777" w:rsidR="002A76B7" w:rsidRDefault="008F753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1CEA11C1" w14:textId="77777777" w:rsidR="002A76B7" w:rsidRDefault="008F753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05309/INFOEM/IP/RR/2024.</w:t>
          </w:r>
        </w:p>
      </w:tc>
    </w:tr>
    <w:tr w:rsidR="002A76B7" w14:paraId="079EAC1A" w14:textId="77777777">
      <w:trPr>
        <w:trHeight w:val="224"/>
      </w:trPr>
      <w:tc>
        <w:tcPr>
          <w:tcW w:w="5660" w:type="dxa"/>
        </w:tcPr>
        <w:p w14:paraId="599ABE3B" w14:textId="77777777" w:rsidR="002A76B7" w:rsidRDefault="008F753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080C8A9" w14:textId="102B7D8B" w:rsidR="002A76B7" w:rsidRDefault="003D6ABE">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sidRPr="003D6ABE">
            <w:rPr>
              <w:rFonts w:ascii="Palatino Linotype" w:eastAsia="Palatino Linotype" w:hAnsi="Palatino Linotype" w:cs="Palatino Linotype"/>
              <w:color w:val="000000"/>
              <w:sz w:val="24"/>
              <w:szCs w:val="24"/>
            </w:rPr>
            <w:t>XXXXXXX</w:t>
          </w:r>
          <w:r w:rsidR="008F7530">
            <w:rPr>
              <w:rFonts w:ascii="Palatino Linotype" w:eastAsia="Palatino Linotype" w:hAnsi="Palatino Linotype" w:cs="Palatino Linotype"/>
              <w:color w:val="000000"/>
              <w:sz w:val="24"/>
              <w:szCs w:val="24"/>
            </w:rPr>
            <w:t>.</w:t>
          </w:r>
        </w:p>
      </w:tc>
    </w:tr>
    <w:tr w:rsidR="002A76B7" w14:paraId="10AA4675" w14:textId="77777777">
      <w:trPr>
        <w:trHeight w:val="278"/>
      </w:trPr>
      <w:tc>
        <w:tcPr>
          <w:tcW w:w="5660" w:type="dxa"/>
        </w:tcPr>
        <w:p w14:paraId="6D3D1777" w14:textId="77777777" w:rsidR="002A76B7" w:rsidRDefault="008F753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BBA2F02" w14:textId="77777777" w:rsidR="002A76B7" w:rsidRDefault="008F753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las Mujeres.</w:t>
          </w:r>
        </w:p>
      </w:tc>
    </w:tr>
    <w:tr w:rsidR="002A76B7" w14:paraId="1C428663" w14:textId="77777777">
      <w:trPr>
        <w:trHeight w:val="393"/>
      </w:trPr>
      <w:tc>
        <w:tcPr>
          <w:tcW w:w="5660" w:type="dxa"/>
        </w:tcPr>
        <w:p w14:paraId="6F5DAB1A" w14:textId="77777777" w:rsidR="002A76B7" w:rsidRDefault="008F753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779F1EA" w14:textId="77777777" w:rsidR="002A76B7" w:rsidRDefault="008F753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F2A387D" w14:textId="77777777" w:rsidR="002A76B7" w:rsidRDefault="008F753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8A93069" wp14:editId="5DB2D9A0">
          <wp:simplePos x="0" y="0"/>
          <wp:positionH relativeFrom="column">
            <wp:posOffset>-636268</wp:posOffset>
          </wp:positionH>
          <wp:positionV relativeFrom="paragraph">
            <wp:posOffset>-1454783</wp:posOffset>
          </wp:positionV>
          <wp:extent cx="7086600" cy="9561830"/>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ED4F" w14:textId="77777777" w:rsidR="002A76B7" w:rsidRDefault="002A76B7">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2A76B7" w14:paraId="10BC8BAA" w14:textId="77777777">
      <w:trPr>
        <w:trHeight w:val="260"/>
      </w:trPr>
      <w:tc>
        <w:tcPr>
          <w:tcW w:w="5660" w:type="dxa"/>
        </w:tcPr>
        <w:p w14:paraId="38D5C472" w14:textId="77777777" w:rsidR="002A76B7" w:rsidRDefault="008F753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7BDE0D98" w14:textId="77777777" w:rsidR="002A76B7" w:rsidRDefault="008F753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05309/INFOEM/IP/RR/2024.</w:t>
          </w:r>
        </w:p>
      </w:tc>
    </w:tr>
    <w:tr w:rsidR="002A76B7" w14:paraId="34318604" w14:textId="77777777">
      <w:trPr>
        <w:trHeight w:val="224"/>
      </w:trPr>
      <w:tc>
        <w:tcPr>
          <w:tcW w:w="5660" w:type="dxa"/>
        </w:tcPr>
        <w:p w14:paraId="2C46AD95" w14:textId="77777777" w:rsidR="002A76B7" w:rsidRDefault="008F753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E7E0924" w14:textId="1EA8367C" w:rsidR="002A76B7" w:rsidRDefault="003D6ABE">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w:t>
          </w:r>
          <w:r w:rsidR="008F7530">
            <w:rPr>
              <w:rFonts w:ascii="Palatino Linotype" w:eastAsia="Palatino Linotype" w:hAnsi="Palatino Linotype" w:cs="Palatino Linotype"/>
              <w:color w:val="000000"/>
              <w:sz w:val="24"/>
              <w:szCs w:val="24"/>
            </w:rPr>
            <w:t>.</w:t>
          </w:r>
        </w:p>
      </w:tc>
    </w:tr>
    <w:tr w:rsidR="002A76B7" w14:paraId="253E2CF2" w14:textId="77777777">
      <w:trPr>
        <w:trHeight w:val="278"/>
      </w:trPr>
      <w:tc>
        <w:tcPr>
          <w:tcW w:w="5660" w:type="dxa"/>
        </w:tcPr>
        <w:p w14:paraId="6AEF1C6B" w14:textId="77777777" w:rsidR="002A76B7" w:rsidRDefault="008F753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2223452" w14:textId="77777777" w:rsidR="002A76B7" w:rsidRDefault="008F753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las Mujeres.</w:t>
          </w:r>
        </w:p>
      </w:tc>
    </w:tr>
    <w:tr w:rsidR="002A76B7" w14:paraId="34C6989D" w14:textId="77777777">
      <w:trPr>
        <w:trHeight w:val="393"/>
      </w:trPr>
      <w:tc>
        <w:tcPr>
          <w:tcW w:w="5660" w:type="dxa"/>
        </w:tcPr>
        <w:p w14:paraId="5D4EFCD4" w14:textId="77777777" w:rsidR="002A76B7" w:rsidRDefault="008F753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A4644B5" w14:textId="77777777" w:rsidR="002A76B7" w:rsidRDefault="008F753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1D9961A" w14:textId="77777777" w:rsidR="002A76B7" w:rsidRDefault="008F753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3153B2C8" wp14:editId="72FE6C75">
          <wp:simplePos x="0" y="0"/>
          <wp:positionH relativeFrom="column">
            <wp:posOffset>-611710</wp:posOffset>
          </wp:positionH>
          <wp:positionV relativeFrom="paragraph">
            <wp:posOffset>-1451283</wp:posOffset>
          </wp:positionV>
          <wp:extent cx="7086600" cy="956183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20CB"/>
    <w:multiLevelType w:val="multilevel"/>
    <w:tmpl w:val="81A05C64"/>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D31D6F"/>
    <w:multiLevelType w:val="multilevel"/>
    <w:tmpl w:val="9F3A141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B47072"/>
    <w:multiLevelType w:val="multilevel"/>
    <w:tmpl w:val="3F6EB2F0"/>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6472BE"/>
    <w:multiLevelType w:val="multilevel"/>
    <w:tmpl w:val="8A902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B7"/>
    <w:rsid w:val="002A76B7"/>
    <w:rsid w:val="003D6ABE"/>
    <w:rsid w:val="007D1383"/>
    <w:rsid w:val="008F1BC2"/>
    <w:rsid w:val="008F7530"/>
    <w:rsid w:val="009B6315"/>
    <w:rsid w:val="00A05A18"/>
    <w:rsid w:val="00A16006"/>
    <w:rsid w:val="00AF1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8C9B"/>
  <w15:docId w15:val="{3758F8EC-C0C6-46D8-A199-47553CFC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50D81"/>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50D81"/>
  </w:style>
  <w:style w:type="paragraph" w:styleId="Piedepgina">
    <w:name w:val="footer"/>
    <w:basedOn w:val="Normal"/>
    <w:link w:val="PiedepginaCar"/>
    <w:uiPriority w:val="99"/>
    <w:unhideWhenUsed/>
    <w:rsid w:val="00550D81"/>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50D8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A1FFF"/>
    <w:pPr>
      <w:ind w:left="720"/>
      <w:contextualSpacing/>
    </w:pPr>
  </w:style>
  <w:style w:type="table" w:customStyle="1" w:styleId="Tablaconcuadrcula1">
    <w:name w:val="Tabla con cuadrícula1"/>
    <w:basedOn w:val="Tablanormal"/>
    <w:next w:val="Tablaconcuadrcula"/>
    <w:uiPriority w:val="59"/>
    <w:rsid w:val="00496FE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9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21470"/>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i8R6YP1YmA4JhtebC5s8g4f5Q==">CgMxLjAyCGguZ2pkZ3hzMg5oLjI1YWljbGtrdm9wNjIJaC4xZm9iOXRlMgloLjN6bnlzaDcyCWguMmV0OTJwMDIIaC50eWpjd3QyCWguM2R5NnZrbTIJaC4xdDNoNXNmMgloLjRkMzRvZzgyCWguMzBqMHpsbDgAciExRU1ab0JKcFJVZzl1b1dNSWhrQmtxT01tYmhCbHJoQ0o=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23F6B-52EC-4D8F-852E-52A4D0B3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13909</Words>
  <Characters>76501</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2024-11-06T00:29:00Z</cp:lastPrinted>
  <dcterms:created xsi:type="dcterms:W3CDTF">2024-11-25T22:55:00Z</dcterms:created>
  <dcterms:modified xsi:type="dcterms:W3CDTF">2024-11-25T22:55:00Z</dcterms:modified>
</cp:coreProperties>
</file>