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DC495" w14:textId="77777777" w:rsidR="00FC7DD1" w:rsidRPr="00A20BD9" w:rsidRDefault="00436676">
      <w:pPr>
        <w:spacing w:before="120"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diecisiete de enero de dos mil veinticuatro.</w:t>
      </w:r>
    </w:p>
    <w:p w14:paraId="40AB656A" w14:textId="77777777" w:rsidR="00FC7DD1" w:rsidRPr="00A20BD9" w:rsidRDefault="00FC7DD1">
      <w:pPr>
        <w:spacing w:after="0" w:line="360" w:lineRule="auto"/>
        <w:rPr>
          <w:rFonts w:ascii="Palatino Linotype" w:eastAsia="Palatino Linotype" w:hAnsi="Palatino Linotype" w:cs="Palatino Linotype"/>
          <w:sz w:val="24"/>
          <w:szCs w:val="24"/>
        </w:rPr>
      </w:pPr>
    </w:p>
    <w:p w14:paraId="0A5E72D2" w14:textId="5657E04B"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Visto </w:t>
      </w:r>
      <w:r w:rsidRPr="00A20BD9">
        <w:rPr>
          <w:rFonts w:ascii="Palatino Linotype" w:eastAsia="Palatino Linotype" w:hAnsi="Palatino Linotype" w:cs="Palatino Linotype"/>
          <w:sz w:val="24"/>
          <w:szCs w:val="24"/>
        </w:rPr>
        <w:t xml:space="preserve">el expediente relativo al recurso de revisión </w:t>
      </w:r>
      <w:r w:rsidRPr="00A20BD9">
        <w:rPr>
          <w:rFonts w:ascii="Palatino Linotype" w:eastAsia="Palatino Linotype" w:hAnsi="Palatino Linotype" w:cs="Palatino Linotype"/>
          <w:b/>
          <w:sz w:val="24"/>
          <w:szCs w:val="24"/>
        </w:rPr>
        <w:t>03329/INFOEM/IP/RR/2023</w:t>
      </w:r>
      <w:r w:rsidRPr="00A20BD9">
        <w:rPr>
          <w:rFonts w:ascii="Palatino Linotype" w:eastAsia="Palatino Linotype" w:hAnsi="Palatino Linotype" w:cs="Palatino Linotype"/>
          <w:sz w:val="24"/>
          <w:szCs w:val="24"/>
        </w:rPr>
        <w:t>, interpuesto por</w:t>
      </w:r>
      <w:r w:rsidR="00663287">
        <w:rPr>
          <w:rFonts w:ascii="Palatino Linotype" w:eastAsia="Palatino Linotype" w:hAnsi="Palatino Linotype" w:cs="Palatino Linotype"/>
          <w:b/>
          <w:sz w:val="24"/>
          <w:szCs w:val="24"/>
        </w:rPr>
        <w:t xml:space="preserve"> XXXXX XX XXXXXXXXXX XX XXXXXXXXXX</w:t>
      </w:r>
      <w:bookmarkStart w:id="0" w:name="_GoBack"/>
      <w:bookmarkEnd w:id="0"/>
      <w:r w:rsidRPr="00A20BD9">
        <w:rPr>
          <w:rFonts w:ascii="Palatino Linotype" w:eastAsia="Palatino Linotype" w:hAnsi="Palatino Linotype" w:cs="Palatino Linotype"/>
          <w:sz w:val="24"/>
          <w:szCs w:val="24"/>
        </w:rPr>
        <w:t xml:space="preserve">, en lo sucesivo se le denominara </w:t>
      </w: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xml:space="preserve">, en contra de la respuesta a la solicitud de información con número de folio </w:t>
      </w:r>
      <w:r w:rsidRPr="00A20BD9">
        <w:rPr>
          <w:rFonts w:ascii="Palatino Linotype" w:eastAsia="Palatino Linotype" w:hAnsi="Palatino Linotype" w:cs="Palatino Linotype"/>
          <w:b/>
          <w:sz w:val="24"/>
          <w:szCs w:val="24"/>
        </w:rPr>
        <w:t>00490/ECATEPEC/IP/2023</w:t>
      </w:r>
      <w:r w:rsidRPr="00A20BD9">
        <w:rPr>
          <w:rFonts w:ascii="Palatino Linotype" w:eastAsia="Palatino Linotype" w:hAnsi="Palatino Linotype" w:cs="Palatino Linotype"/>
          <w:sz w:val="24"/>
          <w:szCs w:val="24"/>
        </w:rPr>
        <w:t>, por parte del</w:t>
      </w:r>
      <w:r w:rsidRPr="00A20BD9">
        <w:rPr>
          <w:rFonts w:ascii="Palatino Linotype" w:eastAsia="Palatino Linotype" w:hAnsi="Palatino Linotype" w:cs="Palatino Linotype"/>
          <w:b/>
          <w:sz w:val="24"/>
          <w:szCs w:val="24"/>
        </w:rPr>
        <w:t xml:space="preserve"> Ayuntamiento de Ecatepec de Morelos</w:t>
      </w:r>
      <w:r w:rsidRPr="00A20BD9">
        <w:rPr>
          <w:rFonts w:ascii="Palatino Linotype" w:eastAsia="Palatino Linotype" w:hAnsi="Palatino Linotype" w:cs="Palatino Linotype"/>
          <w:sz w:val="24"/>
          <w:szCs w:val="24"/>
        </w:rPr>
        <w:t>, en lo sucesivo</w:t>
      </w:r>
      <w:r w:rsidRPr="00A20BD9">
        <w:rPr>
          <w:rFonts w:ascii="Palatino Linotype" w:eastAsia="Palatino Linotype" w:hAnsi="Palatino Linotype" w:cs="Palatino Linotype"/>
          <w:b/>
          <w:sz w:val="24"/>
          <w:szCs w:val="24"/>
        </w:rPr>
        <w:t xml:space="preserve"> EL SUJETO OBLIGADO; </w:t>
      </w:r>
      <w:r w:rsidRPr="00A20BD9">
        <w:rPr>
          <w:rFonts w:ascii="Palatino Linotype" w:eastAsia="Palatino Linotype" w:hAnsi="Palatino Linotype" w:cs="Palatino Linotype"/>
          <w:sz w:val="24"/>
          <w:szCs w:val="24"/>
        </w:rPr>
        <w:t xml:space="preserve">se procede a dictar la presente resolución, con base en lo siguiente. </w:t>
      </w:r>
    </w:p>
    <w:p w14:paraId="64679790" w14:textId="77777777" w:rsidR="00FC7DD1" w:rsidRPr="00A20BD9" w:rsidRDefault="00FC7DD1">
      <w:pPr>
        <w:rPr>
          <w:rFonts w:ascii="Palatino Linotype" w:eastAsia="Palatino Linotype" w:hAnsi="Palatino Linotype" w:cs="Palatino Linotype"/>
          <w:sz w:val="24"/>
          <w:szCs w:val="24"/>
        </w:rPr>
      </w:pPr>
    </w:p>
    <w:p w14:paraId="752E4EC5" w14:textId="77777777" w:rsidR="00FC7DD1" w:rsidRPr="00A20BD9" w:rsidRDefault="00436676">
      <w:pPr>
        <w:spacing w:after="0" w:line="360" w:lineRule="auto"/>
        <w:ind w:right="49"/>
        <w:jc w:val="center"/>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A N T E C E D E N T E S</w:t>
      </w:r>
    </w:p>
    <w:p w14:paraId="0C90C52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8E7CD5F" w14:textId="77777777" w:rsidR="00FC7DD1" w:rsidRPr="00A20BD9" w:rsidRDefault="00436676">
      <w:pPr>
        <w:spacing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1.</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 xml:space="preserve">SOLICITUD DE INFORMACIÓN. </w:t>
      </w:r>
      <w:r w:rsidRPr="00A20BD9">
        <w:rPr>
          <w:rFonts w:ascii="Palatino Linotype" w:eastAsia="Palatino Linotype" w:hAnsi="Palatino Linotype" w:cs="Palatino Linotype"/>
          <w:sz w:val="24"/>
          <w:szCs w:val="24"/>
        </w:rPr>
        <w:t xml:space="preserve">Con fecha veinticinco de mayo de dos mil veintitrés, </w:t>
      </w: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presentó a través del Sistema de Acceso a la Información Mexiquense (</w:t>
      </w:r>
      <w:r w:rsidRPr="00A20BD9">
        <w:rPr>
          <w:rFonts w:ascii="Palatino Linotype" w:eastAsia="Palatino Linotype" w:hAnsi="Palatino Linotype" w:cs="Palatino Linotype"/>
          <w:b/>
          <w:sz w:val="24"/>
          <w:szCs w:val="24"/>
        </w:rPr>
        <w:t>SAIMEX)</w:t>
      </w:r>
      <w:r w:rsidRPr="00A20BD9">
        <w:rPr>
          <w:rFonts w:ascii="Palatino Linotype" w:eastAsia="Palatino Linotype" w:hAnsi="Palatino Linotype" w:cs="Palatino Linotype"/>
          <w:sz w:val="24"/>
          <w:szCs w:val="24"/>
        </w:rPr>
        <w:t xml:space="preserve"> ante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solicitud de acceso a la información pública, registrada bajo el número de </w:t>
      </w:r>
      <w:proofErr w:type="gramStart"/>
      <w:r w:rsidRPr="00A20BD9">
        <w:rPr>
          <w:rFonts w:ascii="Palatino Linotype" w:eastAsia="Palatino Linotype" w:hAnsi="Palatino Linotype" w:cs="Palatino Linotype"/>
          <w:sz w:val="24"/>
          <w:szCs w:val="24"/>
        </w:rPr>
        <w:t>expediente</w:t>
      </w:r>
      <w:proofErr w:type="gramEnd"/>
      <w:r w:rsidRPr="00A20BD9">
        <w:rPr>
          <w:rFonts w:ascii="Verdana" w:eastAsia="Verdana" w:hAnsi="Verdana" w:cs="Verdana"/>
          <w:b/>
        </w:rPr>
        <w:t> </w:t>
      </w:r>
      <w:r w:rsidRPr="00A20BD9">
        <w:rPr>
          <w:rFonts w:ascii="Palatino Linotype" w:eastAsia="Palatino Linotype" w:hAnsi="Palatino Linotype" w:cs="Palatino Linotype"/>
          <w:b/>
          <w:sz w:val="24"/>
          <w:szCs w:val="24"/>
        </w:rPr>
        <w:t>00490/ECATEPEC/IP/2023</w:t>
      </w: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b/>
          <w:sz w:val="24"/>
          <w:szCs w:val="24"/>
        </w:rPr>
        <w:t xml:space="preserve"> </w:t>
      </w:r>
      <w:r w:rsidRPr="00A20BD9">
        <w:rPr>
          <w:rFonts w:ascii="Palatino Linotype" w:eastAsia="Palatino Linotype" w:hAnsi="Palatino Linotype" w:cs="Palatino Linotype"/>
          <w:sz w:val="24"/>
          <w:szCs w:val="24"/>
        </w:rPr>
        <w:t>mediante la cual solicitó la siguiente información:</w:t>
      </w:r>
    </w:p>
    <w:p w14:paraId="5FBE8070" w14:textId="77777777" w:rsidR="00FC7DD1" w:rsidRPr="00A20BD9" w:rsidRDefault="00436676">
      <w:pPr>
        <w:spacing w:after="0" w:line="276" w:lineRule="auto"/>
        <w:ind w:left="709" w:right="758"/>
        <w:jc w:val="both"/>
        <w:rPr>
          <w:rFonts w:ascii="Palatino Linotype" w:eastAsia="Palatino Linotype" w:hAnsi="Palatino Linotype" w:cs="Palatino Linotype"/>
          <w:i/>
        </w:rPr>
      </w:pPr>
      <w:r w:rsidRPr="00A20BD9">
        <w:rPr>
          <w:rFonts w:ascii="Palatino Linotype" w:eastAsia="Palatino Linotype" w:hAnsi="Palatino Linotype" w:cs="Palatino Linotype"/>
          <w:i/>
        </w:rPr>
        <w:lastRenderedPageBreak/>
        <w:t xml:space="preserve">“Con fundamento en los artículos 6 y 8 de la CPEUM, solicito me sea informado si hay </w:t>
      </w:r>
      <w:proofErr w:type="spellStart"/>
      <w:r w:rsidRPr="00A20BD9">
        <w:rPr>
          <w:rFonts w:ascii="Palatino Linotype" w:eastAsia="Palatino Linotype" w:hAnsi="Palatino Linotype" w:cs="Palatino Linotype"/>
          <w:i/>
        </w:rPr>
        <w:t>algun</w:t>
      </w:r>
      <w:proofErr w:type="spellEnd"/>
      <w:r w:rsidRPr="00A20BD9">
        <w:rPr>
          <w:rFonts w:ascii="Palatino Linotype" w:eastAsia="Palatino Linotype" w:hAnsi="Palatino Linotype" w:cs="Palatino Linotype"/>
          <w:i/>
        </w:rPr>
        <w:t xml:space="preserve"> permiso o documento que avale la construcción de un pequeño muro en la intersección de calle gasoducto y la av. acueducto (correspondiente al camino de los 9 pueblos) En ese tenor, quiero conocer qué unidad administrativa es la encargada de la construcción de este y por qué se encuentra inconcluso, presentando un peligro latente por contener varillas salidas. En dicho sentido y en caso de que no exista el permiso, fundamento jurídico o la documentación que respalde la construcción de dicho tope, me permito solicitar que sea informada la unidad administrativa competente para realizar el retiro del mismo y en su caso sea aplicada la sanción correspondiente a la o las personas que colocaron dicha estructura, ya que la misma complica el paso vehicular y peatonal, además de que se está convirtiendo en un acumulador de basura y delitos ya que estacionan un </w:t>
      </w:r>
      <w:proofErr w:type="spellStart"/>
      <w:r w:rsidRPr="00A20BD9">
        <w:rPr>
          <w:rFonts w:ascii="Palatino Linotype" w:eastAsia="Palatino Linotype" w:hAnsi="Palatino Linotype" w:cs="Palatino Linotype"/>
          <w:i/>
        </w:rPr>
        <w:t>camion</w:t>
      </w:r>
      <w:proofErr w:type="spellEnd"/>
      <w:r w:rsidRPr="00A20BD9">
        <w:rPr>
          <w:rFonts w:ascii="Palatino Linotype" w:eastAsia="Palatino Linotype" w:hAnsi="Palatino Linotype" w:cs="Palatino Linotype"/>
          <w:i/>
        </w:rPr>
        <w:t xml:space="preserve"> en dicha ubicación y se ha prestado a asaltos y comisión de delitos. Adjunto fotografía del mismo.” (Sic).</w:t>
      </w:r>
    </w:p>
    <w:p w14:paraId="2A523B1B" w14:textId="77777777" w:rsidR="00FC7DD1" w:rsidRPr="00A20BD9" w:rsidRDefault="00FC7DD1">
      <w:pPr>
        <w:spacing w:after="0" w:line="276" w:lineRule="auto"/>
        <w:ind w:left="709" w:right="758"/>
        <w:jc w:val="both"/>
        <w:rPr>
          <w:rFonts w:ascii="Palatino Linotype" w:eastAsia="Palatino Linotype" w:hAnsi="Palatino Linotype" w:cs="Palatino Linotype"/>
          <w:i/>
        </w:rPr>
      </w:pPr>
    </w:p>
    <w:p w14:paraId="2FB23C4C" w14:textId="77777777" w:rsidR="00FC7DD1" w:rsidRPr="00A20BD9" w:rsidRDefault="00436676">
      <w:pPr>
        <w:spacing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Modalidad de entrega: A través del </w:t>
      </w:r>
      <w:r w:rsidRPr="00A20BD9">
        <w:rPr>
          <w:rFonts w:ascii="Palatino Linotype" w:eastAsia="Palatino Linotype" w:hAnsi="Palatino Linotype" w:cs="Palatino Linotype"/>
          <w:b/>
          <w:sz w:val="24"/>
          <w:szCs w:val="24"/>
        </w:rPr>
        <w:t>SAIMEX</w:t>
      </w:r>
      <w:r w:rsidRPr="00A20BD9">
        <w:rPr>
          <w:rFonts w:ascii="Palatino Linotype" w:eastAsia="Palatino Linotype" w:hAnsi="Palatino Linotype" w:cs="Palatino Linotype"/>
          <w:sz w:val="24"/>
          <w:szCs w:val="24"/>
        </w:rPr>
        <w:t>.</w:t>
      </w:r>
    </w:p>
    <w:p w14:paraId="63C00001" w14:textId="77777777" w:rsidR="00FC7DD1" w:rsidRPr="00A20BD9" w:rsidRDefault="00FC7DD1">
      <w:pPr>
        <w:spacing w:after="0" w:line="360" w:lineRule="auto"/>
        <w:ind w:right="49"/>
        <w:jc w:val="both"/>
        <w:rPr>
          <w:rFonts w:ascii="Palatino Linotype" w:eastAsia="Palatino Linotype" w:hAnsi="Palatino Linotype" w:cs="Palatino Linotype"/>
          <w:sz w:val="24"/>
          <w:szCs w:val="24"/>
        </w:rPr>
      </w:pPr>
    </w:p>
    <w:p w14:paraId="57CD22BE" w14:textId="77777777" w:rsidR="00FC7DD1" w:rsidRPr="00A20BD9" w:rsidRDefault="00436676">
      <w:pPr>
        <w:spacing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adjuntó el archivo electrónico:</w:t>
      </w:r>
      <w:r w:rsidRPr="00A20BD9">
        <w:rPr>
          <w:noProof/>
        </w:rPr>
        <mc:AlternateContent>
          <mc:Choice Requires="wpg">
            <w:drawing>
              <wp:anchor distT="0" distB="0" distL="114300" distR="114300" simplePos="0" relativeHeight="251658240" behindDoc="0" locked="0" layoutInCell="1" hidden="0" allowOverlap="1" wp14:anchorId="25E31709" wp14:editId="13F782F2">
                <wp:simplePos x="0" y="0"/>
                <wp:positionH relativeFrom="column">
                  <wp:posOffset>1</wp:posOffset>
                </wp:positionH>
                <wp:positionV relativeFrom="paragraph">
                  <wp:posOffset>355600</wp:posOffset>
                </wp:positionV>
                <wp:extent cx="5572125" cy="2924175"/>
                <wp:effectExtent l="0" t="0" r="0" b="0"/>
                <wp:wrapNone/>
                <wp:docPr id="1" name="Conector recto de flecha 1"/>
                <wp:cNvGraphicFramePr/>
                <a:graphic xmlns:a="http://schemas.openxmlformats.org/drawingml/2006/main">
                  <a:graphicData uri="http://schemas.microsoft.com/office/word/2010/wordprocessingShape">
                    <wps:wsp>
                      <wps:cNvCnPr/>
                      <wps:spPr>
                        <a:xfrm>
                          <a:off x="2578988" y="2336963"/>
                          <a:ext cx="5534025" cy="2886075"/>
                        </a:xfrm>
                        <a:prstGeom prst="straightConnector1">
                          <a:avLst/>
                        </a:prstGeom>
                        <a:noFill/>
                        <a:ln w="38100" cap="flat" cmpd="sng">
                          <a:solidFill>
                            <a:srgbClr val="FF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5572125" cy="292417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572125" cy="2924175"/>
                        </a:xfrm>
                        <a:prstGeom prst="rect"/>
                        <a:ln/>
                      </pic:spPr>
                    </pic:pic>
                  </a:graphicData>
                </a:graphic>
              </wp:anchor>
            </w:drawing>
          </mc:Fallback>
        </mc:AlternateContent>
      </w:r>
    </w:p>
    <w:p w14:paraId="73BAC0F1" w14:textId="77777777" w:rsidR="00FC7DD1" w:rsidRPr="00A20BD9" w:rsidRDefault="00436676">
      <w:pPr>
        <w:spacing w:after="0" w:line="360" w:lineRule="auto"/>
        <w:ind w:right="49"/>
        <w:jc w:val="center"/>
        <w:rPr>
          <w:rFonts w:ascii="Palatino Linotype" w:eastAsia="Palatino Linotype" w:hAnsi="Palatino Linotype" w:cs="Palatino Linotype"/>
          <w:sz w:val="24"/>
          <w:szCs w:val="24"/>
        </w:rPr>
      </w:pPr>
      <w:r w:rsidRPr="00A20BD9">
        <w:rPr>
          <w:rFonts w:ascii="Palatino Linotype" w:eastAsia="Palatino Linotype" w:hAnsi="Palatino Linotype" w:cs="Palatino Linotype"/>
          <w:noProof/>
          <w:sz w:val="24"/>
          <w:szCs w:val="24"/>
        </w:rPr>
        <w:lastRenderedPageBreak/>
        <w:drawing>
          <wp:inline distT="0" distB="0" distL="0" distR="0" wp14:anchorId="19674D1E" wp14:editId="2B062B27">
            <wp:extent cx="2419442" cy="323495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419442" cy="3234955"/>
                    </a:xfrm>
                    <a:prstGeom prst="rect">
                      <a:avLst/>
                    </a:prstGeom>
                    <a:ln/>
                  </pic:spPr>
                </pic:pic>
              </a:graphicData>
            </a:graphic>
          </wp:inline>
        </w:drawing>
      </w:r>
    </w:p>
    <w:p w14:paraId="5E88C94C" w14:textId="77777777" w:rsidR="00FC7DD1" w:rsidRPr="00A20BD9" w:rsidRDefault="00436676">
      <w:pPr>
        <w:spacing w:after="0" w:line="360" w:lineRule="auto"/>
        <w:jc w:val="both"/>
      </w:pPr>
      <w:r w:rsidRPr="00A20BD9">
        <w:rPr>
          <w:rFonts w:ascii="Palatino Linotype" w:eastAsia="Palatino Linotype" w:hAnsi="Palatino Linotype" w:cs="Palatino Linotype"/>
          <w:b/>
          <w:sz w:val="24"/>
          <w:szCs w:val="24"/>
        </w:rPr>
        <w:t xml:space="preserve">2. RESPUESTA.  </w:t>
      </w:r>
      <w:r w:rsidRPr="00A20BD9">
        <w:rPr>
          <w:rFonts w:ascii="Palatino Linotype" w:eastAsia="Palatino Linotype" w:hAnsi="Palatino Linotype" w:cs="Palatino Linotype"/>
          <w:sz w:val="24"/>
          <w:szCs w:val="24"/>
        </w:rPr>
        <w:t xml:space="preserve">Con fecha trece de junio del dos mil veintitrés,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A20BD9">
        <w:t xml:space="preserve"> </w:t>
      </w:r>
    </w:p>
    <w:p w14:paraId="409F4A3E" w14:textId="77777777" w:rsidR="00FC7DD1" w:rsidRPr="00A20BD9" w:rsidRDefault="00FC7DD1">
      <w:pPr>
        <w:spacing w:after="0" w:line="360" w:lineRule="auto"/>
        <w:jc w:val="both"/>
      </w:pPr>
    </w:p>
    <w:p w14:paraId="39EFFA00" w14:textId="77777777" w:rsidR="00FC7DD1" w:rsidRPr="00A20BD9" w:rsidRDefault="00436676">
      <w:pPr>
        <w:spacing w:after="0" w:line="276" w:lineRule="auto"/>
        <w:ind w:left="851" w:right="900"/>
        <w:jc w:val="both"/>
        <w:rPr>
          <w:rFonts w:ascii="Palatino Linotype" w:eastAsia="Palatino Linotype" w:hAnsi="Palatino Linotype" w:cs="Palatino Linotype"/>
          <w:i/>
        </w:rPr>
      </w:pPr>
      <w:r w:rsidRPr="00A20BD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56A4CC" w14:textId="77777777" w:rsidR="00FC7DD1" w:rsidRPr="00A20BD9" w:rsidRDefault="00436676">
      <w:pPr>
        <w:spacing w:after="0" w:line="276" w:lineRule="auto"/>
        <w:ind w:left="851" w:right="900"/>
        <w:jc w:val="both"/>
        <w:rPr>
          <w:rFonts w:ascii="Palatino Linotype" w:eastAsia="Palatino Linotype" w:hAnsi="Palatino Linotype" w:cs="Palatino Linotype"/>
          <w:i/>
        </w:rPr>
      </w:pPr>
      <w:r w:rsidRPr="00A20BD9">
        <w:rPr>
          <w:rFonts w:ascii="Palatino Linotype" w:eastAsia="Palatino Linotype" w:hAnsi="Palatino Linotype" w:cs="Palatino Linotype"/>
          <w:i/>
        </w:rPr>
        <w:t>El H. Ayuntamiento Constitucional de Ecatepec de Morelos hace de su conocimiento la respuesta emitida por, Dirección de Desarrollo Urbano y Obras Públicas y Dirección de Movilidad y Transporte, la cual se anexa al presente en formato PDF.</w:t>
      </w:r>
    </w:p>
    <w:p w14:paraId="04FCF4F0" w14:textId="77777777" w:rsidR="00FC7DD1" w:rsidRPr="00A20BD9" w:rsidRDefault="00436676">
      <w:pPr>
        <w:spacing w:after="0" w:line="276" w:lineRule="auto"/>
        <w:ind w:left="851" w:right="900"/>
        <w:jc w:val="both"/>
        <w:rPr>
          <w:rFonts w:ascii="Palatino Linotype" w:eastAsia="Palatino Linotype" w:hAnsi="Palatino Linotype" w:cs="Palatino Linotype"/>
          <w:i/>
        </w:rPr>
      </w:pPr>
      <w:r w:rsidRPr="00A20BD9">
        <w:rPr>
          <w:rFonts w:ascii="Palatino Linotype" w:eastAsia="Palatino Linotype" w:hAnsi="Palatino Linotype" w:cs="Palatino Linotype"/>
          <w:i/>
        </w:rPr>
        <w:t>ATENTAMENTE</w:t>
      </w:r>
    </w:p>
    <w:p w14:paraId="774D51F5" w14:textId="77777777" w:rsidR="00FC7DD1" w:rsidRPr="00A20BD9" w:rsidRDefault="00436676">
      <w:pPr>
        <w:spacing w:after="0" w:line="276" w:lineRule="auto"/>
        <w:ind w:left="851" w:right="900"/>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Lic. </w:t>
      </w:r>
      <w:proofErr w:type="spellStart"/>
      <w:r w:rsidRPr="00A20BD9">
        <w:rPr>
          <w:rFonts w:ascii="Palatino Linotype" w:eastAsia="Palatino Linotype" w:hAnsi="Palatino Linotype" w:cs="Palatino Linotype"/>
          <w:i/>
        </w:rPr>
        <w:t>Brianda</w:t>
      </w:r>
      <w:proofErr w:type="spellEnd"/>
      <w:r w:rsidRPr="00A20BD9">
        <w:rPr>
          <w:rFonts w:ascii="Palatino Linotype" w:eastAsia="Palatino Linotype" w:hAnsi="Palatino Linotype" w:cs="Palatino Linotype"/>
          <w:i/>
        </w:rPr>
        <w:t xml:space="preserve"> Eunice </w:t>
      </w:r>
      <w:proofErr w:type="spellStart"/>
      <w:r w:rsidRPr="00A20BD9">
        <w:rPr>
          <w:rFonts w:ascii="Palatino Linotype" w:eastAsia="Palatino Linotype" w:hAnsi="Palatino Linotype" w:cs="Palatino Linotype"/>
          <w:i/>
        </w:rPr>
        <w:t>Iberri</w:t>
      </w:r>
      <w:proofErr w:type="spellEnd"/>
      <w:r w:rsidRPr="00A20BD9">
        <w:rPr>
          <w:rFonts w:ascii="Palatino Linotype" w:eastAsia="Palatino Linotype" w:hAnsi="Palatino Linotype" w:cs="Palatino Linotype"/>
          <w:i/>
        </w:rPr>
        <w:t xml:space="preserve"> Estrada”</w:t>
      </w:r>
    </w:p>
    <w:p w14:paraId="6C4E1BBD" w14:textId="77777777" w:rsidR="00FC7DD1" w:rsidRPr="00A20BD9" w:rsidRDefault="00FC7DD1">
      <w:pPr>
        <w:spacing w:after="0" w:line="276" w:lineRule="auto"/>
        <w:ind w:left="851" w:right="900"/>
        <w:jc w:val="both"/>
        <w:rPr>
          <w:rFonts w:ascii="Palatino Linotype" w:eastAsia="Palatino Linotype" w:hAnsi="Palatino Linotype" w:cs="Palatino Linotype"/>
          <w:i/>
        </w:rPr>
      </w:pPr>
    </w:p>
    <w:p w14:paraId="0B8B05B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Para tal efecto adjuntó el archivo electrónico:</w:t>
      </w:r>
    </w:p>
    <w:p w14:paraId="6F661DA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B8CA560"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b/>
          <w:i/>
          <w:sz w:val="24"/>
          <w:szCs w:val="24"/>
          <w:u w:val="single"/>
        </w:rPr>
        <w:t>490-23.pdf</w:t>
      </w:r>
      <w:r w:rsidRPr="00A20BD9">
        <w:rPr>
          <w:rFonts w:ascii="Palatino Linotype" w:eastAsia="Palatino Linotype" w:hAnsi="Palatino Linotype" w:cs="Palatino Linotype"/>
          <w:sz w:val="24"/>
          <w:szCs w:val="24"/>
        </w:rPr>
        <w:t>”: Oficio de fecha trece de junio de dos mil veintitrés, signado por la Titular de la Unidad de Transparencia, mediante el cual menciona que hace del conocimiento de la Dirección de Desarrollo Urbano y Obras Públicas y de la Dirección de Movilidad y Transporte.</w:t>
      </w:r>
    </w:p>
    <w:p w14:paraId="1DB12AB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0C09C54"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Oficio de fecha dos de junio de dos mil veintitrés, signado por el Director de Desarrollo Urbano y Obras Públicas, mediante el cual menciona que después de haber realizado una búsqueda exhaustiva en los archivos del Departamento de Licencias de Construcción y Uso de Suelo, no se localizó ninguna autorización, permiso o licencia de construcción para el muro que se encuentra en la intersección de la calle referida en la solicitud. </w:t>
      </w:r>
    </w:p>
    <w:p w14:paraId="683A00E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442901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En lo que respecta a que fuera un tope, el área competente es la Dirección de Movilidad y Transporte la encargada de regular la instalación y/o retiro de topes conforme a lo establecido en el Bando Municipal.</w:t>
      </w:r>
    </w:p>
    <w:p w14:paraId="589D9B57"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15D372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Oficio de fecha treinta y uno de mayo de dos mil veintitrés, signado por la Subdirección de Desarrollo Urbano, menciona que después de haber realizado una búsqueda exhaustiva en los archivos del Departamento de Licencias de Construcción y Uso de Suelo, no se localizó ninguna autorización, permiso o licencia </w:t>
      </w:r>
      <w:r w:rsidRPr="00A20BD9">
        <w:rPr>
          <w:rFonts w:ascii="Palatino Linotype" w:eastAsia="Palatino Linotype" w:hAnsi="Palatino Linotype" w:cs="Palatino Linotype"/>
          <w:sz w:val="24"/>
          <w:szCs w:val="24"/>
        </w:rPr>
        <w:lastRenderedPageBreak/>
        <w:t xml:space="preserve">de construcción para el muro que se encuentra en la intersección de la calle referida en la solicitud. </w:t>
      </w:r>
    </w:p>
    <w:p w14:paraId="601A28F0"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66A1617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Oficio de fecha primero de junio de dos mil veintitrés, signado por el Director de Movilidad y Transporte, mediante el cual señala que no existe dentro de sus archivos un permiso o documento que avale la construcción del pequeño muro que refiere, tomando en cuenta que, la única autoridad que puede otorgar permisos sobre la infraestructura vial en el territorio municipal, es la Dirección de Desarrollo Urbano y Obras Públicas. </w:t>
      </w:r>
    </w:p>
    <w:p w14:paraId="5826049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58B5C04"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Además que la Dirección, no se encuentra al frente de su construcción y no tiene conocimiento de quien lo este, por lo tanto, no se tiene conocimiento del porque se encuentra inconcluso, o si se trata de un proyecto de tope que no se encuentre regulado por autoridad competente. </w:t>
      </w:r>
    </w:p>
    <w:p w14:paraId="0E55D7A7"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E3EDF1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Dentro de los archivos que maneja la Dirección de Movilidad y Transporte, no existe ningún permiso para la construcción de dicho tope, por lo tanto, no existe fundamento jurídico o documento que respalde su colocación, motivo por el cual, se dejan a salvo los documentos o permisos que puedan existir dentro de los archivos que maneje otra Dependencia. </w:t>
      </w:r>
    </w:p>
    <w:p w14:paraId="1D020CE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2B63B6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Al tratarse de un proyecto que tiene las características de un tope en la infraestructura vial, la autoridad administrativa quien puede hacer su retiro, previa </w:t>
      </w:r>
      <w:r w:rsidRPr="00A20BD9">
        <w:rPr>
          <w:rFonts w:ascii="Palatino Linotype" w:eastAsia="Palatino Linotype" w:hAnsi="Palatino Linotype" w:cs="Palatino Linotype"/>
          <w:sz w:val="24"/>
          <w:szCs w:val="24"/>
        </w:rPr>
        <w:lastRenderedPageBreak/>
        <w:t>comprobación de que no se encuentre regulado, lo es la Dirección de Desarrollo Urbano y Obras Públicas, tomando en cuenta que dentro de la competencia de esta Dirección, únicamente se encuentra la de elaborar estudios técnicos para mejorar la movilidad en territorio municipal, la colocación de dispositivos de control de tránsito, señalamientos verticales, horizontales y la coordinación de agentes viales.</w:t>
      </w:r>
    </w:p>
    <w:p w14:paraId="5410F84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A12190F"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Asimismo, en el lugar que refiere el solicitante, no se encuentra ninguna caja, remolque o vehículo de carga que obstaculice, limite o impida el uso adecuado de las vías y que pueda ser trasladado al depósito vehicular correspondiente por transgredir el derecho humano de movilidad, lo anterior se acredita con el reporte de inspección número DMYT/IV/589/2023, levantando el día treinta de mayo de dos mil veintitrés, por personal adscrito a la Dirección de Movilidad y Transporte, mismo que anexa en copia simple (no lo anexa). </w:t>
      </w:r>
    </w:p>
    <w:p w14:paraId="135816B0" w14:textId="77777777" w:rsidR="00FC7DD1" w:rsidRPr="00A20BD9" w:rsidRDefault="00FC7DD1">
      <w:pPr>
        <w:jc w:val="both"/>
        <w:rPr>
          <w:rFonts w:ascii="Palatino Linotype" w:eastAsia="Palatino Linotype" w:hAnsi="Palatino Linotype" w:cs="Palatino Linotype"/>
          <w:sz w:val="24"/>
          <w:szCs w:val="24"/>
        </w:rPr>
      </w:pPr>
    </w:p>
    <w:p w14:paraId="356B274B" w14:textId="77777777" w:rsidR="00FC7DD1" w:rsidRPr="00A20BD9" w:rsidRDefault="00436676">
      <w:pPr>
        <w:spacing w:after="0" w:line="360" w:lineRule="auto"/>
        <w:ind w:right="-234"/>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3. DEL RECURSO DE REVISIÓN. </w:t>
      </w:r>
      <w:r w:rsidRPr="00A20BD9">
        <w:rPr>
          <w:rFonts w:ascii="Palatino Linotype" w:eastAsia="Palatino Linotype" w:hAnsi="Palatino Linotype" w:cs="Palatino Linotype"/>
          <w:sz w:val="24"/>
          <w:szCs w:val="24"/>
        </w:rPr>
        <w:t>Inconforme con la respuesta del</w:t>
      </w:r>
      <w:r w:rsidRPr="00A20BD9">
        <w:rPr>
          <w:rFonts w:ascii="Palatino Linotype" w:eastAsia="Palatino Linotype" w:hAnsi="Palatino Linotype" w:cs="Palatino Linotype"/>
          <w:b/>
          <w:sz w:val="24"/>
          <w:szCs w:val="24"/>
        </w:rPr>
        <w:t xml:space="preserve"> SUJETO OBLIGADO, </w:t>
      </w:r>
      <w:r w:rsidRPr="00A20BD9">
        <w:rPr>
          <w:rFonts w:ascii="Palatino Linotype" w:eastAsia="Palatino Linotype" w:hAnsi="Palatino Linotype" w:cs="Palatino Linotype"/>
          <w:sz w:val="24"/>
          <w:szCs w:val="24"/>
        </w:rPr>
        <w:t>en fecha trece de junio de dos mil veintitrés,</w:t>
      </w:r>
      <w:r w:rsidRPr="00A20BD9">
        <w:rPr>
          <w:rFonts w:ascii="Palatino Linotype" w:eastAsia="Palatino Linotype" w:hAnsi="Palatino Linotype" w:cs="Palatino Linotype"/>
          <w:b/>
          <w:sz w:val="24"/>
          <w:szCs w:val="24"/>
        </w:rPr>
        <w:t xml:space="preserve"> LA PARTE RECURRENTE </w:t>
      </w:r>
      <w:r w:rsidRPr="00A20BD9">
        <w:rPr>
          <w:rFonts w:ascii="Palatino Linotype" w:eastAsia="Palatino Linotype" w:hAnsi="Palatino Linotype" w:cs="Palatino Linotype"/>
          <w:sz w:val="24"/>
          <w:szCs w:val="24"/>
        </w:rPr>
        <w:t>interpuso el recurso de revisión, el cual fue registrado</w:t>
      </w:r>
      <w:r w:rsidRPr="00A20BD9">
        <w:rPr>
          <w:rFonts w:ascii="Palatino Linotype" w:eastAsia="Palatino Linotype" w:hAnsi="Palatino Linotype" w:cs="Palatino Linotype"/>
          <w:b/>
          <w:sz w:val="24"/>
          <w:szCs w:val="24"/>
        </w:rPr>
        <w:t xml:space="preserve"> </w:t>
      </w:r>
      <w:r w:rsidRPr="00A20BD9">
        <w:rPr>
          <w:rFonts w:ascii="Palatino Linotype" w:eastAsia="Palatino Linotype" w:hAnsi="Palatino Linotype" w:cs="Palatino Linotype"/>
          <w:sz w:val="24"/>
          <w:szCs w:val="24"/>
        </w:rPr>
        <w:t xml:space="preserve">en el sistema electrónico con el expediente número </w:t>
      </w:r>
      <w:r w:rsidRPr="00A20BD9">
        <w:rPr>
          <w:rFonts w:ascii="Palatino Linotype" w:eastAsia="Palatino Linotype" w:hAnsi="Palatino Linotype" w:cs="Palatino Linotype"/>
          <w:b/>
          <w:sz w:val="24"/>
          <w:szCs w:val="24"/>
        </w:rPr>
        <w:t>03329/INFOEM/IP/RR/2023</w:t>
      </w:r>
      <w:r w:rsidRPr="00A20BD9">
        <w:rPr>
          <w:rFonts w:ascii="Palatino Linotype" w:eastAsia="Palatino Linotype" w:hAnsi="Palatino Linotype" w:cs="Palatino Linotype"/>
          <w:sz w:val="24"/>
          <w:szCs w:val="24"/>
        </w:rPr>
        <w:t xml:space="preserve">, en el cual manifiesta, lo siguiente: </w:t>
      </w:r>
    </w:p>
    <w:p w14:paraId="6ACF3B6A" w14:textId="77777777" w:rsidR="00FC7DD1" w:rsidRPr="00A20BD9" w:rsidRDefault="00FC7DD1">
      <w:pPr>
        <w:spacing w:after="0" w:line="360" w:lineRule="auto"/>
        <w:ind w:right="-234"/>
        <w:jc w:val="both"/>
        <w:rPr>
          <w:rFonts w:ascii="Palatino Linotype" w:eastAsia="Palatino Linotype" w:hAnsi="Palatino Linotype" w:cs="Palatino Linotype"/>
          <w:sz w:val="24"/>
          <w:szCs w:val="24"/>
        </w:rPr>
      </w:pPr>
    </w:p>
    <w:p w14:paraId="2B27432D" w14:textId="77777777" w:rsidR="00FC7DD1" w:rsidRPr="00A20BD9" w:rsidRDefault="00436676">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20BD9">
        <w:rPr>
          <w:rFonts w:ascii="Palatino Linotype" w:eastAsia="Palatino Linotype" w:hAnsi="Palatino Linotype" w:cs="Palatino Linotype"/>
          <w:b/>
          <w:i/>
          <w:sz w:val="24"/>
          <w:szCs w:val="24"/>
        </w:rPr>
        <w:t>Acto Impugnado:</w:t>
      </w:r>
    </w:p>
    <w:p w14:paraId="1C48DDF5" w14:textId="77777777" w:rsidR="00FC7DD1" w:rsidRPr="00A20BD9" w:rsidRDefault="00436676">
      <w:pPr>
        <w:tabs>
          <w:tab w:val="left" w:pos="8222"/>
        </w:tabs>
        <w:spacing w:before="240" w:after="240" w:line="276" w:lineRule="auto"/>
        <w:ind w:left="851" w:right="616"/>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“No dan atención a todos los puntos solicitados, además de lo único que responden, las </w:t>
      </w:r>
      <w:proofErr w:type="spellStart"/>
      <w:r w:rsidRPr="00A20BD9">
        <w:rPr>
          <w:rFonts w:ascii="Palatino Linotype" w:eastAsia="Palatino Linotype" w:hAnsi="Palatino Linotype" w:cs="Palatino Linotype"/>
          <w:i/>
        </w:rPr>
        <w:t>areas</w:t>
      </w:r>
      <w:proofErr w:type="spellEnd"/>
      <w:r w:rsidRPr="00A20BD9">
        <w:rPr>
          <w:rFonts w:ascii="Palatino Linotype" w:eastAsia="Palatino Linotype" w:hAnsi="Palatino Linotype" w:cs="Palatino Linotype"/>
          <w:i/>
        </w:rPr>
        <w:t xml:space="preserve"> administrativas se contradicen, ya que tanto la dirección de desarrollo urbano, como la </w:t>
      </w:r>
      <w:proofErr w:type="spellStart"/>
      <w:r w:rsidRPr="00A20BD9">
        <w:rPr>
          <w:rFonts w:ascii="Palatino Linotype" w:eastAsia="Palatino Linotype" w:hAnsi="Palatino Linotype" w:cs="Palatino Linotype"/>
          <w:i/>
        </w:rPr>
        <w:t>subdireccion</w:t>
      </w:r>
      <w:proofErr w:type="spellEnd"/>
      <w:r w:rsidRPr="00A20BD9">
        <w:rPr>
          <w:rFonts w:ascii="Palatino Linotype" w:eastAsia="Palatino Linotype" w:hAnsi="Palatino Linotype" w:cs="Palatino Linotype"/>
          <w:i/>
        </w:rPr>
        <w:t xml:space="preserve"> de desarrollo urbano mencionan que es competencia de </w:t>
      </w:r>
      <w:r w:rsidRPr="00A20BD9">
        <w:rPr>
          <w:rFonts w:ascii="Palatino Linotype" w:eastAsia="Palatino Linotype" w:hAnsi="Palatino Linotype" w:cs="Palatino Linotype"/>
          <w:i/>
        </w:rPr>
        <w:lastRenderedPageBreak/>
        <w:t xml:space="preserve">la dirección de movilidad y transporte y esta </w:t>
      </w:r>
      <w:proofErr w:type="spellStart"/>
      <w:r w:rsidRPr="00A20BD9">
        <w:rPr>
          <w:rFonts w:ascii="Palatino Linotype" w:eastAsia="Palatino Linotype" w:hAnsi="Palatino Linotype" w:cs="Palatino Linotype"/>
          <w:i/>
        </w:rPr>
        <w:t>ultima</w:t>
      </w:r>
      <w:proofErr w:type="spellEnd"/>
      <w:r w:rsidRPr="00A20BD9">
        <w:rPr>
          <w:rFonts w:ascii="Palatino Linotype" w:eastAsia="Palatino Linotype" w:hAnsi="Palatino Linotype" w:cs="Palatino Linotype"/>
          <w:i/>
        </w:rPr>
        <w:t xml:space="preserve"> </w:t>
      </w:r>
      <w:proofErr w:type="spellStart"/>
      <w:r w:rsidRPr="00A20BD9">
        <w:rPr>
          <w:rFonts w:ascii="Palatino Linotype" w:eastAsia="Palatino Linotype" w:hAnsi="Palatino Linotype" w:cs="Palatino Linotype"/>
          <w:i/>
        </w:rPr>
        <w:t>mencia</w:t>
      </w:r>
      <w:proofErr w:type="spellEnd"/>
      <w:r w:rsidRPr="00A20BD9">
        <w:rPr>
          <w:rFonts w:ascii="Palatino Linotype" w:eastAsia="Palatino Linotype" w:hAnsi="Palatino Linotype" w:cs="Palatino Linotype"/>
          <w:i/>
        </w:rPr>
        <w:t xml:space="preserve"> que es competencia de la dirección de desarrollo urbano y nadie me da respuesta.” [</w:t>
      </w:r>
      <w:proofErr w:type="gramStart"/>
      <w:r w:rsidRPr="00A20BD9">
        <w:rPr>
          <w:rFonts w:ascii="Palatino Linotype" w:eastAsia="Palatino Linotype" w:hAnsi="Palatino Linotype" w:cs="Palatino Linotype"/>
          <w:i/>
        </w:rPr>
        <w:t>sic</w:t>
      </w:r>
      <w:proofErr w:type="gramEnd"/>
      <w:r w:rsidRPr="00A20BD9">
        <w:rPr>
          <w:rFonts w:ascii="Palatino Linotype" w:eastAsia="Palatino Linotype" w:hAnsi="Palatino Linotype" w:cs="Palatino Linotype"/>
          <w:i/>
        </w:rPr>
        <w:t>]</w:t>
      </w:r>
    </w:p>
    <w:p w14:paraId="3277B3DB" w14:textId="77777777" w:rsidR="00FC7DD1" w:rsidRPr="00A20BD9" w:rsidRDefault="00436676">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20BD9">
        <w:rPr>
          <w:rFonts w:ascii="Palatino Linotype" w:eastAsia="Palatino Linotype" w:hAnsi="Palatino Linotype" w:cs="Palatino Linotype"/>
          <w:b/>
          <w:i/>
          <w:sz w:val="24"/>
          <w:szCs w:val="24"/>
        </w:rPr>
        <w:t>Razones o Motivos de Inconformidad</w:t>
      </w:r>
      <w:r w:rsidRPr="00A20BD9">
        <w:rPr>
          <w:rFonts w:ascii="Palatino Linotype" w:eastAsia="Palatino Linotype" w:hAnsi="Palatino Linotype" w:cs="Palatino Linotype"/>
          <w:i/>
          <w:sz w:val="24"/>
          <w:szCs w:val="24"/>
        </w:rPr>
        <w:t>:</w:t>
      </w:r>
    </w:p>
    <w:p w14:paraId="353BA6B6" w14:textId="77777777" w:rsidR="00FC7DD1" w:rsidRPr="00A20BD9" w:rsidRDefault="00436676">
      <w:pPr>
        <w:spacing w:before="240" w:after="0" w:line="276" w:lineRule="auto"/>
        <w:ind w:left="851" w:right="616"/>
        <w:jc w:val="both"/>
        <w:rPr>
          <w:rFonts w:ascii="Palatino Linotype" w:eastAsia="Palatino Linotype" w:hAnsi="Palatino Linotype" w:cs="Palatino Linotype"/>
          <w:i/>
        </w:rPr>
      </w:pPr>
      <w:r w:rsidRPr="00A20BD9">
        <w:rPr>
          <w:rFonts w:ascii="Palatino Linotype" w:eastAsia="Palatino Linotype" w:hAnsi="Palatino Linotype" w:cs="Palatino Linotype"/>
          <w:i/>
          <w:sz w:val="24"/>
          <w:szCs w:val="24"/>
        </w:rPr>
        <w:t>“</w:t>
      </w:r>
      <w:r w:rsidRPr="00A20BD9">
        <w:rPr>
          <w:rFonts w:ascii="Palatino Linotype" w:eastAsia="Palatino Linotype" w:hAnsi="Palatino Linotype" w:cs="Palatino Linotype"/>
          <w:i/>
        </w:rPr>
        <w:t xml:space="preserve">No dan atención a todos los puntos solicitados, además de lo único que responden, las </w:t>
      </w:r>
      <w:proofErr w:type="spellStart"/>
      <w:r w:rsidRPr="00A20BD9">
        <w:rPr>
          <w:rFonts w:ascii="Palatino Linotype" w:eastAsia="Palatino Linotype" w:hAnsi="Palatino Linotype" w:cs="Palatino Linotype"/>
          <w:i/>
        </w:rPr>
        <w:t>areas</w:t>
      </w:r>
      <w:proofErr w:type="spellEnd"/>
      <w:r w:rsidRPr="00A20BD9">
        <w:rPr>
          <w:rFonts w:ascii="Palatino Linotype" w:eastAsia="Palatino Linotype" w:hAnsi="Palatino Linotype" w:cs="Palatino Linotype"/>
          <w:i/>
        </w:rPr>
        <w:t xml:space="preserve"> administrativas se contradicen, ya que tanto la dirección de desarrollo urbano, como la </w:t>
      </w:r>
      <w:proofErr w:type="spellStart"/>
      <w:r w:rsidRPr="00A20BD9">
        <w:rPr>
          <w:rFonts w:ascii="Palatino Linotype" w:eastAsia="Palatino Linotype" w:hAnsi="Palatino Linotype" w:cs="Palatino Linotype"/>
          <w:i/>
        </w:rPr>
        <w:t>subdireccion</w:t>
      </w:r>
      <w:proofErr w:type="spellEnd"/>
      <w:r w:rsidRPr="00A20BD9">
        <w:rPr>
          <w:rFonts w:ascii="Palatino Linotype" w:eastAsia="Palatino Linotype" w:hAnsi="Palatino Linotype" w:cs="Palatino Linotype"/>
          <w:i/>
        </w:rPr>
        <w:t xml:space="preserve"> de desarrollo urbano mencionan que es competencia de la dirección de movilidad y transporte y esta </w:t>
      </w:r>
      <w:proofErr w:type="spellStart"/>
      <w:r w:rsidRPr="00A20BD9">
        <w:rPr>
          <w:rFonts w:ascii="Palatino Linotype" w:eastAsia="Palatino Linotype" w:hAnsi="Palatino Linotype" w:cs="Palatino Linotype"/>
          <w:i/>
        </w:rPr>
        <w:t>ultima</w:t>
      </w:r>
      <w:proofErr w:type="spellEnd"/>
      <w:r w:rsidRPr="00A20BD9">
        <w:rPr>
          <w:rFonts w:ascii="Palatino Linotype" w:eastAsia="Palatino Linotype" w:hAnsi="Palatino Linotype" w:cs="Palatino Linotype"/>
          <w:i/>
        </w:rPr>
        <w:t xml:space="preserve"> </w:t>
      </w:r>
      <w:proofErr w:type="spellStart"/>
      <w:r w:rsidRPr="00A20BD9">
        <w:rPr>
          <w:rFonts w:ascii="Palatino Linotype" w:eastAsia="Palatino Linotype" w:hAnsi="Palatino Linotype" w:cs="Palatino Linotype"/>
          <w:i/>
        </w:rPr>
        <w:t>mencia</w:t>
      </w:r>
      <w:proofErr w:type="spellEnd"/>
      <w:r w:rsidRPr="00A20BD9">
        <w:rPr>
          <w:rFonts w:ascii="Palatino Linotype" w:eastAsia="Palatino Linotype" w:hAnsi="Palatino Linotype" w:cs="Palatino Linotype"/>
          <w:i/>
        </w:rPr>
        <w:t xml:space="preserve"> que es competencia de la dirección de desarrollo urbano y nadie me da respuesta.” [</w:t>
      </w:r>
      <w:proofErr w:type="gramStart"/>
      <w:r w:rsidRPr="00A20BD9">
        <w:rPr>
          <w:rFonts w:ascii="Palatino Linotype" w:eastAsia="Palatino Linotype" w:hAnsi="Palatino Linotype" w:cs="Palatino Linotype"/>
          <w:i/>
        </w:rPr>
        <w:t>sic</w:t>
      </w:r>
      <w:proofErr w:type="gramEnd"/>
      <w:r w:rsidRPr="00A20BD9">
        <w:rPr>
          <w:rFonts w:ascii="Palatino Linotype" w:eastAsia="Palatino Linotype" w:hAnsi="Palatino Linotype" w:cs="Palatino Linotype"/>
          <w:i/>
        </w:rPr>
        <w:t>]</w:t>
      </w:r>
    </w:p>
    <w:p w14:paraId="4C7758E7" w14:textId="77777777" w:rsidR="00FC7DD1" w:rsidRPr="00A20BD9" w:rsidRDefault="00FC7DD1">
      <w:pPr>
        <w:jc w:val="both"/>
        <w:rPr>
          <w:rFonts w:ascii="Palatino Linotype" w:eastAsia="Palatino Linotype" w:hAnsi="Palatino Linotype" w:cs="Palatino Linotype"/>
          <w:sz w:val="24"/>
          <w:szCs w:val="24"/>
        </w:rPr>
      </w:pPr>
    </w:p>
    <w:p w14:paraId="199A6605" w14:textId="77777777" w:rsidR="00FC7DD1" w:rsidRPr="00A20BD9" w:rsidRDefault="00436676">
      <w:pPr>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adjunto el archivo electrónico:</w:t>
      </w:r>
    </w:p>
    <w:p w14:paraId="534887F6"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094C069"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b/>
          <w:i/>
          <w:sz w:val="24"/>
          <w:szCs w:val="24"/>
          <w:u w:val="single"/>
        </w:rPr>
        <w:t>490-23.pdf</w:t>
      </w:r>
      <w:r w:rsidRPr="00A20BD9">
        <w:rPr>
          <w:rFonts w:ascii="Palatino Linotype" w:eastAsia="Palatino Linotype" w:hAnsi="Palatino Linotype" w:cs="Palatino Linotype"/>
          <w:sz w:val="24"/>
          <w:szCs w:val="24"/>
        </w:rPr>
        <w:t xml:space="preserve">”: Oficios entregados en respuesta, motivo por el que se considera innecesaria su descripción. </w:t>
      </w:r>
    </w:p>
    <w:p w14:paraId="05A6400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5F33C1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4. TURNO. </w:t>
      </w:r>
      <w:r w:rsidRPr="00A20BD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20BD9">
        <w:rPr>
          <w:rFonts w:ascii="Palatino Linotype" w:eastAsia="Palatino Linotype" w:hAnsi="Palatino Linotype" w:cs="Palatino Linotype"/>
          <w:b/>
          <w:sz w:val="24"/>
          <w:szCs w:val="24"/>
        </w:rPr>
        <w:t xml:space="preserve">Guadalupe Ramírez Peña, </w:t>
      </w:r>
      <w:r w:rsidRPr="00A20BD9">
        <w:rPr>
          <w:rFonts w:ascii="Palatino Linotype" w:eastAsia="Palatino Linotype" w:hAnsi="Palatino Linotype" w:cs="Palatino Linotype"/>
          <w:sz w:val="24"/>
          <w:szCs w:val="24"/>
        </w:rPr>
        <w:t xml:space="preserve">a efecto de que analizara sobre su admisión o su </w:t>
      </w:r>
      <w:proofErr w:type="spellStart"/>
      <w:r w:rsidRPr="00A20BD9">
        <w:rPr>
          <w:rFonts w:ascii="Palatino Linotype" w:eastAsia="Palatino Linotype" w:hAnsi="Palatino Linotype" w:cs="Palatino Linotype"/>
          <w:sz w:val="24"/>
          <w:szCs w:val="24"/>
        </w:rPr>
        <w:t>desechamiento</w:t>
      </w:r>
      <w:proofErr w:type="spellEnd"/>
      <w:r w:rsidRPr="00A20BD9">
        <w:rPr>
          <w:rFonts w:ascii="Palatino Linotype" w:eastAsia="Palatino Linotype" w:hAnsi="Palatino Linotype" w:cs="Palatino Linotype"/>
          <w:sz w:val="24"/>
          <w:szCs w:val="24"/>
        </w:rPr>
        <w:t>.</w:t>
      </w:r>
    </w:p>
    <w:p w14:paraId="6F55E9C4"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DF5FE1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5. ADMISIÓN DEL RECURSO DE REVISIÓN.</w:t>
      </w:r>
      <w:r w:rsidRPr="00A20BD9">
        <w:rPr>
          <w:rFonts w:ascii="Palatino Linotype" w:eastAsia="Palatino Linotype" w:hAnsi="Palatino Linotype" w:cs="Palatino Linotype"/>
          <w:sz w:val="24"/>
          <w:szCs w:val="24"/>
        </w:rPr>
        <w:t xml:space="preserve"> Con fecha</w:t>
      </w:r>
      <w:r w:rsidRPr="00A20BD9">
        <w:rPr>
          <w:rFonts w:ascii="Palatino Linotype" w:eastAsia="Palatino Linotype" w:hAnsi="Palatino Linotype" w:cs="Palatino Linotype"/>
          <w:b/>
          <w:sz w:val="24"/>
          <w:szCs w:val="24"/>
        </w:rPr>
        <w:t xml:space="preserve"> dieciséis de junio de dos mil veintitrés, </w:t>
      </w:r>
      <w:r w:rsidRPr="00A20BD9">
        <w:rPr>
          <w:rFonts w:ascii="Palatino Linotype" w:eastAsia="Palatino Linotype" w:hAnsi="Palatino Linotype" w:cs="Palatino Linotype"/>
          <w:sz w:val="24"/>
          <w:szCs w:val="24"/>
        </w:rPr>
        <w:t xml:space="preserve">este Instituto de Transparencia, Acceso a la Información Pública </w:t>
      </w:r>
      <w:r w:rsidRPr="00A20BD9">
        <w:rPr>
          <w:rFonts w:ascii="Palatino Linotype" w:eastAsia="Palatino Linotype" w:hAnsi="Palatino Linotype" w:cs="Palatino Linotype"/>
          <w:sz w:val="24"/>
          <w:szCs w:val="24"/>
        </w:rPr>
        <w:lastRenderedPageBreak/>
        <w:t xml:space="preserve">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20BD9">
        <w:rPr>
          <w:rFonts w:ascii="Palatino Linotype" w:eastAsia="Palatino Linotype" w:hAnsi="Palatino Linotype" w:cs="Palatino Linotype"/>
          <w:b/>
          <w:sz w:val="24"/>
          <w:szCs w:val="24"/>
        </w:rPr>
        <w:t xml:space="preserve">SUJETO OBLIGADO </w:t>
      </w:r>
      <w:r w:rsidRPr="00A20BD9">
        <w:rPr>
          <w:rFonts w:ascii="Palatino Linotype" w:eastAsia="Palatino Linotype" w:hAnsi="Palatino Linotype" w:cs="Palatino Linotype"/>
          <w:sz w:val="24"/>
          <w:szCs w:val="24"/>
        </w:rPr>
        <w:t>presentara su informe justificado.</w:t>
      </w:r>
    </w:p>
    <w:p w14:paraId="71226664"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FBEEB96" w14:textId="77777777" w:rsidR="00FC7DD1" w:rsidRPr="00A20BD9" w:rsidRDefault="00436676">
      <w:pPr>
        <w:spacing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6. MANIFESTACIONES.</w:t>
      </w:r>
      <w:r w:rsidRPr="00A20BD9">
        <w:rPr>
          <w:rFonts w:ascii="Palatino Linotype" w:eastAsia="Palatino Linotype" w:hAnsi="Palatino Linotype" w:cs="Palatino Linotype"/>
          <w:sz w:val="24"/>
          <w:szCs w:val="24"/>
        </w:rPr>
        <w:t xml:space="preserve"> El quince de agosto de dos mil veintitrés se recibió, a través del Sistema de Acceso a la Información Mexiquense (SAIMEX), el Informe Justificado del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b/>
          <w:sz w:val="24"/>
          <w:szCs w:val="24"/>
        </w:rPr>
        <w:t xml:space="preserve"> </w:t>
      </w:r>
      <w:r w:rsidRPr="00A20BD9">
        <w:rPr>
          <w:rFonts w:ascii="Palatino Linotype" w:eastAsia="Palatino Linotype" w:hAnsi="Palatino Linotype" w:cs="Palatino Linotype"/>
          <w:sz w:val="24"/>
          <w:szCs w:val="24"/>
        </w:rPr>
        <w:t xml:space="preserve">a través del siguiente archivo electrónico: </w:t>
      </w:r>
    </w:p>
    <w:p w14:paraId="6A60AAA3"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97F248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b/>
          <w:i/>
          <w:sz w:val="24"/>
          <w:szCs w:val="24"/>
          <w:u w:val="single"/>
        </w:rPr>
        <w:t>03329-2023.pdf</w:t>
      </w:r>
      <w:r w:rsidRPr="00A20BD9">
        <w:rPr>
          <w:rFonts w:ascii="Palatino Linotype" w:eastAsia="Palatino Linotype" w:hAnsi="Palatino Linotype" w:cs="Palatino Linotype"/>
          <w:sz w:val="24"/>
          <w:szCs w:val="24"/>
        </w:rPr>
        <w:t>”: Oficio de fecha quince de agosto de dos mil veintitrés, signado por el Titular de la Unidad de Transparencia, mediante el cual menciona que remite la respuesta de la Dirección de Movilidad y Transporte.</w:t>
      </w:r>
    </w:p>
    <w:p w14:paraId="3DAA204C"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2A5CCB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Oficio de fecha nueve de agosto de dos mil veintitrés, signado por el Director de Movilidad y Transporte, mediante el cual menciona que la Dirección de Movilidad y Transporte, es la encargada de mantener las vías locales libres de obstáculos u objetos que impidan, dificulten u obstruyan el tránsito peatonal, ciclista o vehicular del sistema integral de movilidad.</w:t>
      </w:r>
    </w:p>
    <w:p w14:paraId="6DAC534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704158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Luego entonces, de acuerdo al oficio suscrito por el Director de Desarrollo Urbano y Obras Públicas de Ecatepec de Morelos, “la interacción corresponde a un derecho de vía del Sistema de Agua de la Ciudad de México (SACMEX), conforme al plano </w:t>
      </w:r>
      <w:r w:rsidRPr="00A20BD9">
        <w:rPr>
          <w:rFonts w:ascii="Palatino Linotype" w:eastAsia="Palatino Linotype" w:hAnsi="Palatino Linotype" w:cs="Palatino Linotype"/>
          <w:sz w:val="24"/>
          <w:szCs w:val="24"/>
        </w:rPr>
        <w:lastRenderedPageBreak/>
        <w:t xml:space="preserve">E-3BIS de vialidades y restricciones del plan Municipal de Desarrollo Urbano del Municipio de Ecatepec de Morelos, promulgado en Gaceta de Gobierno del Estado de México, en fecha 19 de septiembre de 2020”. Razón por la cual, esta Dirección de Movilidad y Transporte, se encuentra imposibilitada para realizar el retiro del muro que se encuentra en la intersección de calle de gasoducto y a la av. Acueducto, tomando en cuenta que, es una estructura que se encuentra en un derecho de vía del Sistema de Agua de la Ciudad de México (SACMEX), mismo que se encuentra sectorizado en la Secretaría del Medio Ambiente, teniendo por objeto, prestar los servicios públicos de suministro de agua potable, drenaje, alcantarillado, tratamiento de aguas residuales y reutilización, se anexa al presente, el oficio previamente referido para los efecto pertinentes a los que haya lugar. </w:t>
      </w:r>
    </w:p>
    <w:p w14:paraId="42BB89C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FA1830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De lo previamente referido, se atiende por derecho de vía la franja de terreno de restricción federal o estatal que corre paralela a ambos lados de una vía de comunicación y que se requiere para la construcción, conservación, ampliación, protección y en general para el uso adecuado de las vías de comunicación, tal y como lo refiere el artículo 3 del Reglamento para el Uso y Aprovechamiento del Derecho de Vía de Carreteras Estatales y Zonas Laterales. </w:t>
      </w:r>
    </w:p>
    <w:p w14:paraId="622CF81D"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237566F"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Motivo por el cual, al existir un derecho de vía, debidamente delimitada, esta autoridad municipal no se encuentra embestida de competencia para realizar el retiro solicitado.</w:t>
      </w:r>
    </w:p>
    <w:p w14:paraId="4FFBE1B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D0F6AB9"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En conclusión, la Dirección de Movilidad y Transporte, es la autoridad competente de garantizar el derecho humano de movilidad en el territorio municipal de Ecatepec de Morelos, reiterando todos aquellos objetos u obstáculos que impidan, dificulten u obstruyan la movilidad  peatonal, ciclista o vehicular, excepto en aquellos casos debidamente autorizados. Siendo que, en el presente caso, se trata de objetos que se encuentran en un derecho de vía del Sistema de Agua de la Ciudad de México (SACMEX), y quien debe determinar la procedencia de esos objetos lo es la Junta de Caminos del Estado de México.</w:t>
      </w:r>
    </w:p>
    <w:p w14:paraId="237DFFF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3D2835F"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Oficio de fecha ocho de agosto de dos mil veintitrés, dirigido al Director de Movilidad y Transporte, signado por el Director de Desarrollo Urbano y Obras Públicas, en donde refiere que la intersección corresponde a un derecho de vía del Sistema de Aguas de la Ciudad de México (SACMEX), esto conforme al plano E-3BIS Vialidades y Restricciones del Plan Municipal de Desarrollo Urbano del Municipio de Ecatepec de Morelos, promulgando en Gaceta de Gobierno del Estado de México de fecha 19 de septiembre de 2022. </w:t>
      </w:r>
    </w:p>
    <w:p w14:paraId="2E06B40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234FBD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Mismo que se puso a la vista de </w:t>
      </w:r>
      <w:r w:rsidRPr="00A20BD9">
        <w:rPr>
          <w:rFonts w:ascii="Palatino Linotype" w:eastAsia="Palatino Linotype" w:hAnsi="Palatino Linotype" w:cs="Palatino Linotype"/>
          <w:b/>
          <w:sz w:val="24"/>
          <w:szCs w:val="24"/>
        </w:rPr>
        <w:t xml:space="preserve">LA PARTE RECURRENTE </w:t>
      </w:r>
      <w:r w:rsidRPr="00A20BD9">
        <w:rPr>
          <w:rFonts w:ascii="Palatino Linotype" w:eastAsia="Palatino Linotype" w:hAnsi="Palatino Linotype" w:cs="Palatino Linotype"/>
          <w:sz w:val="24"/>
          <w:szCs w:val="24"/>
        </w:rPr>
        <w:t xml:space="preserve">en fecha seis de diciembre de dos mil veintitrés, siendo omisa de emitir sus manifestaciones conforme a derecho le corresponde. </w:t>
      </w:r>
    </w:p>
    <w:p w14:paraId="55AEEAC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272D068"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7. AMPLIACIÓN DEL TÉRMINO PARA RESOLVER</w:t>
      </w:r>
      <w:r w:rsidRPr="00A20BD9">
        <w:rPr>
          <w:rFonts w:ascii="Palatino Linotype" w:eastAsia="Palatino Linotype" w:hAnsi="Palatino Linotype" w:cs="Palatino Linotype"/>
          <w:sz w:val="24"/>
          <w:szCs w:val="24"/>
        </w:rPr>
        <w:t>.</w:t>
      </w:r>
      <w:r w:rsidRPr="00A20BD9">
        <w:rPr>
          <w:rFonts w:ascii="Palatino Linotype" w:eastAsia="Palatino Linotype" w:hAnsi="Palatino Linotype" w:cs="Palatino Linotype"/>
        </w:rPr>
        <w:t xml:space="preserve"> </w:t>
      </w:r>
      <w:r w:rsidRPr="00A20BD9">
        <w:rPr>
          <w:rFonts w:ascii="Palatino Linotype" w:eastAsia="Palatino Linotype" w:hAnsi="Palatino Linotype" w:cs="Palatino Linotype"/>
          <w:sz w:val="24"/>
          <w:szCs w:val="24"/>
        </w:rPr>
        <w:t xml:space="preserve">El seis de diciembre de dos mil veintitrés, se amplió el término para resolver el recurso de revisión en términos </w:t>
      </w:r>
      <w:r w:rsidRPr="00A20BD9">
        <w:rPr>
          <w:rFonts w:ascii="Palatino Linotype" w:eastAsia="Palatino Linotype" w:hAnsi="Palatino Linotype" w:cs="Palatino Linotype"/>
          <w:sz w:val="24"/>
          <w:szCs w:val="24"/>
        </w:rPr>
        <w:lastRenderedPageBreak/>
        <w:t xml:space="preserve">del artículo 181 párrafo tercero de la Ley de Transparencia y Acceso a la Información Pública del Estado de México y Municipios. </w:t>
      </w:r>
    </w:p>
    <w:p w14:paraId="79B1EB03"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991CC00" w14:textId="77777777" w:rsidR="00FC7DD1" w:rsidRPr="00A20BD9" w:rsidRDefault="00436676">
      <w:pPr>
        <w:spacing w:after="0" w:line="360" w:lineRule="auto"/>
        <w:jc w:val="both"/>
      </w:pPr>
      <w:r w:rsidRPr="00A20BD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4BE3D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t xml:space="preserve"> </w:t>
      </w:r>
    </w:p>
    <w:p w14:paraId="5F7129D0"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5E07ED"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962D023"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D79BA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07BB78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A20BD9">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153B9553"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9DC533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4722CF2"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B32F4F7" w14:textId="77777777" w:rsidR="00FC7DD1" w:rsidRPr="00A20BD9" w:rsidRDefault="00436676">
      <w:pPr>
        <w:numPr>
          <w:ilvl w:val="0"/>
          <w:numId w:val="4"/>
        </w:num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CEC7248" w14:textId="77777777" w:rsidR="00FC7DD1" w:rsidRPr="00A20BD9" w:rsidRDefault="00436676">
      <w:pPr>
        <w:numPr>
          <w:ilvl w:val="0"/>
          <w:numId w:val="4"/>
        </w:num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Actividad Procesal del interesado. Acciones u omisiones del interesado.</w:t>
      </w:r>
    </w:p>
    <w:p w14:paraId="75E92A17" w14:textId="77777777" w:rsidR="00FC7DD1" w:rsidRPr="00A20BD9" w:rsidRDefault="00436676">
      <w:pPr>
        <w:numPr>
          <w:ilvl w:val="0"/>
          <w:numId w:val="4"/>
        </w:num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D00B0D1" w14:textId="77777777" w:rsidR="00FC7DD1" w:rsidRPr="00A20BD9" w:rsidRDefault="00436676">
      <w:pPr>
        <w:spacing w:after="0" w:line="360" w:lineRule="auto"/>
        <w:ind w:left="567"/>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E8BEA2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8A3157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7C3A2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FCF803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Argumento que encuentra sustento en la jurisprudencia P</w:t>
      </w:r>
      <w:proofErr w:type="gramStart"/>
      <w:r w:rsidRPr="00A20BD9">
        <w:rPr>
          <w:rFonts w:ascii="Palatino Linotype" w:eastAsia="Palatino Linotype" w:hAnsi="Palatino Linotype" w:cs="Palatino Linotype"/>
          <w:sz w:val="24"/>
          <w:szCs w:val="24"/>
        </w:rPr>
        <w:t>./</w:t>
      </w:r>
      <w:proofErr w:type="gramEnd"/>
      <w:r w:rsidRPr="00A20BD9">
        <w:rPr>
          <w:rFonts w:ascii="Palatino Linotype" w:eastAsia="Palatino Linotype" w:hAnsi="Palatino Linotype" w:cs="Palatino Linotype"/>
          <w:sz w:val="24"/>
          <w:szCs w:val="24"/>
        </w:rPr>
        <w:t xml:space="preserve">J. 32/92 emitida por el Pleno de la Suprema Corte de Justicia de la Nación de rubro </w:t>
      </w:r>
      <w:r w:rsidRPr="00A20BD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20BD9">
        <w:rPr>
          <w:rFonts w:ascii="Palatino Linotype" w:eastAsia="Palatino Linotype" w:hAnsi="Palatino Linotype" w:cs="Palatino Linotype"/>
          <w:sz w:val="24"/>
          <w:szCs w:val="24"/>
        </w:rPr>
        <w:t>, visible en la Gaceta del Seminario Judicial de la Federación con el registro digital 205635.</w:t>
      </w:r>
    </w:p>
    <w:p w14:paraId="5675E796"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442553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CBCBC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855CFB0"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F0D5B8C"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E7DBDB5"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 xml:space="preserve"> </w:t>
      </w:r>
      <w:r w:rsidRPr="00A20BD9">
        <w:rPr>
          <w:rFonts w:ascii="Palatino Linotype" w:eastAsia="Palatino Linotype" w:hAnsi="Palatino Linotype" w:cs="Palatino Linotype"/>
          <w:i/>
          <w:sz w:val="24"/>
          <w:szCs w:val="24"/>
        </w:rPr>
        <w:t>“PLAZO RAZONABLE PARA RESOLVER. DIMENSIÓN Y EFECTOS DE ESTE CONCEPTO CUANDO SE ADUCE EXCESIVA CARGA DE TRABAJO.”</w:t>
      </w:r>
      <w:r w:rsidRPr="00A20BD9">
        <w:rPr>
          <w:rFonts w:ascii="Palatino Linotype" w:eastAsia="Palatino Linotype" w:hAnsi="Palatino Linotype" w:cs="Palatino Linotype"/>
          <w:sz w:val="24"/>
          <w:szCs w:val="24"/>
        </w:rPr>
        <w:t xml:space="preserve"> consultable en el Seminario Judicial de la Federación y su gaceta, con el registro digital 2002351.</w:t>
      </w:r>
    </w:p>
    <w:p w14:paraId="18E3BD4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3E0C4D9"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20BD9">
        <w:rPr>
          <w:rFonts w:ascii="Palatino Linotype" w:eastAsia="Palatino Linotype" w:hAnsi="Palatino Linotype" w:cs="Palatino Linotype"/>
          <w:sz w:val="24"/>
          <w:szCs w:val="24"/>
        </w:rPr>
        <w:t>, visible en el Seminario Judicial de la Federación y su gaceta, con el registro digital 2002350.</w:t>
      </w:r>
    </w:p>
    <w:p w14:paraId="10ECAF4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30DB0D4"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F45940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8. DEL CIERRE DE INSTRUCCIÓN. </w:t>
      </w:r>
      <w:r w:rsidRPr="00A20BD9">
        <w:rPr>
          <w:rFonts w:ascii="Palatino Linotype" w:eastAsia="Palatino Linotype" w:hAnsi="Palatino Linotype" w:cs="Palatino Linotype"/>
          <w:sz w:val="24"/>
          <w:szCs w:val="24"/>
        </w:rPr>
        <w:t>El veinte de diciembre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B4C904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348F04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036BBDF"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ED218F4" w14:textId="77777777" w:rsidR="00FC7DD1" w:rsidRPr="00A20BD9" w:rsidRDefault="00436676">
      <w:pPr>
        <w:widowControl w:val="0"/>
        <w:spacing w:after="0" w:line="360" w:lineRule="auto"/>
        <w:jc w:val="center"/>
        <w:rPr>
          <w:rFonts w:ascii="Palatino Linotype" w:eastAsia="Palatino Linotype" w:hAnsi="Palatino Linotype" w:cs="Palatino Linotype"/>
          <w:b/>
          <w:sz w:val="24"/>
          <w:szCs w:val="24"/>
        </w:rPr>
      </w:pPr>
      <w:r w:rsidRPr="00A20BD9">
        <w:rPr>
          <w:rFonts w:ascii="Palatino Linotype" w:eastAsia="Palatino Linotype" w:hAnsi="Palatino Linotype" w:cs="Palatino Linotype"/>
          <w:b/>
          <w:sz w:val="24"/>
          <w:szCs w:val="24"/>
        </w:rPr>
        <w:lastRenderedPageBreak/>
        <w:t>C O N S I D E R A N D O S</w:t>
      </w:r>
    </w:p>
    <w:p w14:paraId="1D14124C" w14:textId="77777777" w:rsidR="00FC7DD1" w:rsidRPr="00A20BD9" w:rsidRDefault="00FC7DD1">
      <w:pPr>
        <w:spacing w:after="0" w:line="360" w:lineRule="auto"/>
        <w:jc w:val="both"/>
        <w:rPr>
          <w:rFonts w:ascii="Palatino Linotype" w:eastAsia="Palatino Linotype" w:hAnsi="Palatino Linotype" w:cs="Palatino Linotype"/>
          <w:b/>
          <w:sz w:val="24"/>
          <w:szCs w:val="24"/>
        </w:rPr>
      </w:pPr>
    </w:p>
    <w:p w14:paraId="260EB64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PRIMERO. COMPETENCIA.</w:t>
      </w:r>
      <w:r w:rsidRPr="00A20BD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741611" w14:textId="77777777" w:rsidR="00FC7DD1" w:rsidRPr="00A20BD9" w:rsidRDefault="00FC7DD1">
      <w:pPr>
        <w:spacing w:after="0" w:line="360" w:lineRule="auto"/>
        <w:rPr>
          <w:rFonts w:ascii="Palatino Linotype" w:eastAsia="Palatino Linotype" w:hAnsi="Palatino Linotype" w:cs="Palatino Linotype"/>
          <w:sz w:val="24"/>
          <w:szCs w:val="24"/>
        </w:rPr>
      </w:pPr>
    </w:p>
    <w:p w14:paraId="097F5435" w14:textId="77777777" w:rsidR="00FC7DD1" w:rsidRPr="00A20BD9" w:rsidRDefault="00436676">
      <w:pPr>
        <w:spacing w:after="0" w:line="360" w:lineRule="auto"/>
        <w:ind w:right="-234"/>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SEGUNDO. OPORTUNIDAD Y PROCEDIBILIDAD DEL RECURSO DE REVISIÓN.  </w:t>
      </w:r>
      <w:r w:rsidRPr="00A20BD9">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A20BD9">
        <w:rPr>
          <w:rFonts w:ascii="Palatino Linotype" w:eastAsia="Palatino Linotype" w:hAnsi="Palatino Linotype" w:cs="Palatino Linotype"/>
          <w:sz w:val="24"/>
          <w:szCs w:val="24"/>
        </w:rPr>
        <w:t>procedibilidad</w:t>
      </w:r>
      <w:proofErr w:type="spellEnd"/>
      <w:r w:rsidRPr="00A20BD9">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74CE3A6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6A3C116"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A20BD9">
        <w:rPr>
          <w:rFonts w:ascii="Palatino Linotype" w:eastAsia="Palatino Linotype" w:hAnsi="Palatino Linotype" w:cs="Palatino Linotype"/>
          <w:sz w:val="24"/>
          <w:szCs w:val="24"/>
        </w:rPr>
        <w:lastRenderedPageBreak/>
        <w:t>Pública del Estado de México y Municipios, contados a partir de la fecha en que</w:t>
      </w:r>
      <w:r w:rsidRPr="00A20BD9">
        <w:rPr>
          <w:rFonts w:ascii="Palatino Linotype" w:eastAsia="Palatino Linotype" w:hAnsi="Palatino Linotype" w:cs="Palatino Linotype"/>
          <w:b/>
          <w:sz w:val="24"/>
          <w:szCs w:val="24"/>
        </w:rPr>
        <w:t xml:space="preserve"> EL SUJETO OBLIGADO </w:t>
      </w:r>
      <w:r w:rsidRPr="00A20BD9">
        <w:rPr>
          <w:rFonts w:ascii="Palatino Linotype" w:eastAsia="Palatino Linotype" w:hAnsi="Palatino Linotype" w:cs="Palatino Linotype"/>
          <w:sz w:val="24"/>
          <w:szCs w:val="24"/>
        </w:rPr>
        <w:t xml:space="preserve">emitió la respuesta, toda vez que esta fue pronunciada el día trece de junio de dos mil veintitrés, mientras que </w:t>
      </w:r>
      <w:r w:rsidRPr="00A20BD9">
        <w:rPr>
          <w:rFonts w:ascii="Palatino Linotype" w:eastAsia="Palatino Linotype" w:hAnsi="Palatino Linotype" w:cs="Palatino Linotype"/>
          <w:b/>
          <w:sz w:val="24"/>
          <w:szCs w:val="24"/>
        </w:rPr>
        <w:t>LA PARTE</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RECURRENTE</w:t>
      </w:r>
      <w:r w:rsidRPr="00A20BD9">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7333350B"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E86CEDA" w14:textId="77777777" w:rsidR="00FC7DD1" w:rsidRPr="00A20BD9" w:rsidRDefault="00436676">
      <w:pPr>
        <w:spacing w:after="0" w:line="360" w:lineRule="auto"/>
        <w:ind w:right="-234"/>
        <w:jc w:val="both"/>
        <w:rPr>
          <w:sz w:val="24"/>
          <w:szCs w:val="24"/>
        </w:rPr>
      </w:pPr>
      <w:r w:rsidRPr="00A20BD9">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A20BD9">
        <w:rPr>
          <w:i/>
          <w:sz w:val="24"/>
          <w:szCs w:val="24"/>
        </w:rPr>
        <w:t> </w:t>
      </w:r>
    </w:p>
    <w:p w14:paraId="64BA2B61" w14:textId="77777777" w:rsidR="00FC7DD1" w:rsidRPr="00A20BD9" w:rsidRDefault="00FC7DD1">
      <w:pPr>
        <w:shd w:val="clear" w:color="auto" w:fill="FFFFFF"/>
        <w:spacing w:after="0" w:line="360" w:lineRule="auto"/>
        <w:ind w:left="567" w:right="760"/>
        <w:jc w:val="both"/>
        <w:rPr>
          <w:rFonts w:ascii="Palatino Linotype" w:eastAsia="Palatino Linotype" w:hAnsi="Palatino Linotype" w:cs="Palatino Linotype"/>
        </w:rPr>
      </w:pPr>
    </w:p>
    <w:p w14:paraId="551F0C31" w14:textId="77777777" w:rsidR="00FC7DD1" w:rsidRPr="00A20BD9" w:rsidRDefault="00436676">
      <w:pPr>
        <w:shd w:val="clear" w:color="auto" w:fill="FFFFFF"/>
        <w:spacing w:after="0" w:line="276" w:lineRule="auto"/>
        <w:ind w:left="567" w:right="760"/>
        <w:jc w:val="both"/>
      </w:pPr>
      <w:r w:rsidRPr="00A20BD9">
        <w:rPr>
          <w:rFonts w:ascii="Palatino Linotype" w:eastAsia="Palatino Linotype" w:hAnsi="Palatino Linotype" w:cs="Palatino Linotype"/>
        </w:rPr>
        <w:t>"</w:t>
      </w:r>
      <w:r w:rsidRPr="00A20BD9">
        <w:rPr>
          <w:rFonts w:ascii="Palatino Linotype" w:eastAsia="Palatino Linotype" w:hAnsi="Palatino Linotype" w:cs="Palatino Linotype"/>
          <w:i/>
        </w:rPr>
        <w:t>RECURSO DE RECLAMACIÓN. SU INTERPOSICIÓN NO ES EXTEMPORÁNEA SI SE REALIZA ANTES DE QUE INICIE EL PLAZO PARA HACERLO.</w:t>
      </w:r>
    </w:p>
    <w:p w14:paraId="2323997B" w14:textId="77777777" w:rsidR="00FC7DD1" w:rsidRPr="00A20BD9" w:rsidRDefault="00436676">
      <w:pPr>
        <w:shd w:val="clear" w:color="auto" w:fill="FFFFFF"/>
        <w:spacing w:after="0" w:line="276" w:lineRule="auto"/>
        <w:ind w:left="567" w:right="760"/>
        <w:jc w:val="both"/>
      </w:pPr>
      <w:r w:rsidRPr="00A20BD9">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7C3C9D1" w14:textId="77777777" w:rsidR="00FC7DD1" w:rsidRPr="00A20BD9" w:rsidRDefault="00436676">
      <w:pPr>
        <w:shd w:val="clear" w:color="auto" w:fill="FFFFFF"/>
        <w:spacing w:after="0" w:line="276" w:lineRule="auto"/>
        <w:ind w:left="567" w:right="760"/>
        <w:jc w:val="both"/>
      </w:pPr>
      <w:r w:rsidRPr="00A20BD9">
        <w:rPr>
          <w:rFonts w:ascii="Palatino Linotype" w:eastAsia="Palatino Linotype" w:hAnsi="Palatino Linotype" w:cs="Palatino Linotype"/>
          <w:i/>
        </w:rPr>
        <w:t>De ahí que si dicho recurso se interpone antes de que inicie el plazo para hacerlo, su presentación no es extemporánea…</w:t>
      </w:r>
      <w:r w:rsidRPr="00A20BD9">
        <w:rPr>
          <w:rFonts w:ascii="Palatino Linotype" w:eastAsia="Palatino Linotype" w:hAnsi="Palatino Linotype" w:cs="Palatino Linotype"/>
        </w:rPr>
        <w:t>"(Sic)</w:t>
      </w:r>
    </w:p>
    <w:p w14:paraId="1D22315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 xml:space="preserve">En ese sentido, al considerar la fecha en que se formuló la solicitud y la fecha en la que respondió a esta 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43CC9FD7"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C1CD9E4"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Además, por cuanto hace a la </w:t>
      </w:r>
      <w:proofErr w:type="spellStart"/>
      <w:r w:rsidRPr="00A20BD9">
        <w:rPr>
          <w:rFonts w:ascii="Palatino Linotype" w:eastAsia="Palatino Linotype" w:hAnsi="Palatino Linotype" w:cs="Palatino Linotype"/>
          <w:sz w:val="24"/>
          <w:szCs w:val="24"/>
        </w:rPr>
        <w:t>procedibilidad</w:t>
      </w:r>
      <w:proofErr w:type="spellEnd"/>
      <w:r w:rsidRPr="00A20BD9">
        <w:rPr>
          <w:rFonts w:ascii="Palatino Linotype" w:eastAsia="Palatino Linotype" w:hAnsi="Palatino Linotype" w:cs="Palatino Linotype"/>
          <w:sz w:val="24"/>
          <w:szCs w:val="24"/>
        </w:rPr>
        <w:t xml:space="preserve"> del recurso de revisión, es de suma importancia señalar que </w:t>
      </w:r>
      <w:r w:rsidRPr="00A20BD9">
        <w:rPr>
          <w:rFonts w:ascii="Palatino Linotype" w:eastAsia="Palatino Linotype" w:hAnsi="Palatino Linotype" w:cs="Palatino Linotype"/>
          <w:b/>
          <w:sz w:val="24"/>
          <w:szCs w:val="24"/>
        </w:rPr>
        <w:t>LA PARTE</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RECURRENTE</w:t>
      </w:r>
      <w:r w:rsidRPr="00A20BD9">
        <w:rPr>
          <w:rFonts w:ascii="Palatino Linotype" w:eastAsia="Palatino Linotype" w:hAnsi="Palatino Linotype" w:cs="Palatino Linotype"/>
          <w:sz w:val="24"/>
          <w:szCs w:val="24"/>
        </w:rPr>
        <w:t>, proporcionó un seudónimo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9DFD10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A63B5AB" w14:textId="77777777" w:rsidR="00FC7DD1" w:rsidRPr="00A20BD9" w:rsidRDefault="00436676">
      <w:pPr>
        <w:spacing w:after="0" w:line="276" w:lineRule="auto"/>
        <w:ind w:left="851" w:right="902"/>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E3D21B6" w14:textId="77777777" w:rsidR="00FC7DD1" w:rsidRPr="00A20BD9" w:rsidRDefault="00FC7DD1">
      <w:pPr>
        <w:spacing w:after="0" w:line="360" w:lineRule="auto"/>
        <w:ind w:left="851" w:right="902"/>
        <w:jc w:val="both"/>
        <w:rPr>
          <w:rFonts w:ascii="Palatino Linotype" w:eastAsia="Palatino Linotype" w:hAnsi="Palatino Linotype" w:cs="Palatino Linotype"/>
          <w:sz w:val="24"/>
          <w:szCs w:val="24"/>
        </w:rPr>
      </w:pPr>
    </w:p>
    <w:p w14:paraId="2A430CA0" w14:textId="77777777" w:rsidR="00FC7DD1" w:rsidRPr="00A20BD9" w:rsidRDefault="00436676">
      <w:pPr>
        <w:spacing w:after="0" w:line="360" w:lineRule="auto"/>
        <w:jc w:val="both"/>
        <w:rPr>
          <w:rFonts w:ascii="Palatino Linotype" w:eastAsia="Palatino Linotype" w:hAnsi="Palatino Linotype" w:cs="Palatino Linotype"/>
          <w:b/>
          <w:sz w:val="24"/>
          <w:szCs w:val="24"/>
        </w:rPr>
      </w:pPr>
      <w:r w:rsidRPr="00A20BD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20BD9">
        <w:rPr>
          <w:rFonts w:ascii="Palatino Linotype" w:eastAsia="Palatino Linotype" w:hAnsi="Palatino Linotype" w:cs="Palatino Linotype"/>
          <w:b/>
          <w:sz w:val="24"/>
          <w:szCs w:val="24"/>
        </w:rPr>
        <w:t xml:space="preserve">EL SAIMEX.  </w:t>
      </w:r>
    </w:p>
    <w:p w14:paraId="694810D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CBBFE13" w14:textId="77777777" w:rsidR="00FC7DD1" w:rsidRPr="00A20BD9" w:rsidRDefault="0043667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w:t>
      </w:r>
    </w:p>
    <w:p w14:paraId="230EE82F" w14:textId="77777777" w:rsidR="00FC7DD1" w:rsidRPr="00A20BD9" w:rsidRDefault="00FC7DD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0DEE1F48" w14:textId="77777777" w:rsidR="00FC7DD1" w:rsidRPr="00A20BD9" w:rsidRDefault="0043667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179</w:t>
      </w:r>
      <w:r w:rsidRPr="00A20BD9">
        <w:rPr>
          <w:rFonts w:ascii="Palatino Linotype" w:eastAsia="Palatino Linotype" w:hAnsi="Palatino Linotype" w:cs="Palatino Linotype"/>
          <w:i/>
        </w:rPr>
        <w:t xml:space="preserve">. </w:t>
      </w:r>
      <w:r w:rsidRPr="00A20BD9">
        <w:rPr>
          <w:rFonts w:ascii="Palatino Linotype" w:eastAsia="Palatino Linotype" w:hAnsi="Palatino Linotype" w:cs="Palatino Linotype"/>
          <w:b/>
          <w:i/>
        </w:rPr>
        <w:t>El recurso de revisión</w:t>
      </w:r>
      <w:r w:rsidRPr="00A20BD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20BD9">
        <w:rPr>
          <w:rFonts w:ascii="Palatino Linotype" w:eastAsia="Palatino Linotype" w:hAnsi="Palatino Linotype" w:cs="Palatino Linotype"/>
          <w:b/>
          <w:i/>
        </w:rPr>
        <w:t>, y procederá en contra de las siguientes causas</w:t>
      </w:r>
      <w:r w:rsidRPr="00A20BD9">
        <w:rPr>
          <w:rFonts w:ascii="Palatino Linotype" w:eastAsia="Palatino Linotype" w:hAnsi="Palatino Linotype" w:cs="Palatino Linotype"/>
          <w:i/>
        </w:rPr>
        <w:t>:</w:t>
      </w:r>
    </w:p>
    <w:p w14:paraId="0332B639" w14:textId="77777777" w:rsidR="00FC7DD1" w:rsidRPr="00A20BD9" w:rsidRDefault="0043667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I. La negativa a la información solicitada;”</w:t>
      </w:r>
    </w:p>
    <w:p w14:paraId="4B854A80" w14:textId="77777777" w:rsidR="00FC7DD1" w:rsidRPr="00A20BD9" w:rsidRDefault="0043667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w:t>
      </w:r>
    </w:p>
    <w:p w14:paraId="5387E745" w14:textId="77777777" w:rsidR="00FC7DD1" w:rsidRPr="00A20BD9" w:rsidRDefault="0043667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V. La entrega de información incompleta;</w:t>
      </w:r>
    </w:p>
    <w:p w14:paraId="1FC01996" w14:textId="77777777" w:rsidR="00FC7DD1" w:rsidRPr="00A20BD9" w:rsidRDefault="00FC7DD1">
      <w:pPr>
        <w:pBdr>
          <w:top w:val="nil"/>
          <w:left w:val="nil"/>
          <w:bottom w:val="nil"/>
          <w:right w:val="nil"/>
          <w:between w:val="nil"/>
        </w:pBdr>
        <w:spacing w:after="0"/>
        <w:ind w:right="1043"/>
        <w:jc w:val="both"/>
        <w:rPr>
          <w:rFonts w:ascii="Palatino Linotype" w:eastAsia="Palatino Linotype" w:hAnsi="Palatino Linotype" w:cs="Palatino Linotype"/>
          <w:sz w:val="24"/>
          <w:szCs w:val="24"/>
        </w:rPr>
      </w:pPr>
    </w:p>
    <w:p w14:paraId="27A248F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TERCERO. MATERIA DE LA REVISIÓN. </w:t>
      </w:r>
      <w:r w:rsidRPr="00A20BD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A20BD9">
        <w:rPr>
          <w:rFonts w:ascii="Palatino Linotype" w:eastAsia="Palatino Linotype" w:hAnsi="Palatino Linotype" w:cs="Palatino Linotype"/>
          <w:b/>
          <w:sz w:val="24"/>
          <w:szCs w:val="24"/>
        </w:rPr>
        <w:t>EL</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xml:space="preserve"> satisface el derecho de acceso a la información pública de </w:t>
      </w:r>
      <w:r w:rsidRPr="00A20BD9">
        <w:rPr>
          <w:rFonts w:ascii="Palatino Linotype" w:eastAsia="Palatino Linotype" w:hAnsi="Palatino Linotype" w:cs="Palatino Linotype"/>
          <w:b/>
          <w:sz w:val="24"/>
          <w:szCs w:val="24"/>
        </w:rPr>
        <w:t>LA PARTE</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RECURRENTE</w:t>
      </w:r>
      <w:r w:rsidRPr="00A20BD9">
        <w:rPr>
          <w:rFonts w:ascii="Palatino Linotype" w:eastAsia="Palatino Linotype" w:hAnsi="Palatino Linotype" w:cs="Palatino Linotype"/>
          <w:sz w:val="24"/>
          <w:szCs w:val="24"/>
        </w:rPr>
        <w:t>, o en su defecto, en caso de ser procedente, ordenar la entrega de información.</w:t>
      </w:r>
    </w:p>
    <w:p w14:paraId="17D5EB6C" w14:textId="77777777" w:rsidR="00FC7DD1" w:rsidRPr="00A20BD9" w:rsidRDefault="00FC7DD1">
      <w:pPr>
        <w:rPr>
          <w:rFonts w:ascii="Palatino Linotype" w:eastAsia="Palatino Linotype" w:hAnsi="Palatino Linotype" w:cs="Palatino Linotype"/>
          <w:sz w:val="24"/>
          <w:szCs w:val="24"/>
        </w:rPr>
      </w:pPr>
    </w:p>
    <w:p w14:paraId="04B550D9"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CUARTO. ESTUDIO Y RESOLUCIÓN DEL ASUNTO.  </w:t>
      </w:r>
      <w:r w:rsidRPr="00A20BD9">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A20BD9">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3AEB5AA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20210AF" w14:textId="77777777" w:rsidR="00FC7DD1" w:rsidRPr="00A20BD9" w:rsidRDefault="00436676">
      <w:pPr>
        <w:tabs>
          <w:tab w:val="left" w:pos="709"/>
        </w:tabs>
        <w:spacing w:after="0" w:line="276" w:lineRule="auto"/>
        <w:ind w:left="851" w:right="850"/>
        <w:jc w:val="both"/>
        <w:rPr>
          <w:rFonts w:ascii="Palatino Linotype" w:eastAsia="Palatino Linotype" w:hAnsi="Palatino Linotype" w:cs="Palatino Linotype"/>
          <w:i/>
        </w:rPr>
      </w:pPr>
      <w:r w:rsidRPr="00A20BD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20BD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446FD1D" w14:textId="77777777" w:rsidR="00FC7DD1" w:rsidRPr="00A20BD9" w:rsidRDefault="00436676">
      <w:pPr>
        <w:tabs>
          <w:tab w:val="left" w:pos="709"/>
        </w:tabs>
        <w:spacing w:after="0" w:line="276" w:lineRule="auto"/>
        <w:ind w:left="851" w:right="850"/>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2691EF9" w14:textId="77777777" w:rsidR="00FC7DD1" w:rsidRPr="00A20BD9" w:rsidRDefault="00436676">
      <w:pPr>
        <w:tabs>
          <w:tab w:val="left" w:pos="709"/>
        </w:tabs>
        <w:spacing w:after="0" w:line="276" w:lineRule="auto"/>
        <w:ind w:left="851" w:right="850"/>
        <w:jc w:val="both"/>
        <w:rPr>
          <w:rFonts w:ascii="Palatino Linotype" w:eastAsia="Palatino Linotype" w:hAnsi="Palatino Linotype" w:cs="Palatino Linotype"/>
          <w:i/>
        </w:rPr>
      </w:pPr>
      <w:r w:rsidRPr="00A20BD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20BD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5D5FD57" w14:textId="77777777" w:rsidR="00FC7DD1" w:rsidRPr="00A20BD9" w:rsidRDefault="00436676">
      <w:pPr>
        <w:tabs>
          <w:tab w:val="left" w:pos="709"/>
        </w:tabs>
        <w:spacing w:after="0" w:line="276" w:lineRule="auto"/>
        <w:ind w:left="851" w:right="850"/>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0D64C601" w14:textId="77777777" w:rsidR="00FC7DD1" w:rsidRPr="00A20BD9" w:rsidRDefault="00436676">
      <w:pPr>
        <w:spacing w:after="0" w:line="276" w:lineRule="auto"/>
        <w:ind w:left="851" w:right="901"/>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6o.</w:t>
      </w:r>
    </w:p>
    <w:p w14:paraId="6E0CCE35" w14:textId="77777777" w:rsidR="00FC7DD1" w:rsidRPr="00A20BD9" w:rsidRDefault="00436676">
      <w:pPr>
        <w:spacing w:after="0" w:line="276" w:lineRule="auto"/>
        <w:ind w:left="851" w:right="901"/>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7C4FA9C8"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A. Para el ejercicio del derecho de acceso a la información, la Federación y </w:t>
      </w:r>
      <w:r w:rsidRPr="00A20BD9">
        <w:rPr>
          <w:rFonts w:ascii="Palatino Linotype" w:eastAsia="Palatino Linotype" w:hAnsi="Palatino Linotype" w:cs="Palatino Linotype"/>
          <w:b/>
          <w:i/>
          <w:u w:val="single"/>
        </w:rPr>
        <w:t>las entidades federativas</w:t>
      </w:r>
      <w:r w:rsidRPr="00A20BD9">
        <w:rPr>
          <w:rFonts w:ascii="Palatino Linotype" w:eastAsia="Palatino Linotype" w:hAnsi="Palatino Linotype" w:cs="Palatino Linotype"/>
          <w:b/>
          <w:i/>
        </w:rPr>
        <w:t>,</w:t>
      </w:r>
      <w:r w:rsidRPr="00A20BD9">
        <w:rPr>
          <w:rFonts w:ascii="Palatino Linotype" w:eastAsia="Palatino Linotype" w:hAnsi="Palatino Linotype" w:cs="Palatino Linotype"/>
          <w:i/>
        </w:rPr>
        <w:t xml:space="preserve"> en el ámbito de sus respectivas competencias, se regirán por los siguientes principios y bases:</w:t>
      </w:r>
    </w:p>
    <w:p w14:paraId="17315877"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I. </w:t>
      </w:r>
      <w:r w:rsidRPr="00A20BD9">
        <w:rPr>
          <w:rFonts w:ascii="Palatino Linotype" w:eastAsia="Palatino Linotype" w:hAnsi="Palatino Linotype" w:cs="Palatino Linotype"/>
          <w:b/>
          <w:i/>
          <w:u w:val="single"/>
        </w:rPr>
        <w:t>Toda la información en posesión de cualquier autoridad, entidad, órgano y organismo de los Poderes</w:t>
      </w:r>
      <w:r w:rsidRPr="00A20BD9">
        <w:rPr>
          <w:rFonts w:ascii="Palatino Linotype" w:eastAsia="Palatino Linotype" w:hAnsi="Palatino Linotype" w:cs="Palatino Linotype"/>
          <w:i/>
        </w:rPr>
        <w:t xml:space="preserve"> Ejecutivo, Legislativo </w:t>
      </w:r>
      <w:r w:rsidRPr="00A20BD9">
        <w:rPr>
          <w:rFonts w:ascii="Palatino Linotype" w:eastAsia="Palatino Linotype" w:hAnsi="Palatino Linotype" w:cs="Palatino Linotype"/>
          <w:b/>
          <w:i/>
          <w:u w:val="single"/>
        </w:rPr>
        <w:t>y Judicial</w:t>
      </w:r>
      <w:r w:rsidRPr="00A20BD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20BD9">
        <w:rPr>
          <w:rFonts w:ascii="Palatino Linotype" w:eastAsia="Palatino Linotype" w:hAnsi="Palatino Linotype" w:cs="Palatino Linotype"/>
          <w:b/>
          <w:i/>
        </w:rPr>
        <w:t xml:space="preserve">es pública y sólo podrá ser reservada temporalmente por razones de interés público y </w:t>
      </w:r>
      <w:r w:rsidRPr="00A20BD9">
        <w:rPr>
          <w:rFonts w:ascii="Palatino Linotype" w:eastAsia="Palatino Linotype" w:hAnsi="Palatino Linotype" w:cs="Palatino Linotype"/>
          <w:b/>
          <w:i/>
        </w:rPr>
        <w:lastRenderedPageBreak/>
        <w:t>seguridad nacional,</w:t>
      </w:r>
      <w:r w:rsidRPr="00A20BD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1B9BFB" w14:textId="77777777" w:rsidR="00FC7DD1" w:rsidRPr="00A20BD9" w:rsidRDefault="00436676">
      <w:pPr>
        <w:spacing w:after="0" w:line="276" w:lineRule="auto"/>
        <w:ind w:left="851" w:right="851"/>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D3BC25A"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III. </w:t>
      </w:r>
      <w:r w:rsidRPr="00A20BD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20BD9">
        <w:rPr>
          <w:rFonts w:ascii="Palatino Linotype" w:eastAsia="Palatino Linotype" w:hAnsi="Palatino Linotype" w:cs="Palatino Linotype"/>
          <w:i/>
        </w:rPr>
        <w:t xml:space="preserve"> a sus datos personales o a la rectificación de éstos.</w:t>
      </w:r>
    </w:p>
    <w:p w14:paraId="089BCC31"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IV. </w:t>
      </w:r>
      <w:r w:rsidRPr="00A20BD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BF530F1"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V. </w:t>
      </w:r>
      <w:r w:rsidRPr="00A20BD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636FC8"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VI. </w:t>
      </w:r>
      <w:r w:rsidRPr="00A20BD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49C42A84"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VII. </w:t>
      </w:r>
      <w:r w:rsidRPr="00A20BD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59FE226" w14:textId="77777777" w:rsidR="00FC7DD1" w:rsidRPr="00A20BD9" w:rsidRDefault="00FC7DD1">
      <w:pPr>
        <w:tabs>
          <w:tab w:val="left" w:pos="709"/>
        </w:tabs>
        <w:spacing w:after="0" w:line="360" w:lineRule="auto"/>
        <w:jc w:val="both"/>
        <w:rPr>
          <w:rFonts w:ascii="Palatino Linotype" w:eastAsia="Palatino Linotype" w:hAnsi="Palatino Linotype" w:cs="Palatino Linotype"/>
          <w:sz w:val="24"/>
          <w:szCs w:val="24"/>
        </w:rPr>
      </w:pPr>
    </w:p>
    <w:p w14:paraId="61B37743" w14:textId="77777777" w:rsidR="00FC7DD1" w:rsidRPr="00A20BD9" w:rsidRDefault="00436676">
      <w:pPr>
        <w:tabs>
          <w:tab w:val="left" w:pos="709"/>
        </w:tabs>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A20BD9">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14:paraId="3CF32CAB" w14:textId="77777777" w:rsidR="00FC7DD1" w:rsidRPr="00A20BD9" w:rsidRDefault="00FC7DD1">
      <w:pPr>
        <w:tabs>
          <w:tab w:val="left" w:pos="709"/>
        </w:tabs>
        <w:spacing w:after="0" w:line="360" w:lineRule="auto"/>
        <w:jc w:val="both"/>
        <w:rPr>
          <w:rFonts w:ascii="Palatino Linotype" w:eastAsia="Palatino Linotype" w:hAnsi="Palatino Linotype" w:cs="Palatino Linotype"/>
          <w:sz w:val="24"/>
          <w:szCs w:val="24"/>
        </w:rPr>
      </w:pPr>
    </w:p>
    <w:p w14:paraId="5805621A" w14:textId="77777777" w:rsidR="00FC7DD1" w:rsidRPr="00A20BD9" w:rsidRDefault="00436676">
      <w:pPr>
        <w:tabs>
          <w:tab w:val="left" w:pos="709"/>
        </w:tabs>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primer lugar, es conveniente analizar si la respuesta del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191724F" w14:textId="77777777" w:rsidR="00FC7DD1" w:rsidRPr="00A20BD9" w:rsidRDefault="00FC7DD1">
      <w:pPr>
        <w:tabs>
          <w:tab w:val="left" w:pos="709"/>
        </w:tabs>
        <w:spacing w:after="0" w:line="360" w:lineRule="auto"/>
        <w:jc w:val="both"/>
        <w:rPr>
          <w:rFonts w:ascii="Palatino Linotype" w:eastAsia="Palatino Linotype" w:hAnsi="Palatino Linotype" w:cs="Palatino Linotype"/>
          <w:sz w:val="24"/>
          <w:szCs w:val="24"/>
        </w:rPr>
      </w:pPr>
    </w:p>
    <w:p w14:paraId="23DB2C00" w14:textId="77777777" w:rsidR="00FC7DD1" w:rsidRPr="00A20BD9" w:rsidRDefault="00436676">
      <w:pPr>
        <w:spacing w:after="0" w:line="276" w:lineRule="auto"/>
        <w:ind w:left="709" w:right="760"/>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Artículo 4.</w:t>
      </w:r>
      <w:r w:rsidRPr="00A20BD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33B3AC" w14:textId="77777777" w:rsidR="00FC7DD1" w:rsidRPr="00A20BD9" w:rsidRDefault="00436676">
      <w:pPr>
        <w:spacing w:after="0" w:line="276" w:lineRule="auto"/>
        <w:ind w:left="709" w:right="760"/>
        <w:jc w:val="both"/>
        <w:rPr>
          <w:rFonts w:ascii="Palatino Linotype" w:eastAsia="Palatino Linotype" w:hAnsi="Palatino Linotype" w:cs="Palatino Linotype"/>
          <w:i/>
        </w:rPr>
      </w:pPr>
      <w:r w:rsidRPr="00A20BD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20BD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80A5C1" w14:textId="77777777" w:rsidR="00FC7DD1" w:rsidRPr="00A20BD9" w:rsidRDefault="00436676">
      <w:pPr>
        <w:spacing w:after="0" w:line="276" w:lineRule="auto"/>
        <w:ind w:left="709" w:right="760"/>
        <w:jc w:val="both"/>
        <w:rPr>
          <w:rFonts w:ascii="Palatino Linotype" w:eastAsia="Palatino Linotype" w:hAnsi="Palatino Linotype" w:cs="Palatino Linotype"/>
          <w:i/>
        </w:rPr>
      </w:pPr>
      <w:r w:rsidRPr="00A20BD9">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A20BD9">
        <w:rPr>
          <w:rFonts w:ascii="Palatino Linotype" w:eastAsia="Palatino Linotype" w:hAnsi="Palatino Linotype" w:cs="Palatino Linotype"/>
          <w:i/>
        </w:rPr>
        <w:t>.”(Sic)</w:t>
      </w:r>
    </w:p>
    <w:p w14:paraId="0E638F8B" w14:textId="77777777" w:rsidR="00FC7DD1" w:rsidRPr="00A20BD9" w:rsidRDefault="00FC7DD1">
      <w:pPr>
        <w:spacing w:after="0" w:line="360" w:lineRule="auto"/>
        <w:ind w:left="709" w:right="760"/>
        <w:jc w:val="both"/>
        <w:rPr>
          <w:rFonts w:ascii="Palatino Linotype" w:eastAsia="Palatino Linotype" w:hAnsi="Palatino Linotype" w:cs="Palatino Linotype"/>
          <w:sz w:val="24"/>
          <w:szCs w:val="24"/>
        </w:rPr>
      </w:pPr>
    </w:p>
    <w:p w14:paraId="1C86845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F8FC3F6"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95DA3B5" w14:textId="77777777" w:rsidR="00FC7DD1" w:rsidRPr="00A20BD9" w:rsidRDefault="00436676">
      <w:pPr>
        <w:spacing w:after="0" w:line="276" w:lineRule="auto"/>
        <w:ind w:left="567" w:right="760"/>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Artículo 12.-</w:t>
      </w:r>
      <w:r w:rsidRPr="00A20BD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85E53F6" w14:textId="77777777" w:rsidR="00FC7DD1" w:rsidRPr="00A20BD9" w:rsidRDefault="00FC7DD1">
      <w:pPr>
        <w:spacing w:after="0" w:line="276" w:lineRule="auto"/>
        <w:ind w:left="567" w:right="760"/>
        <w:jc w:val="both"/>
        <w:rPr>
          <w:rFonts w:ascii="Palatino Linotype" w:eastAsia="Palatino Linotype" w:hAnsi="Palatino Linotype" w:cs="Palatino Linotype"/>
          <w:i/>
        </w:rPr>
      </w:pPr>
    </w:p>
    <w:p w14:paraId="75C7CBEC" w14:textId="77777777" w:rsidR="00FC7DD1" w:rsidRPr="00A20BD9" w:rsidRDefault="00436676">
      <w:pPr>
        <w:spacing w:after="0" w:line="276" w:lineRule="auto"/>
        <w:ind w:left="567" w:right="760"/>
        <w:jc w:val="both"/>
        <w:rPr>
          <w:rFonts w:ascii="Palatino Linotype" w:eastAsia="Palatino Linotype" w:hAnsi="Palatino Linotype" w:cs="Palatino Linotype"/>
          <w:i/>
        </w:rPr>
      </w:pPr>
      <w:r w:rsidRPr="00A20BD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20BD9">
        <w:rPr>
          <w:rFonts w:ascii="Palatino Linotype" w:eastAsia="Palatino Linotype" w:hAnsi="Palatino Linotype" w:cs="Palatino Linotype"/>
          <w:i/>
        </w:rPr>
        <w:t xml:space="preserve">. </w:t>
      </w:r>
      <w:r w:rsidRPr="00A20BD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CE7087C"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63D3851"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A20BD9">
        <w:rPr>
          <w:rFonts w:ascii="Palatino Linotype" w:eastAsia="Palatino Linotype" w:hAnsi="Palatino Linotype" w:cs="Palatino Linotype"/>
          <w:sz w:val="24"/>
          <w:szCs w:val="24"/>
        </w:rPr>
        <w:lastRenderedPageBreak/>
        <w:t>información pública se encuentra a disposición de cualquier persona, lo que implica que es deber de los Sujetos Obligados, garantizar el Derecho de Acceso a la Información Pública.</w:t>
      </w:r>
      <w:r w:rsidRPr="00A20BD9">
        <w:rPr>
          <w:rFonts w:ascii="Palatino Linotype" w:eastAsia="Palatino Linotype" w:hAnsi="Palatino Linotype" w:cs="Palatino Linotype"/>
          <w:strike/>
          <w:sz w:val="24"/>
          <w:szCs w:val="24"/>
        </w:rPr>
        <w:t xml:space="preserve"> </w:t>
      </w:r>
    </w:p>
    <w:p w14:paraId="45A648E7"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74798B7" w14:textId="77777777" w:rsidR="00FC7DD1" w:rsidRPr="00A20BD9" w:rsidRDefault="00436676">
      <w:pPr>
        <w:spacing w:after="0" w:line="360" w:lineRule="auto"/>
        <w:ind w:right="49"/>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0BA734E" w14:textId="77777777" w:rsidR="00FC7DD1" w:rsidRPr="00A20BD9" w:rsidRDefault="00FC7DD1">
      <w:pPr>
        <w:spacing w:after="0" w:line="360" w:lineRule="auto"/>
        <w:ind w:right="49"/>
        <w:jc w:val="both"/>
        <w:rPr>
          <w:rFonts w:ascii="Palatino Linotype" w:eastAsia="Palatino Linotype" w:hAnsi="Palatino Linotype" w:cs="Palatino Linotype"/>
          <w:sz w:val="24"/>
          <w:szCs w:val="24"/>
        </w:rPr>
      </w:pPr>
    </w:p>
    <w:p w14:paraId="7BE65478"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E437754"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D45B58C"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18.</w:t>
      </w:r>
      <w:r w:rsidRPr="00A20BD9">
        <w:rPr>
          <w:rFonts w:ascii="Palatino Linotype" w:eastAsia="Palatino Linotype" w:hAnsi="Palatino Linotype" w:cs="Palatino Linotype"/>
          <w:i/>
        </w:rPr>
        <w:t xml:space="preserve"> </w:t>
      </w:r>
      <w:r w:rsidRPr="00A20BD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20BD9">
        <w:rPr>
          <w:rFonts w:ascii="Palatino Linotype" w:eastAsia="Palatino Linotype" w:hAnsi="Palatino Linotype" w:cs="Palatino Linotype"/>
          <w:i/>
        </w:rPr>
        <w:t xml:space="preserve"> y reutilización de la información que generen.</w:t>
      </w:r>
    </w:p>
    <w:p w14:paraId="46528224"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 xml:space="preserve">Artículo 19. </w:t>
      </w:r>
      <w:r w:rsidRPr="00A20BD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20BD9">
        <w:rPr>
          <w:rFonts w:ascii="Palatino Linotype" w:eastAsia="Palatino Linotype" w:hAnsi="Palatino Linotype" w:cs="Palatino Linotype"/>
          <w:i/>
        </w:rPr>
        <w:t>.</w:t>
      </w:r>
    </w:p>
    <w:p w14:paraId="66578774"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6F447F4"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4793B2D" w14:textId="77777777" w:rsidR="00FC7DD1" w:rsidRPr="00A20BD9" w:rsidRDefault="00FC7DD1">
      <w:pPr>
        <w:spacing w:after="0" w:line="276" w:lineRule="auto"/>
        <w:ind w:left="851" w:right="851"/>
        <w:jc w:val="both"/>
        <w:rPr>
          <w:rFonts w:ascii="Palatino Linotype" w:eastAsia="Palatino Linotype" w:hAnsi="Palatino Linotype" w:cs="Palatino Linotype"/>
          <w:sz w:val="24"/>
          <w:szCs w:val="24"/>
        </w:rPr>
      </w:pPr>
    </w:p>
    <w:p w14:paraId="59DFF78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027C92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15C2E6A"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6D652A"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lastRenderedPageBreak/>
        <w:t>“</w:t>
      </w:r>
      <w:r w:rsidRPr="00A20BD9">
        <w:rPr>
          <w:rFonts w:ascii="Palatino Linotype" w:eastAsia="Palatino Linotype" w:hAnsi="Palatino Linotype" w:cs="Palatino Linotype"/>
          <w:b/>
          <w:i/>
        </w:rPr>
        <w:t xml:space="preserve">Artículo 3. </w:t>
      </w:r>
      <w:r w:rsidRPr="00A20BD9">
        <w:rPr>
          <w:rFonts w:ascii="Palatino Linotype" w:eastAsia="Palatino Linotype" w:hAnsi="Palatino Linotype" w:cs="Palatino Linotype"/>
          <w:i/>
        </w:rPr>
        <w:t>Para los efectos de la presente Ley se entenderá por:</w:t>
      </w:r>
    </w:p>
    <w:p w14:paraId="37CEB722"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10546C33"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b/>
          <w:i/>
        </w:rPr>
        <w:t>XI. Documento:</w:t>
      </w:r>
      <w:r w:rsidRPr="00A20BD9">
        <w:rPr>
          <w:rFonts w:ascii="Palatino Linotype" w:eastAsia="Palatino Linotype" w:hAnsi="Palatino Linotype" w:cs="Palatino Linotype"/>
          <w:i/>
        </w:rPr>
        <w:t xml:space="preserve"> Los expedientes, reportes, estudios, actas</w:t>
      </w:r>
      <w:r w:rsidRPr="00A20BD9">
        <w:rPr>
          <w:rFonts w:ascii="Palatino Linotype" w:eastAsia="Palatino Linotype" w:hAnsi="Palatino Linotype" w:cs="Palatino Linotype"/>
          <w:b/>
          <w:i/>
        </w:rPr>
        <w:t>,</w:t>
      </w:r>
      <w:r w:rsidRPr="00A20BD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1C7AC35" w14:textId="77777777" w:rsidR="00FC7DD1" w:rsidRPr="00A20BD9" w:rsidRDefault="00FC7DD1">
      <w:pPr>
        <w:spacing w:after="0" w:line="360" w:lineRule="auto"/>
        <w:ind w:left="851" w:right="899"/>
        <w:jc w:val="both"/>
        <w:rPr>
          <w:rFonts w:ascii="Palatino Linotype" w:eastAsia="Palatino Linotype" w:hAnsi="Palatino Linotype" w:cs="Palatino Linotype"/>
          <w:sz w:val="24"/>
          <w:szCs w:val="24"/>
        </w:rPr>
      </w:pPr>
    </w:p>
    <w:p w14:paraId="34263244"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63195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4CD0191D" w14:textId="77777777" w:rsidR="00FC7DD1" w:rsidRPr="00A20BD9" w:rsidRDefault="00436676">
      <w:pPr>
        <w:spacing w:after="0" w:line="276" w:lineRule="auto"/>
        <w:ind w:left="851" w:right="902"/>
        <w:jc w:val="both"/>
        <w:rPr>
          <w:rFonts w:ascii="Palatino Linotype" w:eastAsia="Palatino Linotype" w:hAnsi="Palatino Linotype" w:cs="Palatino Linotype"/>
          <w:b/>
          <w:i/>
        </w:rPr>
      </w:pPr>
      <w:r w:rsidRPr="00A20BD9">
        <w:rPr>
          <w:rFonts w:ascii="Palatino Linotype" w:eastAsia="Palatino Linotype" w:hAnsi="Palatino Linotype" w:cs="Palatino Linotype"/>
          <w:b/>
        </w:rPr>
        <w:t>“</w:t>
      </w:r>
      <w:r w:rsidRPr="00A20BD9">
        <w:rPr>
          <w:rFonts w:ascii="Palatino Linotype" w:eastAsia="Palatino Linotype" w:hAnsi="Palatino Linotype" w:cs="Palatino Linotype"/>
          <w:b/>
          <w:i/>
        </w:rPr>
        <w:t>CRITERIO 0002-11</w:t>
      </w:r>
    </w:p>
    <w:p w14:paraId="666046B3"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20BD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8520B7"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En consecuencia el acceso a la información se refiere a que se cumplan cualquiera de los siguientes tres supuestos:</w:t>
      </w:r>
    </w:p>
    <w:p w14:paraId="0C44BE3D"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442CEA6"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14:paraId="51FEA1C0"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30902EB9" w14:textId="77777777" w:rsidR="00FC7DD1" w:rsidRPr="00A20BD9" w:rsidRDefault="00FC7DD1">
      <w:pPr>
        <w:spacing w:after="0" w:line="276" w:lineRule="auto"/>
        <w:ind w:left="851" w:right="899"/>
        <w:jc w:val="both"/>
        <w:rPr>
          <w:rFonts w:ascii="Palatino Linotype" w:eastAsia="Palatino Linotype" w:hAnsi="Palatino Linotype" w:cs="Palatino Linotype"/>
          <w:sz w:val="24"/>
          <w:szCs w:val="24"/>
        </w:rPr>
      </w:pPr>
    </w:p>
    <w:p w14:paraId="265D3F3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De ahí que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20BD9">
        <w:rPr>
          <w:rFonts w:ascii="Palatino Linotype" w:eastAsia="Palatino Linotype" w:hAnsi="Palatino Linotype" w:cs="Palatino Linotype"/>
          <w:sz w:val="24"/>
          <w:szCs w:val="24"/>
          <w:vertAlign w:val="superscript"/>
        </w:rPr>
        <w:footnoteReference w:id="1"/>
      </w:r>
      <w:r w:rsidRPr="00A20BD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20BD9">
        <w:rPr>
          <w:rFonts w:ascii="Palatino Linotype" w:eastAsia="Palatino Linotype" w:hAnsi="Palatino Linotype" w:cs="Palatino Linotype"/>
          <w:sz w:val="24"/>
          <w:szCs w:val="24"/>
          <w:vertAlign w:val="superscript"/>
        </w:rPr>
        <w:footnoteReference w:id="2"/>
      </w:r>
      <w:r w:rsidRPr="00A20BD9">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624F93F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1EC939F" w14:textId="77777777" w:rsidR="00FC7DD1" w:rsidRPr="00A20BD9" w:rsidRDefault="00436676">
      <w:pPr>
        <w:spacing w:after="0" w:line="360" w:lineRule="auto"/>
        <w:jc w:val="both"/>
        <w:rPr>
          <w:rFonts w:ascii="Palatino Linotype" w:eastAsia="Palatino Linotype" w:hAnsi="Palatino Linotype" w:cs="Palatino Linotype"/>
          <w:b/>
          <w:sz w:val="24"/>
          <w:szCs w:val="24"/>
        </w:rPr>
      </w:pPr>
      <w:r w:rsidRPr="00A20BD9">
        <w:rPr>
          <w:rFonts w:ascii="Palatino Linotype" w:eastAsia="Palatino Linotype" w:hAnsi="Palatino Linotype" w:cs="Palatino Linotype"/>
          <w:sz w:val="24"/>
          <w:szCs w:val="24"/>
        </w:rPr>
        <w:lastRenderedPageBreak/>
        <w:t>En este sentido, cabe reiterar que la particular solicitó, de la construcción de un pequeño muro en la intersección de calle gasoducto y la av. acueducto (correspondiente al camino de los 9 pueblos), lo siguiente</w:t>
      </w:r>
      <w:r w:rsidRPr="00A20BD9">
        <w:rPr>
          <w:rFonts w:ascii="Palatino Linotype" w:eastAsia="Palatino Linotype" w:hAnsi="Palatino Linotype" w:cs="Palatino Linotype"/>
          <w:b/>
          <w:sz w:val="24"/>
          <w:szCs w:val="24"/>
        </w:rPr>
        <w:t xml:space="preserve">: </w:t>
      </w:r>
    </w:p>
    <w:p w14:paraId="0BE7FE47" w14:textId="77777777" w:rsidR="00436676" w:rsidRPr="00A20BD9" w:rsidRDefault="00436676">
      <w:pPr>
        <w:spacing w:after="0" w:line="360" w:lineRule="auto"/>
        <w:jc w:val="both"/>
        <w:rPr>
          <w:rFonts w:ascii="Palatino Linotype" w:eastAsia="Palatino Linotype" w:hAnsi="Palatino Linotype" w:cs="Palatino Linotype"/>
          <w:b/>
          <w:sz w:val="24"/>
          <w:szCs w:val="24"/>
        </w:rPr>
      </w:pPr>
    </w:p>
    <w:p w14:paraId="5E129028" w14:textId="77777777" w:rsidR="00FC7DD1" w:rsidRPr="00A20BD9" w:rsidRDefault="0043667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Permiso o documento que avale la construcción.</w:t>
      </w:r>
    </w:p>
    <w:p w14:paraId="09312860" w14:textId="77777777" w:rsidR="00FC7DD1" w:rsidRPr="00A20BD9" w:rsidRDefault="0043667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Unidad administrativa encargada de la construcción </w:t>
      </w:r>
    </w:p>
    <w:p w14:paraId="3DE6962F" w14:textId="77777777" w:rsidR="00FC7DD1" w:rsidRPr="00A20BD9" w:rsidRDefault="0043667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Por qué se encuentra inconcluso. </w:t>
      </w:r>
    </w:p>
    <w:p w14:paraId="521C6277" w14:textId="77777777" w:rsidR="00FC7DD1" w:rsidRPr="00A20BD9" w:rsidRDefault="0043667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caso de que no exista el permiso, fundamento jurídico o la documentación que respalde la construcción. </w:t>
      </w:r>
    </w:p>
    <w:p w14:paraId="25FA3D7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C147D43"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respuesta, </w:t>
      </w:r>
      <w:r w:rsidRPr="00A20BD9">
        <w:rPr>
          <w:rFonts w:ascii="Palatino Linotype" w:eastAsia="Palatino Linotype" w:hAnsi="Palatino Linotype" w:cs="Palatino Linotype"/>
          <w:b/>
          <w:sz w:val="24"/>
          <w:szCs w:val="24"/>
        </w:rPr>
        <w:t xml:space="preserve">EL SUJETO OBLIGADO </w:t>
      </w:r>
      <w:r w:rsidRPr="00A20BD9">
        <w:rPr>
          <w:rFonts w:ascii="Palatino Linotype" w:eastAsia="Palatino Linotype" w:hAnsi="Palatino Linotype" w:cs="Palatino Linotype"/>
          <w:sz w:val="24"/>
          <w:szCs w:val="24"/>
        </w:rPr>
        <w:t xml:space="preserve">por conducto del Director de Desarrollo Urbano y Obras Públicas, menciona que después de haber realizado una búsqueda exhaustiva en los archivos del Departamento de Licencias de Construcción y Uso de Suelo, no se localizó ninguna autorización, permiso o licencia de construcción para el muro que se encuentra en la intersección de la calle referida en la solicitud. </w:t>
      </w:r>
    </w:p>
    <w:p w14:paraId="091618F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FC82986"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En lo que respecta a que fuera un tope, el área competente es la Dirección de Movilidad y Transporte la encargada de regular la instalación y/o retiro de topes conforme a lo establecido en el Bando Municipal.</w:t>
      </w:r>
    </w:p>
    <w:p w14:paraId="2CEDCE33"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A0C502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 su vez, el Director de Movilidad y Transporte, señala que no existe dentro de sus archivos un permiso o documento que avale la construcción del pequeño muro que </w:t>
      </w:r>
      <w:r w:rsidRPr="00A20BD9">
        <w:rPr>
          <w:rFonts w:ascii="Palatino Linotype" w:eastAsia="Palatino Linotype" w:hAnsi="Palatino Linotype" w:cs="Palatino Linotype"/>
          <w:sz w:val="24"/>
          <w:szCs w:val="24"/>
        </w:rPr>
        <w:lastRenderedPageBreak/>
        <w:t xml:space="preserve">refiere, tomando en cuenta que, la única autoridad que puede otorgar permisos sobre la infraestructura vial en el territorio municipal, es la Dirección de Desarrollo Urbano y Obras Públicas, además que la Dirección, no se encuentra al frente de su construcción y no tiene conocimiento de quien lo este, por lo tanto, no se tiene conocimiento del porque se encuentra inconcluso, o si se trata de un proyecto de tope que no se encuentre regulado por autoridad competente, además, no existe ningún permiso para la construcción de dicho tope, por lo tanto, no existe fundamento jurídico o documento que respalde su colocación, motivo por el cual, se dejan a salvo los documentos o permisos que puedan existir dentro de los archivos que maneje otra Dependencia. </w:t>
      </w:r>
    </w:p>
    <w:p w14:paraId="056C7311"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C8706C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Al tratarse de un proyecto que tiene las características de un tope en la infraestructura vial, la autoridad administrativa quien puede hacer su retiro, previa comprobación de que no se encuentre regulado, lo es la Dirección de Desarrollo Urbano y Obras Públicas, tomando en cuenta que dentro de la competencia de esta Dirección, únicamente se encuentra la de elaborar estudios técnicos para mejorar la movilidad en territorio municipal, la colocación de dispositivos de control de tránsito, señalamientos verticales, horizontales y la coordinación de agentes viales.</w:t>
      </w:r>
    </w:p>
    <w:p w14:paraId="531CC61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1E7E4C8"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Asimismo, en el lugar que refiere el solicitante, no se encuentra ninguna caja, remolque o vehículo de carga que obstaculice, limite o impida el uso adecuado de las vías y que pueda ser trasladado al depósito vehicular correspondiente por transgredir el derecho humano de movilidad.  </w:t>
      </w:r>
    </w:p>
    <w:p w14:paraId="08407545"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Conocida la respuesta por el particular, al no estar conforme con los términos de la misma, presentó el recurso de revisión que nos ocupa, mediante el cual señaló como motivo de inconformidad en lo medular que no dan atención a todos los puntos solicitados, además de lo único que responden las áreas administrativas se contradicen, ya que tanto la Dirección de Desarrollo Urbano, como la Subdirección de Desarrollo Urbano mencionan que es competencia de la Dirección de Movilidad y Transporte y esta última menciona que es competencia de la Dirección de Desarrollo Urbano y nadie me da respuesta.</w:t>
      </w:r>
    </w:p>
    <w:p w14:paraId="2BDF9CC7"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C8E476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Cabe resaltar que durante la etapa de manifestaciones </w:t>
      </w: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xml:space="preserve"> fue omisa de rendir alegatos, por lo que respecta al</w:t>
      </w:r>
      <w:r w:rsidRPr="00A20BD9">
        <w:rPr>
          <w:rFonts w:ascii="Palatino Linotype" w:eastAsia="Palatino Linotype" w:hAnsi="Palatino Linotype" w:cs="Palatino Linotype"/>
          <w:b/>
          <w:sz w:val="24"/>
          <w:szCs w:val="24"/>
        </w:rPr>
        <w:t xml:space="preserve"> SUJETO OBLIGADO</w:t>
      </w:r>
      <w:r w:rsidRPr="00A20BD9">
        <w:rPr>
          <w:rFonts w:ascii="Palatino Linotype" w:eastAsia="Palatino Linotype" w:hAnsi="Palatino Linotype" w:cs="Palatino Linotype"/>
          <w:sz w:val="24"/>
          <w:szCs w:val="24"/>
        </w:rPr>
        <w:t xml:space="preserve">, el Director de Movilidad y Transporte, menciona que es la encargada de mantener las vías locales libres de obstáculos u objetos que impida, dificulten u obstruyan el tránsito peatonal, ciclista o vehicular del sistema integral de movilidad, de acuerdo al oficio suscrito por el Director de Desarrollo Urbano y Obras Públicas de Ecatepec de Morelos, “la interacción corresponde a un derecho de vía del Sistema de Agua de la Ciudad de México (SACMEX), conforme al plano E-3BIS de vialidades y restricciones del plan Municipal de Desarrollo Urbano del Municipio de Ecatepec de Morelos, promulgado en Gaceta de Gobierno del Estado de México, en fecha 19 de septiembre de 2022”, razón por la cual, esta Dirección de Movilidad y Transporte, se encuentra imposibilitada para realizar el retiro del muro que se encuentra en la intersección de calle de gasoducto y a la av. Acueducto, tomando en cuenta que, es una estructura que se encuentra en un derecho de vía del Sistema de Agua de la </w:t>
      </w:r>
      <w:r w:rsidRPr="00A20BD9">
        <w:rPr>
          <w:rFonts w:ascii="Palatino Linotype" w:eastAsia="Palatino Linotype" w:hAnsi="Palatino Linotype" w:cs="Palatino Linotype"/>
          <w:sz w:val="24"/>
          <w:szCs w:val="24"/>
        </w:rPr>
        <w:lastRenderedPageBreak/>
        <w:t xml:space="preserve">Ciudad de México (SACMEX), mismo que se encuentra sectorizado en la Secretaría del Medio Ambiente, teniendo por objeto, prestar los servicios públicos de suministro de agua potable, drenaje, alcantarillado, tratamiento de aguas residuales y reutilización, al respecto, se atiende por derecho de vía la franja de terreno de restricción federal o estatal que corre paralela a ambos lados de una vía de comunicación y que se requiere para la construcción, conservación, ampliación, protección y en general para el uso adecuado de las vías de comunicación, tal y como lo refiere el artículo 3 del Reglamento para el Uso y Aprovechamiento del Derecho de Vía de Carreteras Estatales y Zonas Laterales. </w:t>
      </w:r>
    </w:p>
    <w:p w14:paraId="3956DEDD"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4B09BF3"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Motivo por el cual, al existir un derecho de vía, debidamente delimitada, esta autoridad municipal no se encuentra embestida de competencia para realizar el retiro solicitado, siendo que, en el presente caso, se trata de objetos que se encuentran en un derecho de vía del Sistema de Agua de la Ciudad de México (SACMEX), y quien debe determinar la procedencia de esos objetos lo es la Junta de Caminos del Estado de México.</w:t>
      </w:r>
    </w:p>
    <w:p w14:paraId="165BA70D"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5524552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Aclarado lo anterior, de esta manera, se procede al análisis de la respuesta proporcionada por </w:t>
      </w:r>
      <w:r w:rsidRPr="00A20BD9">
        <w:rPr>
          <w:rFonts w:ascii="Palatino Linotype" w:eastAsia="Palatino Linotype" w:hAnsi="Palatino Linotype" w:cs="Palatino Linotype"/>
          <w:b/>
          <w:sz w:val="24"/>
          <w:szCs w:val="24"/>
        </w:rPr>
        <w:t>EL</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A20BD9">
        <w:rPr>
          <w:rFonts w:ascii="Palatino Linotype" w:eastAsia="Palatino Linotype" w:hAnsi="Palatino Linotype" w:cs="Palatino Linotype"/>
          <w:b/>
          <w:sz w:val="24"/>
          <w:szCs w:val="24"/>
        </w:rPr>
        <w:t>LA PARTE</w:t>
      </w:r>
      <w:r w:rsidRPr="00A20BD9">
        <w:rPr>
          <w:rFonts w:ascii="Palatino Linotype" w:eastAsia="Palatino Linotype" w:hAnsi="Palatino Linotype" w:cs="Palatino Linotype"/>
          <w:sz w:val="24"/>
          <w:szCs w:val="24"/>
        </w:rPr>
        <w:t xml:space="preserve"> </w:t>
      </w:r>
      <w:r w:rsidRPr="00A20BD9">
        <w:rPr>
          <w:rFonts w:ascii="Palatino Linotype" w:eastAsia="Palatino Linotype" w:hAnsi="Palatino Linotype" w:cs="Palatino Linotype"/>
          <w:b/>
          <w:sz w:val="24"/>
          <w:szCs w:val="24"/>
        </w:rPr>
        <w:t>RECURRENTE</w:t>
      </w:r>
      <w:r w:rsidRPr="00A20BD9">
        <w:rPr>
          <w:rFonts w:ascii="Palatino Linotype" w:eastAsia="Palatino Linotype" w:hAnsi="Palatino Linotype" w:cs="Palatino Linotype"/>
          <w:sz w:val="24"/>
          <w:szCs w:val="24"/>
        </w:rPr>
        <w:t>, o en su defecto ordenar la entrega del o los documentos que lo satisfagan, por lo que en primera instancia se cita la siguiente normatividad:</w:t>
      </w:r>
    </w:p>
    <w:p w14:paraId="6DE43C5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67EBE11F"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Al respecto, de una revisión al expediente que no ocupa dentro del Sistema de Acceso a la Información Mexiquense, se advierte que la respuesta e informe justificado fueron proporcionados por la Dirección de Desarrollo Urbano y Obras Públicas y la Dirección de Movilidad y Transporte, mismas que cuentan con las siguientes atribuciones:</w:t>
      </w:r>
    </w:p>
    <w:p w14:paraId="5F28447E"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26D874A2"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BANDO MUNICIPAL DE ECATEPEC DE MORELOS, ESTADO DE MÉXICO 2023.</w:t>
      </w:r>
    </w:p>
    <w:p w14:paraId="58FF430A" w14:textId="77777777" w:rsidR="00FC7DD1" w:rsidRPr="00A20BD9" w:rsidRDefault="00FC7DD1">
      <w:pPr>
        <w:spacing w:after="0" w:line="276" w:lineRule="auto"/>
        <w:ind w:left="851" w:right="902"/>
        <w:jc w:val="both"/>
        <w:rPr>
          <w:rFonts w:ascii="Palatino Linotype" w:eastAsia="Palatino Linotype" w:hAnsi="Palatino Linotype" w:cs="Palatino Linotype"/>
          <w:i/>
        </w:rPr>
      </w:pPr>
    </w:p>
    <w:p w14:paraId="53BBCED1"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58.</w:t>
      </w:r>
      <w:r w:rsidRPr="00A20BD9">
        <w:rPr>
          <w:rFonts w:ascii="Palatino Linotype" w:eastAsia="Palatino Linotype" w:hAnsi="Palatino Linotype" w:cs="Palatino Linotype"/>
          <w:i/>
        </w:rPr>
        <w:t xml:space="preserve"> En materia de urbanismo, la Dirección de Desarrollo Urbano y Obras Públicas de conformidad con las disposiciones jurídicas aplicables, así como en relación al Plan Municipal de Desarrollo Urbano, tendrá la facultad de:</w:t>
      </w:r>
    </w:p>
    <w:p w14:paraId="66FA0F40"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2227F699"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b. Tramitar los cambios de uso de suelo, de densidad e intensidad y altura de las edificaciones; </w:t>
      </w:r>
      <w:r w:rsidRPr="00A20BD9">
        <w:rPr>
          <w:rFonts w:ascii="Palatino Linotype" w:eastAsia="Palatino Linotype" w:hAnsi="Palatino Linotype" w:cs="Palatino Linotype"/>
          <w:i/>
          <w:u w:val="single"/>
        </w:rPr>
        <w:t>emitir las licencias y/o permisos de construcción</w:t>
      </w:r>
      <w:r w:rsidRPr="00A20BD9">
        <w:rPr>
          <w:rFonts w:ascii="Palatino Linotype" w:eastAsia="Palatino Linotype" w:hAnsi="Palatino Linotype" w:cs="Palatino Linotype"/>
          <w:i/>
        </w:rPr>
        <w:t>, de uso de suelo y de anuncios que tengan por objeto promocionar o publicitar un bien o servicio de acuerdo a la normatividad aplicable vigente; y tratándose de unidades económicas que lo requieran, expedirá el refrendo anual de la licencia de uso de suelo;</w:t>
      </w:r>
    </w:p>
    <w:p w14:paraId="722C1815" w14:textId="77777777" w:rsidR="00FC7DD1" w:rsidRPr="00A20BD9" w:rsidRDefault="00FC7DD1">
      <w:pPr>
        <w:spacing w:after="0" w:line="276" w:lineRule="auto"/>
        <w:ind w:left="851" w:right="902"/>
        <w:jc w:val="both"/>
        <w:rPr>
          <w:rFonts w:ascii="Palatino Linotype" w:eastAsia="Palatino Linotype" w:hAnsi="Palatino Linotype" w:cs="Palatino Linotype"/>
          <w:i/>
        </w:rPr>
      </w:pPr>
    </w:p>
    <w:p w14:paraId="20A4C8EE"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68.</w:t>
      </w:r>
      <w:r w:rsidRPr="00A20BD9">
        <w:rPr>
          <w:rFonts w:ascii="Palatino Linotype" w:eastAsia="Palatino Linotype" w:hAnsi="Palatino Linotype" w:cs="Palatino Linotype"/>
          <w:i/>
        </w:rPr>
        <w:t xml:space="preserve"> La Dirección de Movilidad y Transporte será la responsable de la realización de acciones que tiendan a procurar el debido ejercicio del derecho humano a la movilidad. Atenderá al transporte público de pasajeros en todas sus modalidades y transporte de carga a través del ordenamiento, seguridad, control, vigilancia, inspección y verificación para contribuir en el desarrollo sustentable del municipio.</w:t>
      </w:r>
    </w:p>
    <w:p w14:paraId="6CBD0A21" w14:textId="77777777" w:rsidR="00FC7DD1" w:rsidRPr="00A20BD9" w:rsidRDefault="00436676">
      <w:pPr>
        <w:spacing w:after="0" w:line="276" w:lineRule="auto"/>
        <w:ind w:left="851" w:right="902"/>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Vigilara el cumplimiento de las disposiciones que, en materia de accesibilidad se establecen en la normatividad vigente para garantizar, en el ámbito de su competencia, el derecho a la accesibilidad de las personas con discapacidad.” </w:t>
      </w:r>
    </w:p>
    <w:p w14:paraId="2B3A929E" w14:textId="77777777" w:rsidR="00FC7DD1" w:rsidRPr="00A20BD9" w:rsidRDefault="00FC7DD1">
      <w:pPr>
        <w:spacing w:after="0" w:line="276" w:lineRule="auto"/>
        <w:ind w:right="902"/>
        <w:jc w:val="both"/>
        <w:rPr>
          <w:rFonts w:ascii="Palatino Linotype" w:eastAsia="Palatino Linotype" w:hAnsi="Palatino Linotype" w:cs="Palatino Linotype"/>
          <w:i/>
        </w:rPr>
      </w:pPr>
    </w:p>
    <w:p w14:paraId="01179058" w14:textId="77777777" w:rsidR="00FC7DD1" w:rsidRPr="00A20BD9" w:rsidRDefault="00436676">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sidRPr="00A20BD9">
        <w:rPr>
          <w:rFonts w:ascii="Palatino Linotype" w:eastAsia="Palatino Linotype" w:hAnsi="Palatino Linotype" w:cs="Palatino Linotype"/>
          <w:sz w:val="24"/>
          <w:szCs w:val="24"/>
        </w:rPr>
        <w:lastRenderedPageBreak/>
        <w:t>De acuerdo a lo anterior la Dirección de Desarrollo Urbano y Obras Públicas</w:t>
      </w:r>
      <w:r w:rsidRPr="00A20BD9">
        <w:t xml:space="preserve"> </w:t>
      </w:r>
      <w:r w:rsidRPr="00A20BD9">
        <w:rPr>
          <w:rFonts w:ascii="Palatino Linotype" w:eastAsia="Palatino Linotype" w:hAnsi="Palatino Linotype" w:cs="Palatino Linotype"/>
          <w:sz w:val="24"/>
          <w:szCs w:val="24"/>
        </w:rPr>
        <w:t xml:space="preserve">emite las licencias y/o permisos de construcción y la Dirección de Movilidad y Transporte, procura el debido ejercicio del derecho humano a la movilidad, por lo que vigilara el cumplimiento de las disposiciones que, en materia de accesibilidad se establecen en la normatividad vigente. </w:t>
      </w:r>
    </w:p>
    <w:p w14:paraId="00092463"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9C5A814"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Ahora bien, es de resaltar lo señalado en informe justificado por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mediante el cual menciona que es una estructura que se encuentra en un derecho de vía del Sistema de Agua de la Ciudad de México (SACMEX), mismo que se encuentra sectorizado en la Secretaría del Medio Ambiente, teniendo por objeto, prestar los servicios públicos de suministro de agua potable, drenaje, alcantarillado, tratamiento de aguas residuales y reutilización, motivo por el que se procede analizar la incompetencia manifestada por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para conocer de la información solicitada. </w:t>
      </w:r>
    </w:p>
    <w:p w14:paraId="2ECE02DC" w14:textId="77777777" w:rsidR="00FC7DD1" w:rsidRPr="00A20BD9" w:rsidRDefault="00FC7DD1">
      <w:pPr>
        <w:spacing w:after="0" w:line="360" w:lineRule="auto"/>
        <w:jc w:val="both"/>
        <w:rPr>
          <w:rFonts w:ascii="Palatino Linotype" w:eastAsia="Palatino Linotype" w:hAnsi="Palatino Linotype" w:cs="Palatino Linotype"/>
          <w:b/>
          <w:sz w:val="24"/>
          <w:szCs w:val="24"/>
        </w:rPr>
      </w:pPr>
    </w:p>
    <w:p w14:paraId="30507B6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Por lo tanto, a continuación, se cita la siguiente normatividad: </w:t>
      </w:r>
    </w:p>
    <w:p w14:paraId="1A9BE5B5"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69C813D0"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REGLAMENTO PARA EL USO Y APROVECHAMIENTO DEL DERECHO DE VIA DE CARRETERAS ESTATALES Y ZONAS LATERALES</w:t>
      </w:r>
    </w:p>
    <w:p w14:paraId="3BAD0235" w14:textId="77777777" w:rsidR="00FC7DD1" w:rsidRPr="00A20BD9" w:rsidRDefault="00FC7DD1">
      <w:pPr>
        <w:spacing w:after="0" w:line="276" w:lineRule="auto"/>
        <w:ind w:left="567" w:right="567"/>
        <w:jc w:val="both"/>
        <w:rPr>
          <w:rFonts w:ascii="Palatino Linotype" w:eastAsia="Palatino Linotype" w:hAnsi="Palatino Linotype" w:cs="Palatino Linotype"/>
          <w:i/>
        </w:rPr>
      </w:pPr>
    </w:p>
    <w:p w14:paraId="773A7774" w14:textId="77777777" w:rsidR="00436676"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Artículo 3.- Para los efectos de este ordenamiento, se entenderá por:</w:t>
      </w:r>
    </w:p>
    <w:p w14:paraId="190592EE" w14:textId="77777777" w:rsidR="00436676"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05E27C9F" w14:textId="77777777" w:rsidR="00436676"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XIX. Junta. Junta de Caminos del Estado de México.</w:t>
      </w:r>
    </w:p>
    <w:p w14:paraId="5CD3902A" w14:textId="77777777" w:rsidR="00436676" w:rsidRPr="00A20BD9" w:rsidRDefault="00436676">
      <w:pPr>
        <w:spacing w:after="0" w:line="276" w:lineRule="auto"/>
        <w:ind w:left="567" w:right="567"/>
        <w:jc w:val="both"/>
        <w:rPr>
          <w:rFonts w:ascii="Palatino Linotype" w:eastAsia="Palatino Linotype" w:hAnsi="Palatino Linotype" w:cs="Palatino Linotype"/>
          <w:i/>
        </w:rPr>
      </w:pPr>
    </w:p>
    <w:p w14:paraId="3B4E8223"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lastRenderedPageBreak/>
        <w:t xml:space="preserve">Artículo 7.- La Junta expedirá los permisos correspondientes y celebrará los convenios para el uso y aprovechamiento del derecho de vía. </w:t>
      </w:r>
    </w:p>
    <w:p w14:paraId="4DE33B40" w14:textId="77777777" w:rsidR="00FC7DD1" w:rsidRPr="00A20BD9" w:rsidRDefault="00FC7DD1">
      <w:pPr>
        <w:spacing w:after="0" w:line="276" w:lineRule="auto"/>
        <w:ind w:left="567" w:right="567"/>
        <w:jc w:val="both"/>
        <w:rPr>
          <w:rFonts w:ascii="Palatino Linotype" w:eastAsia="Palatino Linotype" w:hAnsi="Palatino Linotype" w:cs="Palatino Linotype"/>
          <w:i/>
        </w:rPr>
      </w:pPr>
    </w:p>
    <w:p w14:paraId="2164EB7B" w14:textId="77777777" w:rsidR="00FC7DD1" w:rsidRPr="00A20BD9" w:rsidRDefault="00436676">
      <w:pPr>
        <w:spacing w:after="0" w:line="276" w:lineRule="auto"/>
        <w:ind w:left="567" w:right="567"/>
        <w:jc w:val="both"/>
        <w:rPr>
          <w:rFonts w:ascii="Palatino Linotype" w:eastAsia="Palatino Linotype" w:hAnsi="Palatino Linotype" w:cs="Palatino Linotype"/>
        </w:rPr>
      </w:pPr>
      <w:r w:rsidRPr="00A20BD9">
        <w:rPr>
          <w:rFonts w:ascii="Palatino Linotype" w:eastAsia="Palatino Linotype" w:hAnsi="Palatino Linotype" w:cs="Palatino Linotype"/>
          <w:i/>
        </w:rPr>
        <w:t xml:space="preserve">Artículo 8.- Se requerirá permiso </w:t>
      </w:r>
      <w:r w:rsidRPr="00A20BD9">
        <w:rPr>
          <w:rFonts w:ascii="Palatino Linotype" w:eastAsia="Palatino Linotype" w:hAnsi="Palatino Linotype" w:cs="Palatino Linotype"/>
        </w:rPr>
        <w:t xml:space="preserve">previo </w:t>
      </w:r>
      <w:r w:rsidRPr="00A20BD9">
        <w:rPr>
          <w:rFonts w:ascii="Palatino Linotype" w:hAnsi="Palatino Linotype"/>
        </w:rPr>
        <w:t>expedido por la Junta</w:t>
      </w:r>
      <w:r w:rsidRPr="00A20BD9">
        <w:rPr>
          <w:rFonts w:ascii="Palatino Linotype" w:eastAsia="Palatino Linotype" w:hAnsi="Palatino Linotype" w:cs="Palatino Linotype"/>
        </w:rPr>
        <w:t xml:space="preserve"> para:</w:t>
      </w:r>
    </w:p>
    <w:p w14:paraId="37AA905F" w14:textId="77777777" w:rsidR="00FC7DD1" w:rsidRPr="00A20BD9" w:rsidRDefault="00436676">
      <w:pPr>
        <w:spacing w:after="0" w:line="276" w:lineRule="auto"/>
        <w:ind w:left="567" w:right="567"/>
        <w:jc w:val="both"/>
        <w:rPr>
          <w:rFonts w:ascii="Palatino Linotype" w:eastAsia="Palatino Linotype" w:hAnsi="Palatino Linotype" w:cs="Palatino Linotype"/>
        </w:rPr>
      </w:pPr>
      <w:r w:rsidRPr="00A20BD9">
        <w:rPr>
          <w:rFonts w:ascii="Palatino Linotype" w:eastAsia="Palatino Linotype" w:hAnsi="Palatino Linotype" w:cs="Palatino Linotype"/>
        </w:rPr>
        <w:t>(…)</w:t>
      </w:r>
    </w:p>
    <w:p w14:paraId="25715951"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V. La construcción o modificación de cruzamientos o instalaciones longitudinales en el derecho de vía; </w:t>
      </w:r>
    </w:p>
    <w:p w14:paraId="087C32E0"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VI. La construcción, modificación o ampliación de cualquier otro tipo de obras en el derecho de vía; </w:t>
      </w:r>
    </w:p>
    <w:p w14:paraId="1FB86291"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VII. La construcción, instalación o adaptación de cualquier tipo de elemento de equipamiento dentro del derecho de vía;</w:t>
      </w:r>
    </w:p>
    <w:p w14:paraId="7FAA0813"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3904B1F8"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 xml:space="preserve">XII. La instalación de cercas </w:t>
      </w:r>
      <w:proofErr w:type="spellStart"/>
      <w:r w:rsidRPr="00A20BD9">
        <w:rPr>
          <w:rFonts w:ascii="Palatino Linotype" w:eastAsia="Palatino Linotype" w:hAnsi="Palatino Linotype" w:cs="Palatino Linotype"/>
          <w:i/>
        </w:rPr>
        <w:t>ó</w:t>
      </w:r>
      <w:proofErr w:type="spellEnd"/>
      <w:r w:rsidRPr="00A20BD9">
        <w:rPr>
          <w:rFonts w:ascii="Palatino Linotype" w:eastAsia="Palatino Linotype" w:hAnsi="Palatino Linotype" w:cs="Palatino Linotype"/>
          <w:i/>
        </w:rPr>
        <w:t xml:space="preserve"> barreras laterales en sus diversas modalidades que se ubiquen en el derecho de vía;</w:t>
      </w:r>
    </w:p>
    <w:p w14:paraId="042C54AF" w14:textId="77777777" w:rsidR="00FC7DD1" w:rsidRPr="00A20BD9" w:rsidRDefault="00FC7DD1">
      <w:pPr>
        <w:spacing w:after="0" w:line="276" w:lineRule="auto"/>
        <w:ind w:left="567" w:right="567"/>
        <w:jc w:val="both"/>
        <w:rPr>
          <w:rFonts w:ascii="Palatino Linotype" w:eastAsia="Palatino Linotype" w:hAnsi="Palatino Linotype" w:cs="Palatino Linotype"/>
          <w:i/>
        </w:rPr>
      </w:pPr>
    </w:p>
    <w:p w14:paraId="33B96C08" w14:textId="77777777" w:rsidR="00FC7DD1" w:rsidRPr="00A20BD9" w:rsidRDefault="00436676">
      <w:pPr>
        <w:spacing w:after="0" w:line="276" w:lineRule="auto"/>
        <w:ind w:left="567" w:right="567"/>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MANUAL GENERAL DE ORGANIZACIÓN DE LA JUNTA DE CAMINOS DEL ESTADO DE MÉXICO</w:t>
      </w:r>
    </w:p>
    <w:p w14:paraId="6B723A0F" w14:textId="77777777" w:rsidR="00FC7DD1" w:rsidRPr="00A20BD9" w:rsidRDefault="00FC7DD1">
      <w:pPr>
        <w:spacing w:after="0" w:line="276" w:lineRule="auto"/>
        <w:ind w:left="567" w:right="567"/>
        <w:jc w:val="both"/>
        <w:rPr>
          <w:rFonts w:ascii="Palatino Linotype" w:eastAsia="Palatino Linotype" w:hAnsi="Palatino Linotype" w:cs="Palatino Linotype"/>
          <w:b/>
          <w:i/>
        </w:rPr>
      </w:pPr>
    </w:p>
    <w:p w14:paraId="182A3269"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b/>
          <w:i/>
        </w:rPr>
        <w:t>Artículo 4.-</w:t>
      </w:r>
      <w:r w:rsidRPr="00A20BD9">
        <w:rPr>
          <w:rFonts w:ascii="Palatino Linotype" w:eastAsia="Palatino Linotype" w:hAnsi="Palatino Linotype" w:cs="Palatino Linotype"/>
          <w:i/>
        </w:rPr>
        <w:t xml:space="preserve"> El organismo, además de las señalas en el Código, tendrá las siguientes atribuciones:</w:t>
      </w:r>
    </w:p>
    <w:p w14:paraId="25DC9B6C"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p>
    <w:p w14:paraId="1B433755"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X. Resolver sobre la suspensión, rescisión o terminación de permisos relativos al uso del derecho de vía y zonas laterales de las vialidades y servicios conexos; y en su caso prórrogas o renovaciones a petición de parte.</w:t>
      </w:r>
    </w:p>
    <w:p w14:paraId="7CAE7B16" w14:textId="77777777" w:rsidR="00FC7DD1" w:rsidRPr="00A20BD9" w:rsidRDefault="00436676">
      <w:pPr>
        <w:spacing w:after="0" w:line="276" w:lineRule="auto"/>
        <w:ind w:left="567" w:right="567"/>
        <w:jc w:val="both"/>
        <w:rPr>
          <w:rFonts w:ascii="Palatino Linotype" w:eastAsia="Palatino Linotype" w:hAnsi="Palatino Linotype" w:cs="Palatino Linotype"/>
          <w:i/>
        </w:rPr>
      </w:pPr>
      <w:r w:rsidRPr="00A20BD9">
        <w:rPr>
          <w:rFonts w:ascii="Palatino Linotype" w:eastAsia="Palatino Linotype" w:hAnsi="Palatino Linotype" w:cs="Palatino Linotype"/>
          <w:i/>
        </w:rPr>
        <w:t>XII. Autorizar permisos en materia de derecho de vía y lo correspondiente a la publicidad exterior en la infraestructura vial primaria libre de peaje y de uso restringido.</w:t>
      </w:r>
    </w:p>
    <w:p w14:paraId="4CB4F892" w14:textId="77777777" w:rsidR="00FC7DD1" w:rsidRPr="00A20BD9" w:rsidRDefault="00FC7DD1">
      <w:pPr>
        <w:spacing w:after="0" w:line="276" w:lineRule="auto"/>
        <w:ind w:right="567"/>
        <w:jc w:val="both"/>
        <w:rPr>
          <w:rFonts w:ascii="Palatino Linotype" w:eastAsia="Palatino Linotype" w:hAnsi="Palatino Linotype" w:cs="Palatino Linotype"/>
          <w:sz w:val="24"/>
          <w:szCs w:val="24"/>
        </w:rPr>
      </w:pPr>
    </w:p>
    <w:p w14:paraId="55B0E35C"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De acuerdo a la normatividad antes señalada la Junta de Caminos expedirá los permisos correspondientes y celebrara los convenios para el uso y aprovechamiento del derecho de vía, como en el caso de construcción o modificación de cruzamientos </w:t>
      </w:r>
      <w:r w:rsidRPr="00A20BD9">
        <w:rPr>
          <w:rFonts w:ascii="Palatino Linotype" w:eastAsia="Palatino Linotype" w:hAnsi="Palatino Linotype" w:cs="Palatino Linotype"/>
          <w:sz w:val="24"/>
          <w:szCs w:val="24"/>
        </w:rPr>
        <w:lastRenderedPageBreak/>
        <w:t xml:space="preserve">o instalaciones longitudinales, cualquier otro tipo de obras, instalación o adaptación de cualquier tipo de elemento de equipamiento y la instalación de cercas o barreras laterales en sus diversas modalidades que se ubiquen en el derecho de vía, además resolverá sobre la suspensión, rescisión o terminación de permisos relativos al uso del derecho de vía y zonas laterales de las vialidades y servicios conexos y en su caso prórrogas o renovación a petición de parte, por ello, resulta incompetente para tener en sus archivos la información requerida por el particular. </w:t>
      </w:r>
    </w:p>
    <w:p w14:paraId="7E0F36F4" w14:textId="77777777" w:rsidR="00FC7DD1" w:rsidRPr="00A20BD9" w:rsidRDefault="00FC7DD1">
      <w:pPr>
        <w:spacing w:after="0" w:line="360" w:lineRule="auto"/>
        <w:contextualSpacing/>
        <w:jc w:val="both"/>
        <w:rPr>
          <w:rFonts w:ascii="Palatino Linotype" w:eastAsia="Palatino Linotype" w:hAnsi="Palatino Linotype" w:cs="Palatino Linotype"/>
          <w:sz w:val="24"/>
          <w:szCs w:val="24"/>
        </w:rPr>
      </w:pPr>
    </w:p>
    <w:p w14:paraId="28BC3C7B" w14:textId="77777777" w:rsidR="00436676" w:rsidRPr="00A20BD9" w:rsidRDefault="00436676" w:rsidP="00436676">
      <w:pPr>
        <w:spacing w:before="240" w:after="240" w:line="360" w:lineRule="auto"/>
        <w:contextualSpacing/>
        <w:jc w:val="both"/>
        <w:rPr>
          <w:rFonts w:ascii="Palatino Linotype" w:eastAsia="Palatino Linotype" w:hAnsi="Palatino Linotype" w:cs="Palatino Linotype"/>
          <w:sz w:val="24"/>
        </w:rPr>
      </w:pPr>
      <w:r w:rsidRPr="00A20BD9">
        <w:rPr>
          <w:rFonts w:ascii="Palatino Linotype" w:eastAsia="Palatino Linotype" w:hAnsi="Palatino Linotype" w:cs="Palatino Linotype"/>
          <w:sz w:val="24"/>
        </w:rPr>
        <w:t xml:space="preserve">Derivado de lo expuesto, es claro que existe una notoria incompetencia por parte del </w:t>
      </w:r>
      <w:r w:rsidRPr="00A20BD9">
        <w:rPr>
          <w:rFonts w:ascii="Palatino Linotype" w:eastAsia="Palatino Linotype" w:hAnsi="Palatino Linotype" w:cs="Palatino Linotype"/>
          <w:b/>
          <w:sz w:val="24"/>
        </w:rPr>
        <w:t xml:space="preserve">SUJETO OBLIGADO </w:t>
      </w:r>
      <w:r w:rsidRPr="00A20BD9">
        <w:rPr>
          <w:rFonts w:ascii="Palatino Linotype" w:eastAsia="Palatino Linotype" w:hAnsi="Palatino Linotype" w:cs="Palatino Linotype"/>
          <w:sz w:val="24"/>
        </w:rPr>
        <w:t>para dar respuesta al requerimiento de información, no obstante, la Unidad de Transparencia no hizo del conocimiento de la persona solicitante dicha circunstancia, sino que se limitó a señalar que lo solicitado transgredía la vida privada de los servidores públicos, además de argumentar que lo requerido, al no constituir un derecho de acceso a la información pública, no era atendible mediante una solicitud de información, al considerar que el requerimiento se trataba de manifestaciones subjetivas vertidas por la persona solicitante, incumpliendo así con el párrafo primero del artículo 167, párrafo primero de la Ley de Transparencia y Acceso a la Información Pública del Estado de México y Municipios, que es del tenor literal siguiente:</w:t>
      </w:r>
    </w:p>
    <w:p w14:paraId="58690EAD" w14:textId="77777777" w:rsidR="00436676" w:rsidRPr="00A20BD9" w:rsidRDefault="00436676" w:rsidP="00436676">
      <w:pPr>
        <w:spacing w:before="240" w:after="240" w:line="360" w:lineRule="auto"/>
        <w:contextualSpacing/>
        <w:jc w:val="both"/>
        <w:rPr>
          <w:rFonts w:ascii="Palatino Linotype" w:eastAsia="Palatino Linotype" w:hAnsi="Palatino Linotype" w:cs="Palatino Linotype"/>
          <w:sz w:val="24"/>
        </w:rPr>
      </w:pPr>
    </w:p>
    <w:p w14:paraId="5164F470" w14:textId="77777777" w:rsidR="00436676" w:rsidRPr="00A20BD9" w:rsidRDefault="00436676" w:rsidP="00436676">
      <w:pPr>
        <w:spacing w:before="120" w:after="120" w:line="276" w:lineRule="auto"/>
        <w:ind w:left="851" w:right="902"/>
        <w:contextualSpacing/>
        <w:jc w:val="both"/>
        <w:rPr>
          <w:rFonts w:ascii="Palatino Linotype" w:eastAsia="Palatino Linotype" w:hAnsi="Palatino Linotype" w:cs="Palatino Linotype"/>
          <w:i/>
          <w:sz w:val="24"/>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Artículo 167</w:t>
      </w:r>
      <w:r w:rsidRPr="00A20BD9">
        <w:rPr>
          <w:rFonts w:ascii="Palatino Linotype" w:eastAsia="Palatino Linotype" w:hAnsi="Palatino Linotype" w:cs="Palatino Linotype"/>
          <w:i/>
        </w:rPr>
        <w:t>. C</w:t>
      </w:r>
      <w:r w:rsidRPr="00A20BD9">
        <w:rPr>
          <w:rFonts w:ascii="Palatino Linotype" w:eastAsia="Palatino Linotype" w:hAnsi="Palatino Linotype" w:cs="Palatino Linotype"/>
          <w:b/>
          <w:i/>
        </w:rPr>
        <w:t xml:space="preserve">uando las </w:t>
      </w:r>
      <w:r w:rsidRPr="00A20BD9">
        <w:rPr>
          <w:rFonts w:ascii="Palatino Linotype" w:eastAsia="Palatino Linotype" w:hAnsi="Palatino Linotype" w:cs="Palatino Linotype"/>
          <w:b/>
          <w:i/>
          <w:u w:val="single"/>
        </w:rPr>
        <w:t>unidades de transparencia</w:t>
      </w:r>
      <w:r w:rsidRPr="00A20BD9">
        <w:rPr>
          <w:rFonts w:ascii="Palatino Linotype" w:eastAsia="Palatino Linotype" w:hAnsi="Palatino Linotype" w:cs="Palatino Linotype"/>
          <w:b/>
          <w:i/>
        </w:rPr>
        <w:t xml:space="preserve"> determinen la notoria incompetencia por parte de los sujetos obligados,</w:t>
      </w:r>
      <w:r w:rsidRPr="00A20BD9">
        <w:rPr>
          <w:rFonts w:ascii="Palatino Linotype" w:eastAsia="Palatino Linotype" w:hAnsi="Palatino Linotype" w:cs="Palatino Linotype"/>
          <w:i/>
        </w:rPr>
        <w:t xml:space="preserve"> dentro del ámbito de aplicación, para atender la solicitud de acceso a la información, </w:t>
      </w:r>
      <w:r w:rsidRPr="00A20BD9">
        <w:rPr>
          <w:rFonts w:ascii="Palatino Linotype" w:eastAsia="Palatino Linotype" w:hAnsi="Palatino Linotype" w:cs="Palatino Linotype"/>
          <w:b/>
          <w:i/>
        </w:rPr>
        <w:t xml:space="preserve">deberán </w:t>
      </w:r>
      <w:r w:rsidRPr="00A20BD9">
        <w:rPr>
          <w:rFonts w:ascii="Palatino Linotype" w:eastAsia="Palatino Linotype" w:hAnsi="Palatino Linotype" w:cs="Palatino Linotype"/>
          <w:b/>
          <w:i/>
        </w:rPr>
        <w:lastRenderedPageBreak/>
        <w:t xml:space="preserve">comunicarlo al solicitante, dentro de los </w:t>
      </w:r>
      <w:r w:rsidRPr="00A20BD9">
        <w:rPr>
          <w:rFonts w:ascii="Palatino Linotype" w:eastAsia="Palatino Linotype" w:hAnsi="Palatino Linotype" w:cs="Palatino Linotype"/>
          <w:b/>
          <w:i/>
          <w:u w:val="single"/>
        </w:rPr>
        <w:t>tres días hábiles posteriores</w:t>
      </w:r>
      <w:r w:rsidRPr="00A20BD9">
        <w:rPr>
          <w:rFonts w:ascii="Palatino Linotype" w:eastAsia="Palatino Linotype" w:hAnsi="Palatino Linotype" w:cs="Palatino Linotype"/>
          <w:b/>
          <w:i/>
        </w:rPr>
        <w:t xml:space="preserve"> a la recepción de la solicitud</w:t>
      </w:r>
      <w:r w:rsidRPr="00A20BD9">
        <w:rPr>
          <w:rFonts w:ascii="Palatino Linotype" w:eastAsia="Palatino Linotype" w:hAnsi="Palatino Linotype" w:cs="Palatino Linotype"/>
          <w:i/>
        </w:rPr>
        <w:t xml:space="preserve"> y, en su caso orientar al solicitante, el o los sujetos </w:t>
      </w:r>
      <w:r w:rsidRPr="00A20BD9">
        <w:rPr>
          <w:rFonts w:ascii="Palatino Linotype" w:eastAsia="Palatino Linotype" w:hAnsi="Palatino Linotype" w:cs="Palatino Linotype"/>
          <w:i/>
          <w:sz w:val="24"/>
        </w:rPr>
        <w:t>obligados competentes.”</w:t>
      </w:r>
    </w:p>
    <w:p w14:paraId="2902549D" w14:textId="77777777" w:rsidR="00436676" w:rsidRPr="00A20BD9" w:rsidRDefault="00436676" w:rsidP="00436676">
      <w:pPr>
        <w:spacing w:before="120" w:after="120" w:line="360" w:lineRule="auto"/>
        <w:ind w:left="851" w:right="902"/>
        <w:contextualSpacing/>
        <w:jc w:val="both"/>
        <w:rPr>
          <w:rFonts w:ascii="Palatino Linotype" w:eastAsia="Palatino Linotype" w:hAnsi="Palatino Linotype" w:cs="Palatino Linotype"/>
          <w:i/>
          <w:sz w:val="24"/>
        </w:rPr>
      </w:pPr>
    </w:p>
    <w:p w14:paraId="5974E266" w14:textId="77777777" w:rsidR="00436676" w:rsidRPr="00A20BD9" w:rsidRDefault="00436676" w:rsidP="00436676">
      <w:pPr>
        <w:spacing w:line="360" w:lineRule="auto"/>
        <w:contextualSpacing/>
        <w:jc w:val="both"/>
        <w:rPr>
          <w:rFonts w:ascii="Palatino Linotype" w:hAnsi="Palatino Linotype" w:cs="Tahoma"/>
          <w:sz w:val="24"/>
        </w:rPr>
      </w:pPr>
      <w:r w:rsidRPr="00A20BD9">
        <w:rPr>
          <w:rFonts w:ascii="Palatino Linotype" w:eastAsia="Palatino Linotype" w:hAnsi="Palatino Linotype" w:cs="Palatino Linotype"/>
          <w:sz w:val="24"/>
        </w:rPr>
        <w:t xml:space="preserve">Del precepto normativo se desprende que cuando las Unidades de Transparencia, determinen una notoria incompetencia por parte de los entes públicos, </w:t>
      </w:r>
      <w:r w:rsidRPr="00A20BD9">
        <w:rPr>
          <w:rFonts w:ascii="Palatino Linotype" w:hAnsi="Palatino Linotype" w:cs="Tahoma"/>
          <w:sz w:val="24"/>
        </w:rPr>
        <w:t>deben realizar lo siguiente:</w:t>
      </w:r>
    </w:p>
    <w:p w14:paraId="741E5B50" w14:textId="77777777" w:rsidR="00436676" w:rsidRPr="00A20BD9" w:rsidRDefault="00436676" w:rsidP="00436676">
      <w:pPr>
        <w:spacing w:line="360" w:lineRule="auto"/>
        <w:contextualSpacing/>
        <w:jc w:val="both"/>
        <w:rPr>
          <w:rFonts w:ascii="Palatino Linotype" w:hAnsi="Palatino Linotype" w:cs="Tahoma"/>
          <w:bCs/>
          <w:sz w:val="24"/>
          <w:lang w:eastAsia="en-US"/>
        </w:rPr>
      </w:pPr>
    </w:p>
    <w:p w14:paraId="4BA1FA5B" w14:textId="77777777" w:rsidR="00436676" w:rsidRPr="00A20BD9" w:rsidRDefault="00436676" w:rsidP="00436676">
      <w:pPr>
        <w:numPr>
          <w:ilvl w:val="0"/>
          <w:numId w:val="5"/>
        </w:numPr>
        <w:tabs>
          <w:tab w:val="left" w:pos="709"/>
        </w:tabs>
        <w:spacing w:before="120" w:after="120" w:line="360" w:lineRule="auto"/>
        <w:ind w:left="425" w:firstLine="0"/>
        <w:contextualSpacing/>
        <w:jc w:val="both"/>
        <w:rPr>
          <w:rFonts w:ascii="Palatino Linotype" w:hAnsi="Palatino Linotype" w:cs="Tahoma"/>
          <w:sz w:val="24"/>
        </w:rPr>
      </w:pPr>
      <w:r w:rsidRPr="00A20BD9">
        <w:rPr>
          <w:rFonts w:ascii="Palatino Linotype" w:hAnsi="Palatino Linotype" w:cs="Tahoma"/>
          <w:sz w:val="24"/>
        </w:rPr>
        <w:t>Hacerlo del conocimiento de la persona solicitante, dentro de los tres días hábiles, posteriores a la presentación de la solicitud de información, y</w:t>
      </w:r>
    </w:p>
    <w:p w14:paraId="200E5D49" w14:textId="77777777" w:rsidR="00436676" w:rsidRPr="00A20BD9" w:rsidRDefault="00436676" w:rsidP="00436676">
      <w:pPr>
        <w:numPr>
          <w:ilvl w:val="0"/>
          <w:numId w:val="5"/>
        </w:numPr>
        <w:tabs>
          <w:tab w:val="left" w:pos="709"/>
        </w:tabs>
        <w:spacing w:before="120" w:after="120" w:line="360" w:lineRule="auto"/>
        <w:ind w:left="425" w:firstLine="0"/>
        <w:contextualSpacing/>
        <w:jc w:val="both"/>
        <w:rPr>
          <w:rFonts w:ascii="Palatino Linotype" w:hAnsi="Palatino Linotype" w:cs="Tahoma"/>
          <w:sz w:val="24"/>
        </w:rPr>
      </w:pPr>
      <w:r w:rsidRPr="00A20BD9">
        <w:rPr>
          <w:rFonts w:ascii="Palatino Linotype" w:hAnsi="Palatino Linotype" w:cs="Tahoma"/>
          <w:sz w:val="24"/>
        </w:rPr>
        <w:t>En caso de conocer el Sujeto Obligado competente, orientarle a presentar la solicitud ante el mismo.</w:t>
      </w:r>
    </w:p>
    <w:p w14:paraId="621D8665" w14:textId="77777777" w:rsidR="00436676" w:rsidRPr="00A20BD9" w:rsidRDefault="00436676">
      <w:pPr>
        <w:spacing w:after="0" w:line="360" w:lineRule="auto"/>
        <w:jc w:val="both"/>
        <w:rPr>
          <w:rFonts w:ascii="Palatino Linotype" w:eastAsia="Palatino Linotype" w:hAnsi="Palatino Linotype" w:cs="Palatino Linotype"/>
          <w:sz w:val="24"/>
          <w:szCs w:val="24"/>
        </w:rPr>
      </w:pPr>
    </w:p>
    <w:p w14:paraId="21B9B878" w14:textId="77777777" w:rsidR="00FC7DD1" w:rsidRPr="00A20BD9" w:rsidRDefault="00436676">
      <w:pPr>
        <w:spacing w:after="0" w:line="360" w:lineRule="auto"/>
        <w:ind w:right="-147"/>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6CE69D05" w14:textId="77777777" w:rsidR="00FC7DD1" w:rsidRPr="00A20BD9" w:rsidRDefault="00436676">
      <w:pPr>
        <w:spacing w:after="0" w:line="360" w:lineRule="auto"/>
        <w:ind w:right="900"/>
        <w:jc w:val="both"/>
        <w:rPr>
          <w:rFonts w:ascii="Palatino Linotype" w:eastAsia="Palatino Linotype" w:hAnsi="Palatino Linotype" w:cs="Palatino Linotype"/>
          <w:i/>
        </w:rPr>
      </w:pPr>
      <w:r w:rsidRPr="00A20BD9">
        <w:rPr>
          <w:noProof/>
        </w:rPr>
        <w:drawing>
          <wp:inline distT="0" distB="0" distL="0" distR="0" wp14:anchorId="26B233F0" wp14:editId="1D7F3D94">
            <wp:extent cx="5779743" cy="359437"/>
            <wp:effectExtent l="0" t="0" r="0" b="0"/>
            <wp:docPr id="6" name="image3.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con confianza media"/>
                    <pic:cNvPicPr preferRelativeResize="0"/>
                  </pic:nvPicPr>
                  <pic:blipFill>
                    <a:blip r:embed="rId10"/>
                    <a:srcRect l="16803" t="59747" r="14969" b="32710"/>
                    <a:stretch>
                      <a:fillRect/>
                    </a:stretch>
                  </pic:blipFill>
                  <pic:spPr>
                    <a:xfrm>
                      <a:off x="0" y="0"/>
                      <a:ext cx="5779743" cy="359437"/>
                    </a:xfrm>
                    <a:prstGeom prst="rect">
                      <a:avLst/>
                    </a:prstGeom>
                    <a:ln/>
                  </pic:spPr>
                </pic:pic>
              </a:graphicData>
            </a:graphic>
          </wp:inline>
        </w:drawing>
      </w:r>
    </w:p>
    <w:p w14:paraId="6622C951" w14:textId="77777777" w:rsidR="00FC7DD1" w:rsidRPr="00A20BD9" w:rsidRDefault="00436676">
      <w:pPr>
        <w:spacing w:after="0" w:line="360" w:lineRule="auto"/>
        <w:ind w:right="900"/>
        <w:jc w:val="center"/>
        <w:rPr>
          <w:rFonts w:ascii="Palatino Linotype" w:eastAsia="Palatino Linotype" w:hAnsi="Palatino Linotype" w:cs="Palatino Linotype"/>
          <w:i/>
        </w:rPr>
      </w:pPr>
      <w:bookmarkStart w:id="2" w:name="_heading=h.gjdgxs" w:colFirst="0" w:colLast="0"/>
      <w:bookmarkEnd w:id="2"/>
      <w:r w:rsidRPr="00A20BD9">
        <w:rPr>
          <w:noProof/>
        </w:rPr>
        <w:drawing>
          <wp:inline distT="0" distB="0" distL="0" distR="0" wp14:anchorId="356A23DE" wp14:editId="43EED1F7">
            <wp:extent cx="5612130" cy="3873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2130" cy="387350"/>
                    </a:xfrm>
                    <a:prstGeom prst="rect">
                      <a:avLst/>
                    </a:prstGeom>
                    <a:ln/>
                  </pic:spPr>
                </pic:pic>
              </a:graphicData>
            </a:graphic>
          </wp:inline>
        </w:drawing>
      </w:r>
    </w:p>
    <w:p w14:paraId="5F92160B"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noProof/>
          <w:sz w:val="24"/>
          <w:szCs w:val="24"/>
        </w:rPr>
        <w:lastRenderedPageBreak/>
        <w:drawing>
          <wp:inline distT="0" distB="0" distL="0" distR="0" wp14:anchorId="3BF9D429" wp14:editId="7A4D0427">
            <wp:extent cx="5612130" cy="52514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525145"/>
                    </a:xfrm>
                    <a:prstGeom prst="rect">
                      <a:avLst/>
                    </a:prstGeom>
                    <a:ln/>
                  </pic:spPr>
                </pic:pic>
              </a:graphicData>
            </a:graphic>
          </wp:inline>
        </w:drawing>
      </w:r>
    </w:p>
    <w:p w14:paraId="02649A3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noProof/>
          <w:sz w:val="24"/>
          <w:szCs w:val="24"/>
        </w:rPr>
        <w:drawing>
          <wp:inline distT="0" distB="0" distL="0" distR="0" wp14:anchorId="77A55582" wp14:editId="1CCE5A7C">
            <wp:extent cx="5612130" cy="30289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302895"/>
                    </a:xfrm>
                    <a:prstGeom prst="rect">
                      <a:avLst/>
                    </a:prstGeom>
                    <a:ln/>
                  </pic:spPr>
                </pic:pic>
              </a:graphicData>
            </a:graphic>
          </wp:inline>
        </w:drawing>
      </w:r>
    </w:p>
    <w:p w14:paraId="687DBB66"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noProof/>
          <w:sz w:val="24"/>
          <w:szCs w:val="24"/>
        </w:rPr>
        <w:drawing>
          <wp:inline distT="0" distB="0" distL="0" distR="0" wp14:anchorId="3371FD12" wp14:editId="370673F5">
            <wp:extent cx="5612130" cy="43942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439420"/>
                    </a:xfrm>
                    <a:prstGeom prst="rect">
                      <a:avLst/>
                    </a:prstGeom>
                    <a:ln/>
                  </pic:spPr>
                </pic:pic>
              </a:graphicData>
            </a:graphic>
          </wp:inline>
        </w:drawing>
      </w:r>
    </w:p>
    <w:p w14:paraId="3A8B1C76"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5CFB4A3" w14:textId="77777777" w:rsidR="00FC7DD1" w:rsidRPr="00A20BD9" w:rsidRDefault="00436676" w:rsidP="00436676">
      <w:pPr>
        <w:spacing w:after="0" w:line="360" w:lineRule="auto"/>
        <w:ind w:right="-147"/>
        <w:contextualSpacing/>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Conforme a lo anterior, se advierte que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no tiene atribuciones para contar con la información peticionada, toda vez que es información de un sujeto obligado diverso es decir a la Junta de Caminos del Estado de México.</w:t>
      </w:r>
    </w:p>
    <w:p w14:paraId="0C51758F" w14:textId="77777777" w:rsidR="00FC7DD1" w:rsidRPr="00A20BD9" w:rsidRDefault="00FC7DD1" w:rsidP="00436676">
      <w:pPr>
        <w:spacing w:after="0" w:line="360" w:lineRule="auto"/>
        <w:ind w:right="567"/>
        <w:contextualSpacing/>
        <w:jc w:val="both"/>
        <w:rPr>
          <w:rFonts w:ascii="Palatino Linotype" w:eastAsia="Palatino Linotype" w:hAnsi="Palatino Linotype" w:cs="Palatino Linotype"/>
          <w:sz w:val="24"/>
          <w:szCs w:val="24"/>
        </w:rPr>
      </w:pPr>
    </w:p>
    <w:p w14:paraId="2C17A619" w14:textId="77777777" w:rsidR="00436676" w:rsidRPr="00A20BD9" w:rsidRDefault="00436676" w:rsidP="00436676">
      <w:pPr>
        <w:spacing w:before="240" w:after="240" w:line="360" w:lineRule="auto"/>
        <w:contextualSpacing/>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En el presente caso la Unidad de Transparencia no manifestó la incompetencia del </w:t>
      </w:r>
      <w:r w:rsidRPr="00A20BD9">
        <w:rPr>
          <w:rFonts w:ascii="Palatino Linotype" w:eastAsia="Palatino Linotype" w:hAnsi="Palatino Linotype" w:cs="Palatino Linotype"/>
          <w:b/>
          <w:bCs/>
          <w:sz w:val="24"/>
          <w:szCs w:val="24"/>
        </w:rPr>
        <w:t xml:space="preserve">SUJETO OBLIGADO </w:t>
      </w:r>
      <w:r w:rsidRPr="00A20BD9">
        <w:rPr>
          <w:rFonts w:ascii="Palatino Linotype" w:eastAsia="Palatino Linotype" w:hAnsi="Palatino Linotype" w:cs="Palatino Linotype"/>
          <w:sz w:val="24"/>
          <w:szCs w:val="24"/>
        </w:rPr>
        <w:t xml:space="preserve">para atender la solicitud, ya que como se ha expuesto anteriormente sí existe un documento que pudiera dar cuenta de la información que es del interés de la persona solicitante, sin embargo, </w:t>
      </w:r>
      <w:r w:rsidRPr="00A20BD9">
        <w:rPr>
          <w:rFonts w:ascii="Palatino Linotype" w:eastAsia="Palatino Linotype" w:hAnsi="Palatino Linotype" w:cs="Palatino Linotype"/>
          <w:b/>
          <w:sz w:val="24"/>
          <w:szCs w:val="24"/>
        </w:rPr>
        <w:t xml:space="preserve">EL </w:t>
      </w:r>
      <w:r w:rsidRPr="00A20BD9">
        <w:rPr>
          <w:rFonts w:ascii="Palatino Linotype" w:eastAsia="Palatino Linotype" w:hAnsi="Palatino Linotype" w:cs="Palatino Linotype"/>
          <w:b/>
          <w:bCs/>
          <w:sz w:val="24"/>
          <w:szCs w:val="24"/>
        </w:rPr>
        <w:t>SUJETO OBLIGADO</w:t>
      </w:r>
      <w:r w:rsidRPr="00A20BD9">
        <w:rPr>
          <w:rFonts w:ascii="Palatino Linotype" w:eastAsia="Palatino Linotype" w:hAnsi="Palatino Linotype" w:cs="Palatino Linotype"/>
          <w:sz w:val="24"/>
          <w:szCs w:val="24"/>
        </w:rPr>
        <w:t xml:space="preserve"> no cuenta con atribuciones para generar, administrar o poseer el mismo.</w:t>
      </w:r>
    </w:p>
    <w:p w14:paraId="224BDAEF" w14:textId="77777777" w:rsidR="00436676" w:rsidRPr="00A20BD9" w:rsidRDefault="00436676" w:rsidP="00436676">
      <w:pPr>
        <w:spacing w:before="240" w:after="240" w:line="360" w:lineRule="auto"/>
        <w:contextualSpacing/>
        <w:jc w:val="both"/>
        <w:rPr>
          <w:rFonts w:ascii="Palatino Linotype" w:eastAsia="Palatino Linotype" w:hAnsi="Palatino Linotype" w:cs="Palatino Linotype"/>
          <w:sz w:val="24"/>
          <w:szCs w:val="24"/>
        </w:rPr>
      </w:pPr>
    </w:p>
    <w:p w14:paraId="531AD219"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r w:rsidRPr="00A20BD9">
        <w:rPr>
          <w:rFonts w:ascii="Palatino Linotype" w:hAnsi="Palatino Linotype"/>
          <w:sz w:val="24"/>
          <w:szCs w:val="24"/>
        </w:rPr>
        <w:t xml:space="preserve">En este sentido, resulta aplicable lo dispuesto por los artículos 49, fracción II, 53, fracción III y 167 de la Ley de Transparencia y Acceso a la Información Pública del Estado de México y Municipios, de los cuales se desprende que las </w:t>
      </w:r>
      <w:r w:rsidRPr="00A20BD9">
        <w:rPr>
          <w:rFonts w:ascii="Palatino Linotype" w:hAnsi="Palatino Linotype"/>
          <w:b/>
          <w:sz w:val="24"/>
          <w:szCs w:val="24"/>
        </w:rPr>
        <w:t xml:space="preserve">Unidades de Transparencia son responsables de orientar a los particulares respecto de la dependencia, entidad u órgano que pudiera tener la información requerida, </w:t>
      </w:r>
      <w:r w:rsidRPr="00A20BD9">
        <w:rPr>
          <w:rFonts w:ascii="Palatino Linotype" w:hAnsi="Palatino Linotype"/>
          <w:b/>
          <w:sz w:val="24"/>
          <w:szCs w:val="24"/>
        </w:rPr>
        <w:lastRenderedPageBreak/>
        <w:t>cuando la misma no sea competencia del sujeto obligado ante el cual se formule la solicitud de acceso</w:t>
      </w:r>
      <w:r w:rsidRPr="00A20BD9">
        <w:rPr>
          <w:rFonts w:ascii="Palatino Linotype" w:hAnsi="Palatino Linotype"/>
          <w:sz w:val="24"/>
          <w:szCs w:val="24"/>
        </w:rPr>
        <w:t>.</w:t>
      </w:r>
    </w:p>
    <w:p w14:paraId="46FAE9AA"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p>
    <w:p w14:paraId="22E2FDC5"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r w:rsidRPr="00A20BD9">
        <w:rPr>
          <w:rFonts w:ascii="Palatino Linotype" w:hAnsi="Palatino Linotype"/>
          <w:sz w:val="24"/>
          <w:szCs w:val="24"/>
        </w:rPr>
        <w:t xml:space="preserve">Asimismo, que los </w:t>
      </w:r>
      <w:r w:rsidRPr="00A20BD9">
        <w:rPr>
          <w:rFonts w:ascii="Palatino Linotype" w:hAnsi="Palatino Linotype"/>
          <w:b/>
          <w:sz w:val="24"/>
          <w:szCs w:val="24"/>
        </w:rPr>
        <w:t>Comités de Transparencia tienen entre sus atribuciones confirmar, modificar o revocar la declaración de incompetencia</w:t>
      </w:r>
      <w:r w:rsidRPr="00A20BD9">
        <w:rPr>
          <w:rFonts w:ascii="Palatino Linotype" w:hAnsi="Palatino Linotype"/>
          <w:sz w:val="24"/>
          <w:szCs w:val="24"/>
        </w:rPr>
        <w:t xml:space="preserve"> que realicen los titulares de las unidades administrativas.</w:t>
      </w:r>
    </w:p>
    <w:p w14:paraId="792E2E54"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p>
    <w:p w14:paraId="7BB43C75"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r w:rsidRPr="00A20BD9">
        <w:rPr>
          <w:rFonts w:ascii="Palatino Linotype" w:hAnsi="Palatino Linotype"/>
          <w:sz w:val="24"/>
          <w:szCs w:val="24"/>
        </w:rPr>
        <w:t xml:space="preserve">Por lo que, cuando las Unidades de Transparencia determinen la notoria incompetencia por parte de </w:t>
      </w:r>
      <w:r w:rsidRPr="00A20BD9">
        <w:rPr>
          <w:rFonts w:ascii="Palatino Linotype" w:hAnsi="Palatino Linotype"/>
          <w:b/>
          <w:sz w:val="24"/>
          <w:szCs w:val="24"/>
        </w:rPr>
        <w:t>los sujetos obligados deberán comunicar al solicitante la misma dentro de los tres días posteriores a la recepción de la solicitud</w:t>
      </w:r>
      <w:r w:rsidRPr="00A20BD9">
        <w:rPr>
          <w:rFonts w:ascii="Palatino Linotype" w:hAnsi="Palatino Linotype"/>
          <w:sz w:val="24"/>
          <w:szCs w:val="24"/>
        </w:rPr>
        <w:t>.</w:t>
      </w:r>
    </w:p>
    <w:p w14:paraId="4C803CBB"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p>
    <w:p w14:paraId="6EA69EE2"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r w:rsidRPr="00A20BD9">
        <w:rPr>
          <w:rFonts w:ascii="Palatino Linotype" w:hAnsi="Palatino Linotype"/>
          <w:sz w:val="24"/>
          <w:szCs w:val="24"/>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092A32D9" w14:textId="77777777" w:rsidR="00436676" w:rsidRPr="00A20BD9" w:rsidRDefault="00436676" w:rsidP="00436676">
      <w:pPr>
        <w:pBdr>
          <w:top w:val="nil"/>
          <w:left w:val="nil"/>
          <w:bottom w:val="nil"/>
          <w:right w:val="nil"/>
          <w:between w:val="nil"/>
        </w:pBdr>
        <w:spacing w:before="240" w:after="240" w:line="360" w:lineRule="auto"/>
        <w:ind w:right="51"/>
        <w:contextualSpacing/>
        <w:jc w:val="both"/>
        <w:rPr>
          <w:rFonts w:ascii="Palatino Linotype" w:hAnsi="Palatino Linotype"/>
          <w:sz w:val="24"/>
          <w:szCs w:val="24"/>
        </w:rPr>
      </w:pPr>
    </w:p>
    <w:p w14:paraId="32ED744B" w14:textId="77777777" w:rsidR="00436676" w:rsidRPr="00A20BD9" w:rsidRDefault="00436676" w:rsidP="00436676">
      <w:pPr>
        <w:pBdr>
          <w:top w:val="nil"/>
          <w:left w:val="nil"/>
          <w:bottom w:val="nil"/>
          <w:right w:val="nil"/>
          <w:between w:val="nil"/>
        </w:pBdr>
        <w:tabs>
          <w:tab w:val="left" w:pos="567"/>
          <w:tab w:val="left" w:pos="851"/>
        </w:tabs>
        <w:spacing w:before="240" w:after="240" w:line="360" w:lineRule="auto"/>
        <w:ind w:left="284" w:right="49"/>
        <w:contextualSpacing/>
        <w:jc w:val="both"/>
        <w:rPr>
          <w:rFonts w:ascii="Palatino Linotype" w:hAnsi="Palatino Linotype"/>
          <w:iCs/>
          <w:sz w:val="24"/>
          <w:szCs w:val="24"/>
        </w:rPr>
      </w:pPr>
      <w:r w:rsidRPr="00A20BD9">
        <w:rPr>
          <w:rFonts w:ascii="Palatino Linotype" w:hAnsi="Palatino Linotype"/>
          <w:sz w:val="24"/>
          <w:szCs w:val="24"/>
        </w:rPr>
        <w:t>•</w:t>
      </w:r>
      <w:r w:rsidRPr="00A20BD9">
        <w:rPr>
          <w:rFonts w:ascii="Palatino Linotype" w:hAnsi="Palatino Linotype"/>
          <w:sz w:val="24"/>
          <w:szCs w:val="24"/>
        </w:rPr>
        <w:tab/>
      </w:r>
      <w:r w:rsidRPr="00A20BD9">
        <w:rPr>
          <w:rFonts w:ascii="Palatino Linotype" w:hAnsi="Palatino Linotype"/>
          <w:iCs/>
          <w:sz w:val="24"/>
          <w:szCs w:val="24"/>
        </w:rPr>
        <w:t>Competencia: La capacidad de una autoridad para conocer sobre una materia o asunto.</w:t>
      </w:r>
    </w:p>
    <w:p w14:paraId="5A932355" w14:textId="77777777" w:rsidR="00436676" w:rsidRPr="00A20BD9" w:rsidRDefault="00436676" w:rsidP="00436676">
      <w:pPr>
        <w:pBdr>
          <w:top w:val="nil"/>
          <w:left w:val="nil"/>
          <w:bottom w:val="nil"/>
          <w:right w:val="nil"/>
          <w:between w:val="nil"/>
        </w:pBdr>
        <w:tabs>
          <w:tab w:val="left" w:pos="567"/>
          <w:tab w:val="left" w:pos="851"/>
        </w:tabs>
        <w:spacing w:before="240" w:after="240" w:line="360" w:lineRule="auto"/>
        <w:ind w:left="284" w:right="49"/>
        <w:contextualSpacing/>
        <w:jc w:val="both"/>
        <w:rPr>
          <w:rFonts w:ascii="Palatino Linotype" w:hAnsi="Palatino Linotype"/>
          <w:iCs/>
          <w:sz w:val="24"/>
          <w:szCs w:val="24"/>
        </w:rPr>
      </w:pPr>
      <w:r w:rsidRPr="00A20BD9">
        <w:rPr>
          <w:rFonts w:ascii="Palatino Linotype" w:hAnsi="Palatino Linotype"/>
          <w:iCs/>
          <w:sz w:val="24"/>
          <w:szCs w:val="24"/>
        </w:rPr>
        <w:t>•</w:t>
      </w:r>
      <w:r w:rsidRPr="00A20BD9">
        <w:rPr>
          <w:rFonts w:ascii="Palatino Linotype" w:hAnsi="Palatino Linotype"/>
          <w:iCs/>
          <w:sz w:val="24"/>
          <w:szCs w:val="24"/>
        </w:rPr>
        <w:tab/>
        <w:t>Incompetencia: Falta de Competencia.</w:t>
      </w:r>
    </w:p>
    <w:p w14:paraId="59BF55A9" w14:textId="77777777" w:rsidR="00436676" w:rsidRPr="00A20BD9" w:rsidRDefault="00436676" w:rsidP="00436676">
      <w:pPr>
        <w:pBdr>
          <w:top w:val="nil"/>
          <w:left w:val="nil"/>
          <w:bottom w:val="nil"/>
          <w:right w:val="nil"/>
          <w:between w:val="nil"/>
        </w:pBdr>
        <w:tabs>
          <w:tab w:val="left" w:pos="567"/>
          <w:tab w:val="left" w:pos="851"/>
        </w:tabs>
        <w:spacing w:before="240" w:after="240" w:line="360" w:lineRule="auto"/>
        <w:ind w:left="284" w:right="49"/>
        <w:contextualSpacing/>
        <w:jc w:val="both"/>
        <w:rPr>
          <w:rFonts w:ascii="Palatino Linotype" w:hAnsi="Palatino Linotype"/>
          <w:iCs/>
          <w:sz w:val="24"/>
          <w:szCs w:val="24"/>
        </w:rPr>
      </w:pPr>
    </w:p>
    <w:p w14:paraId="1C460FCF" w14:textId="77777777" w:rsidR="00436676" w:rsidRPr="00A20BD9" w:rsidRDefault="00436676" w:rsidP="00436676">
      <w:pPr>
        <w:pBdr>
          <w:top w:val="nil"/>
          <w:left w:val="nil"/>
          <w:bottom w:val="nil"/>
          <w:right w:val="nil"/>
          <w:between w:val="nil"/>
        </w:pBdr>
        <w:spacing w:line="360" w:lineRule="auto"/>
        <w:ind w:right="49"/>
        <w:contextualSpacing/>
        <w:jc w:val="both"/>
        <w:rPr>
          <w:rFonts w:ascii="Palatino Linotype" w:hAnsi="Palatino Linotype"/>
          <w:sz w:val="24"/>
          <w:szCs w:val="24"/>
        </w:rPr>
      </w:pPr>
      <w:r w:rsidRPr="00A20BD9">
        <w:rPr>
          <w:rFonts w:ascii="Palatino Linotype" w:hAnsi="Palatino Linotype"/>
          <w:sz w:val="24"/>
          <w:szCs w:val="24"/>
        </w:rPr>
        <w:t xml:space="preserve">Por lo que, la incompetencia radica en la incapacidad de una autoridad para conocer de un tema o asunto; en el mismo sentido, conviene traer a cuenta tesis aislada </w:t>
      </w:r>
      <w:r w:rsidRPr="00A20BD9">
        <w:rPr>
          <w:rFonts w:ascii="Palatino Linotype" w:hAnsi="Palatino Linotype"/>
          <w:sz w:val="24"/>
          <w:szCs w:val="24"/>
        </w:rPr>
        <w:lastRenderedPageBreak/>
        <w:t xml:space="preserve">número III.2o.P.11 K, publicada en el Semanario Judicial de la Federación y su Gaceta, Novena Época, Tomo XV, Mayo de 2002, Pág. 1243, ya que precisa lo siguiente: </w:t>
      </w:r>
    </w:p>
    <w:p w14:paraId="46D942C1" w14:textId="77777777" w:rsidR="00436676" w:rsidRPr="00A20BD9" w:rsidRDefault="00436676" w:rsidP="00436676">
      <w:pPr>
        <w:pBdr>
          <w:top w:val="nil"/>
          <w:left w:val="nil"/>
          <w:bottom w:val="nil"/>
          <w:right w:val="nil"/>
          <w:between w:val="nil"/>
        </w:pBdr>
        <w:spacing w:line="360" w:lineRule="auto"/>
        <w:ind w:right="49"/>
        <w:contextualSpacing/>
        <w:jc w:val="both"/>
        <w:rPr>
          <w:rFonts w:ascii="Palatino Linotype" w:hAnsi="Palatino Linotype"/>
          <w:sz w:val="24"/>
          <w:szCs w:val="24"/>
        </w:rPr>
      </w:pPr>
    </w:p>
    <w:p w14:paraId="17E2B5B1" w14:textId="77777777" w:rsidR="00436676" w:rsidRPr="00A20BD9" w:rsidRDefault="00436676" w:rsidP="00436676">
      <w:pPr>
        <w:pBdr>
          <w:top w:val="nil"/>
          <w:left w:val="nil"/>
          <w:bottom w:val="nil"/>
          <w:right w:val="nil"/>
          <w:between w:val="nil"/>
        </w:pBdr>
        <w:spacing w:before="120" w:after="120"/>
        <w:ind w:left="851" w:right="851"/>
        <w:jc w:val="both"/>
        <w:rPr>
          <w:rFonts w:ascii="Palatino Linotype" w:hAnsi="Palatino Linotype"/>
          <w:i/>
        </w:rPr>
      </w:pPr>
      <w:r w:rsidRPr="00A20BD9">
        <w:rPr>
          <w:rFonts w:ascii="Palatino Linotype" w:hAnsi="Palatino Linotype"/>
          <w:i/>
        </w:rPr>
        <w:t>“</w:t>
      </w:r>
      <w:r w:rsidRPr="00A20BD9">
        <w:rPr>
          <w:rFonts w:ascii="Palatino Linotype" w:hAnsi="Palatino Linotype"/>
          <w:b/>
          <w:bCs/>
          <w:i/>
        </w:rPr>
        <w:t>LEGITIMACIÓN DE FUNCIONARIOS PÚBLICOS. LOS TRIBUNALES DE AMPARO, POR ESTAR VINCULADOS CON EL CONCEPTO DE COMPETENCIA A QUE SE REFIERE EL ARTÍCULO 16 CONSTITUCIONAL, NO PUEDEN CONOCER DE AQUÉLLA.</w:t>
      </w:r>
      <w:r w:rsidRPr="00A20BD9">
        <w:rPr>
          <w:rFonts w:ascii="Palatino Linotype" w:hAnsi="Palatino Linotype"/>
          <w:i/>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F60F707" w14:textId="77777777" w:rsidR="00436676" w:rsidRPr="00A20BD9" w:rsidRDefault="00436676" w:rsidP="00436676">
      <w:pPr>
        <w:pBdr>
          <w:top w:val="nil"/>
          <w:left w:val="nil"/>
          <w:bottom w:val="nil"/>
          <w:right w:val="nil"/>
          <w:between w:val="nil"/>
        </w:pBdr>
        <w:spacing w:before="120" w:after="120"/>
        <w:ind w:left="851" w:right="851"/>
        <w:jc w:val="both"/>
        <w:rPr>
          <w:rFonts w:ascii="Palatino Linotype" w:hAnsi="Palatino Linotype"/>
          <w:i/>
        </w:rPr>
      </w:pPr>
    </w:p>
    <w:p w14:paraId="75F1BC6E" w14:textId="77777777" w:rsidR="00436676" w:rsidRPr="00A20BD9" w:rsidRDefault="00436676" w:rsidP="00436676">
      <w:pPr>
        <w:pBdr>
          <w:top w:val="nil"/>
          <w:left w:val="nil"/>
          <w:bottom w:val="nil"/>
          <w:right w:val="nil"/>
          <w:between w:val="nil"/>
        </w:pBdr>
        <w:spacing w:line="360" w:lineRule="auto"/>
        <w:ind w:right="49"/>
        <w:contextualSpacing/>
        <w:jc w:val="both"/>
        <w:rPr>
          <w:rFonts w:ascii="Palatino Linotype" w:hAnsi="Palatino Linotype"/>
          <w:sz w:val="24"/>
        </w:rPr>
      </w:pPr>
      <w:r w:rsidRPr="00A20BD9">
        <w:rPr>
          <w:rFonts w:ascii="Palatino Linotype" w:hAnsi="Palatino Linotype"/>
          <w:sz w:val="24"/>
        </w:rPr>
        <w:t xml:space="preserve">Asimismo, resulta necesario traer a colación, el Criterio 13/17, emitido por el Instituto Nacional de Transparencia, Acceso a la Información y Protección de Datos Personales, que dispone lo siguiente: </w:t>
      </w:r>
    </w:p>
    <w:p w14:paraId="55D6AF96" w14:textId="77777777" w:rsidR="00FC7DD1" w:rsidRPr="00A20BD9" w:rsidRDefault="00FC7DD1">
      <w:pPr>
        <w:spacing w:after="0" w:line="360" w:lineRule="auto"/>
        <w:jc w:val="both"/>
        <w:rPr>
          <w:rFonts w:ascii="Palatino Linotype" w:eastAsia="Palatino Linotype" w:hAnsi="Palatino Linotype" w:cs="Palatino Linotype"/>
        </w:rPr>
      </w:pPr>
    </w:p>
    <w:p w14:paraId="281AEF6D" w14:textId="77777777" w:rsidR="00FC7DD1" w:rsidRPr="00A20BD9" w:rsidRDefault="00436676">
      <w:pPr>
        <w:spacing w:after="0" w:line="276" w:lineRule="auto"/>
        <w:ind w:left="851" w:right="851"/>
        <w:jc w:val="both"/>
        <w:rPr>
          <w:rFonts w:ascii="Palatino Linotype" w:eastAsia="Palatino Linotype" w:hAnsi="Palatino Linotype" w:cs="Palatino Linotype"/>
          <w:i/>
        </w:rPr>
      </w:pPr>
      <w:r w:rsidRPr="00A20BD9">
        <w:rPr>
          <w:rFonts w:ascii="Palatino Linotype" w:eastAsia="Palatino Linotype" w:hAnsi="Palatino Linotype" w:cs="Palatino Linotype"/>
          <w:b/>
          <w:i/>
        </w:rPr>
        <w:t>“Incompetencia.</w:t>
      </w:r>
      <w:r w:rsidRPr="00A20BD9">
        <w:rPr>
          <w:rFonts w:ascii="Palatino Linotype" w:eastAsia="Palatino Linotype" w:hAnsi="Palatino Linotype" w:cs="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C5FEB96" w14:textId="77777777" w:rsidR="00FC7DD1" w:rsidRPr="00A20BD9" w:rsidRDefault="00FC7DD1">
      <w:pPr>
        <w:widowControl w:val="0"/>
        <w:tabs>
          <w:tab w:val="left" w:pos="1276"/>
        </w:tabs>
        <w:spacing w:after="0" w:line="360" w:lineRule="auto"/>
        <w:jc w:val="both"/>
        <w:rPr>
          <w:rFonts w:ascii="Palatino Linotype" w:eastAsia="Palatino Linotype" w:hAnsi="Palatino Linotype" w:cs="Palatino Linotype"/>
          <w:sz w:val="24"/>
          <w:szCs w:val="24"/>
        </w:rPr>
      </w:pPr>
    </w:p>
    <w:p w14:paraId="76DD9BC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 xml:space="preserve">En tal virtud, la </w:t>
      </w:r>
      <w:r w:rsidRPr="00A20BD9">
        <w:rPr>
          <w:rFonts w:ascii="Palatino Linotype" w:eastAsia="Palatino Linotype" w:hAnsi="Palatino Linotype" w:cs="Palatino Linotype"/>
          <w:b/>
          <w:sz w:val="24"/>
          <w:szCs w:val="24"/>
        </w:rPr>
        <w:t xml:space="preserve">incompetencia </w:t>
      </w:r>
      <w:r w:rsidRPr="00A20BD9">
        <w:rPr>
          <w:rFonts w:ascii="Palatino Linotype" w:eastAsia="Palatino Linotype" w:hAnsi="Palatino Linotype" w:cs="Palatino Linotype"/>
          <w:sz w:val="24"/>
          <w:szCs w:val="24"/>
        </w:rPr>
        <w:t>implica que, de conformidad con las atribuciones conferidas al sujeto obligado, no habría razón por la cual este deba contar con la información solicitada, en cuyo caso, tendría que orientar al particular para que acuda a la instancia competente.</w:t>
      </w:r>
    </w:p>
    <w:p w14:paraId="2EAEFE29"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0A5939F3" w14:textId="77777777" w:rsidR="00FC7DD1" w:rsidRPr="00A20BD9" w:rsidRDefault="00436676">
      <w:pPr>
        <w:tabs>
          <w:tab w:val="left" w:pos="142"/>
          <w:tab w:val="left" w:pos="284"/>
        </w:tabs>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Ahora bien, en cuanto hace a la Declaración de Incompetencia la Ley de Transparencia y Acceso a la Información Pública del Estado de México, establece, en los artículos 49, fracción II y 167, lo siguiente: </w:t>
      </w:r>
    </w:p>
    <w:p w14:paraId="1C10C498" w14:textId="77777777" w:rsidR="00FC7DD1" w:rsidRPr="00A20BD9" w:rsidRDefault="00FC7DD1">
      <w:pPr>
        <w:tabs>
          <w:tab w:val="left" w:pos="142"/>
          <w:tab w:val="left" w:pos="284"/>
        </w:tabs>
        <w:spacing w:line="360" w:lineRule="auto"/>
        <w:jc w:val="both"/>
        <w:rPr>
          <w:rFonts w:ascii="Palatino Linotype" w:eastAsia="Palatino Linotype" w:hAnsi="Palatino Linotype" w:cs="Palatino Linotype"/>
        </w:rPr>
      </w:pPr>
    </w:p>
    <w:p w14:paraId="4A52C03A" w14:textId="77777777" w:rsidR="00FC7DD1" w:rsidRPr="00A20BD9" w:rsidRDefault="00436676">
      <w:pPr>
        <w:tabs>
          <w:tab w:val="left" w:pos="142"/>
          <w:tab w:val="left" w:pos="284"/>
        </w:tabs>
        <w:spacing w:line="276" w:lineRule="auto"/>
        <w:ind w:left="567" w:right="990"/>
        <w:jc w:val="both"/>
        <w:rPr>
          <w:rFonts w:ascii="Palatino Linotype" w:eastAsia="Palatino Linotype" w:hAnsi="Palatino Linotype" w:cs="Palatino Linotype"/>
          <w:i/>
        </w:rPr>
      </w:pPr>
      <w:r w:rsidRPr="00A20BD9">
        <w:rPr>
          <w:rFonts w:ascii="Palatino Linotype" w:eastAsia="Palatino Linotype" w:hAnsi="Palatino Linotype" w:cs="Palatino Linotype"/>
          <w:i/>
        </w:rPr>
        <w:t>“</w:t>
      </w:r>
      <w:r w:rsidRPr="00A20BD9">
        <w:rPr>
          <w:rFonts w:ascii="Palatino Linotype" w:eastAsia="Palatino Linotype" w:hAnsi="Palatino Linotype" w:cs="Palatino Linotype"/>
          <w:b/>
          <w:i/>
        </w:rPr>
        <w:t>Artículo 49.</w:t>
      </w:r>
      <w:r w:rsidRPr="00A20BD9">
        <w:rPr>
          <w:rFonts w:ascii="Palatino Linotype" w:eastAsia="Palatino Linotype" w:hAnsi="Palatino Linotype" w:cs="Palatino Linotype"/>
          <w:i/>
        </w:rPr>
        <w:t xml:space="preserve"> </w:t>
      </w:r>
      <w:r w:rsidRPr="00A20BD9">
        <w:rPr>
          <w:rFonts w:ascii="Palatino Linotype" w:eastAsia="Palatino Linotype" w:hAnsi="Palatino Linotype" w:cs="Palatino Linotype"/>
          <w:b/>
          <w:i/>
        </w:rPr>
        <w:t>Los Comités de Transparencia</w:t>
      </w:r>
      <w:r w:rsidRPr="00A20BD9">
        <w:rPr>
          <w:rFonts w:ascii="Palatino Linotype" w:eastAsia="Palatino Linotype" w:hAnsi="Palatino Linotype" w:cs="Palatino Linotype"/>
          <w:i/>
        </w:rPr>
        <w:t xml:space="preserve"> tendrán las siguientes atribuciones:</w:t>
      </w:r>
    </w:p>
    <w:p w14:paraId="63A55612" w14:textId="77777777" w:rsidR="00FC7DD1" w:rsidRPr="00A20BD9" w:rsidRDefault="00436676">
      <w:pPr>
        <w:tabs>
          <w:tab w:val="left" w:pos="142"/>
          <w:tab w:val="left" w:pos="284"/>
        </w:tabs>
        <w:spacing w:line="276" w:lineRule="auto"/>
        <w:ind w:left="567" w:right="990"/>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w:t>
      </w:r>
    </w:p>
    <w:p w14:paraId="58E3EB0C" w14:textId="77777777" w:rsidR="00FC7DD1" w:rsidRPr="00A20BD9" w:rsidRDefault="00436676">
      <w:pPr>
        <w:tabs>
          <w:tab w:val="left" w:pos="142"/>
          <w:tab w:val="left" w:pos="284"/>
        </w:tabs>
        <w:spacing w:line="276" w:lineRule="auto"/>
        <w:ind w:left="567" w:right="990"/>
        <w:jc w:val="both"/>
        <w:rPr>
          <w:rFonts w:ascii="Palatino Linotype" w:eastAsia="Palatino Linotype" w:hAnsi="Palatino Linotype" w:cs="Palatino Linotype"/>
          <w:b/>
          <w:i/>
          <w:u w:val="single"/>
        </w:rPr>
      </w:pPr>
      <w:r w:rsidRPr="00A20BD9">
        <w:rPr>
          <w:rFonts w:ascii="Palatino Linotype" w:eastAsia="Palatino Linotype" w:hAnsi="Palatino Linotype" w:cs="Palatino Linotype"/>
          <w:b/>
          <w:i/>
        </w:rPr>
        <w:t>II.</w:t>
      </w:r>
      <w:r w:rsidRPr="00A20BD9">
        <w:t xml:space="preserve"> </w:t>
      </w:r>
      <w:r w:rsidRPr="00A20BD9">
        <w:rPr>
          <w:rFonts w:ascii="Palatino Linotype" w:eastAsia="Palatino Linotype" w:hAnsi="Palatino Linotype" w:cs="Palatino Linotype"/>
          <w:b/>
          <w:i/>
        </w:rPr>
        <w:t>Confirmar, modificar o revocar</w:t>
      </w:r>
      <w:r w:rsidRPr="00A20BD9">
        <w:rPr>
          <w:rFonts w:ascii="Palatino Linotype" w:eastAsia="Palatino Linotype" w:hAnsi="Palatino Linotype" w:cs="Palatino Linotype"/>
          <w:i/>
        </w:rPr>
        <w:t xml:space="preserve"> las determinaciones que en materia de ampliación del plazo de respuesta, clasificación de la información </w:t>
      </w:r>
      <w:r w:rsidRPr="00A20BD9">
        <w:rPr>
          <w:rFonts w:ascii="Palatino Linotype" w:eastAsia="Palatino Linotype" w:hAnsi="Palatino Linotype" w:cs="Palatino Linotype"/>
          <w:b/>
          <w:i/>
        </w:rPr>
        <w:t>y declaración</w:t>
      </w:r>
      <w:r w:rsidRPr="00A20BD9">
        <w:rPr>
          <w:rFonts w:ascii="Palatino Linotype" w:eastAsia="Palatino Linotype" w:hAnsi="Palatino Linotype" w:cs="Palatino Linotype"/>
          <w:i/>
        </w:rPr>
        <w:t xml:space="preserve"> de inexistencia o </w:t>
      </w:r>
      <w:r w:rsidRPr="00A20BD9">
        <w:rPr>
          <w:rFonts w:ascii="Palatino Linotype" w:eastAsia="Palatino Linotype" w:hAnsi="Palatino Linotype" w:cs="Palatino Linotype"/>
          <w:b/>
          <w:i/>
        </w:rPr>
        <w:t>de incompetencia realicen los titulares de las áreas de los sujetos obligados;</w:t>
      </w:r>
    </w:p>
    <w:p w14:paraId="3ABD0486" w14:textId="77777777" w:rsidR="00FC7DD1" w:rsidRPr="00A20BD9" w:rsidRDefault="00436676">
      <w:pPr>
        <w:tabs>
          <w:tab w:val="left" w:pos="142"/>
          <w:tab w:val="left" w:pos="284"/>
        </w:tabs>
        <w:spacing w:line="276" w:lineRule="auto"/>
        <w:ind w:left="567" w:right="990"/>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w:t>
      </w:r>
    </w:p>
    <w:p w14:paraId="0063685E" w14:textId="77777777" w:rsidR="00FC7DD1" w:rsidRPr="00A20BD9" w:rsidRDefault="00436676">
      <w:pPr>
        <w:tabs>
          <w:tab w:val="left" w:pos="142"/>
          <w:tab w:val="left" w:pos="284"/>
        </w:tabs>
        <w:spacing w:line="276" w:lineRule="auto"/>
        <w:ind w:left="567" w:right="990"/>
        <w:jc w:val="both"/>
        <w:rPr>
          <w:rFonts w:ascii="Palatino Linotype" w:eastAsia="Palatino Linotype" w:hAnsi="Palatino Linotype" w:cs="Palatino Linotype"/>
          <w:b/>
          <w:i/>
        </w:rPr>
      </w:pPr>
      <w:r w:rsidRPr="00A20BD9">
        <w:rPr>
          <w:rFonts w:ascii="Palatino Linotype" w:eastAsia="Palatino Linotype" w:hAnsi="Palatino Linotype" w:cs="Palatino Linotype"/>
          <w:b/>
          <w:i/>
        </w:rPr>
        <w:t>Artículo 167</w:t>
      </w:r>
      <w:r w:rsidRPr="00A20BD9">
        <w:rPr>
          <w:rFonts w:ascii="Palatino Linotype" w:eastAsia="Palatino Linotype" w:hAnsi="Palatino Linotype" w:cs="Palatino Linotype"/>
          <w:i/>
        </w:rPr>
        <w:t xml:space="preserve">. </w:t>
      </w:r>
      <w:r w:rsidRPr="00A20BD9">
        <w:rPr>
          <w:rFonts w:ascii="Palatino Linotype" w:eastAsia="Palatino Linotype" w:hAnsi="Palatino Linotype" w:cs="Palatino Linotype"/>
          <w:b/>
          <w:i/>
        </w:rPr>
        <w:t>Cuando las unidades de transparencia determinen la notoria incompetencia</w:t>
      </w:r>
      <w:r w:rsidRPr="00A20BD9">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A20BD9">
        <w:rPr>
          <w:rFonts w:ascii="Palatino Linotype" w:eastAsia="Palatino Linotype" w:hAnsi="Palatino Linotype" w:cs="Palatino Linotype"/>
          <w:b/>
          <w:i/>
        </w:rPr>
        <w:t>deberán comunicarlo al solicitante, dentro de los tres días hábiles posteriores a la recepción de la solicitud</w:t>
      </w:r>
      <w:r w:rsidRPr="00A20BD9">
        <w:rPr>
          <w:rFonts w:ascii="Palatino Linotype" w:eastAsia="Palatino Linotype" w:hAnsi="Palatino Linotype" w:cs="Palatino Linotype"/>
          <w:i/>
        </w:rPr>
        <w:t xml:space="preserve"> y, </w:t>
      </w:r>
      <w:r w:rsidRPr="00A20BD9">
        <w:rPr>
          <w:rFonts w:ascii="Palatino Linotype" w:eastAsia="Palatino Linotype" w:hAnsi="Palatino Linotype" w:cs="Palatino Linotype"/>
          <w:b/>
          <w:i/>
        </w:rPr>
        <w:t>en su caso orientar al solicitante, el o los sujetos obligados competentes.</w:t>
      </w:r>
    </w:p>
    <w:p w14:paraId="00A78FE8" w14:textId="77777777" w:rsidR="00FC7DD1" w:rsidRPr="00A20BD9" w:rsidRDefault="00FC7DD1">
      <w:pPr>
        <w:tabs>
          <w:tab w:val="left" w:pos="142"/>
          <w:tab w:val="left" w:pos="284"/>
        </w:tabs>
        <w:spacing w:after="0" w:line="360" w:lineRule="auto"/>
        <w:ind w:left="567" w:right="990"/>
        <w:jc w:val="both"/>
        <w:rPr>
          <w:rFonts w:ascii="Palatino Linotype" w:eastAsia="Palatino Linotype" w:hAnsi="Palatino Linotype" w:cs="Palatino Linotype"/>
          <w:b/>
          <w:i/>
          <w:sz w:val="24"/>
          <w:szCs w:val="24"/>
        </w:rPr>
      </w:pPr>
    </w:p>
    <w:p w14:paraId="37485BC6" w14:textId="77777777" w:rsidR="00FC7DD1" w:rsidRPr="00A20BD9" w:rsidRDefault="00436676">
      <w:pPr>
        <w:tabs>
          <w:tab w:val="left" w:pos="142"/>
          <w:tab w:val="left" w:pos="284"/>
        </w:tabs>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lastRenderedPageBreak/>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6DF58E62" w14:textId="77777777" w:rsidR="00FC7DD1" w:rsidRPr="00A20BD9" w:rsidRDefault="00FC7DD1">
      <w:pPr>
        <w:tabs>
          <w:tab w:val="left" w:pos="142"/>
          <w:tab w:val="left" w:pos="284"/>
        </w:tabs>
        <w:spacing w:after="0" w:line="360" w:lineRule="auto"/>
        <w:jc w:val="both"/>
        <w:rPr>
          <w:rFonts w:ascii="Palatino Linotype" w:eastAsia="Palatino Linotype" w:hAnsi="Palatino Linotype" w:cs="Palatino Linotype"/>
          <w:sz w:val="24"/>
          <w:szCs w:val="24"/>
        </w:rPr>
      </w:pPr>
    </w:p>
    <w:p w14:paraId="006447C2" w14:textId="77777777" w:rsidR="00FC7DD1" w:rsidRPr="00A20BD9" w:rsidRDefault="00436676">
      <w:pPr>
        <w:spacing w:after="0" w:line="360" w:lineRule="auto"/>
        <w:ind w:right="18"/>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Como sustento de lo anterior, resulta aplicable el Criterio 20/20, emitido por el Instituto Nacional de Transparencia, Acceso a la Información, y Protección de Datos Personales, INAI, que lleva por rubro y texto los siguientes:  </w:t>
      </w:r>
    </w:p>
    <w:p w14:paraId="22217E39" w14:textId="77777777" w:rsidR="00FC7DD1" w:rsidRPr="00A20BD9" w:rsidRDefault="00FC7DD1">
      <w:pPr>
        <w:spacing w:after="0" w:line="360" w:lineRule="auto"/>
        <w:ind w:left="851" w:right="900"/>
        <w:jc w:val="both"/>
        <w:rPr>
          <w:rFonts w:ascii="Palatino Linotype" w:eastAsia="Palatino Linotype" w:hAnsi="Palatino Linotype" w:cs="Palatino Linotype"/>
          <w:b/>
          <w:i/>
          <w:sz w:val="24"/>
          <w:szCs w:val="24"/>
        </w:rPr>
      </w:pPr>
    </w:p>
    <w:p w14:paraId="79F412A4" w14:textId="77777777" w:rsidR="00FC7DD1" w:rsidRPr="00A20BD9" w:rsidRDefault="00436676">
      <w:pPr>
        <w:spacing w:line="276" w:lineRule="auto"/>
        <w:ind w:left="567" w:right="900"/>
        <w:jc w:val="both"/>
        <w:rPr>
          <w:rFonts w:ascii="Palatino Linotype" w:eastAsia="Palatino Linotype" w:hAnsi="Palatino Linotype" w:cs="Palatino Linotype"/>
          <w:i/>
        </w:rPr>
      </w:pPr>
      <w:r w:rsidRPr="00A20BD9">
        <w:rPr>
          <w:rFonts w:ascii="Palatino Linotype" w:eastAsia="Palatino Linotype" w:hAnsi="Palatino Linotype" w:cs="Palatino Linotype"/>
          <w:b/>
          <w:i/>
        </w:rPr>
        <w:t>“Declaración de incompetencia por parte del Comité, cuando no sea notoria o manifiesta.</w:t>
      </w:r>
      <w:r w:rsidRPr="00A20BD9">
        <w:rPr>
          <w:rFonts w:ascii="Palatino Linotype" w:eastAsia="Palatino Linotype" w:hAnsi="Palatino Linotype" w:cs="Palatino Linotype"/>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37C262D" w14:textId="77777777" w:rsidR="00FC7DD1" w:rsidRPr="00A20BD9" w:rsidRDefault="00FC7DD1">
      <w:pPr>
        <w:spacing w:line="276" w:lineRule="auto"/>
        <w:ind w:left="567" w:right="900"/>
        <w:jc w:val="both"/>
        <w:rPr>
          <w:rFonts w:ascii="Palatino Linotype" w:eastAsia="Palatino Linotype" w:hAnsi="Palatino Linotype" w:cs="Palatino Linotype"/>
          <w:i/>
          <w:sz w:val="24"/>
          <w:szCs w:val="24"/>
        </w:rPr>
      </w:pPr>
    </w:p>
    <w:p w14:paraId="6CD144EB" w14:textId="77777777" w:rsidR="00FC7DD1" w:rsidRPr="00A20BD9" w:rsidRDefault="00436676">
      <w:pPr>
        <w:tabs>
          <w:tab w:val="left" w:pos="142"/>
          <w:tab w:val="left" w:pos="284"/>
        </w:tabs>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20BD9">
        <w:rPr>
          <w:rFonts w:ascii="Palatino Linotype" w:eastAsia="Palatino Linotype" w:hAnsi="Palatino Linotype" w:cs="Palatino Linotype"/>
          <w:b/>
          <w:sz w:val="24"/>
          <w:szCs w:val="24"/>
        </w:rPr>
        <w:t xml:space="preserve"> </w:t>
      </w:r>
      <w:r w:rsidRPr="00A20BD9">
        <w:rPr>
          <w:rFonts w:ascii="Palatino Linotype" w:eastAsia="Palatino Linotype" w:hAnsi="Palatino Linotype" w:cs="Palatino Linotype"/>
          <w:sz w:val="24"/>
          <w:szCs w:val="24"/>
        </w:rPr>
        <w:t>duda razonable sobre la administración del documento materia de la solicitud de información, como se lee enseguida:</w:t>
      </w:r>
    </w:p>
    <w:p w14:paraId="334DCA88" w14:textId="77777777" w:rsidR="00FC7DD1" w:rsidRPr="00A20BD9" w:rsidRDefault="00FC7DD1">
      <w:pPr>
        <w:tabs>
          <w:tab w:val="left" w:pos="142"/>
          <w:tab w:val="left" w:pos="284"/>
        </w:tabs>
        <w:spacing w:after="0" w:line="360" w:lineRule="auto"/>
        <w:jc w:val="both"/>
        <w:rPr>
          <w:rFonts w:ascii="Palatino Linotype" w:eastAsia="Palatino Linotype" w:hAnsi="Palatino Linotype" w:cs="Palatino Linotype"/>
          <w:sz w:val="24"/>
          <w:szCs w:val="24"/>
        </w:rPr>
      </w:pPr>
    </w:p>
    <w:p w14:paraId="4A5F9142" w14:textId="77777777" w:rsidR="00FC7DD1" w:rsidRPr="00A20BD9" w:rsidRDefault="00436676">
      <w:pPr>
        <w:spacing w:after="0" w:line="276" w:lineRule="auto"/>
        <w:ind w:left="567" w:right="618"/>
        <w:contextualSpacing/>
        <w:jc w:val="both"/>
        <w:rPr>
          <w:rFonts w:ascii="Palatino Linotype" w:eastAsia="Palatino Linotype" w:hAnsi="Palatino Linotype" w:cs="Palatino Linotype"/>
          <w:i/>
        </w:rPr>
      </w:pPr>
      <w:r w:rsidRPr="00A20BD9">
        <w:rPr>
          <w:rFonts w:ascii="Palatino Linotype" w:eastAsia="Palatino Linotype" w:hAnsi="Palatino Linotype" w:cs="Palatino Linotype"/>
          <w:b/>
          <w:i/>
        </w:rPr>
        <w:lastRenderedPageBreak/>
        <w:t xml:space="preserve">“DECLARATORIA DE INCOMPETENCIA DEL SUJETO OBLIGADO. SUPUESTO PARA CONFIRMARLA POR ACUERDO DEL COMITÉ DE TRANSPARENCIA. </w:t>
      </w:r>
      <w:r w:rsidRPr="00A20BD9">
        <w:rPr>
          <w:rFonts w:ascii="Palatino Linotype" w:eastAsia="Palatino Linotype" w:hAnsi="Palatino Linotype" w:cs="Palatino Linotype"/>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20BD9">
        <w:rPr>
          <w:rFonts w:ascii="Palatino Linotype" w:eastAsia="Palatino Linotype" w:hAnsi="Palatino Linotype" w:cs="Palatino Linotype"/>
          <w:b/>
          <w:i/>
        </w:rPr>
        <w:t xml:space="preserve">al ejercer el derecho de acceso a la información pública cabe la posibilidad de que existan atribuciones concurrentes entre dos o más Sujetos Obligados que </w:t>
      </w:r>
      <w:r w:rsidRPr="00A20BD9">
        <w:rPr>
          <w:rFonts w:ascii="Palatino Linotype" w:eastAsia="Palatino Linotype" w:hAnsi="Palatino Linotype" w:cs="Palatino Linotype"/>
          <w:b/>
          <w:i/>
          <w:u w:val="single"/>
        </w:rPr>
        <w:t>impiden determinar dentro del término legal de tres días hábiles</w:t>
      </w:r>
      <w:r w:rsidRPr="00A20BD9">
        <w:rPr>
          <w:rFonts w:ascii="Palatino Linotype" w:eastAsia="Palatino Linotype" w:hAnsi="Palatino Linotype" w:cs="Palatino Linotype"/>
          <w:b/>
          <w:i/>
        </w:rPr>
        <w:t>, si se posee o no la información por el Sujeto Obligado requerid</w:t>
      </w:r>
      <w:r w:rsidRPr="00A20BD9">
        <w:rPr>
          <w:rFonts w:ascii="Palatino Linotype" w:eastAsia="Palatino Linotype" w:hAnsi="Palatino Linotype" w:cs="Palatino Linotype"/>
          <w:i/>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F546040"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2FD57D4" w14:textId="77777777" w:rsidR="00FC7DD1" w:rsidRPr="00A20BD9" w:rsidRDefault="00436676">
      <w:pPr>
        <w:spacing w:after="0" w:line="360" w:lineRule="auto"/>
        <w:jc w:val="both"/>
        <w:rPr>
          <w:rFonts w:ascii="Palatino Linotype" w:eastAsia="Palatino Linotype" w:hAnsi="Palatino Linotype" w:cs="Palatino Linotype"/>
          <w:b/>
          <w:sz w:val="24"/>
          <w:szCs w:val="24"/>
          <w:u w:val="single"/>
        </w:rPr>
      </w:pPr>
      <w:r w:rsidRPr="00A20BD9">
        <w:rPr>
          <w:rFonts w:ascii="Palatino Linotype" w:eastAsia="Palatino Linotype" w:hAnsi="Palatino Linotype" w:cs="Palatino Linotype"/>
          <w:sz w:val="24"/>
          <w:szCs w:val="24"/>
        </w:rPr>
        <w:t xml:space="preserve">En lo que respecta al presente asunto, se advierte que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declinó su competencia mediante informe justificado, es decir, es por lo que, </w:t>
      </w:r>
      <w:r w:rsidRPr="00A20BD9">
        <w:rPr>
          <w:rFonts w:ascii="Palatino Linotype" w:eastAsia="Palatino Linotype" w:hAnsi="Palatino Linotype" w:cs="Palatino Linotype"/>
          <w:b/>
          <w:sz w:val="24"/>
          <w:szCs w:val="24"/>
          <w:u w:val="single"/>
        </w:rPr>
        <w:t>al no haber cumplido con el plazo de tres días</w:t>
      </w:r>
      <w:r w:rsidRPr="00A20BD9">
        <w:rPr>
          <w:rFonts w:ascii="Palatino Linotype" w:eastAsia="Palatino Linotype" w:hAnsi="Palatino Linotype" w:cs="Palatino Linotype"/>
          <w:sz w:val="24"/>
          <w:szCs w:val="24"/>
        </w:rPr>
        <w:t xml:space="preserve"> que otorga la Ley en la materia para señalar su falta de atribuciones, competencias y funciones para generar y </w:t>
      </w:r>
      <w:r w:rsidRPr="00A20BD9">
        <w:rPr>
          <w:rFonts w:ascii="Palatino Linotype" w:eastAsia="Palatino Linotype" w:hAnsi="Palatino Linotype" w:cs="Palatino Linotype"/>
          <w:sz w:val="24"/>
          <w:szCs w:val="24"/>
        </w:rPr>
        <w:lastRenderedPageBreak/>
        <w:t xml:space="preserve">administrar lo solicitado, </w:t>
      </w:r>
      <w:r w:rsidRPr="00A20BD9">
        <w:rPr>
          <w:rFonts w:ascii="Palatino Linotype" w:eastAsia="Palatino Linotype" w:hAnsi="Palatino Linotype" w:cs="Palatino Linotype"/>
          <w:b/>
          <w:sz w:val="24"/>
          <w:szCs w:val="24"/>
          <w:u w:val="single"/>
        </w:rPr>
        <w:t xml:space="preserve">resulta procedente ordenar una declaratoria formal de incompetencia. </w:t>
      </w:r>
    </w:p>
    <w:p w14:paraId="7C1F6562" w14:textId="77777777" w:rsidR="00FC7DD1" w:rsidRPr="00A20BD9" w:rsidRDefault="00FC7DD1">
      <w:pPr>
        <w:tabs>
          <w:tab w:val="left" w:pos="709"/>
        </w:tabs>
        <w:spacing w:after="0" w:line="360" w:lineRule="auto"/>
        <w:ind w:right="51"/>
        <w:jc w:val="both"/>
        <w:rPr>
          <w:rFonts w:ascii="Palatino Linotype" w:eastAsia="Palatino Linotype" w:hAnsi="Palatino Linotype" w:cs="Palatino Linotype"/>
          <w:sz w:val="24"/>
          <w:szCs w:val="24"/>
        </w:rPr>
      </w:pPr>
    </w:p>
    <w:p w14:paraId="5B816D1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Por lo tanto, en mérito de lo expuesto en líneas anteriores, con fundamento en la fracción III, del artículo 186, de la Ley de Transparencia y Acceso a la Información Pública del Estado de México y Municipios, se </w:t>
      </w:r>
      <w:r w:rsidRPr="00A20BD9">
        <w:rPr>
          <w:rFonts w:ascii="Palatino Linotype" w:eastAsia="Palatino Linotype" w:hAnsi="Palatino Linotype" w:cs="Palatino Linotype"/>
          <w:b/>
          <w:sz w:val="24"/>
          <w:szCs w:val="24"/>
        </w:rPr>
        <w:t>REVOCA</w:t>
      </w:r>
      <w:r w:rsidRPr="00A20BD9">
        <w:rPr>
          <w:rFonts w:ascii="Palatino Linotype" w:eastAsia="Palatino Linotype" w:hAnsi="Palatino Linotype" w:cs="Palatino Linotype"/>
          <w:sz w:val="24"/>
          <w:szCs w:val="24"/>
        </w:rPr>
        <w:t xml:space="preserve"> la respuesta del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xml:space="preserve">, atienda la solicitud de información </w:t>
      </w:r>
      <w:r w:rsidRPr="00A20BD9">
        <w:rPr>
          <w:rFonts w:ascii="Palatino Linotype" w:eastAsia="Palatino Linotype" w:hAnsi="Palatino Linotype" w:cs="Palatino Linotype"/>
          <w:b/>
          <w:sz w:val="24"/>
          <w:szCs w:val="24"/>
        </w:rPr>
        <w:t>00490/ECATEPEC/IP/2023</w:t>
      </w:r>
      <w:r w:rsidRPr="00A20BD9">
        <w:rPr>
          <w:rFonts w:ascii="Palatino Linotype" w:eastAsia="Palatino Linotype" w:hAnsi="Palatino Linotype" w:cs="Palatino Linotype"/>
          <w:sz w:val="24"/>
          <w:szCs w:val="24"/>
        </w:rPr>
        <w:t>, que ha sido materia del presente fallo.</w:t>
      </w:r>
    </w:p>
    <w:p w14:paraId="0F42FB60" w14:textId="77777777" w:rsidR="00FC7DD1" w:rsidRPr="00A20BD9" w:rsidRDefault="00FC7DD1">
      <w:pPr>
        <w:spacing w:after="0" w:line="276" w:lineRule="auto"/>
        <w:ind w:right="567"/>
        <w:jc w:val="both"/>
        <w:rPr>
          <w:rFonts w:ascii="Palatino Linotype" w:eastAsia="Palatino Linotype" w:hAnsi="Palatino Linotype" w:cs="Palatino Linotype"/>
          <w:sz w:val="24"/>
        </w:rPr>
      </w:pPr>
    </w:p>
    <w:p w14:paraId="17B25A8F"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048DAC5" w14:textId="77777777" w:rsidR="00FC7DD1" w:rsidRPr="00A20BD9" w:rsidRDefault="00FC7DD1">
      <w:pPr>
        <w:spacing w:after="0" w:line="360" w:lineRule="auto"/>
        <w:rPr>
          <w:rFonts w:ascii="Palatino Linotype" w:eastAsia="Palatino Linotype" w:hAnsi="Palatino Linotype" w:cs="Palatino Linotype"/>
        </w:rPr>
      </w:pPr>
    </w:p>
    <w:p w14:paraId="75FD8198" w14:textId="77777777" w:rsidR="00FC7DD1" w:rsidRPr="00A20BD9" w:rsidRDefault="00436676">
      <w:pPr>
        <w:spacing w:after="0" w:line="360" w:lineRule="auto"/>
        <w:ind w:left="1080"/>
        <w:jc w:val="center"/>
        <w:rPr>
          <w:rFonts w:ascii="Palatino Linotype" w:eastAsia="Palatino Linotype" w:hAnsi="Palatino Linotype" w:cs="Palatino Linotype"/>
          <w:b/>
          <w:sz w:val="24"/>
          <w:szCs w:val="24"/>
        </w:rPr>
      </w:pPr>
      <w:r w:rsidRPr="00A20BD9">
        <w:rPr>
          <w:rFonts w:ascii="Palatino Linotype" w:eastAsia="Palatino Linotype" w:hAnsi="Palatino Linotype" w:cs="Palatino Linotype"/>
          <w:b/>
          <w:sz w:val="24"/>
          <w:szCs w:val="24"/>
        </w:rPr>
        <w:t>R E S U E L V E</w:t>
      </w:r>
    </w:p>
    <w:p w14:paraId="19618FBE" w14:textId="77777777" w:rsidR="00FC7DD1" w:rsidRPr="00A20BD9" w:rsidRDefault="00FC7DD1">
      <w:pPr>
        <w:spacing w:after="0" w:line="360" w:lineRule="auto"/>
        <w:ind w:left="1080"/>
        <w:rPr>
          <w:rFonts w:ascii="Palatino Linotype" w:eastAsia="Palatino Linotype" w:hAnsi="Palatino Linotype" w:cs="Palatino Linotype"/>
          <w:b/>
          <w:sz w:val="24"/>
          <w:szCs w:val="24"/>
        </w:rPr>
      </w:pPr>
    </w:p>
    <w:p w14:paraId="4ED438AD"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PRIMERO. </w:t>
      </w:r>
      <w:r w:rsidRPr="00A20BD9">
        <w:rPr>
          <w:rFonts w:ascii="Palatino Linotype" w:eastAsia="Palatino Linotype" w:hAnsi="Palatino Linotype" w:cs="Palatino Linotype"/>
          <w:sz w:val="24"/>
          <w:szCs w:val="24"/>
        </w:rPr>
        <w:t xml:space="preserve">Resultan fundados los motivos de inconformidad hechos valer por la parte </w:t>
      </w:r>
      <w:r w:rsidRPr="00A20BD9">
        <w:rPr>
          <w:rFonts w:ascii="Palatino Linotype" w:eastAsia="Palatino Linotype" w:hAnsi="Palatino Linotype" w:cs="Palatino Linotype"/>
          <w:b/>
          <w:sz w:val="24"/>
          <w:szCs w:val="24"/>
        </w:rPr>
        <w:t>RECURRENTE</w:t>
      </w:r>
      <w:r w:rsidRPr="00A20BD9">
        <w:rPr>
          <w:rFonts w:ascii="Palatino Linotype" w:eastAsia="Palatino Linotype" w:hAnsi="Palatino Linotype" w:cs="Palatino Linotype"/>
          <w:sz w:val="24"/>
          <w:szCs w:val="24"/>
        </w:rPr>
        <w:t xml:space="preserve"> en el Recurso de Revisión </w:t>
      </w:r>
      <w:r w:rsidRPr="00A20BD9">
        <w:rPr>
          <w:rFonts w:ascii="Palatino Linotype" w:eastAsia="Palatino Linotype" w:hAnsi="Palatino Linotype" w:cs="Palatino Linotype"/>
          <w:b/>
          <w:sz w:val="24"/>
          <w:szCs w:val="24"/>
        </w:rPr>
        <w:t xml:space="preserve">03329/INFOEM/IP/RR/2023, </w:t>
      </w:r>
      <w:r w:rsidRPr="00A20BD9">
        <w:rPr>
          <w:rFonts w:ascii="Palatino Linotype" w:eastAsia="Palatino Linotype" w:hAnsi="Palatino Linotype" w:cs="Palatino Linotype"/>
          <w:sz w:val="24"/>
          <w:szCs w:val="24"/>
        </w:rPr>
        <w:t xml:space="preserve">por lo que, en términos del considerando </w:t>
      </w:r>
      <w:r w:rsidRPr="00A20BD9">
        <w:rPr>
          <w:rFonts w:ascii="Palatino Linotype" w:eastAsia="Palatino Linotype" w:hAnsi="Palatino Linotype" w:cs="Palatino Linotype"/>
          <w:b/>
          <w:sz w:val="24"/>
          <w:szCs w:val="24"/>
        </w:rPr>
        <w:t xml:space="preserve">Cuarto </w:t>
      </w:r>
      <w:r w:rsidRPr="00A20BD9">
        <w:rPr>
          <w:rFonts w:ascii="Palatino Linotype" w:eastAsia="Palatino Linotype" w:hAnsi="Palatino Linotype" w:cs="Palatino Linotype"/>
          <w:sz w:val="24"/>
          <w:szCs w:val="24"/>
        </w:rPr>
        <w:t xml:space="preserve">de esta resolución, se </w:t>
      </w:r>
      <w:r w:rsidRPr="00A20BD9">
        <w:rPr>
          <w:rFonts w:ascii="Palatino Linotype" w:eastAsia="Palatino Linotype" w:hAnsi="Palatino Linotype" w:cs="Palatino Linotype"/>
          <w:b/>
          <w:sz w:val="24"/>
          <w:szCs w:val="24"/>
        </w:rPr>
        <w:t xml:space="preserve">REVOCA </w:t>
      </w:r>
      <w:r w:rsidRPr="00A20BD9">
        <w:rPr>
          <w:rFonts w:ascii="Palatino Linotype" w:eastAsia="Palatino Linotype" w:hAnsi="Palatino Linotype" w:cs="Palatino Linotype"/>
          <w:sz w:val="24"/>
          <w:szCs w:val="24"/>
        </w:rPr>
        <w:t xml:space="preserve">la respuesta emitida por 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w:t>
      </w:r>
    </w:p>
    <w:p w14:paraId="3E8F17B8"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128DC3A4" w14:textId="77777777" w:rsidR="00FC7DD1" w:rsidRPr="00A20BD9" w:rsidRDefault="00436676">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A20BD9">
        <w:rPr>
          <w:rFonts w:ascii="Palatino Linotype" w:eastAsia="Palatino Linotype" w:hAnsi="Palatino Linotype" w:cs="Palatino Linotype"/>
          <w:b/>
          <w:sz w:val="24"/>
          <w:szCs w:val="24"/>
        </w:rPr>
        <w:lastRenderedPageBreak/>
        <w:t xml:space="preserve">SEGUNDO. </w:t>
      </w:r>
      <w:r w:rsidRPr="00A20BD9">
        <w:rPr>
          <w:rFonts w:ascii="Palatino Linotype" w:eastAsia="Palatino Linotype" w:hAnsi="Palatino Linotype" w:cs="Palatino Linotype"/>
          <w:sz w:val="24"/>
          <w:szCs w:val="24"/>
        </w:rPr>
        <w:t>Se</w:t>
      </w:r>
      <w:r w:rsidRPr="00A20BD9">
        <w:rPr>
          <w:rFonts w:ascii="Palatino Linotype" w:eastAsia="Palatino Linotype" w:hAnsi="Palatino Linotype" w:cs="Palatino Linotype"/>
          <w:b/>
          <w:sz w:val="24"/>
          <w:szCs w:val="24"/>
        </w:rPr>
        <w:t xml:space="preserve"> ORDENA </w:t>
      </w:r>
      <w:r w:rsidRPr="00A20BD9">
        <w:rPr>
          <w:rFonts w:ascii="Palatino Linotype" w:eastAsia="Palatino Linotype" w:hAnsi="Palatino Linotype" w:cs="Palatino Linotype"/>
          <w:sz w:val="24"/>
          <w:szCs w:val="24"/>
        </w:rPr>
        <w:t xml:space="preserve">al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xml:space="preserve"> en términos del Considerando </w:t>
      </w:r>
      <w:r w:rsidRPr="00A20BD9">
        <w:rPr>
          <w:rFonts w:ascii="Palatino Linotype" w:eastAsia="Palatino Linotype" w:hAnsi="Palatino Linotype" w:cs="Palatino Linotype"/>
          <w:b/>
          <w:sz w:val="24"/>
          <w:szCs w:val="24"/>
        </w:rPr>
        <w:t xml:space="preserve">Cuarto </w:t>
      </w:r>
      <w:r w:rsidRPr="00A20BD9">
        <w:rPr>
          <w:rFonts w:ascii="Palatino Linotype" w:eastAsia="Palatino Linotype" w:hAnsi="Palatino Linotype" w:cs="Palatino Linotype"/>
          <w:sz w:val="24"/>
          <w:szCs w:val="24"/>
        </w:rPr>
        <w:t xml:space="preserve">de esta resolución, haga entrega, vía </w:t>
      </w:r>
      <w:r w:rsidRPr="00A20BD9">
        <w:rPr>
          <w:rFonts w:ascii="Palatino Linotype" w:eastAsia="Palatino Linotype" w:hAnsi="Palatino Linotype" w:cs="Palatino Linotype"/>
          <w:b/>
          <w:sz w:val="24"/>
          <w:szCs w:val="24"/>
        </w:rPr>
        <w:t>SAIMEX</w:t>
      </w:r>
      <w:r w:rsidRPr="00A20BD9">
        <w:rPr>
          <w:rFonts w:ascii="Palatino Linotype" w:eastAsia="Palatino Linotype" w:hAnsi="Palatino Linotype" w:cs="Palatino Linotype"/>
          <w:sz w:val="24"/>
          <w:szCs w:val="24"/>
        </w:rPr>
        <w:t>, de lo siguiente:</w:t>
      </w:r>
    </w:p>
    <w:p w14:paraId="63971D3A" w14:textId="77777777" w:rsidR="00FC7DD1" w:rsidRPr="00A20BD9" w:rsidRDefault="00FC7DD1">
      <w:pPr>
        <w:spacing w:line="360" w:lineRule="auto"/>
        <w:jc w:val="both"/>
        <w:rPr>
          <w:rFonts w:ascii="Palatino Linotype" w:eastAsia="Palatino Linotype" w:hAnsi="Palatino Linotype" w:cs="Palatino Linotype"/>
          <w:sz w:val="24"/>
          <w:szCs w:val="24"/>
        </w:rPr>
      </w:pPr>
    </w:p>
    <w:p w14:paraId="3749322E" w14:textId="77777777" w:rsidR="00FC7DD1" w:rsidRPr="00A20BD9" w:rsidRDefault="0043667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 xml:space="preserve">El Acuerdo que emita el Comité de Transparencia mediante el que confirme la declaratoria de incompetencia del </w:t>
      </w:r>
      <w:r w:rsidRPr="00A20BD9">
        <w:rPr>
          <w:rFonts w:ascii="Palatino Linotype" w:eastAsia="Palatino Linotype" w:hAnsi="Palatino Linotype" w:cs="Palatino Linotype"/>
          <w:b/>
          <w:sz w:val="24"/>
          <w:szCs w:val="24"/>
        </w:rPr>
        <w:t>SUJETO OBLIGADO</w:t>
      </w:r>
      <w:r w:rsidRPr="00A20BD9">
        <w:rPr>
          <w:rFonts w:ascii="Palatino Linotype" w:eastAsia="Palatino Linotype" w:hAnsi="Palatino Linotype" w:cs="Palatino Linotype"/>
          <w:sz w:val="24"/>
          <w:szCs w:val="24"/>
        </w:rPr>
        <w:t>, respecto de la información solicitada.</w:t>
      </w:r>
    </w:p>
    <w:p w14:paraId="0E16EF12" w14:textId="77777777" w:rsidR="00FC7DD1" w:rsidRPr="00A20BD9" w:rsidRDefault="00FC7DD1">
      <w:pPr>
        <w:pBdr>
          <w:top w:val="nil"/>
          <w:left w:val="nil"/>
          <w:bottom w:val="nil"/>
          <w:right w:val="nil"/>
          <w:between w:val="nil"/>
        </w:pBdr>
        <w:spacing w:line="360" w:lineRule="auto"/>
        <w:ind w:left="720"/>
        <w:jc w:val="both"/>
        <w:rPr>
          <w:rFonts w:ascii="Palatino Linotype" w:eastAsia="Palatino Linotype" w:hAnsi="Palatino Linotype" w:cs="Palatino Linotype"/>
          <w:sz w:val="24"/>
          <w:szCs w:val="24"/>
        </w:rPr>
      </w:pPr>
    </w:p>
    <w:p w14:paraId="20DE4FA5"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TERCERO.  Notifíquese vía SAIMEX, </w:t>
      </w:r>
      <w:r w:rsidRPr="00A20BD9">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A23912"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69742FFE"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CUARTO. </w:t>
      </w:r>
      <w:r w:rsidRPr="00A20BD9">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A20BD9">
        <w:rPr>
          <w:rFonts w:ascii="Palatino Linotype" w:eastAsia="Palatino Linotype" w:hAnsi="Palatino Linotype" w:cs="Palatino Linotype"/>
          <w:b/>
          <w:sz w:val="24"/>
          <w:szCs w:val="24"/>
        </w:rPr>
        <w:t>EL SUJETO OBLIGADO</w:t>
      </w:r>
      <w:r w:rsidRPr="00A20BD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96215EA"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32EF8867"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b/>
          <w:sz w:val="24"/>
          <w:szCs w:val="24"/>
        </w:rPr>
        <w:t xml:space="preserve">QUINTO. Notifíquese vía SAIMEX, </w:t>
      </w:r>
      <w:r w:rsidRPr="00A20BD9">
        <w:rPr>
          <w:rFonts w:ascii="Palatino Linotype" w:eastAsia="Palatino Linotype" w:hAnsi="Palatino Linotype" w:cs="Palatino Linotype"/>
          <w:sz w:val="24"/>
          <w:szCs w:val="24"/>
        </w:rPr>
        <w:t xml:space="preserve">a </w:t>
      </w:r>
      <w:r w:rsidRPr="00A20BD9">
        <w:rPr>
          <w:rFonts w:ascii="Palatino Linotype" w:eastAsia="Palatino Linotype" w:hAnsi="Palatino Linotype" w:cs="Palatino Linotype"/>
          <w:b/>
          <w:sz w:val="24"/>
          <w:szCs w:val="24"/>
        </w:rPr>
        <w:t>LA PARTE RECURRENTE</w:t>
      </w:r>
      <w:r w:rsidRPr="00A20BD9">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2A509B74" w14:textId="77777777" w:rsidR="00FC7DD1" w:rsidRPr="00A20BD9" w:rsidRDefault="00FC7DD1">
      <w:pPr>
        <w:spacing w:after="0" w:line="360" w:lineRule="auto"/>
        <w:jc w:val="both"/>
        <w:rPr>
          <w:rFonts w:ascii="Palatino Linotype" w:eastAsia="Palatino Linotype" w:hAnsi="Palatino Linotype" w:cs="Palatino Linotype"/>
          <w:sz w:val="24"/>
          <w:szCs w:val="24"/>
        </w:rPr>
      </w:pPr>
    </w:p>
    <w:p w14:paraId="71688848" w14:textId="77777777" w:rsidR="00FC7DD1" w:rsidRPr="00A20BD9" w:rsidRDefault="00436676">
      <w:pPr>
        <w:spacing w:after="0" w:line="360" w:lineRule="auto"/>
        <w:jc w:val="both"/>
        <w:rPr>
          <w:rFonts w:ascii="Palatino Linotype" w:eastAsia="Palatino Linotype" w:hAnsi="Palatino Linotype" w:cs="Palatino Linotype"/>
          <w:sz w:val="24"/>
          <w:szCs w:val="24"/>
        </w:rPr>
      </w:pPr>
      <w:r w:rsidRPr="00A20BD9">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p>
    <w:p w14:paraId="52411583" w14:textId="39B8AAEA" w:rsidR="00FC7DD1" w:rsidRDefault="00FC7DD1">
      <w:pPr>
        <w:spacing w:after="0" w:line="360" w:lineRule="auto"/>
        <w:ind w:right="51"/>
        <w:jc w:val="both"/>
        <w:rPr>
          <w:rFonts w:ascii="Palatino Linotype" w:eastAsia="Palatino Linotype" w:hAnsi="Palatino Linotype" w:cs="Palatino Linotype"/>
          <w:i/>
        </w:rPr>
      </w:pPr>
    </w:p>
    <w:p w14:paraId="7C81A0A1" w14:textId="13FC4796" w:rsidR="00A20BD9" w:rsidRDefault="00A20BD9">
      <w:pPr>
        <w:spacing w:after="0" w:line="360" w:lineRule="auto"/>
        <w:ind w:right="51"/>
        <w:jc w:val="both"/>
        <w:rPr>
          <w:rFonts w:ascii="Palatino Linotype" w:eastAsia="Palatino Linotype" w:hAnsi="Palatino Linotype" w:cs="Palatino Linotype"/>
          <w:i/>
        </w:rPr>
      </w:pPr>
    </w:p>
    <w:p w14:paraId="50530C26" w14:textId="1D05F2A9" w:rsidR="00A20BD9" w:rsidRDefault="00A20BD9">
      <w:pPr>
        <w:spacing w:after="0" w:line="360" w:lineRule="auto"/>
        <w:ind w:right="51"/>
        <w:jc w:val="both"/>
        <w:rPr>
          <w:rFonts w:ascii="Palatino Linotype" w:eastAsia="Palatino Linotype" w:hAnsi="Palatino Linotype" w:cs="Palatino Linotype"/>
          <w:i/>
        </w:rPr>
      </w:pPr>
    </w:p>
    <w:p w14:paraId="083B039B" w14:textId="5B060C5A" w:rsidR="00A20BD9" w:rsidRDefault="00A20BD9">
      <w:pPr>
        <w:spacing w:after="0" w:line="360" w:lineRule="auto"/>
        <w:ind w:right="51"/>
        <w:jc w:val="both"/>
        <w:rPr>
          <w:rFonts w:ascii="Palatino Linotype" w:eastAsia="Palatino Linotype" w:hAnsi="Palatino Linotype" w:cs="Palatino Linotype"/>
          <w:i/>
        </w:rPr>
      </w:pPr>
    </w:p>
    <w:p w14:paraId="1214B7A2" w14:textId="3FD57AA6" w:rsidR="00A20BD9" w:rsidRDefault="00A20BD9">
      <w:pPr>
        <w:spacing w:after="0" w:line="360" w:lineRule="auto"/>
        <w:ind w:right="51"/>
        <w:jc w:val="both"/>
        <w:rPr>
          <w:rFonts w:ascii="Palatino Linotype" w:eastAsia="Palatino Linotype" w:hAnsi="Palatino Linotype" w:cs="Palatino Linotype"/>
          <w:i/>
        </w:rPr>
      </w:pPr>
    </w:p>
    <w:p w14:paraId="7BCF0001" w14:textId="4F400E10" w:rsidR="00A20BD9" w:rsidRDefault="00A20BD9">
      <w:pPr>
        <w:spacing w:after="0" w:line="360" w:lineRule="auto"/>
        <w:ind w:right="51"/>
        <w:jc w:val="both"/>
        <w:rPr>
          <w:rFonts w:ascii="Palatino Linotype" w:eastAsia="Palatino Linotype" w:hAnsi="Palatino Linotype" w:cs="Palatino Linotype"/>
          <w:i/>
        </w:rPr>
      </w:pPr>
    </w:p>
    <w:p w14:paraId="676864A3" w14:textId="2AE99F7A" w:rsidR="00A20BD9" w:rsidRDefault="00A20BD9">
      <w:pPr>
        <w:spacing w:after="0" w:line="360" w:lineRule="auto"/>
        <w:ind w:right="51"/>
        <w:jc w:val="both"/>
        <w:rPr>
          <w:rFonts w:ascii="Palatino Linotype" w:eastAsia="Palatino Linotype" w:hAnsi="Palatino Linotype" w:cs="Palatino Linotype"/>
          <w:i/>
        </w:rPr>
      </w:pPr>
    </w:p>
    <w:p w14:paraId="5F97D220" w14:textId="5E65086A" w:rsidR="00A20BD9" w:rsidRDefault="00A20BD9">
      <w:pPr>
        <w:spacing w:after="0" w:line="360" w:lineRule="auto"/>
        <w:ind w:right="51"/>
        <w:jc w:val="both"/>
        <w:rPr>
          <w:rFonts w:ascii="Palatino Linotype" w:eastAsia="Palatino Linotype" w:hAnsi="Palatino Linotype" w:cs="Palatino Linotype"/>
          <w:i/>
        </w:rPr>
      </w:pPr>
    </w:p>
    <w:p w14:paraId="6500AED6" w14:textId="77777777" w:rsidR="00A20BD9" w:rsidRPr="00A20BD9" w:rsidRDefault="00A20BD9">
      <w:pPr>
        <w:spacing w:after="0" w:line="360" w:lineRule="auto"/>
        <w:ind w:right="51"/>
        <w:jc w:val="both"/>
        <w:rPr>
          <w:rFonts w:ascii="Palatino Linotype" w:eastAsia="Palatino Linotype" w:hAnsi="Palatino Linotype" w:cs="Palatino Linotype"/>
          <w:i/>
        </w:rPr>
      </w:pPr>
    </w:p>
    <w:sectPr w:rsidR="00A20BD9" w:rsidRPr="00A20BD9">
      <w:headerReference w:type="default"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EBBD0" w14:textId="77777777" w:rsidR="008D17F4" w:rsidRDefault="008D17F4">
      <w:pPr>
        <w:spacing w:after="0" w:line="240" w:lineRule="auto"/>
      </w:pPr>
      <w:r>
        <w:separator/>
      </w:r>
    </w:p>
  </w:endnote>
  <w:endnote w:type="continuationSeparator" w:id="0">
    <w:p w14:paraId="041C33F3" w14:textId="77777777" w:rsidR="008D17F4" w:rsidRDefault="008D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04A43" w14:textId="77777777" w:rsidR="00FC7DD1" w:rsidRDefault="004366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63287">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63287">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1BEDDEFC" w14:textId="77777777" w:rsidR="00FC7DD1" w:rsidRDefault="00FC7DD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8A271" w14:textId="77777777" w:rsidR="00FC7DD1" w:rsidRDefault="00FC7DD1">
    <w:pPr>
      <w:pBdr>
        <w:top w:val="nil"/>
        <w:left w:val="nil"/>
        <w:bottom w:val="nil"/>
        <w:right w:val="nil"/>
        <w:between w:val="nil"/>
      </w:pBdr>
      <w:tabs>
        <w:tab w:val="center" w:pos="4419"/>
        <w:tab w:val="right" w:pos="8838"/>
      </w:tabs>
      <w:spacing w:after="0" w:line="240" w:lineRule="auto"/>
      <w:rPr>
        <w:color w:val="000000"/>
      </w:rPr>
    </w:pPr>
  </w:p>
  <w:p w14:paraId="3ACCB759" w14:textId="77777777" w:rsidR="00FC7DD1" w:rsidRDefault="00FC7DD1"/>
  <w:p w14:paraId="5AA29331" w14:textId="77777777" w:rsidR="00FC7DD1" w:rsidRDefault="004366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6328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63287">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29F5B20B" w14:textId="77777777" w:rsidR="00FC7DD1" w:rsidRDefault="00FC7DD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6AB30" w14:textId="77777777" w:rsidR="008D17F4" w:rsidRDefault="008D17F4">
      <w:pPr>
        <w:spacing w:after="0" w:line="240" w:lineRule="auto"/>
      </w:pPr>
      <w:r>
        <w:separator/>
      </w:r>
    </w:p>
  </w:footnote>
  <w:footnote w:type="continuationSeparator" w:id="0">
    <w:p w14:paraId="23921189" w14:textId="77777777" w:rsidR="008D17F4" w:rsidRDefault="008D17F4">
      <w:pPr>
        <w:spacing w:after="0" w:line="240" w:lineRule="auto"/>
      </w:pPr>
      <w:r>
        <w:continuationSeparator/>
      </w:r>
    </w:p>
  </w:footnote>
  <w:footnote w:id="1">
    <w:p w14:paraId="10F24BCB" w14:textId="77777777" w:rsidR="00FC7DD1" w:rsidRDefault="004366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A527108" w14:textId="77777777" w:rsidR="00FC7DD1" w:rsidRDefault="0043667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876F0" w14:textId="77777777" w:rsidR="00FC7DD1" w:rsidRDefault="00FC7DD1">
    <w:pPr>
      <w:widowControl w:val="0"/>
      <w:pBdr>
        <w:top w:val="nil"/>
        <w:left w:val="nil"/>
        <w:bottom w:val="nil"/>
        <w:right w:val="nil"/>
        <w:between w:val="nil"/>
      </w:pBdr>
      <w:spacing w:after="0" w:line="276" w:lineRule="auto"/>
      <w:rPr>
        <w:color w:val="000000"/>
      </w:rPr>
    </w:pPr>
  </w:p>
  <w:tbl>
    <w:tblPr>
      <w:tblStyle w:val="a0"/>
      <w:tblW w:w="10273" w:type="dxa"/>
      <w:tblInd w:w="-1281" w:type="dxa"/>
      <w:tblLayout w:type="fixed"/>
      <w:tblLook w:val="0400" w:firstRow="0" w:lastRow="0" w:firstColumn="0" w:lastColumn="0" w:noHBand="0" w:noVBand="1"/>
    </w:tblPr>
    <w:tblGrid>
      <w:gridCol w:w="5716"/>
      <w:gridCol w:w="4557"/>
    </w:tblGrid>
    <w:tr w:rsidR="00FC7DD1" w14:paraId="6DC38875" w14:textId="77777777">
      <w:trPr>
        <w:trHeight w:val="246"/>
      </w:trPr>
      <w:tc>
        <w:tcPr>
          <w:tcW w:w="5716" w:type="dxa"/>
        </w:tcPr>
        <w:p w14:paraId="4E57A97B" w14:textId="77777777" w:rsidR="00FC7DD1" w:rsidRDefault="0043667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140DBACA" w14:textId="77777777" w:rsidR="00FC7DD1" w:rsidRDefault="0043667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03329/INFOEM/IP/RR/2023.</w:t>
          </w:r>
        </w:p>
      </w:tc>
    </w:tr>
    <w:tr w:rsidR="00FC7DD1" w14:paraId="194A8B27" w14:textId="77777777">
      <w:trPr>
        <w:trHeight w:val="212"/>
      </w:trPr>
      <w:tc>
        <w:tcPr>
          <w:tcW w:w="5716" w:type="dxa"/>
        </w:tcPr>
        <w:p w14:paraId="0156EFBC" w14:textId="77777777" w:rsidR="00FC7DD1" w:rsidRDefault="0043667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7F37C341" w14:textId="77777777" w:rsidR="00FC7DD1" w:rsidRDefault="00FC7DD1">
          <w:pPr>
            <w:spacing w:after="120"/>
            <w:ind w:left="-486" w:right="214" w:firstLine="567"/>
            <w:jc w:val="right"/>
            <w:rPr>
              <w:rFonts w:ascii="Palatino Linotype" w:eastAsia="Palatino Linotype" w:hAnsi="Palatino Linotype" w:cs="Palatino Linotype"/>
              <w:sz w:val="24"/>
              <w:szCs w:val="24"/>
            </w:rPr>
          </w:pPr>
        </w:p>
      </w:tc>
    </w:tr>
    <w:tr w:rsidR="00FC7DD1" w14:paraId="3A0FB4B0" w14:textId="77777777">
      <w:trPr>
        <w:trHeight w:val="264"/>
      </w:trPr>
      <w:tc>
        <w:tcPr>
          <w:tcW w:w="5716" w:type="dxa"/>
        </w:tcPr>
        <w:p w14:paraId="5BC923D1" w14:textId="77777777" w:rsidR="00FC7DD1" w:rsidRDefault="0043667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4E700229" w14:textId="77777777" w:rsidR="00FC7DD1" w:rsidRDefault="0043667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Ecatepec de Morelos.</w:t>
          </w:r>
        </w:p>
      </w:tc>
    </w:tr>
    <w:tr w:rsidR="00FC7DD1" w14:paraId="21A9CC53" w14:textId="77777777">
      <w:trPr>
        <w:trHeight w:val="373"/>
      </w:trPr>
      <w:tc>
        <w:tcPr>
          <w:tcW w:w="5716" w:type="dxa"/>
        </w:tcPr>
        <w:p w14:paraId="07939CF5" w14:textId="77777777" w:rsidR="00FC7DD1" w:rsidRDefault="0043667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44F90E63" w14:textId="77777777" w:rsidR="00FC7DD1" w:rsidRDefault="0043667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A105643" w14:textId="77777777" w:rsidR="00FC7DD1" w:rsidRDefault="0043667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4738B8A" wp14:editId="3FBD1AAE">
          <wp:simplePos x="0" y="0"/>
          <wp:positionH relativeFrom="column">
            <wp:posOffset>-674368</wp:posOffset>
          </wp:positionH>
          <wp:positionV relativeFrom="paragraph">
            <wp:posOffset>-1447798</wp:posOffset>
          </wp:positionV>
          <wp:extent cx="7353300" cy="8658225"/>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7C68B" w14:textId="77777777" w:rsidR="00FC7DD1" w:rsidRDefault="00FC7DD1">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273" w:type="dxa"/>
      <w:tblInd w:w="-1281" w:type="dxa"/>
      <w:tblLayout w:type="fixed"/>
      <w:tblLook w:val="0400" w:firstRow="0" w:lastRow="0" w:firstColumn="0" w:lastColumn="0" w:noHBand="0" w:noVBand="1"/>
    </w:tblPr>
    <w:tblGrid>
      <w:gridCol w:w="5716"/>
      <w:gridCol w:w="4557"/>
    </w:tblGrid>
    <w:tr w:rsidR="00FC7DD1" w14:paraId="60C4665C" w14:textId="77777777">
      <w:trPr>
        <w:trHeight w:val="246"/>
      </w:trPr>
      <w:tc>
        <w:tcPr>
          <w:tcW w:w="5716" w:type="dxa"/>
        </w:tcPr>
        <w:p w14:paraId="44C89165" w14:textId="77777777" w:rsidR="00FC7DD1" w:rsidRDefault="0043667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5D7EB3CB" w14:textId="77777777" w:rsidR="00FC7DD1" w:rsidRDefault="0043667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03329/INFOEM/IP/RR/2023.</w:t>
          </w:r>
        </w:p>
      </w:tc>
    </w:tr>
    <w:tr w:rsidR="00FC7DD1" w14:paraId="2C05B048" w14:textId="77777777">
      <w:trPr>
        <w:trHeight w:val="212"/>
      </w:trPr>
      <w:tc>
        <w:tcPr>
          <w:tcW w:w="5716" w:type="dxa"/>
        </w:tcPr>
        <w:p w14:paraId="6997BBAC" w14:textId="77777777" w:rsidR="00FC7DD1" w:rsidRDefault="0043667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7D07B708" w14:textId="27A7ABB9" w:rsidR="00FC7DD1" w:rsidRDefault="00663287" w:rsidP="006632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 XX XXXXXXXXXX XX XXXXXXXXXX</w:t>
          </w:r>
          <w:r w:rsidR="00436676">
            <w:rPr>
              <w:rFonts w:ascii="Palatino Linotype" w:eastAsia="Palatino Linotype" w:hAnsi="Palatino Linotype" w:cs="Palatino Linotype"/>
              <w:sz w:val="24"/>
              <w:szCs w:val="24"/>
            </w:rPr>
            <w:t>.</w:t>
          </w:r>
        </w:p>
      </w:tc>
    </w:tr>
    <w:tr w:rsidR="00FC7DD1" w14:paraId="5308982D" w14:textId="77777777">
      <w:trPr>
        <w:trHeight w:val="264"/>
      </w:trPr>
      <w:tc>
        <w:tcPr>
          <w:tcW w:w="5716" w:type="dxa"/>
        </w:tcPr>
        <w:p w14:paraId="71489617" w14:textId="77777777" w:rsidR="00FC7DD1" w:rsidRDefault="0043667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08B2EBB1" w14:textId="77777777" w:rsidR="00FC7DD1" w:rsidRDefault="0043667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Ecatepec de Morelos.</w:t>
          </w:r>
        </w:p>
      </w:tc>
    </w:tr>
    <w:tr w:rsidR="00FC7DD1" w14:paraId="52562DDD" w14:textId="77777777">
      <w:trPr>
        <w:trHeight w:val="373"/>
      </w:trPr>
      <w:tc>
        <w:tcPr>
          <w:tcW w:w="5716" w:type="dxa"/>
        </w:tcPr>
        <w:p w14:paraId="0BC2DD01" w14:textId="77777777" w:rsidR="00FC7DD1" w:rsidRDefault="0043667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4DA51CFE" w14:textId="77777777" w:rsidR="00FC7DD1" w:rsidRDefault="0043667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F2A5F36" w14:textId="77777777" w:rsidR="00FC7DD1" w:rsidRDefault="0043667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54B54E1D" wp14:editId="4A82A49F">
          <wp:simplePos x="0" y="0"/>
          <wp:positionH relativeFrom="column">
            <wp:posOffset>-1080133</wp:posOffset>
          </wp:positionH>
          <wp:positionV relativeFrom="paragraph">
            <wp:posOffset>-1536698</wp:posOffset>
          </wp:positionV>
          <wp:extent cx="7353300" cy="8658225"/>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1620F"/>
    <w:multiLevelType w:val="multilevel"/>
    <w:tmpl w:val="333AB4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170D7A"/>
    <w:multiLevelType w:val="multilevel"/>
    <w:tmpl w:val="76F2A9C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0E4C0B"/>
    <w:multiLevelType w:val="multilevel"/>
    <w:tmpl w:val="294EF20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04271"/>
    <w:multiLevelType w:val="multilevel"/>
    <w:tmpl w:val="343E849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D1"/>
    <w:rsid w:val="00436676"/>
    <w:rsid w:val="00663287"/>
    <w:rsid w:val="008D17F4"/>
    <w:rsid w:val="00961382"/>
    <w:rsid w:val="00A20BD9"/>
    <w:rsid w:val="00AF5ED1"/>
    <w:rsid w:val="00B87023"/>
    <w:rsid w:val="00FC7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33D9B"/>
  <w15:docId w15:val="{38BA37E5-414A-4585-B535-CFC804FB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632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3287"/>
  </w:style>
  <w:style w:type="paragraph" w:styleId="Piedepgina">
    <w:name w:val="footer"/>
    <w:basedOn w:val="Normal"/>
    <w:link w:val="PiedepginaCar"/>
    <w:uiPriority w:val="99"/>
    <w:unhideWhenUsed/>
    <w:rsid w:val="006632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3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qtr/W6txBci/H2q3NiPb6vpg==">CgMxLjAyCWguMzBqMHpsbDIIaC5namRneHMyDmgua2VsZ3MyNDI4b2E2OAByITE2UVB6a1E3NzhRSXNtZllKd1Q2NDVGZFhiajlhWnBIag==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9716</Words>
  <Characters>53441</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2024-01-19T16:20:00Z</cp:lastPrinted>
  <dcterms:created xsi:type="dcterms:W3CDTF">2024-01-24T17:49:00Z</dcterms:created>
  <dcterms:modified xsi:type="dcterms:W3CDTF">2024-01-24T17:49:00Z</dcterms:modified>
</cp:coreProperties>
</file>