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5155" w14:textId="2BF44215" w:rsidR="00EC408A" w:rsidRPr="00875B7E" w:rsidRDefault="00EC408A" w:rsidP="00EC408A">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Pr="006F000C">
        <w:rPr>
          <w:rFonts w:eastAsia="Palatino Linotype" w:cs="Palatino Linotype"/>
          <w:color w:val="000000"/>
          <w:szCs w:val="24"/>
        </w:rPr>
        <w:t>México, a</w:t>
      </w:r>
      <w:r>
        <w:rPr>
          <w:rFonts w:eastAsia="Palatino Linotype" w:cs="Palatino Linotype"/>
          <w:color w:val="000000"/>
          <w:szCs w:val="24"/>
        </w:rPr>
        <w:t xml:space="preserve"> </w:t>
      </w:r>
      <w:r w:rsidR="0064376E">
        <w:rPr>
          <w:rFonts w:eastAsia="Palatino Linotype" w:cs="Palatino Linotype"/>
          <w:color w:val="000000"/>
          <w:szCs w:val="24"/>
        </w:rPr>
        <w:t xml:space="preserve">veintiuno de febrero </w:t>
      </w:r>
      <w:r w:rsidRPr="006F000C">
        <w:rPr>
          <w:rFonts w:eastAsia="Palatino Linotype" w:cs="Palatino Linotype"/>
          <w:color w:val="000000"/>
          <w:szCs w:val="24"/>
        </w:rPr>
        <w:t>de do</w:t>
      </w:r>
      <w:r w:rsidR="0064376E">
        <w:rPr>
          <w:rFonts w:eastAsia="Palatino Linotype" w:cs="Palatino Linotype"/>
          <w:color w:val="000000"/>
          <w:szCs w:val="24"/>
        </w:rPr>
        <w:t>s mil veinticuatro</w:t>
      </w:r>
      <w:r w:rsidRPr="00875B7E">
        <w:rPr>
          <w:rFonts w:eastAsia="Palatino Linotype" w:cs="Palatino Linotype"/>
          <w:color w:val="000000"/>
          <w:szCs w:val="24"/>
        </w:rPr>
        <w:t>.</w:t>
      </w:r>
    </w:p>
    <w:p w14:paraId="1B60F479" w14:textId="77777777" w:rsidR="00EC408A" w:rsidRPr="00875B7E" w:rsidRDefault="00EC408A" w:rsidP="00EC408A">
      <w:pPr>
        <w:pBdr>
          <w:top w:val="nil"/>
          <w:left w:val="nil"/>
          <w:bottom w:val="nil"/>
          <w:right w:val="nil"/>
          <w:between w:val="nil"/>
        </w:pBdr>
        <w:contextualSpacing/>
        <w:rPr>
          <w:rFonts w:eastAsia="Palatino Linotype" w:cs="Palatino Linotype"/>
          <w:color w:val="000000"/>
          <w:szCs w:val="24"/>
        </w:rPr>
      </w:pPr>
    </w:p>
    <w:p w14:paraId="718F85CB" w14:textId="77777777" w:rsidR="00EC408A" w:rsidRPr="00875B7E" w:rsidRDefault="00EC408A" w:rsidP="00EC408A">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Pr>
          <w:rFonts w:eastAsia="Palatino Linotype" w:cs="Palatino Linotype"/>
          <w:b/>
          <w:color w:val="000000"/>
          <w:szCs w:val="24"/>
        </w:rPr>
        <w:t>07680/</w:t>
      </w:r>
      <w:r w:rsidRPr="00875B7E">
        <w:rPr>
          <w:rFonts w:eastAsia="Palatino Linotype" w:cs="Palatino Linotype"/>
          <w:b/>
          <w:color w:val="000000"/>
          <w:szCs w:val="24"/>
        </w:rPr>
        <w:t>INFOEM/IP/RR/202</w:t>
      </w:r>
      <w:r>
        <w:rPr>
          <w:rFonts w:eastAsia="Palatino Linotype" w:cs="Palatino Linotype"/>
          <w:b/>
          <w:color w:val="000000"/>
          <w:szCs w:val="24"/>
        </w:rPr>
        <w:t>3</w:t>
      </w:r>
      <w:r w:rsidRPr="00875B7E">
        <w:rPr>
          <w:rFonts w:eastAsia="Palatino Linotype" w:cs="Palatino Linotype"/>
          <w:color w:val="000000"/>
          <w:szCs w:val="24"/>
        </w:rPr>
        <w:t>, interpuesto por</w:t>
      </w:r>
      <w:r w:rsidRPr="00147CEE">
        <w:rPr>
          <w:rFonts w:cs="Arial"/>
          <w:szCs w:val="24"/>
        </w:rPr>
        <w:t xml:space="preserve"> </w:t>
      </w:r>
      <w:r>
        <w:rPr>
          <w:rFonts w:cs="Arial"/>
          <w:szCs w:val="24"/>
        </w:rPr>
        <w:t xml:space="preserve">una persona que al momento de ingresar su solicitud no proporciono nombre o seudónimo, </w:t>
      </w:r>
      <w:r w:rsidRPr="00875B7E">
        <w:rPr>
          <w:rFonts w:eastAsia="Palatino Linotype" w:cs="Palatino Linotype"/>
          <w:color w:val="000000"/>
          <w:szCs w:val="24"/>
        </w:rPr>
        <w:t xml:space="preserve">en lo sucesivo el </w:t>
      </w:r>
      <w:r w:rsidRPr="00875B7E">
        <w:rPr>
          <w:rFonts w:eastAsia="Palatino Linotype" w:cs="Palatino Linotype"/>
          <w:b/>
          <w:color w:val="000000"/>
          <w:szCs w:val="24"/>
        </w:rPr>
        <w:t>Recurrente</w:t>
      </w:r>
      <w:r w:rsidRPr="00875B7E">
        <w:rPr>
          <w:rFonts w:eastAsia="Palatino Linotype" w:cs="Palatino Linotype"/>
          <w:color w:val="000000"/>
          <w:szCs w:val="24"/>
        </w:rPr>
        <w:t xml:space="preserve">, en contra de la respuesta del </w:t>
      </w:r>
      <w:r>
        <w:rPr>
          <w:rFonts w:eastAsia="Palatino Linotype" w:cs="Palatino Linotype"/>
          <w:b/>
          <w:color w:val="000000"/>
          <w:szCs w:val="24"/>
        </w:rPr>
        <w:t>Ayuntamiento de Villa de Guerrero</w:t>
      </w:r>
      <w:r w:rsidRPr="00875B7E">
        <w:rPr>
          <w:rFonts w:eastAsia="Palatino Linotype" w:cs="Palatino Linotype"/>
          <w:color w:val="000000"/>
          <w:szCs w:val="24"/>
        </w:rPr>
        <w:t>, 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2A0CB3A9" w14:textId="77777777" w:rsidR="00EC408A" w:rsidRPr="00875B7E" w:rsidRDefault="00EC408A" w:rsidP="00EC408A">
      <w:pPr>
        <w:pBdr>
          <w:top w:val="nil"/>
          <w:left w:val="nil"/>
          <w:bottom w:val="nil"/>
          <w:right w:val="nil"/>
          <w:between w:val="nil"/>
        </w:pBdr>
        <w:contextualSpacing/>
        <w:rPr>
          <w:rFonts w:eastAsia="Palatino Linotype" w:cs="Palatino Linotype"/>
          <w:color w:val="000000"/>
          <w:szCs w:val="24"/>
        </w:rPr>
      </w:pPr>
    </w:p>
    <w:p w14:paraId="44551810" w14:textId="77777777" w:rsidR="00EC408A" w:rsidRPr="006922F5" w:rsidRDefault="00EC408A" w:rsidP="00EC408A">
      <w:pPr>
        <w:pStyle w:val="Ttulo1"/>
        <w:rPr>
          <w:rFonts w:eastAsia="Palatino Linotype"/>
          <w:lang w:val="es-ES_tradnl"/>
        </w:rPr>
      </w:pPr>
      <w:r w:rsidRPr="006922F5">
        <w:rPr>
          <w:rFonts w:eastAsia="Palatino Linotype"/>
          <w:lang w:val="es-ES_tradnl"/>
        </w:rPr>
        <w:t>A N T E C E D E N T E S</w:t>
      </w:r>
    </w:p>
    <w:p w14:paraId="0F88E419" w14:textId="77777777" w:rsidR="00EC408A" w:rsidRPr="00875B7E" w:rsidRDefault="00EC408A" w:rsidP="00EC408A">
      <w:pPr>
        <w:pBdr>
          <w:top w:val="nil"/>
          <w:left w:val="nil"/>
          <w:bottom w:val="nil"/>
          <w:right w:val="nil"/>
          <w:between w:val="nil"/>
        </w:pBdr>
        <w:contextualSpacing/>
        <w:rPr>
          <w:rFonts w:eastAsia="Palatino Linotype" w:cs="Palatino Linotype"/>
          <w:color w:val="000000"/>
          <w:szCs w:val="24"/>
        </w:rPr>
      </w:pPr>
    </w:p>
    <w:p w14:paraId="11A35519" w14:textId="77777777" w:rsidR="00EC408A" w:rsidRPr="006922F5" w:rsidRDefault="00EC408A" w:rsidP="00EC408A">
      <w:pPr>
        <w:pStyle w:val="Ttulo2"/>
        <w:rPr>
          <w:rFonts w:eastAsia="Palatino Linotype"/>
        </w:rPr>
      </w:pPr>
      <w:r w:rsidRPr="006922F5">
        <w:rPr>
          <w:rFonts w:eastAsia="Palatino Linotype"/>
        </w:rPr>
        <w:t>PRIMERO. De la Solicitud de Información.</w:t>
      </w:r>
    </w:p>
    <w:p w14:paraId="42045488" w14:textId="77777777" w:rsidR="00EC408A" w:rsidRDefault="00EC408A" w:rsidP="00EC408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Pr>
          <w:rFonts w:eastAsia="Palatino Linotype" w:cs="Palatino Linotype"/>
          <w:color w:val="000000"/>
          <w:szCs w:val="24"/>
        </w:rPr>
        <w:t xml:space="preserve"> </w:t>
      </w:r>
      <w:r w:rsidR="00B35E0D">
        <w:rPr>
          <w:rFonts w:eastAsia="Palatino Linotype" w:cs="Palatino Linotype"/>
          <w:color w:val="000000"/>
          <w:szCs w:val="24"/>
        </w:rPr>
        <w:t xml:space="preserve">tres </w:t>
      </w:r>
      <w:r>
        <w:rPr>
          <w:rFonts w:eastAsia="Palatino Linotype" w:cs="Palatino Linotype"/>
          <w:color w:val="000000"/>
          <w:szCs w:val="24"/>
        </w:rPr>
        <w:t>de octubre de dos mil veintitrés</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Recurrente presentó mediante el Sistema de Acceso a la Información Mexiquense (SAIMEX), solicitud de información registrada con el número de </w:t>
      </w:r>
      <w:r w:rsidRPr="000147D3">
        <w:rPr>
          <w:rFonts w:eastAsia="Palatino Linotype" w:cs="Palatino Linotype"/>
          <w:szCs w:val="24"/>
        </w:rPr>
        <w:t>expediente</w:t>
      </w:r>
      <w:r w:rsidRPr="00EC408A">
        <w:rPr>
          <w:rFonts w:ascii="Verdana" w:hAnsi="Verdana"/>
          <w:b/>
          <w:bCs/>
          <w:color w:val="FF0000"/>
        </w:rPr>
        <w:t xml:space="preserve"> </w:t>
      </w:r>
      <w:r w:rsidRPr="00EC408A">
        <w:rPr>
          <w:b/>
          <w:bCs/>
        </w:rPr>
        <w:t>00055/VIGUERRE/IP/2023</w:t>
      </w:r>
      <w:r w:rsidRPr="00802B59">
        <w:rPr>
          <w:rFonts w:eastAsia="Palatino Linotype" w:cs="Palatino Linotype"/>
          <w:szCs w:val="24"/>
        </w:rPr>
        <w:t>,</w:t>
      </w:r>
      <w:r w:rsidRPr="00802B59">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3B2BC4F1" w14:textId="77777777" w:rsidR="0090545F" w:rsidRPr="00875B7E" w:rsidRDefault="0090545F" w:rsidP="00EC408A">
      <w:pPr>
        <w:pBdr>
          <w:top w:val="nil"/>
          <w:left w:val="nil"/>
          <w:bottom w:val="nil"/>
          <w:right w:val="nil"/>
          <w:between w:val="nil"/>
        </w:pBdr>
        <w:contextualSpacing/>
        <w:rPr>
          <w:rFonts w:eastAsia="Palatino Linotype" w:cs="Palatino Linotype"/>
          <w:color w:val="000000"/>
          <w:szCs w:val="24"/>
        </w:rPr>
      </w:pPr>
    </w:p>
    <w:p w14:paraId="192F1BBC" w14:textId="77777777" w:rsidR="00EC408A" w:rsidRPr="006922F5" w:rsidRDefault="00EC408A" w:rsidP="00EC408A">
      <w:pPr>
        <w:pStyle w:val="Fundamentos"/>
      </w:pPr>
      <w:r w:rsidRPr="006922F5">
        <w:t>“</w:t>
      </w:r>
      <w:r w:rsidRPr="00EC408A">
        <w:rPr>
          <w:sz w:val="24"/>
        </w:rPr>
        <w:t xml:space="preserve">se solicita </w:t>
      </w:r>
      <w:proofErr w:type="spellStart"/>
      <w:r w:rsidRPr="00EC408A">
        <w:rPr>
          <w:sz w:val="24"/>
        </w:rPr>
        <w:t>informacion</w:t>
      </w:r>
      <w:proofErr w:type="spellEnd"/>
      <w:r w:rsidRPr="00EC408A">
        <w:rPr>
          <w:sz w:val="24"/>
        </w:rPr>
        <w:t xml:space="preserve"> y copia de la factura u orden pago de la escultura </w:t>
      </w:r>
      <w:proofErr w:type="spellStart"/>
      <w:r w:rsidRPr="00EC408A">
        <w:rPr>
          <w:sz w:val="24"/>
        </w:rPr>
        <w:t>yaotecuani</w:t>
      </w:r>
      <w:proofErr w:type="spellEnd"/>
      <w:r w:rsidRPr="00EC408A">
        <w:rPr>
          <w:sz w:val="24"/>
        </w:rPr>
        <w:t xml:space="preserve"> que se instalara en la glorieta norte de villa guerrero, </w:t>
      </w:r>
      <w:proofErr w:type="spellStart"/>
      <w:r w:rsidRPr="00EC408A">
        <w:rPr>
          <w:sz w:val="24"/>
        </w:rPr>
        <w:t>mexico</w:t>
      </w:r>
      <w:proofErr w:type="spellEnd"/>
      <w:r w:rsidRPr="00EC408A">
        <w:rPr>
          <w:sz w:val="24"/>
        </w:rPr>
        <w:t>”</w:t>
      </w:r>
      <w:r>
        <w:t xml:space="preserve"> </w:t>
      </w:r>
      <w:r w:rsidRPr="006922F5">
        <w:t>(Sic)</w:t>
      </w:r>
    </w:p>
    <w:p w14:paraId="3F47A808" w14:textId="77777777" w:rsidR="00EC408A" w:rsidRPr="00875B7E" w:rsidRDefault="00EC408A" w:rsidP="00EC408A">
      <w:pPr>
        <w:pBdr>
          <w:top w:val="nil"/>
          <w:left w:val="nil"/>
          <w:bottom w:val="nil"/>
          <w:right w:val="nil"/>
          <w:between w:val="nil"/>
        </w:pBdr>
        <w:contextualSpacing/>
        <w:rPr>
          <w:rFonts w:eastAsia="Palatino Linotype" w:cs="Palatino Linotype"/>
          <w:color w:val="000000"/>
          <w:szCs w:val="24"/>
        </w:rPr>
      </w:pPr>
    </w:p>
    <w:p w14:paraId="3B05FF3E" w14:textId="77777777" w:rsidR="00EC408A" w:rsidRPr="006922F5" w:rsidRDefault="00EC408A" w:rsidP="00EC408A">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701DBA2C" w14:textId="77777777" w:rsidR="00EC408A" w:rsidRDefault="00EC408A" w:rsidP="00EC408A">
      <w:pPr>
        <w:pBdr>
          <w:top w:val="nil"/>
          <w:left w:val="nil"/>
          <w:bottom w:val="nil"/>
          <w:right w:val="nil"/>
          <w:between w:val="nil"/>
        </w:pBdr>
        <w:contextualSpacing/>
        <w:rPr>
          <w:rFonts w:eastAsia="Palatino Linotype" w:cs="Palatino Linotype"/>
          <w:color w:val="000000"/>
          <w:szCs w:val="24"/>
        </w:rPr>
      </w:pPr>
    </w:p>
    <w:p w14:paraId="3F7C2338" w14:textId="77777777" w:rsidR="00EC408A" w:rsidRPr="00B35E0D" w:rsidRDefault="00EC408A" w:rsidP="00B35E0D">
      <w:pPr>
        <w:pStyle w:val="Ttulo2"/>
        <w:rPr>
          <w:rFonts w:eastAsia="Palatino Linotype"/>
        </w:rPr>
      </w:pPr>
      <w:r>
        <w:rPr>
          <w:rFonts w:eastAsia="Palatino Linotype"/>
        </w:rPr>
        <w:lastRenderedPageBreak/>
        <w:t>SEGUNDO</w:t>
      </w:r>
      <w:r w:rsidRPr="006922F5">
        <w:rPr>
          <w:rFonts w:eastAsia="Palatino Linotype"/>
        </w:rPr>
        <w:t>. De la respuesta del Sujeto Obligado.</w:t>
      </w:r>
    </w:p>
    <w:p w14:paraId="185FF14A" w14:textId="77777777" w:rsidR="00EC408A" w:rsidRDefault="00EC408A" w:rsidP="00EC408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que el día</w:t>
      </w:r>
      <w:r>
        <w:rPr>
          <w:rFonts w:eastAsia="Palatino Linotype" w:cs="Palatino Linotype"/>
          <w:color w:val="000000"/>
          <w:szCs w:val="24"/>
        </w:rPr>
        <w:t xml:space="preserve"> veinte de octubre de dos mil veintitrés</w:t>
      </w:r>
      <w:r w:rsidRPr="006922F5">
        <w:rPr>
          <w:rFonts w:eastAsia="Palatino Linotype" w:cs="Palatino Linotype"/>
          <w:color w:val="000000"/>
          <w:szCs w:val="24"/>
        </w:rPr>
        <w:t>, el Sujeto Obligado dio respuesta a la solicitud de información manifestando lo siguiente:</w:t>
      </w:r>
    </w:p>
    <w:p w14:paraId="33B86479" w14:textId="77777777" w:rsidR="0090545F" w:rsidRPr="0037112D" w:rsidRDefault="0090545F" w:rsidP="00EC408A">
      <w:pPr>
        <w:pBdr>
          <w:top w:val="nil"/>
          <w:left w:val="nil"/>
          <w:bottom w:val="nil"/>
          <w:right w:val="nil"/>
          <w:between w:val="nil"/>
        </w:pBdr>
        <w:contextualSpacing/>
        <w:rPr>
          <w:rFonts w:eastAsia="Palatino Linotype" w:cs="Palatino Linotype"/>
          <w:color w:val="000000"/>
          <w:szCs w:val="24"/>
        </w:rPr>
      </w:pPr>
    </w:p>
    <w:tbl>
      <w:tblPr>
        <w:tblW w:w="6519" w:type="dxa"/>
        <w:jc w:val="center"/>
        <w:tblCellSpacing w:w="0" w:type="dxa"/>
        <w:tblCellMar>
          <w:left w:w="0" w:type="dxa"/>
          <w:right w:w="0" w:type="dxa"/>
        </w:tblCellMar>
        <w:tblLook w:val="04A0" w:firstRow="1" w:lastRow="0" w:firstColumn="1" w:lastColumn="0" w:noHBand="0" w:noVBand="1"/>
      </w:tblPr>
      <w:tblGrid>
        <w:gridCol w:w="6519"/>
      </w:tblGrid>
      <w:tr w:rsidR="00EC408A" w:rsidRPr="00EC408A" w14:paraId="65D672F9" w14:textId="77777777" w:rsidTr="00EC408A">
        <w:trPr>
          <w:trHeight w:val="284"/>
          <w:tblCellSpacing w:w="0" w:type="dxa"/>
          <w:jc w:val="center"/>
        </w:trPr>
        <w:tc>
          <w:tcPr>
            <w:tcW w:w="0" w:type="auto"/>
            <w:vAlign w:val="center"/>
            <w:hideMark/>
          </w:tcPr>
          <w:p w14:paraId="43F33F76" w14:textId="77777777" w:rsidR="00EC408A" w:rsidRPr="00EC408A" w:rsidRDefault="00EC408A" w:rsidP="00EC408A">
            <w:pPr>
              <w:spacing w:line="240" w:lineRule="auto"/>
              <w:jc w:val="right"/>
              <w:rPr>
                <w:rFonts w:eastAsia="Times New Roman" w:cs="Times New Roman"/>
                <w:i/>
                <w:sz w:val="22"/>
                <w:lang w:val="es-MX"/>
              </w:rPr>
            </w:pPr>
            <w:r w:rsidRPr="00EC408A">
              <w:rPr>
                <w:rFonts w:eastAsia="Times New Roman" w:cs="Times New Roman"/>
                <w:i/>
                <w:sz w:val="22"/>
                <w:lang w:val="es-MX"/>
              </w:rPr>
              <w:t xml:space="preserve">Villa Guerrero, México a 20 de </w:t>
            </w:r>
            <w:proofErr w:type="gramStart"/>
            <w:r w:rsidRPr="00EC408A">
              <w:rPr>
                <w:rFonts w:eastAsia="Times New Roman" w:cs="Times New Roman"/>
                <w:i/>
                <w:sz w:val="22"/>
                <w:lang w:val="es-MX"/>
              </w:rPr>
              <w:t>Octubre</w:t>
            </w:r>
            <w:proofErr w:type="gramEnd"/>
            <w:r w:rsidRPr="00EC408A">
              <w:rPr>
                <w:rFonts w:eastAsia="Times New Roman" w:cs="Times New Roman"/>
                <w:i/>
                <w:sz w:val="22"/>
                <w:lang w:val="es-MX"/>
              </w:rPr>
              <w:t xml:space="preserve"> de 2023</w:t>
            </w:r>
          </w:p>
        </w:tc>
      </w:tr>
      <w:tr w:rsidR="00EC408A" w:rsidRPr="00EC408A" w14:paraId="466CDE62" w14:textId="77777777" w:rsidTr="00EC408A">
        <w:trPr>
          <w:trHeight w:val="284"/>
          <w:tblCellSpacing w:w="0" w:type="dxa"/>
          <w:jc w:val="center"/>
        </w:trPr>
        <w:tc>
          <w:tcPr>
            <w:tcW w:w="0" w:type="auto"/>
            <w:vAlign w:val="center"/>
            <w:hideMark/>
          </w:tcPr>
          <w:p w14:paraId="6F05A3E1" w14:textId="77777777" w:rsidR="00EC408A" w:rsidRPr="00EC408A" w:rsidRDefault="00EC408A" w:rsidP="00EC408A">
            <w:pPr>
              <w:spacing w:line="240" w:lineRule="auto"/>
              <w:jc w:val="right"/>
              <w:rPr>
                <w:rFonts w:eastAsia="Times New Roman" w:cs="Times New Roman"/>
                <w:i/>
                <w:sz w:val="22"/>
                <w:lang w:val="es-MX"/>
              </w:rPr>
            </w:pPr>
            <w:r w:rsidRPr="00EC408A">
              <w:rPr>
                <w:rFonts w:eastAsia="Times New Roman" w:cs="Times New Roman"/>
                <w:i/>
                <w:sz w:val="22"/>
                <w:lang w:val="es-MX"/>
              </w:rPr>
              <w:t>Nombre del solicitante: C. Solicitante</w:t>
            </w:r>
          </w:p>
        </w:tc>
      </w:tr>
      <w:tr w:rsidR="00EC408A" w:rsidRPr="00EC408A" w14:paraId="55CF6B00" w14:textId="77777777" w:rsidTr="00EC408A">
        <w:trPr>
          <w:trHeight w:val="284"/>
          <w:tblCellSpacing w:w="0" w:type="dxa"/>
          <w:jc w:val="center"/>
        </w:trPr>
        <w:tc>
          <w:tcPr>
            <w:tcW w:w="0" w:type="auto"/>
            <w:vAlign w:val="center"/>
            <w:hideMark/>
          </w:tcPr>
          <w:p w14:paraId="599C21F4" w14:textId="77777777" w:rsidR="00EC408A" w:rsidRPr="00EC408A" w:rsidRDefault="00EC408A" w:rsidP="00EC408A">
            <w:pPr>
              <w:spacing w:line="240" w:lineRule="auto"/>
              <w:jc w:val="right"/>
              <w:rPr>
                <w:rFonts w:eastAsia="Times New Roman" w:cs="Times New Roman"/>
                <w:i/>
                <w:sz w:val="22"/>
                <w:lang w:val="es-MX"/>
              </w:rPr>
            </w:pPr>
            <w:r w:rsidRPr="00EC408A">
              <w:rPr>
                <w:rFonts w:eastAsia="Times New Roman" w:cs="Times New Roman"/>
                <w:i/>
                <w:sz w:val="22"/>
                <w:lang w:val="es-MX"/>
              </w:rPr>
              <w:t>Folio de la solicitud: 00055/VIGUERRE/IP/2023</w:t>
            </w:r>
          </w:p>
        </w:tc>
      </w:tr>
      <w:tr w:rsidR="00EC408A" w:rsidRPr="00EC408A" w14:paraId="2FC50C4F" w14:textId="77777777" w:rsidTr="00EC408A">
        <w:trPr>
          <w:trHeight w:val="142"/>
          <w:tblCellSpacing w:w="0" w:type="dxa"/>
          <w:jc w:val="center"/>
        </w:trPr>
        <w:tc>
          <w:tcPr>
            <w:tcW w:w="0" w:type="auto"/>
            <w:vAlign w:val="center"/>
            <w:hideMark/>
          </w:tcPr>
          <w:p w14:paraId="1148C548" w14:textId="77777777" w:rsidR="00EC408A" w:rsidRPr="00EC408A" w:rsidRDefault="00EC408A" w:rsidP="00EC408A">
            <w:pPr>
              <w:spacing w:line="240" w:lineRule="auto"/>
              <w:jc w:val="center"/>
              <w:rPr>
                <w:rFonts w:eastAsia="Times New Roman" w:cs="Times New Roman"/>
                <w:i/>
                <w:sz w:val="22"/>
                <w:lang w:val="es-MX"/>
              </w:rPr>
            </w:pPr>
          </w:p>
        </w:tc>
      </w:tr>
      <w:tr w:rsidR="00EC408A" w:rsidRPr="00EC408A" w14:paraId="0DB1D176" w14:textId="77777777" w:rsidTr="00EC408A">
        <w:trPr>
          <w:trHeight w:val="142"/>
          <w:tblCellSpacing w:w="0" w:type="dxa"/>
          <w:jc w:val="center"/>
        </w:trPr>
        <w:tc>
          <w:tcPr>
            <w:tcW w:w="0" w:type="auto"/>
            <w:vAlign w:val="center"/>
            <w:hideMark/>
          </w:tcPr>
          <w:p w14:paraId="35761289" w14:textId="77777777" w:rsidR="00EC408A" w:rsidRPr="00EC408A" w:rsidRDefault="00EC408A" w:rsidP="00EC408A">
            <w:pPr>
              <w:spacing w:line="240" w:lineRule="auto"/>
              <w:jc w:val="left"/>
              <w:rPr>
                <w:rFonts w:eastAsia="Times New Roman" w:cs="Times New Roman"/>
                <w:i/>
                <w:sz w:val="22"/>
                <w:lang w:val="es-MX"/>
              </w:rPr>
            </w:pPr>
            <w:r w:rsidRPr="00EC408A">
              <w:rPr>
                <w:rFonts w:eastAsia="Times New Roman" w:cs="Times New Roman"/>
                <w:i/>
                <w:sz w:val="22"/>
                <w:lang w:val="es-MX"/>
              </w:rPr>
              <w:t>SOLICITUD DE ACLARACIÓN</w:t>
            </w:r>
          </w:p>
        </w:tc>
      </w:tr>
      <w:tr w:rsidR="00EC408A" w:rsidRPr="00EC408A" w14:paraId="70DE5A84" w14:textId="77777777" w:rsidTr="00EC408A">
        <w:trPr>
          <w:trHeight w:val="142"/>
          <w:tblCellSpacing w:w="0" w:type="dxa"/>
          <w:jc w:val="center"/>
        </w:trPr>
        <w:tc>
          <w:tcPr>
            <w:tcW w:w="0" w:type="auto"/>
            <w:vAlign w:val="center"/>
            <w:hideMark/>
          </w:tcPr>
          <w:p w14:paraId="79BD5E7A" w14:textId="77777777" w:rsidR="00EC408A" w:rsidRPr="00EC408A" w:rsidRDefault="00EC408A" w:rsidP="00EC408A">
            <w:pPr>
              <w:spacing w:line="240" w:lineRule="auto"/>
              <w:jc w:val="left"/>
              <w:rPr>
                <w:rFonts w:eastAsia="Times New Roman" w:cs="Times New Roman"/>
                <w:i/>
                <w:sz w:val="22"/>
                <w:lang w:val="es-MX"/>
              </w:rPr>
            </w:pPr>
          </w:p>
        </w:tc>
      </w:tr>
      <w:tr w:rsidR="00EC408A" w:rsidRPr="00EC408A" w14:paraId="3C9BD15A" w14:textId="77777777" w:rsidTr="00EC408A">
        <w:trPr>
          <w:trHeight w:val="142"/>
          <w:tblCellSpacing w:w="0" w:type="dxa"/>
          <w:jc w:val="center"/>
        </w:trPr>
        <w:tc>
          <w:tcPr>
            <w:tcW w:w="0" w:type="auto"/>
            <w:vAlign w:val="center"/>
            <w:hideMark/>
          </w:tcPr>
          <w:p w14:paraId="1D435EE2" w14:textId="77777777" w:rsidR="00EC408A" w:rsidRPr="00EC408A" w:rsidRDefault="00EC408A" w:rsidP="00EC408A">
            <w:pPr>
              <w:spacing w:line="240" w:lineRule="auto"/>
              <w:jc w:val="left"/>
              <w:rPr>
                <w:rFonts w:eastAsia="Times New Roman" w:cs="Times New Roman"/>
                <w:i/>
                <w:sz w:val="22"/>
                <w:lang w:val="es-MX"/>
              </w:rPr>
            </w:pPr>
            <w:r w:rsidRPr="00EC408A">
              <w:rPr>
                <w:rFonts w:eastAsia="Times New Roman" w:cs="Times New Roman"/>
                <w:i/>
                <w:sz w:val="22"/>
                <w:lang w:val="es-MX"/>
              </w:rPr>
              <w:t>ATENTAMENTE</w:t>
            </w:r>
          </w:p>
        </w:tc>
      </w:tr>
      <w:tr w:rsidR="00EC408A" w:rsidRPr="00EC408A" w14:paraId="6CAA3E76" w14:textId="77777777" w:rsidTr="00EC408A">
        <w:trPr>
          <w:trHeight w:val="142"/>
          <w:tblCellSpacing w:w="0" w:type="dxa"/>
          <w:jc w:val="center"/>
        </w:trPr>
        <w:tc>
          <w:tcPr>
            <w:tcW w:w="0" w:type="auto"/>
            <w:vAlign w:val="center"/>
            <w:hideMark/>
          </w:tcPr>
          <w:p w14:paraId="40BB4DF3" w14:textId="77777777" w:rsidR="00EC408A" w:rsidRPr="00EC408A" w:rsidRDefault="00EC408A" w:rsidP="00EC408A">
            <w:pPr>
              <w:spacing w:line="240" w:lineRule="auto"/>
              <w:jc w:val="left"/>
              <w:rPr>
                <w:rFonts w:eastAsia="Times New Roman" w:cs="Times New Roman"/>
                <w:i/>
                <w:sz w:val="22"/>
                <w:lang w:val="es-MX"/>
              </w:rPr>
            </w:pPr>
            <w:proofErr w:type="spellStart"/>
            <w:r w:rsidRPr="00EC408A">
              <w:rPr>
                <w:rFonts w:eastAsia="Times New Roman" w:cs="Times New Roman"/>
                <w:i/>
                <w:sz w:val="22"/>
                <w:lang w:val="es-MX"/>
              </w:rPr>
              <w:t>L.D</w:t>
            </w:r>
            <w:proofErr w:type="spellEnd"/>
            <w:r w:rsidRPr="00EC408A">
              <w:rPr>
                <w:rFonts w:eastAsia="Times New Roman" w:cs="Times New Roman"/>
                <w:i/>
                <w:sz w:val="22"/>
                <w:lang w:val="es-MX"/>
              </w:rPr>
              <w:t xml:space="preserve"> </w:t>
            </w:r>
            <w:proofErr w:type="spellStart"/>
            <w:r w:rsidRPr="00EC408A">
              <w:rPr>
                <w:rFonts w:eastAsia="Times New Roman" w:cs="Times New Roman"/>
                <w:i/>
                <w:sz w:val="22"/>
                <w:lang w:val="es-MX"/>
              </w:rPr>
              <w:t>Sabdi</w:t>
            </w:r>
            <w:proofErr w:type="spellEnd"/>
            <w:r w:rsidRPr="00EC408A">
              <w:rPr>
                <w:rFonts w:eastAsia="Times New Roman" w:cs="Times New Roman"/>
                <w:i/>
                <w:sz w:val="22"/>
                <w:lang w:val="es-MX"/>
              </w:rPr>
              <w:t xml:space="preserve"> </w:t>
            </w:r>
            <w:proofErr w:type="spellStart"/>
            <w:r w:rsidRPr="00EC408A">
              <w:rPr>
                <w:rFonts w:eastAsia="Times New Roman" w:cs="Times New Roman"/>
                <w:i/>
                <w:sz w:val="22"/>
                <w:lang w:val="es-MX"/>
              </w:rPr>
              <w:t>Sinahi</w:t>
            </w:r>
            <w:proofErr w:type="spellEnd"/>
            <w:r w:rsidRPr="00EC408A">
              <w:rPr>
                <w:rFonts w:eastAsia="Times New Roman" w:cs="Times New Roman"/>
                <w:i/>
                <w:sz w:val="22"/>
                <w:lang w:val="es-MX"/>
              </w:rPr>
              <w:t xml:space="preserve"> </w:t>
            </w:r>
            <w:proofErr w:type="spellStart"/>
            <w:r w:rsidRPr="00EC408A">
              <w:rPr>
                <w:rFonts w:eastAsia="Times New Roman" w:cs="Times New Roman"/>
                <w:i/>
                <w:sz w:val="22"/>
                <w:lang w:val="es-MX"/>
              </w:rPr>
              <w:t>Martinez</w:t>
            </w:r>
            <w:proofErr w:type="spellEnd"/>
            <w:r w:rsidRPr="00EC408A">
              <w:rPr>
                <w:rFonts w:eastAsia="Times New Roman" w:cs="Times New Roman"/>
                <w:i/>
                <w:sz w:val="22"/>
                <w:lang w:val="es-MX"/>
              </w:rPr>
              <w:t xml:space="preserve"> Suarez</w:t>
            </w:r>
          </w:p>
        </w:tc>
      </w:tr>
    </w:tbl>
    <w:p w14:paraId="5A2B373E" w14:textId="77777777" w:rsidR="00EC408A" w:rsidRPr="00404754" w:rsidRDefault="00EC408A" w:rsidP="00EC408A">
      <w:pPr>
        <w:pStyle w:val="Fundamentos"/>
        <w:ind w:left="0"/>
        <w:rPr>
          <w:lang w:val="es-MX"/>
        </w:rPr>
      </w:pPr>
      <w:r>
        <w:rPr>
          <w:lang w:val="es-MX"/>
        </w:rPr>
        <w:t xml:space="preserve"> </w:t>
      </w:r>
    </w:p>
    <w:p w14:paraId="46F32176" w14:textId="77777777" w:rsidR="00EC408A" w:rsidRPr="00404754" w:rsidRDefault="00EC408A" w:rsidP="00EC408A">
      <w:pPr>
        <w:pBdr>
          <w:top w:val="nil"/>
          <w:left w:val="nil"/>
          <w:bottom w:val="nil"/>
          <w:right w:val="nil"/>
          <w:between w:val="nil"/>
        </w:pBdr>
        <w:contextualSpacing/>
        <w:rPr>
          <w:rFonts w:eastAsia="Palatino Linotype" w:cs="Palatino Linotype"/>
          <w:color w:val="000000"/>
          <w:szCs w:val="24"/>
          <w:lang w:val="es-MX"/>
        </w:rPr>
      </w:pPr>
    </w:p>
    <w:p w14:paraId="785780D5" w14:textId="77777777" w:rsidR="00EC408A" w:rsidRPr="002368B2" w:rsidRDefault="00EC408A" w:rsidP="00EC408A">
      <w:pPr>
        <w:pBdr>
          <w:top w:val="nil"/>
          <w:left w:val="nil"/>
          <w:bottom w:val="nil"/>
          <w:right w:val="nil"/>
          <w:between w:val="nil"/>
        </w:pBdr>
        <w:contextualSpacing/>
        <w:rPr>
          <w:i/>
          <w:szCs w:val="24"/>
        </w:rPr>
      </w:pPr>
      <w:r w:rsidRPr="0037112D">
        <w:rPr>
          <w:rFonts w:eastAsia="Palatino Linotype" w:cs="Palatino Linotype"/>
          <w:color w:val="000000"/>
          <w:szCs w:val="24"/>
        </w:rPr>
        <w:t xml:space="preserve">El Sujeto Obligado </w:t>
      </w:r>
      <w:r>
        <w:rPr>
          <w:rFonts w:eastAsia="Palatino Linotype" w:cs="Palatino Linotype"/>
          <w:color w:val="000000"/>
          <w:szCs w:val="24"/>
        </w:rPr>
        <w:t xml:space="preserve">adjuntó a su respuesta el documento denominado </w:t>
      </w:r>
      <w:r w:rsidRPr="00EC408A">
        <w:rPr>
          <w:rFonts w:eastAsia="Palatino Linotype" w:cs="Palatino Linotype"/>
          <w:b/>
          <w:bCs/>
          <w:i/>
          <w:szCs w:val="24"/>
        </w:rPr>
        <w:t>“</w:t>
      </w:r>
      <w:hyperlink r:id="rId7" w:tgtFrame="_blank" w:history="1">
        <w:r w:rsidRPr="00EC408A">
          <w:rPr>
            <w:rStyle w:val="Hipervnculo"/>
            <w:rFonts w:cs="Arial"/>
            <w:b/>
            <w:bCs/>
            <w:i/>
            <w:color w:val="auto"/>
            <w:szCs w:val="24"/>
          </w:rPr>
          <w:t>FORMATO ACLARACIÓN 00055.docx</w:t>
        </w:r>
      </w:hyperlink>
      <w:r w:rsidRPr="007A5B0F">
        <w:rPr>
          <w:i/>
          <w:szCs w:val="24"/>
        </w:rPr>
        <w:t>”</w:t>
      </w:r>
      <w:r w:rsidRPr="007A5B0F">
        <w:rPr>
          <w:rFonts w:eastAsia="Palatino Linotype" w:cs="Palatino Linotype"/>
          <w:szCs w:val="24"/>
        </w:rPr>
        <w:t>,</w:t>
      </w:r>
      <w:r w:rsidRPr="00802B59">
        <w:rPr>
          <w:rFonts w:eastAsia="Palatino Linotype" w:cs="Palatino Linotype"/>
          <w:szCs w:val="24"/>
        </w:rPr>
        <w:t xml:space="preserve"> </w:t>
      </w:r>
      <w:r>
        <w:rPr>
          <w:rFonts w:eastAsia="Palatino Linotype" w:cs="Palatino Linotype"/>
          <w:color w:val="000000"/>
          <w:szCs w:val="24"/>
        </w:rPr>
        <w:t>el cual no se reproduce por ser del conocimiento de las partes; no obstante, su contenido será motivo de análisis en el estudio correspondiente.</w:t>
      </w:r>
    </w:p>
    <w:p w14:paraId="4FF66AD5" w14:textId="77777777" w:rsidR="00EC408A" w:rsidRPr="0037112D" w:rsidRDefault="00EC408A" w:rsidP="00EC408A">
      <w:pPr>
        <w:pBdr>
          <w:top w:val="nil"/>
          <w:left w:val="nil"/>
          <w:bottom w:val="nil"/>
          <w:right w:val="nil"/>
          <w:between w:val="nil"/>
        </w:pBdr>
        <w:contextualSpacing/>
        <w:rPr>
          <w:rFonts w:eastAsia="Palatino Linotype" w:cs="Palatino Linotype"/>
          <w:color w:val="000000"/>
          <w:szCs w:val="24"/>
        </w:rPr>
      </w:pPr>
    </w:p>
    <w:p w14:paraId="3B6D462B" w14:textId="77777777" w:rsidR="00EC408A" w:rsidRPr="006922F5" w:rsidRDefault="00EC408A" w:rsidP="00EC408A">
      <w:pPr>
        <w:pStyle w:val="Ttulo2"/>
        <w:rPr>
          <w:rFonts w:eastAsia="Palatino Linotype"/>
        </w:rPr>
      </w:pPr>
      <w:r>
        <w:rPr>
          <w:rFonts w:eastAsia="Palatino Linotype"/>
        </w:rPr>
        <w:t>TERCERO</w:t>
      </w:r>
      <w:r w:rsidRPr="006922F5">
        <w:rPr>
          <w:rFonts w:eastAsia="Palatino Linotype"/>
        </w:rPr>
        <w:t>. Del recurso de revisión.</w:t>
      </w:r>
    </w:p>
    <w:p w14:paraId="6A29C2D3" w14:textId="77777777" w:rsidR="00EC408A" w:rsidRPr="006922F5" w:rsidRDefault="00EC408A" w:rsidP="00EC408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Inconforme con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el </w:t>
      </w:r>
      <w:r>
        <w:rPr>
          <w:rFonts w:eastAsia="Palatino Linotype" w:cs="Palatino Linotype"/>
          <w:color w:val="000000"/>
          <w:szCs w:val="24"/>
        </w:rPr>
        <w:t>tres de noviembre de dos mil veintitrés</w:t>
      </w:r>
      <w:r w:rsidRPr="006922F5">
        <w:rPr>
          <w:rFonts w:eastAsia="Palatino Linotype" w:cs="Palatino Linotype"/>
          <w:color w:val="000000"/>
          <w:szCs w:val="24"/>
        </w:rPr>
        <w:t xml:space="preserve">, el cual se registró con el expediente número </w:t>
      </w:r>
      <w:r>
        <w:rPr>
          <w:rFonts w:eastAsia="Palatino Linotype" w:cs="Palatino Linotype"/>
          <w:b/>
          <w:color w:val="000000"/>
          <w:szCs w:val="24"/>
        </w:rPr>
        <w:t>07680/INFOEM/IP/RR/2023</w:t>
      </w:r>
      <w:r w:rsidRPr="006922F5">
        <w:rPr>
          <w:rFonts w:eastAsia="Palatino Linotype" w:cs="Palatino Linotype"/>
          <w:color w:val="000000"/>
          <w:szCs w:val="24"/>
        </w:rPr>
        <w:t>, manifestando lo siguiente:</w:t>
      </w:r>
    </w:p>
    <w:p w14:paraId="5F24055F" w14:textId="77777777" w:rsidR="00EC408A" w:rsidRPr="006922F5" w:rsidRDefault="00EC408A" w:rsidP="00EC408A">
      <w:pPr>
        <w:pBdr>
          <w:top w:val="nil"/>
          <w:left w:val="nil"/>
          <w:bottom w:val="nil"/>
          <w:right w:val="nil"/>
          <w:between w:val="nil"/>
        </w:pBdr>
        <w:contextualSpacing/>
        <w:rPr>
          <w:rFonts w:eastAsia="Palatino Linotype" w:cs="Palatino Linotype"/>
          <w:color w:val="000000"/>
          <w:szCs w:val="24"/>
        </w:rPr>
      </w:pPr>
    </w:p>
    <w:p w14:paraId="03EEFCDC" w14:textId="77777777" w:rsidR="00EC408A" w:rsidRPr="006922F5" w:rsidRDefault="00EC408A" w:rsidP="00EC408A">
      <w:pPr>
        <w:contextualSpacing/>
        <w:rPr>
          <w:rFonts w:eastAsia="Palatino Linotype" w:cs="Palatino Linotype"/>
          <w:b/>
        </w:rPr>
      </w:pPr>
      <w:r w:rsidRPr="006922F5">
        <w:rPr>
          <w:rFonts w:eastAsia="Palatino Linotype" w:cs="Palatino Linotype"/>
          <w:b/>
        </w:rPr>
        <w:t xml:space="preserve">Acto Impugnado: </w:t>
      </w:r>
    </w:p>
    <w:p w14:paraId="02673441" w14:textId="77777777" w:rsidR="00EC408A" w:rsidRPr="006922F5" w:rsidRDefault="00EC408A" w:rsidP="00EC408A">
      <w:pPr>
        <w:pStyle w:val="Fundamentos"/>
        <w:rPr>
          <w:b/>
        </w:rPr>
      </w:pPr>
      <w:r w:rsidRPr="00EC408A">
        <w:rPr>
          <w:szCs w:val="22"/>
        </w:rPr>
        <w:t>“NEGATIVA DE BRINDAR LA INFORMACION SOLICITADA”</w:t>
      </w:r>
      <w:r>
        <w:rPr>
          <w:rFonts w:ascii="Verdana" w:hAnsi="Verdana"/>
          <w:sz w:val="14"/>
          <w:szCs w:val="14"/>
        </w:rPr>
        <w:t xml:space="preserve"> </w:t>
      </w:r>
      <w:r w:rsidRPr="006922F5">
        <w:t>Sic)</w:t>
      </w:r>
    </w:p>
    <w:p w14:paraId="4C4C5B28" w14:textId="77777777" w:rsidR="00EC408A" w:rsidRPr="006922F5" w:rsidRDefault="00EC408A" w:rsidP="00EC408A">
      <w:pPr>
        <w:contextualSpacing/>
        <w:rPr>
          <w:rFonts w:eastAsia="Palatino Linotype" w:cs="Palatino Linotype"/>
          <w:iCs/>
          <w:szCs w:val="24"/>
        </w:rPr>
      </w:pPr>
    </w:p>
    <w:p w14:paraId="2851FA8E" w14:textId="77777777" w:rsidR="00EC408A" w:rsidRPr="006922F5" w:rsidRDefault="00EC408A" w:rsidP="00EC408A">
      <w:pPr>
        <w:contextualSpacing/>
        <w:rPr>
          <w:rFonts w:eastAsia="Palatino Linotype" w:cs="Palatino Linotype"/>
        </w:rPr>
      </w:pPr>
      <w:r w:rsidRPr="006922F5">
        <w:rPr>
          <w:rFonts w:eastAsia="Palatino Linotype" w:cs="Palatino Linotype"/>
          <w:b/>
        </w:rPr>
        <w:t>Razones o Motivos de Inconformidad</w:t>
      </w:r>
      <w:r w:rsidRPr="006922F5">
        <w:rPr>
          <w:rFonts w:eastAsia="Palatino Linotype" w:cs="Palatino Linotype"/>
        </w:rPr>
        <w:t>:</w:t>
      </w:r>
    </w:p>
    <w:p w14:paraId="6C05EF14" w14:textId="77777777" w:rsidR="00EC408A" w:rsidRPr="00951868" w:rsidRDefault="00EC408A" w:rsidP="00EC408A">
      <w:pPr>
        <w:pStyle w:val="Fundamentos"/>
        <w:spacing w:line="360" w:lineRule="auto"/>
        <w:rPr>
          <w:sz w:val="24"/>
        </w:rPr>
      </w:pPr>
      <w:r w:rsidRPr="00EC408A">
        <w:rPr>
          <w:szCs w:val="22"/>
        </w:rPr>
        <w:lastRenderedPageBreak/>
        <w:t>“POR INSTRUCCIONES DEL PRESIDENTE MUNICIPAL DE VILLA GUERRERO ESTADO DE MEXICO LA FIGURIN DE LICENCIADA SABDI SINAHI MARTINEZ SUAREZ EN CONTUBERNIO CON LA VIOLADORA FLAGRANTE DE LA LEY MARICELA RAMIREZ COTERO CONSEJERA DE INFOEM Y FIDUSITARIA DE LAS TRANZAS DEL ACTUAL PRESIDENTE MUNICIPAL SE ME HA NEGADO MI DERECHO CONSTITUCIONAL CONSIDERADO EN EL ARTICULO 6TO FRACCION I ADEMAS VIOLANDO EL PRINCIPIO DE MAXIMA PUBLICIDAD DE LA LEY DE INFORMACION PUBLICA, TAL COMO CONSTA EN LA RESPUESTA 005 LA MARICELA RAMIREZ COTERO ES LA TITULAR DE ACCESO A LA INFORMACION PUBLICA DE VILLA GUERRERO”</w:t>
      </w:r>
      <w:r w:rsidRPr="00951868">
        <w:rPr>
          <w:sz w:val="24"/>
        </w:rPr>
        <w:t xml:space="preserve"> (Sic)</w:t>
      </w:r>
    </w:p>
    <w:p w14:paraId="3AB1B5C5" w14:textId="77777777" w:rsidR="00EC408A" w:rsidRPr="006922F5" w:rsidRDefault="00EC408A" w:rsidP="00EC408A">
      <w:pPr>
        <w:pBdr>
          <w:top w:val="nil"/>
          <w:left w:val="nil"/>
          <w:bottom w:val="nil"/>
          <w:right w:val="nil"/>
          <w:between w:val="nil"/>
        </w:pBdr>
        <w:contextualSpacing/>
        <w:rPr>
          <w:rFonts w:eastAsia="Palatino Linotype" w:cs="Palatino Linotype"/>
          <w:color w:val="000000"/>
          <w:szCs w:val="24"/>
        </w:rPr>
      </w:pPr>
    </w:p>
    <w:p w14:paraId="4E9728CC" w14:textId="77777777" w:rsidR="00EC408A" w:rsidRPr="006922F5" w:rsidRDefault="00EC408A" w:rsidP="00EC408A">
      <w:pPr>
        <w:pStyle w:val="Ttulo2"/>
        <w:rPr>
          <w:rFonts w:eastAsia="Palatino Linotype"/>
        </w:rPr>
      </w:pPr>
      <w:r>
        <w:rPr>
          <w:rFonts w:eastAsia="Palatino Linotype"/>
        </w:rPr>
        <w:t>CUARTO</w:t>
      </w:r>
      <w:r w:rsidRPr="006922F5">
        <w:rPr>
          <w:rFonts w:eastAsia="Palatino Linotype"/>
        </w:rPr>
        <w:t>. Del turno y admisión del recurso de revisión.</w:t>
      </w:r>
    </w:p>
    <w:p w14:paraId="1804F8F9" w14:textId="77777777" w:rsidR="00EC408A" w:rsidRPr="006922F5" w:rsidRDefault="00EC408A" w:rsidP="00EC408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 xml:space="preserve">Comisionado </w:t>
      </w:r>
      <w:proofErr w:type="gramStart"/>
      <w:r w:rsidRPr="006922F5">
        <w:rPr>
          <w:rFonts w:eastAsia="Palatino Linotype" w:cs="Palatino Linotype"/>
          <w:b/>
          <w:color w:val="000000"/>
          <w:szCs w:val="24"/>
        </w:rPr>
        <w:t>Presidente</w:t>
      </w:r>
      <w:proofErr w:type="gramEnd"/>
      <w:r w:rsidRPr="006922F5">
        <w:rPr>
          <w:rFonts w:eastAsia="Palatino Linotype" w:cs="Palatino Linotype"/>
          <w:b/>
          <w:color w:val="000000"/>
          <w:szCs w:val="24"/>
        </w:rPr>
        <w:t xml:space="preserve"> 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Estado de México y Municipios, al cual recayó acuerdo de admisión de fecha</w:t>
      </w:r>
      <w:r>
        <w:rPr>
          <w:rFonts w:eastAsia="Palatino Linotype" w:cs="Palatino Linotype"/>
          <w:color w:val="000000"/>
          <w:szCs w:val="24"/>
        </w:rPr>
        <w:t xml:space="preserve"> </w:t>
      </w:r>
      <w:r w:rsidR="00B17852">
        <w:rPr>
          <w:rFonts w:eastAsia="Palatino Linotype" w:cs="Palatino Linotype"/>
          <w:b/>
          <w:color w:val="000000"/>
          <w:szCs w:val="24"/>
        </w:rPr>
        <w:t>nueve de noviembre</w:t>
      </w:r>
      <w:r>
        <w:rPr>
          <w:rFonts w:eastAsia="Palatino Linotype" w:cs="Palatino Linotype"/>
          <w:b/>
          <w:color w:val="000000"/>
          <w:szCs w:val="24"/>
        </w:rPr>
        <w:t xml:space="preserve"> </w:t>
      </w:r>
      <w:r>
        <w:rPr>
          <w:rFonts w:eastAsia="Palatino Linotype" w:cs="Palatino Linotype"/>
          <w:color w:val="000000"/>
          <w:szCs w:val="24"/>
        </w:rPr>
        <w:t>de dos mil veintitrés</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11D01A4A" w14:textId="77777777" w:rsidR="00EC408A" w:rsidRPr="006922F5" w:rsidRDefault="00EC408A" w:rsidP="00EC408A">
      <w:pPr>
        <w:pBdr>
          <w:top w:val="nil"/>
          <w:left w:val="nil"/>
          <w:bottom w:val="nil"/>
          <w:right w:val="nil"/>
          <w:between w:val="nil"/>
        </w:pBdr>
        <w:contextualSpacing/>
        <w:rPr>
          <w:rFonts w:eastAsia="Palatino Linotype" w:cs="Palatino Linotype"/>
          <w:color w:val="000000"/>
          <w:szCs w:val="24"/>
        </w:rPr>
      </w:pPr>
    </w:p>
    <w:p w14:paraId="778D3457" w14:textId="77777777" w:rsidR="00EC408A" w:rsidRPr="006922F5" w:rsidRDefault="00EC408A" w:rsidP="00EC408A">
      <w:pPr>
        <w:pStyle w:val="Ttulo2"/>
        <w:rPr>
          <w:rFonts w:eastAsia="Palatino Linotype"/>
        </w:rPr>
      </w:pPr>
      <w:r>
        <w:rPr>
          <w:rFonts w:eastAsia="Palatino Linotype"/>
        </w:rPr>
        <w:t>QUINTO</w:t>
      </w:r>
      <w:r w:rsidRPr="006922F5">
        <w:rPr>
          <w:rFonts w:eastAsia="Palatino Linotype"/>
        </w:rPr>
        <w:t>. De la etapa de instrucción.</w:t>
      </w:r>
    </w:p>
    <w:p w14:paraId="7F1DD4EE" w14:textId="77777777" w:rsidR="00EC408A" w:rsidRPr="006922F5" w:rsidRDefault="00EC408A" w:rsidP="00EC408A">
      <w:pPr>
        <w:pBdr>
          <w:top w:val="nil"/>
          <w:left w:val="nil"/>
          <w:bottom w:val="nil"/>
          <w:right w:val="nil"/>
          <w:between w:val="nil"/>
        </w:pBdr>
        <w:contextualSpacing/>
        <w:rPr>
          <w:rFonts w:eastAsia="Palatino Linotype" w:cs="Palatino Linotype"/>
          <w:color w:val="000000"/>
          <w:szCs w:val="24"/>
        </w:rPr>
      </w:pPr>
      <w:r w:rsidRPr="006F65AC">
        <w:rPr>
          <w:rFonts w:eastAsia="Palatino Linotype" w:cs="Palatino Linotype"/>
          <w:color w:val="000000"/>
          <w:szCs w:val="24"/>
        </w:rPr>
        <w:t>Una vez a</w:t>
      </w:r>
      <w:r>
        <w:rPr>
          <w:rFonts w:eastAsia="Palatino Linotype" w:cs="Palatino Linotype"/>
          <w:color w:val="000000"/>
          <w:szCs w:val="24"/>
        </w:rPr>
        <w:t xml:space="preserve">bierta la etapa de instrucción, el Sujeto Obligado omitió rendir </w:t>
      </w:r>
      <w:r w:rsidRPr="006F65AC">
        <w:rPr>
          <w:rFonts w:eastAsia="Palatino Linotype" w:cs="Palatino Linotype"/>
          <w:color w:val="000000"/>
          <w:szCs w:val="24"/>
        </w:rPr>
        <w:t>su Informe Justificado</w:t>
      </w:r>
      <w:r>
        <w:rPr>
          <w:rFonts w:eastAsia="Palatino Linotype" w:cs="Palatino Linotype"/>
          <w:color w:val="000000"/>
          <w:szCs w:val="24"/>
        </w:rPr>
        <w:t>. Por su</w:t>
      </w:r>
      <w:r w:rsidRPr="006F65AC">
        <w:rPr>
          <w:rFonts w:eastAsia="Palatino Linotype" w:cs="Palatino Linotype"/>
          <w:color w:val="000000"/>
          <w:szCs w:val="24"/>
        </w:rPr>
        <w:t xml:space="preserve"> parte, </w:t>
      </w:r>
      <w:r>
        <w:rPr>
          <w:rFonts w:eastAsia="Palatino Linotype" w:cs="Palatino Linotype"/>
          <w:color w:val="000000"/>
          <w:szCs w:val="24"/>
        </w:rPr>
        <w:t>el Recurrente no realizó manifestaciones, vertió alegatos ni presentó pruebas que a su derecho convinieran. El contenido de los documentos referidos será analizado en el estudio correspondiente.</w:t>
      </w:r>
    </w:p>
    <w:p w14:paraId="367E9AE2" w14:textId="77777777" w:rsidR="00EC408A" w:rsidRPr="006922F5" w:rsidRDefault="00EC408A" w:rsidP="00EC408A">
      <w:pPr>
        <w:pStyle w:val="Ttulo2"/>
        <w:rPr>
          <w:rFonts w:eastAsia="Palatino Linotype"/>
        </w:rPr>
      </w:pPr>
      <w:r w:rsidRPr="006922F5">
        <w:rPr>
          <w:rFonts w:eastAsia="Palatino Linotype"/>
        </w:rPr>
        <w:lastRenderedPageBreak/>
        <w:t>S</w:t>
      </w:r>
      <w:r>
        <w:rPr>
          <w:rFonts w:eastAsia="Palatino Linotype"/>
        </w:rPr>
        <w:t>EXTO</w:t>
      </w:r>
      <w:r w:rsidRPr="006922F5">
        <w:rPr>
          <w:rFonts w:eastAsia="Palatino Linotype"/>
        </w:rPr>
        <w:t>. Del cierre de instrucción.</w:t>
      </w:r>
    </w:p>
    <w:p w14:paraId="3208A3A6" w14:textId="77777777" w:rsidR="00EC408A" w:rsidRDefault="00EC408A" w:rsidP="00EC408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instrucción en fecha</w:t>
      </w:r>
      <w:r>
        <w:rPr>
          <w:rFonts w:eastAsia="Palatino Linotype" w:cs="Palatino Linotype"/>
          <w:color w:val="000000"/>
          <w:szCs w:val="24"/>
        </w:rPr>
        <w:t xml:space="preserve"> </w:t>
      </w:r>
      <w:r w:rsidR="00B17852">
        <w:rPr>
          <w:rFonts w:eastAsia="Palatino Linotype" w:cs="Palatino Linotype"/>
          <w:b/>
          <w:color w:val="000000"/>
          <w:szCs w:val="24"/>
        </w:rPr>
        <w:t>veintidós</w:t>
      </w:r>
      <w:r>
        <w:rPr>
          <w:rFonts w:eastAsia="Palatino Linotype" w:cs="Palatino Linotype"/>
          <w:b/>
          <w:color w:val="000000"/>
          <w:szCs w:val="24"/>
        </w:rPr>
        <w:t xml:space="preserve"> de </w:t>
      </w:r>
      <w:r w:rsidR="00B35E0D">
        <w:rPr>
          <w:rFonts w:eastAsia="Palatino Linotype" w:cs="Palatino Linotype"/>
          <w:b/>
          <w:color w:val="000000"/>
          <w:szCs w:val="24"/>
        </w:rPr>
        <w:t xml:space="preserve">noviembre </w:t>
      </w:r>
      <w:r>
        <w:rPr>
          <w:rFonts w:eastAsia="Palatino Linotype" w:cs="Palatino Linotype"/>
          <w:color w:val="000000"/>
          <w:szCs w:val="24"/>
        </w:rPr>
        <w:t>de dos mil veintitrés</w:t>
      </w:r>
      <w:r w:rsidRPr="006922F5">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3F8613EA" w14:textId="77777777" w:rsidR="00D600F4" w:rsidRDefault="00D600F4" w:rsidP="00EC408A">
      <w:pPr>
        <w:pBdr>
          <w:top w:val="nil"/>
          <w:left w:val="nil"/>
          <w:bottom w:val="nil"/>
          <w:right w:val="nil"/>
          <w:between w:val="nil"/>
        </w:pBdr>
        <w:contextualSpacing/>
        <w:rPr>
          <w:rFonts w:eastAsia="Palatino Linotype" w:cs="Palatino Linotype"/>
          <w:color w:val="000000"/>
          <w:szCs w:val="24"/>
        </w:rPr>
      </w:pPr>
    </w:p>
    <w:p w14:paraId="39AE83DC" w14:textId="77777777" w:rsidR="00D600F4" w:rsidRPr="00CD0D60" w:rsidRDefault="00D600F4" w:rsidP="00D600F4">
      <w:pPr>
        <w:rPr>
          <w:rFonts w:cs="Arial"/>
          <w:b/>
          <w:sz w:val="28"/>
        </w:rPr>
      </w:pPr>
      <w:r w:rsidRPr="00D600F4">
        <w:rPr>
          <w:rFonts w:eastAsia="Palatino Linotype" w:cs="Palatino Linotype"/>
          <w:b/>
          <w:bCs/>
          <w:color w:val="000000"/>
          <w:sz w:val="28"/>
          <w:szCs w:val="28"/>
        </w:rPr>
        <w:t>SÉPTIMO.</w:t>
      </w:r>
      <w:r>
        <w:rPr>
          <w:rFonts w:eastAsia="Palatino Linotype" w:cs="Palatino Linotype"/>
          <w:color w:val="000000"/>
          <w:szCs w:val="24"/>
        </w:rPr>
        <w:t xml:space="preserve"> </w:t>
      </w:r>
      <w:r w:rsidRPr="00CD0D60">
        <w:rPr>
          <w:rFonts w:cs="Arial"/>
          <w:b/>
          <w:sz w:val="28"/>
        </w:rPr>
        <w:t>De la ampliación del término para resolver.</w:t>
      </w:r>
    </w:p>
    <w:p w14:paraId="770559FF" w14:textId="082BF73D" w:rsidR="00D600F4" w:rsidRDefault="00D600F4" w:rsidP="00D600F4">
      <w:pPr>
        <w:rPr>
          <w:rFonts w:cs="Arial"/>
        </w:rPr>
      </w:pPr>
      <w:r w:rsidRPr="00CD0D60">
        <w:rPr>
          <w:rFonts w:cs="Arial"/>
        </w:rPr>
        <w:t>En fecha</w:t>
      </w:r>
      <w:r w:rsidR="00A2030E">
        <w:rPr>
          <w:rFonts w:cs="Arial"/>
          <w:b/>
        </w:rPr>
        <w:t xml:space="preserve"> quince de febrero de dos mil veinticuatro</w:t>
      </w:r>
      <w:r w:rsidRPr="00CD0D60">
        <w:rPr>
          <w:rFonts w:cs="Arial"/>
        </w:rPr>
        <w:t>, se amplió el término para resolver el recurso de revisión en términos del artículo 181 párrafo tercero de la Ley de Transparencia y Acceso a la Información Pública del Estado de México y Municipios por un plazo de quince días hábiles.</w:t>
      </w:r>
    </w:p>
    <w:p w14:paraId="235A8BFE" w14:textId="77777777" w:rsidR="00D600F4" w:rsidRPr="00E901DC" w:rsidRDefault="00D600F4" w:rsidP="00D600F4"/>
    <w:p w14:paraId="63B94897" w14:textId="77777777" w:rsidR="00D600F4" w:rsidRPr="00E901DC" w:rsidRDefault="00D600F4" w:rsidP="00D600F4">
      <w:pPr>
        <w:pBdr>
          <w:top w:val="nil"/>
          <w:left w:val="nil"/>
          <w:bottom w:val="nil"/>
          <w:right w:val="nil"/>
          <w:between w:val="nil"/>
        </w:pBdr>
        <w:contextualSpacing/>
      </w:pPr>
      <w:r w:rsidRPr="00E901DC">
        <w:t xml:space="preserve">Este organismo garante no pasa por alto justificar, </w:t>
      </w:r>
      <w:r w:rsidRPr="00E901DC">
        <w:rPr>
          <w:bCs/>
        </w:rPr>
        <w:t xml:space="preserve">que el plazo para emitir resolución en el presente asunto </w:t>
      </w:r>
      <w:r w:rsidRPr="00E901DC">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5622C755" w14:textId="77777777" w:rsidR="00D600F4" w:rsidRPr="00E901DC" w:rsidRDefault="00D600F4" w:rsidP="00D600F4">
      <w:pPr>
        <w:pBdr>
          <w:top w:val="nil"/>
          <w:left w:val="nil"/>
          <w:bottom w:val="nil"/>
          <w:right w:val="nil"/>
          <w:between w:val="nil"/>
        </w:pBdr>
        <w:contextualSpacing/>
      </w:pPr>
      <w:r w:rsidRPr="00E901DC">
        <w:t xml:space="preserve"> </w:t>
      </w:r>
    </w:p>
    <w:p w14:paraId="0F45F919" w14:textId="77777777" w:rsidR="00D600F4" w:rsidRPr="00E901DC" w:rsidRDefault="00D600F4" w:rsidP="00D600F4">
      <w:pPr>
        <w:pBdr>
          <w:top w:val="nil"/>
          <w:left w:val="nil"/>
          <w:bottom w:val="nil"/>
          <w:right w:val="nil"/>
          <w:between w:val="nil"/>
        </w:pBdr>
        <w:contextualSpacing/>
      </w:pPr>
      <w:r w:rsidRPr="00E901DC">
        <w:t xml:space="preserve">Por ello, es menester precisar que, si bien se ha excedido el plazo para resolver el presente medio de impugnación, de conformidad con la ley de la materia, </w:t>
      </w:r>
      <w:r w:rsidRPr="00E901DC">
        <w:rPr>
          <w:bCs/>
        </w:rPr>
        <w:t>el plazo para emitir resolución</w:t>
      </w:r>
      <w:r w:rsidRPr="00E901DC">
        <w:t xml:space="preserve"> se encuentra justificado en los elementos para medir su razonabilidad de </w:t>
      </w:r>
      <w:r w:rsidRPr="00E901DC">
        <w:lastRenderedPageBreak/>
        <w:t>asuntos conforme a los parámetros establecidos por diversos órganos jurisdiccionales federales, aplicables también en procedimientos análogos, como el que nos ocupa.</w:t>
      </w:r>
    </w:p>
    <w:p w14:paraId="0A71F92B" w14:textId="77777777" w:rsidR="00D600F4" w:rsidRPr="00E901DC" w:rsidRDefault="00D600F4" w:rsidP="00D600F4">
      <w:pPr>
        <w:pBdr>
          <w:top w:val="nil"/>
          <w:left w:val="nil"/>
          <w:bottom w:val="nil"/>
          <w:right w:val="nil"/>
          <w:between w:val="nil"/>
        </w:pBdr>
        <w:contextualSpacing/>
      </w:pPr>
      <w:r w:rsidRPr="00E901DC">
        <w:t xml:space="preserve"> </w:t>
      </w:r>
    </w:p>
    <w:p w14:paraId="5170AC3B" w14:textId="77777777" w:rsidR="00D600F4" w:rsidRPr="00E901DC" w:rsidRDefault="00D600F4" w:rsidP="00D600F4">
      <w:pPr>
        <w:pBdr>
          <w:top w:val="nil"/>
          <w:left w:val="nil"/>
          <w:bottom w:val="nil"/>
          <w:right w:val="nil"/>
          <w:between w:val="nil"/>
        </w:pBdr>
        <w:contextualSpacing/>
      </w:pPr>
      <w:r w:rsidRPr="00E901DC">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A8C2374" w14:textId="77777777" w:rsidR="00D600F4" w:rsidRPr="00E901DC" w:rsidRDefault="00D600F4" w:rsidP="00D600F4">
      <w:pPr>
        <w:pBdr>
          <w:top w:val="nil"/>
          <w:left w:val="nil"/>
          <w:bottom w:val="nil"/>
          <w:right w:val="nil"/>
          <w:between w:val="nil"/>
        </w:pBdr>
        <w:contextualSpacing/>
      </w:pPr>
      <w:r w:rsidRPr="00E901DC">
        <w:t xml:space="preserve"> </w:t>
      </w:r>
    </w:p>
    <w:p w14:paraId="1D39190C" w14:textId="77777777" w:rsidR="00D600F4" w:rsidRPr="00E901DC" w:rsidRDefault="00D600F4" w:rsidP="00D600F4">
      <w:pPr>
        <w:pBdr>
          <w:top w:val="nil"/>
          <w:left w:val="nil"/>
          <w:bottom w:val="nil"/>
          <w:right w:val="nil"/>
          <w:between w:val="nil"/>
        </w:pBdr>
        <w:contextualSpacing/>
      </w:pPr>
      <w:r w:rsidRPr="00E901DC">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2829729" w14:textId="77777777" w:rsidR="00D600F4" w:rsidRPr="00E901DC" w:rsidRDefault="00D600F4" w:rsidP="00D600F4">
      <w:pPr>
        <w:pBdr>
          <w:top w:val="nil"/>
          <w:left w:val="nil"/>
          <w:bottom w:val="nil"/>
          <w:right w:val="nil"/>
          <w:between w:val="nil"/>
        </w:pBdr>
        <w:contextualSpacing/>
      </w:pPr>
      <w:r w:rsidRPr="00E901DC">
        <w:t xml:space="preserve"> </w:t>
      </w:r>
    </w:p>
    <w:p w14:paraId="56EDC367" w14:textId="77777777" w:rsidR="00D600F4" w:rsidRPr="00E901DC" w:rsidRDefault="00D600F4" w:rsidP="00D600F4">
      <w:pPr>
        <w:pBdr>
          <w:top w:val="nil"/>
          <w:left w:val="nil"/>
          <w:bottom w:val="nil"/>
          <w:right w:val="nil"/>
          <w:between w:val="nil"/>
        </w:pBdr>
        <w:contextualSpacing/>
      </w:pPr>
      <w:r w:rsidRPr="00E901DC">
        <w:t xml:space="preserve">Por ello, excepcionalmente, si un asunto es resuelto con posterioridad a los plazos señalados por la norma debe analizarse la razonabilidad del tiempo necesario para su resolución, atentos a los siguientes criterios:  </w:t>
      </w:r>
    </w:p>
    <w:p w14:paraId="7A6E3981" w14:textId="77777777" w:rsidR="00D600F4" w:rsidRPr="00E901DC" w:rsidRDefault="00D600F4" w:rsidP="00D600F4">
      <w:pPr>
        <w:pBdr>
          <w:top w:val="nil"/>
          <w:left w:val="nil"/>
          <w:bottom w:val="nil"/>
          <w:right w:val="nil"/>
          <w:between w:val="nil"/>
        </w:pBdr>
        <w:contextualSpacing/>
      </w:pPr>
    </w:p>
    <w:p w14:paraId="71A10A10" w14:textId="77777777" w:rsidR="00D600F4" w:rsidRPr="00E901DC" w:rsidRDefault="00D600F4" w:rsidP="00D600F4">
      <w:pPr>
        <w:numPr>
          <w:ilvl w:val="0"/>
          <w:numId w:val="17"/>
        </w:numPr>
        <w:pBdr>
          <w:top w:val="nil"/>
          <w:left w:val="nil"/>
          <w:bottom w:val="nil"/>
          <w:right w:val="nil"/>
          <w:between w:val="nil"/>
        </w:pBdr>
        <w:contextualSpacing/>
      </w:pPr>
      <w:r w:rsidRPr="00E901DC">
        <w:rPr>
          <w:b/>
        </w:rPr>
        <w:t>Complejidad del asunto:</w:t>
      </w:r>
      <w:r w:rsidRPr="00E901DC">
        <w:t xml:space="preserve"> La complejidad de la prueba, la pluralidad de sujetos procesales, el tiempo transcurrido, las características y contexto del recurso.</w:t>
      </w:r>
    </w:p>
    <w:p w14:paraId="4A0BFFEC" w14:textId="77777777" w:rsidR="00D600F4" w:rsidRPr="00E901DC" w:rsidRDefault="00D600F4" w:rsidP="00D600F4">
      <w:pPr>
        <w:numPr>
          <w:ilvl w:val="0"/>
          <w:numId w:val="17"/>
        </w:numPr>
        <w:pBdr>
          <w:top w:val="nil"/>
          <w:left w:val="nil"/>
          <w:bottom w:val="nil"/>
          <w:right w:val="nil"/>
          <w:between w:val="nil"/>
        </w:pBdr>
        <w:contextualSpacing/>
      </w:pPr>
      <w:r w:rsidRPr="00E901DC">
        <w:rPr>
          <w:b/>
        </w:rPr>
        <w:t>Actividad Procesal del interesado:</w:t>
      </w:r>
      <w:r w:rsidRPr="00E901DC">
        <w:t xml:space="preserve"> Acciones u omisiones del interesado.</w:t>
      </w:r>
    </w:p>
    <w:p w14:paraId="4965E12B" w14:textId="77777777" w:rsidR="00D600F4" w:rsidRPr="00E901DC" w:rsidRDefault="00D600F4" w:rsidP="00D600F4">
      <w:pPr>
        <w:numPr>
          <w:ilvl w:val="0"/>
          <w:numId w:val="17"/>
        </w:numPr>
        <w:pBdr>
          <w:top w:val="nil"/>
          <w:left w:val="nil"/>
          <w:bottom w:val="nil"/>
          <w:right w:val="nil"/>
          <w:between w:val="nil"/>
        </w:pBdr>
        <w:contextualSpacing/>
      </w:pPr>
      <w:r w:rsidRPr="00E901DC">
        <w:rPr>
          <w:b/>
        </w:rPr>
        <w:t>Conducta de la Autoridad:</w:t>
      </w:r>
      <w:r w:rsidRPr="00E901DC">
        <w:t xml:space="preserve"> Las Acciones u omisiones realizadas en el procedimiento. Así como si la autoridad actuó con la debida diligencia.</w:t>
      </w:r>
    </w:p>
    <w:p w14:paraId="647BFFB1" w14:textId="77777777" w:rsidR="00D600F4" w:rsidRPr="00E901DC" w:rsidRDefault="00D600F4" w:rsidP="00D600F4">
      <w:pPr>
        <w:numPr>
          <w:ilvl w:val="0"/>
          <w:numId w:val="17"/>
        </w:numPr>
        <w:pBdr>
          <w:top w:val="nil"/>
          <w:left w:val="nil"/>
          <w:bottom w:val="nil"/>
          <w:right w:val="nil"/>
          <w:between w:val="nil"/>
        </w:pBdr>
        <w:contextualSpacing/>
      </w:pPr>
      <w:r w:rsidRPr="00E901DC">
        <w:rPr>
          <w:b/>
        </w:rPr>
        <w:t>La afectación generada en la situación jurídica de la persona involucrada en el proceso:</w:t>
      </w:r>
      <w:r w:rsidRPr="00E901DC">
        <w:t xml:space="preserve"> Violación a sus derechos humanos.</w:t>
      </w:r>
    </w:p>
    <w:p w14:paraId="040D17AD" w14:textId="77777777" w:rsidR="00D600F4" w:rsidRPr="00E901DC" w:rsidRDefault="00D600F4" w:rsidP="00D600F4">
      <w:pPr>
        <w:pBdr>
          <w:top w:val="nil"/>
          <w:left w:val="nil"/>
          <w:bottom w:val="nil"/>
          <w:right w:val="nil"/>
          <w:between w:val="nil"/>
        </w:pBdr>
        <w:contextualSpacing/>
      </w:pPr>
    </w:p>
    <w:p w14:paraId="0551EA52" w14:textId="77777777" w:rsidR="00D600F4" w:rsidRPr="00E901DC" w:rsidRDefault="00D600F4" w:rsidP="00D600F4">
      <w:pPr>
        <w:pBdr>
          <w:top w:val="nil"/>
          <w:left w:val="nil"/>
          <w:bottom w:val="nil"/>
          <w:right w:val="nil"/>
          <w:between w:val="nil"/>
        </w:pBdr>
        <w:contextualSpacing/>
      </w:pPr>
      <w:r w:rsidRPr="00E901DC">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96EE2F" w14:textId="77777777" w:rsidR="00D600F4" w:rsidRPr="00E901DC" w:rsidRDefault="00D600F4" w:rsidP="00D600F4">
      <w:pPr>
        <w:pBdr>
          <w:top w:val="nil"/>
          <w:left w:val="nil"/>
          <w:bottom w:val="nil"/>
          <w:right w:val="nil"/>
          <w:between w:val="nil"/>
        </w:pBdr>
        <w:contextualSpacing/>
      </w:pPr>
    </w:p>
    <w:p w14:paraId="633C42DC" w14:textId="77777777" w:rsidR="00D600F4" w:rsidRPr="00E901DC" w:rsidRDefault="00D600F4" w:rsidP="00D600F4">
      <w:pPr>
        <w:pBdr>
          <w:top w:val="nil"/>
          <w:left w:val="nil"/>
          <w:bottom w:val="nil"/>
          <w:right w:val="nil"/>
          <w:between w:val="nil"/>
        </w:pBdr>
        <w:contextualSpacing/>
      </w:pPr>
      <w:r w:rsidRPr="00E901DC">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9DDDE32" w14:textId="77777777" w:rsidR="00D600F4" w:rsidRPr="00E901DC" w:rsidRDefault="00D600F4" w:rsidP="00D600F4">
      <w:pPr>
        <w:pBdr>
          <w:top w:val="nil"/>
          <w:left w:val="nil"/>
          <w:bottom w:val="nil"/>
          <w:right w:val="nil"/>
          <w:between w:val="nil"/>
        </w:pBdr>
        <w:contextualSpacing/>
      </w:pPr>
    </w:p>
    <w:p w14:paraId="6FA1E9B2" w14:textId="77777777" w:rsidR="00D600F4" w:rsidRPr="00E901DC" w:rsidRDefault="00D600F4" w:rsidP="00D600F4">
      <w:pPr>
        <w:pBdr>
          <w:top w:val="nil"/>
          <w:left w:val="nil"/>
          <w:bottom w:val="nil"/>
          <w:right w:val="nil"/>
          <w:between w:val="nil"/>
        </w:pBdr>
        <w:contextualSpacing/>
      </w:pPr>
      <w:r w:rsidRPr="00E901DC">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18F4115" w14:textId="77777777" w:rsidR="00D600F4" w:rsidRPr="00E901DC" w:rsidRDefault="00D600F4" w:rsidP="00D600F4">
      <w:pPr>
        <w:pBdr>
          <w:top w:val="nil"/>
          <w:left w:val="nil"/>
          <w:bottom w:val="nil"/>
          <w:right w:val="nil"/>
          <w:between w:val="nil"/>
        </w:pBdr>
        <w:contextualSpacing/>
      </w:pPr>
    </w:p>
    <w:p w14:paraId="5FC0A05D" w14:textId="77777777" w:rsidR="00D600F4" w:rsidRPr="00E901DC" w:rsidRDefault="00D600F4" w:rsidP="00D600F4">
      <w:pPr>
        <w:pBdr>
          <w:top w:val="nil"/>
          <w:left w:val="nil"/>
          <w:bottom w:val="nil"/>
          <w:right w:val="nil"/>
          <w:between w:val="nil"/>
        </w:pBdr>
        <w:contextualSpacing/>
      </w:pPr>
      <w:r w:rsidRPr="00E901DC">
        <w:lastRenderedPageBreak/>
        <w:t>Al respecto, también son de considerar los criterios sostenidos por el Cuarto Tribunal Colegiado en Materia Administrativa del Primer Circuito, cuyos rubros y datos de identificación son los siguientes:</w:t>
      </w:r>
    </w:p>
    <w:p w14:paraId="7BD4F28A" w14:textId="77777777" w:rsidR="00D600F4" w:rsidRPr="00E901DC" w:rsidRDefault="00D600F4" w:rsidP="00D600F4">
      <w:pPr>
        <w:pBdr>
          <w:top w:val="nil"/>
          <w:left w:val="nil"/>
          <w:bottom w:val="nil"/>
          <w:right w:val="nil"/>
          <w:between w:val="nil"/>
        </w:pBdr>
        <w:contextualSpacing/>
      </w:pPr>
    </w:p>
    <w:p w14:paraId="33698168" w14:textId="77777777" w:rsidR="00D600F4" w:rsidRPr="00E901DC" w:rsidRDefault="00D600F4" w:rsidP="00D600F4">
      <w:pPr>
        <w:pBdr>
          <w:top w:val="nil"/>
          <w:left w:val="nil"/>
          <w:bottom w:val="nil"/>
          <w:right w:val="nil"/>
          <w:between w:val="nil"/>
        </w:pBdr>
        <w:contextualSpacing/>
      </w:pPr>
      <w:r w:rsidRPr="00E901DC">
        <w:t>“</w:t>
      </w:r>
      <w:r w:rsidRPr="00E901DC">
        <w:rPr>
          <w:b/>
        </w:rPr>
        <w:t>PLAZO RAZONABLE PARA RESOLVER. DIMENSIÓN Y EFECTOS DE ESTE CONCEPTO CUANDO SE ADUCE EXCESIVA CARGA DE TRABAJO.”</w:t>
      </w:r>
      <w:r w:rsidRPr="00E901DC">
        <w:t xml:space="preserve"> consultable en el Seminario Judicial de la Federación y su gaceta, con el registro digital 2002351.</w:t>
      </w:r>
    </w:p>
    <w:p w14:paraId="7196548F" w14:textId="77777777" w:rsidR="00D600F4" w:rsidRPr="00E901DC" w:rsidRDefault="00D600F4" w:rsidP="00D600F4">
      <w:pPr>
        <w:pBdr>
          <w:top w:val="nil"/>
          <w:left w:val="nil"/>
          <w:bottom w:val="nil"/>
          <w:right w:val="nil"/>
          <w:between w:val="nil"/>
        </w:pBdr>
        <w:contextualSpacing/>
      </w:pPr>
    </w:p>
    <w:p w14:paraId="2F36F3BA" w14:textId="77777777" w:rsidR="00D600F4" w:rsidRPr="00E901DC" w:rsidRDefault="00D600F4" w:rsidP="00D600F4">
      <w:pPr>
        <w:pBdr>
          <w:top w:val="nil"/>
          <w:left w:val="nil"/>
          <w:bottom w:val="nil"/>
          <w:right w:val="nil"/>
          <w:between w:val="nil"/>
        </w:pBdr>
        <w:contextualSpacing/>
      </w:pPr>
      <w:r w:rsidRPr="00E901DC">
        <w:t>“</w:t>
      </w:r>
      <w:r w:rsidRPr="00E901DC">
        <w:rPr>
          <w:b/>
        </w:rPr>
        <w:t>PLAZO RAZONABLE PARA RESOLVER. CONCEPTO Y ELEMENTOS QUE LO INTEGRAN A LA LUZ DEL DERECHO INTERNACIONAL DE LOS DERECHOS HUMANOS.”,</w:t>
      </w:r>
      <w:r w:rsidRPr="00E901DC">
        <w:t xml:space="preserve"> visible en el Seminario Judicial de la Federación y su gaceta, con el registro digital 2002350.</w:t>
      </w:r>
    </w:p>
    <w:p w14:paraId="6A30F11F" w14:textId="77777777" w:rsidR="00D600F4" w:rsidRPr="00E901DC" w:rsidRDefault="00D600F4" w:rsidP="00D600F4">
      <w:pPr>
        <w:pBdr>
          <w:top w:val="nil"/>
          <w:left w:val="nil"/>
          <w:bottom w:val="nil"/>
          <w:right w:val="nil"/>
          <w:between w:val="nil"/>
        </w:pBdr>
        <w:contextualSpacing/>
      </w:pPr>
    </w:p>
    <w:p w14:paraId="44300B28" w14:textId="28328062" w:rsidR="00D600F4" w:rsidRPr="00D600F4" w:rsidRDefault="00D600F4" w:rsidP="00EC408A">
      <w:pPr>
        <w:pBdr>
          <w:top w:val="nil"/>
          <w:left w:val="nil"/>
          <w:bottom w:val="nil"/>
          <w:right w:val="nil"/>
          <w:between w:val="nil"/>
        </w:pBdr>
        <w:contextualSpacing/>
      </w:pPr>
      <w:r w:rsidRPr="00E901DC">
        <w:rPr>
          <w:bCs/>
        </w:rPr>
        <w:t>Por ello, este organismo garante comprometido con la tutela de los derechos humanos confiados señala que este exceso del plazo legal para resolver el presente asunto resulta de carácter excepcional.</w:t>
      </w:r>
    </w:p>
    <w:p w14:paraId="107ADF17" w14:textId="77777777" w:rsidR="00EC408A" w:rsidRDefault="00EC408A" w:rsidP="00EC408A">
      <w:pPr>
        <w:pBdr>
          <w:top w:val="nil"/>
          <w:left w:val="nil"/>
          <w:bottom w:val="nil"/>
          <w:right w:val="nil"/>
          <w:between w:val="nil"/>
        </w:pBdr>
        <w:contextualSpacing/>
        <w:rPr>
          <w:rFonts w:eastAsia="Palatino Linotype" w:cs="Palatino Linotype"/>
          <w:color w:val="000000"/>
          <w:szCs w:val="24"/>
        </w:rPr>
      </w:pPr>
    </w:p>
    <w:p w14:paraId="54CD2948" w14:textId="77777777" w:rsidR="00EC408A" w:rsidRPr="006922F5" w:rsidRDefault="00EC408A" w:rsidP="00EC408A">
      <w:pPr>
        <w:pStyle w:val="Ttulo1"/>
        <w:rPr>
          <w:rFonts w:eastAsia="Palatino Linotype"/>
          <w:lang w:val="es-ES_tradnl"/>
        </w:rPr>
      </w:pPr>
      <w:r w:rsidRPr="006922F5">
        <w:rPr>
          <w:rFonts w:eastAsia="Palatino Linotype"/>
          <w:lang w:val="es-ES_tradnl"/>
        </w:rPr>
        <w:t>C O N S I D E R A N D O</w:t>
      </w:r>
    </w:p>
    <w:p w14:paraId="5DB58446" w14:textId="77777777" w:rsidR="00EC408A" w:rsidRPr="006922F5" w:rsidRDefault="00EC408A" w:rsidP="00EC408A">
      <w:pPr>
        <w:pBdr>
          <w:top w:val="nil"/>
          <w:left w:val="nil"/>
          <w:bottom w:val="nil"/>
          <w:right w:val="nil"/>
          <w:between w:val="nil"/>
        </w:pBdr>
        <w:contextualSpacing/>
        <w:rPr>
          <w:rFonts w:eastAsia="Palatino Linotype" w:cs="Palatino Linotype"/>
          <w:color w:val="000000"/>
          <w:szCs w:val="24"/>
        </w:rPr>
      </w:pPr>
    </w:p>
    <w:p w14:paraId="17A05875" w14:textId="77777777" w:rsidR="00EC408A" w:rsidRPr="006922F5" w:rsidRDefault="00EC408A" w:rsidP="00EC408A">
      <w:pPr>
        <w:pStyle w:val="Ttulo2"/>
        <w:rPr>
          <w:rFonts w:eastAsia="Palatino Linotype"/>
        </w:rPr>
      </w:pPr>
      <w:r w:rsidRPr="006922F5">
        <w:rPr>
          <w:rFonts w:eastAsia="Palatino Linotype"/>
        </w:rPr>
        <w:t>PRIMERO. De la competencia.</w:t>
      </w:r>
    </w:p>
    <w:p w14:paraId="7D6E50F9" w14:textId="77777777" w:rsidR="00EC408A" w:rsidRPr="006922F5" w:rsidRDefault="00EC408A" w:rsidP="00EC408A">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w:t>
      </w:r>
      <w:r w:rsidRPr="00264613">
        <w:rPr>
          <w:rFonts w:eastAsia="Palatino Linotype" w:cs="Palatino Linotype"/>
          <w:color w:val="000000"/>
          <w:szCs w:val="24"/>
        </w:rPr>
        <w:lastRenderedPageBreak/>
        <w:t xml:space="preserve">5, párrafos </w:t>
      </w:r>
      <w:r>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C2563CF" w14:textId="77777777" w:rsidR="00EC408A" w:rsidRPr="006922F5" w:rsidRDefault="00EC408A" w:rsidP="00EC408A">
      <w:pPr>
        <w:pBdr>
          <w:top w:val="nil"/>
          <w:left w:val="nil"/>
          <w:bottom w:val="nil"/>
          <w:right w:val="nil"/>
          <w:between w:val="nil"/>
        </w:pBdr>
        <w:contextualSpacing/>
        <w:rPr>
          <w:rFonts w:eastAsia="Palatino Linotype" w:cs="Palatino Linotype"/>
          <w:color w:val="000000"/>
          <w:szCs w:val="24"/>
        </w:rPr>
      </w:pPr>
    </w:p>
    <w:p w14:paraId="1172BFB6" w14:textId="77777777" w:rsidR="00EC408A" w:rsidRPr="006922F5" w:rsidRDefault="00EC408A" w:rsidP="00EC408A">
      <w:pPr>
        <w:pStyle w:val="Ttulo2"/>
        <w:rPr>
          <w:rFonts w:eastAsia="Palatino Linotype"/>
        </w:rPr>
      </w:pPr>
      <w:r w:rsidRPr="006922F5">
        <w:rPr>
          <w:rFonts w:eastAsia="Palatino Linotype"/>
        </w:rPr>
        <w:t xml:space="preserve">SEGUNDO. Sobre los alcances del recurso de revisión. </w:t>
      </w:r>
    </w:p>
    <w:p w14:paraId="7A3175D7" w14:textId="77777777" w:rsidR="00EC408A" w:rsidRDefault="00EC408A" w:rsidP="00EC408A">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682B94F" w14:textId="77777777" w:rsidR="00EC408A" w:rsidRDefault="00EC408A" w:rsidP="00EC408A"/>
    <w:p w14:paraId="700BDD72" w14:textId="77777777" w:rsidR="00EC408A" w:rsidRDefault="00EC408A" w:rsidP="00EC408A">
      <w:pPr>
        <w:pStyle w:val="Prrafodelista"/>
        <w:autoSpaceDE w:val="0"/>
        <w:autoSpaceDN w:val="0"/>
        <w:adjustRightInd w:val="0"/>
        <w:spacing w:before="240" w:after="160"/>
        <w:ind w:left="0"/>
        <w:rPr>
          <w:rFonts w:cs="Arial"/>
          <w:b/>
          <w:sz w:val="28"/>
        </w:rPr>
      </w:pPr>
      <w:r>
        <w:rPr>
          <w:rFonts w:cs="Arial"/>
          <w:b/>
          <w:sz w:val="28"/>
        </w:rPr>
        <w:t xml:space="preserve">TERCERO. </w:t>
      </w:r>
      <w:r w:rsidRPr="002F7BF8">
        <w:rPr>
          <w:rFonts w:cs="Arial"/>
          <w:b/>
          <w:sz w:val="28"/>
        </w:rPr>
        <w:t>Cuestiones de previo y especial pronunciamiento</w:t>
      </w:r>
    </w:p>
    <w:p w14:paraId="123B3EC6" w14:textId="77777777" w:rsidR="00EC408A" w:rsidRPr="002F7BF8" w:rsidRDefault="00EC408A" w:rsidP="00EC408A">
      <w:pPr>
        <w:autoSpaceDE w:val="0"/>
        <w:autoSpaceDN w:val="0"/>
        <w:adjustRightInd w:val="0"/>
        <w:spacing w:before="240"/>
      </w:pPr>
      <w:r w:rsidRPr="002F7BF8">
        <w:t>El Recurso de Revisión en estudio contiene los elementos normativos de validez</w:t>
      </w:r>
      <w:r>
        <w:t xml:space="preserve"> </w:t>
      </w:r>
      <w:r w:rsidRPr="002F7BF8">
        <w:t>exigidos en la Ley de Transparencia y Acceso a la Información Pública del Estado de</w:t>
      </w:r>
      <w:r>
        <w:t xml:space="preserve"> </w:t>
      </w:r>
      <w:r w:rsidRPr="002F7BF8">
        <w:t>México y Municipios, establecidos en el artículo 180 que enuncia:</w:t>
      </w:r>
    </w:p>
    <w:p w14:paraId="05E3FC30" w14:textId="77777777" w:rsidR="00EC408A" w:rsidRPr="0090545F" w:rsidRDefault="00EC408A" w:rsidP="00EC408A">
      <w:pPr>
        <w:autoSpaceDE w:val="0"/>
        <w:autoSpaceDN w:val="0"/>
        <w:adjustRightInd w:val="0"/>
        <w:spacing w:before="240"/>
        <w:ind w:left="360" w:firstLine="348"/>
        <w:rPr>
          <w:i/>
          <w:sz w:val="22"/>
        </w:rPr>
      </w:pPr>
      <w:r w:rsidRPr="0090545F">
        <w:rPr>
          <w:i/>
          <w:sz w:val="22"/>
        </w:rPr>
        <w:t>“Artículo 180. El recurso de revisión contendrá:</w:t>
      </w:r>
    </w:p>
    <w:p w14:paraId="164E7124" w14:textId="77777777" w:rsidR="00EC408A" w:rsidRPr="0090545F" w:rsidRDefault="00EC408A" w:rsidP="00EC408A">
      <w:pPr>
        <w:pStyle w:val="Prrafodelista"/>
        <w:numPr>
          <w:ilvl w:val="0"/>
          <w:numId w:val="1"/>
        </w:numPr>
        <w:autoSpaceDE w:val="0"/>
        <w:autoSpaceDN w:val="0"/>
        <w:adjustRightInd w:val="0"/>
        <w:spacing w:before="240"/>
        <w:rPr>
          <w:i/>
          <w:sz w:val="22"/>
          <w:szCs w:val="22"/>
        </w:rPr>
      </w:pPr>
      <w:r w:rsidRPr="0090545F">
        <w:rPr>
          <w:i/>
          <w:sz w:val="22"/>
          <w:szCs w:val="22"/>
        </w:rPr>
        <w:lastRenderedPageBreak/>
        <w:t>EL sujeto obligado ante la cual se presentó la solicitud;</w:t>
      </w:r>
    </w:p>
    <w:p w14:paraId="5A57324A" w14:textId="77777777" w:rsidR="00EC408A" w:rsidRPr="0090545F" w:rsidRDefault="00EC408A" w:rsidP="00EC408A">
      <w:pPr>
        <w:pStyle w:val="Prrafodelista"/>
        <w:numPr>
          <w:ilvl w:val="0"/>
          <w:numId w:val="1"/>
        </w:numPr>
        <w:autoSpaceDE w:val="0"/>
        <w:autoSpaceDN w:val="0"/>
        <w:adjustRightInd w:val="0"/>
        <w:spacing w:before="240"/>
        <w:rPr>
          <w:i/>
          <w:sz w:val="22"/>
          <w:szCs w:val="22"/>
        </w:rPr>
      </w:pPr>
      <w:r w:rsidRPr="0090545F">
        <w:rPr>
          <w:i/>
          <w:sz w:val="22"/>
          <w:szCs w:val="22"/>
        </w:rPr>
        <w:t>El nombre del solicitante que recurre o de su representante y, en su caso, del tercero interesado, así como la dirección o medio que señale para recibir notificaciones;</w:t>
      </w:r>
    </w:p>
    <w:p w14:paraId="5E313445" w14:textId="77777777" w:rsidR="00EC408A" w:rsidRPr="0090545F" w:rsidRDefault="00EC408A" w:rsidP="00EC408A">
      <w:pPr>
        <w:pStyle w:val="Prrafodelista"/>
        <w:numPr>
          <w:ilvl w:val="0"/>
          <w:numId w:val="1"/>
        </w:numPr>
        <w:autoSpaceDE w:val="0"/>
        <w:autoSpaceDN w:val="0"/>
        <w:adjustRightInd w:val="0"/>
        <w:spacing w:before="240"/>
        <w:rPr>
          <w:i/>
          <w:sz w:val="22"/>
          <w:szCs w:val="22"/>
        </w:rPr>
      </w:pPr>
      <w:r w:rsidRPr="0090545F">
        <w:rPr>
          <w:i/>
          <w:sz w:val="22"/>
          <w:szCs w:val="22"/>
        </w:rPr>
        <w:t>El número de folio de respuesta de la solicitud de acceso;</w:t>
      </w:r>
    </w:p>
    <w:p w14:paraId="20AF30C8" w14:textId="77777777" w:rsidR="00EC408A" w:rsidRPr="0090545F" w:rsidRDefault="00EC408A" w:rsidP="00EC408A">
      <w:pPr>
        <w:autoSpaceDE w:val="0"/>
        <w:autoSpaceDN w:val="0"/>
        <w:adjustRightInd w:val="0"/>
        <w:spacing w:before="240"/>
        <w:ind w:left="1080"/>
        <w:rPr>
          <w:i/>
          <w:sz w:val="22"/>
        </w:rPr>
      </w:pPr>
      <w:r w:rsidRPr="0090545F">
        <w:rPr>
          <w:i/>
          <w:sz w:val="22"/>
        </w:rPr>
        <w:t>IV. La fecha en que fue notificada la respuesta al solicitante o tuvo conocimiento del acto reclamado, o de presentación de la solicitud, en caso de falta de respuesta;</w:t>
      </w:r>
    </w:p>
    <w:p w14:paraId="7BEF29D7" w14:textId="77777777" w:rsidR="00EC408A" w:rsidRPr="0090545F" w:rsidRDefault="00EC408A" w:rsidP="00EC408A">
      <w:pPr>
        <w:autoSpaceDE w:val="0"/>
        <w:autoSpaceDN w:val="0"/>
        <w:adjustRightInd w:val="0"/>
        <w:spacing w:before="240"/>
        <w:ind w:left="732" w:firstLine="348"/>
        <w:rPr>
          <w:i/>
          <w:sz w:val="22"/>
        </w:rPr>
      </w:pPr>
      <w:r w:rsidRPr="0090545F">
        <w:rPr>
          <w:i/>
          <w:sz w:val="22"/>
        </w:rPr>
        <w:t>V. El acto que se recurre;</w:t>
      </w:r>
    </w:p>
    <w:p w14:paraId="21251E5C" w14:textId="77777777" w:rsidR="00EC408A" w:rsidRPr="0090545F" w:rsidRDefault="00EC408A" w:rsidP="00EC408A">
      <w:pPr>
        <w:autoSpaceDE w:val="0"/>
        <w:autoSpaceDN w:val="0"/>
        <w:adjustRightInd w:val="0"/>
        <w:spacing w:before="240"/>
        <w:ind w:left="732" w:firstLine="348"/>
        <w:rPr>
          <w:i/>
          <w:sz w:val="22"/>
        </w:rPr>
      </w:pPr>
      <w:r w:rsidRPr="0090545F">
        <w:rPr>
          <w:i/>
          <w:sz w:val="22"/>
        </w:rPr>
        <w:t>VI. Las razones o motivos de inconformidad;</w:t>
      </w:r>
    </w:p>
    <w:p w14:paraId="280A6FA3" w14:textId="77777777" w:rsidR="00EC408A" w:rsidRPr="0090545F" w:rsidRDefault="00EC408A" w:rsidP="00EC408A">
      <w:pPr>
        <w:autoSpaceDE w:val="0"/>
        <w:autoSpaceDN w:val="0"/>
        <w:adjustRightInd w:val="0"/>
        <w:spacing w:before="240"/>
        <w:ind w:left="1080"/>
        <w:rPr>
          <w:i/>
          <w:sz w:val="22"/>
        </w:rPr>
      </w:pPr>
      <w:r w:rsidRPr="0090545F">
        <w:rPr>
          <w:i/>
          <w:sz w:val="22"/>
        </w:rPr>
        <w:t>VII. La copia de la respuesta que se impugna y, en su caso, de la notificación correspondiente, en el caso de respuesta de la solicitud; y</w:t>
      </w:r>
    </w:p>
    <w:p w14:paraId="33698D3E" w14:textId="77777777" w:rsidR="00EC408A" w:rsidRPr="0090545F" w:rsidRDefault="00EC408A" w:rsidP="00EC408A">
      <w:pPr>
        <w:autoSpaceDE w:val="0"/>
        <w:autoSpaceDN w:val="0"/>
        <w:adjustRightInd w:val="0"/>
        <w:spacing w:before="240"/>
        <w:ind w:left="732" w:firstLine="348"/>
        <w:rPr>
          <w:i/>
          <w:sz w:val="22"/>
        </w:rPr>
      </w:pPr>
      <w:r w:rsidRPr="0090545F">
        <w:rPr>
          <w:i/>
          <w:sz w:val="22"/>
        </w:rPr>
        <w:t>VIII. Firma del recurrente, en su caso, cuando se presente por escrito, requisito sin el cual se dará trámite al recurso.</w:t>
      </w:r>
    </w:p>
    <w:p w14:paraId="735C52DF" w14:textId="77777777" w:rsidR="00EC408A" w:rsidRPr="0090545F" w:rsidRDefault="00EC408A" w:rsidP="00EC408A">
      <w:pPr>
        <w:autoSpaceDE w:val="0"/>
        <w:autoSpaceDN w:val="0"/>
        <w:adjustRightInd w:val="0"/>
        <w:spacing w:before="240"/>
        <w:ind w:left="1080"/>
        <w:rPr>
          <w:i/>
          <w:sz w:val="22"/>
        </w:rPr>
      </w:pPr>
      <w:r w:rsidRPr="0090545F">
        <w:rPr>
          <w:i/>
          <w:sz w:val="22"/>
        </w:rPr>
        <w:t>Adicionalmente, se podrán anexar las pruebas y demás elementos que considere procedentes someter a juicio del Instituto.</w:t>
      </w:r>
    </w:p>
    <w:p w14:paraId="37E41C90" w14:textId="77777777" w:rsidR="00EC408A" w:rsidRPr="0090545F" w:rsidRDefault="00EC408A" w:rsidP="0090545F">
      <w:pPr>
        <w:autoSpaceDE w:val="0"/>
        <w:autoSpaceDN w:val="0"/>
        <w:adjustRightInd w:val="0"/>
        <w:spacing w:before="240"/>
        <w:ind w:left="732" w:firstLine="348"/>
        <w:rPr>
          <w:i/>
          <w:sz w:val="22"/>
        </w:rPr>
      </w:pPr>
      <w:r w:rsidRPr="0090545F">
        <w:rPr>
          <w:i/>
          <w:sz w:val="22"/>
        </w:rPr>
        <w:t>En ningún caso será necesario que el particular ratifique el recurso de revisión interpuesto.</w:t>
      </w:r>
    </w:p>
    <w:p w14:paraId="45289B5A" w14:textId="77777777" w:rsidR="00EC408A" w:rsidRPr="0090545F" w:rsidRDefault="00EC408A" w:rsidP="00EC408A">
      <w:pPr>
        <w:autoSpaceDE w:val="0"/>
        <w:autoSpaceDN w:val="0"/>
        <w:adjustRightInd w:val="0"/>
        <w:spacing w:before="240"/>
        <w:ind w:left="1080"/>
        <w:rPr>
          <w:b/>
          <w:i/>
          <w:sz w:val="22"/>
          <w:u w:val="single"/>
        </w:rPr>
      </w:pPr>
      <w:r w:rsidRPr="0090545F">
        <w:rPr>
          <w:b/>
          <w:i/>
          <w:sz w:val="22"/>
          <w:u w:val="single"/>
        </w:rPr>
        <w:t>En caso de que el recurso se interponga de manera electrónica no será indispensable que contengan los requisitos establecidos en las fracciones II, IV, VII y VIII.” [Sic]</w:t>
      </w:r>
    </w:p>
    <w:p w14:paraId="41DC99C5" w14:textId="77777777" w:rsidR="00EC408A" w:rsidRDefault="00EC408A" w:rsidP="00EC408A">
      <w:pPr>
        <w:autoSpaceDE w:val="0"/>
        <w:autoSpaceDN w:val="0"/>
        <w:adjustRightInd w:val="0"/>
        <w:spacing w:before="240"/>
        <w:ind w:left="1080"/>
        <w:rPr>
          <w:b/>
          <w:i/>
          <w:u w:val="single"/>
        </w:rPr>
      </w:pPr>
    </w:p>
    <w:p w14:paraId="4703FEBF" w14:textId="77777777" w:rsidR="00EC408A" w:rsidRDefault="00EC408A" w:rsidP="00EC408A">
      <w:pPr>
        <w:rPr>
          <w:rFonts w:cs="Arial"/>
          <w:szCs w:val="24"/>
          <w:lang w:val="es-ES" w:eastAsia="es-ES"/>
        </w:rPr>
      </w:pPr>
      <w:r>
        <w:rPr>
          <w:rFonts w:cs="Segoe UI"/>
          <w:szCs w:val="24"/>
          <w:lang w:val="es-ES" w:eastAsia="es-ES"/>
        </w:rPr>
        <w:t xml:space="preserve">Cabe señalar que </w:t>
      </w:r>
      <w:r>
        <w:rPr>
          <w:rFonts w:cs="Segoe UI"/>
          <w:b/>
          <w:szCs w:val="24"/>
          <w:lang w:val="es-ES" w:eastAsia="es-ES"/>
        </w:rPr>
        <w:t>El Recurrente</w:t>
      </w:r>
      <w:r>
        <w:rPr>
          <w:rFonts w:cs="Segoe UI"/>
          <w:szCs w:val="24"/>
          <w:lang w:val="es-ES" w:eastAsia="es-ES"/>
        </w:rPr>
        <w:t xml:space="preserve"> ejerció de manera anónima su derecho de acceso a la información pública</w:t>
      </w:r>
      <w:r>
        <w:rPr>
          <w:rFonts w:cs="Times New Roman"/>
          <w:szCs w:val="24"/>
          <w:lang w:val="es-ES" w:eastAsia="es-ES"/>
        </w:rPr>
        <w:t xml:space="preserve">, sin embargo, no es motivo para desechar las </w:t>
      </w:r>
      <w:r>
        <w:rPr>
          <w:rFonts w:cs="Arial"/>
          <w:szCs w:val="24"/>
          <w:lang w:val="es-ES" w:eastAsia="es-ES"/>
        </w:rPr>
        <w:t xml:space="preserve">solicitudes de acceso a </w:t>
      </w:r>
      <w:r>
        <w:rPr>
          <w:rFonts w:cs="Arial"/>
          <w:szCs w:val="24"/>
          <w:lang w:val="es-ES" w:eastAsia="es-ES"/>
        </w:rPr>
        <w:lastRenderedPageBreak/>
        <w:t>la información pública conforme a lo previsto en el artículo 155, penúltimo párrafo de la Ley de Transparencia y Acceso a la Información Pública del Estado de México y Municipios que señala lo siguiente:</w:t>
      </w:r>
    </w:p>
    <w:p w14:paraId="7F50B99A" w14:textId="77777777" w:rsidR="00EC408A" w:rsidRPr="0090545F" w:rsidRDefault="00EC408A" w:rsidP="00EC408A">
      <w:pPr>
        <w:spacing w:before="240"/>
        <w:ind w:left="851" w:right="851"/>
        <w:rPr>
          <w:rFonts w:cs="Arial"/>
          <w:b/>
          <w:i/>
          <w:sz w:val="22"/>
          <w:lang w:val="es-ES" w:eastAsia="es-ES"/>
        </w:rPr>
      </w:pPr>
      <w:r w:rsidRPr="0090545F">
        <w:rPr>
          <w:rFonts w:cs="Arial"/>
          <w:i/>
          <w:sz w:val="22"/>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90545F">
        <w:rPr>
          <w:rFonts w:cs="Arial"/>
          <w:b/>
          <w:i/>
          <w:sz w:val="22"/>
          <w:lang w:val="es-ES" w:eastAsia="es-ES"/>
        </w:rPr>
        <w:t>[Sic]</w:t>
      </w:r>
    </w:p>
    <w:p w14:paraId="56ED4F71" w14:textId="77777777" w:rsidR="00EC408A" w:rsidRDefault="00EC408A" w:rsidP="00EC408A">
      <w:pPr>
        <w:spacing w:before="240"/>
        <w:ind w:left="851" w:right="851"/>
        <w:rPr>
          <w:rFonts w:cs="Arial"/>
          <w:b/>
          <w:i/>
          <w:lang w:val="es-ES" w:eastAsia="es-ES"/>
        </w:rPr>
      </w:pPr>
    </w:p>
    <w:p w14:paraId="690D7DB0" w14:textId="77777777" w:rsidR="00EC408A" w:rsidRDefault="00EC408A" w:rsidP="00EC408A">
      <w:pPr>
        <w:rPr>
          <w:rFonts w:cs="Times New Roman"/>
          <w:szCs w:val="24"/>
          <w:lang w:val="es-ES" w:eastAsia="es-ES"/>
        </w:rPr>
      </w:pPr>
      <w:r>
        <w:rPr>
          <w:rFonts w:cs="Times New Roman"/>
          <w:szCs w:val="24"/>
          <w:lang w:val="es-ES" w:eastAsia="es-ES"/>
        </w:rPr>
        <w:t xml:space="preserve">Robusteciendo lo anterior se encuentra lo dispuesto en los artículos 6, Apartado A, fracciones III y IV de la Constitución Política de los Estados Unidos Mexicanos y 5 párrafos </w:t>
      </w:r>
      <w:r>
        <w:rPr>
          <w:rFonts w:cs="Arial"/>
          <w:szCs w:val="24"/>
          <w:lang w:val="es-ES" w:eastAsia="es-ES"/>
        </w:rPr>
        <w:t>vigésimo, vigésimo primero</w:t>
      </w:r>
      <w:r>
        <w:rPr>
          <w:rFonts w:eastAsia="Times New Roman" w:cs="Arial"/>
          <w:szCs w:val="24"/>
          <w:lang w:eastAsia="es-ES"/>
        </w:rPr>
        <w:t xml:space="preserve"> y vigésimo segundo</w:t>
      </w:r>
      <w:r>
        <w:rPr>
          <w:rFonts w:cs="Times New Roman"/>
          <w:szCs w:val="24"/>
          <w:lang w:val="es-ES" w:eastAsia="es-ES"/>
        </w:rPr>
        <w:t>, de la Constitución Política del Estado Libre y Soberano de México, se establece lo siguiente:</w:t>
      </w:r>
    </w:p>
    <w:p w14:paraId="459BA865" w14:textId="77777777" w:rsidR="00EC408A" w:rsidRPr="0090545F" w:rsidRDefault="00EC408A" w:rsidP="00EC408A">
      <w:pPr>
        <w:spacing w:before="240"/>
        <w:ind w:left="851" w:right="851"/>
        <w:jc w:val="center"/>
        <w:rPr>
          <w:rFonts w:eastAsia="Times New Roman" w:cs="Times New Roman"/>
          <w:b/>
          <w:i/>
          <w:sz w:val="22"/>
          <w:u w:val="single"/>
          <w:lang w:val="es-ES" w:eastAsia="es-ES"/>
        </w:rPr>
      </w:pPr>
      <w:r w:rsidRPr="0090545F">
        <w:rPr>
          <w:rFonts w:eastAsia="Times New Roman" w:cs="Times New Roman"/>
          <w:b/>
          <w:i/>
          <w:sz w:val="22"/>
          <w:u w:val="single"/>
          <w:lang w:val="es-ES" w:eastAsia="es-ES"/>
        </w:rPr>
        <w:t>Constitución Política de los Estados Unidos Mexicanos</w:t>
      </w:r>
    </w:p>
    <w:p w14:paraId="7F981443" w14:textId="77777777" w:rsidR="00EC408A" w:rsidRPr="0090545F" w:rsidRDefault="00EC408A" w:rsidP="00EC408A">
      <w:pPr>
        <w:spacing w:before="240"/>
        <w:ind w:left="851" w:right="851"/>
        <w:rPr>
          <w:rFonts w:eastAsia="Times New Roman" w:cs="Times New Roman"/>
          <w:i/>
          <w:sz w:val="22"/>
          <w:lang w:val="es-ES" w:eastAsia="es-ES"/>
        </w:rPr>
      </w:pPr>
      <w:r w:rsidRPr="0090545F">
        <w:rPr>
          <w:rFonts w:eastAsia="Times New Roman" w:cs="Times New Roman"/>
          <w:b/>
          <w:i/>
          <w:sz w:val="22"/>
          <w:lang w:val="es-ES" w:eastAsia="es-ES"/>
        </w:rPr>
        <w:t>“Artículo 6</w:t>
      </w:r>
      <w:proofErr w:type="gramStart"/>
      <w:r w:rsidRPr="0090545F">
        <w:rPr>
          <w:rFonts w:eastAsia="Times New Roman" w:cs="Times New Roman"/>
          <w:i/>
          <w:sz w:val="22"/>
          <w:lang w:val="es-ES" w:eastAsia="es-ES"/>
        </w:rPr>
        <w:t>°.-</w:t>
      </w:r>
      <w:proofErr w:type="gramEnd"/>
      <w:r w:rsidRPr="0090545F">
        <w:rPr>
          <w:rFonts w:eastAsia="Times New Roman" w:cs="Times New Roman"/>
          <w:i/>
          <w:sz w:val="22"/>
          <w:lang w:val="es-ES" w:eastAsia="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84E4BEC" w14:textId="77777777" w:rsidR="00EC408A" w:rsidRPr="0090545F" w:rsidRDefault="00EC408A" w:rsidP="00EC408A">
      <w:pPr>
        <w:spacing w:before="240"/>
        <w:ind w:left="851" w:right="851"/>
        <w:rPr>
          <w:rFonts w:eastAsia="Times New Roman" w:cs="Times New Roman"/>
          <w:i/>
          <w:sz w:val="22"/>
          <w:lang w:val="es-ES" w:eastAsia="es-ES"/>
        </w:rPr>
      </w:pPr>
      <w:r w:rsidRPr="0090545F">
        <w:rPr>
          <w:rFonts w:eastAsia="Times New Roman" w:cs="Times New Roman"/>
          <w:i/>
          <w:sz w:val="22"/>
          <w:lang w:val="es-ES" w:eastAsia="es-ES"/>
        </w:rPr>
        <w:t>(…)</w:t>
      </w:r>
    </w:p>
    <w:p w14:paraId="3EC360B2" w14:textId="77777777" w:rsidR="00EC408A" w:rsidRPr="0090545F" w:rsidRDefault="00EC408A" w:rsidP="00EC408A">
      <w:pPr>
        <w:spacing w:before="240"/>
        <w:ind w:left="851" w:right="851"/>
        <w:rPr>
          <w:rFonts w:eastAsia="Times New Roman" w:cs="Times New Roman"/>
          <w:i/>
          <w:sz w:val="22"/>
          <w:lang w:val="es-ES" w:eastAsia="es-ES"/>
        </w:rPr>
      </w:pPr>
      <w:r w:rsidRPr="0090545F">
        <w:rPr>
          <w:rFonts w:eastAsia="Times New Roman" w:cs="Times New Roman"/>
          <w:i/>
          <w:sz w:val="22"/>
          <w:lang w:val="es-ES" w:eastAsia="es-ES"/>
        </w:rPr>
        <w:t xml:space="preserve">Para efectos de lo dispuesto en el presente artículo se observará lo siguiente: </w:t>
      </w:r>
    </w:p>
    <w:p w14:paraId="68615CD6" w14:textId="77777777" w:rsidR="00EC408A" w:rsidRPr="0090545F" w:rsidRDefault="00EC408A" w:rsidP="00EC408A">
      <w:pPr>
        <w:spacing w:before="240"/>
        <w:ind w:left="851" w:right="851"/>
        <w:rPr>
          <w:rFonts w:eastAsia="Times New Roman" w:cs="Times New Roman"/>
          <w:i/>
          <w:sz w:val="22"/>
          <w:lang w:val="es-ES" w:eastAsia="es-ES"/>
        </w:rPr>
      </w:pPr>
      <w:r w:rsidRPr="0090545F">
        <w:rPr>
          <w:rFonts w:eastAsia="Times New Roman" w:cs="Times New Roman"/>
          <w:i/>
          <w:sz w:val="22"/>
          <w:lang w:val="es-ES" w:eastAsia="es-ES"/>
        </w:rPr>
        <w:t>A. Para el ejercicio del derecho de acceso a la información, la Federación, los Estados y el Distrito Federal, en el ámbito de sus respectivas competencias, se regirán por los siguientes principios y bases:</w:t>
      </w:r>
    </w:p>
    <w:p w14:paraId="7A336537" w14:textId="77777777" w:rsidR="00EC408A" w:rsidRPr="0090545F" w:rsidRDefault="00EC408A" w:rsidP="00EC408A">
      <w:pPr>
        <w:spacing w:before="240"/>
        <w:ind w:left="851" w:right="851"/>
        <w:rPr>
          <w:rFonts w:eastAsia="Times New Roman" w:cs="Times New Roman"/>
          <w:i/>
          <w:sz w:val="22"/>
          <w:lang w:val="es-ES" w:eastAsia="es-ES"/>
        </w:rPr>
      </w:pPr>
      <w:r w:rsidRPr="0090545F">
        <w:rPr>
          <w:rFonts w:eastAsia="Times New Roman" w:cs="Times New Roman"/>
          <w:i/>
          <w:sz w:val="22"/>
          <w:lang w:val="es-ES" w:eastAsia="es-ES"/>
        </w:rPr>
        <w:lastRenderedPageBreak/>
        <w:t>(…)</w:t>
      </w:r>
    </w:p>
    <w:p w14:paraId="20BEE944" w14:textId="77777777" w:rsidR="00EC408A" w:rsidRPr="0090545F" w:rsidRDefault="00EC408A" w:rsidP="00EC408A">
      <w:pPr>
        <w:spacing w:before="240"/>
        <w:ind w:left="851" w:right="851"/>
        <w:rPr>
          <w:rFonts w:eastAsia="Times New Roman" w:cs="Times New Roman"/>
          <w:i/>
          <w:sz w:val="22"/>
          <w:lang w:val="es-ES" w:eastAsia="es-ES"/>
        </w:rPr>
      </w:pPr>
      <w:r w:rsidRPr="0090545F">
        <w:rPr>
          <w:rFonts w:eastAsia="Times New Roman" w:cs="Times New Roman"/>
          <w:i/>
          <w:sz w:val="22"/>
          <w:lang w:val="es-ES" w:eastAsia="es-ES"/>
        </w:rPr>
        <w:t xml:space="preserve">III. Toda persona, sin necesidad de acreditar interés alguno o justificar su utilización, tendrá acceso gratuito a la información pública, a sus datos personales o a la rectificación de éstos. </w:t>
      </w:r>
    </w:p>
    <w:p w14:paraId="570799F6" w14:textId="77777777" w:rsidR="00EC408A" w:rsidRPr="0090545F" w:rsidRDefault="00EC408A" w:rsidP="00EC408A">
      <w:pPr>
        <w:spacing w:before="240"/>
        <w:ind w:left="851" w:right="851"/>
        <w:rPr>
          <w:rFonts w:eastAsia="Times New Roman" w:cs="Times New Roman"/>
          <w:b/>
          <w:i/>
          <w:sz w:val="22"/>
          <w:lang w:val="es-ES" w:eastAsia="es-ES"/>
        </w:rPr>
      </w:pPr>
      <w:r w:rsidRPr="0090545F">
        <w:rPr>
          <w:rFonts w:eastAsia="Times New Roman" w:cs="Times New Roman"/>
          <w:i/>
          <w:sz w:val="22"/>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90545F">
        <w:rPr>
          <w:rFonts w:eastAsia="Times New Roman" w:cs="Times New Roman"/>
          <w:b/>
          <w:i/>
          <w:sz w:val="22"/>
          <w:lang w:val="es-ES" w:eastAsia="es-ES"/>
        </w:rPr>
        <w:t>[Sic]</w:t>
      </w:r>
    </w:p>
    <w:p w14:paraId="59AA5E6A" w14:textId="77777777" w:rsidR="00EC408A" w:rsidRPr="0090545F" w:rsidRDefault="00EC408A" w:rsidP="00EC408A">
      <w:pPr>
        <w:spacing w:before="240"/>
        <w:ind w:left="851" w:right="851"/>
        <w:rPr>
          <w:rFonts w:eastAsia="Times New Roman" w:cs="Times New Roman"/>
          <w:b/>
          <w:i/>
          <w:sz w:val="22"/>
          <w:lang w:val="es-ES" w:eastAsia="es-ES"/>
        </w:rPr>
      </w:pPr>
    </w:p>
    <w:p w14:paraId="77F4DF7F" w14:textId="77777777" w:rsidR="00EC408A" w:rsidRPr="0090545F" w:rsidRDefault="00EC408A" w:rsidP="00EC408A">
      <w:pPr>
        <w:spacing w:before="240"/>
        <w:ind w:left="851" w:right="851"/>
        <w:jc w:val="center"/>
        <w:rPr>
          <w:rFonts w:eastAsia="Times New Roman" w:cs="Times New Roman"/>
          <w:b/>
          <w:i/>
          <w:sz w:val="22"/>
          <w:u w:val="single"/>
          <w:lang w:val="es-ES" w:eastAsia="es-ES"/>
        </w:rPr>
      </w:pPr>
      <w:r w:rsidRPr="0090545F">
        <w:rPr>
          <w:rFonts w:eastAsia="Times New Roman" w:cs="Times New Roman"/>
          <w:b/>
          <w:i/>
          <w:sz w:val="22"/>
          <w:u w:val="single"/>
          <w:lang w:val="es-ES" w:eastAsia="es-ES"/>
        </w:rPr>
        <w:t>Constitución Política del Estado Libre y Soberano de México</w:t>
      </w:r>
    </w:p>
    <w:p w14:paraId="082F06EC" w14:textId="77777777" w:rsidR="00EC408A" w:rsidRPr="0090545F" w:rsidRDefault="00EC408A" w:rsidP="00EC408A">
      <w:pPr>
        <w:spacing w:before="240"/>
        <w:ind w:left="851" w:right="851"/>
        <w:rPr>
          <w:rFonts w:eastAsia="Times New Roman" w:cs="Times New Roman"/>
          <w:i/>
          <w:sz w:val="22"/>
          <w:lang w:val="es-ES" w:eastAsia="es-ES"/>
        </w:rPr>
      </w:pPr>
      <w:r w:rsidRPr="0090545F">
        <w:rPr>
          <w:rFonts w:eastAsia="Times New Roman" w:cs="Times New Roman"/>
          <w:i/>
          <w:sz w:val="22"/>
          <w:lang w:val="es-ES" w:eastAsia="es-ES"/>
        </w:rPr>
        <w:t>“</w:t>
      </w:r>
      <w:r w:rsidRPr="0090545F">
        <w:rPr>
          <w:rFonts w:eastAsia="Times New Roman" w:cs="Times New Roman"/>
          <w:b/>
          <w:i/>
          <w:sz w:val="22"/>
          <w:lang w:val="es-ES" w:eastAsia="es-ES"/>
        </w:rPr>
        <w:t>Artículo 5</w:t>
      </w:r>
      <w:r w:rsidRPr="0090545F">
        <w:rPr>
          <w:rFonts w:eastAsia="Times New Roman" w:cs="Times New Roman"/>
          <w:i/>
          <w:sz w:val="22"/>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F2941E9" w14:textId="77777777" w:rsidR="00EC408A" w:rsidRPr="0090545F" w:rsidRDefault="00EC408A" w:rsidP="00EC408A">
      <w:pPr>
        <w:spacing w:before="240"/>
        <w:ind w:left="851" w:right="851"/>
        <w:rPr>
          <w:rFonts w:eastAsia="Times New Roman" w:cs="Times New Roman"/>
          <w:i/>
          <w:sz w:val="22"/>
          <w:lang w:val="es-ES" w:eastAsia="es-ES"/>
        </w:rPr>
      </w:pPr>
      <w:r w:rsidRPr="0090545F">
        <w:rPr>
          <w:rFonts w:eastAsia="Times New Roman" w:cs="Times New Roman"/>
          <w:i/>
          <w:sz w:val="22"/>
          <w:lang w:val="es-ES" w:eastAsia="es-ES"/>
        </w:rPr>
        <w:t>(…)</w:t>
      </w:r>
    </w:p>
    <w:p w14:paraId="3CD247A2" w14:textId="77777777" w:rsidR="00EC408A" w:rsidRDefault="00EC408A" w:rsidP="00EC408A">
      <w:pPr>
        <w:spacing w:before="240"/>
        <w:ind w:left="851" w:right="851"/>
        <w:rPr>
          <w:rFonts w:eastAsia="Times New Roman" w:cs="Times New Roman"/>
          <w:b/>
          <w:i/>
          <w:sz w:val="22"/>
          <w:lang w:val="es-ES" w:eastAsia="es-ES"/>
        </w:rPr>
      </w:pPr>
      <w:r w:rsidRPr="0090545F">
        <w:rPr>
          <w:rFonts w:eastAsia="Times New Roman" w:cs="Times New Roman"/>
          <w:i/>
          <w:sz w:val="22"/>
          <w:lang w:val="es-ES" w:eastAsia="es-ES"/>
        </w:rPr>
        <w:t xml:space="preserve">transparencia, acceso a la información pública y a la protección de datos personales en posesión de los sujetos obligados en los términos que establezca la ley. (…)” </w:t>
      </w:r>
      <w:r w:rsidRPr="0090545F">
        <w:rPr>
          <w:rFonts w:eastAsia="Times New Roman" w:cs="Times New Roman"/>
          <w:b/>
          <w:i/>
          <w:sz w:val="22"/>
          <w:lang w:val="es-ES" w:eastAsia="es-ES"/>
        </w:rPr>
        <w:t>[Sic]</w:t>
      </w:r>
    </w:p>
    <w:p w14:paraId="6A12F055" w14:textId="77777777" w:rsidR="0090545F" w:rsidRPr="0090545F" w:rsidRDefault="0090545F" w:rsidP="00EC408A">
      <w:pPr>
        <w:spacing w:before="240"/>
        <w:ind w:left="851" w:right="851"/>
        <w:rPr>
          <w:rFonts w:eastAsia="Times New Roman" w:cs="Times New Roman"/>
          <w:b/>
          <w:i/>
          <w:sz w:val="22"/>
          <w:lang w:val="es-ES" w:eastAsia="es-ES"/>
        </w:rPr>
      </w:pPr>
    </w:p>
    <w:p w14:paraId="739AEEF4" w14:textId="77777777" w:rsidR="00EC408A" w:rsidRDefault="00EC408A" w:rsidP="00EC408A">
      <w:pPr>
        <w:rPr>
          <w:rFonts w:eastAsia="Times New Roman" w:cs="Times New Roman"/>
          <w:szCs w:val="24"/>
          <w:lang w:val="es-ES" w:eastAsia="es-ES"/>
        </w:rPr>
      </w:pPr>
      <w:r>
        <w:rPr>
          <w:rFonts w:eastAsia="Times New Roman" w:cs="Times New Roman"/>
          <w:szCs w:val="24"/>
          <w:lang w:val="es-ES" w:eastAsia="es-ES"/>
        </w:rPr>
        <w:t>Por otra parte, del contenido del artículo 1 de la Constitución Política de los Estados Unidos Mexicanos, se destaca lo siguiente:</w:t>
      </w:r>
    </w:p>
    <w:p w14:paraId="19CDED12" w14:textId="77777777" w:rsidR="00EC408A" w:rsidRPr="0090545F" w:rsidRDefault="00EC408A" w:rsidP="00EC408A">
      <w:pPr>
        <w:spacing w:before="240"/>
        <w:ind w:left="851" w:right="851"/>
        <w:rPr>
          <w:rFonts w:cs="Times New Roman"/>
          <w:i/>
          <w:sz w:val="22"/>
          <w:lang w:val="es-ES" w:eastAsia="es-ES"/>
        </w:rPr>
      </w:pPr>
      <w:r w:rsidRPr="0090545F">
        <w:rPr>
          <w:rFonts w:cs="Times New Roman"/>
          <w:i/>
          <w:sz w:val="22"/>
          <w:lang w:val="es-ES" w:eastAsia="es-ES"/>
        </w:rPr>
        <w:lastRenderedPageBreak/>
        <w:t>“</w:t>
      </w:r>
      <w:r w:rsidRPr="0090545F">
        <w:rPr>
          <w:rFonts w:cs="Times New Roman"/>
          <w:b/>
          <w:i/>
          <w:sz w:val="22"/>
          <w:lang w:val="es-ES" w:eastAsia="es-ES"/>
        </w:rPr>
        <w:t>Artículo 1o</w:t>
      </w:r>
      <w:r w:rsidRPr="0090545F">
        <w:rPr>
          <w:rFonts w:cs="Times New Roman"/>
          <w:i/>
          <w:sz w:val="22"/>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C0C8AB5" w14:textId="77777777" w:rsidR="00EC408A" w:rsidRPr="0090545F" w:rsidRDefault="00EC408A" w:rsidP="00EC408A">
      <w:pPr>
        <w:spacing w:before="240"/>
        <w:ind w:left="851" w:right="851"/>
        <w:rPr>
          <w:rFonts w:cs="Times New Roman"/>
          <w:i/>
          <w:sz w:val="22"/>
          <w:lang w:val="es-ES" w:eastAsia="es-ES"/>
        </w:rPr>
      </w:pPr>
      <w:r w:rsidRPr="0090545F">
        <w:rPr>
          <w:rFonts w:cs="Times New Roman"/>
          <w:i/>
          <w:sz w:val="22"/>
          <w:lang w:val="es-ES" w:eastAsia="es-ES"/>
        </w:rPr>
        <w:t>Las normas relativas a los derechos humanos se interpretarán de conformidad con esta Constitución y con los tratados internacionales de la materia favoreciendo en todo tiempo a las personas la protección más amplia.</w:t>
      </w:r>
    </w:p>
    <w:p w14:paraId="5831F9F3" w14:textId="77777777" w:rsidR="00EC408A" w:rsidRPr="0090545F" w:rsidRDefault="00EC408A" w:rsidP="00EC408A">
      <w:pPr>
        <w:spacing w:before="240"/>
        <w:ind w:left="851" w:right="851"/>
        <w:rPr>
          <w:rFonts w:cs="Times New Roman"/>
          <w:b/>
          <w:i/>
          <w:sz w:val="22"/>
          <w:lang w:val="es-ES" w:eastAsia="es-ES"/>
        </w:rPr>
      </w:pPr>
      <w:r w:rsidRPr="0090545F">
        <w:rPr>
          <w:rFonts w:cs="Times New Roman"/>
          <w:i/>
          <w:sz w:val="22"/>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90545F">
        <w:rPr>
          <w:rFonts w:cs="Times New Roman"/>
          <w:b/>
          <w:i/>
          <w:sz w:val="22"/>
          <w:lang w:val="es-ES" w:eastAsia="es-ES"/>
        </w:rPr>
        <w:t>[Sic]</w:t>
      </w:r>
    </w:p>
    <w:p w14:paraId="104EC1F6" w14:textId="77777777" w:rsidR="00EC408A" w:rsidRPr="0090545F" w:rsidRDefault="00EC408A" w:rsidP="00EC408A">
      <w:pPr>
        <w:rPr>
          <w:rFonts w:eastAsia="Times New Roman" w:cs="Times New Roman"/>
          <w:sz w:val="22"/>
          <w:lang w:val="es-ES" w:eastAsia="es-ES"/>
        </w:rPr>
      </w:pPr>
    </w:p>
    <w:p w14:paraId="3873B650" w14:textId="77777777" w:rsidR="00EC408A" w:rsidRDefault="00EC408A" w:rsidP="00EC408A">
      <w:pPr>
        <w:ind w:right="49"/>
        <w:rPr>
          <w:rFonts w:cs="Arial"/>
          <w:szCs w:val="24"/>
          <w:lang w:val="es-ES"/>
        </w:rPr>
      </w:pPr>
      <w:r>
        <w:rPr>
          <w:rFonts w:eastAsia="Times New Roman" w:cs="Times New Roman"/>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Pr>
          <w:rFonts w:eastAsia="Times New Roman" w:cs="Times New Roman"/>
          <w:b/>
          <w:szCs w:val="24"/>
          <w:u w:val="single"/>
          <w:lang w:val="es-ES" w:eastAsia="es-ES"/>
        </w:rPr>
        <w:t>incluso, la solicitud de acceso a la información pueda ser anónima</w:t>
      </w:r>
      <w:r>
        <w:rPr>
          <w:rFonts w:eastAsia="Times New Roman" w:cs="Times New Roman"/>
          <w:szCs w:val="24"/>
          <w:lang w:val="es-ES" w:eastAsia="es-ES"/>
        </w:rPr>
        <w:t xml:space="preserve"> o no contener un nombre que identifique al solicitante o que permita tener certeza sobre su identidad. </w:t>
      </w:r>
      <w:r>
        <w:rPr>
          <w:rFonts w:cs="Arial"/>
          <w:szCs w:val="24"/>
          <w:lang w:val="es-ES"/>
        </w:rPr>
        <w:t>En conclusión, se cubrieron los requisitos de procedencia y procedibilidad y conforme a las constancias que obran en el expediente.</w:t>
      </w:r>
    </w:p>
    <w:p w14:paraId="4A25DA87" w14:textId="77777777" w:rsidR="00EC408A" w:rsidRPr="0021444E" w:rsidRDefault="00EC408A" w:rsidP="00EC408A">
      <w:pPr>
        <w:ind w:right="49"/>
        <w:rPr>
          <w:rFonts w:eastAsia="Times New Roman" w:cs="Arial"/>
          <w:b/>
          <w:sz w:val="28"/>
          <w:szCs w:val="28"/>
          <w:lang w:val="es-ES" w:eastAsia="es-ES"/>
        </w:rPr>
      </w:pPr>
    </w:p>
    <w:p w14:paraId="293D411D" w14:textId="77777777" w:rsidR="00EC408A" w:rsidRPr="00CA1D2B" w:rsidRDefault="00EC408A" w:rsidP="00EC408A">
      <w:pPr>
        <w:autoSpaceDE w:val="0"/>
        <w:autoSpaceDN w:val="0"/>
        <w:adjustRightInd w:val="0"/>
        <w:rPr>
          <w:rFonts w:cs="Arial"/>
          <w:b/>
          <w:sz w:val="28"/>
        </w:rPr>
      </w:pPr>
      <w:r>
        <w:rPr>
          <w:rFonts w:cs="Arial"/>
          <w:b/>
          <w:sz w:val="28"/>
        </w:rPr>
        <w:lastRenderedPageBreak/>
        <w:t xml:space="preserve">CUARTO. </w:t>
      </w:r>
      <w:r w:rsidRPr="00CA1D2B">
        <w:rPr>
          <w:rFonts w:cs="Arial"/>
          <w:b/>
          <w:sz w:val="28"/>
        </w:rPr>
        <w:t>De las causas de improcedencia.</w:t>
      </w:r>
    </w:p>
    <w:p w14:paraId="2DF7C7BC" w14:textId="77777777" w:rsidR="00EC408A" w:rsidRPr="00CA1D2B" w:rsidRDefault="00EC408A" w:rsidP="00EC408A">
      <w:pPr>
        <w:pStyle w:val="Prrafodelista"/>
        <w:autoSpaceDE w:val="0"/>
        <w:autoSpaceDN w:val="0"/>
        <w:adjustRightInd w:val="0"/>
        <w:ind w:left="0"/>
        <w:rPr>
          <w:rFonts w:cs="Arial"/>
        </w:rPr>
      </w:pPr>
      <w:r w:rsidRPr="00CA1D2B">
        <w:rPr>
          <w:rFonts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5B634BE" w14:textId="77777777" w:rsidR="00EC408A" w:rsidRPr="00CA1D2B" w:rsidRDefault="00EC408A" w:rsidP="00EC408A">
      <w:pPr>
        <w:pStyle w:val="Prrafodelista"/>
        <w:autoSpaceDE w:val="0"/>
        <w:autoSpaceDN w:val="0"/>
        <w:adjustRightInd w:val="0"/>
        <w:ind w:left="0"/>
        <w:rPr>
          <w:rFonts w:cs="Arial"/>
        </w:rPr>
      </w:pPr>
    </w:p>
    <w:p w14:paraId="0A120E68" w14:textId="77777777" w:rsidR="00EC408A" w:rsidRPr="00CA1D2B" w:rsidRDefault="00EC408A" w:rsidP="00EC408A">
      <w:pPr>
        <w:pStyle w:val="Prrafodelista"/>
        <w:autoSpaceDE w:val="0"/>
        <w:autoSpaceDN w:val="0"/>
        <w:adjustRightInd w:val="0"/>
        <w:ind w:left="0"/>
        <w:rPr>
          <w:rFonts w:cs="Arial"/>
        </w:rPr>
      </w:pPr>
      <w:r w:rsidRPr="00CA1D2B">
        <w:rPr>
          <w:rFonts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CA1D2B">
        <w:rPr>
          <w:rStyle w:val="Refdenotaalpie"/>
          <w:rFonts w:cs="Arial"/>
        </w:rPr>
        <w:footnoteReference w:id="1"/>
      </w:r>
      <w:r w:rsidRPr="00CA1D2B">
        <w:rPr>
          <w:rFonts w:cs="Arial"/>
        </w:rPr>
        <w:t>.</w:t>
      </w:r>
    </w:p>
    <w:p w14:paraId="71BF53CA" w14:textId="77777777" w:rsidR="00EC408A" w:rsidRPr="00CA1D2B" w:rsidRDefault="00EC408A" w:rsidP="00EC408A">
      <w:pPr>
        <w:pStyle w:val="Prrafodelista"/>
        <w:autoSpaceDE w:val="0"/>
        <w:autoSpaceDN w:val="0"/>
        <w:adjustRightInd w:val="0"/>
        <w:ind w:left="0"/>
        <w:rPr>
          <w:rFonts w:cs="Arial"/>
          <w:b/>
          <w:sz w:val="28"/>
        </w:rPr>
      </w:pPr>
      <w:r w:rsidRPr="00CA1D2B">
        <w:rPr>
          <w:rFonts w:cs="Arial"/>
        </w:rPr>
        <w:lastRenderedPageBreak/>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53FE6C6F" w14:textId="77777777" w:rsidR="00EC408A" w:rsidRPr="002F7BF8" w:rsidRDefault="00EC408A" w:rsidP="00EC408A">
      <w:pPr>
        <w:autoSpaceDE w:val="0"/>
        <w:autoSpaceDN w:val="0"/>
        <w:adjustRightInd w:val="0"/>
        <w:spacing w:before="240"/>
      </w:pPr>
    </w:p>
    <w:p w14:paraId="6292C87F" w14:textId="77777777" w:rsidR="00EC408A" w:rsidRPr="006922F5" w:rsidRDefault="00EC408A" w:rsidP="00EC408A">
      <w:pPr>
        <w:pStyle w:val="Ttulo2"/>
        <w:rPr>
          <w:rFonts w:eastAsia="Palatino Linotype"/>
        </w:rPr>
      </w:pPr>
      <w:r>
        <w:rPr>
          <w:rFonts w:eastAsia="Palatino Linotype"/>
        </w:rPr>
        <w:t xml:space="preserve">QUINTO. </w:t>
      </w:r>
      <w:r w:rsidRPr="006922F5">
        <w:rPr>
          <w:rFonts w:eastAsia="Palatino Linotype"/>
        </w:rPr>
        <w:t>Estudio y resolución del asunto.</w:t>
      </w:r>
    </w:p>
    <w:p w14:paraId="342298BD" w14:textId="77777777" w:rsidR="00EC408A" w:rsidRPr="006922F5" w:rsidRDefault="00EC408A" w:rsidP="00EC408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E4A5404" w14:textId="77777777" w:rsidR="00EC408A" w:rsidRPr="006922F5" w:rsidRDefault="00EC408A" w:rsidP="00EC408A">
      <w:pPr>
        <w:pBdr>
          <w:top w:val="nil"/>
          <w:left w:val="nil"/>
          <w:bottom w:val="nil"/>
          <w:right w:val="nil"/>
          <w:between w:val="nil"/>
        </w:pBdr>
        <w:contextualSpacing/>
        <w:rPr>
          <w:rFonts w:eastAsia="Palatino Linotype" w:cs="Palatino Linotype"/>
          <w:color w:val="000000"/>
          <w:szCs w:val="24"/>
        </w:rPr>
      </w:pPr>
    </w:p>
    <w:p w14:paraId="7485F09F" w14:textId="77777777" w:rsidR="00EC408A" w:rsidRDefault="00EC408A" w:rsidP="00EC408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requirió </w:t>
      </w:r>
      <w:r>
        <w:rPr>
          <w:rFonts w:eastAsia="Palatino Linotype" w:cs="Palatino Linotype"/>
          <w:color w:val="000000"/>
          <w:szCs w:val="24"/>
        </w:rPr>
        <w:t>del Sujeto Obligado, de la actual administración, lo siguiente:</w:t>
      </w:r>
    </w:p>
    <w:p w14:paraId="516CF56D" w14:textId="77777777" w:rsidR="00EC408A" w:rsidRDefault="00EC408A" w:rsidP="00EC408A">
      <w:pPr>
        <w:pBdr>
          <w:top w:val="nil"/>
          <w:left w:val="nil"/>
          <w:bottom w:val="nil"/>
          <w:right w:val="nil"/>
          <w:between w:val="nil"/>
        </w:pBdr>
        <w:contextualSpacing/>
        <w:rPr>
          <w:rFonts w:eastAsia="Palatino Linotype" w:cs="Palatino Linotype"/>
          <w:color w:val="000000"/>
          <w:szCs w:val="24"/>
        </w:rPr>
      </w:pPr>
    </w:p>
    <w:p w14:paraId="5C104591" w14:textId="77777777" w:rsidR="00EC408A" w:rsidRPr="00B35E0D" w:rsidRDefault="00B35E0D" w:rsidP="00DC5A44">
      <w:pPr>
        <w:pStyle w:val="Prrafodelista"/>
        <w:numPr>
          <w:ilvl w:val="0"/>
          <w:numId w:val="2"/>
        </w:numPr>
        <w:pBdr>
          <w:top w:val="nil"/>
          <w:left w:val="nil"/>
          <w:bottom w:val="nil"/>
          <w:right w:val="nil"/>
          <w:between w:val="nil"/>
        </w:pBdr>
        <w:contextualSpacing/>
        <w:rPr>
          <w:rFonts w:eastAsia="Palatino Linotype" w:cs="Palatino Linotype"/>
          <w:i/>
          <w:color w:val="000000"/>
        </w:rPr>
      </w:pPr>
      <w:r>
        <w:rPr>
          <w:i/>
          <w:color w:val="000000"/>
          <w:lang w:val="es-ES_tradnl"/>
        </w:rPr>
        <w:t>C</w:t>
      </w:r>
      <w:proofErr w:type="spellStart"/>
      <w:r w:rsidRPr="00B35E0D">
        <w:rPr>
          <w:i/>
          <w:color w:val="000000"/>
        </w:rPr>
        <w:t>opia</w:t>
      </w:r>
      <w:proofErr w:type="spellEnd"/>
      <w:r w:rsidRPr="00B35E0D">
        <w:rPr>
          <w:i/>
          <w:color w:val="000000"/>
        </w:rPr>
        <w:t xml:space="preserve"> de la factura u orden pago de la escultura </w:t>
      </w:r>
      <w:proofErr w:type="spellStart"/>
      <w:r w:rsidRPr="00B35E0D">
        <w:rPr>
          <w:i/>
          <w:color w:val="000000"/>
        </w:rPr>
        <w:t>yaotecuani</w:t>
      </w:r>
      <w:proofErr w:type="spellEnd"/>
      <w:r w:rsidRPr="00B35E0D">
        <w:rPr>
          <w:i/>
          <w:color w:val="000000"/>
        </w:rPr>
        <w:t xml:space="preserve"> que se instalara en la glorieta norte de villa guerrero, </w:t>
      </w:r>
      <w:proofErr w:type="spellStart"/>
      <w:r w:rsidRPr="00B35E0D">
        <w:rPr>
          <w:i/>
          <w:color w:val="000000"/>
        </w:rPr>
        <w:t>mexico</w:t>
      </w:r>
      <w:proofErr w:type="spellEnd"/>
    </w:p>
    <w:p w14:paraId="7749A5E3" w14:textId="77777777" w:rsidR="00B35E0D" w:rsidRPr="00B35E0D" w:rsidRDefault="00B35E0D" w:rsidP="00B35E0D">
      <w:pPr>
        <w:pStyle w:val="Prrafodelista"/>
        <w:pBdr>
          <w:top w:val="nil"/>
          <w:left w:val="nil"/>
          <w:bottom w:val="nil"/>
          <w:right w:val="nil"/>
          <w:between w:val="nil"/>
        </w:pBdr>
        <w:ind w:left="1069"/>
        <w:contextualSpacing/>
        <w:rPr>
          <w:rFonts w:eastAsia="Palatino Linotype" w:cs="Palatino Linotype"/>
          <w:color w:val="000000"/>
        </w:rPr>
      </w:pPr>
    </w:p>
    <w:p w14:paraId="5F6DE9FA" w14:textId="77777777" w:rsidR="00EC408A" w:rsidRDefault="00EC408A" w:rsidP="00EC408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lo que atento a la solicitud de información el Sujeto Obligado hizo entrega del siguiente archivo electrónico:</w:t>
      </w:r>
    </w:p>
    <w:p w14:paraId="16B6070C" w14:textId="77777777" w:rsidR="00EC408A" w:rsidRPr="00B35E0D" w:rsidRDefault="0089502F" w:rsidP="00DC5A44">
      <w:pPr>
        <w:pStyle w:val="Prrafodelista"/>
        <w:numPr>
          <w:ilvl w:val="0"/>
          <w:numId w:val="4"/>
        </w:numPr>
        <w:pBdr>
          <w:top w:val="nil"/>
          <w:left w:val="nil"/>
          <w:bottom w:val="nil"/>
          <w:right w:val="nil"/>
          <w:between w:val="nil"/>
        </w:pBdr>
        <w:tabs>
          <w:tab w:val="left" w:pos="1005"/>
        </w:tabs>
        <w:contextualSpacing/>
        <w:rPr>
          <w:rFonts w:eastAsia="Palatino Linotype" w:cs="Palatino Linotype"/>
          <w:color w:val="000000"/>
        </w:rPr>
      </w:pPr>
      <w:hyperlink r:id="rId8" w:tgtFrame="_blank" w:history="1">
        <w:r w:rsidR="00B35E0D" w:rsidRPr="00B35E0D">
          <w:rPr>
            <w:rStyle w:val="Hipervnculo"/>
            <w:rFonts w:eastAsiaTheme="majorEastAsia" w:cs="Arial"/>
            <w:b/>
            <w:bCs/>
            <w:color w:val="auto"/>
          </w:rPr>
          <w:t>FORMATO ACLARACIÓN 00055.docx</w:t>
        </w:r>
      </w:hyperlink>
      <w:r w:rsidR="00EC408A">
        <w:t xml:space="preserve">: </w:t>
      </w:r>
      <w:r w:rsidR="00B35E0D">
        <w:t xml:space="preserve">Documento que consta de dos fojas en formato Word de fecha veinte de octubre de dos mil veintitrés mediante el cual la Titular de la Unidad de Transparencia </w:t>
      </w:r>
      <w:r w:rsidR="00B35E0D" w:rsidRPr="00B35E0D">
        <w:rPr>
          <w:lang w:eastAsia="es-MX"/>
        </w:rPr>
        <w:t>requiere al solicitante que detalle, o especifique la aclaración de solicitud de información</w:t>
      </w:r>
      <w:r w:rsidR="00B35E0D">
        <w:rPr>
          <w:lang w:eastAsia="es-MX"/>
        </w:rPr>
        <w:t>.</w:t>
      </w:r>
    </w:p>
    <w:p w14:paraId="60390810" w14:textId="77777777" w:rsidR="00B35E0D" w:rsidRPr="00B35E0D" w:rsidRDefault="00B35E0D" w:rsidP="00B35E0D">
      <w:pPr>
        <w:pBdr>
          <w:top w:val="nil"/>
          <w:left w:val="nil"/>
          <w:bottom w:val="nil"/>
          <w:right w:val="nil"/>
          <w:between w:val="nil"/>
        </w:pBdr>
        <w:tabs>
          <w:tab w:val="left" w:pos="1005"/>
        </w:tabs>
        <w:contextualSpacing/>
        <w:rPr>
          <w:rFonts w:eastAsia="Palatino Linotype" w:cs="Palatino Linotype"/>
          <w:color w:val="000000"/>
        </w:rPr>
      </w:pPr>
    </w:p>
    <w:p w14:paraId="06F72A34" w14:textId="77777777" w:rsidR="00EC408A" w:rsidRPr="00B35E0D" w:rsidRDefault="00EC408A" w:rsidP="00EC408A">
      <w:pPr>
        <w:pBdr>
          <w:top w:val="nil"/>
          <w:left w:val="nil"/>
          <w:bottom w:val="nil"/>
          <w:right w:val="nil"/>
          <w:between w:val="nil"/>
        </w:pBdr>
        <w:contextualSpacing/>
        <w:rPr>
          <w:rFonts w:eastAsia="Palatino Linotype" w:cs="Palatino Linotype"/>
          <w:i/>
          <w:color w:val="000000"/>
        </w:rPr>
      </w:pPr>
      <w:r w:rsidRPr="00B35E0D">
        <w:rPr>
          <w:rFonts w:eastAsia="Palatino Linotype" w:cs="Palatino Linotype"/>
          <w:color w:val="000000"/>
        </w:rPr>
        <w:t xml:space="preserve">Ante la respuesta emitida por el Sujeto Obligado, el Recurrente consideró que su derecho a la información pública había sido conculcado, por lo que interpuso el recurso de revisión al rubro citado, señalando como acto impugnado </w:t>
      </w:r>
      <w:r w:rsidRPr="00B35E0D">
        <w:rPr>
          <w:rFonts w:eastAsia="Palatino Linotype" w:cs="Palatino Linotype"/>
          <w:i/>
          <w:color w:val="000000"/>
        </w:rPr>
        <w:t>“</w:t>
      </w:r>
      <w:r w:rsidR="00B35E0D" w:rsidRPr="00B35E0D">
        <w:rPr>
          <w:i/>
          <w:color w:val="000000"/>
        </w:rPr>
        <w:t>NEGATIVA DE BRINDAR LA INFORMACION SOLICITADA</w:t>
      </w:r>
      <w:r w:rsidRPr="00B35E0D">
        <w:rPr>
          <w:i/>
          <w:color w:val="000000"/>
        </w:rPr>
        <w:t>”</w:t>
      </w:r>
      <w:r w:rsidRPr="00B35E0D">
        <w:rPr>
          <w:rFonts w:ascii="Verdana" w:hAnsi="Verdana"/>
          <w:color w:val="000000"/>
          <w:sz w:val="14"/>
          <w:szCs w:val="14"/>
        </w:rPr>
        <w:t xml:space="preserve"> </w:t>
      </w:r>
      <w:r w:rsidRPr="00B35E0D">
        <w:rPr>
          <w:rFonts w:eastAsia="Palatino Linotype" w:cs="Palatino Linotype"/>
          <w:color w:val="000000"/>
        </w:rPr>
        <w:t>y razones o motivos de inconformidad lo siguiente; “</w:t>
      </w:r>
      <w:r w:rsidR="00B35E0D" w:rsidRPr="00B35E0D">
        <w:rPr>
          <w:i/>
          <w:color w:val="000000"/>
        </w:rPr>
        <w:t xml:space="preserve">POR INSTRUCCIONES DEL PRESIDENTE MUNICIPAL DE VILLA GUERRERO ESTADO DE MEXICO LA FIGURIN DE LICENCIADA SABDI SINAHI MARTINEZ SUAREZ EN CONTUBERNIO CON LA VIOLADORA FLAGRANTE DE LA LEY MARICELA RAMIREZ COTERO CONSEJERA DE INFOEM Y FIDUSITARIA DE LAS TRANZAS DEL ACTUAL PRESIDENTE MUNICIPAL SE ME HA NEGADO MI DERECHO CONSTITUCIONAL CONSIDERADO EN EL ARTICULO 6TO FRACCION I ADEMAS VIOLANDO EL PRINCIPIO DE MAXIMA PUBLICIDAD DE LA LEY DE INFORMACION PUBLICA, TAL COMO CONSTA EN LA RESPUESTA 005 LA MARICELA RAMIREZ COTERO ES LA TITULAR DE ACCESO A LA INFORMACION </w:t>
      </w:r>
      <w:r w:rsidR="00B35E0D" w:rsidRPr="00B35E0D">
        <w:rPr>
          <w:i/>
          <w:color w:val="000000"/>
        </w:rPr>
        <w:lastRenderedPageBreak/>
        <w:t xml:space="preserve">PUBLICA DE VILLA GUERRERO” </w:t>
      </w:r>
      <w:r w:rsidRPr="00B35E0D">
        <w:rPr>
          <w:rFonts w:eastAsia="Palatino Linotype" w:cs="Palatino Linotype"/>
          <w:i/>
          <w:color w:val="000000"/>
        </w:rPr>
        <w:t>en</w:t>
      </w:r>
      <w:r w:rsidRPr="00B35E0D">
        <w:rPr>
          <w:rFonts w:eastAsia="Palatino Linotype" w:cs="Palatino Linotype"/>
          <w:color w:val="000000"/>
        </w:rPr>
        <w:t xml:space="preserve"> este sentido el Recurrente considero que el Ayuntamiento de </w:t>
      </w:r>
      <w:r w:rsidR="00B35E0D" w:rsidRPr="00B35E0D">
        <w:rPr>
          <w:rFonts w:eastAsia="Palatino Linotype" w:cs="Palatino Linotype"/>
          <w:color w:val="000000"/>
        </w:rPr>
        <w:t>Villa de Guerrero</w:t>
      </w:r>
      <w:r w:rsidRPr="00B35E0D">
        <w:rPr>
          <w:rFonts w:eastAsia="Palatino Linotype" w:cs="Palatino Linotype"/>
          <w:color w:val="000000"/>
        </w:rPr>
        <w:t xml:space="preserve"> no le brindo</w:t>
      </w:r>
      <w:r w:rsidR="00B35E0D" w:rsidRPr="00B35E0D">
        <w:rPr>
          <w:i/>
          <w:color w:val="000000"/>
        </w:rPr>
        <w:t xml:space="preserve"> </w:t>
      </w:r>
      <w:r w:rsidR="00B35E0D">
        <w:rPr>
          <w:color w:val="000000"/>
        </w:rPr>
        <w:t>c</w:t>
      </w:r>
      <w:r w:rsidR="00B35E0D" w:rsidRPr="00B35E0D">
        <w:rPr>
          <w:color w:val="000000"/>
        </w:rPr>
        <w:t xml:space="preserve">opia de la factura u orden pago de la escultura </w:t>
      </w:r>
      <w:proofErr w:type="spellStart"/>
      <w:r w:rsidR="00B35E0D" w:rsidRPr="00B35E0D">
        <w:rPr>
          <w:color w:val="000000"/>
        </w:rPr>
        <w:t>yaotecuani</w:t>
      </w:r>
      <w:proofErr w:type="spellEnd"/>
      <w:r w:rsidR="00B35E0D" w:rsidRPr="00B35E0D">
        <w:rPr>
          <w:color w:val="000000"/>
        </w:rPr>
        <w:t xml:space="preserve"> que se instalara en la glo</w:t>
      </w:r>
      <w:r w:rsidR="00B35E0D">
        <w:rPr>
          <w:color w:val="000000"/>
        </w:rPr>
        <w:t>rieta norte de villa guerrero.</w:t>
      </w:r>
    </w:p>
    <w:p w14:paraId="531ABEF1" w14:textId="77777777" w:rsidR="0090545F" w:rsidRDefault="0090545F" w:rsidP="00EC408A">
      <w:pPr>
        <w:pBdr>
          <w:top w:val="nil"/>
          <w:left w:val="nil"/>
          <w:bottom w:val="nil"/>
          <w:right w:val="nil"/>
          <w:between w:val="nil"/>
        </w:pBdr>
        <w:contextualSpacing/>
        <w:rPr>
          <w:szCs w:val="24"/>
        </w:rPr>
      </w:pPr>
    </w:p>
    <w:p w14:paraId="441C0A47" w14:textId="77777777" w:rsidR="00EC408A" w:rsidRPr="006922F5" w:rsidRDefault="00EC408A" w:rsidP="00EC408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02C320C3" w14:textId="77777777" w:rsidR="00EC408A" w:rsidRPr="006922F5" w:rsidRDefault="00EC408A" w:rsidP="00EC408A">
      <w:pPr>
        <w:pBdr>
          <w:top w:val="nil"/>
          <w:left w:val="nil"/>
          <w:bottom w:val="nil"/>
          <w:right w:val="nil"/>
          <w:between w:val="nil"/>
        </w:pBdr>
        <w:contextualSpacing/>
        <w:rPr>
          <w:rFonts w:eastAsia="Palatino Linotype" w:cs="Palatino Linotype"/>
          <w:color w:val="000000"/>
          <w:szCs w:val="24"/>
        </w:rPr>
      </w:pPr>
    </w:p>
    <w:p w14:paraId="12CC7996" w14:textId="77777777" w:rsidR="00EC408A" w:rsidRPr="0090545F" w:rsidRDefault="00EC408A" w:rsidP="0090545F">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w:t>
      </w:r>
      <w:r w:rsidRPr="006922F5">
        <w:rPr>
          <w:rFonts w:eastAsia="Palatino Linotype" w:cs="Palatino Linotype"/>
          <w:szCs w:val="24"/>
        </w:rPr>
        <w:t>, la Ley de Transparencia y Acceso a la Información Pública del Estado de México y Municipios, prevé en su artículo 23, fracción I</w:t>
      </w:r>
      <w:r>
        <w:rPr>
          <w:rFonts w:eastAsia="Palatino Linotype" w:cs="Palatino Linotype"/>
          <w:szCs w:val="24"/>
        </w:rPr>
        <w:t>V</w:t>
      </w:r>
      <w:r w:rsidRPr="006922F5">
        <w:rPr>
          <w:rFonts w:eastAsia="Palatino Linotype" w:cs="Palatino Linotype"/>
          <w:szCs w:val="24"/>
        </w:rPr>
        <w:t>, lo siguiente:</w:t>
      </w:r>
    </w:p>
    <w:p w14:paraId="4961316E" w14:textId="77777777" w:rsidR="00EC408A" w:rsidRPr="006922F5" w:rsidRDefault="00EC408A" w:rsidP="00EC408A">
      <w:pPr>
        <w:rPr>
          <w:rFonts w:eastAsia="Palatino Linotype" w:cs="Palatino Linotype"/>
          <w:szCs w:val="24"/>
        </w:rPr>
      </w:pPr>
    </w:p>
    <w:p w14:paraId="30B233CF" w14:textId="77777777" w:rsidR="00EC408A" w:rsidRPr="006922F5" w:rsidRDefault="00EC408A" w:rsidP="003C3DED">
      <w:pPr>
        <w:pStyle w:val="Fundamentos"/>
        <w:spacing w:line="360" w:lineRule="auto"/>
      </w:pPr>
      <w:r w:rsidRPr="006922F5">
        <w:rPr>
          <w:b/>
        </w:rPr>
        <w:t>Artículo 23.</w:t>
      </w:r>
      <w:r w:rsidRPr="006922F5">
        <w:t xml:space="preserve"> Son sujetos obligados a transparentar y permitir el acceso a su información y proteger los datos personales que obren en su poder:</w:t>
      </w:r>
    </w:p>
    <w:p w14:paraId="3F7A66CA" w14:textId="77777777" w:rsidR="00EC408A" w:rsidRPr="006922F5" w:rsidRDefault="00EC408A" w:rsidP="003C3DED">
      <w:pPr>
        <w:pStyle w:val="Fundamentos"/>
        <w:spacing w:line="360" w:lineRule="auto"/>
      </w:pPr>
      <w:r w:rsidRPr="006922F5">
        <w:t>(…)</w:t>
      </w:r>
    </w:p>
    <w:p w14:paraId="55C61E03" w14:textId="77777777" w:rsidR="00EC408A" w:rsidRPr="006922F5" w:rsidRDefault="00EC408A" w:rsidP="003C3DED">
      <w:pPr>
        <w:pStyle w:val="Fundamentos"/>
        <w:spacing w:line="360" w:lineRule="auto"/>
      </w:pPr>
      <w:r w:rsidRPr="006922F5">
        <w:rPr>
          <w:b/>
          <w:bCs/>
        </w:rPr>
        <w:t>I</w:t>
      </w:r>
      <w:r>
        <w:rPr>
          <w:b/>
          <w:bCs/>
        </w:rPr>
        <w:t>V</w:t>
      </w:r>
      <w:r w:rsidRPr="006922F5">
        <w:rPr>
          <w:b/>
          <w:bCs/>
        </w:rPr>
        <w:t>.</w:t>
      </w:r>
      <w:r>
        <w:rPr>
          <w:b/>
          <w:bCs/>
        </w:rPr>
        <w:t xml:space="preserve"> </w:t>
      </w:r>
      <w:r>
        <w:t>Los</w:t>
      </w:r>
      <w:r w:rsidRPr="006922F5">
        <w:t xml:space="preserve"> </w:t>
      </w:r>
      <w:r w:rsidRPr="00BA7C85">
        <w:t>ayuntamientos y las dependencias, organismos, órganos y entidades de la administración municipal</w:t>
      </w:r>
      <w:r w:rsidRPr="006922F5">
        <w:t>;</w:t>
      </w:r>
    </w:p>
    <w:p w14:paraId="2C7A2FA2" w14:textId="77777777" w:rsidR="00EC408A" w:rsidRPr="006922F5" w:rsidRDefault="00EC408A" w:rsidP="003C3DED">
      <w:pPr>
        <w:pStyle w:val="Fundamentos"/>
        <w:spacing w:line="360" w:lineRule="auto"/>
      </w:pPr>
      <w:r w:rsidRPr="006922F5">
        <w:t>(…)</w:t>
      </w:r>
    </w:p>
    <w:p w14:paraId="66822BD2" w14:textId="77777777" w:rsidR="00EC408A" w:rsidRDefault="00EC408A" w:rsidP="00EC408A">
      <w:pPr>
        <w:pBdr>
          <w:top w:val="nil"/>
          <w:left w:val="nil"/>
          <w:bottom w:val="nil"/>
          <w:right w:val="nil"/>
          <w:between w:val="nil"/>
        </w:pBdr>
        <w:contextualSpacing/>
        <w:rPr>
          <w:rFonts w:eastAsia="Palatino Linotype" w:cs="Palatino Linotype"/>
          <w:color w:val="000000"/>
          <w:szCs w:val="24"/>
        </w:rPr>
      </w:pPr>
    </w:p>
    <w:p w14:paraId="2AD80C8E" w14:textId="6DFFAA5B" w:rsidR="00EC408A" w:rsidRDefault="00EC408A" w:rsidP="00EC408A">
      <w:r>
        <w:t xml:space="preserve">Acotado lo anterior, resulta pertinente delimitar la esfera de competencia del Sujeto Obligado y traer a colación lo establecido en su Bando Municipal que de acuerdo a los </w:t>
      </w:r>
      <w:r w:rsidR="00E93AF2">
        <w:t>artículos 116</w:t>
      </w:r>
      <w:r w:rsidR="00985102">
        <w:t>,</w:t>
      </w:r>
      <w:r w:rsidR="00B764E5">
        <w:t xml:space="preserve"> 116 bis,</w:t>
      </w:r>
      <w:r w:rsidR="00985102">
        <w:t xml:space="preserve"> 45 </w:t>
      </w:r>
      <w:proofErr w:type="spellStart"/>
      <w:r w:rsidR="00985102">
        <w:t>Quater</w:t>
      </w:r>
      <w:proofErr w:type="spellEnd"/>
      <w:r w:rsidR="00184BA7">
        <w:t xml:space="preserve">, 45 </w:t>
      </w:r>
      <w:proofErr w:type="spellStart"/>
      <w:r w:rsidR="00184BA7">
        <w:t>Octies</w:t>
      </w:r>
      <w:proofErr w:type="spellEnd"/>
      <w:r w:rsidR="00184BA7">
        <w:t xml:space="preserve"> 1</w:t>
      </w:r>
      <w:r>
        <w:t xml:space="preserve"> que </w:t>
      </w:r>
      <w:r>
        <w:rPr>
          <w:szCs w:val="24"/>
        </w:rPr>
        <w:t>establecen lo siguiente;</w:t>
      </w:r>
    </w:p>
    <w:p w14:paraId="3D666154" w14:textId="77777777" w:rsidR="00EC408A" w:rsidRDefault="00EC408A" w:rsidP="00EC408A">
      <w:pPr>
        <w:rPr>
          <w:b/>
          <w:i/>
          <w:sz w:val="22"/>
        </w:rPr>
      </w:pPr>
    </w:p>
    <w:p w14:paraId="1BB0A0C5" w14:textId="77777777" w:rsidR="00E93AF2" w:rsidRPr="00985102" w:rsidRDefault="003C3DED" w:rsidP="003C3DED">
      <w:pPr>
        <w:ind w:left="708"/>
        <w:jc w:val="center"/>
        <w:rPr>
          <w:b/>
          <w:i/>
          <w:sz w:val="22"/>
        </w:rPr>
      </w:pPr>
      <w:r>
        <w:rPr>
          <w:b/>
          <w:i/>
          <w:sz w:val="22"/>
        </w:rPr>
        <w:t>“</w:t>
      </w:r>
      <w:r w:rsidR="00E93AF2" w:rsidRPr="00985102">
        <w:rPr>
          <w:b/>
          <w:i/>
          <w:sz w:val="22"/>
        </w:rPr>
        <w:t>TITULO DÉCIMO SEGUNDO DE LA TESORERIA Y CATASTRO MUNICIPAL CAPÍTULO I DE LAS ATRIBUCIONES DE LA TESORERIA MUNICIPAL</w:t>
      </w:r>
    </w:p>
    <w:p w14:paraId="62146375" w14:textId="77777777" w:rsidR="00E93AF2" w:rsidRPr="00985102" w:rsidRDefault="00E93AF2" w:rsidP="00E93AF2">
      <w:pPr>
        <w:ind w:left="708"/>
        <w:rPr>
          <w:i/>
          <w:sz w:val="22"/>
        </w:rPr>
      </w:pPr>
      <w:r w:rsidRPr="00985102">
        <w:rPr>
          <w:i/>
          <w:sz w:val="22"/>
        </w:rPr>
        <w:lastRenderedPageBreak/>
        <w:t xml:space="preserve"> </w:t>
      </w:r>
      <w:r w:rsidRPr="00985102">
        <w:rPr>
          <w:b/>
          <w:i/>
          <w:sz w:val="22"/>
        </w:rPr>
        <w:t>ARTÍCULO 116</w:t>
      </w:r>
      <w:r w:rsidRPr="00985102">
        <w:rPr>
          <w:i/>
          <w:sz w:val="22"/>
        </w:rPr>
        <w:t>.- La Tesorería Municipal es el órgano encargado de la recaudación de los ingresos municipales y el responsable de realizar las erogaciones que haga el Municipio, de conformidad con las disposiciones legales aplicables.</w:t>
      </w:r>
      <w:r w:rsidR="003C3DED">
        <w:rPr>
          <w:i/>
          <w:sz w:val="22"/>
        </w:rPr>
        <w:t>”</w:t>
      </w:r>
    </w:p>
    <w:p w14:paraId="43385AB1" w14:textId="77777777" w:rsidR="00E93AF2" w:rsidRPr="00985102" w:rsidRDefault="00E93AF2" w:rsidP="00E93AF2">
      <w:pPr>
        <w:ind w:left="708"/>
        <w:rPr>
          <w:b/>
          <w:i/>
          <w:sz w:val="22"/>
        </w:rPr>
      </w:pPr>
    </w:p>
    <w:p w14:paraId="63FC1450" w14:textId="77777777" w:rsidR="00E93AF2" w:rsidRPr="00985102" w:rsidRDefault="003C3DED" w:rsidP="00E93AF2">
      <w:pPr>
        <w:ind w:left="705"/>
        <w:rPr>
          <w:i/>
          <w:sz w:val="22"/>
        </w:rPr>
      </w:pPr>
      <w:r>
        <w:rPr>
          <w:b/>
          <w:i/>
          <w:sz w:val="22"/>
        </w:rPr>
        <w:t>“</w:t>
      </w:r>
      <w:r w:rsidRPr="00985102">
        <w:rPr>
          <w:b/>
          <w:i/>
          <w:sz w:val="22"/>
        </w:rPr>
        <w:t>artículo 116 bis</w:t>
      </w:r>
      <w:r w:rsidR="00E93AF2" w:rsidRPr="00985102">
        <w:rPr>
          <w:i/>
          <w:sz w:val="22"/>
        </w:rPr>
        <w:t xml:space="preserve">. - Son atribuciones del tesorero municipal: </w:t>
      </w:r>
    </w:p>
    <w:p w14:paraId="58A41D00" w14:textId="77777777" w:rsidR="00E93AF2" w:rsidRPr="00985102" w:rsidRDefault="00E93AF2" w:rsidP="00E93AF2">
      <w:pPr>
        <w:pStyle w:val="Prrafodelista"/>
        <w:numPr>
          <w:ilvl w:val="0"/>
          <w:numId w:val="9"/>
        </w:numPr>
        <w:rPr>
          <w:i/>
          <w:sz w:val="22"/>
          <w:szCs w:val="22"/>
        </w:rPr>
      </w:pPr>
      <w:r w:rsidRPr="00E22894">
        <w:rPr>
          <w:b/>
          <w:i/>
          <w:sz w:val="22"/>
          <w:szCs w:val="22"/>
        </w:rPr>
        <w:t>Administrar la hacienda pública municipal</w:t>
      </w:r>
      <w:r w:rsidRPr="00985102">
        <w:rPr>
          <w:i/>
          <w:sz w:val="22"/>
          <w:szCs w:val="22"/>
        </w:rPr>
        <w:t xml:space="preserve">, de conformidad con las disposiciones legales aplicables; </w:t>
      </w:r>
    </w:p>
    <w:p w14:paraId="2AF95DF8" w14:textId="77777777" w:rsidR="00E93AF2" w:rsidRPr="00985102" w:rsidRDefault="00E93AF2" w:rsidP="00E93AF2">
      <w:pPr>
        <w:pStyle w:val="Prrafodelista"/>
        <w:numPr>
          <w:ilvl w:val="0"/>
          <w:numId w:val="9"/>
        </w:numPr>
        <w:rPr>
          <w:b/>
          <w:i/>
          <w:sz w:val="22"/>
          <w:szCs w:val="22"/>
        </w:rPr>
      </w:pPr>
      <w:r w:rsidRPr="00985102">
        <w:rPr>
          <w:i/>
          <w:sz w:val="22"/>
          <w:szCs w:val="22"/>
        </w:rPr>
        <w:t>Determinar, liquidar, recaudar, fiscalizar y administrar las contribuciones en los términos de los ordenamientos jurídicos aplicables y, en su caso, aplicar el procedimiento administrativo de ejecución en términos de las disposiciones aplicables;</w:t>
      </w:r>
    </w:p>
    <w:p w14:paraId="3B96CC2F" w14:textId="77777777" w:rsidR="00E93AF2" w:rsidRPr="00985102" w:rsidRDefault="00E93AF2" w:rsidP="00E93AF2">
      <w:pPr>
        <w:pStyle w:val="Prrafodelista"/>
        <w:numPr>
          <w:ilvl w:val="0"/>
          <w:numId w:val="9"/>
        </w:numPr>
        <w:rPr>
          <w:b/>
          <w:i/>
          <w:sz w:val="22"/>
          <w:szCs w:val="22"/>
        </w:rPr>
      </w:pPr>
      <w:r w:rsidRPr="00985102">
        <w:rPr>
          <w:i/>
          <w:sz w:val="22"/>
          <w:szCs w:val="22"/>
        </w:rPr>
        <w:t>Imponer las sanciones administrativas que procedan por infracciones a las disposiciones fiscales;</w:t>
      </w:r>
    </w:p>
    <w:p w14:paraId="2323FFCB" w14:textId="77777777" w:rsidR="00E93AF2" w:rsidRPr="00985102" w:rsidRDefault="00E93AF2" w:rsidP="00E93AF2">
      <w:pPr>
        <w:pStyle w:val="Prrafodelista"/>
        <w:numPr>
          <w:ilvl w:val="0"/>
          <w:numId w:val="9"/>
        </w:numPr>
        <w:rPr>
          <w:b/>
          <w:i/>
          <w:sz w:val="22"/>
          <w:szCs w:val="22"/>
        </w:rPr>
      </w:pPr>
      <w:r w:rsidRPr="00985102">
        <w:rPr>
          <w:b/>
          <w:i/>
          <w:sz w:val="22"/>
          <w:szCs w:val="22"/>
        </w:rPr>
        <w:t xml:space="preserve">Llevar los registros contables, financieros y administrativos de los ingresos, egresos, e inventarios; </w:t>
      </w:r>
    </w:p>
    <w:p w14:paraId="3718C49F" w14:textId="77777777" w:rsidR="00E93AF2" w:rsidRPr="00985102" w:rsidRDefault="00E93AF2" w:rsidP="00E93AF2">
      <w:pPr>
        <w:pStyle w:val="Prrafodelista"/>
        <w:numPr>
          <w:ilvl w:val="0"/>
          <w:numId w:val="9"/>
        </w:numPr>
        <w:rPr>
          <w:b/>
          <w:i/>
          <w:sz w:val="22"/>
          <w:szCs w:val="22"/>
        </w:rPr>
      </w:pPr>
      <w:r w:rsidRPr="00985102">
        <w:rPr>
          <w:i/>
          <w:sz w:val="22"/>
          <w:szCs w:val="22"/>
        </w:rPr>
        <w:t xml:space="preserve"> Proporcionar oportunamente al ayuntamiento todos los datos o informes que sean necesarios para la formulación del Presupuesto de Egresos Municipales, vigilando que se ajuste a las disposiciones de esta Ley y otros ordenamientos aplicables;</w:t>
      </w:r>
    </w:p>
    <w:p w14:paraId="4C3BD23D" w14:textId="77777777" w:rsidR="00E93AF2" w:rsidRPr="00985102" w:rsidRDefault="00E93AF2" w:rsidP="00E93AF2">
      <w:pPr>
        <w:pStyle w:val="Prrafodelista"/>
        <w:numPr>
          <w:ilvl w:val="0"/>
          <w:numId w:val="9"/>
        </w:numPr>
        <w:rPr>
          <w:b/>
          <w:i/>
          <w:sz w:val="22"/>
          <w:szCs w:val="22"/>
        </w:rPr>
      </w:pPr>
      <w:r w:rsidRPr="00985102">
        <w:rPr>
          <w:i/>
          <w:sz w:val="22"/>
          <w:szCs w:val="22"/>
        </w:rPr>
        <w:t xml:space="preserve"> Presentar anualmente al ayuntamiento un informe de la situación contable financiera de la Tesorería Municipal;</w:t>
      </w:r>
    </w:p>
    <w:p w14:paraId="2DFD5D21" w14:textId="77777777" w:rsidR="00E93AF2" w:rsidRPr="00985102" w:rsidRDefault="00E93AF2" w:rsidP="00E93AF2">
      <w:pPr>
        <w:pStyle w:val="Prrafodelista"/>
        <w:numPr>
          <w:ilvl w:val="0"/>
          <w:numId w:val="9"/>
        </w:numPr>
        <w:rPr>
          <w:b/>
          <w:i/>
          <w:sz w:val="22"/>
          <w:szCs w:val="22"/>
        </w:rPr>
      </w:pPr>
      <w:r w:rsidRPr="00985102">
        <w:rPr>
          <w:i/>
          <w:sz w:val="22"/>
          <w:szCs w:val="22"/>
        </w:rPr>
        <w:t xml:space="preserve"> Proporcionar para la formulación del proyecto de Presupuesto de Egresos Municipales la información financiera relativa a la solución o en su caso, el pago de los litigios laborales; </w:t>
      </w:r>
    </w:p>
    <w:p w14:paraId="6BEA9533" w14:textId="77777777" w:rsidR="00E93AF2" w:rsidRPr="00985102" w:rsidRDefault="00E93AF2" w:rsidP="00E93AF2">
      <w:pPr>
        <w:pStyle w:val="Prrafodelista"/>
        <w:numPr>
          <w:ilvl w:val="0"/>
          <w:numId w:val="9"/>
        </w:numPr>
        <w:rPr>
          <w:b/>
          <w:i/>
          <w:sz w:val="22"/>
          <w:szCs w:val="22"/>
        </w:rPr>
      </w:pPr>
      <w:r w:rsidRPr="00985102">
        <w:rPr>
          <w:i/>
          <w:sz w:val="22"/>
          <w:szCs w:val="22"/>
        </w:rPr>
        <w:t>Diseñar y aprobar las formas oficiales de manifestaciones, avisos y declaraciones y demás documentos requeridos;</w:t>
      </w:r>
    </w:p>
    <w:p w14:paraId="216ABA0B" w14:textId="77777777" w:rsidR="00E93AF2" w:rsidRPr="00985102" w:rsidRDefault="00E93AF2" w:rsidP="00E93AF2">
      <w:pPr>
        <w:pStyle w:val="Prrafodelista"/>
        <w:numPr>
          <w:ilvl w:val="0"/>
          <w:numId w:val="9"/>
        </w:numPr>
        <w:rPr>
          <w:b/>
          <w:i/>
          <w:sz w:val="22"/>
          <w:szCs w:val="22"/>
        </w:rPr>
      </w:pPr>
      <w:r w:rsidRPr="00985102">
        <w:rPr>
          <w:i/>
          <w:sz w:val="22"/>
          <w:szCs w:val="22"/>
        </w:rPr>
        <w:t>Participar en la formulación de Convenios Fiscales y ejercer las atribuciones que le correspondan en el ámbito de su competencia;</w:t>
      </w:r>
    </w:p>
    <w:p w14:paraId="166FFCDC" w14:textId="77777777" w:rsidR="00E93AF2" w:rsidRPr="00985102" w:rsidRDefault="00E93AF2" w:rsidP="00E93AF2">
      <w:pPr>
        <w:pStyle w:val="Prrafodelista"/>
        <w:numPr>
          <w:ilvl w:val="0"/>
          <w:numId w:val="9"/>
        </w:numPr>
        <w:rPr>
          <w:b/>
          <w:i/>
          <w:sz w:val="22"/>
          <w:szCs w:val="22"/>
        </w:rPr>
      </w:pPr>
      <w:r w:rsidRPr="00985102">
        <w:rPr>
          <w:i/>
          <w:sz w:val="22"/>
          <w:szCs w:val="22"/>
        </w:rPr>
        <w:t>Proponer al ayuntamiento la cancelación de cuentas incobrables;</w:t>
      </w:r>
    </w:p>
    <w:p w14:paraId="614434A0" w14:textId="77777777" w:rsidR="00E93AF2" w:rsidRPr="00985102" w:rsidRDefault="00E93AF2" w:rsidP="00E93AF2">
      <w:pPr>
        <w:pStyle w:val="Prrafodelista"/>
        <w:numPr>
          <w:ilvl w:val="0"/>
          <w:numId w:val="9"/>
        </w:numPr>
        <w:rPr>
          <w:b/>
          <w:i/>
          <w:sz w:val="22"/>
          <w:szCs w:val="22"/>
        </w:rPr>
      </w:pPr>
      <w:r w:rsidRPr="00985102">
        <w:rPr>
          <w:i/>
          <w:sz w:val="22"/>
          <w:szCs w:val="22"/>
        </w:rPr>
        <w:lastRenderedPageBreak/>
        <w:t xml:space="preserve">Custodiar y ejercer las garantías que se otorguen en favor de la hacienda municipal; </w:t>
      </w:r>
    </w:p>
    <w:p w14:paraId="10A3BA84" w14:textId="77777777" w:rsidR="00E93AF2" w:rsidRPr="00985102" w:rsidRDefault="00E93AF2" w:rsidP="00E93AF2">
      <w:pPr>
        <w:pStyle w:val="Prrafodelista"/>
        <w:numPr>
          <w:ilvl w:val="0"/>
          <w:numId w:val="9"/>
        </w:numPr>
        <w:rPr>
          <w:b/>
          <w:i/>
          <w:sz w:val="22"/>
          <w:szCs w:val="22"/>
        </w:rPr>
      </w:pPr>
      <w:r w:rsidRPr="00985102">
        <w:rPr>
          <w:i/>
          <w:sz w:val="22"/>
          <w:szCs w:val="22"/>
        </w:rPr>
        <w:t>Proponer la política de ingresos de la tesorería municipal;</w:t>
      </w:r>
    </w:p>
    <w:p w14:paraId="74370C01" w14:textId="77777777" w:rsidR="00E93AF2" w:rsidRPr="00985102" w:rsidRDefault="00E93AF2" w:rsidP="00E93AF2">
      <w:pPr>
        <w:pStyle w:val="Prrafodelista"/>
        <w:numPr>
          <w:ilvl w:val="0"/>
          <w:numId w:val="9"/>
        </w:numPr>
        <w:rPr>
          <w:b/>
          <w:i/>
          <w:sz w:val="22"/>
          <w:szCs w:val="22"/>
        </w:rPr>
      </w:pPr>
      <w:r w:rsidRPr="00985102">
        <w:rPr>
          <w:i/>
          <w:sz w:val="22"/>
          <w:szCs w:val="22"/>
        </w:rPr>
        <w:t>Intervenir en la elaboración del programa financiero municipal;</w:t>
      </w:r>
    </w:p>
    <w:p w14:paraId="7ED46916" w14:textId="77777777" w:rsidR="00E93AF2" w:rsidRPr="00985102" w:rsidRDefault="00E93AF2" w:rsidP="00E93AF2">
      <w:pPr>
        <w:pStyle w:val="Prrafodelista"/>
        <w:numPr>
          <w:ilvl w:val="0"/>
          <w:numId w:val="9"/>
        </w:numPr>
        <w:rPr>
          <w:b/>
          <w:i/>
          <w:sz w:val="22"/>
          <w:szCs w:val="22"/>
        </w:rPr>
      </w:pPr>
      <w:r w:rsidRPr="00985102">
        <w:rPr>
          <w:i/>
          <w:sz w:val="22"/>
          <w:szCs w:val="22"/>
        </w:rPr>
        <w:t xml:space="preserve"> Elaborar y mantener actualizado el Padrón de Contribuyentes; </w:t>
      </w:r>
    </w:p>
    <w:p w14:paraId="35D07265" w14:textId="77777777" w:rsidR="00E93AF2" w:rsidRPr="00985102" w:rsidRDefault="00E93AF2" w:rsidP="00E93AF2">
      <w:pPr>
        <w:pStyle w:val="Prrafodelista"/>
        <w:numPr>
          <w:ilvl w:val="0"/>
          <w:numId w:val="9"/>
        </w:numPr>
        <w:rPr>
          <w:b/>
          <w:i/>
          <w:sz w:val="22"/>
          <w:szCs w:val="22"/>
        </w:rPr>
      </w:pPr>
      <w:r w:rsidRPr="00985102">
        <w:rPr>
          <w:i/>
          <w:sz w:val="22"/>
          <w:szCs w:val="22"/>
        </w:rPr>
        <w:t>Ministrar a su inmediato antecesor todos los datos oficiales que le solicitare, para contestar los pliegos de observaciones y alcances que formule y deduzca el Órgano Superior de Fiscalización del Estado de México;</w:t>
      </w:r>
    </w:p>
    <w:p w14:paraId="18C15AD8" w14:textId="77777777" w:rsidR="00E93AF2" w:rsidRPr="00985102" w:rsidRDefault="00E93AF2" w:rsidP="00E93AF2">
      <w:pPr>
        <w:pStyle w:val="Prrafodelista"/>
        <w:numPr>
          <w:ilvl w:val="0"/>
          <w:numId w:val="9"/>
        </w:numPr>
        <w:rPr>
          <w:b/>
          <w:i/>
          <w:sz w:val="22"/>
          <w:szCs w:val="22"/>
        </w:rPr>
      </w:pPr>
      <w:r w:rsidRPr="00985102">
        <w:rPr>
          <w:i/>
          <w:sz w:val="22"/>
          <w:szCs w:val="22"/>
        </w:rPr>
        <w:t xml:space="preserve"> Solicitar a las instancias competentes, la práctica de revisiones circunstanciadas, de conformidad con las normas que rigen en materia de control y evaluación gubernamental en el ámbito municipal; </w:t>
      </w:r>
    </w:p>
    <w:p w14:paraId="4CC6D541" w14:textId="77777777" w:rsidR="00E93AF2" w:rsidRPr="00985102" w:rsidRDefault="00E93AF2" w:rsidP="00E93AF2">
      <w:pPr>
        <w:pStyle w:val="Prrafodelista"/>
        <w:numPr>
          <w:ilvl w:val="0"/>
          <w:numId w:val="9"/>
        </w:numPr>
        <w:rPr>
          <w:b/>
          <w:i/>
          <w:sz w:val="22"/>
          <w:szCs w:val="22"/>
        </w:rPr>
      </w:pPr>
      <w:r w:rsidRPr="00985102">
        <w:rPr>
          <w:i/>
          <w:sz w:val="22"/>
          <w:szCs w:val="22"/>
        </w:rPr>
        <w:t xml:space="preserve"> Glosar oportunamente las cuentas del ayuntamiento; </w:t>
      </w:r>
    </w:p>
    <w:p w14:paraId="02EFEEB7" w14:textId="77777777" w:rsidR="00E93AF2" w:rsidRPr="00985102" w:rsidRDefault="00E93AF2" w:rsidP="00E93AF2">
      <w:pPr>
        <w:pStyle w:val="Prrafodelista"/>
        <w:numPr>
          <w:ilvl w:val="0"/>
          <w:numId w:val="9"/>
        </w:numPr>
        <w:rPr>
          <w:b/>
          <w:i/>
          <w:sz w:val="22"/>
          <w:szCs w:val="22"/>
        </w:rPr>
      </w:pPr>
      <w:r w:rsidRPr="00985102">
        <w:rPr>
          <w:i/>
          <w:sz w:val="22"/>
          <w:szCs w:val="22"/>
        </w:rPr>
        <w:t xml:space="preserve">Contestar oportunamente los pliegos de observaciones y responsabilidad que haga el Órgano Superior de Fiscalización del Estado de México, así como atender en tiempo y forma las solicitudes de información que éste requiera, informando al Ayuntamiento; </w:t>
      </w:r>
    </w:p>
    <w:p w14:paraId="49A59CA0" w14:textId="77777777" w:rsidR="00E93AF2" w:rsidRPr="00985102" w:rsidRDefault="00E93AF2" w:rsidP="00E93AF2">
      <w:pPr>
        <w:pStyle w:val="Prrafodelista"/>
        <w:numPr>
          <w:ilvl w:val="0"/>
          <w:numId w:val="9"/>
        </w:numPr>
        <w:rPr>
          <w:b/>
          <w:i/>
          <w:sz w:val="22"/>
          <w:szCs w:val="22"/>
        </w:rPr>
      </w:pPr>
      <w:r w:rsidRPr="00985102">
        <w:rPr>
          <w:i/>
          <w:sz w:val="22"/>
          <w:szCs w:val="22"/>
        </w:rPr>
        <w:t xml:space="preserve">Expedir copias certificadas de los documentos a su cuidado, por acuerdo expreso del Ayuntamiento y cuando se trate de documentación presentada ante el Órgano Superior de Fiscalización del Estado de México; </w:t>
      </w:r>
    </w:p>
    <w:p w14:paraId="71767E2A" w14:textId="77777777" w:rsidR="00E93AF2" w:rsidRPr="00985102" w:rsidRDefault="00E93AF2" w:rsidP="00E93AF2">
      <w:pPr>
        <w:pStyle w:val="Prrafodelista"/>
        <w:numPr>
          <w:ilvl w:val="0"/>
          <w:numId w:val="9"/>
        </w:numPr>
        <w:rPr>
          <w:b/>
          <w:i/>
          <w:sz w:val="22"/>
          <w:szCs w:val="22"/>
        </w:rPr>
      </w:pPr>
      <w:r w:rsidRPr="00985102">
        <w:rPr>
          <w:i/>
          <w:sz w:val="22"/>
          <w:szCs w:val="22"/>
        </w:rPr>
        <w:t xml:space="preserve">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14:paraId="69D31282" w14:textId="77777777" w:rsidR="00E93AF2" w:rsidRPr="00985102" w:rsidRDefault="00E93AF2" w:rsidP="00E93AF2">
      <w:pPr>
        <w:pStyle w:val="Prrafodelista"/>
        <w:numPr>
          <w:ilvl w:val="0"/>
          <w:numId w:val="9"/>
        </w:numPr>
        <w:rPr>
          <w:b/>
          <w:i/>
          <w:sz w:val="22"/>
          <w:szCs w:val="22"/>
        </w:rPr>
      </w:pPr>
      <w:r w:rsidRPr="00985102">
        <w:rPr>
          <w:i/>
          <w:sz w:val="22"/>
          <w:szCs w:val="22"/>
        </w:rPr>
        <w:t xml:space="preserve">Dar cumplimiento a las leyes, convenios de coordinación fiscal y demás que en materia hacendaria celebre el Ayuntamiento con el Estado; </w:t>
      </w:r>
    </w:p>
    <w:p w14:paraId="6179EBCD" w14:textId="77777777" w:rsidR="00E93AF2" w:rsidRPr="00985102" w:rsidRDefault="00E93AF2" w:rsidP="00E93AF2">
      <w:pPr>
        <w:pStyle w:val="Prrafodelista"/>
        <w:numPr>
          <w:ilvl w:val="0"/>
          <w:numId w:val="9"/>
        </w:numPr>
        <w:rPr>
          <w:b/>
          <w:i/>
          <w:sz w:val="22"/>
          <w:szCs w:val="22"/>
        </w:rPr>
      </w:pPr>
      <w:r w:rsidRPr="00985102">
        <w:rPr>
          <w:i/>
          <w:sz w:val="22"/>
          <w:szCs w:val="22"/>
        </w:rPr>
        <w:lastRenderedPageBreak/>
        <w:t xml:space="preserve">Entregar oportunamente a él o los Síndicos, según sea el caso, el informe mensual que corresponda, a fin de que se revise, y de ser necesario, para que se formulen las observaciones respectivas. </w:t>
      </w:r>
    </w:p>
    <w:p w14:paraId="1D580ADD" w14:textId="77777777" w:rsidR="00E93AF2" w:rsidRPr="00B764E5" w:rsidRDefault="00E93AF2" w:rsidP="00EC408A">
      <w:pPr>
        <w:pStyle w:val="Prrafodelista"/>
        <w:numPr>
          <w:ilvl w:val="0"/>
          <w:numId w:val="9"/>
        </w:numPr>
        <w:rPr>
          <w:b/>
          <w:i/>
          <w:sz w:val="22"/>
          <w:szCs w:val="22"/>
        </w:rPr>
      </w:pPr>
      <w:r w:rsidRPr="00985102">
        <w:rPr>
          <w:i/>
          <w:sz w:val="22"/>
          <w:szCs w:val="22"/>
        </w:rPr>
        <w:t>Las que les señalen las demás disposiciones legales y el ayuntamiento</w:t>
      </w:r>
      <w:r w:rsidR="003C3DED">
        <w:rPr>
          <w:i/>
          <w:sz w:val="22"/>
          <w:szCs w:val="22"/>
        </w:rPr>
        <w:t>”</w:t>
      </w:r>
    </w:p>
    <w:p w14:paraId="04375D19" w14:textId="77777777" w:rsidR="00B764E5" w:rsidRPr="0090545F" w:rsidRDefault="00B764E5" w:rsidP="00B764E5">
      <w:pPr>
        <w:pStyle w:val="Prrafodelista"/>
        <w:ind w:left="1425"/>
        <w:rPr>
          <w:b/>
          <w:i/>
          <w:sz w:val="22"/>
          <w:szCs w:val="22"/>
        </w:rPr>
      </w:pPr>
    </w:p>
    <w:p w14:paraId="55A58FA2" w14:textId="77777777" w:rsidR="003C3DED" w:rsidRDefault="003C3DED" w:rsidP="005A23A8">
      <w:pPr>
        <w:ind w:left="705"/>
        <w:rPr>
          <w:i/>
          <w:sz w:val="22"/>
        </w:rPr>
      </w:pPr>
      <w:r>
        <w:rPr>
          <w:b/>
          <w:i/>
          <w:sz w:val="22"/>
        </w:rPr>
        <w:t>“</w:t>
      </w:r>
      <w:r w:rsidRPr="00985102">
        <w:rPr>
          <w:b/>
          <w:i/>
          <w:sz w:val="22"/>
        </w:rPr>
        <w:t xml:space="preserve">artículo 45 </w:t>
      </w:r>
      <w:proofErr w:type="spellStart"/>
      <w:proofErr w:type="gramStart"/>
      <w:r w:rsidRPr="00985102">
        <w:rPr>
          <w:b/>
          <w:i/>
          <w:sz w:val="22"/>
        </w:rPr>
        <w:t>quater</w:t>
      </w:r>
      <w:proofErr w:type="spellEnd"/>
      <w:r w:rsidR="00985102" w:rsidRPr="00985102">
        <w:rPr>
          <w:b/>
          <w:i/>
          <w:sz w:val="22"/>
        </w:rPr>
        <w:t>.-</w:t>
      </w:r>
      <w:proofErr w:type="gramEnd"/>
      <w:r w:rsidR="00985102" w:rsidRPr="00985102">
        <w:rPr>
          <w:i/>
          <w:sz w:val="22"/>
        </w:rPr>
        <w:t xml:space="preserve"> </w:t>
      </w:r>
      <w:r w:rsidR="00985102" w:rsidRPr="00985102">
        <w:rPr>
          <w:b/>
          <w:i/>
          <w:sz w:val="22"/>
        </w:rPr>
        <w:t>La dirección de Administración se encarga de</w:t>
      </w:r>
      <w:r w:rsidR="00985102" w:rsidRPr="00985102">
        <w:rPr>
          <w:i/>
          <w:sz w:val="22"/>
        </w:rPr>
        <w:t xml:space="preserve"> ejecutar las acciones relativas a la planeación, programación, presupuestación, ejecución y control de la </w:t>
      </w:r>
      <w:r w:rsidR="00985102" w:rsidRPr="00985102">
        <w:rPr>
          <w:b/>
          <w:i/>
          <w:sz w:val="22"/>
        </w:rPr>
        <w:t>adquisición, enajenación y arrendamiento de bienes</w:t>
      </w:r>
      <w:r w:rsidR="00985102" w:rsidRPr="00985102">
        <w:rPr>
          <w:i/>
          <w:sz w:val="22"/>
        </w:rPr>
        <w:t>, y la contratación de servicios de cualquier naturaleza, que se requieran para el buen funcionamiento de la Administración Pública Municipal. Así como de la administración de los recursos humanos y materiales.</w:t>
      </w:r>
      <w:r>
        <w:rPr>
          <w:i/>
          <w:sz w:val="22"/>
        </w:rPr>
        <w:t>”</w:t>
      </w:r>
    </w:p>
    <w:p w14:paraId="4B842167" w14:textId="77777777" w:rsidR="003C3DED" w:rsidRPr="00985102" w:rsidRDefault="003C3DED" w:rsidP="003C3DED">
      <w:pPr>
        <w:rPr>
          <w:i/>
          <w:sz w:val="22"/>
        </w:rPr>
      </w:pPr>
    </w:p>
    <w:p w14:paraId="2702474F" w14:textId="77777777" w:rsidR="00184BA7" w:rsidRPr="003C3DED" w:rsidRDefault="003C3DED" w:rsidP="00184BA7">
      <w:pPr>
        <w:ind w:left="705"/>
        <w:rPr>
          <w:sz w:val="22"/>
        </w:rPr>
      </w:pPr>
      <w:r>
        <w:rPr>
          <w:b/>
          <w:sz w:val="22"/>
        </w:rPr>
        <w:t>“</w:t>
      </w:r>
      <w:r w:rsidRPr="003C3DED">
        <w:rPr>
          <w:b/>
          <w:sz w:val="22"/>
        </w:rPr>
        <w:t xml:space="preserve">artículo 45 </w:t>
      </w:r>
      <w:proofErr w:type="spellStart"/>
      <w:r w:rsidRPr="003C3DED">
        <w:rPr>
          <w:b/>
          <w:sz w:val="22"/>
        </w:rPr>
        <w:t>octies</w:t>
      </w:r>
      <w:proofErr w:type="spellEnd"/>
      <w:r w:rsidRPr="003C3DED">
        <w:rPr>
          <w:sz w:val="22"/>
        </w:rPr>
        <w:t xml:space="preserve"> </w:t>
      </w:r>
      <w:r w:rsidR="00184BA7" w:rsidRPr="003C3DED">
        <w:rPr>
          <w:sz w:val="22"/>
        </w:rPr>
        <w:t xml:space="preserve">1.- La Dirección Jurídico Consultivo tiene las siguientes atribuciones: </w:t>
      </w:r>
    </w:p>
    <w:p w14:paraId="1D7661D7" w14:textId="77777777" w:rsidR="00184BA7" w:rsidRPr="003C3DED" w:rsidRDefault="00184BA7" w:rsidP="00184BA7">
      <w:pPr>
        <w:pStyle w:val="Prrafodelista"/>
        <w:numPr>
          <w:ilvl w:val="0"/>
          <w:numId w:val="10"/>
        </w:numPr>
        <w:rPr>
          <w:i/>
          <w:sz w:val="22"/>
          <w:szCs w:val="22"/>
        </w:rPr>
      </w:pPr>
      <w:r w:rsidRPr="003C3DED">
        <w:rPr>
          <w:i/>
          <w:sz w:val="22"/>
          <w:szCs w:val="22"/>
        </w:rPr>
        <w:t xml:space="preserve"> Intervenir en los asuntos de carácter legal en que sea parte el Ayuntamiento o Municipio, ambos de Villa Guerrero, Estado de México, en el que sea parte interesada o sujeto procesal; </w:t>
      </w:r>
    </w:p>
    <w:p w14:paraId="61943B29" w14:textId="77777777" w:rsidR="00184BA7" w:rsidRPr="003C3DED" w:rsidRDefault="00184BA7" w:rsidP="00184BA7">
      <w:pPr>
        <w:pStyle w:val="Prrafodelista"/>
        <w:numPr>
          <w:ilvl w:val="0"/>
          <w:numId w:val="10"/>
        </w:numPr>
        <w:rPr>
          <w:i/>
          <w:sz w:val="22"/>
          <w:szCs w:val="22"/>
        </w:rPr>
      </w:pPr>
      <w:r w:rsidRPr="003C3DED">
        <w:rPr>
          <w:i/>
          <w:sz w:val="22"/>
          <w:szCs w:val="22"/>
        </w:rPr>
        <w:t xml:space="preserve">Prestar asesoría jurídica a los miembros del Ayuntamiento en el ejercicio de sus funciones en la Administración Pública Municipal; </w:t>
      </w:r>
    </w:p>
    <w:p w14:paraId="0EAE8DBB" w14:textId="77777777" w:rsidR="00184BA7" w:rsidRPr="003C3DED" w:rsidRDefault="00184BA7" w:rsidP="00184BA7">
      <w:pPr>
        <w:pStyle w:val="Prrafodelista"/>
        <w:numPr>
          <w:ilvl w:val="0"/>
          <w:numId w:val="10"/>
        </w:numPr>
        <w:rPr>
          <w:i/>
          <w:sz w:val="22"/>
          <w:szCs w:val="22"/>
        </w:rPr>
      </w:pPr>
      <w:r w:rsidRPr="003C3DED">
        <w:rPr>
          <w:i/>
          <w:sz w:val="22"/>
          <w:szCs w:val="22"/>
        </w:rPr>
        <w:t xml:space="preserve">Emitir opinión jurídica respecto de las consultas que formulen los servidores públicos del Ayuntamiento y de la Administración Pública Municipal, con excepción de las de carácter fiscal; </w:t>
      </w:r>
    </w:p>
    <w:p w14:paraId="597FFFBF" w14:textId="77777777" w:rsidR="00184BA7" w:rsidRPr="003C3DED" w:rsidRDefault="00184BA7" w:rsidP="00184BA7">
      <w:pPr>
        <w:pStyle w:val="Prrafodelista"/>
        <w:numPr>
          <w:ilvl w:val="0"/>
          <w:numId w:val="10"/>
        </w:numPr>
        <w:rPr>
          <w:i/>
          <w:sz w:val="22"/>
          <w:szCs w:val="22"/>
        </w:rPr>
      </w:pPr>
      <w:r w:rsidRPr="003C3DED">
        <w:rPr>
          <w:i/>
          <w:sz w:val="22"/>
          <w:szCs w:val="22"/>
        </w:rPr>
        <w:t xml:space="preserve"> Intervenir en todos los juicios, procesos y procedimientos que se tramiten en contra del Ayuntamiento, sus miembros, el Municipio, sus dependencias Municipales o sus servidores públicos en el ejercicio de sus </w:t>
      </w:r>
      <w:proofErr w:type="gramStart"/>
      <w:r w:rsidRPr="003C3DED">
        <w:rPr>
          <w:i/>
          <w:sz w:val="22"/>
          <w:szCs w:val="22"/>
        </w:rPr>
        <w:t>funciones;.</w:t>
      </w:r>
      <w:proofErr w:type="gramEnd"/>
    </w:p>
    <w:p w14:paraId="1E8320CC" w14:textId="77777777" w:rsidR="00184BA7" w:rsidRPr="003C3DED" w:rsidRDefault="00184BA7" w:rsidP="00184BA7">
      <w:pPr>
        <w:pStyle w:val="Prrafodelista"/>
        <w:numPr>
          <w:ilvl w:val="0"/>
          <w:numId w:val="10"/>
        </w:numPr>
        <w:rPr>
          <w:i/>
          <w:sz w:val="22"/>
          <w:szCs w:val="22"/>
        </w:rPr>
      </w:pPr>
      <w:r w:rsidRPr="003C3DED">
        <w:rPr>
          <w:i/>
          <w:sz w:val="22"/>
          <w:szCs w:val="22"/>
        </w:rPr>
        <w:t xml:space="preserve"> Suscribir por conducto de su titular todo tipo de demandas, denuncias, querellas, escritos de impulso procesal y desahogar los trámites que correspondan a los casos urgentes relativos a cualquier término procesal, consistente en contestación de demandas, ofrecimiento y desahogo de pruebas, objeciones, requerimientos, alegatos, interponer todo </w:t>
      </w:r>
      <w:r w:rsidRPr="003C3DED">
        <w:rPr>
          <w:i/>
          <w:sz w:val="22"/>
          <w:szCs w:val="22"/>
        </w:rPr>
        <w:lastRenderedPageBreak/>
        <w:t xml:space="preserve">tipo de recursos, y recepción de toda clase de notificaciones y acuerdos, así como rendir informes previos y justificados. </w:t>
      </w:r>
    </w:p>
    <w:p w14:paraId="278E06DB" w14:textId="77777777" w:rsidR="00184BA7" w:rsidRPr="003C3DED" w:rsidRDefault="00184BA7" w:rsidP="00184BA7">
      <w:pPr>
        <w:pStyle w:val="Prrafodelista"/>
        <w:numPr>
          <w:ilvl w:val="0"/>
          <w:numId w:val="10"/>
        </w:numPr>
        <w:rPr>
          <w:i/>
          <w:sz w:val="22"/>
          <w:szCs w:val="22"/>
        </w:rPr>
      </w:pPr>
      <w:r w:rsidRPr="003C3DED">
        <w:rPr>
          <w:i/>
          <w:sz w:val="22"/>
          <w:szCs w:val="22"/>
        </w:rPr>
        <w:t xml:space="preserve"> Fungir como asesor jurídico en la formulación de denuncias o querellas sobre hechos delictivos en los que el Ayuntamiento o el Municipio, ambos de Villa Guerrero, México, sea víctima u ofendido o resulte competencia del Municipio o de los servidores públicos en el ejercicio de sus funciones; </w:t>
      </w:r>
    </w:p>
    <w:p w14:paraId="0EA9C3BF" w14:textId="77777777" w:rsidR="00184BA7" w:rsidRPr="003C3DED" w:rsidRDefault="00184BA7" w:rsidP="00184BA7">
      <w:pPr>
        <w:pStyle w:val="Prrafodelista"/>
        <w:numPr>
          <w:ilvl w:val="0"/>
          <w:numId w:val="10"/>
        </w:numPr>
        <w:rPr>
          <w:i/>
          <w:sz w:val="22"/>
          <w:szCs w:val="22"/>
        </w:rPr>
      </w:pPr>
      <w:r w:rsidRPr="003C3DED">
        <w:rPr>
          <w:i/>
          <w:sz w:val="22"/>
          <w:szCs w:val="22"/>
        </w:rPr>
        <w:t xml:space="preserve"> </w:t>
      </w:r>
      <w:r w:rsidRPr="003C3DED">
        <w:rPr>
          <w:b/>
          <w:i/>
          <w:sz w:val="22"/>
          <w:szCs w:val="22"/>
        </w:rPr>
        <w:t xml:space="preserve">Elaborar contratos y convenios que deba suscribir el Ayuntamiento o el Municipio, ambos de Villa Guerrero, México; </w:t>
      </w:r>
    </w:p>
    <w:p w14:paraId="21C7351B" w14:textId="77777777" w:rsidR="00184BA7" w:rsidRPr="003C3DED" w:rsidRDefault="00184BA7" w:rsidP="00184BA7">
      <w:pPr>
        <w:pStyle w:val="Prrafodelista"/>
        <w:numPr>
          <w:ilvl w:val="0"/>
          <w:numId w:val="10"/>
        </w:numPr>
        <w:rPr>
          <w:i/>
          <w:sz w:val="22"/>
          <w:szCs w:val="22"/>
        </w:rPr>
      </w:pPr>
      <w:r w:rsidRPr="003C3DED">
        <w:rPr>
          <w:i/>
          <w:sz w:val="22"/>
          <w:szCs w:val="22"/>
        </w:rPr>
        <w:t xml:space="preserve">Formar parte de las comisiones, comités, consejos y juntas que por disposición de la ley o por los reglamentos se requiera y; </w:t>
      </w:r>
    </w:p>
    <w:p w14:paraId="724D018E" w14:textId="77777777" w:rsidR="00EC408A" w:rsidRDefault="00184BA7" w:rsidP="003C3DED">
      <w:pPr>
        <w:pStyle w:val="Prrafodelista"/>
        <w:numPr>
          <w:ilvl w:val="0"/>
          <w:numId w:val="10"/>
        </w:numPr>
        <w:rPr>
          <w:i/>
          <w:sz w:val="22"/>
          <w:szCs w:val="22"/>
        </w:rPr>
      </w:pPr>
      <w:r w:rsidRPr="003C3DED">
        <w:rPr>
          <w:i/>
          <w:sz w:val="22"/>
          <w:szCs w:val="22"/>
        </w:rPr>
        <w:t xml:space="preserve"> Las demás que le encomiende el </w:t>
      </w:r>
      <w:proofErr w:type="gramStart"/>
      <w:r w:rsidRPr="003C3DED">
        <w:rPr>
          <w:i/>
          <w:sz w:val="22"/>
          <w:szCs w:val="22"/>
        </w:rPr>
        <w:t>Presidente</w:t>
      </w:r>
      <w:proofErr w:type="gramEnd"/>
      <w:r w:rsidRPr="003C3DED">
        <w:rPr>
          <w:i/>
          <w:sz w:val="22"/>
          <w:szCs w:val="22"/>
        </w:rPr>
        <w:t xml:space="preserve"> Municipal</w:t>
      </w:r>
      <w:r w:rsidR="003C3DED">
        <w:rPr>
          <w:i/>
          <w:sz w:val="22"/>
          <w:szCs w:val="22"/>
        </w:rPr>
        <w:t>”</w:t>
      </w:r>
    </w:p>
    <w:p w14:paraId="0F419FFF" w14:textId="77777777" w:rsidR="005A23A8" w:rsidRPr="003C3DED" w:rsidRDefault="005A23A8" w:rsidP="005A23A8">
      <w:pPr>
        <w:pStyle w:val="Prrafodelista"/>
        <w:ind w:left="1425"/>
        <w:rPr>
          <w:i/>
          <w:sz w:val="22"/>
          <w:szCs w:val="22"/>
        </w:rPr>
      </w:pPr>
    </w:p>
    <w:p w14:paraId="63A3B368" w14:textId="77777777" w:rsidR="00184BA7" w:rsidRDefault="00184BA7" w:rsidP="00EC408A">
      <w:pPr>
        <w:pBdr>
          <w:top w:val="nil"/>
          <w:left w:val="nil"/>
          <w:bottom w:val="nil"/>
          <w:right w:val="nil"/>
          <w:between w:val="nil"/>
        </w:pBdr>
        <w:contextualSpacing/>
      </w:pPr>
      <w:r>
        <w:t xml:space="preserve">En ese orden de ideas, el hoy Recurrente requirió documentos soporte como copia de la factura u orden de pago, por lo </w:t>
      </w:r>
      <w:proofErr w:type="gramStart"/>
      <w:r>
        <w:t>que</w:t>
      </w:r>
      <w:proofErr w:type="gramEnd"/>
      <w:r>
        <w:t xml:space="preserve"> para llevar a cabo las actividades en comento, el Sujeto Obligado podrá suscribir contratos con los sectores público, social y privado, llevando a cabo procedimientos adquisitivos de contratación de bienes y servicios, mismo que corresponde a la información a la cual pretende acceder el ahora Recurrente.</w:t>
      </w:r>
    </w:p>
    <w:p w14:paraId="1A267859" w14:textId="77777777" w:rsidR="00184BA7" w:rsidRDefault="00184BA7" w:rsidP="00EC408A">
      <w:pPr>
        <w:pBdr>
          <w:top w:val="nil"/>
          <w:left w:val="nil"/>
          <w:bottom w:val="nil"/>
          <w:right w:val="nil"/>
          <w:between w:val="nil"/>
        </w:pBdr>
        <w:contextualSpacing/>
      </w:pPr>
    </w:p>
    <w:p w14:paraId="50E3A075" w14:textId="77777777" w:rsidR="003368FD" w:rsidRDefault="003368FD" w:rsidP="003368FD">
      <w:pPr>
        <w:pStyle w:val="Prrafodelista"/>
        <w:autoSpaceDE w:val="0"/>
        <w:autoSpaceDN w:val="0"/>
        <w:adjustRightInd w:val="0"/>
        <w:ind w:left="0"/>
        <w:rPr>
          <w:rFonts w:eastAsiaTheme="minorEastAsia" w:cs="Arial"/>
          <w:bCs/>
          <w:lang w:val="es-MX"/>
        </w:rPr>
      </w:pPr>
      <w:r>
        <w:t xml:space="preserve">De manera complementaria este Órgano Garante </w:t>
      </w:r>
      <w:r w:rsidRPr="003368FD">
        <w:rPr>
          <w:rFonts w:eastAsiaTheme="minorEastAsia" w:cs="Arial"/>
          <w:bCs/>
          <w:lang w:val="es-MX"/>
        </w:rPr>
        <w:t xml:space="preserve">procedió a consultar información difundida en medios electrónicos, misma que puede ser consultada ingresando a la siguiente liga electrónica: </w:t>
      </w:r>
    </w:p>
    <w:p w14:paraId="6A81F95E" w14:textId="77777777" w:rsidR="00864F3B" w:rsidRDefault="00864F3B" w:rsidP="003368FD">
      <w:pPr>
        <w:pStyle w:val="Prrafodelista"/>
        <w:autoSpaceDE w:val="0"/>
        <w:autoSpaceDN w:val="0"/>
        <w:adjustRightInd w:val="0"/>
        <w:ind w:left="0"/>
        <w:rPr>
          <w:rStyle w:val="Hipervnculo"/>
          <w:rFonts w:eastAsiaTheme="minorEastAsia" w:cs="Arial"/>
          <w:bCs/>
          <w:lang w:val="es-MX"/>
        </w:rPr>
      </w:pPr>
    </w:p>
    <w:p w14:paraId="4B163F96" w14:textId="08C49E8D" w:rsidR="0064376E" w:rsidRPr="003368FD" w:rsidRDefault="0089502F" w:rsidP="003368FD">
      <w:pPr>
        <w:pStyle w:val="Prrafodelista"/>
        <w:autoSpaceDE w:val="0"/>
        <w:autoSpaceDN w:val="0"/>
        <w:adjustRightInd w:val="0"/>
        <w:ind w:left="0"/>
        <w:rPr>
          <w:rFonts w:eastAsiaTheme="minorEastAsia" w:cs="Arial"/>
          <w:bCs/>
          <w:lang w:val="es-MX"/>
        </w:rPr>
      </w:pPr>
      <w:hyperlink r:id="rId9" w:history="1">
        <w:r w:rsidR="0064376E" w:rsidRPr="007B7D59">
          <w:rPr>
            <w:rStyle w:val="Hipervnculo"/>
            <w:rFonts w:eastAsiaTheme="minorEastAsia" w:cs="Arial"/>
            <w:bCs/>
            <w:lang w:val="es-MX"/>
          </w:rPr>
          <w:t>https://twitter.com/NellyCarrascoIV/status/1712694867942404164</w:t>
        </w:r>
      </w:hyperlink>
      <w:r w:rsidR="0064376E">
        <w:rPr>
          <w:rFonts w:eastAsiaTheme="minorEastAsia" w:cs="Arial"/>
          <w:bCs/>
          <w:lang w:val="es-MX"/>
        </w:rPr>
        <w:t xml:space="preserve"> </w:t>
      </w:r>
    </w:p>
    <w:p w14:paraId="174878FF" w14:textId="77777777" w:rsidR="00864F3B" w:rsidRDefault="00864F3B" w:rsidP="00864F3B">
      <w:pPr>
        <w:autoSpaceDE w:val="0"/>
        <w:autoSpaceDN w:val="0"/>
        <w:adjustRightInd w:val="0"/>
        <w:rPr>
          <w:rFonts w:eastAsiaTheme="minorEastAsia" w:cs="Times New Roman"/>
          <w:b/>
          <w:szCs w:val="24"/>
          <w:u w:val="single"/>
          <w:lang w:val="es-MX" w:eastAsia="es-ES"/>
        </w:rPr>
      </w:pPr>
      <w:r w:rsidRPr="00864F3B">
        <w:rPr>
          <w:rFonts w:eastAsiaTheme="minorEastAsia" w:cs="Arial"/>
          <w:b/>
          <w:szCs w:val="24"/>
          <w:u w:val="single"/>
          <w:lang w:val="es-MX" w:eastAsia="es-ES"/>
        </w:rPr>
        <w:lastRenderedPageBreak/>
        <w:t>Dominio electrónico en los cuales en síntesis se da cuenta respecto de</w:t>
      </w:r>
      <w:r>
        <w:rPr>
          <w:rFonts w:eastAsiaTheme="minorEastAsia" w:cs="Times New Roman"/>
          <w:b/>
          <w:szCs w:val="24"/>
          <w:u w:val="single"/>
          <w:lang w:val="es-MX" w:eastAsia="es-ES"/>
        </w:rPr>
        <w:t xml:space="preserve"> la develación de la </w:t>
      </w:r>
      <w:r w:rsidRPr="00864F3B">
        <w:rPr>
          <w:b/>
          <w:color w:val="000000"/>
          <w:szCs w:val="24"/>
          <w:u w:val="single"/>
        </w:rPr>
        <w:t xml:space="preserve">escultura </w:t>
      </w:r>
      <w:proofErr w:type="spellStart"/>
      <w:proofErr w:type="gramStart"/>
      <w:r w:rsidRPr="00864F3B">
        <w:rPr>
          <w:b/>
          <w:color w:val="000000"/>
          <w:szCs w:val="24"/>
          <w:u w:val="single"/>
        </w:rPr>
        <w:t>yaotecuani</w:t>
      </w:r>
      <w:proofErr w:type="spellEnd"/>
      <w:r w:rsidRPr="00864F3B">
        <w:rPr>
          <w:rFonts w:ascii="Verdana" w:hAnsi="Verdana"/>
          <w:color w:val="000000"/>
          <w:sz w:val="14"/>
          <w:szCs w:val="14"/>
          <w:u w:val="single"/>
        </w:rPr>
        <w:t> </w:t>
      </w:r>
      <w:r w:rsidRPr="00864F3B">
        <w:rPr>
          <w:rFonts w:eastAsiaTheme="minorEastAsia" w:cs="Times New Roman"/>
          <w:b/>
          <w:szCs w:val="24"/>
          <w:u w:val="single"/>
          <w:lang w:val="es-MX" w:eastAsia="es-ES"/>
        </w:rPr>
        <w:t xml:space="preserve"> en</w:t>
      </w:r>
      <w:proofErr w:type="gramEnd"/>
      <w:r w:rsidRPr="00864F3B">
        <w:rPr>
          <w:rFonts w:eastAsiaTheme="minorEastAsia" w:cs="Times New Roman"/>
          <w:b/>
          <w:szCs w:val="24"/>
          <w:u w:val="single"/>
          <w:lang w:val="es-MX" w:eastAsia="es-ES"/>
        </w:rPr>
        <w:t xml:space="preserve"> donde el Sujeto Obligado participó en la logística del evento.</w:t>
      </w:r>
    </w:p>
    <w:p w14:paraId="52568D0D" w14:textId="77777777" w:rsidR="00864F3B" w:rsidRDefault="00864F3B" w:rsidP="00864F3B">
      <w:pPr>
        <w:autoSpaceDE w:val="0"/>
        <w:autoSpaceDN w:val="0"/>
        <w:adjustRightInd w:val="0"/>
        <w:rPr>
          <w:rFonts w:eastAsiaTheme="minorEastAsia" w:cs="Times New Roman"/>
          <w:b/>
          <w:szCs w:val="24"/>
          <w:u w:val="single"/>
          <w:lang w:val="es-MX" w:eastAsia="es-ES"/>
        </w:rPr>
      </w:pPr>
    </w:p>
    <w:p w14:paraId="025F3EA4" w14:textId="77777777" w:rsidR="0064376E" w:rsidRDefault="00864F3B" w:rsidP="0064376E">
      <w:pPr>
        <w:rPr>
          <w:rFonts w:eastAsia="Palatino Linotype" w:cs="Palatino Linotype"/>
          <w:color w:val="000000"/>
        </w:rPr>
      </w:pPr>
      <w:r w:rsidRPr="00864F3B">
        <w:rPr>
          <w:rFonts w:eastAsiaTheme="minorEastAsia" w:cs="Times New Roman"/>
          <w:szCs w:val="24"/>
          <w:lang w:val="es-MX" w:eastAsia="es-ES"/>
        </w:rPr>
        <w:t>Ahora bien, es importante mencionar que, la información precisada con anterioridad es referente a</w:t>
      </w:r>
      <w:r>
        <w:rPr>
          <w:rFonts w:eastAsiaTheme="minorEastAsia" w:cs="Times New Roman"/>
          <w:szCs w:val="24"/>
          <w:lang w:val="es-MX" w:eastAsia="es-ES"/>
        </w:rPr>
        <w:t xml:space="preserve"> un</w:t>
      </w:r>
      <w:r w:rsidR="0064376E">
        <w:rPr>
          <w:rFonts w:eastAsiaTheme="minorEastAsia" w:cs="Times New Roman"/>
          <w:szCs w:val="24"/>
          <w:lang w:val="es-MX" w:eastAsia="es-ES"/>
        </w:rPr>
        <w:t xml:space="preserve"> indicio</w:t>
      </w:r>
      <w:r w:rsidRPr="00864F3B">
        <w:rPr>
          <w:rFonts w:eastAsiaTheme="minorEastAsia" w:cs="Times New Roman"/>
          <w:szCs w:val="24"/>
          <w:lang w:val="es-MX" w:eastAsia="es-ES"/>
        </w:rPr>
        <w:t>, por lo que es de precisarse que, en el caso concreto, las notas periodísticas y los argumentos vertidos en párrafos que preceden, si bien es cierto, carecen de valor probatorio, también lo es que arrojan indicios sobre los hechos a los que se</w:t>
      </w:r>
      <w:r w:rsidR="0064376E">
        <w:rPr>
          <w:rFonts w:eastAsiaTheme="minorEastAsia" w:cs="Times New Roman"/>
          <w:szCs w:val="24"/>
          <w:lang w:val="es-MX" w:eastAsia="es-ES"/>
        </w:rPr>
        <w:t xml:space="preserve"> refieren, </w:t>
      </w:r>
      <w:r w:rsidR="0064376E" w:rsidRPr="00F12C09">
        <w:rPr>
          <w:rFonts w:eastAsia="Palatino Linotype" w:cs="Palatino Linotype"/>
        </w:rPr>
        <w:t xml:space="preserve">sirve de sustento a lo anterior </w:t>
      </w:r>
      <w:r w:rsidR="0064376E" w:rsidRPr="00F12C09">
        <w:rPr>
          <w:rFonts w:eastAsia="Palatino Linotype" w:cs="Palatino Linotype"/>
          <w:color w:val="000000"/>
        </w:rPr>
        <w:t>las siguientes tesis jurisprudenciales</w:t>
      </w:r>
      <w:r w:rsidR="0064376E" w:rsidRPr="00F12C09">
        <w:rPr>
          <w:rFonts w:eastAsia="Palatino Linotype" w:cs="Palatino Linotype"/>
        </w:rPr>
        <w:t>:</w:t>
      </w:r>
    </w:p>
    <w:p w14:paraId="5D6E1153" w14:textId="65943918" w:rsidR="00864F3B" w:rsidRDefault="00864F3B" w:rsidP="00864F3B">
      <w:pPr>
        <w:contextualSpacing/>
        <w:rPr>
          <w:rFonts w:eastAsiaTheme="minorEastAsia" w:cs="Times New Roman"/>
          <w:szCs w:val="24"/>
          <w:lang w:val="es-MX" w:eastAsia="es-ES"/>
        </w:rPr>
      </w:pPr>
    </w:p>
    <w:p w14:paraId="23881746" w14:textId="77777777" w:rsidR="0064376E" w:rsidRPr="00F12C09" w:rsidRDefault="0064376E" w:rsidP="0064376E">
      <w:pPr>
        <w:pStyle w:val="INFOEM"/>
        <w:jc w:val="center"/>
        <w:rPr>
          <w:b/>
        </w:rPr>
      </w:pPr>
      <w:r w:rsidRPr="00F12C09">
        <w:rPr>
          <w:b/>
        </w:rPr>
        <w:t>HECHOS NOTORIOS. CONCEPTOS GENERAL Y JURÍDICO</w:t>
      </w:r>
    </w:p>
    <w:p w14:paraId="36F195F2" w14:textId="77777777" w:rsidR="0064376E" w:rsidRPr="00F12C09" w:rsidRDefault="0064376E" w:rsidP="0064376E">
      <w:pPr>
        <w:pStyle w:val="INFOEM"/>
      </w:pPr>
      <w:r w:rsidRPr="00F12C09">
        <w:t xml:space="preserve">Conforme al artículo </w:t>
      </w:r>
      <w:hyperlink r:id="rId10">
        <w:r w:rsidRPr="00F12C09">
          <w:t>88 del Código Federal de Procedimientos Civiles</w:t>
        </w:r>
      </w:hyperlink>
      <w:r w:rsidRPr="00F12C09">
        <w:t xml:space="preserve"> los tribunales pueden invocar hechos </w:t>
      </w:r>
      <w:proofErr w:type="gramStart"/>
      <w:r w:rsidRPr="00F12C09">
        <w:t>notorios</w:t>
      </w:r>
      <w:proofErr w:type="gramEnd"/>
      <w:r w:rsidRPr="00F12C09">
        <w:t xml:space="preserve"> aunque no hayan sido alegados ni probados por las partes. Por hechos notorios deben entenderse, en general, aquellos que por el conocimiento humano se consideran ciertos e indiscutibles, ya sea que pertenezcan a la historia, a la ciencia, a la naturaleza, a las vicisitudes de la vida pública actual o a circunstancias comúnmente conocidas en un determinado lugar, de modo que toda persona de ese medio esté en condiciones de saberlo;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14:paraId="6D12439F" w14:textId="77777777" w:rsidR="0064376E" w:rsidRPr="00F12C09" w:rsidRDefault="0064376E" w:rsidP="0064376E">
      <w:pPr>
        <w:pStyle w:val="INFOEM"/>
      </w:pPr>
    </w:p>
    <w:p w14:paraId="70B91B60" w14:textId="77777777" w:rsidR="0064376E" w:rsidRPr="00F12C09" w:rsidRDefault="0064376E" w:rsidP="0064376E">
      <w:pPr>
        <w:pStyle w:val="INFOEM"/>
      </w:pPr>
      <w:r w:rsidRPr="00F12C09">
        <w:lastRenderedPageBreak/>
        <w:t>Controversia constitucional 24/2005. Cámara de Diputados del Congreso de la Unión. 9 de marzo de 2006. Once votos. Ponente: José Ramón Cossío Díaz. Secretarios: Raúl Manuel Mejía Garza y Laura Patricia Rojas Zamudio.</w:t>
      </w:r>
    </w:p>
    <w:p w14:paraId="085C3261" w14:textId="77777777" w:rsidR="0064376E" w:rsidRPr="00F12C09" w:rsidRDefault="0064376E" w:rsidP="0064376E">
      <w:pPr>
        <w:pStyle w:val="INFOEM"/>
      </w:pPr>
      <w:r w:rsidRPr="00F12C09">
        <w:t>El Tribunal Pleno, el dieciséis de mayo en curso, aprobó, con el número 74/2006, la tesis jurisprudencial que antecede. México, Distrito Federal, a dieciséis de mayo de dos mil seis.</w:t>
      </w:r>
    </w:p>
    <w:p w14:paraId="54057A7F" w14:textId="77777777" w:rsidR="0064376E" w:rsidRPr="00F12C09" w:rsidRDefault="0064376E" w:rsidP="0064376E">
      <w:pPr>
        <w:pStyle w:val="INFOEM"/>
      </w:pPr>
      <w:r w:rsidRPr="00F12C09">
        <w:t>Nota: Esta tesis fue objeto de la denuncia relativa a la contradicción de tesis 91/2014, desechada por notoriamente improcedente, mediante acuerdo de 24 de marzo de 2014.”</w:t>
      </w:r>
    </w:p>
    <w:p w14:paraId="71392A02" w14:textId="77777777" w:rsidR="0064376E" w:rsidRPr="00F12C09" w:rsidRDefault="0064376E" w:rsidP="0064376E">
      <w:pPr>
        <w:pStyle w:val="INFOEM"/>
      </w:pPr>
    </w:p>
    <w:p w14:paraId="390D80B1" w14:textId="77777777" w:rsidR="0064376E" w:rsidRDefault="0064376E" w:rsidP="0064376E">
      <w:pPr>
        <w:pStyle w:val="INFOEM"/>
        <w:rPr>
          <w:sz w:val="24"/>
          <w:szCs w:val="24"/>
        </w:rPr>
      </w:pPr>
      <w:r w:rsidRPr="00F12C09">
        <w:rPr>
          <w:b/>
          <w:sz w:val="24"/>
          <w:szCs w:val="24"/>
        </w:rPr>
        <w:t>PÁGINAS WEB O ELECTRÓNICAS. SU CONTENIDO ES UN HECHO NOTORIO Y SUSCEPTIBLE DE SER VALORADO EN UNA DECISIÓN JUDICIAL.</w:t>
      </w:r>
      <w:r w:rsidRPr="00F12C09">
        <w:rPr>
          <w:rFonts w:ascii="Times New Roman" w:eastAsia="Times New Roman" w:hAnsi="Times New Roman" w:cs="Times New Roman"/>
          <w:b/>
          <w:sz w:val="24"/>
          <w:szCs w:val="24"/>
        </w:rPr>
        <w:t xml:space="preserve"> </w:t>
      </w:r>
      <w:r w:rsidRPr="00F12C09">
        <w:rPr>
          <w:sz w:val="24"/>
          <w:szCs w:val="24"/>
        </w:rPr>
        <w:t xml:space="preserve">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w:t>
      </w:r>
      <w:r w:rsidRPr="00F12C09">
        <w:rPr>
          <w:sz w:val="24"/>
          <w:szCs w:val="24"/>
        </w:rPr>
        <w:lastRenderedPageBreak/>
        <w:t xml:space="preserve">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 </w:t>
      </w:r>
    </w:p>
    <w:p w14:paraId="560EEAC7" w14:textId="77777777" w:rsidR="0064376E" w:rsidRDefault="0064376E" w:rsidP="0064376E">
      <w:pPr>
        <w:pStyle w:val="INFOEM"/>
        <w:rPr>
          <w:sz w:val="24"/>
          <w:szCs w:val="24"/>
        </w:rPr>
      </w:pPr>
      <w:r w:rsidRPr="00F12C09">
        <w:rPr>
          <w:sz w:val="24"/>
          <w:szCs w:val="24"/>
        </w:rPr>
        <w:t xml:space="preserve">TERCER TRIBUNAL COLEGIADO EN MATERIA CIVIL DEL PRIMER CIRCUITO. Amparo en revisión 365/2012. </w:t>
      </w:r>
      <w:proofErr w:type="spellStart"/>
      <w:r w:rsidRPr="00F12C09">
        <w:rPr>
          <w:sz w:val="24"/>
          <w:szCs w:val="24"/>
        </w:rPr>
        <w:t>Mardygras</w:t>
      </w:r>
      <w:proofErr w:type="spellEnd"/>
      <w:r w:rsidRPr="00F12C09">
        <w:rPr>
          <w:sz w:val="24"/>
          <w:szCs w:val="24"/>
        </w:rPr>
        <w:t xml:space="preserve">, S.A. de C.V. 7 de diciembre de 2012. Unanimidad de votos. Ponente: Neófito López Ramos. Secretaria: Ana Lilia Osorno Arroyo. </w:t>
      </w:r>
    </w:p>
    <w:p w14:paraId="629B82AE" w14:textId="77777777" w:rsidR="005A23A8" w:rsidRPr="005A23A8" w:rsidRDefault="005A23A8" w:rsidP="00864F3B">
      <w:pPr>
        <w:contextualSpacing/>
        <w:rPr>
          <w:rFonts w:eastAsiaTheme="minorEastAsia" w:cs="Times New Roman"/>
          <w:szCs w:val="24"/>
          <w:lang w:val="es-MX" w:eastAsia="es-ES"/>
        </w:rPr>
      </w:pPr>
    </w:p>
    <w:p w14:paraId="02F12BC6" w14:textId="77777777" w:rsidR="00864F3B" w:rsidRPr="00C46672" w:rsidRDefault="00864F3B" w:rsidP="00864F3B">
      <w:pPr>
        <w:contextualSpacing/>
      </w:pPr>
      <w:r w:rsidRPr="00C46672">
        <w:t>Sirve de apoyo a lo anteriormente señalado, la Jurisprudencia emitida por la Sala Superior de la Suprema Corte de Justicia de la Nación, Tercera Época</w:t>
      </w:r>
      <w:r w:rsidRPr="00C46672">
        <w:rPr>
          <w:vertAlign w:val="superscript"/>
        </w:rPr>
        <w:footnoteReference w:id="2"/>
      </w:r>
      <w:r w:rsidRPr="00C46672">
        <w:t>, que se muestra a continuación:</w:t>
      </w:r>
    </w:p>
    <w:p w14:paraId="7929073E" w14:textId="77777777" w:rsidR="00864F3B" w:rsidRPr="00C46672" w:rsidRDefault="00864F3B" w:rsidP="00864F3B">
      <w:pPr>
        <w:contextualSpacing/>
      </w:pPr>
    </w:p>
    <w:p w14:paraId="3607DE32" w14:textId="77777777" w:rsidR="00864F3B" w:rsidRPr="00C46672" w:rsidRDefault="00864F3B" w:rsidP="00864F3B">
      <w:pPr>
        <w:pStyle w:val="Citas"/>
        <w:spacing w:before="0" w:after="0" w:line="240" w:lineRule="auto"/>
        <w:rPr>
          <w:b/>
        </w:rPr>
      </w:pPr>
      <w:r w:rsidRPr="00C46672">
        <w:rPr>
          <w:b/>
        </w:rPr>
        <w:t xml:space="preserve">“NOTAS PERIODÍSTICAS. ELEMENTOS PARA DETERMINAR SU FUERZA INDICIARIA. </w:t>
      </w:r>
    </w:p>
    <w:p w14:paraId="66E3FAB4" w14:textId="77777777" w:rsidR="00864F3B" w:rsidRPr="00C46672" w:rsidRDefault="00864F3B" w:rsidP="00864F3B">
      <w:pPr>
        <w:pStyle w:val="Citas"/>
        <w:spacing w:before="0" w:after="0" w:line="240" w:lineRule="auto"/>
        <w:ind w:right="899"/>
        <w:rPr>
          <w:rFonts w:eastAsia="Times New Roman"/>
          <w:b/>
          <w:bCs/>
          <w:sz w:val="24"/>
          <w:szCs w:val="24"/>
          <w:lang w:eastAsia="es-MX"/>
        </w:rPr>
      </w:pPr>
      <w:r w:rsidRPr="00C46672">
        <w:t xml:space="preserve">Los medios probatorios que se hacen consistir en notas periodísticas, sólo pueden arrojar indicios sobre los hechos a que se refieren, pero para calificar si se trata de indicios simples o de indicios de mayor grado </w:t>
      </w:r>
      <w:proofErr w:type="spellStart"/>
      <w:r w:rsidRPr="00C46672">
        <w:t>convictivo</w:t>
      </w:r>
      <w:proofErr w:type="spellEnd"/>
      <w:r w:rsidRPr="00C46672">
        <w:t xml:space="preserve">, el juzgador debe ponderar las </w:t>
      </w:r>
      <w:r w:rsidRPr="00C46672">
        <w:lastRenderedPageBreak/>
        <w:t xml:space="preserve">circunstancias existentes en cada caso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 otorgar mayor calidad indiciaria a los citados medios de prueba, y por tanto, a que los elementos faltantes para alcanzar la fuerza probatoria plena sean menores que en los casos en que no medien tales circunstancias.” </w:t>
      </w:r>
      <w:r w:rsidRPr="00C46672">
        <w:rPr>
          <w:b/>
          <w:bCs/>
        </w:rPr>
        <w:t>(Sic)</w:t>
      </w:r>
    </w:p>
    <w:p w14:paraId="5315C3BA" w14:textId="77777777" w:rsidR="00864F3B" w:rsidRPr="00C46672" w:rsidRDefault="00864F3B" w:rsidP="00864F3B">
      <w:pPr>
        <w:rPr>
          <w:rFonts w:cs="Arial"/>
        </w:rPr>
      </w:pPr>
    </w:p>
    <w:p w14:paraId="05028579" w14:textId="77777777" w:rsidR="00864F3B" w:rsidRPr="00C46672" w:rsidRDefault="00864F3B" w:rsidP="00864F3B">
      <w:pPr>
        <w:rPr>
          <w:rFonts w:cs="Arial"/>
        </w:rPr>
      </w:pPr>
      <w:r w:rsidRPr="00C46672">
        <w:rPr>
          <w:rFonts w:cs="Arial"/>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4CC730B3" w14:textId="77777777" w:rsidR="00864F3B" w:rsidRPr="00C46672" w:rsidRDefault="00864F3B" w:rsidP="00864F3B">
      <w:pPr>
        <w:pStyle w:val="Citas"/>
        <w:spacing w:before="0" w:after="0" w:line="240" w:lineRule="auto"/>
      </w:pPr>
    </w:p>
    <w:p w14:paraId="10A41048" w14:textId="77777777" w:rsidR="00864F3B" w:rsidRPr="00C46672" w:rsidRDefault="00864F3B" w:rsidP="00864F3B">
      <w:pPr>
        <w:pStyle w:val="Citas"/>
        <w:spacing w:before="0" w:after="0" w:line="240" w:lineRule="auto"/>
        <w:ind w:right="899"/>
      </w:pPr>
      <w:r w:rsidRPr="00C46672">
        <w:t>“</w:t>
      </w:r>
      <w:r w:rsidRPr="00C46672">
        <w:rPr>
          <w:b/>
        </w:rPr>
        <w:t>Artículo 18.</w:t>
      </w:r>
      <w:r w:rsidRPr="00C46672">
        <w:t xml:space="preserve"> Los sujetos obligados deberán documentar todo acto que derive del ejercicio de sus facultades, competencias o funciones, considerando desde su origen la eventual publicidad y reutilización de la información que generen. </w:t>
      </w:r>
    </w:p>
    <w:p w14:paraId="0111580D" w14:textId="77777777" w:rsidR="00864F3B" w:rsidRPr="00C46672" w:rsidRDefault="00864F3B" w:rsidP="00864F3B">
      <w:pPr>
        <w:pStyle w:val="Citas"/>
        <w:spacing w:before="0" w:after="0" w:line="240" w:lineRule="auto"/>
        <w:ind w:right="899"/>
      </w:pPr>
      <w:r w:rsidRPr="00C46672">
        <w:rPr>
          <w:b/>
        </w:rPr>
        <w:t xml:space="preserve">Artículo 19. </w:t>
      </w:r>
      <w:r w:rsidRPr="00C46672">
        <w:t xml:space="preserve">Se presume que la información debe existir si se refiere a las facultades, competencias y funciones que los ordenamientos jurídicos aplicables otorgan a los sujetos obligados. </w:t>
      </w:r>
    </w:p>
    <w:p w14:paraId="116B9F8D" w14:textId="77777777" w:rsidR="00864F3B" w:rsidRPr="00C46672" w:rsidRDefault="00864F3B" w:rsidP="00864F3B">
      <w:pPr>
        <w:pStyle w:val="Citas"/>
        <w:spacing w:before="0" w:after="0" w:line="240" w:lineRule="auto"/>
        <w:ind w:right="899"/>
      </w:pPr>
      <w:r w:rsidRPr="00C46672">
        <w:t xml:space="preserve">En los casos en que ciertas facultades, competencias o funciones no se hayan ejercido, se debe motivar la respuesta en función de las causas que motiven tal circunstancia. </w:t>
      </w:r>
    </w:p>
    <w:p w14:paraId="68D499DF" w14:textId="77777777" w:rsidR="00864F3B" w:rsidRDefault="00864F3B" w:rsidP="00864F3B">
      <w:pPr>
        <w:pStyle w:val="Citas"/>
        <w:spacing w:before="0" w:after="0" w:line="240" w:lineRule="auto"/>
        <w:ind w:right="899"/>
      </w:pPr>
      <w:r w:rsidRPr="00C46672">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p>
    <w:p w14:paraId="3F1FE773" w14:textId="77777777" w:rsidR="00864F3B" w:rsidRPr="00C46672" w:rsidRDefault="00864F3B" w:rsidP="00864F3B">
      <w:pPr>
        <w:pStyle w:val="Citas"/>
        <w:spacing w:before="0" w:after="0" w:line="240" w:lineRule="auto"/>
        <w:rPr>
          <w:b/>
          <w:bCs/>
          <w:sz w:val="24"/>
          <w:szCs w:val="24"/>
        </w:rPr>
      </w:pPr>
      <w:r w:rsidRPr="00C46672">
        <w:rPr>
          <w:b/>
          <w:bCs/>
        </w:rPr>
        <w:t>(</w:t>
      </w:r>
      <w:r>
        <w:rPr>
          <w:b/>
          <w:bCs/>
        </w:rPr>
        <w:t>Énfasis añadido)</w:t>
      </w:r>
    </w:p>
    <w:p w14:paraId="45FF0A6F" w14:textId="77777777" w:rsidR="003368FD" w:rsidRDefault="003368FD" w:rsidP="00EC408A">
      <w:pPr>
        <w:pBdr>
          <w:top w:val="nil"/>
          <w:left w:val="nil"/>
          <w:bottom w:val="nil"/>
          <w:right w:val="nil"/>
          <w:between w:val="nil"/>
        </w:pBdr>
        <w:contextualSpacing/>
      </w:pPr>
    </w:p>
    <w:p w14:paraId="64400E20" w14:textId="77777777" w:rsidR="00184BA7" w:rsidRDefault="00184BA7" w:rsidP="00EC408A">
      <w:pPr>
        <w:pBdr>
          <w:top w:val="nil"/>
          <w:left w:val="nil"/>
          <w:bottom w:val="nil"/>
          <w:right w:val="nil"/>
          <w:between w:val="nil"/>
        </w:pBdr>
        <w:contextualSpacing/>
      </w:pPr>
      <w:r>
        <w:lastRenderedPageBreak/>
        <w:t xml:space="preserve">Aunado a lo antes expuesto, cabe señalar que la información referida forma parte de las Obligaciones de Transparencia Comunes del Sujeto Obligado, lo que nos permite traer a colación lo dispuesto por la fracción XXIX del artículo 92 de la Ley de Transparencia y Acceso a la Información Pública del Estado de México y Municipios en el cual se aprecia lo siguiente: </w:t>
      </w:r>
    </w:p>
    <w:p w14:paraId="086ADE9C" w14:textId="77777777" w:rsidR="00184BA7" w:rsidRPr="00DC5A44" w:rsidRDefault="00184BA7" w:rsidP="00184BA7">
      <w:pPr>
        <w:pBdr>
          <w:top w:val="nil"/>
          <w:left w:val="nil"/>
          <w:bottom w:val="nil"/>
          <w:right w:val="nil"/>
          <w:between w:val="nil"/>
        </w:pBdr>
        <w:ind w:left="708"/>
        <w:contextualSpacing/>
        <w:rPr>
          <w:b/>
          <w:i/>
          <w:sz w:val="22"/>
          <w:u w:val="single"/>
        </w:rPr>
      </w:pPr>
      <w:r w:rsidRPr="00DC5A44">
        <w:rPr>
          <w:i/>
          <w:sz w:val="22"/>
        </w:rPr>
        <w:t>“</w:t>
      </w:r>
      <w:r w:rsidRPr="00DC5A44">
        <w:rPr>
          <w:b/>
          <w:i/>
          <w:sz w:val="22"/>
          <w:u w:val="single"/>
        </w:rPr>
        <w:t>Artículo 92. Los sujetos obligados deberán poner a disposición del público de manera permanente y actualizada de forma sencilla, precisa y entendible, en los respectivos medios electrónicos,</w:t>
      </w:r>
      <w:r w:rsidRPr="00DC5A44">
        <w:rPr>
          <w:i/>
          <w:sz w:val="22"/>
        </w:rPr>
        <w:t xml:space="preserve"> de acuerdo con sus facultades, atribuciones, funciones u objeto social, según corresponda, la información, </w:t>
      </w:r>
      <w:r w:rsidRPr="00DC5A44">
        <w:rPr>
          <w:b/>
          <w:i/>
          <w:sz w:val="22"/>
          <w:u w:val="single"/>
        </w:rPr>
        <w:t>por lo menos, de los temas, documentos y políticas que a continuación se señalan:</w:t>
      </w:r>
    </w:p>
    <w:p w14:paraId="06EAB941" w14:textId="77777777" w:rsidR="00184BA7" w:rsidRPr="00DC5A44" w:rsidRDefault="00184BA7" w:rsidP="00184BA7">
      <w:pPr>
        <w:pBdr>
          <w:top w:val="nil"/>
          <w:left w:val="nil"/>
          <w:bottom w:val="nil"/>
          <w:right w:val="nil"/>
          <w:between w:val="nil"/>
        </w:pBdr>
        <w:ind w:left="708"/>
        <w:contextualSpacing/>
        <w:rPr>
          <w:i/>
          <w:sz w:val="22"/>
        </w:rPr>
      </w:pPr>
      <w:r w:rsidRPr="00DC5A44">
        <w:rPr>
          <w:i/>
          <w:sz w:val="22"/>
        </w:rPr>
        <w:t xml:space="preserve"> </w:t>
      </w:r>
      <w:r w:rsidRPr="00DC5A44">
        <w:rPr>
          <w:b/>
          <w:i/>
          <w:sz w:val="22"/>
        </w:rPr>
        <w:t xml:space="preserve">XXV. </w:t>
      </w:r>
      <w:proofErr w:type="gramStart"/>
      <w:r w:rsidRPr="00DC5A44">
        <w:rPr>
          <w:b/>
          <w:i/>
          <w:sz w:val="22"/>
        </w:rPr>
        <w:t>La información financiera sobre el presupuesto asignado, así como los informes del ejercicio trimestral del gasto, en términos de la Ley General de Contabilidad Gubernamental y demás disposiciones jurídicas aplicables</w:t>
      </w:r>
      <w:r w:rsidRPr="00DC5A44">
        <w:rPr>
          <w:i/>
          <w:sz w:val="22"/>
        </w:rPr>
        <w:t>;</w:t>
      </w:r>
      <w:proofErr w:type="gramEnd"/>
      <w:r w:rsidRPr="00DC5A44">
        <w:rPr>
          <w:i/>
          <w:sz w:val="22"/>
        </w:rPr>
        <w:t xml:space="preserve"> </w:t>
      </w:r>
    </w:p>
    <w:p w14:paraId="75D19707" w14:textId="77777777" w:rsidR="00DC5A44" w:rsidRDefault="00184BA7" w:rsidP="00184BA7">
      <w:pPr>
        <w:pBdr>
          <w:top w:val="nil"/>
          <w:left w:val="nil"/>
          <w:bottom w:val="nil"/>
          <w:right w:val="nil"/>
          <w:between w:val="nil"/>
        </w:pBdr>
        <w:ind w:left="708"/>
        <w:contextualSpacing/>
        <w:rPr>
          <w:i/>
          <w:sz w:val="22"/>
        </w:rPr>
      </w:pPr>
      <w:r w:rsidRPr="00DC5A44">
        <w:rPr>
          <w:b/>
          <w:i/>
          <w:sz w:val="22"/>
        </w:rPr>
        <w:t>XXIX.</w:t>
      </w:r>
      <w:r w:rsidRPr="00DC5A44">
        <w:rPr>
          <w:i/>
          <w:sz w:val="22"/>
        </w:rPr>
        <w:t xml:space="preserve"> La información sobre los procesos y resultados sobre </w:t>
      </w:r>
      <w:r w:rsidRPr="00DC5A44">
        <w:rPr>
          <w:b/>
          <w:i/>
          <w:sz w:val="22"/>
          <w:u w:val="single"/>
        </w:rPr>
        <w:t>procedimientos de adjudicación directa, invitación restringida y licitación de cualquier naturaleza, incluyendo la versión pública del expediente respectivo y de los contratos celebrados, que deberán contener, por los menos, lo siguiente:</w:t>
      </w:r>
      <w:r w:rsidRPr="00DC5A44">
        <w:rPr>
          <w:i/>
          <w:sz w:val="22"/>
        </w:rPr>
        <w:t xml:space="preserve"> </w:t>
      </w:r>
    </w:p>
    <w:p w14:paraId="049BCC07" w14:textId="77777777" w:rsidR="00DC5A44" w:rsidRDefault="00184BA7" w:rsidP="00184BA7">
      <w:pPr>
        <w:pBdr>
          <w:top w:val="nil"/>
          <w:left w:val="nil"/>
          <w:bottom w:val="nil"/>
          <w:right w:val="nil"/>
          <w:between w:val="nil"/>
        </w:pBdr>
        <w:ind w:left="708"/>
        <w:contextualSpacing/>
        <w:rPr>
          <w:i/>
          <w:sz w:val="22"/>
        </w:rPr>
      </w:pPr>
      <w:r w:rsidRPr="00DC5A44">
        <w:rPr>
          <w:i/>
          <w:sz w:val="22"/>
        </w:rPr>
        <w:t xml:space="preserve">a) De licitaciones públicas o procedimientos de invitación restringida: </w:t>
      </w:r>
    </w:p>
    <w:p w14:paraId="67EECBFB" w14:textId="77777777" w:rsidR="00DC5A44" w:rsidRDefault="00184BA7" w:rsidP="00184BA7">
      <w:pPr>
        <w:pBdr>
          <w:top w:val="nil"/>
          <w:left w:val="nil"/>
          <w:bottom w:val="nil"/>
          <w:right w:val="nil"/>
          <w:between w:val="nil"/>
        </w:pBdr>
        <w:ind w:left="708"/>
        <w:contextualSpacing/>
        <w:rPr>
          <w:i/>
          <w:sz w:val="22"/>
        </w:rPr>
      </w:pPr>
      <w:r w:rsidRPr="00DC5A44">
        <w:rPr>
          <w:i/>
          <w:sz w:val="22"/>
        </w:rPr>
        <w:t xml:space="preserve">1) La convocatoria o invitación emitida, así como los fundamentos legales aplicados para llevarla a cabo; </w:t>
      </w:r>
    </w:p>
    <w:p w14:paraId="4F14592A" w14:textId="77777777" w:rsidR="00DC5A44" w:rsidRDefault="00184BA7" w:rsidP="00184BA7">
      <w:pPr>
        <w:pBdr>
          <w:top w:val="nil"/>
          <w:left w:val="nil"/>
          <w:bottom w:val="nil"/>
          <w:right w:val="nil"/>
          <w:between w:val="nil"/>
        </w:pBdr>
        <w:ind w:left="708"/>
        <w:contextualSpacing/>
        <w:rPr>
          <w:i/>
          <w:sz w:val="22"/>
        </w:rPr>
      </w:pPr>
      <w:r w:rsidRPr="00DC5A44">
        <w:rPr>
          <w:i/>
          <w:sz w:val="22"/>
        </w:rPr>
        <w:t xml:space="preserve">2) Los nombres de los participantes o invitados; </w:t>
      </w:r>
    </w:p>
    <w:p w14:paraId="5AAD7932" w14:textId="77777777" w:rsidR="00DC5A44" w:rsidRDefault="00184BA7" w:rsidP="00184BA7">
      <w:pPr>
        <w:pBdr>
          <w:top w:val="nil"/>
          <w:left w:val="nil"/>
          <w:bottom w:val="nil"/>
          <w:right w:val="nil"/>
          <w:between w:val="nil"/>
        </w:pBdr>
        <w:ind w:left="708"/>
        <w:contextualSpacing/>
        <w:rPr>
          <w:i/>
          <w:sz w:val="22"/>
        </w:rPr>
      </w:pPr>
      <w:r w:rsidRPr="00DC5A44">
        <w:rPr>
          <w:i/>
          <w:sz w:val="22"/>
        </w:rPr>
        <w:t xml:space="preserve">3) El nombre del ganador y las razones que lo justifican; </w:t>
      </w:r>
    </w:p>
    <w:p w14:paraId="4C0F644E" w14:textId="77777777" w:rsidR="00DC5A44" w:rsidRDefault="00184BA7" w:rsidP="00184BA7">
      <w:pPr>
        <w:pBdr>
          <w:top w:val="nil"/>
          <w:left w:val="nil"/>
          <w:bottom w:val="nil"/>
          <w:right w:val="nil"/>
          <w:between w:val="nil"/>
        </w:pBdr>
        <w:ind w:left="708"/>
        <w:contextualSpacing/>
        <w:rPr>
          <w:i/>
          <w:sz w:val="22"/>
        </w:rPr>
      </w:pPr>
      <w:r w:rsidRPr="00DC5A44">
        <w:rPr>
          <w:i/>
          <w:sz w:val="22"/>
        </w:rPr>
        <w:t xml:space="preserve">4) El área solicitante y la responsable de su ejecución; </w:t>
      </w:r>
    </w:p>
    <w:p w14:paraId="0587E8D2" w14:textId="77777777" w:rsidR="00DC5A44" w:rsidRDefault="00184BA7" w:rsidP="00184BA7">
      <w:pPr>
        <w:pBdr>
          <w:top w:val="nil"/>
          <w:left w:val="nil"/>
          <w:bottom w:val="nil"/>
          <w:right w:val="nil"/>
          <w:between w:val="nil"/>
        </w:pBdr>
        <w:ind w:left="708"/>
        <w:contextualSpacing/>
        <w:rPr>
          <w:i/>
          <w:sz w:val="22"/>
        </w:rPr>
      </w:pPr>
      <w:r w:rsidRPr="00DC5A44">
        <w:rPr>
          <w:i/>
          <w:sz w:val="22"/>
        </w:rPr>
        <w:t xml:space="preserve">5) Las convocatorias e invitaciones emitidas; </w:t>
      </w:r>
    </w:p>
    <w:p w14:paraId="49FB63A8" w14:textId="77777777" w:rsidR="00DC5A44" w:rsidRDefault="00184BA7" w:rsidP="00184BA7">
      <w:pPr>
        <w:pBdr>
          <w:top w:val="nil"/>
          <w:left w:val="nil"/>
          <w:bottom w:val="nil"/>
          <w:right w:val="nil"/>
          <w:between w:val="nil"/>
        </w:pBdr>
        <w:ind w:left="708"/>
        <w:contextualSpacing/>
      </w:pPr>
      <w:r w:rsidRPr="00DC5A44">
        <w:rPr>
          <w:i/>
          <w:sz w:val="22"/>
        </w:rPr>
        <w:t>6) Los dictámenes y fallo de adjudicación;</w:t>
      </w:r>
      <w:r w:rsidR="00DC5A44" w:rsidRPr="00DC5A44">
        <w:t xml:space="preserve"> </w:t>
      </w:r>
    </w:p>
    <w:p w14:paraId="4C2AF3AE" w14:textId="77777777" w:rsidR="00DC5A44" w:rsidRDefault="00DC5A44" w:rsidP="00184BA7">
      <w:pPr>
        <w:pBdr>
          <w:top w:val="nil"/>
          <w:left w:val="nil"/>
          <w:bottom w:val="nil"/>
          <w:right w:val="nil"/>
          <w:between w:val="nil"/>
        </w:pBdr>
        <w:ind w:left="708"/>
        <w:contextualSpacing/>
        <w:rPr>
          <w:i/>
          <w:sz w:val="22"/>
        </w:rPr>
      </w:pPr>
      <w:r w:rsidRPr="00DC5A44">
        <w:rPr>
          <w:i/>
          <w:sz w:val="22"/>
        </w:rPr>
        <w:t>7) El contrato y, en su caso, sus anexos;</w:t>
      </w:r>
    </w:p>
    <w:p w14:paraId="26D33746" w14:textId="77777777" w:rsidR="00DC5A44" w:rsidRDefault="00DC5A44" w:rsidP="00184BA7">
      <w:pPr>
        <w:pBdr>
          <w:top w:val="nil"/>
          <w:left w:val="nil"/>
          <w:bottom w:val="nil"/>
          <w:right w:val="nil"/>
          <w:between w:val="nil"/>
        </w:pBdr>
        <w:ind w:left="708"/>
        <w:contextualSpacing/>
        <w:rPr>
          <w:i/>
          <w:sz w:val="22"/>
        </w:rPr>
      </w:pPr>
      <w:r w:rsidRPr="00DC5A44">
        <w:rPr>
          <w:i/>
          <w:sz w:val="22"/>
        </w:rPr>
        <w:lastRenderedPageBreak/>
        <w:t xml:space="preserve"> 8) Los mecanismos de vigilancia y supervisión, incluyendo en su caso, los estudios de impacto urbano y ambiental, según corresponda; </w:t>
      </w:r>
    </w:p>
    <w:p w14:paraId="0FFC42D6" w14:textId="77777777" w:rsidR="00DC5A44" w:rsidRDefault="00DC5A44" w:rsidP="00184BA7">
      <w:pPr>
        <w:pBdr>
          <w:top w:val="nil"/>
          <w:left w:val="nil"/>
          <w:bottom w:val="nil"/>
          <w:right w:val="nil"/>
          <w:between w:val="nil"/>
        </w:pBdr>
        <w:ind w:left="708"/>
        <w:contextualSpacing/>
        <w:rPr>
          <w:i/>
          <w:sz w:val="22"/>
        </w:rPr>
      </w:pPr>
      <w:r w:rsidRPr="00DC5A44">
        <w:rPr>
          <w:i/>
          <w:sz w:val="22"/>
        </w:rPr>
        <w:t xml:space="preserve">9) La partida presupuestal, de conformidad con el clasificador por objeto del gasto, en el caso de ser aplicable; </w:t>
      </w:r>
    </w:p>
    <w:p w14:paraId="5B9CCD61" w14:textId="77777777" w:rsidR="00DC5A44" w:rsidRDefault="00DC5A44" w:rsidP="00184BA7">
      <w:pPr>
        <w:pBdr>
          <w:top w:val="nil"/>
          <w:left w:val="nil"/>
          <w:bottom w:val="nil"/>
          <w:right w:val="nil"/>
          <w:between w:val="nil"/>
        </w:pBdr>
        <w:ind w:left="708"/>
        <w:contextualSpacing/>
        <w:rPr>
          <w:i/>
          <w:sz w:val="22"/>
        </w:rPr>
      </w:pPr>
      <w:r w:rsidRPr="00DC5A44">
        <w:rPr>
          <w:i/>
          <w:sz w:val="22"/>
        </w:rPr>
        <w:t xml:space="preserve">10) Origen de los recursos especificando si son federales, estatales o municipales, así como el tipo de fondo de participación o aportación respectiva; </w:t>
      </w:r>
    </w:p>
    <w:p w14:paraId="297FE093" w14:textId="77777777" w:rsidR="00DC5A44" w:rsidRDefault="00DC5A44" w:rsidP="00184BA7">
      <w:pPr>
        <w:pBdr>
          <w:top w:val="nil"/>
          <w:left w:val="nil"/>
          <w:bottom w:val="nil"/>
          <w:right w:val="nil"/>
          <w:between w:val="nil"/>
        </w:pBdr>
        <w:ind w:left="708"/>
        <w:contextualSpacing/>
        <w:rPr>
          <w:i/>
          <w:sz w:val="22"/>
        </w:rPr>
      </w:pPr>
      <w:r w:rsidRPr="00DC5A44">
        <w:rPr>
          <w:i/>
          <w:sz w:val="22"/>
        </w:rPr>
        <w:t xml:space="preserve">11) Los convenios modificatorios que, en su caso, sean firmados, precisando el objeto y la fecha de celebración; </w:t>
      </w:r>
    </w:p>
    <w:p w14:paraId="29D7352E" w14:textId="77777777" w:rsidR="00DC5A44" w:rsidRDefault="00DC5A44" w:rsidP="00184BA7">
      <w:pPr>
        <w:pBdr>
          <w:top w:val="nil"/>
          <w:left w:val="nil"/>
          <w:bottom w:val="nil"/>
          <w:right w:val="nil"/>
          <w:between w:val="nil"/>
        </w:pBdr>
        <w:ind w:left="708"/>
        <w:contextualSpacing/>
        <w:rPr>
          <w:i/>
          <w:sz w:val="22"/>
        </w:rPr>
      </w:pPr>
      <w:r w:rsidRPr="00DC5A44">
        <w:rPr>
          <w:i/>
          <w:sz w:val="22"/>
        </w:rPr>
        <w:t xml:space="preserve">12) Los informes de avance físico y financiero sobre las obras o servicios contratados; </w:t>
      </w:r>
    </w:p>
    <w:p w14:paraId="401FEE04" w14:textId="77777777" w:rsidR="00DC5A44" w:rsidRDefault="00DC5A44" w:rsidP="00184BA7">
      <w:pPr>
        <w:pBdr>
          <w:top w:val="nil"/>
          <w:left w:val="nil"/>
          <w:bottom w:val="nil"/>
          <w:right w:val="nil"/>
          <w:between w:val="nil"/>
        </w:pBdr>
        <w:ind w:left="708"/>
        <w:contextualSpacing/>
        <w:rPr>
          <w:i/>
          <w:sz w:val="22"/>
        </w:rPr>
      </w:pPr>
      <w:r w:rsidRPr="00DC5A44">
        <w:rPr>
          <w:i/>
          <w:sz w:val="22"/>
        </w:rPr>
        <w:t xml:space="preserve">13) El convenio de terminación; y </w:t>
      </w:r>
    </w:p>
    <w:p w14:paraId="23FAF429" w14:textId="77777777" w:rsidR="00DC5A44" w:rsidRDefault="00DC5A44" w:rsidP="00DC5A44">
      <w:pPr>
        <w:pBdr>
          <w:top w:val="nil"/>
          <w:left w:val="nil"/>
          <w:bottom w:val="nil"/>
          <w:right w:val="nil"/>
          <w:between w:val="nil"/>
        </w:pBdr>
        <w:tabs>
          <w:tab w:val="left" w:pos="2805"/>
        </w:tabs>
        <w:ind w:left="708"/>
        <w:contextualSpacing/>
        <w:rPr>
          <w:i/>
          <w:sz w:val="22"/>
        </w:rPr>
      </w:pPr>
      <w:r w:rsidRPr="00DC5A44">
        <w:rPr>
          <w:i/>
          <w:sz w:val="22"/>
        </w:rPr>
        <w:t xml:space="preserve">14) El finiquito. </w:t>
      </w:r>
      <w:r>
        <w:rPr>
          <w:i/>
          <w:sz w:val="22"/>
        </w:rPr>
        <w:tab/>
      </w:r>
    </w:p>
    <w:p w14:paraId="6D75812A" w14:textId="77777777" w:rsidR="00DC5A44" w:rsidRDefault="00DC5A44" w:rsidP="00184BA7">
      <w:pPr>
        <w:pBdr>
          <w:top w:val="nil"/>
          <w:left w:val="nil"/>
          <w:bottom w:val="nil"/>
          <w:right w:val="nil"/>
          <w:between w:val="nil"/>
        </w:pBdr>
        <w:ind w:left="708"/>
        <w:contextualSpacing/>
        <w:rPr>
          <w:i/>
          <w:sz w:val="22"/>
        </w:rPr>
      </w:pPr>
      <w:r w:rsidRPr="00DC5A44">
        <w:rPr>
          <w:b/>
          <w:i/>
          <w:sz w:val="22"/>
        </w:rPr>
        <w:t>b) De las adjudicaciones directas</w:t>
      </w:r>
      <w:r w:rsidRPr="00DC5A44">
        <w:rPr>
          <w:i/>
          <w:sz w:val="22"/>
        </w:rPr>
        <w:t xml:space="preserve">: </w:t>
      </w:r>
    </w:p>
    <w:p w14:paraId="4FE911E8" w14:textId="77777777" w:rsidR="00DC5A44" w:rsidRDefault="00DC5A44" w:rsidP="00184BA7">
      <w:pPr>
        <w:pBdr>
          <w:top w:val="nil"/>
          <w:left w:val="nil"/>
          <w:bottom w:val="nil"/>
          <w:right w:val="nil"/>
          <w:between w:val="nil"/>
        </w:pBdr>
        <w:ind w:left="708"/>
        <w:contextualSpacing/>
        <w:rPr>
          <w:i/>
          <w:sz w:val="22"/>
        </w:rPr>
      </w:pPr>
      <w:r w:rsidRPr="00DC5A44">
        <w:rPr>
          <w:i/>
          <w:sz w:val="22"/>
        </w:rPr>
        <w:t xml:space="preserve">1) La propuesta enviada por el participante; </w:t>
      </w:r>
    </w:p>
    <w:p w14:paraId="3B60CF9E" w14:textId="77777777" w:rsidR="00DC5A44" w:rsidRDefault="00DC5A44" w:rsidP="00184BA7">
      <w:pPr>
        <w:pBdr>
          <w:top w:val="nil"/>
          <w:left w:val="nil"/>
          <w:bottom w:val="nil"/>
          <w:right w:val="nil"/>
          <w:between w:val="nil"/>
        </w:pBdr>
        <w:ind w:left="708"/>
        <w:contextualSpacing/>
        <w:rPr>
          <w:i/>
          <w:sz w:val="22"/>
        </w:rPr>
      </w:pPr>
      <w:r w:rsidRPr="00DC5A44">
        <w:rPr>
          <w:i/>
          <w:sz w:val="22"/>
        </w:rPr>
        <w:t xml:space="preserve">2) Los motivos y fundamentos legales aplicados para llevarla a cabo; </w:t>
      </w:r>
    </w:p>
    <w:p w14:paraId="0C09AE2D" w14:textId="77777777" w:rsidR="00DC5A44" w:rsidRDefault="00DC5A44" w:rsidP="00184BA7">
      <w:pPr>
        <w:pBdr>
          <w:top w:val="nil"/>
          <w:left w:val="nil"/>
          <w:bottom w:val="nil"/>
          <w:right w:val="nil"/>
          <w:between w:val="nil"/>
        </w:pBdr>
        <w:ind w:left="708"/>
        <w:contextualSpacing/>
        <w:rPr>
          <w:i/>
          <w:sz w:val="22"/>
        </w:rPr>
      </w:pPr>
      <w:r w:rsidRPr="00DC5A44">
        <w:rPr>
          <w:i/>
          <w:sz w:val="22"/>
        </w:rPr>
        <w:t xml:space="preserve">3) La autorización del ejercicio de la opción; </w:t>
      </w:r>
    </w:p>
    <w:p w14:paraId="6A6BBCA7" w14:textId="77777777" w:rsidR="00DC5A44" w:rsidRDefault="00DC5A44" w:rsidP="00184BA7">
      <w:pPr>
        <w:pBdr>
          <w:top w:val="nil"/>
          <w:left w:val="nil"/>
          <w:bottom w:val="nil"/>
          <w:right w:val="nil"/>
          <w:between w:val="nil"/>
        </w:pBdr>
        <w:ind w:left="708"/>
        <w:contextualSpacing/>
        <w:rPr>
          <w:i/>
          <w:sz w:val="22"/>
        </w:rPr>
      </w:pPr>
      <w:r w:rsidRPr="00DC5A44">
        <w:rPr>
          <w:i/>
          <w:sz w:val="22"/>
        </w:rPr>
        <w:t xml:space="preserve">4) En su caso, las cotizaciones consideradas, especificando los nombres de los proveedores y sus montos; </w:t>
      </w:r>
    </w:p>
    <w:p w14:paraId="4231375F" w14:textId="77777777" w:rsidR="00DC5A44" w:rsidRDefault="00DC5A44" w:rsidP="00184BA7">
      <w:pPr>
        <w:pBdr>
          <w:top w:val="nil"/>
          <w:left w:val="nil"/>
          <w:bottom w:val="nil"/>
          <w:right w:val="nil"/>
          <w:between w:val="nil"/>
        </w:pBdr>
        <w:ind w:left="708"/>
        <w:contextualSpacing/>
        <w:rPr>
          <w:i/>
          <w:sz w:val="22"/>
        </w:rPr>
      </w:pPr>
      <w:r w:rsidRPr="00DC5A44">
        <w:rPr>
          <w:i/>
          <w:sz w:val="22"/>
        </w:rPr>
        <w:t>5) El nombre de la persona física o jurídica colectiva adjudicada; 6) La unidad administrativa solicitante y la responsable de su ejecución;</w:t>
      </w:r>
    </w:p>
    <w:p w14:paraId="75261625" w14:textId="77777777" w:rsidR="00DC5A44" w:rsidRDefault="00DC5A44" w:rsidP="00184BA7">
      <w:pPr>
        <w:pBdr>
          <w:top w:val="nil"/>
          <w:left w:val="nil"/>
          <w:bottom w:val="nil"/>
          <w:right w:val="nil"/>
          <w:between w:val="nil"/>
        </w:pBdr>
        <w:ind w:left="708"/>
        <w:contextualSpacing/>
        <w:rPr>
          <w:i/>
          <w:sz w:val="22"/>
        </w:rPr>
      </w:pPr>
      <w:r w:rsidRPr="00DC5A44">
        <w:rPr>
          <w:i/>
          <w:sz w:val="22"/>
        </w:rPr>
        <w:t xml:space="preserve"> 7) El número, fecha, el monto del contrato y el plazo de entrega o de ejecución de los servicios u obra; </w:t>
      </w:r>
    </w:p>
    <w:p w14:paraId="512C7317" w14:textId="77777777" w:rsidR="00DC5A44" w:rsidRDefault="00DC5A44" w:rsidP="00184BA7">
      <w:pPr>
        <w:pBdr>
          <w:top w:val="nil"/>
          <w:left w:val="nil"/>
          <w:bottom w:val="nil"/>
          <w:right w:val="nil"/>
          <w:between w:val="nil"/>
        </w:pBdr>
        <w:ind w:left="708"/>
        <w:contextualSpacing/>
        <w:rPr>
          <w:i/>
          <w:sz w:val="22"/>
        </w:rPr>
      </w:pPr>
      <w:r w:rsidRPr="00DC5A44">
        <w:rPr>
          <w:i/>
          <w:sz w:val="22"/>
        </w:rPr>
        <w:t xml:space="preserve">8) Los mecanismos de vigilancia y supervisión, incluyendo, en su caso, los estudios de impacto urbano y ambiental, según corresponda; </w:t>
      </w:r>
    </w:p>
    <w:p w14:paraId="314817B1" w14:textId="77777777" w:rsidR="00DC5A44" w:rsidRDefault="00DC5A44" w:rsidP="00184BA7">
      <w:pPr>
        <w:pBdr>
          <w:top w:val="nil"/>
          <w:left w:val="nil"/>
          <w:bottom w:val="nil"/>
          <w:right w:val="nil"/>
          <w:between w:val="nil"/>
        </w:pBdr>
        <w:ind w:left="708"/>
        <w:contextualSpacing/>
        <w:rPr>
          <w:i/>
          <w:sz w:val="22"/>
        </w:rPr>
      </w:pPr>
      <w:r w:rsidRPr="00DC5A44">
        <w:rPr>
          <w:i/>
          <w:sz w:val="22"/>
        </w:rPr>
        <w:t xml:space="preserve">9) Los informes de avance sobre las obras o servicios contratados; </w:t>
      </w:r>
    </w:p>
    <w:p w14:paraId="35C1AF14" w14:textId="77777777" w:rsidR="00DC5A44" w:rsidRDefault="00DC5A44" w:rsidP="00184BA7">
      <w:pPr>
        <w:pBdr>
          <w:top w:val="nil"/>
          <w:left w:val="nil"/>
          <w:bottom w:val="nil"/>
          <w:right w:val="nil"/>
          <w:between w:val="nil"/>
        </w:pBdr>
        <w:ind w:left="708"/>
        <w:contextualSpacing/>
        <w:rPr>
          <w:i/>
          <w:sz w:val="22"/>
        </w:rPr>
      </w:pPr>
      <w:r w:rsidRPr="00DC5A44">
        <w:rPr>
          <w:i/>
          <w:sz w:val="22"/>
        </w:rPr>
        <w:t xml:space="preserve">10) El convenio de terminación; y </w:t>
      </w:r>
    </w:p>
    <w:p w14:paraId="62665A92" w14:textId="77777777" w:rsidR="00184BA7" w:rsidRDefault="00DC5A44" w:rsidP="00184BA7">
      <w:pPr>
        <w:pBdr>
          <w:top w:val="nil"/>
          <w:left w:val="nil"/>
          <w:bottom w:val="nil"/>
          <w:right w:val="nil"/>
          <w:between w:val="nil"/>
        </w:pBdr>
        <w:ind w:left="708"/>
        <w:contextualSpacing/>
        <w:rPr>
          <w:i/>
          <w:sz w:val="22"/>
        </w:rPr>
      </w:pPr>
      <w:r w:rsidRPr="00DC5A44">
        <w:rPr>
          <w:i/>
          <w:sz w:val="22"/>
        </w:rPr>
        <w:t>11) El finiquito.;</w:t>
      </w:r>
    </w:p>
    <w:p w14:paraId="0BAD77BF" w14:textId="77777777" w:rsidR="00DC5A44" w:rsidRPr="00DC5A44" w:rsidRDefault="00DC5A44" w:rsidP="00184BA7">
      <w:pPr>
        <w:pBdr>
          <w:top w:val="nil"/>
          <w:left w:val="nil"/>
          <w:bottom w:val="nil"/>
          <w:right w:val="nil"/>
          <w:between w:val="nil"/>
        </w:pBdr>
        <w:ind w:left="708"/>
        <w:contextualSpacing/>
        <w:rPr>
          <w:i/>
          <w:sz w:val="22"/>
        </w:rPr>
      </w:pPr>
    </w:p>
    <w:p w14:paraId="18D792A9" w14:textId="77777777" w:rsidR="00184BA7" w:rsidRPr="00DC5A44" w:rsidRDefault="00DC5A44" w:rsidP="00DC5A44">
      <w:pPr>
        <w:pBdr>
          <w:top w:val="nil"/>
          <w:left w:val="nil"/>
          <w:bottom w:val="nil"/>
          <w:right w:val="nil"/>
          <w:between w:val="nil"/>
        </w:pBdr>
        <w:ind w:left="708"/>
        <w:contextualSpacing/>
        <w:rPr>
          <w:b/>
          <w:i/>
          <w:sz w:val="22"/>
          <w:u w:val="single"/>
        </w:rPr>
      </w:pPr>
      <w:r w:rsidRPr="00DC5A44">
        <w:rPr>
          <w:i/>
          <w:sz w:val="22"/>
        </w:rPr>
        <w:t xml:space="preserve">XXXII. Las concesiones, </w:t>
      </w:r>
      <w:r w:rsidRPr="00DC5A44">
        <w:rPr>
          <w:b/>
          <w:i/>
          <w:sz w:val="22"/>
          <w:u w:val="single"/>
        </w:rPr>
        <w:t>contratos,</w:t>
      </w:r>
      <w:r w:rsidRPr="00DC5A44">
        <w:rPr>
          <w:i/>
          <w:sz w:val="22"/>
        </w:rPr>
        <w:t xml:space="preserve"> convenios, permisos, licencias o autorizaciones otorgados, </w:t>
      </w:r>
      <w:r w:rsidRPr="00DC5A44">
        <w:rPr>
          <w:b/>
          <w:i/>
          <w:sz w:val="22"/>
          <w:u w:val="single"/>
        </w:rPr>
        <w:t>especificando los titulares de aquéllos, debiendo publicarse su objeto, nombre o razón social del titular, vigencia, tipo, términos, condiciones, monto y modificaciones, así como si el procedimiento involucra el aprovechamiento de bienes, servicios y/o recursos públicos;</w:t>
      </w:r>
      <w:r w:rsidR="003C3DED">
        <w:rPr>
          <w:b/>
          <w:i/>
          <w:sz w:val="22"/>
          <w:u w:val="single"/>
        </w:rPr>
        <w:t>”</w:t>
      </w:r>
    </w:p>
    <w:p w14:paraId="212220AF" w14:textId="77777777" w:rsidR="00184BA7" w:rsidRDefault="00184BA7" w:rsidP="00EC408A">
      <w:pPr>
        <w:pBdr>
          <w:top w:val="nil"/>
          <w:left w:val="nil"/>
          <w:bottom w:val="nil"/>
          <w:right w:val="nil"/>
          <w:between w:val="nil"/>
        </w:pBdr>
        <w:contextualSpacing/>
      </w:pPr>
    </w:p>
    <w:p w14:paraId="354C9166" w14:textId="77777777" w:rsidR="00DC5A44" w:rsidRDefault="00DC5A44" w:rsidP="00EC408A">
      <w:pPr>
        <w:pBdr>
          <w:top w:val="nil"/>
          <w:left w:val="nil"/>
          <w:bottom w:val="nil"/>
          <w:right w:val="nil"/>
          <w:between w:val="nil"/>
        </w:pBdr>
        <w:contextualSpacing/>
      </w:pPr>
      <w:r>
        <w:t xml:space="preserve">Robustece lo anterior, lo estipulado en los artículos 87, 93 y 95, fracciones I, IV, V, XVI y XVII de la Ley Orgánica Municipal del Estado de México; porciones normativas que disponen a la literalidad lo siguiente: </w:t>
      </w:r>
    </w:p>
    <w:p w14:paraId="5572B5E5" w14:textId="77777777" w:rsidR="00DC5A44" w:rsidRPr="00DC5A44" w:rsidRDefault="00DC5A44" w:rsidP="00EC408A">
      <w:pPr>
        <w:pBdr>
          <w:top w:val="nil"/>
          <w:left w:val="nil"/>
          <w:bottom w:val="nil"/>
          <w:right w:val="nil"/>
          <w:between w:val="nil"/>
        </w:pBdr>
        <w:contextualSpacing/>
        <w:rPr>
          <w:b/>
        </w:rPr>
      </w:pPr>
    </w:p>
    <w:p w14:paraId="2CB8E2BE" w14:textId="77777777" w:rsidR="00DC5A44" w:rsidRPr="00DC5A44" w:rsidRDefault="00DC5A44" w:rsidP="00DC5A44">
      <w:pPr>
        <w:pBdr>
          <w:top w:val="nil"/>
          <w:left w:val="nil"/>
          <w:bottom w:val="nil"/>
          <w:right w:val="nil"/>
          <w:between w:val="nil"/>
        </w:pBdr>
        <w:ind w:left="708"/>
        <w:contextualSpacing/>
        <w:jc w:val="center"/>
        <w:rPr>
          <w:b/>
          <w:i/>
          <w:sz w:val="22"/>
        </w:rPr>
      </w:pPr>
      <w:r w:rsidRPr="00DC5A44">
        <w:rPr>
          <w:b/>
          <w:i/>
          <w:sz w:val="22"/>
        </w:rPr>
        <w:t>“LEY ORGÁNICA MUNICIPAL DEL ESTADO DE MÉXICO</w:t>
      </w:r>
    </w:p>
    <w:p w14:paraId="4BDF509D" w14:textId="77777777" w:rsidR="00DC5A44" w:rsidRPr="00DC5A44" w:rsidRDefault="00DC5A44" w:rsidP="00DC5A44">
      <w:pPr>
        <w:pBdr>
          <w:top w:val="nil"/>
          <w:left w:val="nil"/>
          <w:bottom w:val="nil"/>
          <w:right w:val="nil"/>
          <w:between w:val="nil"/>
        </w:pBdr>
        <w:ind w:left="708"/>
        <w:contextualSpacing/>
        <w:rPr>
          <w:i/>
          <w:sz w:val="22"/>
        </w:rPr>
      </w:pPr>
      <w:r w:rsidRPr="00DC5A44">
        <w:rPr>
          <w:b/>
          <w:i/>
          <w:sz w:val="22"/>
        </w:rPr>
        <w:t>Artículo 87</w:t>
      </w:r>
      <w:r w:rsidRPr="00DC5A44">
        <w:rPr>
          <w:i/>
          <w:sz w:val="22"/>
        </w:rPr>
        <w:t xml:space="preserve">.- Para el despacho, estudio y planeación de los diversos asuntos de la administración municipal, el ayuntamiento contará por lo menos con las siguientes Dependencias: </w:t>
      </w:r>
    </w:p>
    <w:p w14:paraId="51247CB6" w14:textId="77777777" w:rsidR="00DC5A44" w:rsidRPr="00DC5A44" w:rsidRDefault="00DC5A44" w:rsidP="00DC5A44">
      <w:pPr>
        <w:pStyle w:val="Prrafodelista"/>
        <w:numPr>
          <w:ilvl w:val="0"/>
          <w:numId w:val="11"/>
        </w:numPr>
        <w:pBdr>
          <w:top w:val="nil"/>
          <w:left w:val="nil"/>
          <w:bottom w:val="nil"/>
          <w:right w:val="nil"/>
          <w:between w:val="nil"/>
        </w:pBdr>
        <w:contextualSpacing/>
        <w:rPr>
          <w:i/>
          <w:sz w:val="22"/>
          <w:szCs w:val="22"/>
        </w:rPr>
      </w:pPr>
      <w:r w:rsidRPr="00DC5A44">
        <w:rPr>
          <w:i/>
          <w:sz w:val="22"/>
          <w:szCs w:val="22"/>
        </w:rPr>
        <w:t xml:space="preserve">La secretaría del ayuntamiento; </w:t>
      </w:r>
    </w:p>
    <w:p w14:paraId="7FD13E9C" w14:textId="77777777" w:rsidR="00DC5A44" w:rsidRPr="00DC5A44" w:rsidRDefault="00DC5A44" w:rsidP="00DC5A44">
      <w:pPr>
        <w:pStyle w:val="Prrafodelista"/>
        <w:numPr>
          <w:ilvl w:val="0"/>
          <w:numId w:val="11"/>
        </w:numPr>
        <w:pBdr>
          <w:top w:val="nil"/>
          <w:left w:val="nil"/>
          <w:bottom w:val="nil"/>
          <w:right w:val="nil"/>
          <w:between w:val="nil"/>
        </w:pBdr>
        <w:contextualSpacing/>
        <w:rPr>
          <w:i/>
          <w:sz w:val="22"/>
          <w:szCs w:val="22"/>
          <w:u w:val="single"/>
        </w:rPr>
      </w:pPr>
      <w:r w:rsidRPr="00DC5A44">
        <w:rPr>
          <w:i/>
          <w:sz w:val="22"/>
          <w:szCs w:val="22"/>
          <w:u w:val="single"/>
        </w:rPr>
        <w:t>La tesorería municipal.</w:t>
      </w:r>
    </w:p>
    <w:p w14:paraId="195BE77A" w14:textId="77777777" w:rsidR="00DC5A44" w:rsidRPr="00DC5A44" w:rsidRDefault="00DC5A44" w:rsidP="00DC5A44">
      <w:pPr>
        <w:pStyle w:val="Prrafodelista"/>
        <w:numPr>
          <w:ilvl w:val="0"/>
          <w:numId w:val="11"/>
        </w:numPr>
        <w:pBdr>
          <w:top w:val="nil"/>
          <w:left w:val="nil"/>
          <w:bottom w:val="nil"/>
          <w:right w:val="nil"/>
          <w:between w:val="nil"/>
        </w:pBdr>
        <w:contextualSpacing/>
        <w:rPr>
          <w:i/>
          <w:sz w:val="22"/>
          <w:szCs w:val="22"/>
        </w:rPr>
      </w:pPr>
      <w:r w:rsidRPr="00DC5A44">
        <w:rPr>
          <w:i/>
          <w:sz w:val="22"/>
          <w:szCs w:val="22"/>
        </w:rPr>
        <w:t>La Dirección de Obras Públicas o equivalente.</w:t>
      </w:r>
    </w:p>
    <w:p w14:paraId="75CBF016" w14:textId="77777777" w:rsidR="00DC5A44" w:rsidRPr="00DC5A44" w:rsidRDefault="00DC5A44" w:rsidP="00DC5A44">
      <w:pPr>
        <w:pStyle w:val="Prrafodelista"/>
        <w:numPr>
          <w:ilvl w:val="0"/>
          <w:numId w:val="11"/>
        </w:numPr>
        <w:pBdr>
          <w:top w:val="nil"/>
          <w:left w:val="nil"/>
          <w:bottom w:val="nil"/>
          <w:right w:val="nil"/>
          <w:between w:val="nil"/>
        </w:pBdr>
        <w:contextualSpacing/>
        <w:rPr>
          <w:i/>
          <w:sz w:val="22"/>
          <w:szCs w:val="22"/>
        </w:rPr>
      </w:pPr>
      <w:r w:rsidRPr="00DC5A44">
        <w:rPr>
          <w:i/>
          <w:sz w:val="22"/>
          <w:szCs w:val="22"/>
        </w:rPr>
        <w:t xml:space="preserve">La Dirección de Desarrollo Económico o equivalente. </w:t>
      </w:r>
    </w:p>
    <w:p w14:paraId="2BC661BF" w14:textId="77777777" w:rsidR="00DC5A44" w:rsidRPr="00DC5A44" w:rsidRDefault="00DC5A44" w:rsidP="00DC5A44">
      <w:pPr>
        <w:pStyle w:val="Prrafodelista"/>
        <w:numPr>
          <w:ilvl w:val="0"/>
          <w:numId w:val="11"/>
        </w:numPr>
        <w:pBdr>
          <w:top w:val="nil"/>
          <w:left w:val="nil"/>
          <w:bottom w:val="nil"/>
          <w:right w:val="nil"/>
          <w:between w:val="nil"/>
        </w:pBdr>
        <w:contextualSpacing/>
        <w:rPr>
          <w:i/>
          <w:sz w:val="22"/>
          <w:szCs w:val="22"/>
        </w:rPr>
      </w:pPr>
      <w:r w:rsidRPr="00DC5A44">
        <w:rPr>
          <w:i/>
          <w:sz w:val="22"/>
          <w:szCs w:val="22"/>
        </w:rPr>
        <w:t>La Dirección de Desarrollo Urbano o equivalente;</w:t>
      </w:r>
    </w:p>
    <w:p w14:paraId="74A0A9A3" w14:textId="77777777" w:rsidR="00DC5A44" w:rsidRPr="00DC5A44" w:rsidRDefault="00DC5A44" w:rsidP="00DC5A44">
      <w:pPr>
        <w:pStyle w:val="Prrafodelista"/>
        <w:numPr>
          <w:ilvl w:val="0"/>
          <w:numId w:val="11"/>
        </w:numPr>
        <w:pBdr>
          <w:top w:val="nil"/>
          <w:left w:val="nil"/>
          <w:bottom w:val="nil"/>
          <w:right w:val="nil"/>
          <w:between w:val="nil"/>
        </w:pBdr>
        <w:contextualSpacing/>
        <w:rPr>
          <w:i/>
          <w:sz w:val="22"/>
          <w:szCs w:val="22"/>
        </w:rPr>
      </w:pPr>
      <w:r w:rsidRPr="00DC5A44">
        <w:rPr>
          <w:i/>
          <w:sz w:val="22"/>
          <w:szCs w:val="22"/>
        </w:rPr>
        <w:t xml:space="preserve"> La Dirección de Ecología o equivalente.</w:t>
      </w:r>
    </w:p>
    <w:p w14:paraId="5298B678" w14:textId="77777777" w:rsidR="00DC5A44" w:rsidRPr="00DC5A44" w:rsidRDefault="00DC5A44" w:rsidP="00DC5A44">
      <w:pPr>
        <w:pStyle w:val="Prrafodelista"/>
        <w:numPr>
          <w:ilvl w:val="0"/>
          <w:numId w:val="11"/>
        </w:numPr>
        <w:pBdr>
          <w:top w:val="nil"/>
          <w:left w:val="nil"/>
          <w:bottom w:val="nil"/>
          <w:right w:val="nil"/>
          <w:between w:val="nil"/>
        </w:pBdr>
        <w:contextualSpacing/>
        <w:rPr>
          <w:i/>
          <w:sz w:val="22"/>
          <w:szCs w:val="22"/>
        </w:rPr>
      </w:pPr>
      <w:r w:rsidRPr="00DC5A44">
        <w:rPr>
          <w:i/>
          <w:sz w:val="22"/>
          <w:szCs w:val="22"/>
        </w:rPr>
        <w:t>La Dirección de Desarrollo Social o equivalente.</w:t>
      </w:r>
    </w:p>
    <w:p w14:paraId="479CF4EE" w14:textId="77777777" w:rsidR="00DC5A44" w:rsidRPr="00DC5A44" w:rsidRDefault="00DC5A44" w:rsidP="00DC5A44">
      <w:pPr>
        <w:pStyle w:val="Prrafodelista"/>
        <w:numPr>
          <w:ilvl w:val="0"/>
          <w:numId w:val="11"/>
        </w:numPr>
        <w:pBdr>
          <w:top w:val="nil"/>
          <w:left w:val="nil"/>
          <w:bottom w:val="nil"/>
          <w:right w:val="nil"/>
          <w:between w:val="nil"/>
        </w:pBdr>
        <w:contextualSpacing/>
        <w:rPr>
          <w:i/>
          <w:sz w:val="22"/>
          <w:szCs w:val="22"/>
        </w:rPr>
      </w:pPr>
      <w:r w:rsidRPr="00DC5A44">
        <w:rPr>
          <w:i/>
          <w:sz w:val="22"/>
          <w:szCs w:val="22"/>
        </w:rPr>
        <w:t xml:space="preserve"> La Coordinación Municipal de Protección Civil o equivalente.</w:t>
      </w:r>
    </w:p>
    <w:p w14:paraId="6B6D3868" w14:textId="77777777" w:rsidR="00DC5A44" w:rsidRPr="00DC5A44" w:rsidRDefault="00DC5A44" w:rsidP="00DC5A44">
      <w:pPr>
        <w:pStyle w:val="Prrafodelista"/>
        <w:numPr>
          <w:ilvl w:val="0"/>
          <w:numId w:val="11"/>
        </w:numPr>
        <w:pBdr>
          <w:top w:val="nil"/>
          <w:left w:val="nil"/>
          <w:bottom w:val="nil"/>
          <w:right w:val="nil"/>
          <w:between w:val="nil"/>
        </w:pBdr>
        <w:contextualSpacing/>
        <w:rPr>
          <w:i/>
          <w:sz w:val="22"/>
          <w:szCs w:val="22"/>
        </w:rPr>
      </w:pPr>
      <w:r w:rsidRPr="00DC5A44">
        <w:rPr>
          <w:i/>
          <w:sz w:val="22"/>
          <w:szCs w:val="22"/>
        </w:rPr>
        <w:t>La Dirección de las Mujeres o equivalente.”</w:t>
      </w:r>
    </w:p>
    <w:p w14:paraId="5819E7D7" w14:textId="77777777" w:rsidR="00DC5A44" w:rsidRDefault="00DC5A44" w:rsidP="00DC5A44">
      <w:pPr>
        <w:pBdr>
          <w:top w:val="nil"/>
          <w:left w:val="nil"/>
          <w:bottom w:val="nil"/>
          <w:right w:val="nil"/>
          <w:between w:val="nil"/>
        </w:pBdr>
        <w:ind w:left="708"/>
        <w:contextualSpacing/>
        <w:rPr>
          <w:i/>
        </w:rPr>
      </w:pPr>
    </w:p>
    <w:p w14:paraId="74DFF8E5" w14:textId="77777777" w:rsidR="00DC5A44" w:rsidRDefault="003C3DED" w:rsidP="005A23A8">
      <w:pPr>
        <w:pBdr>
          <w:top w:val="nil"/>
          <w:left w:val="nil"/>
          <w:bottom w:val="nil"/>
          <w:right w:val="nil"/>
          <w:between w:val="nil"/>
        </w:pBdr>
        <w:ind w:left="708"/>
        <w:contextualSpacing/>
        <w:rPr>
          <w:i/>
          <w:sz w:val="22"/>
        </w:rPr>
      </w:pPr>
      <w:r>
        <w:rPr>
          <w:b/>
          <w:i/>
          <w:sz w:val="22"/>
        </w:rPr>
        <w:lastRenderedPageBreak/>
        <w:t>“</w:t>
      </w:r>
      <w:r w:rsidR="00DC5A44" w:rsidRPr="003C3DED">
        <w:rPr>
          <w:b/>
          <w:i/>
          <w:sz w:val="22"/>
        </w:rPr>
        <w:t>Artículo 93.-</w:t>
      </w:r>
      <w:r w:rsidR="00DC5A44" w:rsidRPr="00DC5A44">
        <w:rPr>
          <w:i/>
          <w:sz w:val="22"/>
        </w:rPr>
        <w:t xml:space="preserve"> </w:t>
      </w:r>
      <w:r w:rsidR="00DC5A44" w:rsidRPr="005A23A8">
        <w:rPr>
          <w:b/>
          <w:i/>
          <w:sz w:val="22"/>
        </w:rPr>
        <w:t>La tesorería municipal es el órgano encargado de la recaudación de los ingresos municipales y responsable de realizar las erogaciones que haga el ayuntamiento.</w:t>
      </w:r>
      <w:r w:rsidRPr="005A23A8">
        <w:rPr>
          <w:b/>
          <w:i/>
          <w:sz w:val="22"/>
        </w:rPr>
        <w:t>”</w:t>
      </w:r>
    </w:p>
    <w:p w14:paraId="4F5C6892" w14:textId="77777777" w:rsidR="00DC5A44" w:rsidRDefault="00DC5A44" w:rsidP="00DC5A44">
      <w:pPr>
        <w:pBdr>
          <w:top w:val="nil"/>
          <w:left w:val="nil"/>
          <w:bottom w:val="nil"/>
          <w:right w:val="nil"/>
          <w:between w:val="nil"/>
        </w:pBdr>
        <w:ind w:left="708"/>
        <w:contextualSpacing/>
        <w:rPr>
          <w:i/>
          <w:sz w:val="22"/>
        </w:rPr>
      </w:pPr>
    </w:p>
    <w:p w14:paraId="27247ACA" w14:textId="77777777" w:rsidR="00DC5A44" w:rsidRDefault="00DC5A44" w:rsidP="00DC5A44">
      <w:pPr>
        <w:pBdr>
          <w:top w:val="nil"/>
          <w:left w:val="nil"/>
          <w:bottom w:val="nil"/>
          <w:right w:val="nil"/>
          <w:between w:val="nil"/>
        </w:pBdr>
        <w:ind w:left="708"/>
        <w:contextualSpacing/>
        <w:rPr>
          <w:i/>
          <w:sz w:val="22"/>
        </w:rPr>
      </w:pPr>
      <w:r w:rsidRPr="00DC5A44">
        <w:rPr>
          <w:i/>
          <w:sz w:val="22"/>
        </w:rPr>
        <w:t>“</w:t>
      </w:r>
      <w:r w:rsidRPr="003C3DED">
        <w:rPr>
          <w:b/>
          <w:i/>
          <w:sz w:val="22"/>
        </w:rPr>
        <w:t>Artículo 95.-</w:t>
      </w:r>
      <w:r w:rsidRPr="00DC5A44">
        <w:rPr>
          <w:i/>
          <w:sz w:val="22"/>
        </w:rPr>
        <w:t xml:space="preserve"> Son atribuciones del </w:t>
      </w:r>
      <w:r w:rsidRPr="00DC5A44">
        <w:rPr>
          <w:b/>
          <w:i/>
          <w:sz w:val="22"/>
          <w:u w:val="single"/>
        </w:rPr>
        <w:t>tesorero municipal:</w:t>
      </w:r>
    </w:p>
    <w:p w14:paraId="3D875161" w14:textId="77777777" w:rsidR="00DC5A44" w:rsidRPr="00DC5A44" w:rsidRDefault="00DC5A44" w:rsidP="00DC5A44">
      <w:pPr>
        <w:pBdr>
          <w:top w:val="nil"/>
          <w:left w:val="nil"/>
          <w:bottom w:val="nil"/>
          <w:right w:val="nil"/>
          <w:between w:val="nil"/>
        </w:pBdr>
        <w:ind w:left="1416"/>
        <w:contextualSpacing/>
        <w:rPr>
          <w:i/>
          <w:sz w:val="22"/>
        </w:rPr>
      </w:pPr>
      <w:proofErr w:type="gramStart"/>
      <w:r>
        <w:rPr>
          <w:i/>
          <w:sz w:val="22"/>
        </w:rPr>
        <w:t>I .</w:t>
      </w:r>
      <w:r w:rsidRPr="00DC5A44">
        <w:rPr>
          <w:i/>
          <w:sz w:val="22"/>
        </w:rPr>
        <w:t>Administrar</w:t>
      </w:r>
      <w:proofErr w:type="gramEnd"/>
      <w:r w:rsidRPr="00DC5A44">
        <w:rPr>
          <w:i/>
          <w:sz w:val="22"/>
        </w:rPr>
        <w:t xml:space="preserve"> la hacienda pública municipal, de conformidad con las disposiciones legales aplicables;</w:t>
      </w:r>
    </w:p>
    <w:p w14:paraId="0B49C059" w14:textId="77777777" w:rsidR="00DC5A44" w:rsidRPr="00DC5A44" w:rsidRDefault="00DC5A44" w:rsidP="00DC5A44">
      <w:pPr>
        <w:pStyle w:val="Prrafodelista"/>
        <w:pBdr>
          <w:top w:val="nil"/>
          <w:left w:val="nil"/>
          <w:bottom w:val="nil"/>
          <w:right w:val="nil"/>
          <w:between w:val="nil"/>
        </w:pBdr>
        <w:ind w:left="1488"/>
        <w:contextualSpacing/>
        <w:rPr>
          <w:i/>
          <w:sz w:val="22"/>
        </w:rPr>
      </w:pPr>
      <w:r w:rsidRPr="00DC5A44">
        <w:rPr>
          <w:i/>
          <w:sz w:val="22"/>
        </w:rPr>
        <w:t xml:space="preserve"> (…) </w:t>
      </w:r>
    </w:p>
    <w:p w14:paraId="2764BC19" w14:textId="77777777" w:rsidR="00DC5A44" w:rsidRPr="00DC5A44" w:rsidRDefault="00DC5A44" w:rsidP="00DC5A44">
      <w:pPr>
        <w:pStyle w:val="Prrafodelista"/>
        <w:pBdr>
          <w:top w:val="nil"/>
          <w:left w:val="nil"/>
          <w:bottom w:val="nil"/>
          <w:right w:val="nil"/>
          <w:between w:val="nil"/>
        </w:pBdr>
        <w:ind w:left="1488"/>
        <w:contextualSpacing/>
        <w:rPr>
          <w:b/>
          <w:i/>
          <w:sz w:val="22"/>
          <w:u w:val="single"/>
        </w:rPr>
      </w:pPr>
      <w:r w:rsidRPr="00DC5A44">
        <w:rPr>
          <w:b/>
          <w:i/>
          <w:sz w:val="22"/>
          <w:u w:val="single"/>
        </w:rPr>
        <w:t xml:space="preserve">IV. Llevar los registros contables, financieros y administrativos de los ingresos, egresos, e inventarios; </w:t>
      </w:r>
    </w:p>
    <w:p w14:paraId="5E90D389" w14:textId="77777777" w:rsidR="00DC5A44" w:rsidRDefault="00DC5A44" w:rsidP="00DC5A44">
      <w:pPr>
        <w:pStyle w:val="Prrafodelista"/>
        <w:pBdr>
          <w:top w:val="nil"/>
          <w:left w:val="nil"/>
          <w:bottom w:val="nil"/>
          <w:right w:val="nil"/>
          <w:between w:val="nil"/>
        </w:pBdr>
        <w:ind w:left="1488"/>
        <w:contextualSpacing/>
        <w:rPr>
          <w:i/>
          <w:sz w:val="22"/>
        </w:rPr>
      </w:pPr>
      <w:r w:rsidRPr="00DC5A44">
        <w:rPr>
          <w:i/>
          <w:sz w:val="22"/>
        </w:rPr>
        <w:t xml:space="preserve">V. Proporcionar oportunamente al ayuntamiento todos los datos o informes que sean necesarios para la formulación del Presupuesto de Egresos Municipales, vigilando que se ajuste a las disposiciones de esta Ley y otros ordenamientos aplicables; </w:t>
      </w:r>
    </w:p>
    <w:p w14:paraId="75102168" w14:textId="77777777" w:rsidR="00DC5A44" w:rsidRDefault="00DC5A44" w:rsidP="00DC5A44">
      <w:pPr>
        <w:pStyle w:val="Prrafodelista"/>
        <w:pBdr>
          <w:top w:val="nil"/>
          <w:left w:val="nil"/>
          <w:bottom w:val="nil"/>
          <w:right w:val="nil"/>
          <w:between w:val="nil"/>
        </w:pBdr>
        <w:ind w:left="1488"/>
        <w:contextualSpacing/>
        <w:rPr>
          <w:i/>
          <w:sz w:val="22"/>
        </w:rPr>
      </w:pPr>
      <w:r w:rsidRPr="00DC5A44">
        <w:rPr>
          <w:i/>
          <w:sz w:val="22"/>
        </w:rPr>
        <w:t>(…)</w:t>
      </w:r>
    </w:p>
    <w:p w14:paraId="06DE8F8A" w14:textId="77777777" w:rsidR="00DC5A44" w:rsidRDefault="00DC5A44" w:rsidP="00DC5A44">
      <w:pPr>
        <w:pStyle w:val="Prrafodelista"/>
        <w:pBdr>
          <w:top w:val="nil"/>
          <w:left w:val="nil"/>
          <w:bottom w:val="nil"/>
          <w:right w:val="nil"/>
          <w:between w:val="nil"/>
        </w:pBdr>
        <w:ind w:left="1488"/>
        <w:contextualSpacing/>
        <w:rPr>
          <w:i/>
          <w:sz w:val="22"/>
        </w:rPr>
      </w:pPr>
      <w:r w:rsidRPr="00DC5A44">
        <w:rPr>
          <w:i/>
          <w:sz w:val="22"/>
        </w:rPr>
        <w:t xml:space="preserve"> XVI. Glosar oportunamente las cuentas del ayuntamiento;</w:t>
      </w:r>
    </w:p>
    <w:p w14:paraId="2335653F" w14:textId="77777777" w:rsidR="003C3DED" w:rsidRDefault="00DC5A44" w:rsidP="00DC5A44">
      <w:pPr>
        <w:pStyle w:val="Prrafodelista"/>
        <w:pBdr>
          <w:top w:val="nil"/>
          <w:left w:val="nil"/>
          <w:bottom w:val="nil"/>
          <w:right w:val="nil"/>
          <w:between w:val="nil"/>
        </w:pBdr>
        <w:ind w:left="1488"/>
        <w:contextualSpacing/>
        <w:rPr>
          <w:i/>
          <w:sz w:val="22"/>
        </w:rPr>
      </w:pPr>
      <w:r w:rsidRPr="00DC5A44">
        <w:rPr>
          <w:i/>
          <w:sz w:val="22"/>
        </w:rPr>
        <w:t xml:space="preserve"> XVII. Contestar oportunamente los pliegos de observaciones y responsabilidad que haga el Órgano Superior de Fiscalización del Estado de México, así como atender en tiempo y forma las solicitudes de información que éste requiera, informando al Ayuntamiento; </w:t>
      </w:r>
    </w:p>
    <w:p w14:paraId="5279D9A2" w14:textId="77777777" w:rsidR="00DC5A44" w:rsidRDefault="00DC5A44" w:rsidP="00DC5A44">
      <w:pPr>
        <w:pStyle w:val="Prrafodelista"/>
        <w:pBdr>
          <w:top w:val="nil"/>
          <w:left w:val="nil"/>
          <w:bottom w:val="nil"/>
          <w:right w:val="nil"/>
          <w:between w:val="nil"/>
        </w:pBdr>
        <w:ind w:left="1488"/>
        <w:contextualSpacing/>
      </w:pPr>
      <w:r w:rsidRPr="00DC5A44">
        <w:rPr>
          <w:i/>
          <w:sz w:val="22"/>
        </w:rPr>
        <w:t>(…)” (Sic)</w:t>
      </w:r>
    </w:p>
    <w:p w14:paraId="279EFB16" w14:textId="77777777" w:rsidR="00DC5A44" w:rsidRDefault="00DC5A44" w:rsidP="00DC5A44">
      <w:pPr>
        <w:pBdr>
          <w:top w:val="nil"/>
          <w:left w:val="nil"/>
          <w:bottom w:val="nil"/>
          <w:right w:val="nil"/>
          <w:between w:val="nil"/>
        </w:pBdr>
        <w:contextualSpacing/>
        <w:rPr>
          <w:i/>
        </w:rPr>
      </w:pPr>
    </w:p>
    <w:p w14:paraId="19134FAA" w14:textId="62DD906A" w:rsidR="005A23A8" w:rsidRDefault="00CD6FFD" w:rsidP="00DC5A44">
      <w:pPr>
        <w:pBdr>
          <w:top w:val="nil"/>
          <w:left w:val="nil"/>
          <w:bottom w:val="nil"/>
          <w:right w:val="nil"/>
          <w:between w:val="nil"/>
        </w:pBdr>
        <w:contextualSpacing/>
      </w:pPr>
      <w:r>
        <w:t xml:space="preserve">Ahora bien, </w:t>
      </w:r>
      <w:r w:rsidR="00725DC5">
        <w:t xml:space="preserve">resulta importante señalar que este término se encuentra definido en el Glosario de Términos Hacendarios que emite el Instituto Hacendario del Estado de México, el cual expresa lo siguiente: </w:t>
      </w:r>
    </w:p>
    <w:p w14:paraId="14E3E9FA" w14:textId="77777777" w:rsidR="00725DC5" w:rsidRDefault="00725DC5" w:rsidP="00725DC5">
      <w:pPr>
        <w:pBdr>
          <w:top w:val="nil"/>
          <w:left w:val="nil"/>
          <w:bottom w:val="nil"/>
          <w:right w:val="nil"/>
          <w:between w:val="nil"/>
        </w:pBdr>
        <w:ind w:left="708"/>
        <w:contextualSpacing/>
        <w:rPr>
          <w:i/>
        </w:rPr>
      </w:pPr>
      <w:r w:rsidRPr="00725DC5">
        <w:rPr>
          <w:i/>
        </w:rPr>
        <w:t>“</w:t>
      </w:r>
      <w:r w:rsidRPr="00725DC5">
        <w:rPr>
          <w:b/>
          <w:i/>
        </w:rPr>
        <w:t xml:space="preserve">FACTURA </w:t>
      </w:r>
    </w:p>
    <w:p w14:paraId="0693DEA9" w14:textId="77777777" w:rsidR="00725DC5" w:rsidRPr="00725DC5" w:rsidRDefault="00725DC5" w:rsidP="00725DC5">
      <w:pPr>
        <w:pBdr>
          <w:top w:val="nil"/>
          <w:left w:val="nil"/>
          <w:bottom w:val="nil"/>
          <w:right w:val="nil"/>
          <w:between w:val="nil"/>
        </w:pBdr>
        <w:ind w:left="708"/>
        <w:contextualSpacing/>
        <w:rPr>
          <w:i/>
        </w:rPr>
      </w:pPr>
      <w:r w:rsidRPr="00725DC5">
        <w:rPr>
          <w:i/>
        </w:rPr>
        <w:lastRenderedPageBreak/>
        <w:t xml:space="preserve">Es el documento fiscal que emite la persona física o moral para </w:t>
      </w:r>
      <w:r w:rsidRPr="00725DC5">
        <w:rPr>
          <w:b/>
          <w:i/>
        </w:rPr>
        <w:t>comprobar la venta o adquisición de un bien y/o servicio</w:t>
      </w:r>
      <w:r w:rsidRPr="00725DC5">
        <w:rPr>
          <w:i/>
        </w:rPr>
        <w:t>.” (Sic) (Énfasis añadido)</w:t>
      </w:r>
    </w:p>
    <w:p w14:paraId="71D1ADC4" w14:textId="77777777" w:rsidR="00725DC5" w:rsidRDefault="00725DC5" w:rsidP="00725DC5">
      <w:pPr>
        <w:pBdr>
          <w:top w:val="nil"/>
          <w:left w:val="nil"/>
          <w:bottom w:val="nil"/>
          <w:right w:val="nil"/>
          <w:between w:val="nil"/>
        </w:pBdr>
        <w:contextualSpacing/>
      </w:pPr>
    </w:p>
    <w:p w14:paraId="14043722" w14:textId="77777777" w:rsidR="00725DC5" w:rsidRDefault="00725DC5" w:rsidP="00725DC5">
      <w:pPr>
        <w:pBdr>
          <w:top w:val="nil"/>
          <w:left w:val="nil"/>
          <w:bottom w:val="nil"/>
          <w:right w:val="nil"/>
          <w:between w:val="nil"/>
        </w:pBdr>
        <w:contextualSpacing/>
        <w:rPr>
          <w:i/>
        </w:rPr>
      </w:pPr>
      <w:r>
        <w:t>Es de señalarse que las facturas o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w:t>
      </w:r>
    </w:p>
    <w:p w14:paraId="00C3E1CE" w14:textId="77777777" w:rsidR="00725DC5" w:rsidRDefault="00725DC5" w:rsidP="00DC5A44">
      <w:pPr>
        <w:pBdr>
          <w:top w:val="nil"/>
          <w:left w:val="nil"/>
          <w:bottom w:val="nil"/>
          <w:right w:val="nil"/>
          <w:between w:val="nil"/>
        </w:pBdr>
        <w:contextualSpacing/>
        <w:rPr>
          <w:i/>
        </w:rPr>
      </w:pPr>
    </w:p>
    <w:p w14:paraId="75BA5621" w14:textId="77777777" w:rsidR="00725DC5" w:rsidRDefault="00725DC5" w:rsidP="00DC5A44">
      <w:pPr>
        <w:pBdr>
          <w:top w:val="nil"/>
          <w:left w:val="nil"/>
          <w:bottom w:val="nil"/>
          <w:right w:val="nil"/>
          <w:between w:val="nil"/>
        </w:pBdr>
        <w:contextualSpacing/>
      </w:pPr>
      <w:r>
        <w:t xml:space="preserve">Aunado a lo anterior, los artículos 342, 343, 344 y 345 del Código Financiero del Estado de México y Municipios disponen el sistema y las políticas que deben seguirse para llevar el registro contable y presupuestal de las operaciones financieras, en los siguientes términos: </w:t>
      </w:r>
    </w:p>
    <w:p w14:paraId="088715F8" w14:textId="77777777" w:rsidR="00725DC5" w:rsidRDefault="00725DC5" w:rsidP="00725DC5">
      <w:pPr>
        <w:pBdr>
          <w:top w:val="nil"/>
          <w:left w:val="nil"/>
          <w:bottom w:val="nil"/>
          <w:right w:val="nil"/>
          <w:between w:val="nil"/>
        </w:pBdr>
        <w:ind w:left="708"/>
        <w:contextualSpacing/>
        <w:rPr>
          <w:i/>
          <w:sz w:val="22"/>
        </w:rPr>
      </w:pPr>
      <w:r w:rsidRPr="00725DC5">
        <w:rPr>
          <w:i/>
          <w:sz w:val="22"/>
        </w:rPr>
        <w:t>“</w:t>
      </w:r>
      <w:r w:rsidRPr="00725DC5">
        <w:rPr>
          <w:b/>
          <w:i/>
          <w:sz w:val="22"/>
        </w:rPr>
        <w:t>Artículo 342.- El registro contable del efecto patrimonial y presupuestal de las operaciones financieras, se realizará conforme al sistema y a las disposiciones que se aprueben en materia</w:t>
      </w:r>
      <w:r w:rsidRPr="00725DC5">
        <w:rPr>
          <w:i/>
          <w:sz w:val="22"/>
        </w:rPr>
        <w:t xml:space="preserve"> de planeación, programación, presupuestación, evaluación y contabilidad gubernamental. </w:t>
      </w:r>
    </w:p>
    <w:p w14:paraId="4162925A" w14:textId="77777777" w:rsidR="00725DC5" w:rsidRPr="00725DC5" w:rsidRDefault="00725DC5" w:rsidP="00725DC5">
      <w:pPr>
        <w:pBdr>
          <w:top w:val="nil"/>
          <w:left w:val="nil"/>
          <w:bottom w:val="nil"/>
          <w:right w:val="nil"/>
          <w:between w:val="nil"/>
        </w:pBdr>
        <w:ind w:left="708"/>
        <w:contextualSpacing/>
        <w:rPr>
          <w:b/>
          <w:i/>
          <w:sz w:val="22"/>
        </w:rPr>
      </w:pPr>
      <w:r w:rsidRPr="00725DC5">
        <w:rPr>
          <w:b/>
          <w:i/>
          <w:sz w:val="22"/>
        </w:rPr>
        <w:t>…</w:t>
      </w:r>
    </w:p>
    <w:p w14:paraId="7D955691" w14:textId="77777777" w:rsidR="00725DC5" w:rsidRDefault="00725DC5" w:rsidP="00725DC5">
      <w:pPr>
        <w:pBdr>
          <w:top w:val="nil"/>
          <w:left w:val="nil"/>
          <w:bottom w:val="nil"/>
          <w:right w:val="nil"/>
          <w:between w:val="nil"/>
        </w:pBdr>
        <w:ind w:left="708"/>
        <w:contextualSpacing/>
        <w:rPr>
          <w:i/>
          <w:sz w:val="22"/>
        </w:rPr>
      </w:pPr>
      <w:r w:rsidRPr="00725DC5">
        <w:rPr>
          <w:b/>
          <w:i/>
          <w:sz w:val="22"/>
        </w:rPr>
        <w:t>Artículo 343</w:t>
      </w:r>
      <w:r w:rsidRPr="00725DC5">
        <w:rPr>
          <w:i/>
          <w:sz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El sistema de contabilidad sobre </w:t>
      </w:r>
      <w:r w:rsidRPr="00725DC5">
        <w:rPr>
          <w:i/>
          <w:sz w:val="22"/>
        </w:rPr>
        <w:lastRenderedPageBreak/>
        <w:t xml:space="preserve">base acumulativa total se sustentará en los postulados básicos y el marco conceptual de la contabilidad gubernamental. </w:t>
      </w:r>
    </w:p>
    <w:p w14:paraId="6526EAA4" w14:textId="77777777" w:rsidR="00725DC5" w:rsidRPr="00725DC5" w:rsidRDefault="00725DC5" w:rsidP="00725DC5">
      <w:pPr>
        <w:pBdr>
          <w:top w:val="nil"/>
          <w:left w:val="nil"/>
          <w:bottom w:val="nil"/>
          <w:right w:val="nil"/>
          <w:between w:val="nil"/>
        </w:pBdr>
        <w:ind w:left="708"/>
        <w:contextualSpacing/>
        <w:rPr>
          <w:i/>
          <w:sz w:val="22"/>
        </w:rPr>
      </w:pPr>
    </w:p>
    <w:p w14:paraId="21047A0F" w14:textId="77777777" w:rsidR="00725DC5" w:rsidRDefault="00725DC5" w:rsidP="00725DC5">
      <w:pPr>
        <w:pBdr>
          <w:top w:val="nil"/>
          <w:left w:val="nil"/>
          <w:bottom w:val="nil"/>
          <w:right w:val="nil"/>
          <w:between w:val="nil"/>
        </w:pBdr>
        <w:ind w:left="708"/>
        <w:contextualSpacing/>
        <w:rPr>
          <w:i/>
          <w:sz w:val="22"/>
        </w:rPr>
      </w:pPr>
      <w:r w:rsidRPr="003C3DED">
        <w:rPr>
          <w:b/>
          <w:i/>
          <w:sz w:val="22"/>
        </w:rPr>
        <w:t>Artículo 344</w:t>
      </w:r>
      <w:r w:rsidRPr="00725DC5">
        <w:rPr>
          <w:i/>
          <w:sz w:val="22"/>
        </w:rPr>
        <w:t xml:space="preserve">.- 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14:paraId="43CB5B2E" w14:textId="77777777" w:rsidR="00725DC5" w:rsidRDefault="00725DC5" w:rsidP="00725DC5">
      <w:pPr>
        <w:pBdr>
          <w:top w:val="nil"/>
          <w:left w:val="nil"/>
          <w:bottom w:val="nil"/>
          <w:right w:val="nil"/>
          <w:between w:val="nil"/>
        </w:pBdr>
        <w:ind w:left="708"/>
        <w:contextualSpacing/>
        <w:rPr>
          <w:i/>
          <w:sz w:val="22"/>
        </w:rPr>
      </w:pPr>
    </w:p>
    <w:p w14:paraId="6B75C35B" w14:textId="77777777" w:rsidR="00725DC5" w:rsidRDefault="00725DC5" w:rsidP="00725DC5">
      <w:pPr>
        <w:pBdr>
          <w:top w:val="nil"/>
          <w:left w:val="nil"/>
          <w:bottom w:val="nil"/>
          <w:right w:val="nil"/>
          <w:between w:val="nil"/>
        </w:pBdr>
        <w:ind w:left="708"/>
        <w:contextualSpacing/>
        <w:rPr>
          <w:i/>
          <w:sz w:val="22"/>
        </w:rPr>
      </w:pPr>
      <w:r w:rsidRPr="00725DC5">
        <w:rPr>
          <w:b/>
          <w:i/>
          <w:sz w:val="22"/>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725DC5">
        <w:rPr>
          <w:i/>
          <w:sz w:val="22"/>
        </w:rPr>
        <w:t xml:space="preserve"> a partir del ejercicio presupuestal siguiente al que corresponda, en el caso de los municipios se hará por la Tesorería</w:t>
      </w:r>
    </w:p>
    <w:p w14:paraId="1FD47D7C" w14:textId="77777777" w:rsidR="00725DC5" w:rsidRDefault="00725DC5" w:rsidP="00725DC5">
      <w:pPr>
        <w:pBdr>
          <w:top w:val="nil"/>
          <w:left w:val="nil"/>
          <w:bottom w:val="nil"/>
          <w:right w:val="nil"/>
          <w:between w:val="nil"/>
        </w:pBdr>
        <w:ind w:left="708"/>
        <w:contextualSpacing/>
        <w:rPr>
          <w:i/>
          <w:sz w:val="22"/>
        </w:rPr>
      </w:pPr>
      <w:r w:rsidRPr="00725DC5">
        <w:rPr>
          <w:i/>
          <w:sz w:val="22"/>
        </w:rPr>
        <w:t xml:space="preserve">. … </w:t>
      </w:r>
    </w:p>
    <w:p w14:paraId="35DEC89A" w14:textId="77777777" w:rsidR="00725DC5" w:rsidRDefault="00725DC5" w:rsidP="00725DC5">
      <w:pPr>
        <w:pBdr>
          <w:top w:val="nil"/>
          <w:left w:val="nil"/>
          <w:bottom w:val="nil"/>
          <w:right w:val="nil"/>
          <w:between w:val="nil"/>
        </w:pBdr>
        <w:ind w:left="708"/>
        <w:contextualSpacing/>
        <w:rPr>
          <w:i/>
          <w:sz w:val="22"/>
        </w:rPr>
      </w:pPr>
      <w:r w:rsidRPr="00725DC5">
        <w:rPr>
          <w:b/>
          <w:i/>
          <w:sz w:val="22"/>
        </w:rPr>
        <w:t>Artículo 345</w:t>
      </w:r>
      <w:r w:rsidRPr="00725DC5">
        <w:rPr>
          <w:i/>
          <w:sz w:val="22"/>
        </w:rPr>
        <w:t xml:space="preserve">.- </w:t>
      </w:r>
      <w:r w:rsidRPr="00725DC5">
        <w:rPr>
          <w:b/>
          <w:i/>
          <w:sz w:val="22"/>
        </w:rPr>
        <w:t>Las Dependencias, Entidades Públicas y unidades administrativas deberán conservar la documentación contable del año en curso y la de ejercicios anteriores cuyas cuentas públicas hayan sido revisadas y fiscalizadas por la Legislatura</w:t>
      </w:r>
      <w:r w:rsidRPr="00725DC5">
        <w:rPr>
          <w:i/>
          <w:sz w:val="22"/>
        </w:rPr>
        <w:t xml:space="preserve">, la remitirán en un plazo que no excederá de seis meses al Archivo Contable Gubernamental. </w:t>
      </w:r>
      <w:r w:rsidRPr="00725DC5">
        <w:rPr>
          <w:b/>
          <w:i/>
          <w:sz w:val="22"/>
        </w:rPr>
        <w:t>Tratándose de los comprobantes fiscales digitales, estos deberán estar agregados en forma electrónica en cada póliza de registro contable</w:t>
      </w:r>
      <w:r w:rsidRPr="00725DC5">
        <w:rPr>
          <w:i/>
          <w:sz w:val="22"/>
        </w:rPr>
        <w:t xml:space="preserve">. </w:t>
      </w:r>
    </w:p>
    <w:p w14:paraId="3EC28B85" w14:textId="77777777" w:rsidR="00725DC5" w:rsidRPr="00725DC5" w:rsidRDefault="00725DC5" w:rsidP="00725DC5">
      <w:pPr>
        <w:pBdr>
          <w:top w:val="nil"/>
          <w:left w:val="nil"/>
          <w:bottom w:val="nil"/>
          <w:right w:val="nil"/>
          <w:between w:val="nil"/>
        </w:pBdr>
        <w:ind w:left="708"/>
        <w:contextualSpacing/>
        <w:rPr>
          <w:i/>
          <w:sz w:val="22"/>
        </w:rPr>
      </w:pPr>
      <w:r w:rsidRPr="00725DC5">
        <w:rPr>
          <w:i/>
          <w:sz w:val="22"/>
        </w:rPr>
        <w:t>El plazo señalado en el párrafo anterior, empezará a contar a partir de la publicación en el Periódico Oficial, del decreto correspondiente. “(Sic)</w:t>
      </w:r>
    </w:p>
    <w:p w14:paraId="486F4369" w14:textId="77777777" w:rsidR="00725DC5" w:rsidRDefault="00725DC5" w:rsidP="00DC5A44">
      <w:pPr>
        <w:pBdr>
          <w:top w:val="nil"/>
          <w:left w:val="nil"/>
          <w:bottom w:val="nil"/>
          <w:right w:val="nil"/>
          <w:between w:val="nil"/>
        </w:pBdr>
        <w:contextualSpacing/>
        <w:rPr>
          <w:i/>
        </w:rPr>
      </w:pPr>
    </w:p>
    <w:p w14:paraId="6F79E1AB" w14:textId="77777777" w:rsidR="00725DC5" w:rsidRDefault="00725DC5" w:rsidP="00DC5A44">
      <w:pPr>
        <w:pBdr>
          <w:top w:val="nil"/>
          <w:left w:val="nil"/>
          <w:bottom w:val="nil"/>
          <w:right w:val="nil"/>
          <w:between w:val="nil"/>
        </w:pBdr>
        <w:contextualSpacing/>
        <w:rPr>
          <w:i/>
        </w:rPr>
      </w:pPr>
      <w:r>
        <w:t>De una interpretación sistemática de los artículos transcritos, se desprende primeramente que el registro contable del efecto patrimonial y presupuestal de las</w:t>
      </w:r>
      <w:r w:rsidRPr="00725DC5">
        <w:t xml:space="preserve"> </w:t>
      </w:r>
      <w:r>
        <w:t xml:space="preserve">operaciones </w:t>
      </w:r>
      <w:r>
        <w:lastRenderedPageBreak/>
        <w:t>financieras se realizará conforme al sistema y a las disposiciones que se aprueben en materia de planeación, programación, presupuestación, evaluación y contabilidad gubernamental.</w:t>
      </w:r>
    </w:p>
    <w:p w14:paraId="31D344C0" w14:textId="77777777" w:rsidR="00725DC5" w:rsidRDefault="00725DC5" w:rsidP="00DC5A44">
      <w:pPr>
        <w:pBdr>
          <w:top w:val="nil"/>
          <w:left w:val="nil"/>
          <w:bottom w:val="nil"/>
          <w:right w:val="nil"/>
          <w:between w:val="nil"/>
        </w:pBdr>
        <w:contextualSpacing/>
        <w:rPr>
          <w:i/>
        </w:rPr>
      </w:pPr>
    </w:p>
    <w:p w14:paraId="11013552" w14:textId="77777777" w:rsidR="00725DC5" w:rsidRDefault="00725DC5" w:rsidP="00DC5A44">
      <w:pPr>
        <w:pBdr>
          <w:top w:val="nil"/>
          <w:left w:val="nil"/>
          <w:bottom w:val="nil"/>
          <w:right w:val="nil"/>
          <w:between w:val="nil"/>
        </w:pBdr>
        <w:contextualSpacing/>
      </w:pPr>
      <w:r>
        <w:t>En este sentido, existen diversos tipos de pólizas contables de acuerdo con las operaciones realizadas, dentro de las cuales, encontramos las llamadas pólizas de egresos, en las cuales se anotan diariamente las operaciones que representan egresos, es decir, salidas de dinero para el sujeto obligado, la cual, además debe encontrarse acompañada de las documentales que sirven de soporte de dicho movimiento.</w:t>
      </w:r>
    </w:p>
    <w:p w14:paraId="76674DC6" w14:textId="77777777" w:rsidR="00725DC5" w:rsidRDefault="00725DC5" w:rsidP="00DC5A44">
      <w:pPr>
        <w:pBdr>
          <w:top w:val="nil"/>
          <w:left w:val="nil"/>
          <w:bottom w:val="nil"/>
          <w:right w:val="nil"/>
          <w:between w:val="nil"/>
        </w:pBdr>
        <w:contextualSpacing/>
      </w:pPr>
    </w:p>
    <w:p w14:paraId="741F8D9A" w14:textId="77777777" w:rsidR="00725DC5" w:rsidRDefault="00725DC5" w:rsidP="00DC5A44">
      <w:pPr>
        <w:pBdr>
          <w:top w:val="nil"/>
          <w:left w:val="nil"/>
          <w:bottom w:val="nil"/>
          <w:right w:val="nil"/>
          <w:between w:val="nil"/>
        </w:pBdr>
        <w:contextualSpacing/>
        <w:rPr>
          <w:i/>
        </w:rPr>
      </w:pPr>
      <w:r>
        <w:t>En este sentido, los Lineamientos, Fechas de Capacitación y Calendarización para la Entrega de Informes Trimestrales de las Entidades Fiscalizables del Estado de México del Ejercicio Fiscal 2022, emitidos por el Órgano Superior de Fiscalización del Estado de México, contienen los formatos e información que debe ser proporcionada para la integración de los informes mensuales, que se entregan a éste, siendo uno de ellos la información relativa a las pólizas de ingresos, póliza de diario, póliza de egresos, póliza cheque y pólizas de cheques, las cuales se encuentran contenidas dentro del Módulo 1, “Imágenes Digitalizadas”, de tal manera que, dichos formatos constituyen un soporte documental de que la información solicitada por el hoy recurrente obra en los archivos del sujeto obligado, insertando a manera de referencia, el formato correspondiente de 2022:</w:t>
      </w:r>
    </w:p>
    <w:p w14:paraId="798843B4" w14:textId="77777777" w:rsidR="00725DC5" w:rsidRDefault="00725DC5" w:rsidP="00725DC5">
      <w:pPr>
        <w:pBdr>
          <w:top w:val="nil"/>
          <w:left w:val="nil"/>
          <w:bottom w:val="nil"/>
          <w:right w:val="nil"/>
          <w:between w:val="nil"/>
        </w:pBdr>
        <w:contextualSpacing/>
        <w:jc w:val="center"/>
        <w:rPr>
          <w:i/>
        </w:rPr>
      </w:pPr>
      <w:r w:rsidRPr="00725DC5">
        <w:rPr>
          <w:i/>
          <w:noProof/>
          <w:lang w:val="es-MX"/>
        </w:rPr>
        <w:lastRenderedPageBreak/>
        <w:drawing>
          <wp:inline distT="0" distB="0" distL="0" distR="0" wp14:anchorId="16A6E09F" wp14:editId="1B03F8FF">
            <wp:extent cx="5502302" cy="3828994"/>
            <wp:effectExtent l="0" t="0" r="317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03150" cy="3829584"/>
                    </a:xfrm>
                    <a:prstGeom prst="rect">
                      <a:avLst/>
                    </a:prstGeom>
                  </pic:spPr>
                </pic:pic>
              </a:graphicData>
            </a:graphic>
          </wp:inline>
        </w:drawing>
      </w:r>
    </w:p>
    <w:p w14:paraId="7B9A4CD8" w14:textId="77777777" w:rsidR="00725DC5" w:rsidRDefault="00725DC5" w:rsidP="00DC5A44">
      <w:pPr>
        <w:pBdr>
          <w:top w:val="nil"/>
          <w:left w:val="nil"/>
          <w:bottom w:val="nil"/>
          <w:right w:val="nil"/>
          <w:between w:val="nil"/>
        </w:pBdr>
        <w:contextualSpacing/>
        <w:rPr>
          <w:i/>
        </w:rPr>
      </w:pPr>
    </w:p>
    <w:p w14:paraId="6982EF6E" w14:textId="77777777" w:rsidR="00725DC5" w:rsidRDefault="000020CF" w:rsidP="00DC5A44">
      <w:pPr>
        <w:pBdr>
          <w:top w:val="nil"/>
          <w:left w:val="nil"/>
          <w:bottom w:val="nil"/>
          <w:right w:val="nil"/>
          <w:between w:val="nil"/>
        </w:pBdr>
        <w:contextualSpacing/>
        <w:rPr>
          <w:i/>
        </w:rPr>
      </w:pPr>
      <w:r>
        <w:t>Sin ser óbice de lo mencionado, es de señalar que la información que es entregada al Órgano Superior de Fiscalización del Estado de México, junto con el Informe Mensual, si bien se remite dentro de los veinte días posteriores al término del mes correspondiente, también lo es que, la documentación materia de estudio debe ser generada y entregada al momento de realizar los movimientos respectivos, por lo que, debe de obrar en sus archivos las facturas que guardan relación con lo requerido por el ahora recurrente.</w:t>
      </w:r>
    </w:p>
    <w:p w14:paraId="5F283DA1" w14:textId="77777777" w:rsidR="00725DC5" w:rsidRDefault="00725DC5" w:rsidP="00DC5A44">
      <w:pPr>
        <w:pBdr>
          <w:top w:val="nil"/>
          <w:left w:val="nil"/>
          <w:bottom w:val="nil"/>
          <w:right w:val="nil"/>
          <w:between w:val="nil"/>
        </w:pBdr>
        <w:contextualSpacing/>
        <w:rPr>
          <w:i/>
        </w:rPr>
      </w:pPr>
    </w:p>
    <w:p w14:paraId="25D12E32" w14:textId="77777777" w:rsidR="00725DC5" w:rsidRDefault="000020CF" w:rsidP="00DC5A44">
      <w:pPr>
        <w:pBdr>
          <w:top w:val="nil"/>
          <w:left w:val="nil"/>
          <w:bottom w:val="nil"/>
          <w:right w:val="nil"/>
          <w:between w:val="nil"/>
        </w:pBdr>
        <w:contextualSpacing/>
      </w:pPr>
      <w:r>
        <w:t xml:space="preserve">Cabe destacar, que el ordenamiento legal en cita refiere que todo registro contable y presupuestal deberá estar soportado con los documentos comprobatorios originales, como lo son las facturas solicitadas, los que deberán permanecer en custodia y </w:t>
      </w:r>
      <w:r>
        <w:lastRenderedPageBreak/>
        <w:t>conservación de la Unidad administrativa correspondiente y a disposición del Órgano Superior de Fiscalización del Estado de México; por un término de cinco años contados a partir del ejercicio presupuestal siguiente al que corresponda.</w:t>
      </w:r>
    </w:p>
    <w:p w14:paraId="6351F9A4" w14:textId="77777777" w:rsidR="003C3DED" w:rsidRDefault="003C3DED" w:rsidP="003C3DED">
      <w:pPr>
        <w:contextualSpacing/>
        <w:rPr>
          <w:i/>
        </w:rPr>
      </w:pPr>
    </w:p>
    <w:p w14:paraId="5AE2EEC7" w14:textId="77777777" w:rsidR="003C3DED" w:rsidRPr="003C3DED" w:rsidRDefault="003C3DED" w:rsidP="003C3DED">
      <w:pPr>
        <w:contextualSpacing/>
        <w:rPr>
          <w:rFonts w:eastAsia="MS Mincho" w:cs="Arial"/>
          <w:szCs w:val="24"/>
          <w:lang w:eastAsia="es-ES"/>
        </w:rPr>
      </w:pPr>
      <w:r w:rsidRPr="003C3DED">
        <w:rPr>
          <w:rFonts w:eastAsia="MS Mincho" w:cs="Arial"/>
          <w:szCs w:val="24"/>
          <w:lang w:eastAsia="es-ES"/>
        </w:rPr>
        <w:t xml:space="preserve">En ese contexto, el </w:t>
      </w:r>
      <w:r w:rsidRPr="003C3DED">
        <w:rPr>
          <w:rFonts w:eastAsia="MS Mincho" w:cs="Arial"/>
          <w:b/>
          <w:szCs w:val="24"/>
          <w:lang w:eastAsia="es-ES"/>
        </w:rPr>
        <w:t>SUJETO OBLIGADO</w:t>
      </w:r>
      <w:r w:rsidRPr="003C3DED">
        <w:rPr>
          <w:rFonts w:eastAsiaTheme="minorEastAsia" w:cs="Arial"/>
          <w:szCs w:val="24"/>
          <w:lang w:eastAsia="es-ES"/>
        </w:rPr>
        <w:t xml:space="preserve">, para acreditar que se cumple a cabalidad con el </w:t>
      </w:r>
      <w:r w:rsidRPr="003C3DED">
        <w:rPr>
          <w:rFonts w:eastAsia="MS Mincho" w:cs="Arial"/>
          <w:szCs w:val="24"/>
          <w:lang w:eastAsia="es-ES"/>
        </w:rPr>
        <w:t xml:space="preserve">procedimiento de acceso a la información pública, descrito en el Título Séptimo de la Ley de </w:t>
      </w:r>
      <w:r w:rsidRPr="003C3DED">
        <w:rPr>
          <w:rFonts w:eastAsiaTheme="minorEastAsia" w:cs="Times New Roman"/>
          <w:color w:val="000000"/>
          <w:szCs w:val="24"/>
          <w:lang w:eastAsia="es-ES"/>
        </w:rPr>
        <w:t>Transparencia</w:t>
      </w:r>
      <w:r w:rsidRPr="003C3DED">
        <w:rPr>
          <w:rFonts w:eastAsia="MS Mincho" w:cs="Arial"/>
          <w:szCs w:val="24"/>
          <w:lang w:eastAsia="es-ES"/>
        </w:rPr>
        <w:t xml:space="preserve"> </w:t>
      </w:r>
      <w:r w:rsidRPr="003C3DED">
        <w:rPr>
          <w:rFonts w:eastAsiaTheme="minorEastAsia" w:cs="Times New Roman"/>
          <w:color w:val="000000" w:themeColor="text1"/>
          <w:szCs w:val="24"/>
          <w:lang w:eastAsia="es-ES"/>
        </w:rPr>
        <w:t>Local</w:t>
      </w:r>
      <w:r w:rsidRPr="003C3DED">
        <w:rPr>
          <w:rFonts w:eastAsia="MS Mincho" w:cs="Arial"/>
          <w:szCs w:val="24"/>
          <w:lang w:eastAsia="es-ES"/>
        </w:rPr>
        <w:t xml:space="preserve">, que describe los pasos que debe seguir la autoridad para atender las solicitudes que presenten las personas en ejercicio de su derecho, entre los cuales se encuentra el deber de las unidades de transparencia de turnar </w:t>
      </w:r>
      <w:r w:rsidRPr="003C3DED">
        <w:rPr>
          <w:rFonts w:eastAsia="MS Mincho" w:cs="Arial"/>
          <w:i/>
          <w:szCs w:val="24"/>
          <w:lang w:eastAsia="es-ES"/>
        </w:rPr>
        <w:t xml:space="preserve">a todas las áreas competentes que cuenten con la información o deban tenerla de acuerdo a sus facultades, competencias y funciones, </w:t>
      </w:r>
      <w:r w:rsidRPr="003C3DED">
        <w:rPr>
          <w:rFonts w:eastAsia="MS Mincho" w:cs="Arial"/>
          <w:b/>
          <w:i/>
          <w:szCs w:val="24"/>
          <w:u w:val="single"/>
          <w:lang w:eastAsia="es-ES"/>
        </w:rPr>
        <w:t>con el objeto de que realicen una búsqueda exhaustiva y razonable de la información solicitada</w:t>
      </w:r>
      <w:r w:rsidRPr="003C3DED">
        <w:rPr>
          <w:rFonts w:eastAsia="MS Mincho" w:cs="Arial"/>
          <w:i/>
          <w:szCs w:val="24"/>
          <w:lang w:eastAsia="es-ES"/>
        </w:rPr>
        <w:t>,</w:t>
      </w:r>
      <w:r w:rsidRPr="003C3DED">
        <w:rPr>
          <w:rFonts w:eastAsia="MS Mincho" w:cs="Arial"/>
          <w:szCs w:val="24"/>
          <w:lang w:eastAsia="es-ES"/>
        </w:rPr>
        <w:t xml:space="preserve"> según se asienta en el artículo 162 de la ley citada y se otorgue certeza al particular de sus pronunciamientos.</w:t>
      </w:r>
    </w:p>
    <w:p w14:paraId="4EEF3F34" w14:textId="77777777" w:rsidR="003C3DED" w:rsidRDefault="003C3DED" w:rsidP="00DC5A44">
      <w:pPr>
        <w:pBdr>
          <w:top w:val="nil"/>
          <w:left w:val="nil"/>
          <w:bottom w:val="nil"/>
          <w:right w:val="nil"/>
          <w:between w:val="nil"/>
        </w:pBdr>
        <w:contextualSpacing/>
        <w:rPr>
          <w:i/>
        </w:rPr>
      </w:pPr>
    </w:p>
    <w:p w14:paraId="4B5891D8" w14:textId="77777777" w:rsidR="003C3DED" w:rsidRPr="003C3DED" w:rsidRDefault="003C3DED" w:rsidP="003C3DED">
      <w:pPr>
        <w:contextualSpacing/>
        <w:rPr>
          <w:rFonts w:eastAsia="MS Mincho" w:cs="Arial"/>
          <w:szCs w:val="24"/>
          <w:lang w:eastAsia="es-ES"/>
        </w:rPr>
      </w:pPr>
      <w:r w:rsidRPr="003C3DED">
        <w:rPr>
          <w:rFonts w:eastAsia="MS Mincho" w:cs="Arial"/>
          <w:szCs w:val="24"/>
          <w:lang w:eastAsia="es-ES"/>
        </w:rPr>
        <w:t xml:space="preserve">Toda vez que es obligación del Titular de la Unidad de Transparencia identificar la unidad administrativa que resguarda el documento al que una persona pretende acceder, es practicar una adecuada gestión documental que nos permite localizar el documento, como bien señala el artículo 159 de la Ley de </w:t>
      </w:r>
      <w:r w:rsidRPr="003C3DED">
        <w:rPr>
          <w:rFonts w:eastAsiaTheme="minorEastAsia" w:cs="Times New Roman"/>
          <w:szCs w:val="24"/>
          <w:lang w:eastAsia="es-ES"/>
        </w:rPr>
        <w:t>Transparencia</w:t>
      </w:r>
      <w:r w:rsidRPr="003C3DED">
        <w:rPr>
          <w:rFonts w:eastAsia="MS Mincho" w:cs="Arial"/>
          <w:szCs w:val="24"/>
          <w:lang w:eastAsia="es-ES"/>
        </w:rPr>
        <w:t>.</w:t>
      </w:r>
      <w:r>
        <w:rPr>
          <w:rFonts w:eastAsia="MS Mincho" w:cs="Arial"/>
          <w:szCs w:val="24"/>
          <w:lang w:eastAsia="es-ES"/>
        </w:rPr>
        <w:t xml:space="preserve"> </w:t>
      </w:r>
      <w:r w:rsidRPr="003C3DED">
        <w:rPr>
          <w:rFonts w:eastAsiaTheme="minorEastAsia" w:cs="Times New Roman"/>
          <w:szCs w:val="24"/>
          <w:lang w:eastAsia="es-ES"/>
        </w:rPr>
        <w:t xml:space="preserve">El </w:t>
      </w:r>
      <w:r w:rsidRPr="003C3DED">
        <w:rPr>
          <w:rFonts w:eastAsia="MS Mincho" w:cs="Arial"/>
          <w:szCs w:val="24"/>
          <w:lang w:eastAsia="es-ES"/>
        </w:rPr>
        <w:t>Titular</w:t>
      </w:r>
      <w:r w:rsidRPr="003C3DED">
        <w:rPr>
          <w:rFonts w:eastAsiaTheme="minorEastAsia" w:cs="Times New Roman"/>
          <w:szCs w:val="24"/>
          <w:lang w:eastAsia="es-ES"/>
        </w:rPr>
        <w:t xml:space="preserve"> de la Unidad de Transparencia tiene la obligación de cumplir con lo </w:t>
      </w:r>
      <w:r w:rsidRPr="003C3DED">
        <w:rPr>
          <w:rFonts w:eastAsia="MS Mincho" w:cs="Arial"/>
          <w:szCs w:val="24"/>
          <w:lang w:eastAsia="es-ES"/>
        </w:rPr>
        <w:t>que</w:t>
      </w:r>
      <w:r w:rsidRPr="003C3DED">
        <w:rPr>
          <w:rFonts w:eastAsiaTheme="minorEastAsia" w:cs="Times New Roman"/>
          <w:szCs w:val="24"/>
          <w:lang w:eastAsia="es-ES"/>
        </w:rPr>
        <w:t xml:space="preserve"> dispone la normatividad aplicable que, en primera instancia implica que solicite a </w:t>
      </w:r>
      <w:r w:rsidRPr="003C3DED">
        <w:rPr>
          <w:rFonts w:eastAsia="MS Mincho" w:cs="Arial"/>
          <w:szCs w:val="24"/>
          <w:lang w:eastAsia="es-ES"/>
        </w:rPr>
        <w:t>todas</w:t>
      </w:r>
      <w:r w:rsidRPr="003C3DED">
        <w:rPr>
          <w:rFonts w:eastAsiaTheme="minorEastAsia" w:cs="Times New Roman"/>
          <w:szCs w:val="24"/>
          <w:lang w:eastAsia="es-ES"/>
        </w:rPr>
        <w:t xml:space="preserve"> las áreas que pudieron haber generado o administrado la información requerida, la búsqueda de la </w:t>
      </w:r>
      <w:r w:rsidRPr="003C3DED">
        <w:rPr>
          <w:rFonts w:eastAsiaTheme="minorEastAsia" w:cs="Times New Roman"/>
          <w:color w:val="000000" w:themeColor="text1"/>
          <w:szCs w:val="24"/>
          <w:lang w:eastAsia="es-ES"/>
        </w:rPr>
        <w:t>misma</w:t>
      </w:r>
      <w:r w:rsidRPr="003C3DED">
        <w:rPr>
          <w:rFonts w:eastAsiaTheme="minorEastAsia" w:cs="Times New Roman"/>
          <w:szCs w:val="24"/>
          <w:lang w:eastAsia="es-ES"/>
        </w:rPr>
        <w:t>.</w:t>
      </w:r>
    </w:p>
    <w:p w14:paraId="1FDFF126" w14:textId="77777777" w:rsidR="003C3DED" w:rsidRDefault="003C3DED" w:rsidP="003C3DED">
      <w:pPr>
        <w:contextualSpacing/>
        <w:rPr>
          <w:rFonts w:eastAsiaTheme="minorEastAsia" w:cs="Times New Roman"/>
          <w:szCs w:val="24"/>
          <w:lang w:eastAsia="es-ES"/>
        </w:rPr>
      </w:pPr>
    </w:p>
    <w:p w14:paraId="6D3304EF" w14:textId="77777777" w:rsidR="003C3DED" w:rsidRPr="003C3DED" w:rsidRDefault="003C3DED" w:rsidP="003C3DED">
      <w:pPr>
        <w:contextualSpacing/>
        <w:rPr>
          <w:rFonts w:eastAsiaTheme="minorEastAsia" w:cs="Times New Roman"/>
          <w:szCs w:val="24"/>
          <w:lang w:eastAsia="es-ES"/>
        </w:rPr>
      </w:pPr>
      <w:r w:rsidRPr="003C3DED">
        <w:rPr>
          <w:rFonts w:eastAsiaTheme="minorEastAsia" w:cs="Times New Roman"/>
          <w:szCs w:val="24"/>
          <w:lang w:eastAsia="es-ES"/>
        </w:rPr>
        <w:t xml:space="preserve">Si bien es cierto que la Titular de la Unidad de Transparencia es la encargada de dar atención a las solicitudes de información con fundamento en los artículos 50 y 53 </w:t>
      </w:r>
      <w:r w:rsidRPr="003C3DED">
        <w:rPr>
          <w:rFonts w:eastAsiaTheme="minorEastAsia" w:cs="Times New Roman"/>
          <w:szCs w:val="24"/>
          <w:lang w:eastAsia="es-ES"/>
        </w:rPr>
        <w:lastRenderedPageBreak/>
        <w:t>fracciones II, V y VI de la Ley de Transparencia y Acceso a la Información Pública del Estado de México y Municipios, que refieren:</w:t>
      </w:r>
    </w:p>
    <w:p w14:paraId="595145A0" w14:textId="77777777" w:rsidR="003C3DED" w:rsidRPr="003C3DED" w:rsidRDefault="003C3DED" w:rsidP="003C3DED">
      <w:pPr>
        <w:ind w:left="360"/>
        <w:contextualSpacing/>
        <w:rPr>
          <w:rFonts w:eastAsiaTheme="minorEastAsia" w:cs="Times New Roman"/>
          <w:szCs w:val="24"/>
          <w:lang w:eastAsia="es-ES"/>
        </w:rPr>
      </w:pPr>
    </w:p>
    <w:p w14:paraId="1DE8EE42" w14:textId="77777777" w:rsidR="003C3DED" w:rsidRPr="003C3DED" w:rsidRDefault="003C3DED" w:rsidP="003C3DED">
      <w:pPr>
        <w:tabs>
          <w:tab w:val="left" w:pos="709"/>
        </w:tabs>
        <w:ind w:left="360" w:right="760"/>
        <w:contextualSpacing/>
        <w:rPr>
          <w:rFonts w:eastAsiaTheme="minorEastAsia" w:cs="Arial"/>
          <w:i/>
          <w:sz w:val="22"/>
        </w:rPr>
      </w:pPr>
      <w:r w:rsidRPr="003C3DED">
        <w:rPr>
          <w:rFonts w:eastAsiaTheme="minorEastAsia" w:cs="Arial"/>
          <w:i/>
          <w:sz w:val="22"/>
        </w:rPr>
        <w:t xml:space="preserve">“Artículo 50. Los sujetos obligados contarán con un área responsable para la atención de las solicitudes de información, a la que se le denominará Unidad de Transparencia. </w:t>
      </w:r>
    </w:p>
    <w:p w14:paraId="0C09195F" w14:textId="77777777" w:rsidR="003C3DED" w:rsidRPr="003C3DED" w:rsidRDefault="003C3DED" w:rsidP="003C3DED">
      <w:pPr>
        <w:tabs>
          <w:tab w:val="left" w:pos="709"/>
        </w:tabs>
        <w:ind w:left="360" w:right="760"/>
        <w:contextualSpacing/>
        <w:rPr>
          <w:rFonts w:eastAsiaTheme="minorEastAsia" w:cs="Arial"/>
          <w:i/>
          <w:sz w:val="22"/>
        </w:rPr>
      </w:pPr>
    </w:p>
    <w:p w14:paraId="541EF840" w14:textId="77777777" w:rsidR="003C3DED" w:rsidRPr="003C3DED" w:rsidRDefault="003C3DED" w:rsidP="003C3DED">
      <w:pPr>
        <w:tabs>
          <w:tab w:val="left" w:pos="709"/>
        </w:tabs>
        <w:ind w:left="360" w:right="760"/>
        <w:contextualSpacing/>
        <w:rPr>
          <w:rFonts w:eastAsiaTheme="minorEastAsia" w:cs="Arial"/>
          <w:i/>
          <w:sz w:val="22"/>
        </w:rPr>
      </w:pPr>
      <w:r w:rsidRPr="003C3DED">
        <w:rPr>
          <w:rFonts w:eastAsiaTheme="minorEastAsia" w:cs="Arial"/>
          <w:i/>
          <w:sz w:val="22"/>
        </w:rPr>
        <w:t xml:space="preserve">Artículo 51. Los sujetos obligados designaran a un responsable para atender la Unidad de Transparencia, quien fungirá como enlace entre éstos y los solicitantes. </w:t>
      </w:r>
      <w:r w:rsidRPr="003C3DED">
        <w:rPr>
          <w:rFonts w:eastAsiaTheme="minorEastAsia" w:cs="Arial"/>
          <w:b/>
          <w:i/>
          <w:sz w:val="22"/>
          <w:u w:val="single"/>
        </w:rPr>
        <w:t>Dicha Unidad será la encargada de tramitar internamente la solicitud de información</w:t>
      </w:r>
      <w:r w:rsidRPr="003C3DED">
        <w:rPr>
          <w:rFonts w:eastAsiaTheme="minorEastAsia" w:cs="Arial"/>
          <w:i/>
          <w:sz w:val="22"/>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3268591" w14:textId="77777777" w:rsidR="003C3DED" w:rsidRPr="003C3DED" w:rsidRDefault="003C3DED" w:rsidP="003C3DED">
      <w:pPr>
        <w:tabs>
          <w:tab w:val="left" w:pos="709"/>
        </w:tabs>
        <w:ind w:left="360" w:right="760"/>
        <w:contextualSpacing/>
        <w:rPr>
          <w:rFonts w:eastAsiaTheme="minorEastAsia" w:cs="Arial"/>
          <w:i/>
          <w:sz w:val="22"/>
        </w:rPr>
      </w:pPr>
      <w:r w:rsidRPr="003C3DED">
        <w:rPr>
          <w:rFonts w:eastAsiaTheme="minorEastAsia" w:cs="Arial"/>
          <w:i/>
          <w:sz w:val="22"/>
        </w:rPr>
        <w:t>…</w:t>
      </w:r>
    </w:p>
    <w:p w14:paraId="37DEEF1B" w14:textId="77777777" w:rsidR="003C3DED" w:rsidRPr="003C3DED" w:rsidRDefault="003C3DED" w:rsidP="003C3DED">
      <w:pPr>
        <w:tabs>
          <w:tab w:val="left" w:pos="709"/>
        </w:tabs>
        <w:ind w:left="360" w:right="760"/>
        <w:contextualSpacing/>
        <w:rPr>
          <w:rFonts w:eastAsiaTheme="minorEastAsia" w:cs="Arial"/>
          <w:i/>
          <w:sz w:val="22"/>
        </w:rPr>
      </w:pPr>
      <w:r w:rsidRPr="003C3DED">
        <w:rPr>
          <w:rFonts w:eastAsiaTheme="minorEastAsia" w:cs="Arial"/>
          <w:i/>
          <w:sz w:val="22"/>
        </w:rPr>
        <w:t>Artículo 53. Las Unidades de Transparencia tendrán las siguientes funciones:</w:t>
      </w:r>
    </w:p>
    <w:p w14:paraId="7E87BA11" w14:textId="77777777" w:rsidR="003C3DED" w:rsidRPr="003C3DED" w:rsidRDefault="003C3DED" w:rsidP="003C3DED">
      <w:pPr>
        <w:tabs>
          <w:tab w:val="left" w:pos="709"/>
        </w:tabs>
        <w:ind w:left="360" w:right="760"/>
        <w:contextualSpacing/>
        <w:rPr>
          <w:rFonts w:eastAsiaTheme="minorEastAsia" w:cs="Arial"/>
          <w:i/>
          <w:sz w:val="22"/>
        </w:rPr>
      </w:pPr>
      <w:r w:rsidRPr="003C3DED">
        <w:rPr>
          <w:rFonts w:eastAsiaTheme="minorEastAsia" w:cs="Arial"/>
          <w:i/>
          <w:sz w:val="22"/>
        </w:rPr>
        <w:t>…</w:t>
      </w:r>
    </w:p>
    <w:p w14:paraId="37FA2785" w14:textId="77777777" w:rsidR="003C3DED" w:rsidRPr="003C3DED" w:rsidRDefault="003C3DED" w:rsidP="003C3DED">
      <w:pPr>
        <w:tabs>
          <w:tab w:val="left" w:pos="709"/>
        </w:tabs>
        <w:ind w:left="360" w:right="760"/>
        <w:contextualSpacing/>
        <w:rPr>
          <w:rFonts w:eastAsiaTheme="minorEastAsia" w:cs="Arial"/>
          <w:i/>
          <w:sz w:val="22"/>
        </w:rPr>
      </w:pPr>
      <w:r w:rsidRPr="003C3DED">
        <w:rPr>
          <w:rFonts w:eastAsiaTheme="minorEastAsia" w:cs="Arial"/>
          <w:i/>
          <w:sz w:val="22"/>
        </w:rPr>
        <w:t xml:space="preserve">II. Recibir, tramitar y dar respuesta a las solicitudes de acceso a la información; </w:t>
      </w:r>
    </w:p>
    <w:p w14:paraId="12CAF136" w14:textId="77777777" w:rsidR="003C3DED" w:rsidRPr="003C3DED" w:rsidRDefault="003C3DED" w:rsidP="003C3DED">
      <w:pPr>
        <w:tabs>
          <w:tab w:val="left" w:pos="709"/>
        </w:tabs>
        <w:ind w:left="360" w:right="760"/>
        <w:contextualSpacing/>
        <w:rPr>
          <w:rFonts w:eastAsiaTheme="minorEastAsia" w:cs="Arial"/>
          <w:i/>
          <w:sz w:val="22"/>
        </w:rPr>
      </w:pPr>
      <w:r w:rsidRPr="003C3DED">
        <w:rPr>
          <w:rFonts w:eastAsiaTheme="minorEastAsia" w:cs="Arial"/>
          <w:i/>
          <w:sz w:val="22"/>
        </w:rPr>
        <w:t>…</w:t>
      </w:r>
    </w:p>
    <w:p w14:paraId="0E945A92" w14:textId="77777777" w:rsidR="003C3DED" w:rsidRPr="003C3DED" w:rsidRDefault="003C3DED" w:rsidP="003C3DED">
      <w:pPr>
        <w:tabs>
          <w:tab w:val="left" w:pos="709"/>
        </w:tabs>
        <w:ind w:left="360" w:right="760"/>
        <w:contextualSpacing/>
        <w:rPr>
          <w:rFonts w:eastAsiaTheme="minorEastAsia" w:cs="Arial"/>
          <w:b/>
          <w:i/>
          <w:sz w:val="22"/>
          <w:u w:val="single"/>
        </w:rPr>
      </w:pPr>
      <w:r w:rsidRPr="003C3DED">
        <w:rPr>
          <w:rFonts w:eastAsiaTheme="minorEastAsia" w:cs="Arial"/>
          <w:b/>
          <w:i/>
          <w:sz w:val="22"/>
          <w:u w:val="single"/>
        </w:rPr>
        <w:t xml:space="preserve">IV. Realizar, con efectividad, los trámites internos necesarios para la atención de las solicitudes de acceso a la información; </w:t>
      </w:r>
    </w:p>
    <w:p w14:paraId="6C633E1F" w14:textId="77777777" w:rsidR="003C3DED" w:rsidRPr="003C3DED" w:rsidRDefault="003C3DED" w:rsidP="003C3DED">
      <w:pPr>
        <w:tabs>
          <w:tab w:val="left" w:pos="709"/>
        </w:tabs>
        <w:ind w:left="360" w:right="760"/>
        <w:contextualSpacing/>
        <w:rPr>
          <w:rFonts w:eastAsiaTheme="minorEastAsia" w:cs="Arial"/>
          <w:i/>
          <w:sz w:val="22"/>
        </w:rPr>
      </w:pPr>
      <w:r w:rsidRPr="003C3DED">
        <w:rPr>
          <w:rFonts w:eastAsiaTheme="minorEastAsia" w:cs="Arial"/>
          <w:i/>
          <w:sz w:val="22"/>
        </w:rPr>
        <w:t xml:space="preserve">V. Entregar, en su caso, a los particulares la información solicitada; </w:t>
      </w:r>
    </w:p>
    <w:p w14:paraId="3653161C" w14:textId="77777777" w:rsidR="003C3DED" w:rsidRPr="003C3DED" w:rsidRDefault="003C3DED" w:rsidP="003C3DED">
      <w:pPr>
        <w:tabs>
          <w:tab w:val="left" w:pos="709"/>
        </w:tabs>
        <w:ind w:left="360" w:right="760"/>
        <w:contextualSpacing/>
        <w:rPr>
          <w:rFonts w:eastAsiaTheme="minorEastAsia" w:cs="Arial"/>
          <w:i/>
          <w:sz w:val="22"/>
        </w:rPr>
      </w:pPr>
      <w:r w:rsidRPr="003C3DED">
        <w:rPr>
          <w:rFonts w:eastAsiaTheme="minorEastAsia" w:cs="Arial"/>
          <w:i/>
          <w:sz w:val="22"/>
        </w:rPr>
        <w:t>VI. Efectuar las notificaciones a los solicitantes;”</w:t>
      </w:r>
    </w:p>
    <w:p w14:paraId="2C840AE9" w14:textId="77777777" w:rsidR="003C3DED" w:rsidRPr="003C3DED" w:rsidRDefault="003C3DED" w:rsidP="003C3DED">
      <w:pPr>
        <w:tabs>
          <w:tab w:val="left" w:pos="709"/>
        </w:tabs>
        <w:ind w:left="357" w:right="760"/>
        <w:contextualSpacing/>
        <w:rPr>
          <w:rFonts w:eastAsiaTheme="minorEastAsia" w:cs="Arial"/>
          <w:i/>
          <w:szCs w:val="24"/>
        </w:rPr>
      </w:pPr>
    </w:p>
    <w:p w14:paraId="60A36535" w14:textId="77777777" w:rsidR="003C3DED" w:rsidRPr="003C3DED" w:rsidRDefault="003C3DED" w:rsidP="003C3DED">
      <w:pPr>
        <w:contextualSpacing/>
        <w:rPr>
          <w:rFonts w:eastAsiaTheme="minorEastAsia" w:cs="Times New Roman"/>
          <w:szCs w:val="24"/>
          <w:lang w:eastAsia="es-ES"/>
        </w:rPr>
      </w:pPr>
      <w:r w:rsidRPr="003C3DED">
        <w:rPr>
          <w:rFonts w:eastAsiaTheme="minorEastAsia" w:cs="Times New Roman"/>
          <w:szCs w:val="24"/>
          <w:lang w:eastAsia="es-ES"/>
        </w:rPr>
        <w:t xml:space="preserve">También lo es que su función primordial es la de turnar la solicitud a todas las Áreas que por su competencia pueden generar, administrar o poseer la información solicitada y </w:t>
      </w:r>
      <w:r w:rsidRPr="003C3DED">
        <w:rPr>
          <w:rFonts w:eastAsiaTheme="minorEastAsia" w:cs="Times New Roman"/>
          <w:szCs w:val="24"/>
          <w:lang w:eastAsia="es-ES"/>
        </w:rPr>
        <w:lastRenderedPageBreak/>
        <w:t>poner a disposición de los solicitantes las respuestas que le sean remitidas, como resulta del caso concreto.</w:t>
      </w:r>
    </w:p>
    <w:p w14:paraId="776E96EA" w14:textId="77777777" w:rsidR="003C3DED" w:rsidRPr="003C3DED" w:rsidRDefault="003C3DED" w:rsidP="003C3DED">
      <w:pPr>
        <w:contextualSpacing/>
        <w:rPr>
          <w:rFonts w:eastAsiaTheme="minorEastAsia" w:cs="Times New Roman"/>
          <w:szCs w:val="24"/>
          <w:lang w:eastAsia="es-ES"/>
        </w:rPr>
      </w:pPr>
    </w:p>
    <w:p w14:paraId="68A08817" w14:textId="77777777" w:rsidR="003C3DED" w:rsidRDefault="003C3DED" w:rsidP="003C3DED">
      <w:pPr>
        <w:contextualSpacing/>
        <w:rPr>
          <w:rFonts w:eastAsiaTheme="minorEastAsia" w:cs="Arial"/>
          <w:szCs w:val="24"/>
          <w:lang w:eastAsia="es-ES"/>
        </w:rPr>
      </w:pPr>
      <w:r w:rsidRPr="005B3584">
        <w:rPr>
          <w:color w:val="000000" w:themeColor="text1"/>
        </w:rPr>
        <w:t>Atento a lo anterior es dable revocar la respuesta emitida y ordenar la información solicitada que fue generada previo a la interposición</w:t>
      </w:r>
      <w:r>
        <w:rPr>
          <w:color w:val="000000" w:themeColor="text1"/>
        </w:rPr>
        <w:t xml:space="preserve"> de la solicitud de información </w:t>
      </w:r>
      <w:r w:rsidRPr="003C3DED">
        <w:rPr>
          <w:rFonts w:eastAsiaTheme="minorEastAsia" w:cs="Arial"/>
          <w:szCs w:val="24"/>
          <w:lang w:eastAsia="es-ES"/>
        </w:rPr>
        <w:t xml:space="preserve">Luego entonces, se insiste en que se deberá entregar la información requerida, haciendo énfasis en el artículo 12, de la Ley de la materia que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23003D2C" w14:textId="77777777" w:rsidR="00C73FB1" w:rsidRPr="003C3DED" w:rsidRDefault="00C73FB1" w:rsidP="003C3DED">
      <w:pPr>
        <w:contextualSpacing/>
        <w:rPr>
          <w:rFonts w:eastAsiaTheme="minorEastAsia" w:cs="Arial"/>
          <w:i/>
          <w:szCs w:val="24"/>
          <w:lang w:eastAsia="es-ES"/>
        </w:rPr>
      </w:pPr>
    </w:p>
    <w:p w14:paraId="7191C893" w14:textId="77777777" w:rsidR="003C3DED" w:rsidRPr="003C3DED" w:rsidRDefault="003C3DED" w:rsidP="003C3DED">
      <w:pPr>
        <w:ind w:left="505" w:right="567"/>
        <w:contextualSpacing/>
        <w:rPr>
          <w:rFonts w:eastAsiaTheme="minorEastAsia" w:cs="Arial"/>
          <w:i/>
          <w:sz w:val="22"/>
          <w:lang w:eastAsia="es-ES"/>
        </w:rPr>
      </w:pPr>
      <w:r w:rsidRPr="003C3DED">
        <w:rPr>
          <w:rFonts w:eastAsiaTheme="minorEastAsia" w:cs="Arial"/>
          <w:i/>
          <w:sz w:val="22"/>
          <w:lang w:eastAsia="es-ES"/>
        </w:rPr>
        <w:t>“</w:t>
      </w:r>
      <w:r w:rsidRPr="003C3DED">
        <w:rPr>
          <w:rFonts w:eastAsiaTheme="minorEastAsia" w:cs="Arial"/>
          <w:b/>
          <w:i/>
          <w:color w:val="000000"/>
          <w:sz w:val="22"/>
          <w:lang w:eastAsia="es-ES"/>
        </w:rPr>
        <w:t>Artículo 12.</w:t>
      </w:r>
      <w:r w:rsidRPr="003C3DED">
        <w:rPr>
          <w:rFonts w:eastAsiaTheme="minorEastAsia" w:cs="Arial"/>
          <w:i/>
          <w:color w:val="000000"/>
          <w:sz w:val="22"/>
          <w:lang w:eastAsia="es-ES"/>
        </w:rPr>
        <w:t xml:space="preserve"> Quienes generen, recopilen, administren, manejen, procesen, archiven o conserven información pública serán responsables de la misma en los términos de las disposiciones jurídicas aplicables. </w:t>
      </w:r>
    </w:p>
    <w:p w14:paraId="00C890AA" w14:textId="77777777" w:rsidR="003C3DED" w:rsidRPr="003C3DED" w:rsidRDefault="003C3DED" w:rsidP="003C3DED">
      <w:pPr>
        <w:ind w:left="505" w:right="567"/>
        <w:contextualSpacing/>
        <w:rPr>
          <w:rFonts w:eastAsiaTheme="minorEastAsia" w:cs="Arial"/>
          <w:i/>
          <w:color w:val="000000"/>
          <w:sz w:val="22"/>
          <w:lang w:eastAsia="es-ES"/>
        </w:rPr>
      </w:pPr>
    </w:p>
    <w:p w14:paraId="2962748B" w14:textId="77777777" w:rsidR="003C3DED" w:rsidRDefault="003C3DED" w:rsidP="0090545F">
      <w:pPr>
        <w:ind w:left="505" w:right="567"/>
        <w:contextualSpacing/>
        <w:rPr>
          <w:rFonts w:eastAsiaTheme="minorEastAsia" w:cs="Arial"/>
          <w:color w:val="000000"/>
          <w:sz w:val="22"/>
          <w:lang w:eastAsia="es-ES"/>
        </w:rPr>
      </w:pPr>
      <w:r w:rsidRPr="003C3DED">
        <w:rPr>
          <w:rFonts w:eastAsiaTheme="minorEastAsia" w:cs="Arial"/>
          <w:b/>
          <w:i/>
          <w:color w:val="000000"/>
          <w:sz w:val="22"/>
          <w:u w:val="single"/>
          <w:lang w:eastAsia="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3C3DED">
        <w:rPr>
          <w:rFonts w:eastAsiaTheme="minorEastAsia" w:cs="Arial"/>
          <w:i/>
          <w:sz w:val="22"/>
          <w:lang w:eastAsia="es-ES"/>
        </w:rPr>
        <w:t>”</w:t>
      </w:r>
      <w:r w:rsidR="0090545F">
        <w:rPr>
          <w:rFonts w:eastAsiaTheme="minorEastAsia" w:cs="Arial"/>
          <w:i/>
          <w:sz w:val="22"/>
          <w:lang w:eastAsia="es-ES"/>
        </w:rPr>
        <w:t xml:space="preserve"> </w:t>
      </w:r>
      <w:r w:rsidRPr="003C3DED">
        <w:rPr>
          <w:rFonts w:eastAsiaTheme="minorEastAsia" w:cs="Arial"/>
          <w:color w:val="000000"/>
          <w:sz w:val="22"/>
          <w:lang w:eastAsia="es-ES"/>
        </w:rPr>
        <w:t>Énfasis añadido</w:t>
      </w:r>
    </w:p>
    <w:p w14:paraId="5B378A90" w14:textId="77777777" w:rsidR="00C73FB1" w:rsidRPr="0090545F" w:rsidRDefault="00C73FB1" w:rsidP="0090545F">
      <w:pPr>
        <w:ind w:left="505" w:right="567"/>
        <w:contextualSpacing/>
        <w:rPr>
          <w:rFonts w:eastAsiaTheme="minorEastAsia" w:cs="Arial"/>
          <w:i/>
          <w:sz w:val="22"/>
          <w:lang w:eastAsia="es-ES"/>
        </w:rPr>
      </w:pPr>
    </w:p>
    <w:p w14:paraId="411DC779" w14:textId="572C3C6A" w:rsidR="003368FD" w:rsidRPr="003368FD" w:rsidRDefault="003368FD" w:rsidP="003368FD">
      <w:pPr>
        <w:contextualSpacing/>
        <w:rPr>
          <w:rFonts w:eastAsiaTheme="minorEastAsia" w:cs="Times New Roman"/>
          <w:color w:val="000000" w:themeColor="text1"/>
          <w:szCs w:val="24"/>
          <w:lang w:eastAsia="es-ES"/>
        </w:rPr>
      </w:pPr>
      <w:r w:rsidRPr="003368FD">
        <w:rPr>
          <w:rFonts w:eastAsiaTheme="minorEastAsia" w:cs="Times New Roman"/>
          <w:color w:val="000000" w:themeColor="text1"/>
          <w:szCs w:val="24"/>
          <w:lang w:eastAsia="es-ES"/>
        </w:rPr>
        <w:t xml:space="preserve">Así, en mérito de lo expuesto en líneas anteriores se estima que resultan </w:t>
      </w:r>
      <w:r w:rsidR="005A23A8">
        <w:rPr>
          <w:rFonts w:eastAsiaTheme="minorEastAsia" w:cs="Times New Roman"/>
          <w:b/>
          <w:color w:val="000000" w:themeColor="text1"/>
          <w:szCs w:val="24"/>
          <w:lang w:eastAsia="es-ES"/>
        </w:rPr>
        <w:t>fundadas</w:t>
      </w:r>
      <w:r w:rsidRPr="003368FD">
        <w:rPr>
          <w:rFonts w:eastAsiaTheme="minorEastAsia" w:cs="Times New Roman"/>
          <w:color w:val="000000" w:themeColor="text1"/>
          <w:szCs w:val="24"/>
          <w:lang w:eastAsia="es-ES"/>
        </w:rPr>
        <w:t xml:space="preserve"> </w:t>
      </w:r>
      <w:r w:rsidRPr="003368FD">
        <w:rPr>
          <w:rFonts w:eastAsiaTheme="minorEastAsia" w:cs="Arial"/>
          <w:szCs w:val="24"/>
          <w:lang w:eastAsia="es-ES"/>
        </w:rPr>
        <w:t>las</w:t>
      </w:r>
      <w:r w:rsidR="00A2030E">
        <w:rPr>
          <w:rFonts w:eastAsiaTheme="minorEastAsia" w:cs="Times New Roman"/>
          <w:color w:val="000000" w:themeColor="text1"/>
          <w:szCs w:val="24"/>
          <w:lang w:eastAsia="es-ES"/>
        </w:rPr>
        <w:t xml:space="preserve"> razones y</w:t>
      </w:r>
      <w:r w:rsidRPr="003368FD">
        <w:rPr>
          <w:rFonts w:eastAsiaTheme="minorEastAsia" w:cs="Times New Roman"/>
          <w:color w:val="000000" w:themeColor="text1"/>
          <w:szCs w:val="24"/>
          <w:lang w:eastAsia="es-ES"/>
        </w:rPr>
        <w:t xml:space="preserve"> </w:t>
      </w:r>
      <w:r w:rsidRPr="003368FD">
        <w:rPr>
          <w:rFonts w:eastAsiaTheme="minorEastAsia" w:cs="Arial"/>
          <w:szCs w:val="24"/>
          <w:lang w:eastAsia="es-ES"/>
        </w:rPr>
        <w:t>motivos</w:t>
      </w:r>
      <w:r w:rsidRPr="003368FD">
        <w:rPr>
          <w:rFonts w:eastAsiaTheme="minorEastAsia" w:cs="Times New Roman"/>
          <w:color w:val="000000" w:themeColor="text1"/>
          <w:szCs w:val="24"/>
          <w:lang w:eastAsia="es-ES"/>
        </w:rPr>
        <w:t xml:space="preserve"> de inconformidad que arguye </w:t>
      </w:r>
      <w:r w:rsidRPr="003368FD">
        <w:rPr>
          <w:rFonts w:eastAsiaTheme="minorEastAsia" w:cs="Times New Roman"/>
          <w:b/>
          <w:color w:val="000000" w:themeColor="text1"/>
          <w:szCs w:val="24"/>
          <w:lang w:eastAsia="es-ES"/>
        </w:rPr>
        <w:t>EL RECURRENTE</w:t>
      </w:r>
      <w:r w:rsidR="005A23A8">
        <w:rPr>
          <w:rFonts w:eastAsiaTheme="minorEastAsia" w:cs="Times New Roman"/>
          <w:b/>
          <w:color w:val="000000" w:themeColor="text1"/>
          <w:szCs w:val="24"/>
          <w:lang w:eastAsia="es-ES"/>
        </w:rPr>
        <w:t xml:space="preserve"> </w:t>
      </w:r>
      <w:r w:rsidR="005A23A8">
        <w:rPr>
          <w:rFonts w:eastAsiaTheme="minorEastAsia" w:cs="Times New Roman"/>
          <w:color w:val="000000" w:themeColor="text1"/>
          <w:szCs w:val="24"/>
          <w:lang w:eastAsia="es-ES"/>
        </w:rPr>
        <w:t xml:space="preserve">por lo que es procedente revocar la respuesta emitida por el Sujeto Obligado y ordenar la factura u </w:t>
      </w:r>
      <w:r w:rsidR="005A23A8">
        <w:rPr>
          <w:rFonts w:eastAsiaTheme="minorEastAsia" w:cs="Times New Roman"/>
          <w:color w:val="000000" w:themeColor="text1"/>
          <w:szCs w:val="24"/>
          <w:lang w:eastAsia="es-ES"/>
        </w:rPr>
        <w:lastRenderedPageBreak/>
        <w:t>orden de pago de la escultura denominada “</w:t>
      </w:r>
      <w:proofErr w:type="spellStart"/>
      <w:r w:rsidR="005A23A8">
        <w:rPr>
          <w:color w:val="000000"/>
          <w:szCs w:val="24"/>
        </w:rPr>
        <w:t>Y</w:t>
      </w:r>
      <w:r w:rsidR="005A23A8" w:rsidRPr="005A23A8">
        <w:rPr>
          <w:color w:val="000000"/>
          <w:szCs w:val="24"/>
        </w:rPr>
        <w:t>aotecuani</w:t>
      </w:r>
      <w:proofErr w:type="spellEnd"/>
      <w:r w:rsidR="005A23A8">
        <w:rPr>
          <w:color w:val="000000"/>
          <w:szCs w:val="24"/>
        </w:rPr>
        <w:t>”</w:t>
      </w:r>
      <w:r w:rsidRPr="003368FD">
        <w:rPr>
          <w:rFonts w:eastAsiaTheme="minorEastAsia" w:cs="Times New Roman"/>
          <w:color w:val="000000" w:themeColor="text1"/>
          <w:szCs w:val="24"/>
          <w:lang w:eastAsia="es-ES"/>
        </w:rPr>
        <w:t>; no pasando desapercibido en ese aspecto, las manifestaciones subjetivas</w:t>
      </w:r>
      <w:r w:rsidR="005A23A8">
        <w:rPr>
          <w:rFonts w:eastAsiaTheme="minorEastAsia" w:cs="Times New Roman"/>
          <w:color w:val="000000" w:themeColor="text1"/>
          <w:szCs w:val="24"/>
          <w:lang w:eastAsia="es-ES"/>
        </w:rPr>
        <w:t xml:space="preserve"> vertidas en sus motivos de inconformidad</w:t>
      </w:r>
      <w:r w:rsidR="00C73FB1">
        <w:rPr>
          <w:rFonts w:eastAsiaTheme="minorEastAsia" w:cs="Times New Roman"/>
          <w:color w:val="000000" w:themeColor="text1"/>
          <w:szCs w:val="24"/>
          <w:lang w:eastAsia="es-ES"/>
        </w:rPr>
        <w:t xml:space="preserve"> este Órgano Garante orienta al recurrente a que en futuras solicitudes de información se dirija con respeto</w:t>
      </w:r>
      <w:r w:rsidRPr="003368FD">
        <w:rPr>
          <w:rFonts w:eastAsiaTheme="minorEastAsia" w:cs="Times New Roman"/>
          <w:color w:val="000000" w:themeColor="text1"/>
          <w:szCs w:val="24"/>
          <w:lang w:eastAsia="es-ES"/>
        </w:rPr>
        <w:t>.</w:t>
      </w:r>
    </w:p>
    <w:p w14:paraId="2E7A3D2B" w14:textId="77777777" w:rsidR="003368FD" w:rsidRPr="003368FD" w:rsidRDefault="003368FD" w:rsidP="003368FD">
      <w:pPr>
        <w:spacing w:line="240" w:lineRule="auto"/>
        <w:ind w:left="720"/>
        <w:contextualSpacing/>
        <w:jc w:val="left"/>
        <w:rPr>
          <w:rFonts w:eastAsiaTheme="minorEastAsia" w:cs="Times New Roman"/>
          <w:color w:val="000000" w:themeColor="text1"/>
          <w:szCs w:val="24"/>
          <w:lang w:eastAsia="es-ES"/>
        </w:rPr>
      </w:pPr>
    </w:p>
    <w:p w14:paraId="22897270" w14:textId="77777777" w:rsidR="003368FD" w:rsidRPr="003368FD" w:rsidRDefault="003368FD" w:rsidP="003368FD">
      <w:pPr>
        <w:contextualSpacing/>
        <w:rPr>
          <w:rFonts w:eastAsiaTheme="minorEastAsia" w:cs="Times New Roman"/>
          <w:szCs w:val="24"/>
          <w:lang w:val="es-MX" w:eastAsia="en-US"/>
        </w:rPr>
      </w:pPr>
      <w:r w:rsidRPr="003368FD">
        <w:rPr>
          <w:rFonts w:eastAsiaTheme="minorEastAsia" w:cs="Times New Roman"/>
          <w:szCs w:val="24"/>
          <w:lang w:val="es-MX" w:eastAsia="en-US"/>
        </w:rPr>
        <w:t xml:space="preserve">Al respecto, es oportuno señalar que si bien es cierto los artículos 6° y 8° de la Constitución Política de los Estados Unidos Mexicanos tienen como fin garantizar que la autoridad atienda las peticiones y solicitudes de información de las personas, también es imperante que los particulares en el ejercicio de acceso a la información al igual que en el de derecho de petición, </w:t>
      </w:r>
      <w:r w:rsidRPr="003368FD">
        <w:rPr>
          <w:rFonts w:eastAsiaTheme="minorEastAsia" w:cs="Times New Roman"/>
          <w:b/>
          <w:szCs w:val="24"/>
          <w:lang w:val="es-MX" w:eastAsia="en-US"/>
        </w:rPr>
        <w:t>dirijan los escritos o solicitudes a la autoridad dentro de un margen de respeto</w:t>
      </w:r>
      <w:r w:rsidRPr="003368FD">
        <w:rPr>
          <w:rFonts w:eastAsiaTheme="minorEastAsia" w:cs="Times New Roman"/>
          <w:szCs w:val="24"/>
          <w:lang w:val="es-MX" w:eastAsia="en-US"/>
        </w:rPr>
        <w:t xml:space="preserve">, tal como lo dispone el artículo 8° constitucional, que por afinidad es aplicable para el ejercicio de derecho de acceso al a información, debiéndose redactar de manera </w:t>
      </w:r>
      <w:r w:rsidRPr="003368FD">
        <w:rPr>
          <w:rFonts w:eastAsiaTheme="minorEastAsia" w:cs="Times New Roman"/>
          <w:b/>
          <w:szCs w:val="24"/>
          <w:lang w:val="es-MX" w:eastAsia="en-US"/>
        </w:rPr>
        <w:t>pacífica y respetuosa</w:t>
      </w:r>
      <w:r w:rsidRPr="003368FD">
        <w:rPr>
          <w:rFonts w:eastAsiaTheme="minorEastAsia" w:cs="Times New Roman"/>
          <w:szCs w:val="24"/>
          <w:lang w:val="es-MX" w:eastAsia="en-US"/>
        </w:rPr>
        <w:t xml:space="preserve"> las solicitudes de información o los escritos de recurso de revisión. </w:t>
      </w:r>
    </w:p>
    <w:p w14:paraId="0DF80809" w14:textId="77777777" w:rsidR="003368FD" w:rsidRPr="00DC5A44" w:rsidRDefault="003368FD" w:rsidP="00DC5A44">
      <w:pPr>
        <w:pBdr>
          <w:top w:val="nil"/>
          <w:left w:val="nil"/>
          <w:bottom w:val="nil"/>
          <w:right w:val="nil"/>
          <w:between w:val="nil"/>
        </w:pBdr>
        <w:contextualSpacing/>
        <w:rPr>
          <w:i/>
        </w:rPr>
      </w:pPr>
    </w:p>
    <w:p w14:paraId="7F58F079" w14:textId="77777777" w:rsidR="00EC408A" w:rsidRPr="00134536" w:rsidRDefault="00EC408A" w:rsidP="00EC408A">
      <w:pPr>
        <w:numPr>
          <w:ilvl w:val="0"/>
          <w:numId w:val="7"/>
        </w:numPr>
        <w:rPr>
          <w:rFonts w:eastAsia="Times New Roman" w:cs="Arial"/>
          <w:b/>
          <w:i/>
          <w:szCs w:val="24"/>
          <w:lang w:val="es-ES" w:eastAsia="es-ES"/>
        </w:rPr>
      </w:pPr>
      <w:r w:rsidRPr="00134536">
        <w:rPr>
          <w:rFonts w:eastAsia="Times New Roman" w:cs="Arial"/>
          <w:b/>
          <w:i/>
          <w:szCs w:val="24"/>
          <w:lang w:val="es-ES" w:eastAsia="es-ES"/>
        </w:rPr>
        <w:t>De la Versión pública</w:t>
      </w:r>
    </w:p>
    <w:p w14:paraId="120E3C6F" w14:textId="77777777" w:rsidR="00EC408A" w:rsidRPr="00134536" w:rsidRDefault="00EC408A" w:rsidP="00EC408A">
      <w:pPr>
        <w:rPr>
          <w:rFonts w:eastAsia="Times New Roman" w:cs="Times New Roman"/>
          <w:szCs w:val="24"/>
          <w:lang w:eastAsia="es-ES"/>
        </w:rPr>
      </w:pPr>
      <w:r w:rsidRPr="00134536">
        <w:rPr>
          <w:rFonts w:eastAsia="Times New Roman" w:cs="Times New Roman"/>
          <w:bCs/>
          <w:szCs w:val="24"/>
          <w:lang w:eastAsia="es-ES"/>
        </w:rPr>
        <w:t>A este respecto, los</w:t>
      </w:r>
      <w:r w:rsidRPr="00134536">
        <w:rPr>
          <w:rFonts w:eastAsia="Times New Roman" w:cs="Times New Roman"/>
          <w:szCs w:val="24"/>
          <w:lang w:eastAsia="es-ES"/>
        </w:rPr>
        <w:t xml:space="preserve"> artículos 3, fracciones IX, XX, XXI y XLV; 51 y 52 de la Ley de Transparencia y Acceso a la Información Pública del Estado de México y Municipios establecen:</w:t>
      </w:r>
    </w:p>
    <w:p w14:paraId="47312625" w14:textId="77777777" w:rsidR="00EC408A" w:rsidRPr="00E77A4F" w:rsidRDefault="00EC408A" w:rsidP="00EC408A">
      <w:pPr>
        <w:ind w:left="567" w:right="567"/>
        <w:rPr>
          <w:rFonts w:eastAsia="Times New Roman" w:cs="Times New Roman"/>
          <w:i/>
          <w:sz w:val="22"/>
          <w:lang w:eastAsia="es-ES"/>
        </w:rPr>
      </w:pPr>
      <w:r w:rsidRPr="00E77A4F">
        <w:rPr>
          <w:rFonts w:eastAsia="Times New Roman" w:cs="Arial"/>
          <w:b/>
          <w:bCs/>
          <w:i/>
          <w:noProof/>
          <w:sz w:val="22"/>
          <w:lang w:eastAsia="es-ES"/>
        </w:rPr>
        <w:t>“</w:t>
      </w:r>
      <w:r w:rsidRPr="00E77A4F">
        <w:rPr>
          <w:rFonts w:eastAsia="Times New Roman" w:cs="Arial"/>
          <w:b/>
          <w:bCs/>
          <w:i/>
          <w:sz w:val="22"/>
        </w:rPr>
        <w:t>Artículo</w:t>
      </w:r>
      <w:r w:rsidRPr="00E77A4F">
        <w:rPr>
          <w:rFonts w:eastAsia="Times New Roman" w:cs="Arial"/>
          <w:b/>
          <w:bCs/>
          <w:i/>
          <w:sz w:val="22"/>
          <w:lang w:eastAsia="es-ES"/>
        </w:rPr>
        <w:t xml:space="preserve"> 3. </w:t>
      </w:r>
      <w:r w:rsidRPr="00E77A4F">
        <w:rPr>
          <w:rFonts w:eastAsia="Times New Roman" w:cs="Times New Roman"/>
          <w:i/>
          <w:sz w:val="22"/>
          <w:lang w:eastAsia="es-ES"/>
        </w:rPr>
        <w:t xml:space="preserve">Para los efectos de la presente Ley se entenderá por: </w:t>
      </w:r>
    </w:p>
    <w:p w14:paraId="43913FA5" w14:textId="77777777" w:rsidR="00EC408A" w:rsidRPr="00E77A4F" w:rsidRDefault="00EC408A" w:rsidP="00EC408A">
      <w:pPr>
        <w:ind w:left="567" w:right="567"/>
        <w:rPr>
          <w:rFonts w:eastAsia="Times New Roman" w:cs="Arial"/>
          <w:i/>
          <w:sz w:val="22"/>
          <w:lang w:eastAsia="es-ES"/>
        </w:rPr>
      </w:pPr>
      <w:r w:rsidRPr="00E77A4F">
        <w:rPr>
          <w:rFonts w:eastAsia="Times New Roman" w:cs="Arial"/>
          <w:b/>
          <w:i/>
          <w:sz w:val="22"/>
          <w:lang w:eastAsia="es-ES"/>
        </w:rPr>
        <w:t>IX.</w:t>
      </w:r>
      <w:r w:rsidRPr="00E77A4F">
        <w:rPr>
          <w:rFonts w:eastAsia="Times New Roman" w:cs="Arial"/>
          <w:i/>
          <w:sz w:val="22"/>
          <w:lang w:eastAsia="es-ES"/>
        </w:rPr>
        <w:t xml:space="preserve"> </w:t>
      </w:r>
      <w:r w:rsidRPr="00E77A4F">
        <w:rPr>
          <w:rFonts w:eastAsia="Times New Roman" w:cs="Arial"/>
          <w:b/>
          <w:i/>
          <w:sz w:val="22"/>
          <w:lang w:eastAsia="es-ES"/>
        </w:rPr>
        <w:t xml:space="preserve">Datos personales: </w:t>
      </w:r>
      <w:r w:rsidRPr="00E77A4F">
        <w:rPr>
          <w:rFonts w:eastAsia="Times New Roman" w:cs="Arial"/>
          <w:i/>
          <w:sz w:val="22"/>
          <w:lang w:eastAsia="es-ES"/>
        </w:rPr>
        <w:t xml:space="preserve">La información concerniente a una persona, identificada o identificable según lo dispuesto por la Ley de Protección de Datos Personales del Estado de México; </w:t>
      </w:r>
    </w:p>
    <w:p w14:paraId="36436D7E" w14:textId="77777777" w:rsidR="00EC408A" w:rsidRPr="00E77A4F" w:rsidRDefault="00EC408A" w:rsidP="00EC408A">
      <w:pPr>
        <w:ind w:left="567" w:right="567"/>
        <w:rPr>
          <w:rFonts w:eastAsia="Times New Roman" w:cs="Arial"/>
          <w:i/>
          <w:sz w:val="22"/>
          <w:lang w:eastAsia="es-ES"/>
        </w:rPr>
      </w:pPr>
      <w:r w:rsidRPr="00E77A4F">
        <w:rPr>
          <w:rFonts w:eastAsia="Times New Roman" w:cs="Arial"/>
          <w:b/>
          <w:i/>
          <w:sz w:val="22"/>
          <w:lang w:eastAsia="es-ES"/>
        </w:rPr>
        <w:t>XX.</w:t>
      </w:r>
      <w:r w:rsidRPr="00E77A4F">
        <w:rPr>
          <w:rFonts w:eastAsia="Times New Roman" w:cs="Arial"/>
          <w:i/>
          <w:sz w:val="22"/>
          <w:lang w:eastAsia="es-ES"/>
        </w:rPr>
        <w:t xml:space="preserve"> </w:t>
      </w:r>
      <w:r w:rsidRPr="00E77A4F">
        <w:rPr>
          <w:rFonts w:eastAsia="Times New Roman" w:cs="Arial"/>
          <w:b/>
          <w:i/>
          <w:sz w:val="22"/>
          <w:lang w:eastAsia="es-ES"/>
        </w:rPr>
        <w:t>Información clasificada:</w:t>
      </w:r>
      <w:r w:rsidRPr="00E77A4F">
        <w:rPr>
          <w:rFonts w:eastAsia="Times New Roman" w:cs="Arial"/>
          <w:i/>
          <w:sz w:val="22"/>
          <w:lang w:eastAsia="es-ES"/>
        </w:rPr>
        <w:t xml:space="preserve"> Aquella considerada por la presente Ley como reservada o confidencial; </w:t>
      </w:r>
    </w:p>
    <w:p w14:paraId="53CC385D" w14:textId="77777777" w:rsidR="00EC408A" w:rsidRPr="00E77A4F" w:rsidRDefault="00EC408A" w:rsidP="00EC408A">
      <w:pPr>
        <w:ind w:left="567" w:right="567"/>
        <w:rPr>
          <w:rFonts w:eastAsia="Times New Roman" w:cs="Arial"/>
          <w:i/>
          <w:sz w:val="22"/>
          <w:lang w:eastAsia="es-ES"/>
        </w:rPr>
      </w:pPr>
      <w:r w:rsidRPr="00E77A4F">
        <w:rPr>
          <w:rFonts w:eastAsia="Times New Roman" w:cs="Arial"/>
          <w:b/>
          <w:i/>
          <w:sz w:val="22"/>
          <w:lang w:eastAsia="es-ES"/>
        </w:rPr>
        <w:lastRenderedPageBreak/>
        <w:t>XXI.</w:t>
      </w:r>
      <w:r w:rsidRPr="00E77A4F">
        <w:rPr>
          <w:rFonts w:eastAsia="Times New Roman" w:cs="Arial"/>
          <w:i/>
          <w:sz w:val="22"/>
          <w:lang w:eastAsia="es-ES"/>
        </w:rPr>
        <w:t xml:space="preserve"> </w:t>
      </w:r>
      <w:r w:rsidRPr="00E77A4F">
        <w:rPr>
          <w:rFonts w:eastAsia="Times New Roman" w:cs="Arial"/>
          <w:b/>
          <w:i/>
          <w:sz w:val="22"/>
          <w:lang w:eastAsia="es-ES"/>
        </w:rPr>
        <w:t>Información confidencial</w:t>
      </w:r>
      <w:r w:rsidRPr="00E77A4F">
        <w:rPr>
          <w:rFonts w:eastAsia="Times New Roman" w:cs="Arial"/>
          <w:i/>
          <w:sz w:val="22"/>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C9B2D76" w14:textId="77777777" w:rsidR="00EC408A" w:rsidRPr="00E77A4F" w:rsidRDefault="00EC408A" w:rsidP="00EC408A">
      <w:pPr>
        <w:ind w:left="567" w:right="567"/>
        <w:rPr>
          <w:rFonts w:eastAsia="Times New Roman" w:cs="Arial"/>
          <w:i/>
          <w:sz w:val="22"/>
          <w:lang w:eastAsia="es-ES"/>
        </w:rPr>
      </w:pPr>
      <w:r w:rsidRPr="00E77A4F">
        <w:rPr>
          <w:rFonts w:eastAsia="Times New Roman" w:cs="Arial"/>
          <w:b/>
          <w:i/>
          <w:sz w:val="22"/>
          <w:lang w:eastAsia="es-ES"/>
        </w:rPr>
        <w:t>XLV. Versión pública:</w:t>
      </w:r>
      <w:r w:rsidRPr="00E77A4F">
        <w:rPr>
          <w:rFonts w:eastAsia="Times New Roman" w:cs="Arial"/>
          <w:i/>
          <w:sz w:val="22"/>
          <w:lang w:eastAsia="es-ES"/>
        </w:rPr>
        <w:t xml:space="preserve"> Documento en el que se elimine, suprime o borra la información clasificada como reservada o confidencial para permitir su acceso. </w:t>
      </w:r>
    </w:p>
    <w:p w14:paraId="482BF45D" w14:textId="77777777" w:rsidR="00EC408A" w:rsidRPr="00E77A4F" w:rsidRDefault="00EC408A" w:rsidP="00EC408A">
      <w:pPr>
        <w:ind w:left="567" w:right="567"/>
        <w:rPr>
          <w:rFonts w:eastAsia="Times New Roman" w:cs="Arial"/>
          <w:i/>
          <w:sz w:val="22"/>
          <w:lang w:eastAsia="es-ES"/>
        </w:rPr>
      </w:pPr>
    </w:p>
    <w:p w14:paraId="594A6E39" w14:textId="77777777" w:rsidR="00EC408A" w:rsidRPr="00E77A4F" w:rsidRDefault="00EC408A" w:rsidP="00EC408A">
      <w:pPr>
        <w:ind w:left="567" w:right="567"/>
        <w:rPr>
          <w:rFonts w:eastAsia="Times New Roman" w:cs="Arial"/>
          <w:i/>
          <w:sz w:val="22"/>
          <w:lang w:eastAsia="es-ES"/>
        </w:rPr>
      </w:pPr>
      <w:r w:rsidRPr="00E77A4F">
        <w:rPr>
          <w:rFonts w:eastAsia="Times New Roman" w:cs="Arial"/>
          <w:b/>
          <w:i/>
          <w:sz w:val="22"/>
          <w:lang w:eastAsia="es-ES"/>
        </w:rPr>
        <w:t>Artículo 51.</w:t>
      </w:r>
      <w:r w:rsidRPr="00E77A4F">
        <w:rPr>
          <w:rFonts w:eastAsia="Times New Roman" w:cs="Arial"/>
          <w:i/>
          <w:sz w:val="22"/>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77A4F">
        <w:rPr>
          <w:rFonts w:eastAsia="Times New Roman" w:cs="Arial"/>
          <w:b/>
          <w:i/>
          <w:sz w:val="22"/>
          <w:lang w:eastAsia="es-ES"/>
        </w:rPr>
        <w:t xml:space="preserve">y tendrá la responsabilidad de verificar en cada caso que la misma no sea confidencial o reservada. </w:t>
      </w:r>
      <w:r w:rsidRPr="00E77A4F">
        <w:rPr>
          <w:rFonts w:eastAsia="Times New Roman" w:cs="Arial"/>
          <w:i/>
          <w:sz w:val="22"/>
          <w:lang w:eastAsia="es-ES"/>
        </w:rPr>
        <w:t xml:space="preserve">Dicha Unidad contará con las facultades internas necesarias para gestionar la atención a las solicitudes de información en los términos de la Ley General y la presente Ley. </w:t>
      </w:r>
    </w:p>
    <w:p w14:paraId="177363C4" w14:textId="77777777" w:rsidR="00EC408A" w:rsidRPr="00E77A4F" w:rsidRDefault="00EC408A" w:rsidP="00EC408A">
      <w:pPr>
        <w:ind w:left="567" w:right="567"/>
        <w:rPr>
          <w:rFonts w:eastAsia="Times New Roman" w:cs="Arial"/>
          <w:i/>
          <w:sz w:val="22"/>
          <w:lang w:eastAsia="es-ES"/>
        </w:rPr>
      </w:pPr>
    </w:p>
    <w:p w14:paraId="40C70EA0" w14:textId="77777777" w:rsidR="00EC408A" w:rsidRDefault="00EC408A" w:rsidP="00EC408A">
      <w:pPr>
        <w:ind w:left="567" w:right="567"/>
        <w:rPr>
          <w:rFonts w:eastAsia="Times New Roman" w:cs="Arial"/>
          <w:bCs/>
          <w:i/>
          <w:noProof/>
          <w:sz w:val="22"/>
          <w:lang w:eastAsia="es-ES"/>
        </w:rPr>
      </w:pPr>
      <w:r w:rsidRPr="00E77A4F">
        <w:rPr>
          <w:rFonts w:eastAsia="Times New Roman" w:cs="Arial"/>
          <w:b/>
          <w:i/>
          <w:sz w:val="22"/>
          <w:lang w:eastAsia="es-ES"/>
        </w:rPr>
        <w:t>Artículo 52.</w:t>
      </w:r>
      <w:r w:rsidRPr="00E77A4F">
        <w:rPr>
          <w:rFonts w:eastAsia="Times New Roman" w:cs="Arial"/>
          <w:i/>
          <w:sz w:val="22"/>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E77A4F">
        <w:rPr>
          <w:rFonts w:eastAsia="Times New Roman" w:cs="Arial"/>
          <w:bCs/>
          <w:i/>
          <w:noProof/>
          <w:sz w:val="22"/>
          <w:lang w:eastAsia="es-ES"/>
        </w:rPr>
        <w:t>”</w:t>
      </w:r>
    </w:p>
    <w:p w14:paraId="2F88E159" w14:textId="77777777" w:rsidR="00E77A4F" w:rsidRPr="00E77A4F" w:rsidRDefault="00E77A4F" w:rsidP="00EC408A">
      <w:pPr>
        <w:ind w:left="567" w:right="567"/>
        <w:rPr>
          <w:rFonts w:eastAsia="Times New Roman" w:cs="Arial"/>
          <w:bCs/>
          <w:noProof/>
          <w:sz w:val="22"/>
          <w:lang w:eastAsia="es-ES"/>
        </w:rPr>
      </w:pPr>
    </w:p>
    <w:p w14:paraId="3139E947" w14:textId="77777777" w:rsidR="00EC408A" w:rsidRPr="00134536" w:rsidRDefault="00EC408A" w:rsidP="00EC408A">
      <w:pPr>
        <w:rPr>
          <w:rFonts w:eastAsia="Arial Unicode MS" w:cs="Arial"/>
          <w:i/>
          <w:szCs w:val="24"/>
          <w:lang w:eastAsia="es-ES"/>
        </w:rPr>
      </w:pPr>
      <w:r w:rsidRPr="00134536">
        <w:rPr>
          <w:rFonts w:eastAsia="Times New Roman" w:cs="Times New Roman"/>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proofErr w:type="gramStart"/>
      <w:r w:rsidRPr="00134536">
        <w:rPr>
          <w:rFonts w:eastAsia="Times New Roman" w:cs="Times New Roman"/>
          <w:szCs w:val="24"/>
          <w:lang w:eastAsia="es-ES"/>
        </w:rPr>
        <w:t>considerando</w:t>
      </w:r>
      <w:proofErr w:type="gramEnd"/>
      <w:r w:rsidRPr="00134536">
        <w:rPr>
          <w:rFonts w:eastAsia="Times New Roman" w:cs="Times New Roman"/>
          <w:szCs w:val="24"/>
          <w:lang w:eastAsia="es-ES"/>
        </w:rPr>
        <w:t xml:space="preserve"> además, que conforme al principio de finalidad, todo tratamiento de datos personales que efectúen deberá estar justificado en la Ley. </w:t>
      </w:r>
    </w:p>
    <w:p w14:paraId="15B70962" w14:textId="77777777" w:rsidR="00EC408A" w:rsidRPr="00134536" w:rsidRDefault="00EC408A" w:rsidP="00EC408A">
      <w:pPr>
        <w:rPr>
          <w:rFonts w:eastAsia="Arial Unicode MS"/>
          <w:szCs w:val="24"/>
        </w:rPr>
      </w:pPr>
    </w:p>
    <w:p w14:paraId="29EFBE1C" w14:textId="77777777" w:rsidR="00EC408A" w:rsidRPr="00134536" w:rsidRDefault="00EC408A" w:rsidP="00EC408A">
      <w:pPr>
        <w:rPr>
          <w:szCs w:val="24"/>
        </w:rPr>
      </w:pPr>
      <w:r w:rsidRPr="00134536">
        <w:rPr>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6D5CF2EA" w14:textId="77777777" w:rsidR="00EC408A" w:rsidRPr="00134536" w:rsidRDefault="00EC408A" w:rsidP="00EC408A">
      <w:pPr>
        <w:rPr>
          <w:rFonts w:eastAsia="Arial Unicode MS"/>
          <w:szCs w:val="24"/>
          <w:lang w:val="es-ES"/>
        </w:rPr>
      </w:pPr>
      <w:r w:rsidRPr="00134536">
        <w:rPr>
          <w:rFonts w:eastAsia="Arial Unicode MS"/>
          <w:szCs w:val="24"/>
          <w:lang w:val="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134536">
        <w:rPr>
          <w:rFonts w:eastAsia="Arial Unicode MS"/>
          <w:color w:val="000000"/>
          <w:szCs w:val="24"/>
        </w:rPr>
        <w:t>el Sujeto Obligado</w:t>
      </w:r>
      <w:r w:rsidRPr="00134536">
        <w:rPr>
          <w:rFonts w:eastAsia="Arial Unicode MS"/>
          <w:szCs w:val="24"/>
          <w:lang w:val="es-ES"/>
        </w:rPr>
        <w:t xml:space="preserve">, en ese contexto, todo dato personal susceptible de clasificación debe ser protegido. </w:t>
      </w:r>
    </w:p>
    <w:p w14:paraId="21DFE46F" w14:textId="77777777" w:rsidR="00EC408A" w:rsidRPr="00134536" w:rsidRDefault="00EC408A" w:rsidP="00EC408A">
      <w:pPr>
        <w:rPr>
          <w:rFonts w:eastAsia="Times New Roman" w:cs="Times New Roman"/>
          <w:szCs w:val="24"/>
          <w:lang w:eastAsia="es-ES"/>
        </w:rPr>
      </w:pPr>
    </w:p>
    <w:p w14:paraId="254B3FAE" w14:textId="77777777" w:rsidR="00E77A4F" w:rsidRDefault="00EC408A" w:rsidP="00EC408A">
      <w:pPr>
        <w:rPr>
          <w:rFonts w:eastAsia="Times New Roman" w:cs="Times New Roman"/>
          <w:szCs w:val="24"/>
          <w:lang w:val="es-ES" w:eastAsia="es-ES"/>
        </w:rPr>
      </w:pPr>
      <w:r w:rsidRPr="00134536">
        <w:rPr>
          <w:rFonts w:eastAsia="Times New Roman" w:cs="Times New Roman"/>
          <w:szCs w:val="24"/>
          <w:lang w:eastAsia="es-ES"/>
        </w:rPr>
        <w:t xml:space="preserve">Clasificación que tiene que efectuar mediante las formalidades que la Ley impone, es decir, </w:t>
      </w:r>
      <w:r w:rsidRPr="00134536">
        <w:rPr>
          <w:rFonts w:eastAsia="Times New Roman" w:cs="Times New Roman"/>
          <w:szCs w:val="24"/>
          <w:lang w:val="es-ES" w:eastAsia="es-ES"/>
        </w:rPr>
        <w:t>resulta necesario que el Comité de Transparencia d</w:t>
      </w:r>
      <w:r w:rsidRPr="00134536">
        <w:rPr>
          <w:rFonts w:eastAsia="Times New Roman" w:cs="Times New Roman"/>
          <w:szCs w:val="24"/>
          <w:lang w:eastAsia="es-ES"/>
        </w:rPr>
        <w:t xml:space="preserve">el </w:t>
      </w:r>
      <w:r w:rsidRPr="00134536">
        <w:rPr>
          <w:rFonts w:eastAsia="Times New Roman" w:cs="Times New Roman"/>
          <w:b/>
          <w:szCs w:val="24"/>
          <w:lang w:eastAsia="es-ES"/>
        </w:rPr>
        <w:t>sujeto obligado</w:t>
      </w:r>
      <w:r w:rsidRPr="00134536">
        <w:rPr>
          <w:rFonts w:eastAsia="Times New Roman" w:cs="Times New Roman"/>
          <w:szCs w:val="24"/>
          <w:lang w:eastAsia="es-ES"/>
        </w:rPr>
        <w:t xml:space="preserve"> </w:t>
      </w:r>
      <w:r w:rsidRPr="00134536">
        <w:rPr>
          <w:rFonts w:eastAsia="Times New Roman" w:cs="Times New Roman"/>
          <w:szCs w:val="24"/>
          <w:lang w:val="es-ES" w:eastAsia="es-ES"/>
        </w:rPr>
        <w:t>emita el Acuerdo de Clasificación correspondiente</w:t>
      </w:r>
      <w:r w:rsidRPr="00134536">
        <w:rPr>
          <w:rFonts w:eastAsia="Times New Roman" w:cs="Times New Roman"/>
          <w:szCs w:val="24"/>
          <w:lang w:eastAsia="es-ES"/>
        </w:rPr>
        <w:t xml:space="preserve"> debidamente fundado y motivado, </w:t>
      </w:r>
      <w:r w:rsidRPr="00134536">
        <w:rPr>
          <w:rFonts w:eastAsia="Times New Roman" w:cs="Times New Roman"/>
          <w:szCs w:val="24"/>
          <w:lang w:val="es-ES" w:eastAsia="es-ES"/>
        </w:rPr>
        <w:t>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14:paraId="52D6C961" w14:textId="77777777" w:rsidR="005A23A8" w:rsidRDefault="005A23A8" w:rsidP="00EC408A">
      <w:pPr>
        <w:rPr>
          <w:rFonts w:eastAsia="Times New Roman" w:cs="Times New Roman"/>
          <w:szCs w:val="24"/>
          <w:lang w:val="es-ES" w:eastAsia="es-ES"/>
        </w:rPr>
      </w:pPr>
    </w:p>
    <w:p w14:paraId="14F87FE8" w14:textId="77777777" w:rsidR="00EC408A" w:rsidRDefault="00EC408A" w:rsidP="00EC408A">
      <w:pPr>
        <w:rPr>
          <w:rFonts w:eastAsia="Times New Roman" w:cs="Times New Roman"/>
          <w:szCs w:val="24"/>
        </w:rPr>
      </w:pPr>
      <w:r w:rsidRPr="00134536">
        <w:rPr>
          <w:rFonts w:eastAsia="Times New Roman" w:cs="Times New Roman"/>
          <w:szCs w:val="24"/>
          <w:lang w:eastAsia="es-ES"/>
        </w:rPr>
        <w:t xml:space="preserve">Por ende, en el presente caso el Sujeto Obligado debe </w:t>
      </w:r>
      <w:r w:rsidRPr="00134536">
        <w:rPr>
          <w:rFonts w:eastAsia="Times New Roman" w:cs="Times New Roman"/>
          <w:szCs w:val="24"/>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134536">
        <w:rPr>
          <w:rFonts w:eastAsia="Times New Roman" w:cs="Times New Roman"/>
          <w:szCs w:val="24"/>
          <w:lang w:eastAsia="es-ES"/>
        </w:rPr>
        <w:t xml:space="preserve">el Sujeto Obligado </w:t>
      </w:r>
      <w:r w:rsidRPr="00134536">
        <w:rPr>
          <w:rFonts w:eastAsia="Times New Roman" w:cs="Times New Roman"/>
          <w:szCs w:val="24"/>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134536">
        <w:rPr>
          <w:rFonts w:eastAsia="Times New Roman" w:cs="Times New Roman"/>
          <w:szCs w:val="24"/>
          <w:lang w:eastAsia="es-ES"/>
        </w:rPr>
        <w:t>el Sujeto Obligado</w:t>
      </w:r>
      <w:r w:rsidRPr="00134536">
        <w:rPr>
          <w:rFonts w:eastAsia="Times New Roman" w:cs="Times New Roman"/>
          <w:szCs w:val="24"/>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1C4FAFD0" w14:textId="77777777" w:rsidR="00E77A4F" w:rsidRPr="00E77A4F" w:rsidRDefault="00E77A4F" w:rsidP="00EC408A">
      <w:pPr>
        <w:rPr>
          <w:rFonts w:eastAsia="Times New Roman" w:cs="Times New Roman"/>
          <w:szCs w:val="24"/>
          <w:lang w:val="es-ES" w:eastAsia="es-ES"/>
        </w:rPr>
      </w:pPr>
    </w:p>
    <w:p w14:paraId="381891CF" w14:textId="77777777" w:rsidR="00EC408A" w:rsidRDefault="00EC408A" w:rsidP="00EC408A">
      <w:pPr>
        <w:rPr>
          <w:rFonts w:cs="Times New Roman"/>
          <w:szCs w:val="24"/>
          <w:lang w:eastAsia="es-ES"/>
        </w:rPr>
      </w:pPr>
      <w:r w:rsidRPr="00134536">
        <w:rPr>
          <w:rFonts w:cs="Times New Roman"/>
          <w:szCs w:val="24"/>
          <w:lang w:eastAsia="es-ES"/>
        </w:rPr>
        <w:t xml:space="preserve">Así, es que </w:t>
      </w:r>
      <w:r w:rsidRPr="00134536">
        <w:rPr>
          <w:rFonts w:eastAsia="Times New Roman" w:cs="Times New Roman"/>
          <w:szCs w:val="24"/>
          <w:lang w:eastAsia="es-ES"/>
        </w:rPr>
        <w:t xml:space="preserve">el Sujeto Obligado </w:t>
      </w:r>
      <w:r w:rsidRPr="00134536">
        <w:rPr>
          <w:rFonts w:cs="Times New Roman"/>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219E8479" w14:textId="77777777" w:rsidR="00E77A4F" w:rsidRPr="00134536" w:rsidRDefault="00E77A4F" w:rsidP="00EC408A">
      <w:pPr>
        <w:rPr>
          <w:rFonts w:cs="Times New Roman"/>
          <w:szCs w:val="24"/>
          <w:lang w:eastAsia="es-ES"/>
        </w:rPr>
      </w:pPr>
    </w:p>
    <w:p w14:paraId="594CDA5E" w14:textId="77777777" w:rsidR="00EC408A" w:rsidRDefault="00EC408A" w:rsidP="00EC408A">
      <w:pPr>
        <w:rPr>
          <w:rFonts w:eastAsia="Times New Roman" w:cs="Times New Roman"/>
          <w:szCs w:val="24"/>
          <w:lang w:eastAsia="es-ES"/>
        </w:rPr>
      </w:pPr>
      <w:r w:rsidRPr="00134536">
        <w:rPr>
          <w:rFonts w:eastAsia="Times New Roman" w:cs="Times New Roman"/>
          <w:szCs w:val="24"/>
          <w:lang w:eastAsia="es-ES"/>
        </w:rPr>
        <w:lastRenderedPageBreak/>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4621BC4" w14:textId="77777777" w:rsidR="00E77A4F" w:rsidRPr="00134536" w:rsidRDefault="00E77A4F" w:rsidP="00EC408A">
      <w:pPr>
        <w:rPr>
          <w:rFonts w:eastAsia="Times New Roman" w:cs="Times New Roman"/>
          <w:szCs w:val="24"/>
          <w:lang w:eastAsia="es-ES"/>
        </w:rPr>
      </w:pPr>
    </w:p>
    <w:p w14:paraId="72D02350" w14:textId="77777777" w:rsidR="00EC408A" w:rsidRPr="00E77A4F" w:rsidRDefault="00EC408A" w:rsidP="00EC408A">
      <w:pPr>
        <w:ind w:left="567" w:right="567"/>
        <w:rPr>
          <w:rFonts w:eastAsia="Times New Roman" w:cs="Times New Roman"/>
          <w:i/>
          <w:sz w:val="22"/>
        </w:rPr>
      </w:pPr>
      <w:r w:rsidRPr="00E77A4F">
        <w:rPr>
          <w:rFonts w:eastAsia="Times New Roman" w:cs="Times New Roman"/>
          <w:b/>
          <w:i/>
          <w:sz w:val="22"/>
        </w:rPr>
        <w:t xml:space="preserve">“Artículo 49. </w:t>
      </w:r>
      <w:r w:rsidRPr="00E77A4F">
        <w:rPr>
          <w:rFonts w:eastAsia="Times New Roman" w:cs="Times New Roman"/>
          <w:i/>
          <w:sz w:val="22"/>
        </w:rPr>
        <w:t>Los Comités de Transparencia tendrán las siguientes atribuciones:</w:t>
      </w:r>
    </w:p>
    <w:p w14:paraId="35E7B0AB" w14:textId="77777777" w:rsidR="00EC408A" w:rsidRPr="00E77A4F" w:rsidRDefault="00EC408A" w:rsidP="00EC408A">
      <w:pPr>
        <w:ind w:left="567" w:right="567"/>
        <w:rPr>
          <w:rFonts w:eastAsia="Times New Roman" w:cs="Times New Roman"/>
          <w:i/>
          <w:sz w:val="22"/>
        </w:rPr>
      </w:pPr>
      <w:r w:rsidRPr="00E77A4F">
        <w:rPr>
          <w:rFonts w:eastAsia="Times New Roman" w:cs="Times New Roman"/>
          <w:b/>
          <w:i/>
          <w:sz w:val="22"/>
        </w:rPr>
        <w:t>VIII.</w:t>
      </w:r>
      <w:r w:rsidRPr="00E77A4F">
        <w:rPr>
          <w:rFonts w:eastAsia="Times New Roman" w:cs="Times New Roman"/>
          <w:i/>
          <w:sz w:val="22"/>
        </w:rPr>
        <w:t xml:space="preserve"> Aprobar, modificar o revocar la clasificación de la información;</w:t>
      </w:r>
    </w:p>
    <w:p w14:paraId="14716CA9" w14:textId="77777777" w:rsidR="00EC408A" w:rsidRPr="00E77A4F" w:rsidRDefault="00EC408A" w:rsidP="00EC408A">
      <w:pPr>
        <w:ind w:right="567"/>
        <w:rPr>
          <w:rFonts w:eastAsia="Times New Roman" w:cs="Times New Roman"/>
          <w:i/>
          <w:sz w:val="22"/>
        </w:rPr>
      </w:pPr>
    </w:p>
    <w:p w14:paraId="5E624F62" w14:textId="77777777" w:rsidR="00EC408A" w:rsidRPr="00E77A4F" w:rsidRDefault="00EC408A" w:rsidP="00EC408A">
      <w:pPr>
        <w:ind w:left="567" w:right="567"/>
        <w:rPr>
          <w:rFonts w:eastAsia="Times New Roman" w:cs="Times New Roman"/>
          <w:i/>
          <w:sz w:val="22"/>
        </w:rPr>
      </w:pPr>
      <w:r w:rsidRPr="00E77A4F">
        <w:rPr>
          <w:rFonts w:eastAsia="Times New Roman" w:cs="Times New Roman"/>
          <w:b/>
          <w:i/>
          <w:sz w:val="22"/>
        </w:rPr>
        <w:t>Artículo 132.</w:t>
      </w:r>
      <w:r w:rsidRPr="00E77A4F">
        <w:rPr>
          <w:rFonts w:eastAsia="Times New Roman" w:cs="Times New Roman"/>
          <w:i/>
          <w:sz w:val="22"/>
        </w:rPr>
        <w:t xml:space="preserve"> La clasificación de la información se llevará a cabo en el momento en que:</w:t>
      </w:r>
    </w:p>
    <w:p w14:paraId="7C8C4115" w14:textId="77777777" w:rsidR="00EC408A" w:rsidRPr="00E77A4F" w:rsidRDefault="00EC408A" w:rsidP="00EC408A">
      <w:pPr>
        <w:ind w:left="567" w:right="567"/>
        <w:rPr>
          <w:rFonts w:eastAsia="Times New Roman" w:cs="Times New Roman"/>
          <w:i/>
          <w:sz w:val="22"/>
        </w:rPr>
      </w:pPr>
      <w:r w:rsidRPr="00E77A4F">
        <w:rPr>
          <w:rFonts w:eastAsia="Times New Roman" w:cs="Times New Roman"/>
          <w:b/>
          <w:i/>
          <w:sz w:val="22"/>
        </w:rPr>
        <w:t>I.</w:t>
      </w:r>
      <w:r w:rsidRPr="00E77A4F">
        <w:rPr>
          <w:rFonts w:eastAsia="Times New Roman" w:cs="Times New Roman"/>
          <w:i/>
          <w:sz w:val="22"/>
        </w:rPr>
        <w:t xml:space="preserve"> Se reciba una solicitud de acceso a la información;</w:t>
      </w:r>
    </w:p>
    <w:p w14:paraId="2BA9C4B5" w14:textId="77777777" w:rsidR="00EC408A" w:rsidRPr="00E77A4F" w:rsidRDefault="00EC408A" w:rsidP="00EC408A">
      <w:pPr>
        <w:ind w:left="567" w:right="567"/>
        <w:rPr>
          <w:rFonts w:eastAsia="Times New Roman" w:cs="Times New Roman"/>
          <w:i/>
          <w:sz w:val="22"/>
        </w:rPr>
      </w:pPr>
      <w:r w:rsidRPr="00E77A4F">
        <w:rPr>
          <w:rFonts w:eastAsia="Times New Roman" w:cs="Times New Roman"/>
          <w:b/>
          <w:i/>
          <w:sz w:val="22"/>
        </w:rPr>
        <w:t>II.</w:t>
      </w:r>
      <w:r w:rsidRPr="00E77A4F">
        <w:rPr>
          <w:rFonts w:eastAsia="Times New Roman" w:cs="Times New Roman"/>
          <w:i/>
          <w:sz w:val="22"/>
        </w:rPr>
        <w:t xml:space="preserve"> Se determine mediante resolución de autoridad competente; o</w:t>
      </w:r>
    </w:p>
    <w:p w14:paraId="2AEC13D2" w14:textId="77777777" w:rsidR="00EC408A" w:rsidRPr="00E77A4F" w:rsidRDefault="00EC408A" w:rsidP="00EC408A">
      <w:pPr>
        <w:ind w:left="567" w:right="567"/>
        <w:rPr>
          <w:rFonts w:eastAsia="Times New Roman" w:cs="Times New Roman"/>
          <w:b/>
          <w:i/>
          <w:sz w:val="22"/>
        </w:rPr>
      </w:pPr>
      <w:r w:rsidRPr="00E77A4F">
        <w:rPr>
          <w:rFonts w:eastAsia="Times New Roman" w:cs="Times New Roman"/>
          <w:b/>
          <w:i/>
          <w:sz w:val="22"/>
        </w:rPr>
        <w:t>III.</w:t>
      </w:r>
      <w:r w:rsidRPr="00E77A4F">
        <w:rPr>
          <w:rFonts w:eastAsia="Times New Roman" w:cs="Times New Roman"/>
          <w:i/>
          <w:sz w:val="22"/>
        </w:rPr>
        <w:t xml:space="preserve"> Se generen versiones públicas para dar cumplimiento a las obligaciones de transparencia previstas en esta Ley.</w:t>
      </w:r>
      <w:r w:rsidRPr="00E77A4F">
        <w:rPr>
          <w:rFonts w:eastAsia="Times New Roman" w:cs="Times New Roman"/>
          <w:b/>
          <w:i/>
          <w:sz w:val="22"/>
        </w:rPr>
        <w:t>”</w:t>
      </w:r>
    </w:p>
    <w:p w14:paraId="3DC11E61" w14:textId="77777777" w:rsidR="00EC408A" w:rsidRPr="00E77A4F" w:rsidRDefault="00EC408A" w:rsidP="00EC408A">
      <w:pPr>
        <w:ind w:left="567" w:right="567"/>
        <w:rPr>
          <w:rFonts w:eastAsia="Times New Roman" w:cs="Times New Roman"/>
          <w:i/>
          <w:sz w:val="22"/>
        </w:rPr>
      </w:pPr>
      <w:r w:rsidRPr="00E77A4F">
        <w:rPr>
          <w:rFonts w:eastAsia="Times New Roman" w:cs="Times New Roman"/>
          <w:b/>
          <w:i/>
          <w:sz w:val="22"/>
        </w:rPr>
        <w:t>“</w:t>
      </w:r>
      <w:proofErr w:type="gramStart"/>
      <w:r w:rsidRPr="00E77A4F">
        <w:rPr>
          <w:rFonts w:eastAsia="Times New Roman" w:cs="Times New Roman"/>
          <w:b/>
          <w:i/>
          <w:sz w:val="22"/>
        </w:rPr>
        <w:t>Segundo.-</w:t>
      </w:r>
      <w:proofErr w:type="gramEnd"/>
      <w:r w:rsidRPr="00E77A4F">
        <w:rPr>
          <w:rFonts w:eastAsia="Times New Roman" w:cs="Times New Roman"/>
          <w:i/>
          <w:sz w:val="22"/>
        </w:rPr>
        <w:t xml:space="preserve"> Para efectos de los presentes Lineamientos Generales, se entenderá por:</w:t>
      </w:r>
    </w:p>
    <w:p w14:paraId="34B746D5" w14:textId="77777777" w:rsidR="00EC408A" w:rsidRPr="00E77A4F" w:rsidRDefault="00EC408A" w:rsidP="00EC408A">
      <w:pPr>
        <w:ind w:left="567" w:right="567"/>
        <w:rPr>
          <w:rFonts w:eastAsia="Times New Roman" w:cs="Times New Roman"/>
          <w:i/>
          <w:sz w:val="22"/>
        </w:rPr>
      </w:pPr>
      <w:r w:rsidRPr="00E77A4F">
        <w:rPr>
          <w:rFonts w:eastAsia="Times New Roman" w:cs="Times New Roman"/>
          <w:i/>
          <w:sz w:val="22"/>
        </w:rPr>
        <w:t>…</w:t>
      </w:r>
    </w:p>
    <w:p w14:paraId="762519D0" w14:textId="77777777" w:rsidR="00EC408A" w:rsidRPr="00E77A4F" w:rsidRDefault="00EC408A" w:rsidP="00EC408A">
      <w:pPr>
        <w:ind w:left="567" w:right="567"/>
        <w:rPr>
          <w:rFonts w:eastAsia="Times New Roman" w:cs="Times New Roman"/>
          <w:i/>
          <w:sz w:val="22"/>
        </w:rPr>
      </w:pPr>
      <w:r w:rsidRPr="00E77A4F">
        <w:rPr>
          <w:rFonts w:eastAsia="Times New Roman" w:cs="Times New Roman"/>
          <w:b/>
          <w:i/>
          <w:sz w:val="22"/>
        </w:rPr>
        <w:t>XVIII.</w:t>
      </w:r>
      <w:r w:rsidRPr="00E77A4F">
        <w:rPr>
          <w:rFonts w:eastAsia="Times New Roman" w:cs="Times New Roman"/>
          <w:i/>
          <w:sz w:val="22"/>
        </w:rPr>
        <w:t xml:space="preserve"> </w:t>
      </w:r>
      <w:r w:rsidRPr="00E77A4F">
        <w:rPr>
          <w:rFonts w:eastAsia="Times New Roman" w:cs="Times New Roman"/>
          <w:b/>
          <w:i/>
          <w:sz w:val="22"/>
        </w:rPr>
        <w:t>Versión pública:</w:t>
      </w:r>
      <w:r w:rsidRPr="00E77A4F">
        <w:rPr>
          <w:rFonts w:eastAsia="Times New Roman" w:cs="Times New Roman"/>
          <w:i/>
          <w:sz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85C48DC" w14:textId="77777777" w:rsidR="00EC408A" w:rsidRPr="00E77A4F" w:rsidRDefault="00EC408A" w:rsidP="00EC408A">
      <w:pPr>
        <w:ind w:left="567" w:right="567"/>
        <w:rPr>
          <w:rFonts w:eastAsia="Times New Roman" w:cs="Times New Roman"/>
          <w:b/>
          <w:i/>
          <w:sz w:val="22"/>
        </w:rPr>
      </w:pPr>
    </w:p>
    <w:p w14:paraId="5763E2FB" w14:textId="77777777" w:rsidR="00EC408A" w:rsidRPr="00E77A4F" w:rsidRDefault="00EC408A" w:rsidP="00EC408A">
      <w:pPr>
        <w:ind w:left="567" w:right="567"/>
        <w:rPr>
          <w:rFonts w:eastAsia="Times New Roman" w:cs="Times New Roman"/>
          <w:i/>
          <w:sz w:val="22"/>
        </w:rPr>
      </w:pPr>
      <w:r w:rsidRPr="00E77A4F">
        <w:rPr>
          <w:rFonts w:eastAsia="Times New Roman" w:cs="Times New Roman"/>
          <w:b/>
          <w:i/>
          <w:sz w:val="22"/>
        </w:rPr>
        <w:lastRenderedPageBreak/>
        <w:t>Cuarto.</w:t>
      </w:r>
      <w:r w:rsidRPr="00E77A4F">
        <w:rPr>
          <w:rFonts w:eastAsia="Times New Roman" w:cs="Times New Roman"/>
          <w:i/>
          <w:sz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E07A6D4" w14:textId="77777777" w:rsidR="00EC408A" w:rsidRPr="00E77A4F" w:rsidRDefault="00EC408A" w:rsidP="00EC408A">
      <w:pPr>
        <w:ind w:left="567" w:right="567"/>
        <w:rPr>
          <w:rFonts w:eastAsia="Times New Roman" w:cs="Times New Roman"/>
          <w:i/>
          <w:sz w:val="22"/>
        </w:rPr>
      </w:pPr>
      <w:r w:rsidRPr="00E77A4F">
        <w:rPr>
          <w:rFonts w:eastAsia="Times New Roman" w:cs="Times New Roman"/>
          <w:i/>
          <w:sz w:val="22"/>
        </w:rPr>
        <w:t>Los Sujetos Obligados deberán aplicar, de manera estricta, las excepciones al derecho de acceso a la información y sólo podrán invocarlas cuando acrediten su procedencia.</w:t>
      </w:r>
    </w:p>
    <w:p w14:paraId="7697DF37" w14:textId="77777777" w:rsidR="00EC408A" w:rsidRPr="00E77A4F" w:rsidRDefault="00EC408A" w:rsidP="00EC408A">
      <w:pPr>
        <w:ind w:left="567" w:right="567"/>
        <w:rPr>
          <w:rFonts w:eastAsia="Times New Roman" w:cs="Times New Roman"/>
          <w:b/>
          <w:i/>
          <w:sz w:val="22"/>
        </w:rPr>
      </w:pPr>
    </w:p>
    <w:p w14:paraId="3B5B36C5" w14:textId="77777777" w:rsidR="00EC408A" w:rsidRPr="00E77A4F" w:rsidRDefault="00EC408A" w:rsidP="00EC408A">
      <w:pPr>
        <w:ind w:left="567" w:right="567"/>
        <w:rPr>
          <w:rFonts w:eastAsia="Times New Roman" w:cs="Times New Roman"/>
          <w:i/>
          <w:sz w:val="22"/>
        </w:rPr>
      </w:pPr>
      <w:r w:rsidRPr="00E77A4F">
        <w:rPr>
          <w:rFonts w:eastAsia="Times New Roman" w:cs="Times New Roman"/>
          <w:b/>
          <w:i/>
          <w:sz w:val="22"/>
        </w:rPr>
        <w:t>Quinto.</w:t>
      </w:r>
      <w:r w:rsidRPr="00E77A4F">
        <w:rPr>
          <w:rFonts w:eastAsia="Times New Roman" w:cs="Times New Roman"/>
          <w:i/>
          <w:sz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550EBB9" w14:textId="77777777" w:rsidR="00EC408A" w:rsidRPr="00E77A4F" w:rsidRDefault="00EC408A" w:rsidP="00EC408A">
      <w:pPr>
        <w:ind w:left="567" w:right="567"/>
        <w:rPr>
          <w:rFonts w:eastAsia="Times New Roman" w:cs="Times New Roman"/>
          <w:b/>
          <w:i/>
          <w:sz w:val="22"/>
        </w:rPr>
      </w:pPr>
    </w:p>
    <w:p w14:paraId="7C6FEEF8" w14:textId="77777777" w:rsidR="00EC408A" w:rsidRPr="00E77A4F" w:rsidRDefault="00EC408A" w:rsidP="00EC408A">
      <w:pPr>
        <w:ind w:left="567" w:right="567"/>
        <w:rPr>
          <w:rFonts w:eastAsia="Times New Roman" w:cs="Times New Roman"/>
          <w:i/>
          <w:sz w:val="22"/>
        </w:rPr>
      </w:pPr>
      <w:r w:rsidRPr="00E77A4F">
        <w:rPr>
          <w:rFonts w:eastAsia="Times New Roman" w:cs="Times New Roman"/>
          <w:b/>
          <w:i/>
          <w:sz w:val="22"/>
        </w:rPr>
        <w:t>Sexto.</w:t>
      </w:r>
      <w:r w:rsidRPr="00E77A4F">
        <w:rPr>
          <w:rFonts w:eastAsia="Times New Roman" w:cs="Times New Roman"/>
          <w:i/>
          <w:sz w:val="22"/>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6D2FAD55" w14:textId="77777777" w:rsidR="00EC408A" w:rsidRPr="00E77A4F" w:rsidRDefault="00EC408A" w:rsidP="00EC408A">
      <w:pPr>
        <w:ind w:left="567" w:right="567"/>
        <w:rPr>
          <w:rFonts w:eastAsia="Times New Roman" w:cs="Times New Roman"/>
          <w:i/>
          <w:sz w:val="22"/>
        </w:rPr>
      </w:pPr>
      <w:r w:rsidRPr="00E77A4F">
        <w:rPr>
          <w:rFonts w:eastAsia="Times New Roman" w:cs="Times New Roman"/>
          <w:i/>
          <w:sz w:val="22"/>
        </w:rPr>
        <w:t>La clasificación de información se realizará conforme a un análisis caso por caso, mediante la aplicación de la prueba de daño y de interés público.</w:t>
      </w:r>
    </w:p>
    <w:p w14:paraId="59197EDA" w14:textId="77777777" w:rsidR="00EC408A" w:rsidRPr="00E77A4F" w:rsidRDefault="00EC408A" w:rsidP="00EC408A">
      <w:pPr>
        <w:ind w:left="567" w:right="567"/>
        <w:rPr>
          <w:rFonts w:eastAsia="Times New Roman" w:cs="Times New Roman"/>
          <w:i/>
          <w:sz w:val="22"/>
        </w:rPr>
      </w:pPr>
      <w:r w:rsidRPr="00E77A4F">
        <w:rPr>
          <w:rFonts w:eastAsia="Times New Roman" w:cs="Times New Roman"/>
          <w:b/>
          <w:i/>
          <w:sz w:val="22"/>
        </w:rPr>
        <w:t>Séptimo.</w:t>
      </w:r>
      <w:r w:rsidRPr="00E77A4F">
        <w:rPr>
          <w:rFonts w:eastAsia="Times New Roman" w:cs="Times New Roman"/>
          <w:i/>
          <w:sz w:val="22"/>
        </w:rPr>
        <w:t xml:space="preserve"> La clasificación de la información se llevará a cabo en el momento en que:</w:t>
      </w:r>
    </w:p>
    <w:p w14:paraId="42245D78" w14:textId="77777777" w:rsidR="00EC408A" w:rsidRPr="00E77A4F" w:rsidRDefault="00EC408A" w:rsidP="00EC408A">
      <w:pPr>
        <w:ind w:left="567" w:right="567"/>
        <w:rPr>
          <w:rFonts w:eastAsia="Times New Roman" w:cs="Times New Roman"/>
          <w:i/>
          <w:sz w:val="22"/>
        </w:rPr>
      </w:pPr>
      <w:r w:rsidRPr="00E77A4F">
        <w:rPr>
          <w:rFonts w:eastAsia="Times New Roman" w:cs="Times New Roman"/>
          <w:b/>
          <w:i/>
          <w:sz w:val="22"/>
        </w:rPr>
        <w:t>I.</w:t>
      </w:r>
      <w:r w:rsidRPr="00E77A4F">
        <w:rPr>
          <w:rFonts w:eastAsia="Times New Roman" w:cs="Times New Roman"/>
          <w:i/>
          <w:sz w:val="22"/>
        </w:rPr>
        <w:t xml:space="preserve"> Se reciba una solicitud de acceso a la información;</w:t>
      </w:r>
    </w:p>
    <w:p w14:paraId="08228A22" w14:textId="77777777" w:rsidR="00EC408A" w:rsidRPr="00E77A4F" w:rsidRDefault="00EC408A" w:rsidP="00EC408A">
      <w:pPr>
        <w:ind w:left="567" w:right="567"/>
        <w:rPr>
          <w:rFonts w:eastAsia="Times New Roman" w:cs="Times New Roman"/>
          <w:i/>
          <w:sz w:val="22"/>
        </w:rPr>
      </w:pPr>
      <w:r w:rsidRPr="00E77A4F">
        <w:rPr>
          <w:rFonts w:eastAsia="Times New Roman" w:cs="Times New Roman"/>
          <w:b/>
          <w:i/>
          <w:sz w:val="22"/>
        </w:rPr>
        <w:t>II.</w:t>
      </w:r>
      <w:r w:rsidRPr="00E77A4F">
        <w:rPr>
          <w:rFonts w:eastAsia="Times New Roman" w:cs="Times New Roman"/>
          <w:i/>
          <w:sz w:val="22"/>
        </w:rPr>
        <w:t xml:space="preserve"> Se determine mediante resolución de autoridad competente, o</w:t>
      </w:r>
    </w:p>
    <w:p w14:paraId="3019DD0B" w14:textId="77777777" w:rsidR="00EC408A" w:rsidRPr="00E77A4F" w:rsidRDefault="00EC408A" w:rsidP="00EC408A">
      <w:pPr>
        <w:ind w:left="567" w:right="567"/>
        <w:rPr>
          <w:rFonts w:eastAsia="Times New Roman" w:cs="Times New Roman"/>
          <w:i/>
          <w:sz w:val="22"/>
        </w:rPr>
      </w:pPr>
      <w:r w:rsidRPr="00E77A4F">
        <w:rPr>
          <w:rFonts w:eastAsia="Times New Roman" w:cs="Times New Roman"/>
          <w:b/>
          <w:i/>
          <w:sz w:val="22"/>
        </w:rPr>
        <w:t>III.</w:t>
      </w:r>
      <w:r w:rsidRPr="00E77A4F">
        <w:rPr>
          <w:rFonts w:eastAsia="Times New Roman" w:cs="Times New Roman"/>
          <w:i/>
          <w:sz w:val="22"/>
        </w:rPr>
        <w:t xml:space="preserve"> Se generen versiones públicas para dar cumplimiento a las obligaciones de transparencia previstas en la Ley General, la Ley Federal y las correspondientes de las entidades federativas.</w:t>
      </w:r>
    </w:p>
    <w:p w14:paraId="6B41CCA7" w14:textId="77777777" w:rsidR="00EC408A" w:rsidRPr="00E77A4F" w:rsidRDefault="00EC408A" w:rsidP="00EC408A">
      <w:pPr>
        <w:ind w:left="567" w:right="567"/>
        <w:rPr>
          <w:rFonts w:eastAsia="Times New Roman" w:cs="Times New Roman"/>
          <w:i/>
          <w:sz w:val="22"/>
        </w:rPr>
      </w:pPr>
      <w:r w:rsidRPr="00E77A4F">
        <w:rPr>
          <w:rFonts w:eastAsia="Times New Roman" w:cs="Times New Roman"/>
          <w:i/>
          <w:sz w:val="22"/>
        </w:rPr>
        <w:lastRenderedPageBreak/>
        <w:t>Los titulares de las áreas deberán revisar la clasificación al momento de la recepción de una solicitud de acceso a la información, para verificar si encuadra en una causal de reserva o de confidencialidad.</w:t>
      </w:r>
    </w:p>
    <w:p w14:paraId="565524D1" w14:textId="77777777" w:rsidR="00EC408A" w:rsidRPr="00E77A4F" w:rsidRDefault="00EC408A" w:rsidP="00EC408A">
      <w:pPr>
        <w:ind w:left="567" w:right="567"/>
        <w:rPr>
          <w:rFonts w:eastAsia="Times New Roman" w:cs="Times New Roman"/>
          <w:b/>
          <w:i/>
          <w:sz w:val="22"/>
        </w:rPr>
      </w:pPr>
    </w:p>
    <w:p w14:paraId="1B725366" w14:textId="77777777" w:rsidR="00EC408A" w:rsidRPr="00E77A4F" w:rsidRDefault="00EC408A" w:rsidP="00EC408A">
      <w:pPr>
        <w:ind w:left="567" w:right="567"/>
        <w:rPr>
          <w:rFonts w:eastAsia="Times New Roman" w:cs="Times New Roman"/>
          <w:i/>
          <w:sz w:val="22"/>
        </w:rPr>
      </w:pPr>
      <w:r w:rsidRPr="00E77A4F">
        <w:rPr>
          <w:rFonts w:eastAsia="Times New Roman" w:cs="Times New Roman"/>
          <w:b/>
          <w:i/>
          <w:sz w:val="22"/>
        </w:rPr>
        <w:t>Octavo.</w:t>
      </w:r>
      <w:r w:rsidRPr="00E77A4F">
        <w:rPr>
          <w:rFonts w:eastAsia="Times New Roman" w:cs="Times New Roman"/>
          <w:i/>
          <w:sz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BF631FF" w14:textId="77777777" w:rsidR="00EC408A" w:rsidRPr="00E77A4F" w:rsidRDefault="00EC408A" w:rsidP="00EC408A">
      <w:pPr>
        <w:ind w:left="567" w:right="567"/>
        <w:rPr>
          <w:rFonts w:eastAsia="Times New Roman" w:cs="Times New Roman"/>
          <w:i/>
          <w:sz w:val="22"/>
        </w:rPr>
      </w:pPr>
      <w:r w:rsidRPr="00E77A4F">
        <w:rPr>
          <w:rFonts w:eastAsia="Times New Roman" w:cs="Times New Roman"/>
          <w:i/>
          <w:sz w:val="22"/>
        </w:rPr>
        <w:t>Para motivar la clasificación se deberán señalar las razones o circunstancias especiales que lo llevaron a concluir que el caso particular se ajusta al supuesto previsto por la norma legal invocada como fundamento.</w:t>
      </w:r>
    </w:p>
    <w:p w14:paraId="7EE8B11D" w14:textId="77777777" w:rsidR="00EC408A" w:rsidRPr="00E77A4F" w:rsidRDefault="00EC408A" w:rsidP="00EC408A">
      <w:pPr>
        <w:ind w:left="567" w:right="567"/>
        <w:rPr>
          <w:rFonts w:eastAsia="Times New Roman" w:cs="Times New Roman"/>
          <w:i/>
          <w:sz w:val="22"/>
        </w:rPr>
      </w:pPr>
      <w:r w:rsidRPr="00E77A4F">
        <w:rPr>
          <w:rFonts w:eastAsia="Times New Roman" w:cs="Times New Roman"/>
          <w:i/>
          <w:sz w:val="22"/>
        </w:rPr>
        <w:t>En caso de referirse a información reservada, la motivación de la clasificación también deberá comprender las circunstancias que justifican el establecimiento de determinado plazo de reserva.</w:t>
      </w:r>
    </w:p>
    <w:p w14:paraId="3FDFAF8E" w14:textId="77777777" w:rsidR="00EC408A" w:rsidRPr="00E77A4F" w:rsidRDefault="00EC408A" w:rsidP="00EC408A">
      <w:pPr>
        <w:ind w:left="567" w:right="567"/>
        <w:rPr>
          <w:rFonts w:eastAsia="Times New Roman" w:cs="Times New Roman"/>
          <w:i/>
          <w:sz w:val="22"/>
        </w:rPr>
      </w:pPr>
    </w:p>
    <w:p w14:paraId="035EA48B" w14:textId="77777777" w:rsidR="00EC408A" w:rsidRPr="00E77A4F" w:rsidRDefault="00EC408A" w:rsidP="00EC408A">
      <w:pPr>
        <w:ind w:left="567" w:right="567"/>
        <w:rPr>
          <w:rFonts w:eastAsia="Times New Roman" w:cs="Times New Roman"/>
          <w:i/>
          <w:sz w:val="22"/>
        </w:rPr>
      </w:pPr>
      <w:r w:rsidRPr="00E77A4F">
        <w:rPr>
          <w:rFonts w:eastAsia="Times New Roman" w:cs="Times New Roman"/>
          <w:i/>
          <w:sz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60DB26AF" w14:textId="77777777" w:rsidR="00EC408A" w:rsidRPr="00E77A4F" w:rsidRDefault="00EC408A" w:rsidP="00EC408A">
      <w:pPr>
        <w:ind w:left="567" w:right="567"/>
        <w:rPr>
          <w:rFonts w:eastAsia="Times New Roman" w:cs="Times New Roman"/>
          <w:i/>
          <w:sz w:val="22"/>
        </w:rPr>
      </w:pPr>
      <w:r w:rsidRPr="00E77A4F">
        <w:rPr>
          <w:rFonts w:eastAsia="Times New Roman" w:cs="Times New Roman"/>
          <w:i/>
          <w:sz w:val="22"/>
        </w:rPr>
        <w:t>Los documentos contenidos en los archivos históricos y los identificados como históricos confidenciales no serán susceptibles de clasificación como reservados.</w:t>
      </w:r>
    </w:p>
    <w:p w14:paraId="5267FEA2" w14:textId="77777777" w:rsidR="00EC408A" w:rsidRPr="00E77A4F" w:rsidRDefault="00EC408A" w:rsidP="00EC408A">
      <w:pPr>
        <w:ind w:left="567" w:right="567"/>
        <w:rPr>
          <w:rFonts w:eastAsia="Times New Roman" w:cs="Times New Roman"/>
          <w:b/>
          <w:i/>
          <w:sz w:val="22"/>
        </w:rPr>
      </w:pPr>
    </w:p>
    <w:p w14:paraId="7AA07EBD" w14:textId="77777777" w:rsidR="00EC408A" w:rsidRPr="00E77A4F" w:rsidRDefault="00EC408A" w:rsidP="00EC408A">
      <w:pPr>
        <w:ind w:left="567" w:right="567"/>
        <w:rPr>
          <w:rFonts w:eastAsia="Times New Roman" w:cs="Times New Roman"/>
          <w:i/>
          <w:sz w:val="22"/>
        </w:rPr>
      </w:pPr>
      <w:r w:rsidRPr="00E77A4F">
        <w:rPr>
          <w:rFonts w:eastAsia="Times New Roman" w:cs="Times New Roman"/>
          <w:b/>
          <w:i/>
          <w:sz w:val="22"/>
        </w:rPr>
        <w:t>Noveno.</w:t>
      </w:r>
      <w:r w:rsidRPr="00E77A4F">
        <w:rPr>
          <w:rFonts w:eastAsia="Times New Roman" w:cs="Times New Roman"/>
          <w:i/>
          <w:sz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A2B1C75" w14:textId="77777777" w:rsidR="00EC408A" w:rsidRPr="00E77A4F" w:rsidRDefault="00EC408A" w:rsidP="00EC408A">
      <w:pPr>
        <w:ind w:left="567" w:right="567"/>
        <w:rPr>
          <w:rFonts w:eastAsia="Times New Roman" w:cs="Times New Roman"/>
          <w:b/>
          <w:i/>
          <w:sz w:val="22"/>
        </w:rPr>
      </w:pPr>
    </w:p>
    <w:p w14:paraId="62EFA1D3" w14:textId="77777777" w:rsidR="00EC408A" w:rsidRPr="00E77A4F" w:rsidRDefault="00EC408A" w:rsidP="00EC408A">
      <w:pPr>
        <w:ind w:left="567" w:right="567"/>
        <w:rPr>
          <w:rFonts w:eastAsia="Times New Roman" w:cs="Times New Roman"/>
          <w:i/>
          <w:sz w:val="22"/>
        </w:rPr>
      </w:pPr>
      <w:r w:rsidRPr="00E77A4F">
        <w:rPr>
          <w:rFonts w:eastAsia="Times New Roman" w:cs="Times New Roman"/>
          <w:b/>
          <w:i/>
          <w:sz w:val="22"/>
        </w:rPr>
        <w:lastRenderedPageBreak/>
        <w:t>Décimo.</w:t>
      </w:r>
      <w:r w:rsidRPr="00E77A4F">
        <w:rPr>
          <w:rFonts w:eastAsia="Times New Roman" w:cs="Times New Roman"/>
          <w:i/>
          <w:sz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1E1FF618" w14:textId="77777777" w:rsidR="00EC408A" w:rsidRPr="00E77A4F" w:rsidRDefault="00EC408A" w:rsidP="00EC408A">
      <w:pPr>
        <w:ind w:left="567" w:right="567"/>
        <w:rPr>
          <w:rFonts w:eastAsia="Times New Roman" w:cs="Times New Roman"/>
          <w:i/>
          <w:sz w:val="22"/>
        </w:rPr>
      </w:pPr>
    </w:p>
    <w:p w14:paraId="4B30B369" w14:textId="77777777" w:rsidR="00EC408A" w:rsidRPr="00E77A4F" w:rsidRDefault="00EC408A" w:rsidP="00EC408A">
      <w:pPr>
        <w:ind w:left="567" w:right="567"/>
        <w:rPr>
          <w:rFonts w:eastAsia="Times New Roman" w:cs="Times New Roman"/>
          <w:i/>
          <w:sz w:val="22"/>
        </w:rPr>
      </w:pPr>
      <w:r w:rsidRPr="00E77A4F">
        <w:rPr>
          <w:rFonts w:eastAsia="Times New Roman" w:cs="Times New Roman"/>
          <w:i/>
          <w:sz w:val="22"/>
        </w:rPr>
        <w:t>En ausencia de los titulares de las áreas, la información será clasificada o desclasificada por la persona que lo supla, en términos de la normativa que rija la actuación del sujeto obligado.</w:t>
      </w:r>
    </w:p>
    <w:p w14:paraId="265FA1EE" w14:textId="77777777" w:rsidR="00EC408A" w:rsidRPr="00E77A4F" w:rsidRDefault="00EC408A" w:rsidP="00EC408A">
      <w:pPr>
        <w:ind w:left="567" w:right="567"/>
        <w:rPr>
          <w:rFonts w:eastAsia="Times New Roman" w:cs="Times New Roman"/>
          <w:b/>
          <w:i/>
          <w:sz w:val="22"/>
        </w:rPr>
      </w:pPr>
    </w:p>
    <w:p w14:paraId="3DD3F8AF" w14:textId="77777777" w:rsidR="00EC408A" w:rsidRDefault="00EC408A" w:rsidP="00EC408A">
      <w:pPr>
        <w:ind w:left="567" w:right="567"/>
        <w:rPr>
          <w:rFonts w:eastAsia="Times New Roman" w:cs="Times New Roman"/>
          <w:b/>
          <w:i/>
          <w:sz w:val="22"/>
        </w:rPr>
      </w:pPr>
      <w:r w:rsidRPr="00E77A4F">
        <w:rPr>
          <w:rFonts w:eastAsia="Times New Roman" w:cs="Times New Roman"/>
          <w:b/>
          <w:i/>
          <w:sz w:val="22"/>
        </w:rPr>
        <w:t>Décimo primero.</w:t>
      </w:r>
      <w:r w:rsidRPr="00E77A4F">
        <w:rPr>
          <w:rFonts w:eastAsia="Times New Roman" w:cs="Times New Roman"/>
          <w:i/>
          <w:sz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77A4F">
        <w:rPr>
          <w:rFonts w:eastAsia="Times New Roman" w:cs="Times New Roman"/>
          <w:b/>
          <w:i/>
          <w:sz w:val="22"/>
        </w:rPr>
        <w:t>”</w:t>
      </w:r>
    </w:p>
    <w:p w14:paraId="07F82785" w14:textId="77777777" w:rsidR="00E77A4F" w:rsidRPr="00E77A4F" w:rsidRDefault="00E77A4F" w:rsidP="00EC408A">
      <w:pPr>
        <w:ind w:left="567" w:right="567"/>
        <w:rPr>
          <w:rFonts w:eastAsia="Times New Roman" w:cs="Times New Roman"/>
          <w:b/>
          <w:sz w:val="22"/>
        </w:rPr>
      </w:pPr>
    </w:p>
    <w:p w14:paraId="5610D9E7" w14:textId="77777777" w:rsidR="00EC408A" w:rsidRPr="00134536" w:rsidRDefault="00EC408A" w:rsidP="00EC408A">
      <w:pPr>
        <w:rPr>
          <w:rFonts w:eastAsia="Times New Roman" w:cs="Times New Roman"/>
          <w:szCs w:val="24"/>
          <w:lang w:eastAsia="es-ES"/>
        </w:rPr>
      </w:pPr>
      <w:r w:rsidRPr="00134536">
        <w:rPr>
          <w:rFonts w:eastAsia="Times New Roman" w:cs="Times New Roman"/>
          <w:szCs w:val="24"/>
          <w:lang w:eastAsia="es-ES"/>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F8462C9" w14:textId="77777777" w:rsidR="00EC408A" w:rsidRPr="00134536" w:rsidRDefault="00EC408A" w:rsidP="00EC408A">
      <w:pPr>
        <w:rPr>
          <w:rFonts w:eastAsia="Times New Roman" w:cs="Times New Roman"/>
          <w:szCs w:val="24"/>
          <w:lang w:eastAsia="es-ES"/>
        </w:rPr>
      </w:pPr>
      <w:r w:rsidRPr="00134536">
        <w:rPr>
          <w:rFonts w:eastAsia="Times New Roman" w:cs="Times New Roman"/>
          <w:szCs w:val="24"/>
          <w:lang w:eastAsia="es-ES"/>
        </w:rPr>
        <w:lastRenderedPageBreak/>
        <w:t>Por tanto, la fundamentación y motivación consiste en la obligación que tiene todo ente público de expresar los preceptos jurídicos aplicables al asunto motivo del acto y las razones o argumentos de su actuar.</w:t>
      </w:r>
    </w:p>
    <w:p w14:paraId="74CE9A20" w14:textId="77777777" w:rsidR="00EC408A" w:rsidRDefault="00EC408A" w:rsidP="00EC408A">
      <w:pPr>
        <w:rPr>
          <w:rFonts w:eastAsia="Times New Roman" w:cs="Times New Roman"/>
          <w:szCs w:val="24"/>
          <w:lang w:eastAsia="es-ES"/>
        </w:rPr>
      </w:pPr>
      <w:r w:rsidRPr="00134536">
        <w:rPr>
          <w:rFonts w:eastAsia="Times New Roman" w:cs="Times New Roman"/>
          <w:szCs w:val="24"/>
          <w:lang w:eastAsia="es-ES"/>
        </w:rPr>
        <w:t>Al respecto, el máximo tribunal del país ha establecido jurisprudencia respecto a qué debe entenderse por fundamentación y motivación, en los siguientes términos:</w:t>
      </w:r>
    </w:p>
    <w:p w14:paraId="34FBA70D" w14:textId="77777777" w:rsidR="00E77A4F" w:rsidRPr="00134536" w:rsidRDefault="00E77A4F" w:rsidP="00EC408A">
      <w:pPr>
        <w:rPr>
          <w:rFonts w:eastAsia="Times New Roman" w:cs="Times New Roman"/>
          <w:szCs w:val="24"/>
          <w:lang w:eastAsia="es-ES"/>
        </w:rPr>
      </w:pPr>
    </w:p>
    <w:p w14:paraId="35446714" w14:textId="77777777" w:rsidR="00EC408A" w:rsidRDefault="00EC408A" w:rsidP="00EC408A">
      <w:pPr>
        <w:ind w:left="567" w:right="567"/>
        <w:rPr>
          <w:rFonts w:eastAsia="Times New Roman" w:cs="Times New Roman"/>
          <w:i/>
          <w:sz w:val="22"/>
          <w:lang w:eastAsia="es-ES"/>
        </w:rPr>
      </w:pPr>
      <w:r w:rsidRPr="00E77A4F">
        <w:rPr>
          <w:rFonts w:eastAsia="Times New Roman" w:cs="Times New Roman"/>
          <w:b/>
          <w:i/>
          <w:sz w:val="22"/>
          <w:lang w:eastAsia="es-ES"/>
        </w:rPr>
        <w:t xml:space="preserve">FUNDAMENTACIÓN Y MOTIVACIÓN. </w:t>
      </w:r>
      <w:r w:rsidRPr="00E77A4F">
        <w:rPr>
          <w:rFonts w:eastAsia="Times New Roman" w:cs="Times New Roman"/>
          <w:i/>
          <w:sz w:val="22"/>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1C333D70" w14:textId="77777777" w:rsidR="00E77A4F" w:rsidRPr="00E77A4F" w:rsidRDefault="00E77A4F" w:rsidP="00EC408A">
      <w:pPr>
        <w:ind w:left="567" w:right="567"/>
        <w:rPr>
          <w:rFonts w:eastAsia="Times New Roman" w:cs="Times New Roman"/>
          <w:i/>
          <w:sz w:val="22"/>
          <w:lang w:eastAsia="es-ES"/>
        </w:rPr>
      </w:pPr>
    </w:p>
    <w:p w14:paraId="74C8BCFD" w14:textId="77777777" w:rsidR="00EC408A" w:rsidRDefault="00EC408A" w:rsidP="00EC408A">
      <w:pPr>
        <w:rPr>
          <w:rFonts w:eastAsia="Times New Roman" w:cs="Times New Roman"/>
          <w:szCs w:val="24"/>
          <w:lang w:eastAsia="es-ES"/>
        </w:rPr>
      </w:pPr>
      <w:r w:rsidRPr="00134536">
        <w:rPr>
          <w:rFonts w:eastAsia="Times New Roman" w:cs="Times New Roman"/>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40724CE" w14:textId="77777777" w:rsidR="00EC408A" w:rsidRPr="00134536" w:rsidRDefault="00EC408A" w:rsidP="00EC408A">
      <w:pPr>
        <w:rPr>
          <w:rFonts w:eastAsia="Times New Roman" w:cs="Times New Roman"/>
          <w:szCs w:val="24"/>
          <w:lang w:eastAsia="es-ES"/>
        </w:rPr>
      </w:pPr>
    </w:p>
    <w:p w14:paraId="311BC615" w14:textId="77777777" w:rsidR="00EC408A" w:rsidRDefault="00EC408A" w:rsidP="00EC408A">
      <w:pPr>
        <w:rPr>
          <w:rFonts w:eastAsia="Times New Roman" w:cs="Times New Roman"/>
          <w:szCs w:val="24"/>
          <w:lang w:eastAsia="es-ES"/>
        </w:rPr>
      </w:pPr>
      <w:r w:rsidRPr="00134536">
        <w:rPr>
          <w:rFonts w:eastAsia="Times New Roman" w:cs="Times New Roman"/>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18AE5E7" w14:textId="77777777" w:rsidR="00E77A4F" w:rsidRPr="00134536" w:rsidRDefault="00E77A4F" w:rsidP="00EC408A">
      <w:pPr>
        <w:rPr>
          <w:rFonts w:eastAsia="Times New Roman" w:cs="Times New Roman"/>
          <w:szCs w:val="24"/>
          <w:lang w:eastAsia="es-ES"/>
        </w:rPr>
      </w:pPr>
    </w:p>
    <w:p w14:paraId="18A29355" w14:textId="77777777" w:rsidR="00EC408A" w:rsidRPr="00E77A4F" w:rsidRDefault="00EC408A" w:rsidP="00EC408A">
      <w:pPr>
        <w:ind w:left="567" w:right="567"/>
        <w:rPr>
          <w:rFonts w:eastAsia="Times New Roman" w:cs="Times New Roman"/>
          <w:i/>
          <w:sz w:val="22"/>
          <w:lang w:eastAsia="es-ES"/>
        </w:rPr>
      </w:pPr>
      <w:r w:rsidRPr="00E77A4F">
        <w:rPr>
          <w:rFonts w:eastAsia="Times New Roman" w:cs="Times New Roman"/>
          <w:b/>
          <w:i/>
          <w:sz w:val="22"/>
          <w:lang w:eastAsia="es-ES"/>
        </w:rPr>
        <w:t>FUNDAMENTACIÓN Y MOTIVACIÓN. EL ASPECTO FORMAL DE LA GARANTÍA Y SU FINALIDAD SE TRADUCEN EN EXPLICAR, JUSTIFICAR, POSIBILITAR LA DEFENSA Y COMUNICAR LA DECISIÓN</w:t>
      </w:r>
      <w:r w:rsidRPr="00E77A4F">
        <w:rPr>
          <w:rFonts w:eastAsia="Times New Roman" w:cs="Times New Roman"/>
          <w:i/>
          <w:sz w:val="22"/>
          <w:lang w:eastAsia="es-ES"/>
        </w:rPr>
        <w:t xml:space="preserve">. El contenido formal de la garantía de legalidad prevista en el artículo 16 constitucional relativa a la fundamentación </w:t>
      </w:r>
      <w:r w:rsidRPr="00E77A4F">
        <w:rPr>
          <w:rFonts w:eastAsia="Times New Roman" w:cs="Times New Roman"/>
          <w:i/>
          <w:sz w:val="22"/>
          <w:lang w:eastAsia="es-ES"/>
        </w:rPr>
        <w:lastRenderedPageBreak/>
        <w:t>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2FFAD123" w14:textId="77777777" w:rsidR="00EC408A" w:rsidRPr="00134536" w:rsidRDefault="00EC408A" w:rsidP="00EC408A">
      <w:pPr>
        <w:ind w:left="567" w:right="567"/>
        <w:rPr>
          <w:rFonts w:eastAsia="Times New Roman" w:cs="Times New Roman"/>
          <w:i/>
          <w:szCs w:val="24"/>
          <w:lang w:eastAsia="es-ES"/>
        </w:rPr>
      </w:pPr>
    </w:p>
    <w:p w14:paraId="4435FA77" w14:textId="77777777" w:rsidR="00EC408A" w:rsidRPr="00134536" w:rsidRDefault="00EC408A" w:rsidP="00EC408A">
      <w:pPr>
        <w:rPr>
          <w:rFonts w:eastAsia="Times New Roman" w:cs="Times New Roman"/>
          <w:szCs w:val="24"/>
          <w:lang w:eastAsia="es-ES"/>
        </w:rPr>
      </w:pPr>
      <w:r w:rsidRPr="00134536">
        <w:rPr>
          <w:rFonts w:eastAsia="Times New Roman" w:cs="Times New Roman"/>
          <w:szCs w:val="24"/>
          <w:lang w:eastAsia="es-ES"/>
        </w:rPr>
        <w:t xml:space="preserve">En consecuencia, la fundamentación y motivación implica </w:t>
      </w:r>
      <w:proofErr w:type="gramStart"/>
      <w:r w:rsidRPr="00134536">
        <w:rPr>
          <w:rFonts w:eastAsia="Times New Roman" w:cs="Times New Roman"/>
          <w:szCs w:val="24"/>
          <w:lang w:eastAsia="es-ES"/>
        </w:rPr>
        <w:t>que</w:t>
      </w:r>
      <w:proofErr w:type="gramEnd"/>
      <w:r w:rsidRPr="00134536">
        <w:rPr>
          <w:rFonts w:eastAsia="Times New Roman" w:cs="Times New Roman"/>
          <w:szCs w:val="24"/>
          <w:lang w:eastAsia="es-ES"/>
        </w:rPr>
        <w:t xml:space="preserv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65D67D65" w14:textId="77777777" w:rsidR="00EC408A" w:rsidRPr="00134536" w:rsidRDefault="00EC408A" w:rsidP="00EC408A">
      <w:pPr>
        <w:rPr>
          <w:rFonts w:eastAsia="Times New Roman" w:cs="Times New Roman"/>
          <w:szCs w:val="24"/>
          <w:lang w:eastAsia="es-ES"/>
        </w:rPr>
      </w:pPr>
    </w:p>
    <w:p w14:paraId="7095878C" w14:textId="77777777" w:rsidR="00EC408A" w:rsidRPr="0090545F" w:rsidRDefault="00EC408A" w:rsidP="00EC408A">
      <w:pPr>
        <w:spacing w:after="160"/>
        <w:rPr>
          <w:rFonts w:cs="Arial"/>
          <w:szCs w:val="24"/>
          <w:lang w:val="es-ES"/>
        </w:rPr>
      </w:pPr>
      <w:r w:rsidRPr="00134536">
        <w:rPr>
          <w:rFonts w:eastAsia="Times New Roman" w:cs="Times New Roman"/>
          <w:szCs w:val="24"/>
          <w:lang w:val="es-ES" w:eastAsia="es-ES"/>
        </w:rPr>
        <w:t>Por lo tanto, la entrega de documentos en su versión pública debe acompañarse necesariamente del Acuerdo del Comité de Transparencia del Sujeto Obligado</w:t>
      </w:r>
      <w:r w:rsidRPr="00134536">
        <w:rPr>
          <w:rFonts w:eastAsia="Times New Roman" w:cs="Times New Roman"/>
          <w:b/>
          <w:szCs w:val="24"/>
          <w:lang w:val="es-ES" w:eastAsia="es-ES"/>
        </w:rPr>
        <w:t xml:space="preserve"> </w:t>
      </w:r>
      <w:r w:rsidRPr="00134536">
        <w:rPr>
          <w:rFonts w:eastAsia="Times New Roman" w:cs="Times New Roman"/>
          <w:szCs w:val="24"/>
          <w:lang w:val="es-ES" w:eastAsia="es-ES"/>
        </w:rPr>
        <w:t xml:space="preserve">que la sustente, en el que se expongan los fundamentos y razones que llevaron a la autoridad a testar, suprimir o eliminar datos de dicho soporte documental, ya que el no hacerlo </w:t>
      </w:r>
      <w:r w:rsidRPr="00134536">
        <w:rPr>
          <w:rFonts w:eastAsia="Times New Roman" w:cs="Times New Roman"/>
          <w:szCs w:val="24"/>
          <w:lang w:val="es-ES" w:eastAsia="es-ES"/>
        </w:rPr>
        <w:lastRenderedPageBreak/>
        <w:t>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37DE95E" w14:textId="77777777" w:rsidR="00EC408A" w:rsidRDefault="00EC408A" w:rsidP="00EC408A">
      <w:pPr>
        <w:rPr>
          <w:rFonts w:cstheme="minorBidi"/>
          <w:szCs w:val="24"/>
          <w:lang w:val="es-MX"/>
        </w:rPr>
      </w:pPr>
      <w:r>
        <w:rPr>
          <w:rFonts w:cs="Arial"/>
          <w:szCs w:val="24"/>
        </w:rPr>
        <w:t>Final</w:t>
      </w:r>
      <w:r>
        <w:rPr>
          <w:szCs w:val="24"/>
        </w:rPr>
        <w:t xml:space="preserve">mente, y en mérito de lo expuesto en líneas anteriores, resultan fundados los motivos de inconformidad vertidos por </w:t>
      </w:r>
      <w:r>
        <w:rPr>
          <w:b/>
          <w:bCs/>
          <w:szCs w:val="24"/>
        </w:rPr>
        <w:t>el</w:t>
      </w:r>
      <w:r>
        <w:rPr>
          <w:szCs w:val="24"/>
        </w:rPr>
        <w:t xml:space="preserve"> </w:t>
      </w:r>
      <w:r>
        <w:rPr>
          <w:b/>
          <w:szCs w:val="24"/>
        </w:rPr>
        <w:t>Recurrente</w:t>
      </w:r>
      <w:r>
        <w:rPr>
          <w:szCs w:val="24"/>
        </w:rPr>
        <w:t xml:space="preserve">, por ello con fundamento en el artículo 186 fracción III de la Ley de Transparencia y Acceso a la Información Pública del Estado de México y Municipios, se </w:t>
      </w:r>
      <w:r w:rsidR="003368FD">
        <w:rPr>
          <w:b/>
          <w:szCs w:val="24"/>
        </w:rPr>
        <w:t>REVOCA</w:t>
      </w:r>
      <w:r>
        <w:rPr>
          <w:b/>
          <w:szCs w:val="24"/>
        </w:rPr>
        <w:t xml:space="preserve"> </w:t>
      </w:r>
      <w:r>
        <w:rPr>
          <w:szCs w:val="24"/>
        </w:rPr>
        <w:t xml:space="preserve">la respuesta a la solicitud de </w:t>
      </w:r>
      <w:r w:rsidRPr="00D91822">
        <w:rPr>
          <w:szCs w:val="24"/>
        </w:rPr>
        <w:t xml:space="preserve">información </w:t>
      </w:r>
      <w:r w:rsidRPr="00D91822">
        <w:rPr>
          <w:sz w:val="27"/>
          <w:szCs w:val="27"/>
        </w:rPr>
        <w:t> </w:t>
      </w:r>
      <w:r w:rsidRPr="00D91822">
        <w:rPr>
          <w:b/>
          <w:bCs/>
          <w:sz w:val="20"/>
          <w:szCs w:val="20"/>
        </w:rPr>
        <w:t> </w:t>
      </w:r>
      <w:r w:rsidR="00E77A4F" w:rsidRPr="00E77A4F">
        <w:rPr>
          <w:b/>
          <w:bCs/>
        </w:rPr>
        <w:t>00055/VIGUERRE/IP/2023</w:t>
      </w:r>
      <w:r w:rsidR="00E77A4F" w:rsidRPr="00E77A4F">
        <w:rPr>
          <w:szCs w:val="24"/>
        </w:rPr>
        <w:t xml:space="preserve"> </w:t>
      </w:r>
      <w:r>
        <w:rPr>
          <w:szCs w:val="24"/>
        </w:rPr>
        <w:t>ha sido materia del presente fallo.</w:t>
      </w:r>
    </w:p>
    <w:p w14:paraId="006E7705" w14:textId="77777777" w:rsidR="00EC408A" w:rsidRDefault="00EC408A" w:rsidP="00EC408A">
      <w:pPr>
        <w:autoSpaceDE w:val="0"/>
        <w:autoSpaceDN w:val="0"/>
        <w:adjustRightInd w:val="0"/>
        <w:rPr>
          <w:rFonts w:eastAsiaTheme="minorHAnsi" w:cs="Arial"/>
          <w:szCs w:val="24"/>
        </w:rPr>
      </w:pPr>
    </w:p>
    <w:p w14:paraId="28D8B350" w14:textId="77777777" w:rsidR="00EC408A" w:rsidRDefault="00EC408A" w:rsidP="00EC408A">
      <w:pPr>
        <w:rPr>
          <w:szCs w:val="24"/>
        </w:rPr>
      </w:pPr>
      <w:r>
        <w:rPr>
          <w:szCs w:val="24"/>
        </w:rPr>
        <w:t xml:space="preserve">Por lo antes expuesto y fundado. </w:t>
      </w:r>
    </w:p>
    <w:p w14:paraId="1C63DC42" w14:textId="77777777" w:rsidR="0090545F" w:rsidRPr="00693D2D" w:rsidRDefault="0090545F" w:rsidP="00EC408A">
      <w:pPr>
        <w:rPr>
          <w:rFonts w:cstheme="minorBidi"/>
          <w:szCs w:val="24"/>
        </w:rPr>
      </w:pPr>
    </w:p>
    <w:p w14:paraId="3E0586F0" w14:textId="77777777" w:rsidR="00EC408A" w:rsidRDefault="00EC408A" w:rsidP="00EC408A">
      <w:pPr>
        <w:jc w:val="center"/>
        <w:rPr>
          <w:rFonts w:cstheme="minorBidi"/>
          <w:b/>
          <w:bCs/>
          <w:spacing w:val="60"/>
          <w:szCs w:val="24"/>
        </w:rPr>
      </w:pPr>
      <w:r>
        <w:rPr>
          <w:b/>
          <w:bCs/>
          <w:spacing w:val="60"/>
          <w:szCs w:val="24"/>
        </w:rPr>
        <w:t>SE    RESUELVE</w:t>
      </w:r>
    </w:p>
    <w:p w14:paraId="751674CC" w14:textId="77777777" w:rsidR="00EC408A" w:rsidRDefault="00EC408A" w:rsidP="00EC408A">
      <w:pPr>
        <w:rPr>
          <w:rFonts w:cs="Arial"/>
          <w:szCs w:val="24"/>
          <w:lang w:val="es-MX"/>
        </w:rPr>
      </w:pPr>
    </w:p>
    <w:p w14:paraId="798BA2E7" w14:textId="77777777" w:rsidR="00EC408A" w:rsidRDefault="00EC408A" w:rsidP="00EC408A">
      <w:pPr>
        <w:rPr>
          <w:rFonts w:cs="Arial"/>
          <w:b/>
          <w:szCs w:val="24"/>
        </w:rPr>
      </w:pPr>
      <w:r>
        <w:rPr>
          <w:rFonts w:cs="Arial"/>
          <w:b/>
          <w:szCs w:val="24"/>
        </w:rPr>
        <w:t>PRIMERO.</w:t>
      </w:r>
      <w:r>
        <w:rPr>
          <w:rFonts w:cs="Arial"/>
          <w:szCs w:val="24"/>
        </w:rPr>
        <w:t xml:space="preserve"> </w:t>
      </w:r>
      <w:r>
        <w:rPr>
          <w:rFonts w:eastAsia="Arial Unicode MS" w:cs="Arial"/>
          <w:szCs w:val="24"/>
        </w:rPr>
        <w:t>Se</w:t>
      </w:r>
      <w:r>
        <w:rPr>
          <w:rFonts w:cs="Arial"/>
          <w:szCs w:val="24"/>
        </w:rPr>
        <w:t xml:space="preserve"> </w:t>
      </w:r>
      <w:r w:rsidR="003368FD">
        <w:rPr>
          <w:rFonts w:cs="Arial"/>
          <w:b/>
          <w:szCs w:val="24"/>
        </w:rPr>
        <w:t>REVOCA</w:t>
      </w:r>
      <w:r>
        <w:rPr>
          <w:rFonts w:cs="Arial"/>
          <w:szCs w:val="24"/>
        </w:rPr>
        <w:t xml:space="preserve"> </w:t>
      </w:r>
      <w:r>
        <w:rPr>
          <w:rFonts w:eastAsia="Arial Unicode MS" w:cs="Arial"/>
          <w:szCs w:val="24"/>
        </w:rPr>
        <w:t xml:space="preserve">la respuesta entregada por </w:t>
      </w:r>
      <w:r>
        <w:rPr>
          <w:rFonts w:eastAsia="Arial Unicode MS" w:cs="Arial"/>
          <w:b/>
          <w:szCs w:val="24"/>
        </w:rPr>
        <w:t xml:space="preserve">el Sujeto Obligado </w:t>
      </w:r>
      <w:r>
        <w:rPr>
          <w:rFonts w:eastAsia="Arial Unicode MS" w:cs="Arial"/>
          <w:szCs w:val="24"/>
        </w:rPr>
        <w:t>a la solicitud de información número</w:t>
      </w:r>
      <w:r w:rsidR="00E77A4F">
        <w:rPr>
          <w:rFonts w:eastAsia="Arial Unicode MS" w:cs="Arial"/>
          <w:szCs w:val="24"/>
        </w:rPr>
        <w:t xml:space="preserve"> </w:t>
      </w:r>
      <w:r w:rsidR="00E77A4F" w:rsidRPr="00E77A4F">
        <w:rPr>
          <w:b/>
          <w:bCs/>
        </w:rPr>
        <w:t>00055/VIGUERRE/IP/2023</w:t>
      </w:r>
      <w:r>
        <w:rPr>
          <w:szCs w:val="24"/>
        </w:rPr>
        <w:t>,</w:t>
      </w:r>
      <w:r>
        <w:rPr>
          <w:rFonts w:cs="Arial"/>
          <w:szCs w:val="24"/>
        </w:rPr>
        <w:t xml:space="preserve"> al resultar fundadas las razones o motivos de inconformidad que manifestó la recurrente, </w:t>
      </w:r>
      <w:r>
        <w:rPr>
          <w:rFonts w:eastAsia="Arial Unicode MS" w:cs="Arial"/>
          <w:szCs w:val="24"/>
        </w:rPr>
        <w:t xml:space="preserve">en términos del </w:t>
      </w:r>
      <w:r>
        <w:rPr>
          <w:rFonts w:cs="Arial"/>
          <w:szCs w:val="24"/>
        </w:rPr>
        <w:t xml:space="preserve">Considerando </w:t>
      </w:r>
      <w:r>
        <w:rPr>
          <w:rFonts w:cs="Arial"/>
          <w:b/>
          <w:szCs w:val="24"/>
          <w:lang w:val="es-419"/>
        </w:rPr>
        <w:t>QUINTO</w:t>
      </w:r>
      <w:r>
        <w:rPr>
          <w:rFonts w:cs="Arial"/>
          <w:szCs w:val="24"/>
        </w:rPr>
        <w:t xml:space="preserve"> de la presente resolución.</w:t>
      </w:r>
    </w:p>
    <w:p w14:paraId="7CF56E3A" w14:textId="77777777" w:rsidR="00EC408A" w:rsidRDefault="00EC408A" w:rsidP="00EC408A">
      <w:pPr>
        <w:rPr>
          <w:rFonts w:cs="Arial"/>
          <w:szCs w:val="24"/>
        </w:rPr>
      </w:pPr>
    </w:p>
    <w:p w14:paraId="6E92A014" w14:textId="77777777" w:rsidR="00EC408A" w:rsidRPr="009F5A7C" w:rsidRDefault="00EC408A" w:rsidP="00EC408A">
      <w:pPr>
        <w:tabs>
          <w:tab w:val="left" w:pos="8647"/>
        </w:tabs>
        <w:ind w:right="51"/>
        <w:rPr>
          <w:rFonts w:cs="Arial"/>
          <w:szCs w:val="24"/>
        </w:rPr>
      </w:pPr>
      <w:r>
        <w:rPr>
          <w:b/>
          <w:szCs w:val="24"/>
        </w:rPr>
        <w:lastRenderedPageBreak/>
        <w:t>SEGUNDO.</w:t>
      </w:r>
      <w:r>
        <w:rPr>
          <w:rFonts w:cs="Arial"/>
          <w:szCs w:val="24"/>
        </w:rPr>
        <w:t xml:space="preserve"> Se </w:t>
      </w:r>
      <w:r>
        <w:rPr>
          <w:rFonts w:cs="Arial"/>
          <w:b/>
          <w:szCs w:val="24"/>
        </w:rPr>
        <w:t>ORDENA</w:t>
      </w:r>
      <w:r>
        <w:rPr>
          <w:rFonts w:cs="Arial"/>
          <w:szCs w:val="24"/>
        </w:rPr>
        <w:t xml:space="preserve"> al Sujeto Obligado, haga entrega al recurrente en términos del Considerando </w:t>
      </w:r>
      <w:r>
        <w:rPr>
          <w:rFonts w:cs="Arial"/>
          <w:b/>
          <w:szCs w:val="24"/>
          <w:lang w:val="es-419"/>
        </w:rPr>
        <w:t>QUINTO</w:t>
      </w:r>
      <w:r>
        <w:rPr>
          <w:rFonts w:cs="Arial"/>
          <w:szCs w:val="24"/>
        </w:rPr>
        <w:t xml:space="preserve"> de la presente resolución, a través del Sistema de Acceso a la Información Mexiquense</w:t>
      </w:r>
      <w:r>
        <w:rPr>
          <w:rFonts w:cs="Arial"/>
          <w:szCs w:val="24"/>
          <w:lang w:val="es-419"/>
        </w:rPr>
        <w:t xml:space="preserve"> </w:t>
      </w:r>
      <w:r>
        <w:rPr>
          <w:rFonts w:cs="Arial"/>
          <w:b/>
          <w:szCs w:val="24"/>
        </w:rPr>
        <w:t>(SAIMEX)</w:t>
      </w:r>
      <w:r>
        <w:rPr>
          <w:rFonts w:cs="Arial"/>
          <w:szCs w:val="24"/>
          <w:lang w:val="es-419"/>
        </w:rPr>
        <w:t xml:space="preserve">, </w:t>
      </w:r>
      <w:r>
        <w:rPr>
          <w:rFonts w:cs="Arial"/>
          <w:szCs w:val="24"/>
          <w:lang w:val="es-MX"/>
        </w:rPr>
        <w:t xml:space="preserve">en versión pública de ser procedente, </w:t>
      </w:r>
      <w:r>
        <w:rPr>
          <w:rFonts w:cs="Arial"/>
          <w:szCs w:val="24"/>
        </w:rPr>
        <w:t>de lo siguiente:</w:t>
      </w:r>
    </w:p>
    <w:p w14:paraId="0A140698" w14:textId="77777777" w:rsidR="00EC408A" w:rsidRPr="00E77A4F" w:rsidRDefault="00E77A4F" w:rsidP="00EC408A">
      <w:pPr>
        <w:pStyle w:val="Prrafodelista"/>
        <w:numPr>
          <w:ilvl w:val="0"/>
          <w:numId w:val="3"/>
        </w:numPr>
        <w:spacing w:after="160"/>
        <w:rPr>
          <w:rFonts w:eastAsia="Calibri" w:cs="Calibri"/>
          <w:i/>
          <w:iCs/>
          <w:lang w:eastAsia="es-MX"/>
        </w:rPr>
      </w:pPr>
      <w:r w:rsidRPr="00E77A4F">
        <w:rPr>
          <w:i/>
          <w:iCs/>
        </w:rPr>
        <w:t xml:space="preserve">Factura u orden de </w:t>
      </w:r>
      <w:proofErr w:type="gramStart"/>
      <w:r w:rsidRPr="00E77A4F">
        <w:rPr>
          <w:i/>
          <w:iCs/>
        </w:rPr>
        <w:t xml:space="preserve">pago </w:t>
      </w:r>
      <w:r w:rsidRPr="00E77A4F">
        <w:rPr>
          <w:i/>
          <w:color w:val="000000"/>
        </w:rPr>
        <w:t> de</w:t>
      </w:r>
      <w:proofErr w:type="gramEnd"/>
      <w:r w:rsidRPr="00E77A4F">
        <w:rPr>
          <w:i/>
          <w:color w:val="000000"/>
        </w:rPr>
        <w:t xml:space="preserve"> la esc</w:t>
      </w:r>
      <w:r>
        <w:rPr>
          <w:i/>
          <w:color w:val="000000"/>
        </w:rPr>
        <w:t xml:space="preserve">ultura </w:t>
      </w:r>
      <w:proofErr w:type="spellStart"/>
      <w:r>
        <w:rPr>
          <w:i/>
          <w:color w:val="000000"/>
        </w:rPr>
        <w:t>yaotecuani</w:t>
      </w:r>
      <w:proofErr w:type="spellEnd"/>
      <w:r>
        <w:rPr>
          <w:i/>
          <w:color w:val="000000"/>
        </w:rPr>
        <w:t xml:space="preserve"> que se instaló </w:t>
      </w:r>
      <w:r w:rsidRPr="00E77A4F">
        <w:rPr>
          <w:i/>
          <w:color w:val="000000"/>
        </w:rPr>
        <w:t>en la glorieta norte de villa guerrero</w:t>
      </w:r>
      <w:r w:rsidR="00EC408A" w:rsidRPr="00E77A4F">
        <w:rPr>
          <w:i/>
          <w:iCs/>
        </w:rPr>
        <w:t>.</w:t>
      </w:r>
    </w:p>
    <w:p w14:paraId="3D4DBB47" w14:textId="77777777" w:rsidR="00EC408A" w:rsidRPr="009F5A7C" w:rsidRDefault="00EC408A" w:rsidP="00EC408A">
      <w:pPr>
        <w:pBdr>
          <w:top w:val="nil"/>
          <w:left w:val="nil"/>
          <w:bottom w:val="nil"/>
          <w:right w:val="nil"/>
          <w:between w:val="nil"/>
        </w:pBdr>
        <w:spacing w:line="240" w:lineRule="auto"/>
        <w:ind w:left="709"/>
        <w:rPr>
          <w:rFonts w:eastAsia="Palatino Linotype" w:cs="Palatino Linotype"/>
          <w:color w:val="000000"/>
          <w:szCs w:val="24"/>
        </w:rPr>
      </w:pPr>
    </w:p>
    <w:p w14:paraId="6A166643" w14:textId="77777777" w:rsidR="00EC408A" w:rsidRPr="00E77A4F" w:rsidRDefault="00EC408A" w:rsidP="00E77A4F">
      <w:pPr>
        <w:pBdr>
          <w:top w:val="nil"/>
          <w:left w:val="nil"/>
          <w:bottom w:val="nil"/>
          <w:right w:val="nil"/>
          <w:between w:val="nil"/>
        </w:pBdr>
        <w:ind w:left="284"/>
        <w:rPr>
          <w:rFonts w:eastAsia="Palatino Linotype" w:cs="Palatino Linotype"/>
          <w:i/>
          <w:color w:val="000000"/>
          <w:szCs w:val="24"/>
        </w:rPr>
      </w:pPr>
      <w:r w:rsidRPr="00E77A4F">
        <w:rPr>
          <w:rFonts w:eastAsia="Palatino Linotype" w:cs="Palatino Linotype"/>
          <w:i/>
          <w:color w:val="000000"/>
          <w:szCs w:val="24"/>
        </w:rPr>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785DFF83" w14:textId="77777777" w:rsidR="00EC408A" w:rsidRPr="00693D2D" w:rsidRDefault="00EC408A" w:rsidP="00EC408A">
      <w:pPr>
        <w:rPr>
          <w:rFonts w:cs="Arial"/>
          <w:color w:val="000000"/>
        </w:rPr>
      </w:pPr>
    </w:p>
    <w:p w14:paraId="4920495D" w14:textId="77777777" w:rsidR="00EC408A" w:rsidRDefault="00EC408A" w:rsidP="00EC408A">
      <w:pPr>
        <w:tabs>
          <w:tab w:val="left" w:pos="8647"/>
        </w:tabs>
        <w:ind w:right="51"/>
        <w:rPr>
          <w:rFonts w:cs="Arial"/>
          <w:szCs w:val="24"/>
          <w:lang w:val="es-MX"/>
        </w:rPr>
      </w:pPr>
      <w:r>
        <w:rPr>
          <w:rFonts w:cs="Arial"/>
          <w:b/>
          <w:szCs w:val="24"/>
        </w:rPr>
        <w:t>TERCERO.</w:t>
      </w:r>
      <w:r>
        <w:rPr>
          <w:rFonts w:cs="Arial"/>
          <w:szCs w:val="24"/>
        </w:rPr>
        <w:t xml:space="preserve"> </w:t>
      </w:r>
      <w:r>
        <w:rPr>
          <w:rFonts w:cs="Arial"/>
          <w:b/>
          <w:szCs w:val="24"/>
        </w:rPr>
        <w:t>Notifíquese</w:t>
      </w:r>
      <w:r>
        <w:rPr>
          <w:rFonts w:cs="Arial"/>
          <w:b/>
          <w:i/>
          <w:szCs w:val="24"/>
        </w:rPr>
        <w:t xml:space="preserve"> </w:t>
      </w:r>
      <w:r>
        <w:rPr>
          <w:rFonts w:cs="Arial"/>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w:t>
      </w:r>
    </w:p>
    <w:p w14:paraId="76AB4987" w14:textId="77777777" w:rsidR="00EC408A" w:rsidRDefault="00EC408A" w:rsidP="00EC408A">
      <w:pPr>
        <w:tabs>
          <w:tab w:val="left" w:pos="8647"/>
        </w:tabs>
        <w:ind w:right="51"/>
        <w:rPr>
          <w:rFonts w:cs="Arial"/>
          <w:szCs w:val="24"/>
        </w:rPr>
      </w:pPr>
    </w:p>
    <w:p w14:paraId="2430AA98" w14:textId="77777777" w:rsidR="00EC408A" w:rsidRDefault="00EC408A" w:rsidP="00EC408A">
      <w:pPr>
        <w:rPr>
          <w:rFonts w:cstheme="minorBidi"/>
          <w:szCs w:val="24"/>
          <w:lang w:eastAsia="es-ES_tradnl"/>
        </w:rPr>
      </w:pPr>
      <w:r>
        <w:rPr>
          <w:rFonts w:cs="Arial"/>
          <w:b/>
          <w:szCs w:val="24"/>
          <w:lang w:eastAsia="es-ES"/>
        </w:rPr>
        <w:lastRenderedPageBreak/>
        <w:t xml:space="preserve">CUARTO. </w:t>
      </w:r>
      <w:r>
        <w:rPr>
          <w:rFonts w:cs="Arial"/>
          <w:szCs w:val="24"/>
          <w:lang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r>
        <w:rPr>
          <w:szCs w:val="24"/>
          <w:lang w:eastAsia="es-ES_tradnl"/>
        </w:rPr>
        <w:t>.</w:t>
      </w:r>
    </w:p>
    <w:p w14:paraId="7A0D4815" w14:textId="77777777" w:rsidR="00EC408A" w:rsidRDefault="00EC408A" w:rsidP="00EC408A">
      <w:pPr>
        <w:autoSpaceDE w:val="0"/>
        <w:autoSpaceDN w:val="0"/>
        <w:adjustRightInd w:val="0"/>
        <w:rPr>
          <w:rFonts w:eastAsiaTheme="minorHAnsi" w:cs="Arial"/>
          <w:szCs w:val="24"/>
          <w:lang w:eastAsia="es-ES"/>
        </w:rPr>
      </w:pPr>
    </w:p>
    <w:p w14:paraId="6A9336AD" w14:textId="77777777" w:rsidR="00EC408A" w:rsidRPr="002C5D14" w:rsidRDefault="00EC408A" w:rsidP="00EC408A">
      <w:pPr>
        <w:rPr>
          <w:rFonts w:cs="Arial"/>
          <w:szCs w:val="24"/>
          <w:lang w:eastAsia="es-ES"/>
        </w:rPr>
      </w:pPr>
      <w:r>
        <w:rPr>
          <w:b/>
          <w:szCs w:val="24"/>
        </w:rPr>
        <w:t xml:space="preserve">QUINTO. </w:t>
      </w:r>
      <w:r>
        <w:rPr>
          <w:rFonts w:cs="Arial"/>
          <w:b/>
          <w:szCs w:val="24"/>
          <w:lang w:eastAsia="es-ES"/>
        </w:rPr>
        <w:t>Notifíquese</w:t>
      </w:r>
      <w:r>
        <w:rPr>
          <w:rFonts w:cs="Arial"/>
          <w:szCs w:val="24"/>
          <w:lang w:eastAsia="es-ES"/>
        </w:rPr>
        <w:t xml:space="preserve"> </w:t>
      </w:r>
      <w:r>
        <w:rPr>
          <w:rFonts w:cs="Arial"/>
          <w:b/>
          <w:szCs w:val="24"/>
          <w:lang w:eastAsia="es-ES"/>
        </w:rPr>
        <w:t>a la Recurrente</w:t>
      </w:r>
      <w:r>
        <w:rPr>
          <w:rFonts w:cs="Arial"/>
          <w:szCs w:val="24"/>
          <w:lang w:eastAsia="es-ES"/>
        </w:rPr>
        <w:t xml:space="preserve"> la presente resolución a través del </w:t>
      </w:r>
      <w:r>
        <w:rPr>
          <w:rFonts w:cs="Arial"/>
          <w:szCs w:val="24"/>
        </w:rPr>
        <w:t xml:space="preserve">Sistema de Acceso a la Información Mexiquense </w:t>
      </w:r>
      <w:r>
        <w:rPr>
          <w:rFonts w:cs="Arial"/>
          <w:b/>
          <w:szCs w:val="24"/>
        </w:rPr>
        <w:t>(SAIMEX)</w:t>
      </w:r>
      <w:r>
        <w:rPr>
          <w:rFonts w:cs="Arial"/>
          <w:szCs w:val="24"/>
          <w:lang w:eastAsia="es-ES"/>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63E5D9A3" w14:textId="77777777" w:rsidR="00EC408A" w:rsidRDefault="00EC408A" w:rsidP="00EC408A">
      <w:pPr>
        <w:rPr>
          <w:rFonts w:cs="Arial"/>
          <w:color w:val="000000"/>
          <w:szCs w:val="24"/>
        </w:rPr>
      </w:pPr>
    </w:p>
    <w:p w14:paraId="0A7C37FB" w14:textId="73E1B18A" w:rsidR="00EC408A" w:rsidRDefault="00EC408A" w:rsidP="00EC408A">
      <w:pPr>
        <w:rPr>
          <w:rFonts w:cs="Arial"/>
          <w:szCs w:val="24"/>
        </w:rPr>
      </w:pPr>
      <w:r>
        <w:rPr>
          <w:rFonts w:cs="Arial"/>
          <w:szCs w:val="24"/>
        </w:rPr>
        <w:t>ASÍ LO RESUELVE, POR UNANIMIDAD DE VOTOS EL PLENO DEL</w:t>
      </w:r>
      <w:r>
        <w:rPr>
          <w:rFonts w:eastAsia="Arial Unicode MS" w:cs="Arial"/>
          <w:szCs w:val="24"/>
        </w:rPr>
        <w:t xml:space="preserve"> INSTITUTO DE TRANSPARENCIA, ACCESO A LA INFORMACIÓN PÚBLICA Y PROTECCIÓN DE DATOS PERSONALES DEL ESTADO DE MÉXICO Y MUNICIPIOS</w:t>
      </w:r>
      <w:r>
        <w:rPr>
          <w:rFonts w:cs="Arial"/>
          <w:szCs w:val="24"/>
        </w:rPr>
        <w:t>, CONFORMADO POR LOS COMISIONADOS JOSÉ MARTÍNEZ VILCHIS, MARÍA DEL ROSARIO MEJÍA AYALA, SHARON CRISTINA MORALES MARTÍNEZ, LUIS GUSTAVO PARRA NORIEGA Y GUADALUPE RAMÍREZ PEÑA, EN LA</w:t>
      </w:r>
      <w:r w:rsidR="00B57204">
        <w:rPr>
          <w:rFonts w:cs="Arial"/>
          <w:szCs w:val="24"/>
          <w:lang w:val="es-419"/>
        </w:rPr>
        <w:t xml:space="preserve"> SEXTA</w:t>
      </w:r>
      <w:r>
        <w:rPr>
          <w:rFonts w:cs="Arial"/>
          <w:szCs w:val="24"/>
          <w:lang w:val="es-419"/>
        </w:rPr>
        <w:t xml:space="preserve"> </w:t>
      </w:r>
      <w:r>
        <w:rPr>
          <w:rFonts w:cs="Arial"/>
          <w:szCs w:val="24"/>
        </w:rPr>
        <w:t>SESIÓN ORDINARIA CELEBRADA</w:t>
      </w:r>
      <w:r w:rsidR="0064376E">
        <w:rPr>
          <w:rFonts w:cs="Arial"/>
          <w:szCs w:val="24"/>
        </w:rPr>
        <w:t>EL VEINTIUNO DE FEBERERO DE DOS MIL VEINTICUATRO</w:t>
      </w:r>
      <w:r>
        <w:rPr>
          <w:rFonts w:cs="Arial"/>
          <w:szCs w:val="24"/>
        </w:rPr>
        <w:t>, ANTE EL SECRETARIO TÉCNICO DEL PLENO, ALEXIS TAPIA RAMÍREZ. --------------------------------------------------------------------------------------------------------------------------------------------------------------------------------------------------------------------------------------</w:t>
      </w:r>
      <w:r w:rsidR="00366BD8">
        <w:rPr>
          <w:rFonts w:cs="Arial"/>
          <w:szCs w:val="24"/>
        </w:rPr>
        <w:t>-------------------------------</w:t>
      </w:r>
    </w:p>
    <w:p w14:paraId="6FDC4821" w14:textId="2F45B60D" w:rsidR="00EC408A" w:rsidRDefault="00EC408A" w:rsidP="00366BD8">
      <w:pPr>
        <w:rPr>
          <w:rFonts w:cs="Arial"/>
          <w:sz w:val="20"/>
        </w:rPr>
      </w:pPr>
      <w:r>
        <w:rPr>
          <w:rFonts w:cs="Arial"/>
          <w:szCs w:val="24"/>
        </w:rPr>
        <w:t>------------------------------</w:t>
      </w:r>
      <w:r w:rsidR="00366BD8">
        <w:rPr>
          <w:rFonts w:cs="Arial"/>
          <w:szCs w:val="24"/>
        </w:rPr>
        <w:t>---------------------------------------------------------------------------------------</w:t>
      </w:r>
    </w:p>
    <w:p w14:paraId="70C811F2" w14:textId="77777777" w:rsidR="00EC408A" w:rsidRDefault="00EC408A" w:rsidP="00EC408A">
      <w:pPr>
        <w:rPr>
          <w:rFonts w:cs="Arial"/>
          <w:sz w:val="20"/>
        </w:rPr>
      </w:pPr>
      <w:r>
        <w:rPr>
          <w:rFonts w:cs="Arial"/>
          <w:sz w:val="20"/>
        </w:rPr>
        <w:t>JMV/CCR/NJMB</w:t>
      </w:r>
    </w:p>
    <w:p w14:paraId="466569C6" w14:textId="77777777" w:rsidR="00EC408A" w:rsidRDefault="00EC408A" w:rsidP="00EC408A">
      <w:pPr>
        <w:rPr>
          <w:rFonts w:cs="Arial"/>
          <w:sz w:val="20"/>
        </w:rPr>
      </w:pPr>
    </w:p>
    <w:p w14:paraId="3B97AA52" w14:textId="77777777" w:rsidR="00EC408A" w:rsidRDefault="00EC408A" w:rsidP="00EC408A">
      <w:pPr>
        <w:rPr>
          <w:rFonts w:cs="Arial"/>
          <w:sz w:val="20"/>
        </w:rPr>
      </w:pPr>
    </w:p>
    <w:p w14:paraId="446DDA04" w14:textId="77777777" w:rsidR="00EC408A" w:rsidRPr="004B7011" w:rsidRDefault="00EC408A" w:rsidP="00EC408A">
      <w:pPr>
        <w:pBdr>
          <w:top w:val="nil"/>
          <w:left w:val="nil"/>
          <w:bottom w:val="nil"/>
          <w:right w:val="nil"/>
          <w:between w:val="nil"/>
        </w:pBdr>
        <w:contextualSpacing/>
        <w:rPr>
          <w:rFonts w:eastAsia="Palatino Linotype" w:cs="Palatino Linotype"/>
          <w:color w:val="000000"/>
          <w:sz w:val="20"/>
          <w:szCs w:val="20"/>
        </w:rPr>
      </w:pPr>
    </w:p>
    <w:p w14:paraId="45519735" w14:textId="77777777" w:rsidR="00EC408A" w:rsidRPr="004B7011" w:rsidRDefault="00EC408A" w:rsidP="00EC408A">
      <w:pPr>
        <w:pBdr>
          <w:top w:val="nil"/>
          <w:left w:val="nil"/>
          <w:bottom w:val="nil"/>
          <w:right w:val="nil"/>
          <w:between w:val="nil"/>
        </w:pBdr>
        <w:contextualSpacing/>
        <w:rPr>
          <w:rFonts w:eastAsia="Palatino Linotype" w:cs="Palatino Linotype"/>
          <w:color w:val="000000"/>
          <w:sz w:val="20"/>
          <w:szCs w:val="20"/>
        </w:rPr>
      </w:pPr>
    </w:p>
    <w:p w14:paraId="6622983B" w14:textId="77777777" w:rsidR="00EC408A" w:rsidRPr="004B7011" w:rsidRDefault="00EC408A" w:rsidP="00EC408A">
      <w:pPr>
        <w:pBdr>
          <w:top w:val="nil"/>
          <w:left w:val="nil"/>
          <w:bottom w:val="nil"/>
          <w:right w:val="nil"/>
          <w:between w:val="nil"/>
        </w:pBdr>
        <w:contextualSpacing/>
        <w:rPr>
          <w:rFonts w:eastAsia="Palatino Linotype" w:cs="Palatino Linotype"/>
          <w:color w:val="000000"/>
          <w:sz w:val="20"/>
          <w:szCs w:val="20"/>
        </w:rPr>
      </w:pPr>
    </w:p>
    <w:p w14:paraId="5836F051" w14:textId="77777777" w:rsidR="00EC408A" w:rsidRPr="004B7011" w:rsidRDefault="00EC408A" w:rsidP="00EC408A">
      <w:pPr>
        <w:pBdr>
          <w:top w:val="nil"/>
          <w:left w:val="nil"/>
          <w:bottom w:val="nil"/>
          <w:right w:val="nil"/>
          <w:between w:val="nil"/>
        </w:pBdr>
        <w:contextualSpacing/>
        <w:rPr>
          <w:rFonts w:eastAsia="Palatino Linotype" w:cs="Palatino Linotype"/>
          <w:color w:val="000000"/>
          <w:sz w:val="20"/>
          <w:szCs w:val="20"/>
        </w:rPr>
      </w:pPr>
    </w:p>
    <w:p w14:paraId="4EAE27F2" w14:textId="77777777" w:rsidR="00EC408A" w:rsidRPr="004B7011" w:rsidRDefault="00EC408A" w:rsidP="00EC408A">
      <w:pPr>
        <w:pBdr>
          <w:top w:val="nil"/>
          <w:left w:val="nil"/>
          <w:bottom w:val="nil"/>
          <w:right w:val="nil"/>
          <w:between w:val="nil"/>
        </w:pBdr>
        <w:contextualSpacing/>
        <w:rPr>
          <w:rFonts w:eastAsia="Palatino Linotype" w:cs="Palatino Linotype"/>
          <w:color w:val="000000"/>
          <w:sz w:val="20"/>
          <w:szCs w:val="20"/>
        </w:rPr>
      </w:pPr>
    </w:p>
    <w:p w14:paraId="0A3F4490" w14:textId="77777777" w:rsidR="00EC408A" w:rsidRPr="004B7011" w:rsidRDefault="00EC408A" w:rsidP="00EC408A">
      <w:pPr>
        <w:pBdr>
          <w:top w:val="nil"/>
          <w:left w:val="nil"/>
          <w:bottom w:val="nil"/>
          <w:right w:val="nil"/>
          <w:between w:val="nil"/>
        </w:pBdr>
        <w:contextualSpacing/>
        <w:rPr>
          <w:rFonts w:eastAsia="Palatino Linotype" w:cs="Palatino Linotype"/>
          <w:color w:val="000000"/>
          <w:sz w:val="20"/>
          <w:szCs w:val="20"/>
        </w:rPr>
      </w:pPr>
    </w:p>
    <w:p w14:paraId="3835ED07" w14:textId="77777777" w:rsidR="00EC408A" w:rsidRPr="004B7011" w:rsidRDefault="00EC408A" w:rsidP="00EC408A">
      <w:pPr>
        <w:pBdr>
          <w:top w:val="nil"/>
          <w:left w:val="nil"/>
          <w:bottom w:val="nil"/>
          <w:right w:val="nil"/>
          <w:between w:val="nil"/>
        </w:pBdr>
        <w:contextualSpacing/>
        <w:rPr>
          <w:rFonts w:eastAsia="Palatino Linotype" w:cs="Palatino Linotype"/>
          <w:color w:val="000000"/>
          <w:sz w:val="20"/>
          <w:szCs w:val="20"/>
        </w:rPr>
      </w:pPr>
    </w:p>
    <w:p w14:paraId="07D2FF89" w14:textId="77777777" w:rsidR="00EC408A" w:rsidRPr="004B7011" w:rsidRDefault="00EC408A" w:rsidP="00EC408A">
      <w:pPr>
        <w:pBdr>
          <w:top w:val="nil"/>
          <w:left w:val="nil"/>
          <w:bottom w:val="nil"/>
          <w:right w:val="nil"/>
          <w:between w:val="nil"/>
        </w:pBdr>
        <w:contextualSpacing/>
        <w:rPr>
          <w:rFonts w:eastAsia="Palatino Linotype" w:cs="Palatino Linotype"/>
          <w:color w:val="000000"/>
          <w:sz w:val="20"/>
          <w:szCs w:val="20"/>
        </w:rPr>
      </w:pPr>
    </w:p>
    <w:p w14:paraId="44A1E404" w14:textId="77777777" w:rsidR="00EC408A" w:rsidRPr="004B7011" w:rsidRDefault="00EC408A" w:rsidP="00EC408A">
      <w:pPr>
        <w:pBdr>
          <w:top w:val="nil"/>
          <w:left w:val="nil"/>
          <w:bottom w:val="nil"/>
          <w:right w:val="nil"/>
          <w:between w:val="nil"/>
        </w:pBdr>
        <w:contextualSpacing/>
        <w:rPr>
          <w:rFonts w:eastAsia="Palatino Linotype" w:cs="Palatino Linotype"/>
          <w:color w:val="000000"/>
          <w:sz w:val="20"/>
          <w:szCs w:val="20"/>
        </w:rPr>
      </w:pPr>
    </w:p>
    <w:p w14:paraId="11B53E9B" w14:textId="77777777" w:rsidR="00EC408A" w:rsidRPr="004B7011" w:rsidRDefault="00EC408A" w:rsidP="00EC408A"/>
    <w:p w14:paraId="712F68EB" w14:textId="77777777" w:rsidR="00EC408A" w:rsidRDefault="00EC408A" w:rsidP="00EC408A"/>
    <w:p w14:paraId="42D8EA72" w14:textId="77777777" w:rsidR="00A5648B" w:rsidRDefault="00A5648B"/>
    <w:sectPr w:rsidR="00A5648B" w:rsidSect="00DC5A44">
      <w:headerReference w:type="even" r:id="rId12"/>
      <w:headerReference w:type="default" r:id="rId13"/>
      <w:footerReference w:type="default" r:id="rId14"/>
      <w:headerReference w:type="first" r:id="rId15"/>
      <w:footerReference w:type="first" r:id="rId16"/>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B553" w14:textId="77777777" w:rsidR="00DD6238" w:rsidRDefault="00DD6238" w:rsidP="00EC408A">
      <w:pPr>
        <w:spacing w:line="240" w:lineRule="auto"/>
      </w:pPr>
      <w:r>
        <w:separator/>
      </w:r>
    </w:p>
  </w:endnote>
  <w:endnote w:type="continuationSeparator" w:id="0">
    <w:p w14:paraId="53C6C426" w14:textId="77777777" w:rsidR="00DD6238" w:rsidRDefault="00DD6238" w:rsidP="00EC4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4BC5" w14:textId="77777777" w:rsidR="00DC5A44" w:rsidRPr="00871A91" w:rsidRDefault="00DC5A44" w:rsidP="00DC5A44">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57204">
      <w:rPr>
        <w:rFonts w:ascii="Palatino Linotype" w:hAnsi="Palatino Linotype"/>
        <w:b/>
        <w:bCs/>
        <w:noProof/>
        <w:sz w:val="20"/>
      </w:rPr>
      <w:t>49</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57204">
      <w:rPr>
        <w:rFonts w:ascii="Palatino Linotype" w:hAnsi="Palatino Linotype"/>
        <w:b/>
        <w:bCs/>
        <w:noProof/>
        <w:sz w:val="20"/>
      </w:rPr>
      <w:t>49</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070C" w14:textId="77777777" w:rsidR="00DC5A44" w:rsidRPr="00871A91" w:rsidRDefault="00DC5A44" w:rsidP="00DC5A44">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57204">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57204">
      <w:rPr>
        <w:rFonts w:ascii="Palatino Linotype" w:hAnsi="Palatino Linotype"/>
        <w:b/>
        <w:bCs/>
        <w:noProof/>
        <w:sz w:val="20"/>
      </w:rPr>
      <w:t>49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B997" w14:textId="77777777" w:rsidR="00DD6238" w:rsidRDefault="00DD6238" w:rsidP="00EC408A">
      <w:pPr>
        <w:spacing w:line="240" w:lineRule="auto"/>
      </w:pPr>
      <w:r>
        <w:separator/>
      </w:r>
    </w:p>
  </w:footnote>
  <w:footnote w:type="continuationSeparator" w:id="0">
    <w:p w14:paraId="715A4001" w14:textId="77777777" w:rsidR="00DD6238" w:rsidRDefault="00DD6238" w:rsidP="00EC408A">
      <w:pPr>
        <w:spacing w:line="240" w:lineRule="auto"/>
      </w:pPr>
      <w:r>
        <w:continuationSeparator/>
      </w:r>
    </w:p>
  </w:footnote>
  <w:footnote w:id="1">
    <w:p w14:paraId="426B8056" w14:textId="77777777" w:rsidR="00DC5A44" w:rsidRPr="00481AAF" w:rsidRDefault="00DC5A44" w:rsidP="00EC408A">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312730B8" w14:textId="77777777" w:rsidR="00DC5A44" w:rsidRPr="00946E1F" w:rsidRDefault="00DC5A44" w:rsidP="00EC408A">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784D5A4" w14:textId="77777777" w:rsidR="00864F3B" w:rsidRDefault="00864F3B" w:rsidP="00864F3B">
      <w:pPr>
        <w:pStyle w:val="Textonotapie"/>
        <w:jc w:val="both"/>
        <w:rPr>
          <w:sz w:val="18"/>
          <w:szCs w:val="18"/>
          <w:u w:val="single"/>
        </w:rPr>
      </w:pPr>
      <w:r w:rsidRPr="000F0A6E">
        <w:rPr>
          <w:rFonts w:eastAsia="Times New Roman"/>
          <w:vertAlign w:val="superscript"/>
        </w:rPr>
        <w:footnoteRef/>
      </w:r>
      <w:r w:rsidRPr="000F0A6E">
        <w:rPr>
          <w:sz w:val="18"/>
          <w:szCs w:val="18"/>
        </w:rPr>
        <w:t xml:space="preserve"> </w:t>
      </w:r>
      <w:r w:rsidRPr="00E6128E">
        <w:rPr>
          <w:rFonts w:ascii="Palatino Linotype" w:hAnsi="Palatino Linotype"/>
          <w:sz w:val="18"/>
          <w:szCs w:val="18"/>
        </w:rPr>
        <w:t>Jurisprudencia con número de registro 1000830, emitida por la Sala Superior, Apéndice de 2011, localizable en VIII. Electoral Primera Parte – Vigentes, Materia Electoral, tesis 191, página 244</w:t>
      </w:r>
      <w:r>
        <w:rPr>
          <w:rFonts w:ascii="Palatino Linotype" w:hAnsi="Palatino Linotype"/>
          <w:sz w:val="18"/>
          <w:szCs w:val="18"/>
        </w:rPr>
        <w:t xml:space="preserve">, y </w:t>
      </w:r>
      <w:r>
        <w:rPr>
          <w:sz w:val="18"/>
          <w:szCs w:val="18"/>
        </w:rPr>
        <w:t>c</w:t>
      </w:r>
      <w:r w:rsidRPr="000F0A6E">
        <w:rPr>
          <w:sz w:val="18"/>
          <w:szCs w:val="18"/>
        </w:rPr>
        <w:t xml:space="preserve">onsultable en la página electrónica </w:t>
      </w:r>
      <w:hyperlink r:id="rId3" w:history="1">
        <w:r w:rsidRPr="007D0948">
          <w:rPr>
            <w:rStyle w:val="Hipervnculo"/>
            <w:sz w:val="18"/>
            <w:szCs w:val="18"/>
          </w:rPr>
          <w:t>https://sjf.scjn.gob.mx/sjfsist/Paginas/DetalleGeneralV2.aspx?ID=1000830&amp;Clase=DetalleTesisBL&amp;Semanario=0</w:t>
        </w:r>
      </w:hyperlink>
      <w:r>
        <w:rPr>
          <w:sz w:val="18"/>
          <w:szCs w:val="18"/>
        </w:rPr>
        <w:t xml:space="preserve"> </w:t>
      </w:r>
      <w:r>
        <w:rPr>
          <w:sz w:val="18"/>
          <w:szCs w:val="18"/>
          <w:u w:val="single"/>
        </w:rPr>
        <w:t>.</w:t>
      </w:r>
    </w:p>
    <w:p w14:paraId="4E04C367" w14:textId="77777777" w:rsidR="00864F3B" w:rsidRDefault="00864F3B" w:rsidP="00864F3B">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C30B" w14:textId="77777777" w:rsidR="00DC5A44" w:rsidRDefault="0089502F">
    <w:pPr>
      <w:pStyle w:val="Encabezado"/>
    </w:pPr>
    <w:r>
      <w:rPr>
        <w:noProof/>
        <w:lang w:val="es-MX" w:eastAsia="es-MX"/>
      </w:rPr>
      <w:pict w14:anchorId="6BEE4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C5A44" w:rsidRPr="00B17577" w14:paraId="5EBEBEB8" w14:textId="77777777" w:rsidTr="00DC5A44">
      <w:trPr>
        <w:trHeight w:val="227"/>
      </w:trPr>
      <w:tc>
        <w:tcPr>
          <w:tcW w:w="5103" w:type="dxa"/>
          <w:hideMark/>
        </w:tcPr>
        <w:p w14:paraId="15944F4A" w14:textId="77777777" w:rsidR="00DC5A44" w:rsidRPr="00096248" w:rsidRDefault="00DC5A44" w:rsidP="00DC5A44">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75B29303" w14:textId="77777777" w:rsidR="00DC5A44" w:rsidRPr="00096248" w:rsidRDefault="00DC5A44" w:rsidP="00DC5A44">
          <w:pPr>
            <w:spacing w:after="120" w:line="240" w:lineRule="auto"/>
            <w:ind w:right="71"/>
            <w:jc w:val="right"/>
            <w:rPr>
              <w:rFonts w:cs="Arial"/>
              <w:b/>
              <w:szCs w:val="24"/>
            </w:rPr>
          </w:pPr>
          <w:r>
            <w:rPr>
              <w:rFonts w:cs="Arial"/>
              <w:b/>
              <w:bCs/>
              <w:szCs w:val="24"/>
            </w:rPr>
            <w:t>07680</w:t>
          </w:r>
          <w:r w:rsidRPr="00096248">
            <w:rPr>
              <w:rFonts w:cs="Arial"/>
              <w:b/>
              <w:bCs/>
              <w:szCs w:val="24"/>
            </w:rPr>
            <w:t>/INFOEM/IP/RR/202</w:t>
          </w:r>
          <w:r>
            <w:rPr>
              <w:rFonts w:cs="Arial"/>
              <w:b/>
              <w:bCs/>
              <w:szCs w:val="24"/>
            </w:rPr>
            <w:t>3</w:t>
          </w:r>
        </w:p>
      </w:tc>
    </w:tr>
    <w:tr w:rsidR="00DC5A44" w14:paraId="6AD63656" w14:textId="77777777" w:rsidTr="00DC5A44">
      <w:trPr>
        <w:trHeight w:val="242"/>
      </w:trPr>
      <w:tc>
        <w:tcPr>
          <w:tcW w:w="5103" w:type="dxa"/>
          <w:hideMark/>
        </w:tcPr>
        <w:p w14:paraId="56A77095" w14:textId="77777777" w:rsidR="00DC5A44" w:rsidRPr="00096248" w:rsidRDefault="00DC5A44" w:rsidP="00DC5A44">
          <w:pPr>
            <w:spacing w:after="120" w:line="240" w:lineRule="auto"/>
            <w:ind w:right="69"/>
            <w:jc w:val="right"/>
            <w:rPr>
              <w:rFonts w:cs="Arial"/>
              <w:b/>
              <w:szCs w:val="24"/>
            </w:rPr>
          </w:pPr>
          <w:r w:rsidRPr="00096248">
            <w:rPr>
              <w:rFonts w:cs="Arial"/>
              <w:b/>
              <w:szCs w:val="24"/>
            </w:rPr>
            <w:t>Sujeto Obligado:</w:t>
          </w:r>
        </w:p>
      </w:tc>
      <w:tc>
        <w:tcPr>
          <w:tcW w:w="4395" w:type="dxa"/>
          <w:hideMark/>
        </w:tcPr>
        <w:p w14:paraId="7096F8DD" w14:textId="77777777" w:rsidR="00DC5A44" w:rsidRPr="00096248" w:rsidRDefault="00DC5A44" w:rsidP="00EC408A">
          <w:pPr>
            <w:spacing w:after="120" w:line="240" w:lineRule="auto"/>
            <w:ind w:left="-81" w:right="71"/>
            <w:jc w:val="right"/>
            <w:rPr>
              <w:rFonts w:cs="Arial"/>
              <w:szCs w:val="24"/>
            </w:rPr>
          </w:pPr>
          <w:r>
            <w:rPr>
              <w:rFonts w:cs="Arial"/>
              <w:szCs w:val="24"/>
            </w:rPr>
            <w:t xml:space="preserve">Ayuntamiento de Villa de Guerrero </w:t>
          </w:r>
        </w:p>
      </w:tc>
    </w:tr>
    <w:tr w:rsidR="00DC5A44" w:rsidRPr="00F63239" w14:paraId="3394211B" w14:textId="77777777" w:rsidTr="00DC5A44">
      <w:trPr>
        <w:trHeight w:val="342"/>
      </w:trPr>
      <w:tc>
        <w:tcPr>
          <w:tcW w:w="5103" w:type="dxa"/>
          <w:hideMark/>
        </w:tcPr>
        <w:p w14:paraId="36EF6B6B" w14:textId="77777777" w:rsidR="00DC5A44" w:rsidRPr="00096248" w:rsidRDefault="00DC5A44" w:rsidP="00DC5A44">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19F8AA2F" w14:textId="77777777" w:rsidR="00DC5A44" w:rsidRDefault="00DC5A44" w:rsidP="00DC5A44">
          <w:pPr>
            <w:spacing w:after="120" w:line="240" w:lineRule="auto"/>
            <w:ind w:left="-486" w:right="71" w:firstLine="567"/>
            <w:jc w:val="right"/>
            <w:rPr>
              <w:rFonts w:cs="Arial"/>
              <w:szCs w:val="24"/>
            </w:rPr>
          </w:pPr>
          <w:r w:rsidRPr="00096248">
            <w:rPr>
              <w:rFonts w:cs="Arial"/>
              <w:szCs w:val="24"/>
            </w:rPr>
            <w:t>José Martínez Vilchis</w:t>
          </w:r>
        </w:p>
        <w:p w14:paraId="73A59D65" w14:textId="77777777" w:rsidR="00DC5A44" w:rsidRPr="00711916" w:rsidRDefault="00DC5A44" w:rsidP="00DC5A44">
          <w:pPr>
            <w:spacing w:after="120" w:line="240" w:lineRule="auto"/>
            <w:ind w:left="-486" w:right="71" w:firstLine="567"/>
            <w:jc w:val="right"/>
            <w:rPr>
              <w:rFonts w:cs="Arial"/>
              <w:sz w:val="2"/>
              <w:szCs w:val="2"/>
            </w:rPr>
          </w:pPr>
        </w:p>
      </w:tc>
    </w:tr>
  </w:tbl>
  <w:p w14:paraId="54C6D48F" w14:textId="77777777" w:rsidR="00DC5A44" w:rsidRPr="00871A91" w:rsidRDefault="0089502F">
    <w:pPr>
      <w:pStyle w:val="Encabezado"/>
      <w:rPr>
        <w:sz w:val="2"/>
      </w:rPr>
    </w:pPr>
    <w:r>
      <w:rPr>
        <w:noProof/>
        <w:lang w:val="es-MX" w:eastAsia="es-MX"/>
      </w:rPr>
      <w:pict w14:anchorId="2E9DE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7728;mso-wrap-edited:f;mso-width-percent:0;mso-height-percent:0;mso-position-horizontal-relative:margin;mso-position-vertical-relative:margin;mso-width-percent:0;mso-height-percent:0" o:allowincell="f">
          <v:imagedata r:id="rId1" o:title="infoem"/>
          <w10:wrap anchorx="margin" anchory="margin"/>
        </v:shape>
      </w:pict>
    </w:r>
    <w:r w:rsidR="00DC5A4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C5A44" w14:paraId="33B33D9F" w14:textId="77777777" w:rsidTr="00DC5A44">
      <w:trPr>
        <w:trHeight w:val="227"/>
      </w:trPr>
      <w:tc>
        <w:tcPr>
          <w:tcW w:w="5103" w:type="dxa"/>
          <w:hideMark/>
        </w:tcPr>
        <w:p w14:paraId="3588D8B9" w14:textId="77777777" w:rsidR="00DC5A44" w:rsidRPr="00663A37" w:rsidRDefault="00DC5A44" w:rsidP="00DC5A44">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5DEEF82A" w14:textId="77777777" w:rsidR="00DC5A44" w:rsidRPr="00C81ECD" w:rsidRDefault="00DC5A44" w:rsidP="00DC5A44">
          <w:pPr>
            <w:spacing w:after="120" w:line="240" w:lineRule="auto"/>
            <w:ind w:left="-486" w:right="68" w:firstLine="558"/>
            <w:jc w:val="right"/>
            <w:rPr>
              <w:rFonts w:cs="Arial"/>
              <w:b/>
              <w:szCs w:val="24"/>
            </w:rPr>
          </w:pPr>
          <w:r>
            <w:rPr>
              <w:rFonts w:cs="Arial"/>
              <w:b/>
              <w:bCs/>
              <w:szCs w:val="24"/>
            </w:rPr>
            <w:t>07680/INFOEM/IP/RR/2023</w:t>
          </w:r>
        </w:p>
      </w:tc>
    </w:tr>
    <w:tr w:rsidR="00DC5A44" w:rsidRPr="001F57CD" w14:paraId="7F1A2681" w14:textId="77777777" w:rsidTr="00DC5A44">
      <w:trPr>
        <w:trHeight w:val="196"/>
      </w:trPr>
      <w:tc>
        <w:tcPr>
          <w:tcW w:w="5103" w:type="dxa"/>
          <w:hideMark/>
        </w:tcPr>
        <w:p w14:paraId="7E4FD8D8" w14:textId="77777777" w:rsidR="00DC5A44" w:rsidRPr="00663A37" w:rsidRDefault="00DC5A44" w:rsidP="00DC5A44">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395" w:type="dxa"/>
          <w:hideMark/>
        </w:tcPr>
        <w:p w14:paraId="583EDFBC" w14:textId="1CE3AFFF" w:rsidR="00DC5A44" w:rsidRPr="00663A37" w:rsidRDefault="0089502F" w:rsidP="00DC5A44">
          <w:pPr>
            <w:spacing w:after="120" w:line="240" w:lineRule="auto"/>
            <w:ind w:right="68"/>
            <w:jc w:val="right"/>
            <w:rPr>
              <w:rFonts w:cs="Arial"/>
              <w:szCs w:val="24"/>
            </w:rPr>
          </w:pPr>
          <w:proofErr w:type="spellStart"/>
          <w:r>
            <w:rPr>
              <w:rFonts w:cs="Arial"/>
              <w:szCs w:val="24"/>
            </w:rPr>
            <w:t>XXXX</w:t>
          </w:r>
          <w:proofErr w:type="spellEnd"/>
        </w:p>
      </w:tc>
    </w:tr>
    <w:tr w:rsidR="00DC5A44" w14:paraId="618C5082" w14:textId="77777777" w:rsidTr="00DC5A44">
      <w:trPr>
        <w:trHeight w:val="242"/>
      </w:trPr>
      <w:tc>
        <w:tcPr>
          <w:tcW w:w="5103" w:type="dxa"/>
          <w:hideMark/>
        </w:tcPr>
        <w:p w14:paraId="294422B1" w14:textId="6D70A273" w:rsidR="00DC5A44" w:rsidRPr="00663A37" w:rsidRDefault="00DC5A44" w:rsidP="00DC5A44">
          <w:pPr>
            <w:spacing w:after="120" w:line="240" w:lineRule="auto"/>
            <w:ind w:right="68"/>
            <w:jc w:val="right"/>
            <w:rPr>
              <w:rFonts w:cs="Arial"/>
              <w:b/>
              <w:szCs w:val="24"/>
            </w:rPr>
          </w:pPr>
          <w:r w:rsidRPr="00663A37">
            <w:rPr>
              <w:rFonts w:cs="Arial"/>
              <w:b/>
              <w:szCs w:val="24"/>
            </w:rPr>
            <w:t>Sujeto Obligado:</w:t>
          </w:r>
        </w:p>
      </w:tc>
      <w:tc>
        <w:tcPr>
          <w:tcW w:w="4395" w:type="dxa"/>
          <w:hideMark/>
        </w:tcPr>
        <w:p w14:paraId="35F3B5A5" w14:textId="77777777" w:rsidR="00DC5A44" w:rsidRPr="00663A37" w:rsidRDefault="00DC5A44" w:rsidP="00DC5A44">
          <w:pPr>
            <w:spacing w:after="120" w:line="240" w:lineRule="auto"/>
            <w:ind w:left="-70" w:right="68"/>
            <w:jc w:val="right"/>
            <w:rPr>
              <w:rFonts w:cs="Arial"/>
              <w:szCs w:val="24"/>
            </w:rPr>
          </w:pPr>
          <w:r>
            <w:rPr>
              <w:rFonts w:cs="Arial"/>
              <w:szCs w:val="24"/>
            </w:rPr>
            <w:t xml:space="preserve">Ayuntamiento de Villa de Guerrero </w:t>
          </w:r>
        </w:p>
      </w:tc>
    </w:tr>
    <w:tr w:rsidR="00DC5A44" w14:paraId="650147F2" w14:textId="77777777" w:rsidTr="00DC5A44">
      <w:trPr>
        <w:trHeight w:val="342"/>
      </w:trPr>
      <w:tc>
        <w:tcPr>
          <w:tcW w:w="5103" w:type="dxa"/>
          <w:hideMark/>
        </w:tcPr>
        <w:p w14:paraId="5EF975B3" w14:textId="77777777" w:rsidR="00DC5A44" w:rsidRPr="00663A37" w:rsidRDefault="00DC5A44" w:rsidP="00DC5A44">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23253224" w14:textId="77777777" w:rsidR="00DC5A44" w:rsidRPr="00663A37" w:rsidRDefault="00DC5A44" w:rsidP="00DC5A44">
          <w:pPr>
            <w:spacing w:after="120" w:line="240" w:lineRule="auto"/>
            <w:ind w:left="-486" w:right="68" w:firstLine="567"/>
            <w:jc w:val="right"/>
            <w:rPr>
              <w:rFonts w:cs="Arial"/>
              <w:szCs w:val="24"/>
            </w:rPr>
          </w:pPr>
          <w:r w:rsidRPr="00663A37">
            <w:rPr>
              <w:rFonts w:cs="Arial"/>
              <w:szCs w:val="24"/>
            </w:rPr>
            <w:t>José Martínez Vilchis</w:t>
          </w:r>
        </w:p>
      </w:tc>
    </w:tr>
  </w:tbl>
  <w:p w14:paraId="7D3209F1" w14:textId="77777777" w:rsidR="00DC5A44" w:rsidRPr="00871A91" w:rsidRDefault="00DC5A44">
    <w:pPr>
      <w:pStyle w:val="Encabezado"/>
      <w:rPr>
        <w:sz w:val="2"/>
      </w:rPr>
    </w:pPr>
    <w:r>
      <w:rPr>
        <w:noProof/>
        <w:lang w:val="es-MX" w:eastAsia="es-MX"/>
      </w:rPr>
      <w:drawing>
        <wp:anchor distT="0" distB="0" distL="114300" distR="114300" simplePos="0" relativeHeight="251656704" behindDoc="1" locked="0" layoutInCell="0" allowOverlap="1" wp14:anchorId="7BE25427" wp14:editId="34C34644">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9AD"/>
    <w:multiLevelType w:val="hybridMultilevel"/>
    <w:tmpl w:val="474C8F96"/>
    <w:lvl w:ilvl="0" w:tplc="D3DC3DE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45A1F62"/>
    <w:multiLevelType w:val="hybridMultilevel"/>
    <w:tmpl w:val="28F6CFEE"/>
    <w:lvl w:ilvl="0" w:tplc="1F0A349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046F4F72"/>
    <w:multiLevelType w:val="hybridMultilevel"/>
    <w:tmpl w:val="EC787DAE"/>
    <w:lvl w:ilvl="0" w:tplc="AE78B4A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FD7BC6"/>
    <w:multiLevelType w:val="hybridMultilevel"/>
    <w:tmpl w:val="EC6C9F6C"/>
    <w:lvl w:ilvl="0" w:tplc="A210BB0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4122E0B"/>
    <w:multiLevelType w:val="multilevel"/>
    <w:tmpl w:val="72F6A312"/>
    <w:lvl w:ilvl="0">
      <w:start w:val="1"/>
      <w:numFmt w:val="decimal"/>
      <w:lvlText w:val="%1."/>
      <w:lvlJc w:val="left"/>
      <w:pPr>
        <w:ind w:left="1133" w:hanging="425"/>
      </w:pPr>
      <w:rPr>
        <w:rFonts w:hint="default"/>
        <w:i/>
        <w:iCs/>
      </w:rPr>
    </w:lvl>
    <w:lvl w:ilvl="1">
      <w:start w:val="1"/>
      <w:numFmt w:val="decimal"/>
      <w:lvlText w:val="%1.%2."/>
      <w:lvlJc w:val="left"/>
      <w:pPr>
        <w:ind w:left="1700" w:hanging="567"/>
      </w:pPr>
      <w:rPr>
        <w:rFonts w:hint="default"/>
        <w:i/>
        <w:iCs/>
      </w:rPr>
    </w:lvl>
    <w:lvl w:ilvl="2">
      <w:start w:val="1"/>
      <w:numFmt w:val="decimal"/>
      <w:lvlText w:val="%1.%2.%3."/>
      <w:lvlJc w:val="left"/>
      <w:pPr>
        <w:ind w:left="1648" w:hanging="504"/>
      </w:pPr>
      <w:rPr>
        <w:rFonts w:hint="default"/>
      </w:rPr>
    </w:lvl>
    <w:lvl w:ilvl="3">
      <w:start w:val="1"/>
      <w:numFmt w:val="decimal"/>
      <w:lvlText w:val="%1.%2.%3.%4."/>
      <w:lvlJc w:val="left"/>
      <w:pPr>
        <w:ind w:left="2152" w:hanging="648"/>
      </w:pPr>
      <w:rPr>
        <w:rFonts w:hint="default"/>
      </w:rPr>
    </w:lvl>
    <w:lvl w:ilvl="4">
      <w:start w:val="1"/>
      <w:numFmt w:val="decimal"/>
      <w:lvlText w:val="%1.%2.%3.%4.%5."/>
      <w:lvlJc w:val="left"/>
      <w:pPr>
        <w:ind w:left="2656" w:hanging="792"/>
      </w:pPr>
      <w:rPr>
        <w:rFonts w:hint="default"/>
      </w:rPr>
    </w:lvl>
    <w:lvl w:ilvl="5">
      <w:start w:val="1"/>
      <w:numFmt w:val="decimal"/>
      <w:lvlText w:val="%1.%2.%3.%4.%5.%6."/>
      <w:lvlJc w:val="left"/>
      <w:pPr>
        <w:ind w:left="3160" w:hanging="936"/>
      </w:pPr>
      <w:rPr>
        <w:rFonts w:hint="default"/>
      </w:rPr>
    </w:lvl>
    <w:lvl w:ilvl="6">
      <w:start w:val="1"/>
      <w:numFmt w:val="decimal"/>
      <w:lvlText w:val="%1.%2.%3.%4.%5.%6.%7."/>
      <w:lvlJc w:val="left"/>
      <w:pPr>
        <w:ind w:left="3664" w:hanging="1080"/>
      </w:pPr>
      <w:rPr>
        <w:rFonts w:hint="default"/>
      </w:rPr>
    </w:lvl>
    <w:lvl w:ilvl="7">
      <w:start w:val="1"/>
      <w:numFmt w:val="decimal"/>
      <w:lvlText w:val="%1.%2.%3.%4.%5.%6.%7.%8."/>
      <w:lvlJc w:val="left"/>
      <w:pPr>
        <w:ind w:left="4168" w:hanging="1224"/>
      </w:pPr>
      <w:rPr>
        <w:rFonts w:hint="default"/>
      </w:rPr>
    </w:lvl>
    <w:lvl w:ilvl="8">
      <w:start w:val="1"/>
      <w:numFmt w:val="decimal"/>
      <w:lvlText w:val="%1.%2.%3.%4.%5.%6.%7.%8.%9."/>
      <w:lvlJc w:val="left"/>
      <w:pPr>
        <w:ind w:left="4744" w:hanging="1440"/>
      </w:pPr>
      <w:rPr>
        <w:rFonts w:hint="default"/>
      </w:rPr>
    </w:lvl>
  </w:abstractNum>
  <w:abstractNum w:abstractNumId="6"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47340D"/>
    <w:multiLevelType w:val="hybridMultilevel"/>
    <w:tmpl w:val="AB185AE4"/>
    <w:lvl w:ilvl="0" w:tplc="AFCA85D4">
      <w:start w:val="1"/>
      <w:numFmt w:val="upperRoman"/>
      <w:lvlText w:val="%1."/>
      <w:lvlJc w:val="left"/>
      <w:pPr>
        <w:ind w:left="1488" w:hanging="72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8" w15:restartNumberingAfterBreak="0">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543778"/>
    <w:multiLevelType w:val="hybridMultilevel"/>
    <w:tmpl w:val="E3E0C432"/>
    <w:lvl w:ilvl="0" w:tplc="FF668BF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cs="Times New Roman" w:hint="default"/>
        <w:b/>
        <w:i w:val="0"/>
        <w:color w:val="auto"/>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351347C4"/>
    <w:multiLevelType w:val="hybridMultilevel"/>
    <w:tmpl w:val="9EBAD00A"/>
    <w:lvl w:ilvl="0" w:tplc="3F9CD6E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37393B08"/>
    <w:multiLevelType w:val="hybridMultilevel"/>
    <w:tmpl w:val="DCCAF008"/>
    <w:lvl w:ilvl="0" w:tplc="81D8BD6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3" w15:restartNumberingAfterBreak="0">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53F406B1"/>
    <w:multiLevelType w:val="hybridMultilevel"/>
    <w:tmpl w:val="E2AA56B4"/>
    <w:lvl w:ilvl="0" w:tplc="C89821AA">
      <w:start w:val="53"/>
      <w:numFmt w:val="bullet"/>
      <w:lvlText w:val=""/>
      <w:lvlJc w:val="left"/>
      <w:pPr>
        <w:ind w:left="780" w:hanging="360"/>
      </w:pPr>
      <w:rPr>
        <w:rFonts w:ascii="Symbol" w:eastAsia="Times New Roman" w:hAnsi="Symbol" w:cs="Times New Roman"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5" w15:restartNumberingAfterBreak="0">
    <w:nsid w:val="764C2020"/>
    <w:multiLevelType w:val="hybridMultilevel"/>
    <w:tmpl w:val="72BAC19A"/>
    <w:lvl w:ilvl="0" w:tplc="0CCEAB56">
      <w:start w:val="1"/>
      <w:numFmt w:val="upperRoman"/>
      <w:lvlText w:val="%1."/>
      <w:lvlJc w:val="left"/>
      <w:pPr>
        <w:ind w:left="2208" w:hanging="720"/>
      </w:pPr>
      <w:rPr>
        <w:rFonts w:hint="default"/>
      </w:rPr>
    </w:lvl>
    <w:lvl w:ilvl="1" w:tplc="080A0019" w:tentative="1">
      <w:start w:val="1"/>
      <w:numFmt w:val="lowerLetter"/>
      <w:lvlText w:val="%2."/>
      <w:lvlJc w:val="left"/>
      <w:pPr>
        <w:ind w:left="2568" w:hanging="360"/>
      </w:pPr>
    </w:lvl>
    <w:lvl w:ilvl="2" w:tplc="080A001B" w:tentative="1">
      <w:start w:val="1"/>
      <w:numFmt w:val="lowerRoman"/>
      <w:lvlText w:val="%3."/>
      <w:lvlJc w:val="right"/>
      <w:pPr>
        <w:ind w:left="3288" w:hanging="180"/>
      </w:pPr>
    </w:lvl>
    <w:lvl w:ilvl="3" w:tplc="080A000F" w:tentative="1">
      <w:start w:val="1"/>
      <w:numFmt w:val="decimal"/>
      <w:lvlText w:val="%4."/>
      <w:lvlJc w:val="left"/>
      <w:pPr>
        <w:ind w:left="4008" w:hanging="360"/>
      </w:pPr>
    </w:lvl>
    <w:lvl w:ilvl="4" w:tplc="080A0019" w:tentative="1">
      <w:start w:val="1"/>
      <w:numFmt w:val="lowerLetter"/>
      <w:lvlText w:val="%5."/>
      <w:lvlJc w:val="left"/>
      <w:pPr>
        <w:ind w:left="4728" w:hanging="360"/>
      </w:pPr>
    </w:lvl>
    <w:lvl w:ilvl="5" w:tplc="080A001B" w:tentative="1">
      <w:start w:val="1"/>
      <w:numFmt w:val="lowerRoman"/>
      <w:lvlText w:val="%6."/>
      <w:lvlJc w:val="right"/>
      <w:pPr>
        <w:ind w:left="5448" w:hanging="180"/>
      </w:pPr>
    </w:lvl>
    <w:lvl w:ilvl="6" w:tplc="080A000F" w:tentative="1">
      <w:start w:val="1"/>
      <w:numFmt w:val="decimal"/>
      <w:lvlText w:val="%7."/>
      <w:lvlJc w:val="left"/>
      <w:pPr>
        <w:ind w:left="6168" w:hanging="360"/>
      </w:pPr>
    </w:lvl>
    <w:lvl w:ilvl="7" w:tplc="080A0019" w:tentative="1">
      <w:start w:val="1"/>
      <w:numFmt w:val="lowerLetter"/>
      <w:lvlText w:val="%8."/>
      <w:lvlJc w:val="left"/>
      <w:pPr>
        <w:ind w:left="6888" w:hanging="360"/>
      </w:pPr>
    </w:lvl>
    <w:lvl w:ilvl="8" w:tplc="080A001B" w:tentative="1">
      <w:start w:val="1"/>
      <w:numFmt w:val="lowerRoman"/>
      <w:lvlText w:val="%9."/>
      <w:lvlJc w:val="right"/>
      <w:pPr>
        <w:ind w:left="7608" w:hanging="180"/>
      </w:pPr>
    </w:lvl>
  </w:abstractNum>
  <w:abstractNum w:abstractNumId="16" w15:restartNumberingAfterBreak="0">
    <w:nsid w:val="7AB40D0F"/>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679427669">
    <w:abstractNumId w:val="9"/>
  </w:num>
  <w:num w:numId="2" w16cid:durableId="1993949494">
    <w:abstractNumId w:val="13"/>
  </w:num>
  <w:num w:numId="3" w16cid:durableId="693263108">
    <w:abstractNumId w:val="5"/>
  </w:num>
  <w:num w:numId="4" w16cid:durableId="1908687122">
    <w:abstractNumId w:val="14"/>
  </w:num>
  <w:num w:numId="5" w16cid:durableId="563948696">
    <w:abstractNumId w:val="11"/>
  </w:num>
  <w:num w:numId="6" w16cid:durableId="1215390761">
    <w:abstractNumId w:val="3"/>
  </w:num>
  <w:num w:numId="7" w16cid:durableId="80030976">
    <w:abstractNumId w:val="6"/>
  </w:num>
  <w:num w:numId="8" w16cid:durableId="1129470171">
    <w:abstractNumId w:val="16"/>
  </w:num>
  <w:num w:numId="9" w16cid:durableId="1223567039">
    <w:abstractNumId w:val="12"/>
  </w:num>
  <w:num w:numId="10" w16cid:durableId="122191248">
    <w:abstractNumId w:val="1"/>
  </w:num>
  <w:num w:numId="11" w16cid:durableId="6446893">
    <w:abstractNumId w:val="2"/>
  </w:num>
  <w:num w:numId="12" w16cid:durableId="1567112141">
    <w:abstractNumId w:val="7"/>
  </w:num>
  <w:num w:numId="13" w16cid:durableId="933249239">
    <w:abstractNumId w:val="15"/>
  </w:num>
  <w:num w:numId="14" w16cid:durableId="1923369310">
    <w:abstractNumId w:val="0"/>
  </w:num>
  <w:num w:numId="15" w16cid:durableId="128058367">
    <w:abstractNumId w:val="4"/>
  </w:num>
  <w:num w:numId="16" w16cid:durableId="799226179">
    <w:abstractNumId w:val="10"/>
  </w:num>
  <w:num w:numId="17" w16cid:durableId="2059938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8A"/>
    <w:rsid w:val="000020CF"/>
    <w:rsid w:val="00184BA7"/>
    <w:rsid w:val="002A47E5"/>
    <w:rsid w:val="003368FD"/>
    <w:rsid w:val="00366BD8"/>
    <w:rsid w:val="003A1580"/>
    <w:rsid w:val="003C3DED"/>
    <w:rsid w:val="005A23A8"/>
    <w:rsid w:val="0064376E"/>
    <w:rsid w:val="00653981"/>
    <w:rsid w:val="006F1195"/>
    <w:rsid w:val="00725DC5"/>
    <w:rsid w:val="00864F3B"/>
    <w:rsid w:val="0089502F"/>
    <w:rsid w:val="0090545F"/>
    <w:rsid w:val="00985102"/>
    <w:rsid w:val="00A2030E"/>
    <w:rsid w:val="00A5648B"/>
    <w:rsid w:val="00AB707C"/>
    <w:rsid w:val="00B17852"/>
    <w:rsid w:val="00B35E0D"/>
    <w:rsid w:val="00B57204"/>
    <w:rsid w:val="00B764E5"/>
    <w:rsid w:val="00C73FB1"/>
    <w:rsid w:val="00CD6FFD"/>
    <w:rsid w:val="00D600F4"/>
    <w:rsid w:val="00DC5A44"/>
    <w:rsid w:val="00DD6238"/>
    <w:rsid w:val="00E22894"/>
    <w:rsid w:val="00E77A4F"/>
    <w:rsid w:val="00E93AF2"/>
    <w:rsid w:val="00EC408A"/>
    <w:rsid w:val="00F666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E7CDE2"/>
  <w15:chartTrackingRefBased/>
  <w15:docId w15:val="{A08371C0-54E5-4D15-A190-FE1BC68F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08A"/>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EC408A"/>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EC408A"/>
    <w:pPr>
      <w:keepNext/>
      <w:keepLines/>
      <w:outlineLvl w:val="1"/>
    </w:pPr>
    <w:rPr>
      <w:rFonts w:eastAsiaTheme="majorEastAsia" w:cstheme="majorBidi"/>
      <w:b/>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EC408A"/>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EC408A"/>
    <w:rPr>
      <w:rFonts w:ascii="Palatino Linotype" w:eastAsiaTheme="majorEastAsia" w:hAnsi="Palatino Linotype" w:cstheme="majorBidi"/>
      <w:b/>
      <w:color w:val="000000" w:themeColor="text1"/>
      <w:sz w:val="26"/>
      <w:szCs w:val="26"/>
      <w:lang w:val="es-ES_tradnl" w:eastAsia="es-MX"/>
    </w:rPr>
  </w:style>
  <w:style w:type="paragraph" w:styleId="Encabezado">
    <w:name w:val="header"/>
    <w:basedOn w:val="Normal"/>
    <w:link w:val="EncabezadoCar"/>
    <w:uiPriority w:val="99"/>
    <w:unhideWhenUsed/>
    <w:rsid w:val="00EC408A"/>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EC408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EC408A"/>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EC408A"/>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EC408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EC408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EC408A"/>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EC408A"/>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EC408A"/>
    <w:rPr>
      <w:color w:val="0563C1" w:themeColor="hyperlink"/>
      <w:u w:val="single"/>
    </w:rPr>
  </w:style>
  <w:style w:type="paragraph" w:customStyle="1" w:styleId="Fundamentos">
    <w:name w:val="Fundamentos"/>
    <w:basedOn w:val="Normal"/>
    <w:qFormat/>
    <w:rsid w:val="00EC408A"/>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styleId="Sinespaciado">
    <w:name w:val="No Spacing"/>
    <w:aliases w:val="Francesa,INAI"/>
    <w:link w:val="SinespaciadoCar"/>
    <w:uiPriority w:val="1"/>
    <w:qFormat/>
    <w:rsid w:val="00EC408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EC408A"/>
    <w:rPr>
      <w:rFonts w:ascii="Times New Roman" w:eastAsia="Times New Roman" w:hAnsi="Times New Roman" w:cs="Times New Roman"/>
      <w:sz w:val="24"/>
      <w:szCs w:val="24"/>
      <w:lang w:eastAsia="es-ES"/>
    </w:rPr>
  </w:style>
  <w:style w:type="paragraph" w:styleId="Textonotapie">
    <w:name w:val="footnote text"/>
    <w:aliases w:val="Ref. de nota al pie1"/>
    <w:basedOn w:val="Normal"/>
    <w:link w:val="TextonotapieCar"/>
    <w:uiPriority w:val="99"/>
    <w:unhideWhenUsed/>
    <w:qFormat/>
    <w:rsid w:val="00864F3B"/>
    <w:pPr>
      <w:spacing w:line="240" w:lineRule="auto"/>
      <w:jc w:val="left"/>
    </w:pPr>
    <w:rPr>
      <w:rFonts w:asciiTheme="minorHAnsi" w:eastAsiaTheme="minorEastAsia" w:hAnsiTheme="minorHAnsi" w:cs="Times New Roman"/>
      <w:sz w:val="20"/>
      <w:szCs w:val="20"/>
      <w:lang w:val="es-MX" w:eastAsia="en-US"/>
    </w:rPr>
  </w:style>
  <w:style w:type="character" w:customStyle="1" w:styleId="TextonotapieCar">
    <w:name w:val="Texto nota pie Car"/>
    <w:aliases w:val="Ref. de nota al pie1 Car"/>
    <w:basedOn w:val="Fuentedeprrafopredeter"/>
    <w:link w:val="Textonotapie"/>
    <w:uiPriority w:val="99"/>
    <w:qFormat/>
    <w:rsid w:val="00864F3B"/>
    <w:rPr>
      <w:rFonts w:eastAsiaTheme="minorEastAsia" w:cs="Times New Roman"/>
      <w:sz w:val="20"/>
      <w:szCs w:val="20"/>
    </w:rPr>
  </w:style>
  <w:style w:type="paragraph" w:customStyle="1" w:styleId="Citas">
    <w:name w:val="Citas"/>
    <w:basedOn w:val="Normal"/>
    <w:qFormat/>
    <w:rsid w:val="00864F3B"/>
    <w:pPr>
      <w:spacing w:before="240" w:after="160"/>
      <w:ind w:left="851" w:right="851"/>
    </w:pPr>
    <w:rPr>
      <w:rFonts w:eastAsiaTheme="minorEastAsia" w:cs="Arial"/>
      <w:i/>
      <w:sz w:val="22"/>
      <w:lang w:val="es-MX" w:eastAsia="en-US"/>
    </w:rPr>
  </w:style>
  <w:style w:type="character" w:styleId="Hipervnculovisitado">
    <w:name w:val="FollowedHyperlink"/>
    <w:basedOn w:val="Fuentedeprrafopredeter"/>
    <w:uiPriority w:val="99"/>
    <w:semiHidden/>
    <w:unhideWhenUsed/>
    <w:rsid w:val="0064376E"/>
    <w:rPr>
      <w:color w:val="954F72" w:themeColor="followedHyperlink"/>
      <w:u w:val="single"/>
    </w:rPr>
  </w:style>
  <w:style w:type="paragraph" w:customStyle="1" w:styleId="INFOEM">
    <w:name w:val="INFOEM"/>
    <w:basedOn w:val="Normal"/>
    <w:qFormat/>
    <w:rsid w:val="0064376E"/>
    <w:pPr>
      <w:spacing w:before="240" w:after="160"/>
      <w:ind w:left="851" w:right="851"/>
    </w:pPr>
    <w:rPr>
      <w:rFonts w:eastAsiaTheme="minorHAnsi" w:cstheme="minorBidi"/>
      <w:i/>
      <w:sz w:val="22"/>
      <w:szCs w:val="1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31763.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imex.org.mx/saimex/solicitud/downloadAttach/1931763.page"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twitter.com/NellyCarrascoIV/status/1712694867942404164"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jf.scjn.gob.mx/sjfsist/Paginas/DetalleGeneralV2.aspx?ID=1000830&amp;Clase=DetalleTesisBL&amp;Semanario=0"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49</Pages>
  <Words>11431</Words>
  <Characters>62876</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INFOEM</Company>
  <LinksUpToDate>false</LinksUpToDate>
  <CharactersWithSpaces>74159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INFOEM</dc:creator>
  <cp:keywords/>
  <dc:description/>
  <cp:lastModifiedBy>Arturo Estanislao Macedo Albarrán</cp:lastModifiedBy>
  <cp:revision>4</cp:revision>
  <dcterms:created xsi:type="dcterms:W3CDTF">2024-02-21T22:37:00Z</dcterms:created>
  <dcterms:modified xsi:type="dcterms:W3CDTF">2024-03-12T12:33:00Z</dcterms:modified>
</cp:coreProperties>
</file>