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1C" w:rsidRPr="009655C1" w:rsidRDefault="00B7691C" w:rsidP="00B7691C">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9655C1">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 seis de marzo de dos mil veinticuatro.</w:t>
      </w:r>
    </w:p>
    <w:p w:rsidR="00B7691C" w:rsidRPr="009655C1" w:rsidRDefault="00B7691C" w:rsidP="00B7691C">
      <w:pPr>
        <w:shd w:val="clear" w:color="auto" w:fill="FFFFFF"/>
        <w:spacing w:after="0" w:line="360" w:lineRule="auto"/>
        <w:jc w:val="both"/>
        <w:rPr>
          <w:rFonts w:ascii="Palatino Linotype" w:hAnsi="Palatino Linotype" w:cs="Arial"/>
          <w:b/>
          <w:sz w:val="24"/>
        </w:rPr>
      </w:pPr>
    </w:p>
    <w:p w:rsidR="00B7691C" w:rsidRPr="009655C1" w:rsidRDefault="00B7691C" w:rsidP="00B7691C">
      <w:pPr>
        <w:tabs>
          <w:tab w:val="left" w:pos="1701"/>
        </w:tabs>
        <w:spacing w:after="0" w:line="360" w:lineRule="auto"/>
        <w:jc w:val="both"/>
        <w:rPr>
          <w:rFonts w:ascii="Palatino Linotype" w:hAnsi="Palatino Linotype" w:cs="Arial"/>
          <w:sz w:val="24"/>
        </w:rPr>
      </w:pPr>
      <w:r w:rsidRPr="009655C1">
        <w:rPr>
          <w:rFonts w:ascii="Palatino Linotype" w:hAnsi="Palatino Linotype" w:cs="Arial"/>
          <w:b/>
          <w:sz w:val="24"/>
        </w:rPr>
        <w:t>VISTO</w:t>
      </w:r>
      <w:r w:rsidRPr="009655C1">
        <w:rPr>
          <w:rFonts w:ascii="Palatino Linotype" w:hAnsi="Palatino Linotype" w:cs="Arial"/>
          <w:sz w:val="24"/>
        </w:rPr>
        <w:t xml:space="preserve"> el expediente electrónico formado con motivo de los recursos de revisión números </w:t>
      </w:r>
      <w:r w:rsidRPr="009655C1">
        <w:rPr>
          <w:rFonts w:ascii="Palatino Linotype" w:hAnsi="Palatino Linotype" w:cs="Arial"/>
          <w:b/>
          <w:sz w:val="24"/>
        </w:rPr>
        <w:t>0</w:t>
      </w:r>
      <w:r w:rsidR="00426004" w:rsidRPr="009655C1">
        <w:rPr>
          <w:rFonts w:ascii="Palatino Linotype" w:hAnsi="Palatino Linotype" w:cs="Arial"/>
          <w:b/>
          <w:sz w:val="24"/>
        </w:rPr>
        <w:t>0</w:t>
      </w:r>
      <w:r w:rsidRPr="009655C1">
        <w:rPr>
          <w:rFonts w:ascii="Palatino Linotype" w:hAnsi="Palatino Linotype" w:cs="Arial"/>
          <w:b/>
          <w:sz w:val="24"/>
        </w:rPr>
        <w:t>495/INFOEM/IP/RR/2024</w:t>
      </w:r>
      <w:r w:rsidRPr="009655C1">
        <w:rPr>
          <w:rFonts w:ascii="Palatino Linotype" w:hAnsi="Palatino Linotype" w:cs="Arial"/>
          <w:sz w:val="24"/>
        </w:rPr>
        <w:t>, interpuesto</w:t>
      </w:r>
      <w:r w:rsidRPr="009655C1">
        <w:rPr>
          <w:rFonts w:ascii="Palatino Linotype" w:hAnsi="Palatino Linotype" w:cs="Arial"/>
          <w:sz w:val="24"/>
          <w:szCs w:val="24"/>
        </w:rPr>
        <w:t xml:space="preserve"> </w:t>
      </w:r>
      <w:r w:rsidRPr="009655C1">
        <w:rPr>
          <w:rFonts w:ascii="Palatino Linotype" w:hAnsi="Palatino Linotype" w:cs="Arial"/>
          <w:bCs/>
          <w:sz w:val="24"/>
          <w:szCs w:val="24"/>
        </w:rPr>
        <w:t>por</w:t>
      </w:r>
      <w:r w:rsidRPr="009655C1">
        <w:rPr>
          <w:rFonts w:ascii="Palatino Linotype" w:hAnsi="Palatino Linotype" w:cs="Arial"/>
          <w:b/>
          <w:bCs/>
          <w:sz w:val="24"/>
          <w:szCs w:val="24"/>
        </w:rPr>
        <w:t xml:space="preserve"> </w:t>
      </w:r>
      <w:r w:rsidR="00E5019C" w:rsidRPr="009655C1">
        <w:rPr>
          <w:rFonts w:ascii="Palatino Linotype" w:hAnsi="Palatino Linotype" w:cs="Arial"/>
          <w:b/>
          <w:bCs/>
          <w:sz w:val="24"/>
          <w:szCs w:val="24"/>
        </w:rPr>
        <w:t>XXXXXXXXXXXXXXXXX</w:t>
      </w:r>
      <w:r w:rsidRPr="009655C1">
        <w:rPr>
          <w:rFonts w:ascii="Palatino Linotype" w:hAnsi="Palatino Linotype" w:cs="Arial"/>
          <w:b/>
          <w:bCs/>
          <w:sz w:val="24"/>
          <w:szCs w:val="24"/>
        </w:rPr>
        <w:t xml:space="preserve"> </w:t>
      </w:r>
      <w:r w:rsidR="00E5019C" w:rsidRPr="009655C1">
        <w:rPr>
          <w:rFonts w:ascii="Palatino Linotype" w:hAnsi="Palatino Linotype" w:cs="Arial"/>
          <w:b/>
          <w:bCs/>
          <w:sz w:val="24"/>
          <w:szCs w:val="24"/>
        </w:rPr>
        <w:t>XXXXX</w:t>
      </w:r>
      <w:r w:rsidRPr="009655C1">
        <w:rPr>
          <w:rFonts w:ascii="Palatino Linotype" w:hAnsi="Palatino Linotype" w:cs="Arial"/>
          <w:b/>
          <w:bCs/>
          <w:sz w:val="24"/>
          <w:szCs w:val="24"/>
        </w:rPr>
        <w:t>,</w:t>
      </w:r>
      <w:r w:rsidRPr="009655C1">
        <w:rPr>
          <w:rFonts w:ascii="Palatino Linotype" w:hAnsi="Palatino Linotype" w:cs="Arial"/>
          <w:b/>
          <w:sz w:val="24"/>
          <w:szCs w:val="24"/>
        </w:rPr>
        <w:t xml:space="preserve"> </w:t>
      </w:r>
      <w:r w:rsidRPr="009655C1">
        <w:rPr>
          <w:rFonts w:ascii="Palatino Linotype" w:hAnsi="Palatino Linotype" w:cs="Arial"/>
          <w:sz w:val="24"/>
          <w:szCs w:val="24"/>
        </w:rPr>
        <w:t xml:space="preserve">en lo sucesivo </w:t>
      </w:r>
      <w:r w:rsidRPr="009655C1">
        <w:rPr>
          <w:rFonts w:ascii="Palatino Linotype" w:hAnsi="Palatino Linotype" w:cs="Arial"/>
          <w:b/>
          <w:bCs/>
          <w:sz w:val="24"/>
          <w:szCs w:val="24"/>
        </w:rPr>
        <w:t>el Recurrente</w:t>
      </w:r>
      <w:r w:rsidRPr="009655C1">
        <w:rPr>
          <w:rFonts w:ascii="Palatino Linotype" w:hAnsi="Palatino Linotype" w:cs="Arial"/>
          <w:sz w:val="24"/>
          <w:szCs w:val="24"/>
        </w:rPr>
        <w:t xml:space="preserve">, en contra de la falta de respuesta del </w:t>
      </w:r>
      <w:r w:rsidRPr="009655C1">
        <w:rPr>
          <w:rFonts w:ascii="Palatino Linotype" w:hAnsi="Palatino Linotype" w:cs="Arial"/>
          <w:b/>
          <w:sz w:val="24"/>
          <w:szCs w:val="24"/>
        </w:rPr>
        <w:t>Ayuntamiento de Apaxco</w:t>
      </w:r>
      <w:r w:rsidRPr="009655C1">
        <w:rPr>
          <w:rFonts w:ascii="Palatino Linotype" w:hAnsi="Palatino Linotype" w:cs="Arial"/>
          <w:sz w:val="24"/>
          <w:szCs w:val="24"/>
        </w:rPr>
        <w:t>, en lo subsecuente</w:t>
      </w:r>
      <w:r w:rsidRPr="009655C1">
        <w:rPr>
          <w:rFonts w:ascii="Palatino Linotype" w:hAnsi="Palatino Linotype" w:cs="Arial"/>
          <w:b/>
          <w:sz w:val="24"/>
          <w:szCs w:val="24"/>
        </w:rPr>
        <w:t xml:space="preserve"> </w:t>
      </w:r>
      <w:r w:rsidRPr="009655C1">
        <w:rPr>
          <w:rFonts w:ascii="Palatino Linotype" w:hAnsi="Palatino Linotype" w:cs="Arial"/>
          <w:sz w:val="24"/>
          <w:szCs w:val="24"/>
        </w:rPr>
        <w:t xml:space="preserve">el </w:t>
      </w:r>
      <w:r w:rsidRPr="009655C1">
        <w:rPr>
          <w:rFonts w:ascii="Palatino Linotype" w:hAnsi="Palatino Linotype" w:cs="Arial"/>
          <w:b/>
          <w:sz w:val="24"/>
          <w:szCs w:val="24"/>
        </w:rPr>
        <w:t>Sujeto Obligado</w:t>
      </w:r>
      <w:r w:rsidRPr="009655C1">
        <w:rPr>
          <w:rFonts w:ascii="Palatino Linotype" w:hAnsi="Palatino Linotype" w:cs="Arial"/>
          <w:sz w:val="24"/>
          <w:szCs w:val="24"/>
        </w:rPr>
        <w:t>,</w:t>
      </w:r>
      <w:r w:rsidRPr="009655C1">
        <w:rPr>
          <w:rFonts w:ascii="Palatino Linotype" w:hAnsi="Palatino Linotype" w:cs="Arial"/>
          <w:b/>
          <w:sz w:val="24"/>
          <w:szCs w:val="24"/>
        </w:rPr>
        <w:t xml:space="preserve"> </w:t>
      </w:r>
      <w:r w:rsidRPr="009655C1">
        <w:rPr>
          <w:rFonts w:ascii="Palatino Linotype" w:hAnsi="Palatino Linotype" w:cs="Arial"/>
          <w:sz w:val="24"/>
          <w:szCs w:val="24"/>
        </w:rPr>
        <w:t>se procede a</w:t>
      </w:r>
      <w:r w:rsidRPr="009655C1">
        <w:rPr>
          <w:rFonts w:ascii="Palatino Linotype" w:hAnsi="Palatino Linotype" w:cs="Arial"/>
          <w:sz w:val="24"/>
        </w:rPr>
        <w:t xml:space="preserve"> dictar la presente resolución.</w:t>
      </w:r>
    </w:p>
    <w:p w:rsidR="00B7691C" w:rsidRPr="009655C1" w:rsidRDefault="00B7691C" w:rsidP="00B7691C">
      <w:pPr>
        <w:tabs>
          <w:tab w:val="left" w:pos="1701"/>
        </w:tabs>
        <w:spacing w:after="0" w:line="360" w:lineRule="auto"/>
        <w:jc w:val="both"/>
        <w:rPr>
          <w:rFonts w:ascii="Palatino Linotype" w:hAnsi="Palatino Linotype" w:cs="Arial"/>
          <w:sz w:val="24"/>
        </w:rPr>
      </w:pPr>
    </w:p>
    <w:p w:rsidR="00B7691C" w:rsidRPr="009655C1" w:rsidRDefault="00B7691C" w:rsidP="00B7691C">
      <w:pPr>
        <w:spacing w:after="0" w:line="360" w:lineRule="auto"/>
        <w:jc w:val="center"/>
        <w:rPr>
          <w:rFonts w:ascii="Palatino Linotype" w:hAnsi="Palatino Linotype"/>
          <w:b/>
          <w:sz w:val="28"/>
        </w:rPr>
      </w:pPr>
      <w:r w:rsidRPr="009655C1">
        <w:rPr>
          <w:rFonts w:ascii="Palatino Linotype" w:hAnsi="Palatino Linotype"/>
          <w:b/>
          <w:sz w:val="28"/>
        </w:rPr>
        <w:t>A N T E C E D E N T E S   D E L   A S U N T O</w:t>
      </w:r>
    </w:p>
    <w:p w:rsidR="00B7691C" w:rsidRPr="009655C1" w:rsidRDefault="00B7691C" w:rsidP="00B7691C">
      <w:pPr>
        <w:spacing w:after="0" w:line="360" w:lineRule="auto"/>
        <w:jc w:val="center"/>
        <w:rPr>
          <w:rFonts w:ascii="Palatino Linotype" w:hAnsi="Palatino Linotype"/>
          <w:b/>
          <w:sz w:val="24"/>
        </w:rPr>
      </w:pPr>
    </w:p>
    <w:p w:rsidR="00B7691C" w:rsidRPr="009655C1" w:rsidRDefault="00B7691C" w:rsidP="00B7691C">
      <w:pPr>
        <w:spacing w:after="0" w:line="360" w:lineRule="auto"/>
        <w:jc w:val="both"/>
        <w:rPr>
          <w:rFonts w:ascii="Palatino Linotype" w:hAnsi="Palatino Linotype"/>
        </w:rPr>
      </w:pPr>
      <w:r w:rsidRPr="009655C1">
        <w:rPr>
          <w:rFonts w:ascii="Palatino Linotype" w:hAnsi="Palatino Linotype" w:cs="Arial"/>
          <w:b/>
          <w:sz w:val="28"/>
        </w:rPr>
        <w:t>PRIMERO.</w:t>
      </w:r>
      <w:r w:rsidRPr="009655C1">
        <w:rPr>
          <w:rFonts w:ascii="Palatino Linotype" w:hAnsi="Palatino Linotype" w:cs="Arial"/>
        </w:rPr>
        <w:t xml:space="preserve"> </w:t>
      </w:r>
      <w:r w:rsidRPr="009655C1">
        <w:rPr>
          <w:rFonts w:ascii="Palatino Linotype" w:hAnsi="Palatino Linotype"/>
          <w:b/>
          <w:sz w:val="28"/>
          <w:szCs w:val="28"/>
        </w:rPr>
        <w:t>De la Solicitud de Información.</w:t>
      </w:r>
    </w:p>
    <w:p w:rsidR="00B7691C" w:rsidRPr="009655C1" w:rsidRDefault="00B7691C" w:rsidP="00B7691C">
      <w:pPr>
        <w:spacing w:after="0" w:line="360" w:lineRule="auto"/>
        <w:jc w:val="both"/>
        <w:rPr>
          <w:rFonts w:ascii="Palatino Linotype" w:hAnsi="Palatino Linotype" w:cs="Arial"/>
          <w:sz w:val="24"/>
        </w:rPr>
      </w:pPr>
      <w:r w:rsidRPr="009655C1">
        <w:rPr>
          <w:rFonts w:ascii="Palatino Linotype" w:hAnsi="Palatino Linotype" w:cs="Arial"/>
          <w:sz w:val="24"/>
        </w:rPr>
        <w:t xml:space="preserve">En fecha once de </w:t>
      </w:r>
      <w:r w:rsidR="00741977" w:rsidRPr="009655C1">
        <w:rPr>
          <w:rFonts w:ascii="Palatino Linotype" w:hAnsi="Palatino Linotype" w:cs="Arial"/>
          <w:sz w:val="24"/>
        </w:rPr>
        <w:t>enero</w:t>
      </w:r>
      <w:r w:rsidRPr="009655C1">
        <w:rPr>
          <w:rFonts w:ascii="Palatino Linotype" w:hAnsi="Palatino Linotype" w:cs="Arial"/>
          <w:sz w:val="24"/>
        </w:rPr>
        <w:t xml:space="preserve"> de dos mil veinticuatro, el </w:t>
      </w:r>
      <w:r w:rsidRPr="009655C1">
        <w:rPr>
          <w:rFonts w:ascii="Palatino Linotype" w:hAnsi="Palatino Linotype" w:cs="Arial"/>
          <w:b/>
          <w:sz w:val="24"/>
        </w:rPr>
        <w:t>Recurrente</w:t>
      </w:r>
      <w:r w:rsidRPr="009655C1">
        <w:rPr>
          <w:rFonts w:ascii="Palatino Linotype" w:hAnsi="Palatino Linotype" w:cs="Arial"/>
          <w:sz w:val="24"/>
        </w:rPr>
        <w:t xml:space="preserve">, presentó a través del Sistema de Acceso a la Información Mexiquense, en lo subsecuente el </w:t>
      </w:r>
      <w:r w:rsidRPr="009655C1">
        <w:rPr>
          <w:rFonts w:ascii="Palatino Linotype" w:hAnsi="Palatino Linotype" w:cs="Arial"/>
          <w:b/>
          <w:sz w:val="24"/>
        </w:rPr>
        <w:t>SAIMEX</w:t>
      </w:r>
      <w:r w:rsidRPr="009655C1">
        <w:rPr>
          <w:rFonts w:ascii="Palatino Linotype" w:hAnsi="Palatino Linotype" w:cs="Arial"/>
          <w:sz w:val="24"/>
        </w:rPr>
        <w:t xml:space="preserve"> ante el </w:t>
      </w:r>
      <w:r w:rsidRPr="009655C1">
        <w:rPr>
          <w:rFonts w:ascii="Palatino Linotype" w:hAnsi="Palatino Linotype" w:cs="Arial"/>
          <w:b/>
          <w:sz w:val="24"/>
        </w:rPr>
        <w:t>Sujeto Obligado</w:t>
      </w:r>
      <w:r w:rsidRPr="009655C1">
        <w:rPr>
          <w:rFonts w:ascii="Palatino Linotype" w:hAnsi="Palatino Linotype" w:cs="Arial"/>
          <w:sz w:val="24"/>
        </w:rPr>
        <w:t xml:space="preserve">, la solicitud de acceso a la información pública, a la que se le asignó el número de expediente </w:t>
      </w:r>
      <w:r w:rsidRPr="009655C1">
        <w:rPr>
          <w:rFonts w:ascii="Palatino Linotype" w:hAnsi="Palatino Linotype"/>
          <w:b/>
          <w:bCs/>
          <w:sz w:val="24"/>
          <w:szCs w:val="24"/>
        </w:rPr>
        <w:t>00001/APAXCO/IP/2024</w:t>
      </w:r>
      <w:r w:rsidRPr="009655C1">
        <w:rPr>
          <w:rFonts w:ascii="Palatino Linotype" w:hAnsi="Palatino Linotype" w:cs="Arial"/>
          <w:sz w:val="24"/>
        </w:rPr>
        <w:t>, mediante la cual solicitó lo siguiente:</w:t>
      </w:r>
    </w:p>
    <w:p w:rsidR="00B7691C" w:rsidRPr="009655C1" w:rsidRDefault="00B7691C" w:rsidP="00B7691C">
      <w:pPr>
        <w:pStyle w:val="INFOEM"/>
      </w:pPr>
      <w:r w:rsidRPr="009655C1">
        <w:t>“</w:t>
      </w:r>
      <w:r w:rsidR="008647C1" w:rsidRPr="009655C1">
        <w:t>Se me proporcione el presupuesto total y el PBRM general del municipio, sueldos del Presidente, Síndica, regidoras, regidores, secretarios, directores, subdirectores, coordinadores, jefes de departamento y tabulador salarial del año 2023. Presupuesto aprobado en el anteproyecto para 2024.</w:t>
      </w:r>
      <w:r w:rsidRPr="009655C1">
        <w:t>” (Sic)</w:t>
      </w:r>
    </w:p>
    <w:p w:rsidR="00B7691C" w:rsidRPr="009655C1" w:rsidRDefault="00B7691C" w:rsidP="00B7691C">
      <w:pPr>
        <w:tabs>
          <w:tab w:val="left" w:pos="6570"/>
        </w:tabs>
        <w:spacing w:after="0" w:line="360" w:lineRule="auto"/>
        <w:ind w:right="850"/>
        <w:jc w:val="both"/>
        <w:rPr>
          <w:rFonts w:ascii="Palatino Linotype" w:hAnsi="Palatino Linotype" w:cs="Arial"/>
          <w:b/>
          <w:sz w:val="2"/>
        </w:rPr>
      </w:pPr>
      <w:r w:rsidRPr="009655C1">
        <w:rPr>
          <w:rFonts w:ascii="Palatino Linotype" w:hAnsi="Palatino Linotype" w:cs="Arial"/>
          <w:b/>
          <w:sz w:val="2"/>
        </w:rPr>
        <w:tab/>
      </w:r>
    </w:p>
    <w:p w:rsidR="00B7691C" w:rsidRPr="009655C1" w:rsidRDefault="00B7691C" w:rsidP="00B7691C">
      <w:pPr>
        <w:spacing w:after="0" w:line="360" w:lineRule="auto"/>
        <w:ind w:right="850"/>
        <w:jc w:val="both"/>
        <w:rPr>
          <w:rFonts w:ascii="Palatino Linotype" w:hAnsi="Palatino Linotype" w:cs="Arial"/>
          <w:b/>
          <w:sz w:val="2"/>
        </w:rPr>
      </w:pPr>
    </w:p>
    <w:p w:rsidR="00B7691C" w:rsidRPr="009655C1" w:rsidRDefault="00B7691C" w:rsidP="00B7691C">
      <w:pPr>
        <w:spacing w:after="0" w:line="360" w:lineRule="auto"/>
        <w:ind w:right="850"/>
        <w:jc w:val="both"/>
        <w:rPr>
          <w:rFonts w:ascii="Palatino Linotype" w:hAnsi="Palatino Linotype" w:cs="Arial"/>
          <w:b/>
          <w:sz w:val="2"/>
        </w:rPr>
      </w:pPr>
    </w:p>
    <w:p w:rsidR="00B7691C" w:rsidRPr="009655C1" w:rsidRDefault="00B7691C" w:rsidP="00B7691C">
      <w:pPr>
        <w:spacing w:after="0" w:line="360" w:lineRule="auto"/>
        <w:ind w:right="850"/>
        <w:jc w:val="both"/>
        <w:rPr>
          <w:rFonts w:ascii="Palatino Linotype" w:hAnsi="Palatino Linotype" w:cs="Arial"/>
          <w:b/>
          <w:sz w:val="2"/>
        </w:rPr>
      </w:pPr>
    </w:p>
    <w:p w:rsidR="00B7691C" w:rsidRPr="009655C1" w:rsidRDefault="00B7691C" w:rsidP="00B7691C">
      <w:pPr>
        <w:spacing w:after="0" w:line="360" w:lineRule="auto"/>
        <w:ind w:right="850"/>
        <w:jc w:val="both"/>
        <w:rPr>
          <w:rFonts w:ascii="Palatino Linotype" w:hAnsi="Palatino Linotype" w:cs="Arial"/>
          <w:b/>
          <w:sz w:val="2"/>
        </w:rPr>
      </w:pPr>
    </w:p>
    <w:p w:rsidR="00B7691C" w:rsidRPr="009655C1" w:rsidRDefault="00B7691C" w:rsidP="00B7691C">
      <w:pPr>
        <w:spacing w:after="0" w:line="360" w:lineRule="auto"/>
        <w:ind w:right="850"/>
        <w:jc w:val="both"/>
        <w:rPr>
          <w:rFonts w:ascii="Palatino Linotype" w:hAnsi="Palatino Linotype" w:cs="Arial"/>
          <w:b/>
          <w:sz w:val="2"/>
        </w:rPr>
      </w:pPr>
    </w:p>
    <w:p w:rsidR="00B7691C" w:rsidRPr="009655C1" w:rsidRDefault="00B7691C" w:rsidP="00B7691C">
      <w:pPr>
        <w:spacing w:after="0" w:line="360" w:lineRule="auto"/>
        <w:ind w:right="850"/>
        <w:jc w:val="both"/>
        <w:rPr>
          <w:rFonts w:ascii="Palatino Linotype" w:hAnsi="Palatino Linotype" w:cs="Arial"/>
          <w:b/>
          <w:sz w:val="2"/>
        </w:rPr>
      </w:pPr>
    </w:p>
    <w:p w:rsidR="00B7691C" w:rsidRPr="009655C1" w:rsidRDefault="00B7691C" w:rsidP="00B7691C">
      <w:pPr>
        <w:spacing w:after="0" w:line="360" w:lineRule="auto"/>
        <w:jc w:val="both"/>
        <w:rPr>
          <w:rFonts w:ascii="Palatino Linotype" w:hAnsi="Palatino Linotype" w:cs="Arial"/>
          <w:b/>
          <w:sz w:val="24"/>
        </w:rPr>
      </w:pPr>
    </w:p>
    <w:p w:rsidR="00B7691C" w:rsidRPr="009655C1" w:rsidRDefault="00B7691C" w:rsidP="00B7691C">
      <w:pPr>
        <w:spacing w:after="0" w:line="360" w:lineRule="auto"/>
        <w:jc w:val="both"/>
        <w:rPr>
          <w:rFonts w:ascii="Palatino Linotype" w:hAnsi="Palatino Linotype" w:cs="Arial"/>
          <w:sz w:val="24"/>
        </w:rPr>
      </w:pPr>
      <w:r w:rsidRPr="009655C1">
        <w:rPr>
          <w:rFonts w:ascii="Palatino Linotype" w:hAnsi="Palatino Linotype" w:cs="Arial"/>
          <w:b/>
          <w:sz w:val="24"/>
        </w:rPr>
        <w:t xml:space="preserve">Modalidad de entrega: </w:t>
      </w:r>
      <w:r w:rsidRPr="009655C1">
        <w:rPr>
          <w:rFonts w:ascii="Palatino Linotype" w:hAnsi="Palatino Linotype" w:cs="Arial"/>
          <w:i/>
          <w:sz w:val="24"/>
        </w:rPr>
        <w:t>A través del SAIMEX.</w:t>
      </w:r>
    </w:p>
    <w:p w:rsidR="00B7691C" w:rsidRPr="009655C1" w:rsidRDefault="00B7691C" w:rsidP="00B7691C">
      <w:pPr>
        <w:spacing w:after="0" w:line="360" w:lineRule="auto"/>
        <w:jc w:val="both"/>
        <w:rPr>
          <w:rFonts w:eastAsia="Palatino Linotype"/>
          <w:sz w:val="28"/>
        </w:rPr>
      </w:pPr>
    </w:p>
    <w:p w:rsidR="00B7691C" w:rsidRPr="009655C1" w:rsidRDefault="00B7691C" w:rsidP="00B7691C">
      <w:pPr>
        <w:pStyle w:val="Ttulo2"/>
        <w:rPr>
          <w:rFonts w:cs="Arial"/>
          <w:b w:val="0"/>
          <w:sz w:val="28"/>
          <w:szCs w:val="20"/>
        </w:rPr>
      </w:pPr>
      <w:r w:rsidRPr="009655C1">
        <w:rPr>
          <w:rFonts w:eastAsia="Palatino Linotype"/>
          <w:sz w:val="28"/>
        </w:rPr>
        <w:t xml:space="preserve">SEGUNDO. De </w:t>
      </w:r>
      <w:r w:rsidRPr="009655C1">
        <w:rPr>
          <w:rFonts w:cs="Arial"/>
          <w:sz w:val="28"/>
          <w:szCs w:val="20"/>
        </w:rPr>
        <w:t>la falta de respuesta del Sujeto Obligado.</w:t>
      </w:r>
    </w:p>
    <w:p w:rsidR="00B7691C" w:rsidRPr="009655C1" w:rsidRDefault="00B7691C" w:rsidP="00B7691C">
      <w:pPr>
        <w:spacing w:before="240" w:line="360" w:lineRule="auto"/>
        <w:jc w:val="both"/>
        <w:rPr>
          <w:rFonts w:ascii="Palatino Linotype" w:hAnsi="Palatino Linotype" w:cs="Arial"/>
          <w:sz w:val="24"/>
          <w:szCs w:val="24"/>
        </w:rPr>
      </w:pPr>
      <w:r w:rsidRPr="009655C1">
        <w:rPr>
          <w:rFonts w:ascii="Palatino Linotype" w:hAnsi="Palatino Linotype" w:cs="Arial"/>
          <w:sz w:val="24"/>
          <w:szCs w:val="24"/>
        </w:rPr>
        <w:t xml:space="preserve">En el expediente electrónico </w:t>
      </w:r>
      <w:r w:rsidRPr="009655C1">
        <w:rPr>
          <w:rFonts w:ascii="Palatino Linotype" w:hAnsi="Palatino Linotype" w:cs="Arial"/>
          <w:b/>
          <w:sz w:val="24"/>
          <w:szCs w:val="24"/>
        </w:rPr>
        <w:t>SAIMEX</w:t>
      </w:r>
      <w:r w:rsidRPr="009655C1">
        <w:rPr>
          <w:rFonts w:ascii="Palatino Linotype" w:hAnsi="Palatino Linotype" w:cs="Arial"/>
          <w:sz w:val="24"/>
          <w:szCs w:val="24"/>
        </w:rPr>
        <w:t xml:space="preserve">, se aprecia que </w:t>
      </w:r>
      <w:r w:rsidRPr="009655C1">
        <w:rPr>
          <w:rFonts w:ascii="Palatino Linotype" w:hAnsi="Palatino Linotype" w:cs="Arial"/>
          <w:b/>
          <w:sz w:val="24"/>
          <w:szCs w:val="24"/>
        </w:rPr>
        <w:t xml:space="preserve">El Sujeto Obligado </w:t>
      </w:r>
      <w:r w:rsidRPr="009655C1">
        <w:rPr>
          <w:rFonts w:ascii="Palatino Linotype" w:hAnsi="Palatino Linotype" w:cs="Arial"/>
          <w:sz w:val="24"/>
          <w:szCs w:val="24"/>
        </w:rPr>
        <w:t xml:space="preserve">fue omiso en dar respuesta a la solicitud de información presentada por </w:t>
      </w:r>
      <w:r w:rsidRPr="009655C1">
        <w:rPr>
          <w:rFonts w:ascii="Palatino Linotype" w:hAnsi="Palatino Linotype" w:cs="Arial"/>
          <w:b/>
          <w:sz w:val="24"/>
          <w:szCs w:val="24"/>
        </w:rPr>
        <w:t xml:space="preserve">el Recurrente, </w:t>
      </w:r>
      <w:r w:rsidRPr="009655C1">
        <w:rPr>
          <w:rFonts w:ascii="Palatino Linotype" w:hAnsi="Palatino Linotype" w:cs="Arial"/>
          <w:sz w:val="24"/>
          <w:szCs w:val="24"/>
        </w:rPr>
        <w:t xml:space="preserve">derivado de lo anterior, se constituye la figura de la </w:t>
      </w:r>
      <w:r w:rsidRPr="009655C1">
        <w:rPr>
          <w:rFonts w:ascii="Palatino Linotype" w:hAnsi="Palatino Linotype" w:cs="Arial"/>
          <w:b/>
          <w:sz w:val="24"/>
          <w:szCs w:val="24"/>
        </w:rPr>
        <w:t xml:space="preserve">NEGATIVA FICTA, </w:t>
      </w:r>
      <w:r w:rsidRPr="009655C1">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rsidR="00B7691C" w:rsidRPr="009655C1" w:rsidRDefault="00B7691C" w:rsidP="00B7691C">
      <w:pPr>
        <w:spacing w:before="240" w:line="360" w:lineRule="auto"/>
        <w:jc w:val="both"/>
        <w:rPr>
          <w:rFonts w:ascii="Palatino Linotype" w:hAnsi="Palatino Linotype" w:cs="Arial"/>
          <w:sz w:val="24"/>
          <w:szCs w:val="24"/>
        </w:rPr>
      </w:pPr>
    </w:p>
    <w:p w:rsidR="00B7691C" w:rsidRPr="009655C1" w:rsidRDefault="00B7691C" w:rsidP="00B7691C">
      <w:pPr>
        <w:spacing w:after="0" w:line="360" w:lineRule="auto"/>
        <w:jc w:val="both"/>
        <w:rPr>
          <w:rFonts w:ascii="Palatino Linotype" w:hAnsi="Palatino Linotype" w:cs="Arial"/>
          <w:b/>
          <w:sz w:val="28"/>
        </w:rPr>
      </w:pPr>
      <w:r w:rsidRPr="009655C1">
        <w:rPr>
          <w:rFonts w:ascii="Palatino Linotype" w:hAnsi="Palatino Linotype" w:cs="Arial"/>
          <w:b/>
          <w:sz w:val="28"/>
        </w:rPr>
        <w:t xml:space="preserve">TERCERO. </w:t>
      </w:r>
      <w:r w:rsidRPr="009655C1">
        <w:rPr>
          <w:rFonts w:ascii="Palatino Linotype" w:hAnsi="Palatino Linotype"/>
          <w:b/>
          <w:sz w:val="28"/>
        </w:rPr>
        <w:t>Del recurso de revisión.</w:t>
      </w:r>
    </w:p>
    <w:p w:rsidR="00B7691C" w:rsidRPr="009655C1" w:rsidRDefault="00B7691C" w:rsidP="00B7691C">
      <w:pPr>
        <w:spacing w:after="0" w:line="360" w:lineRule="auto"/>
        <w:jc w:val="both"/>
        <w:rPr>
          <w:rFonts w:ascii="Palatino Linotype" w:hAnsi="Palatino Linotype" w:cs="Arial"/>
          <w:sz w:val="24"/>
        </w:rPr>
      </w:pPr>
      <w:r w:rsidRPr="009655C1">
        <w:rPr>
          <w:rFonts w:ascii="Palatino Linotype" w:hAnsi="Palatino Linotype" w:cs="Arial"/>
          <w:sz w:val="24"/>
          <w:szCs w:val="24"/>
        </w:rPr>
        <w:t>Inconforme con la falta de respuesta del</w:t>
      </w:r>
      <w:r w:rsidRPr="009655C1">
        <w:rPr>
          <w:rFonts w:ascii="Palatino Linotype" w:hAnsi="Palatino Linotype" w:cs="Arial"/>
          <w:b/>
          <w:sz w:val="24"/>
          <w:szCs w:val="24"/>
        </w:rPr>
        <w:t xml:space="preserve"> Sujeto Obligado</w:t>
      </w:r>
      <w:r w:rsidRPr="009655C1">
        <w:rPr>
          <w:rFonts w:ascii="Palatino Linotype" w:hAnsi="Palatino Linotype" w:cs="Arial"/>
          <w:sz w:val="24"/>
          <w:szCs w:val="24"/>
        </w:rPr>
        <w:t>, el Recurrente</w:t>
      </w:r>
      <w:r w:rsidRPr="009655C1">
        <w:rPr>
          <w:rFonts w:ascii="Palatino Linotype" w:hAnsi="Palatino Linotype" w:cs="Arial"/>
          <w:b/>
          <w:sz w:val="24"/>
          <w:szCs w:val="24"/>
        </w:rPr>
        <w:t xml:space="preserve"> </w:t>
      </w:r>
      <w:r w:rsidRPr="009655C1">
        <w:rPr>
          <w:rFonts w:ascii="Palatino Linotype" w:hAnsi="Palatino Linotype" w:cs="Arial"/>
          <w:sz w:val="24"/>
          <w:szCs w:val="24"/>
        </w:rPr>
        <w:t xml:space="preserve">interpuso el recurso de revisión, en fecha </w:t>
      </w:r>
      <w:r w:rsidR="00741977" w:rsidRPr="009655C1">
        <w:rPr>
          <w:rFonts w:ascii="Palatino Linotype" w:hAnsi="Palatino Linotype"/>
          <w:sz w:val="24"/>
        </w:rPr>
        <w:t>seis</w:t>
      </w:r>
      <w:r w:rsidRPr="009655C1">
        <w:rPr>
          <w:rFonts w:ascii="Palatino Linotype" w:hAnsi="Palatino Linotype"/>
          <w:sz w:val="24"/>
        </w:rPr>
        <w:t xml:space="preserve"> de febrero de dos mil veinticuatro</w:t>
      </w:r>
      <w:r w:rsidRPr="009655C1">
        <w:rPr>
          <w:rFonts w:ascii="Palatino Linotype" w:hAnsi="Palatino Linotype" w:cs="Arial"/>
          <w:sz w:val="24"/>
          <w:szCs w:val="24"/>
        </w:rPr>
        <w:t>, el cual fue registrado</w:t>
      </w:r>
      <w:r w:rsidRPr="009655C1">
        <w:rPr>
          <w:rFonts w:ascii="Palatino Linotype" w:hAnsi="Palatino Linotype" w:cs="Arial"/>
          <w:b/>
          <w:sz w:val="24"/>
          <w:szCs w:val="24"/>
        </w:rPr>
        <w:t xml:space="preserve"> </w:t>
      </w:r>
      <w:r w:rsidRPr="009655C1">
        <w:rPr>
          <w:rFonts w:ascii="Palatino Linotype" w:hAnsi="Palatino Linotype" w:cs="Arial"/>
          <w:sz w:val="24"/>
          <w:szCs w:val="24"/>
        </w:rPr>
        <w:t xml:space="preserve">en el sistema electrónico con el expediente número </w:t>
      </w:r>
      <w:r w:rsidRPr="009655C1">
        <w:rPr>
          <w:rFonts w:ascii="Palatino Linotype" w:hAnsi="Palatino Linotype" w:cs="Arial"/>
          <w:b/>
          <w:sz w:val="24"/>
          <w:szCs w:val="24"/>
        </w:rPr>
        <w:t>0</w:t>
      </w:r>
      <w:r w:rsidR="00426004" w:rsidRPr="009655C1">
        <w:rPr>
          <w:rFonts w:ascii="Palatino Linotype" w:hAnsi="Palatino Linotype" w:cs="Arial"/>
          <w:b/>
          <w:sz w:val="24"/>
          <w:szCs w:val="24"/>
        </w:rPr>
        <w:t>0</w:t>
      </w:r>
      <w:r w:rsidRPr="009655C1">
        <w:rPr>
          <w:rFonts w:ascii="Palatino Linotype" w:hAnsi="Palatino Linotype" w:cs="Arial"/>
          <w:b/>
          <w:sz w:val="24"/>
          <w:szCs w:val="24"/>
        </w:rPr>
        <w:t>495/INFOEM/IP/RR/2024</w:t>
      </w:r>
      <w:r w:rsidRPr="009655C1">
        <w:rPr>
          <w:rFonts w:ascii="Palatino Linotype" w:hAnsi="Palatino Linotype" w:cs="Arial"/>
          <w:sz w:val="24"/>
          <w:szCs w:val="24"/>
        </w:rPr>
        <w:t xml:space="preserve">, en el cual </w:t>
      </w:r>
      <w:r w:rsidRPr="009655C1">
        <w:rPr>
          <w:rFonts w:ascii="Palatino Linotype" w:hAnsi="Palatino Linotype" w:cs="Arial"/>
          <w:sz w:val="24"/>
        </w:rPr>
        <w:t>arguye, las siguientes manifestaciones:</w:t>
      </w:r>
    </w:p>
    <w:p w:rsidR="00B7691C" w:rsidRPr="009655C1" w:rsidRDefault="00B7691C" w:rsidP="00B7691C">
      <w:pPr>
        <w:pStyle w:val="INFOEM"/>
        <w:rPr>
          <w:b/>
        </w:rPr>
      </w:pPr>
      <w:r w:rsidRPr="009655C1">
        <w:rPr>
          <w:b/>
        </w:rPr>
        <w:t>Acto Impugnado:</w:t>
      </w:r>
    </w:p>
    <w:p w:rsidR="00B7691C" w:rsidRPr="009655C1" w:rsidRDefault="00B7691C" w:rsidP="00B7691C">
      <w:pPr>
        <w:pStyle w:val="INFOEM"/>
      </w:pPr>
      <w:r w:rsidRPr="009655C1">
        <w:t>“La falta de respuesta.” (Sic)</w:t>
      </w:r>
    </w:p>
    <w:p w:rsidR="00B7691C" w:rsidRPr="009655C1" w:rsidRDefault="00B7691C" w:rsidP="00B7691C">
      <w:pPr>
        <w:pStyle w:val="INFOEM"/>
        <w:rPr>
          <w:b/>
        </w:rPr>
      </w:pPr>
      <w:r w:rsidRPr="009655C1">
        <w:rPr>
          <w:b/>
        </w:rPr>
        <w:t>Razones o motivos de inconformidad:</w:t>
      </w:r>
    </w:p>
    <w:p w:rsidR="00B7691C" w:rsidRPr="009655C1" w:rsidRDefault="00B7691C" w:rsidP="00B7691C">
      <w:pPr>
        <w:pStyle w:val="INFOEM"/>
        <w:rPr>
          <w:sz w:val="24"/>
        </w:rPr>
      </w:pPr>
      <w:r w:rsidRPr="009655C1">
        <w:t>“Ha transcurrido el tiempo</w:t>
      </w:r>
      <w:r w:rsidR="008C0110" w:rsidRPr="009655C1">
        <w:t xml:space="preserve"> previsto en la ley para que el Sujeto Obligado emita una respuesta a mi solicitud de información, no obstante, no he recibido respuesta alguna respecto de mo solicitud</w:t>
      </w:r>
      <w:r w:rsidRPr="009655C1">
        <w:t>” (Sic)</w:t>
      </w:r>
    </w:p>
    <w:p w:rsidR="00B7691C" w:rsidRPr="009655C1" w:rsidRDefault="00B7691C" w:rsidP="00B7691C">
      <w:pPr>
        <w:pStyle w:val="Sinespaciado"/>
      </w:pPr>
    </w:p>
    <w:p w:rsidR="00B7691C" w:rsidRPr="009655C1" w:rsidRDefault="00B7691C" w:rsidP="00B7691C">
      <w:pPr>
        <w:spacing w:after="0" w:line="360" w:lineRule="auto"/>
        <w:jc w:val="both"/>
        <w:rPr>
          <w:rFonts w:ascii="Palatino Linotype" w:hAnsi="Palatino Linotype" w:cs="Arial"/>
          <w:b/>
          <w:sz w:val="24"/>
          <w:szCs w:val="24"/>
        </w:rPr>
      </w:pPr>
      <w:r w:rsidRPr="009655C1">
        <w:rPr>
          <w:rFonts w:ascii="Palatino Linotype" w:hAnsi="Palatino Linotype" w:cs="Arial"/>
          <w:b/>
          <w:sz w:val="28"/>
        </w:rPr>
        <w:t>CUARTO.</w:t>
      </w:r>
      <w:r w:rsidRPr="009655C1">
        <w:rPr>
          <w:rFonts w:ascii="Palatino Linotype" w:hAnsi="Palatino Linotype" w:cs="Arial"/>
          <w:b/>
          <w:sz w:val="24"/>
          <w:szCs w:val="24"/>
        </w:rPr>
        <w:t xml:space="preserve"> </w:t>
      </w:r>
      <w:r w:rsidRPr="009655C1">
        <w:rPr>
          <w:rFonts w:ascii="Palatino Linotype" w:hAnsi="Palatino Linotype" w:cs="Arial"/>
          <w:b/>
          <w:sz w:val="28"/>
          <w:szCs w:val="28"/>
        </w:rPr>
        <w:t>Del turno y admisión de los recursos de revisión.</w:t>
      </w:r>
    </w:p>
    <w:p w:rsidR="00B7691C" w:rsidRPr="009655C1" w:rsidRDefault="00B7691C" w:rsidP="00B7691C">
      <w:pPr>
        <w:spacing w:after="0" w:line="360" w:lineRule="auto"/>
        <w:jc w:val="both"/>
        <w:rPr>
          <w:rFonts w:ascii="Palatino Linotype" w:hAnsi="Palatino Linotype" w:cs="Arial"/>
          <w:sz w:val="24"/>
          <w:szCs w:val="24"/>
        </w:rPr>
      </w:pPr>
      <w:r w:rsidRPr="009655C1">
        <w:rPr>
          <w:rFonts w:ascii="Palatino Linotype" w:hAnsi="Palatino Linotype" w:cs="Arial"/>
          <w:sz w:val="24"/>
          <w:szCs w:val="24"/>
        </w:rPr>
        <w:t xml:space="preserve">El medio de impugnación le fue turnado al Comisionado Presidente </w:t>
      </w:r>
      <w:r w:rsidRPr="009655C1">
        <w:rPr>
          <w:rFonts w:ascii="Palatino Linotype" w:hAnsi="Palatino Linotype" w:cs="Arial"/>
          <w:b/>
          <w:sz w:val="24"/>
          <w:szCs w:val="24"/>
        </w:rPr>
        <w:t>José Martínez Vilchis</w:t>
      </w:r>
      <w:r w:rsidRPr="009655C1">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w:t>
      </w:r>
      <w:r w:rsidRPr="009655C1">
        <w:rPr>
          <w:rFonts w:ascii="Palatino Linotype" w:hAnsi="Palatino Linotype" w:cs="Arial"/>
          <w:b/>
          <w:sz w:val="24"/>
          <w:szCs w:val="24"/>
        </w:rPr>
        <w:t>acuerdo de admisión</w:t>
      </w:r>
      <w:r w:rsidRPr="009655C1">
        <w:rPr>
          <w:rFonts w:ascii="Palatino Linotype" w:hAnsi="Palatino Linotype" w:cs="Arial"/>
          <w:sz w:val="24"/>
          <w:szCs w:val="24"/>
        </w:rPr>
        <w:t xml:space="preserve"> en fecha </w:t>
      </w:r>
      <w:r w:rsidR="008C0110" w:rsidRPr="009655C1">
        <w:rPr>
          <w:rFonts w:ascii="Palatino Linotype" w:hAnsi="Palatino Linotype"/>
          <w:b/>
          <w:sz w:val="24"/>
        </w:rPr>
        <w:t>siete de febrero de dos mil veinticuatro</w:t>
      </w:r>
      <w:r w:rsidRPr="009655C1">
        <w:rPr>
          <w:rFonts w:ascii="Palatino Linotype" w:hAnsi="Palatino Linotype" w:cs="Arial"/>
          <w:sz w:val="24"/>
          <w:szCs w:val="24"/>
        </w:rPr>
        <w:t>, determinándose en él, un plazo de siete días para que las partes manifestaran lo que a su derecho corresponda en términos del numeral ya citado.</w:t>
      </w:r>
    </w:p>
    <w:p w:rsidR="00B7691C" w:rsidRPr="009655C1" w:rsidRDefault="00B7691C" w:rsidP="00B7691C">
      <w:pPr>
        <w:spacing w:after="0" w:line="360" w:lineRule="auto"/>
        <w:jc w:val="both"/>
        <w:rPr>
          <w:rFonts w:ascii="Palatino Linotype" w:hAnsi="Palatino Linotype" w:cs="Arial"/>
          <w:sz w:val="24"/>
          <w:szCs w:val="24"/>
        </w:rPr>
      </w:pPr>
    </w:p>
    <w:p w:rsidR="00B7691C" w:rsidRPr="009655C1" w:rsidRDefault="00B7691C" w:rsidP="00B7691C">
      <w:pPr>
        <w:spacing w:after="0" w:line="360" w:lineRule="auto"/>
        <w:jc w:val="both"/>
        <w:rPr>
          <w:rFonts w:ascii="Palatino Linotype" w:hAnsi="Palatino Linotype" w:cs="Arial"/>
          <w:b/>
          <w:sz w:val="28"/>
          <w:szCs w:val="28"/>
        </w:rPr>
      </w:pPr>
      <w:r w:rsidRPr="009655C1">
        <w:rPr>
          <w:rFonts w:ascii="Palatino Linotype" w:hAnsi="Palatino Linotype" w:cs="Arial"/>
          <w:b/>
          <w:sz w:val="28"/>
        </w:rPr>
        <w:t xml:space="preserve">QUINTO. </w:t>
      </w:r>
      <w:r w:rsidRPr="009655C1">
        <w:rPr>
          <w:rFonts w:ascii="Palatino Linotype" w:hAnsi="Palatino Linotype" w:cs="Arial"/>
          <w:b/>
          <w:sz w:val="28"/>
          <w:szCs w:val="28"/>
        </w:rPr>
        <w:t>De la etapa de instrucción.</w:t>
      </w:r>
    </w:p>
    <w:p w:rsidR="00B7691C" w:rsidRPr="009655C1" w:rsidRDefault="00B7691C" w:rsidP="00B7691C">
      <w:pPr>
        <w:spacing w:after="0" w:line="360" w:lineRule="auto"/>
        <w:jc w:val="both"/>
        <w:rPr>
          <w:rFonts w:ascii="Palatino Linotype" w:hAnsi="Palatino Linotype"/>
          <w:sz w:val="24"/>
          <w:szCs w:val="24"/>
        </w:rPr>
      </w:pPr>
      <w:r w:rsidRPr="009655C1">
        <w:rPr>
          <w:rFonts w:ascii="Palatino Linotype" w:hAnsi="Palatino Linotype" w:cs="Arial"/>
          <w:sz w:val="24"/>
          <w:szCs w:val="24"/>
        </w:rPr>
        <w:t>De las constancias que obran en el expediente electrónico del SAIMEX, se advierte que el Sujeto Obligado fue omiso al rendir su informe justificado. De igual manera, se advierte que el Recurrente</w:t>
      </w:r>
      <w:r w:rsidRPr="009655C1">
        <w:rPr>
          <w:rFonts w:ascii="Palatino Linotype" w:hAnsi="Palatino Linotype" w:cs="Arial"/>
          <w:b/>
          <w:sz w:val="24"/>
          <w:szCs w:val="24"/>
        </w:rPr>
        <w:t>,</w:t>
      </w:r>
      <w:r w:rsidRPr="009655C1">
        <w:rPr>
          <w:rFonts w:ascii="Palatino Linotype" w:hAnsi="Palatino Linotype" w:cs="Arial"/>
          <w:sz w:val="24"/>
          <w:szCs w:val="24"/>
        </w:rPr>
        <w:t xml:space="preserve"> omitió rendir dentro del término de Ley, las manifestaciones que a sus intereses conviniera.</w:t>
      </w:r>
    </w:p>
    <w:p w:rsidR="00B7691C" w:rsidRPr="009655C1" w:rsidRDefault="00B7691C" w:rsidP="00B7691C">
      <w:pPr>
        <w:spacing w:after="0" w:line="360" w:lineRule="auto"/>
        <w:jc w:val="both"/>
        <w:rPr>
          <w:rFonts w:ascii="Palatino Linotype" w:hAnsi="Palatino Linotype" w:cs="Arial"/>
          <w:sz w:val="24"/>
          <w:szCs w:val="24"/>
        </w:rPr>
      </w:pPr>
    </w:p>
    <w:p w:rsidR="00B7691C" w:rsidRPr="009655C1" w:rsidRDefault="00B7691C" w:rsidP="00B7691C">
      <w:pPr>
        <w:spacing w:after="0" w:line="360" w:lineRule="auto"/>
        <w:jc w:val="both"/>
        <w:rPr>
          <w:rFonts w:ascii="Palatino Linotype" w:hAnsi="Palatino Linotype" w:cs="Arial"/>
          <w:sz w:val="24"/>
          <w:szCs w:val="24"/>
        </w:rPr>
      </w:pPr>
      <w:r w:rsidRPr="009655C1">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B7691C" w:rsidRPr="009655C1" w:rsidRDefault="00B7691C" w:rsidP="00B7691C">
      <w:pPr>
        <w:spacing w:after="0" w:line="360" w:lineRule="auto"/>
        <w:jc w:val="both"/>
        <w:rPr>
          <w:rFonts w:ascii="Palatino Linotype" w:hAnsi="Palatino Linotype" w:cs="Arial"/>
          <w:sz w:val="24"/>
          <w:szCs w:val="24"/>
        </w:rPr>
      </w:pPr>
    </w:p>
    <w:p w:rsidR="00B7691C" w:rsidRPr="009655C1" w:rsidRDefault="00B7691C" w:rsidP="00B7691C">
      <w:pPr>
        <w:spacing w:line="360" w:lineRule="auto"/>
        <w:jc w:val="both"/>
        <w:rPr>
          <w:rFonts w:ascii="Palatino Linotype" w:hAnsi="Palatino Linotype" w:cs="Arial"/>
          <w:b/>
          <w:sz w:val="28"/>
          <w:szCs w:val="28"/>
        </w:rPr>
      </w:pPr>
      <w:r w:rsidRPr="009655C1">
        <w:rPr>
          <w:rFonts w:ascii="Palatino Linotype" w:eastAsia="Calibri" w:hAnsi="Palatino Linotype" w:cs="Arial"/>
          <w:b/>
          <w:sz w:val="28"/>
          <w:szCs w:val="28"/>
        </w:rPr>
        <w:t xml:space="preserve">SEXTO. </w:t>
      </w:r>
      <w:r w:rsidRPr="009655C1">
        <w:rPr>
          <w:rFonts w:ascii="Palatino Linotype" w:hAnsi="Palatino Linotype" w:cs="Arial"/>
          <w:b/>
          <w:sz w:val="28"/>
          <w:szCs w:val="28"/>
        </w:rPr>
        <w:t>Del cierre de la etapa de instrucción.</w:t>
      </w:r>
    </w:p>
    <w:p w:rsidR="00B7691C" w:rsidRPr="009655C1" w:rsidRDefault="00B7691C" w:rsidP="00B7691C">
      <w:pPr>
        <w:spacing w:after="0" w:line="360" w:lineRule="auto"/>
        <w:jc w:val="both"/>
        <w:rPr>
          <w:rFonts w:ascii="Palatino Linotype" w:hAnsi="Palatino Linotype" w:cs="Arial"/>
          <w:sz w:val="24"/>
          <w:szCs w:val="24"/>
        </w:rPr>
      </w:pPr>
      <w:r w:rsidRPr="009655C1">
        <w:rPr>
          <w:rFonts w:ascii="Palatino Linotype" w:hAnsi="Palatino Linotype" w:cs="Arial"/>
          <w:sz w:val="24"/>
          <w:szCs w:val="24"/>
        </w:rPr>
        <w:t xml:space="preserve">En fecha </w:t>
      </w:r>
      <w:r w:rsidR="008C0110" w:rsidRPr="009655C1">
        <w:rPr>
          <w:rFonts w:ascii="Palatino Linotype" w:hAnsi="Palatino Linotype"/>
          <w:b/>
          <w:sz w:val="24"/>
        </w:rPr>
        <w:t>veintisiete de febrero de dos mil veinticuatro</w:t>
      </w:r>
      <w:r w:rsidRPr="009655C1">
        <w:rPr>
          <w:rFonts w:ascii="Palatino Linotype" w:hAnsi="Palatino Linotype" w:cs="Arial"/>
          <w:sz w:val="24"/>
          <w:szCs w:val="24"/>
        </w:rPr>
        <w:t xml:space="preserve">, se decretó el cierre de la misma del expediente electrónico formado con motivo de la interposición del presente recurso </w:t>
      </w:r>
      <w:r w:rsidRPr="009655C1">
        <w:rPr>
          <w:rFonts w:ascii="Palatino Linotype" w:hAnsi="Palatino Linotype" w:cs="Arial"/>
          <w:sz w:val="24"/>
          <w:szCs w:val="24"/>
        </w:rPr>
        <w:lastRenderedPageBreak/>
        <w:t>de revisión, a fin de que el Comisionado Ponente presentara el proyecto de resolución correspondiente.</w:t>
      </w:r>
    </w:p>
    <w:p w:rsidR="00B7691C" w:rsidRPr="009655C1" w:rsidRDefault="00B7691C" w:rsidP="00B7691C">
      <w:pPr>
        <w:spacing w:after="0" w:line="360" w:lineRule="auto"/>
        <w:jc w:val="both"/>
        <w:rPr>
          <w:rFonts w:ascii="Palatino Linotype" w:hAnsi="Palatino Linotype" w:cs="Arial"/>
          <w:sz w:val="24"/>
          <w:szCs w:val="24"/>
        </w:rPr>
      </w:pPr>
    </w:p>
    <w:p w:rsidR="00B7691C" w:rsidRPr="009655C1" w:rsidRDefault="00B7691C" w:rsidP="00B7691C">
      <w:pPr>
        <w:spacing w:after="0" w:line="360" w:lineRule="auto"/>
        <w:jc w:val="both"/>
        <w:rPr>
          <w:rFonts w:ascii="Palatino Linotype" w:hAnsi="Palatino Linotype" w:cs="Arial"/>
          <w:sz w:val="24"/>
          <w:szCs w:val="24"/>
        </w:rPr>
      </w:pPr>
    </w:p>
    <w:p w:rsidR="00B7691C" w:rsidRPr="009655C1" w:rsidRDefault="00B7691C" w:rsidP="00B7691C">
      <w:pPr>
        <w:spacing w:after="0" w:line="360" w:lineRule="auto"/>
        <w:jc w:val="both"/>
        <w:rPr>
          <w:rFonts w:ascii="Palatino Linotype" w:hAnsi="Palatino Linotype" w:cs="Arial"/>
          <w:sz w:val="24"/>
          <w:szCs w:val="24"/>
        </w:rPr>
      </w:pPr>
    </w:p>
    <w:p w:rsidR="00B7691C" w:rsidRPr="009655C1" w:rsidRDefault="00B7691C" w:rsidP="00B7691C">
      <w:pPr>
        <w:spacing w:after="0" w:line="360" w:lineRule="auto"/>
        <w:jc w:val="center"/>
        <w:rPr>
          <w:rFonts w:ascii="Palatino Linotype" w:hAnsi="Palatino Linotype" w:cs="Arial"/>
          <w:b/>
          <w:sz w:val="28"/>
        </w:rPr>
      </w:pPr>
      <w:r w:rsidRPr="009655C1">
        <w:rPr>
          <w:rFonts w:ascii="Palatino Linotype" w:hAnsi="Palatino Linotype" w:cs="Arial"/>
          <w:b/>
          <w:sz w:val="28"/>
        </w:rPr>
        <w:t xml:space="preserve">C O N S I D E R A N D O </w:t>
      </w:r>
    </w:p>
    <w:p w:rsidR="00B7691C" w:rsidRPr="009655C1" w:rsidRDefault="00B7691C" w:rsidP="00B7691C">
      <w:pPr>
        <w:pStyle w:val="Sinespaciado"/>
        <w:rPr>
          <w:rFonts w:ascii="Palatino Linotype" w:hAnsi="Palatino Linotype"/>
        </w:rPr>
      </w:pPr>
    </w:p>
    <w:p w:rsidR="00B7691C" w:rsidRPr="009655C1" w:rsidRDefault="00B7691C" w:rsidP="00B7691C">
      <w:pPr>
        <w:spacing w:after="0" w:line="360" w:lineRule="auto"/>
        <w:jc w:val="both"/>
        <w:rPr>
          <w:rFonts w:ascii="Palatino Linotype" w:hAnsi="Palatino Linotype" w:cs="Arial"/>
          <w:sz w:val="24"/>
        </w:rPr>
      </w:pPr>
      <w:r w:rsidRPr="009655C1">
        <w:rPr>
          <w:rFonts w:ascii="Palatino Linotype" w:hAnsi="Palatino Linotype" w:cs="Arial"/>
          <w:b/>
          <w:sz w:val="28"/>
        </w:rPr>
        <w:t>PRIMERO.</w:t>
      </w:r>
      <w:r w:rsidRPr="009655C1">
        <w:rPr>
          <w:rFonts w:ascii="Palatino Linotype" w:hAnsi="Palatino Linotype" w:cs="Arial"/>
          <w:b/>
        </w:rPr>
        <w:t xml:space="preserve"> </w:t>
      </w:r>
      <w:r w:rsidRPr="009655C1">
        <w:rPr>
          <w:rFonts w:ascii="Palatino Linotype" w:hAnsi="Palatino Linotype" w:cs="Arial"/>
          <w:b/>
          <w:sz w:val="28"/>
          <w:szCs w:val="28"/>
        </w:rPr>
        <w:t>De la competencia</w:t>
      </w:r>
      <w:r w:rsidRPr="009655C1">
        <w:rPr>
          <w:rFonts w:ascii="Palatino Linotype" w:hAnsi="Palatino Linotype" w:cs="Arial"/>
          <w:sz w:val="28"/>
          <w:szCs w:val="28"/>
        </w:rPr>
        <w:t>.</w:t>
      </w:r>
    </w:p>
    <w:p w:rsidR="00B7691C" w:rsidRPr="009655C1" w:rsidRDefault="00B7691C" w:rsidP="00B7691C">
      <w:pPr>
        <w:pStyle w:val="Sinespaciado"/>
        <w:spacing w:line="360" w:lineRule="auto"/>
        <w:jc w:val="both"/>
        <w:rPr>
          <w:rFonts w:ascii="Palatino Linotype" w:hAnsi="Palatino Linotype"/>
        </w:rPr>
      </w:pPr>
      <w:r w:rsidRPr="009655C1">
        <w:rPr>
          <w:rFonts w:ascii="Palatino Linotype" w:hAnsi="Palatino Linotype"/>
        </w:rPr>
        <w:t>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b/>
        </w:rPr>
      </w:pPr>
      <w:r w:rsidRPr="009655C1">
        <w:rPr>
          <w:rFonts w:ascii="Palatino Linotype" w:hAnsi="Palatino Linotype" w:cs="Arial"/>
          <w:b/>
          <w:sz w:val="28"/>
        </w:rPr>
        <w:t>SEGUNDO</w:t>
      </w:r>
      <w:r w:rsidRPr="009655C1">
        <w:rPr>
          <w:rFonts w:ascii="Palatino Linotype" w:hAnsi="Palatino Linotype" w:cs="Arial"/>
          <w:b/>
        </w:rPr>
        <w:t xml:space="preserve">. </w:t>
      </w:r>
      <w:r w:rsidRPr="009655C1">
        <w:rPr>
          <w:rFonts w:ascii="Palatino Linotype" w:hAnsi="Palatino Linotype" w:cs="Arial"/>
          <w:b/>
          <w:sz w:val="28"/>
          <w:szCs w:val="28"/>
        </w:rPr>
        <w:t>Sobre los alcances del recurso de revisión.</w:t>
      </w:r>
      <w:r w:rsidRPr="009655C1">
        <w:rPr>
          <w:rFonts w:ascii="Palatino Linotype" w:hAnsi="Palatino Linotype" w:cs="Arial"/>
          <w:b/>
        </w:rPr>
        <w:t xml:space="preserve"> </w:t>
      </w: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r w:rsidRPr="009655C1">
        <w:rPr>
          <w:rFonts w:ascii="Palatino Linotype" w:hAnsi="Palatino Linotype" w:cs="Arial"/>
          <w:sz w:val="24"/>
          <w:szCs w:val="24"/>
        </w:rPr>
        <w:t xml:space="preserve">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w:t>
      </w:r>
      <w:r w:rsidRPr="009655C1">
        <w:rPr>
          <w:rFonts w:ascii="Palatino Linotype" w:hAnsi="Palatino Linotype" w:cs="Arial"/>
          <w:sz w:val="24"/>
          <w:szCs w:val="24"/>
        </w:rPr>
        <w:lastRenderedPageBreak/>
        <w:t>el expediente electrónico con la finalidad de reparar cualquier posible afectación al derecho de acceso a la información pública y garantizando el principio rector de máxima publicidad.</w:t>
      </w: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r w:rsidRPr="009655C1">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9655C1"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655C1">
        <w:rPr>
          <w:rFonts w:ascii="Palatino Linotype" w:eastAsia="Times New Roman" w:hAnsi="Palatino Linotype" w:cs="Arial"/>
          <w:i/>
          <w:lang w:val="es-ES" w:eastAsia="es-ES"/>
        </w:rPr>
        <w:t>“</w:t>
      </w:r>
      <w:r w:rsidRPr="009655C1">
        <w:rPr>
          <w:rFonts w:ascii="Palatino Linotype" w:eastAsia="Times New Roman" w:hAnsi="Palatino Linotype" w:cs="Arial"/>
          <w:b/>
          <w:i/>
          <w:lang w:val="es-ES" w:eastAsia="es-ES"/>
        </w:rPr>
        <w:t>Artículo 163.</w:t>
      </w:r>
      <w:r w:rsidRPr="009655C1">
        <w:rPr>
          <w:rFonts w:ascii="Palatino Linotype" w:eastAsia="Times New Roman" w:hAnsi="Palatino Linotype" w:cs="Arial"/>
          <w:i/>
          <w:lang w:val="es-ES" w:eastAsia="es-ES"/>
        </w:rPr>
        <w:t xml:space="preserve"> </w:t>
      </w:r>
      <w:r w:rsidRPr="009655C1">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rsidR="00B7691C" w:rsidRPr="009655C1"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655C1">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B7691C" w:rsidRPr="009655C1" w:rsidRDefault="00B7691C" w:rsidP="00B7691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9655C1">
        <w:rPr>
          <w:rFonts w:ascii="Palatino Linotype" w:eastAsia="Times New Roman" w:hAnsi="Palatino Linotype" w:cs="Arial"/>
          <w:lang w:val="es-ES" w:eastAsia="es-ES"/>
        </w:rPr>
        <w:t>(Énfasis añadido)</w:t>
      </w: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r w:rsidRPr="009655C1">
        <w:rPr>
          <w:rFonts w:ascii="Palatino Linotype" w:hAnsi="Palatino Linotype" w:cs="Arial"/>
          <w:sz w:val="24"/>
          <w:szCs w:val="24"/>
        </w:rPr>
        <w:t xml:space="preserve">De la interpretación al precepto legal inserto, se advierte que el plazo que les asiste a los </w:t>
      </w:r>
      <w:r w:rsidRPr="009655C1">
        <w:rPr>
          <w:rFonts w:ascii="Palatino Linotype" w:hAnsi="Palatino Linotype" w:cs="Arial"/>
          <w:b/>
          <w:sz w:val="24"/>
          <w:szCs w:val="24"/>
        </w:rPr>
        <w:t>sujetos</w:t>
      </w:r>
      <w:r w:rsidRPr="009655C1">
        <w:rPr>
          <w:rFonts w:ascii="Palatino Linotype" w:hAnsi="Palatino Linotype" w:cs="Arial"/>
          <w:sz w:val="24"/>
          <w:szCs w:val="24"/>
        </w:rPr>
        <w:t xml:space="preserve"> </w:t>
      </w:r>
      <w:r w:rsidRPr="009655C1">
        <w:rPr>
          <w:rFonts w:ascii="Palatino Linotype" w:hAnsi="Palatino Linotype" w:cs="Arial"/>
          <w:b/>
          <w:sz w:val="24"/>
          <w:szCs w:val="24"/>
        </w:rPr>
        <w:t>obligados</w:t>
      </w:r>
      <w:r w:rsidRPr="009655C1">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r w:rsidRPr="009655C1">
        <w:rPr>
          <w:rFonts w:ascii="Palatino Linotype" w:hAnsi="Palatino Linotype" w:cs="Arial"/>
          <w:sz w:val="24"/>
          <w:szCs w:val="24"/>
        </w:rPr>
        <w:lastRenderedPageBreak/>
        <w:t xml:space="preserve">Se constituye la figura jurídica de la </w:t>
      </w:r>
      <w:r w:rsidRPr="009655C1">
        <w:rPr>
          <w:rFonts w:ascii="Palatino Linotype" w:hAnsi="Palatino Linotype" w:cs="Arial"/>
          <w:b/>
          <w:i/>
          <w:sz w:val="24"/>
          <w:szCs w:val="24"/>
        </w:rPr>
        <w:t>NEGATIVA FICTA</w:t>
      </w:r>
      <w:r w:rsidRPr="009655C1">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rsidR="00B7691C" w:rsidRPr="009655C1" w:rsidRDefault="00B7691C" w:rsidP="00B7691C">
      <w:pPr>
        <w:spacing w:after="0" w:line="240" w:lineRule="auto"/>
        <w:rPr>
          <w:rFonts w:ascii="Palatino Linotype" w:hAnsi="Palatino Linotype"/>
        </w:rPr>
      </w:pPr>
    </w:p>
    <w:p w:rsidR="00B7691C" w:rsidRPr="009655C1"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655C1">
        <w:rPr>
          <w:rFonts w:ascii="Palatino Linotype" w:eastAsia="Times New Roman" w:hAnsi="Palatino Linotype" w:cs="Arial"/>
          <w:i/>
          <w:lang w:val="es-ES" w:eastAsia="es-ES"/>
        </w:rPr>
        <w:t>“</w:t>
      </w:r>
      <w:r w:rsidRPr="009655C1">
        <w:rPr>
          <w:rFonts w:ascii="Palatino Linotype" w:eastAsia="Times New Roman" w:hAnsi="Palatino Linotype" w:cs="Arial"/>
          <w:b/>
          <w:i/>
          <w:lang w:val="es-ES" w:eastAsia="es-ES"/>
        </w:rPr>
        <w:t>Artículo 178.</w:t>
      </w:r>
      <w:r w:rsidRPr="009655C1">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B7691C" w:rsidRPr="009655C1"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B7691C" w:rsidRPr="009655C1"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655C1">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9655C1">
        <w:rPr>
          <w:rFonts w:ascii="Palatino Linotype" w:eastAsia="Times New Roman" w:hAnsi="Palatino Linotype" w:cs="Arial"/>
          <w:i/>
          <w:lang w:val="es-ES" w:eastAsia="es-ES"/>
        </w:rPr>
        <w:t>, acompañado con el documento que pruebe la fecha en que presentó la solicitud.</w:t>
      </w:r>
    </w:p>
    <w:p w:rsidR="00B7691C" w:rsidRPr="009655C1"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B7691C" w:rsidRPr="009655C1"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655C1">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rsidR="00B7691C" w:rsidRPr="009655C1" w:rsidRDefault="00B7691C" w:rsidP="00B7691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B7691C" w:rsidRPr="009655C1" w:rsidRDefault="00B7691C" w:rsidP="00B7691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9655C1">
        <w:rPr>
          <w:rFonts w:ascii="Palatino Linotype" w:eastAsia="Times New Roman" w:hAnsi="Palatino Linotype" w:cs="Arial"/>
          <w:lang w:val="es-ES" w:eastAsia="es-ES"/>
        </w:rPr>
        <w:t>(Énfasis añadido)</w:t>
      </w: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r w:rsidRPr="009655C1">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9655C1">
        <w:rPr>
          <w:rFonts w:ascii="Palatino Linotype" w:hAnsi="Palatino Linotype" w:cs="Arial"/>
          <w:b/>
          <w:sz w:val="24"/>
          <w:szCs w:val="24"/>
        </w:rPr>
        <w:t>Sujeto Obligado</w:t>
      </w:r>
      <w:r w:rsidRPr="009655C1">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b/>
        </w:rPr>
      </w:pP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r w:rsidRPr="009655C1">
        <w:rPr>
          <w:rFonts w:ascii="Palatino Linotype" w:hAnsi="Palatino Linotype" w:cs="Arial"/>
          <w:b/>
          <w:sz w:val="28"/>
        </w:rPr>
        <w:lastRenderedPageBreak/>
        <w:t>TERCERO. De las causas de improcedencia.</w:t>
      </w: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rPr>
      </w:pPr>
      <w:r w:rsidRPr="009655C1">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rPr>
      </w:pP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rPr>
      </w:pPr>
      <w:r w:rsidRPr="009655C1">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655C1">
        <w:rPr>
          <w:rStyle w:val="Refdenotaalpie"/>
          <w:rFonts w:ascii="Palatino Linotype" w:hAnsi="Palatino Linotype" w:cs="Arial"/>
        </w:rPr>
        <w:footnoteReference w:id="1"/>
      </w:r>
      <w:r w:rsidRPr="009655C1">
        <w:rPr>
          <w:rFonts w:ascii="Palatino Linotype" w:hAnsi="Palatino Linotype" w:cs="Arial"/>
        </w:rPr>
        <w:t>.</w:t>
      </w: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rPr>
      </w:pP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r w:rsidRPr="009655C1">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rPr>
      </w:pP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r w:rsidRPr="009655C1">
        <w:rPr>
          <w:rFonts w:ascii="Palatino Linotype" w:hAnsi="Palatino Linotype" w:cs="Arial"/>
          <w:b/>
          <w:sz w:val="28"/>
        </w:rPr>
        <w:t>CUARTO. Estudio y resolución del asunto.</w:t>
      </w: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b/>
          <w:sz w:val="28"/>
        </w:rPr>
      </w:pP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rPr>
      </w:pPr>
      <w:r w:rsidRPr="009655C1">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B7691C" w:rsidRPr="009655C1" w:rsidRDefault="00B7691C" w:rsidP="00B7691C">
      <w:pPr>
        <w:pStyle w:val="Prrafodelista"/>
        <w:autoSpaceDE w:val="0"/>
        <w:autoSpaceDN w:val="0"/>
        <w:adjustRightInd w:val="0"/>
        <w:spacing w:line="360" w:lineRule="auto"/>
        <w:ind w:left="0"/>
        <w:jc w:val="both"/>
        <w:rPr>
          <w:rFonts w:ascii="Palatino Linotype" w:hAnsi="Palatino Linotype" w:cs="Arial"/>
        </w:rPr>
      </w:pPr>
    </w:p>
    <w:p w:rsidR="00B7691C" w:rsidRPr="009655C1" w:rsidRDefault="00B7691C" w:rsidP="00B7691C">
      <w:pPr>
        <w:tabs>
          <w:tab w:val="left" w:pos="709"/>
        </w:tabs>
        <w:spacing w:after="0" w:line="360" w:lineRule="auto"/>
        <w:jc w:val="both"/>
        <w:rPr>
          <w:rFonts w:ascii="Palatino Linotype" w:hAnsi="Palatino Linotype" w:cs="Arial"/>
          <w:sz w:val="24"/>
          <w:szCs w:val="24"/>
        </w:rPr>
      </w:pPr>
      <w:r w:rsidRPr="009655C1">
        <w:rPr>
          <w:rFonts w:ascii="Palatino Linotype" w:hAnsi="Palatino Linotype" w:cs="Arial"/>
          <w:sz w:val="24"/>
          <w:szCs w:val="24"/>
        </w:rPr>
        <w:t>El estudio del presente recurso de revisión tiene como antecedentes, que el hoy Recurrente</w:t>
      </w:r>
      <w:r w:rsidRPr="009655C1">
        <w:rPr>
          <w:rFonts w:ascii="Palatino Linotype" w:hAnsi="Palatino Linotype" w:cs="Arial"/>
          <w:b/>
          <w:sz w:val="24"/>
          <w:szCs w:val="24"/>
        </w:rPr>
        <w:t xml:space="preserve"> </w:t>
      </w:r>
      <w:r w:rsidRPr="009655C1">
        <w:rPr>
          <w:rFonts w:ascii="Palatino Linotype" w:hAnsi="Palatino Linotype" w:cs="Arial"/>
          <w:sz w:val="24"/>
          <w:szCs w:val="24"/>
        </w:rPr>
        <w:t>solicitó</w:t>
      </w:r>
      <w:r w:rsidRPr="009655C1">
        <w:rPr>
          <w:rFonts w:ascii="Palatino Linotype" w:hAnsi="Palatino Linotype" w:cs="Arial"/>
          <w:b/>
          <w:sz w:val="24"/>
          <w:szCs w:val="24"/>
        </w:rPr>
        <w:t xml:space="preserve"> </w:t>
      </w:r>
      <w:r w:rsidRPr="009655C1">
        <w:rPr>
          <w:rFonts w:ascii="Palatino Linotype" w:hAnsi="Palatino Linotype" w:cs="Arial"/>
          <w:sz w:val="24"/>
          <w:szCs w:val="24"/>
        </w:rPr>
        <w:t>la siguiente</w:t>
      </w:r>
      <w:r w:rsidRPr="009655C1">
        <w:rPr>
          <w:rFonts w:ascii="Palatino Linotype" w:hAnsi="Palatino Linotype" w:cs="Arial"/>
          <w:b/>
          <w:sz w:val="24"/>
          <w:szCs w:val="24"/>
        </w:rPr>
        <w:t xml:space="preserve"> </w:t>
      </w:r>
      <w:r w:rsidRPr="009655C1">
        <w:rPr>
          <w:rFonts w:ascii="Palatino Linotype" w:hAnsi="Palatino Linotype" w:cs="Arial"/>
          <w:sz w:val="24"/>
          <w:szCs w:val="24"/>
        </w:rPr>
        <w:t>información:</w:t>
      </w:r>
    </w:p>
    <w:p w:rsidR="00B7691C" w:rsidRPr="009655C1" w:rsidRDefault="00C37F12" w:rsidP="00C37F12">
      <w:pPr>
        <w:pStyle w:val="Prrafodelista"/>
        <w:numPr>
          <w:ilvl w:val="0"/>
          <w:numId w:val="3"/>
        </w:numPr>
        <w:autoSpaceDE w:val="0"/>
        <w:autoSpaceDN w:val="0"/>
        <w:adjustRightInd w:val="0"/>
        <w:spacing w:line="360" w:lineRule="auto"/>
        <w:jc w:val="both"/>
        <w:rPr>
          <w:rFonts w:ascii="Palatino Linotype" w:hAnsi="Palatino Linotype" w:cs="Arial"/>
        </w:rPr>
      </w:pPr>
      <w:r w:rsidRPr="009655C1">
        <w:rPr>
          <w:rFonts w:ascii="Palatino Linotype" w:hAnsi="Palatino Linotype"/>
        </w:rPr>
        <w:lastRenderedPageBreak/>
        <w:t>Presupuesto total y el PBRM general del municipio, sueldos del Presidente, Sindica, regidoras, regidores, secretarios, directores, subdirectores, coordinadores, jefe de departamento y tabulador salarial del año 2023. Presupuesto aprobado en el anteproyecto para 2024</w:t>
      </w:r>
    </w:p>
    <w:p w:rsidR="00B7691C" w:rsidRPr="009655C1" w:rsidRDefault="00B7691C" w:rsidP="00B7691C">
      <w:pPr>
        <w:autoSpaceDE w:val="0"/>
        <w:autoSpaceDN w:val="0"/>
        <w:adjustRightInd w:val="0"/>
        <w:spacing w:line="360" w:lineRule="auto"/>
        <w:jc w:val="both"/>
        <w:rPr>
          <w:rFonts w:ascii="Palatino Linotype" w:hAnsi="Palatino Linotype" w:cs="Arial"/>
          <w:sz w:val="24"/>
          <w:szCs w:val="24"/>
        </w:rPr>
      </w:pPr>
    </w:p>
    <w:p w:rsidR="00B7691C" w:rsidRPr="009655C1" w:rsidRDefault="00B7691C" w:rsidP="00B7691C">
      <w:pPr>
        <w:autoSpaceDE w:val="0"/>
        <w:autoSpaceDN w:val="0"/>
        <w:adjustRightInd w:val="0"/>
        <w:spacing w:line="360" w:lineRule="auto"/>
        <w:jc w:val="both"/>
        <w:rPr>
          <w:rFonts w:ascii="Palatino Linotype" w:hAnsi="Palatino Linotype" w:cs="Arial"/>
          <w:sz w:val="24"/>
          <w:szCs w:val="24"/>
        </w:rPr>
      </w:pPr>
      <w:r w:rsidRPr="009655C1">
        <w:rPr>
          <w:rFonts w:ascii="Palatino Linotype" w:hAnsi="Palatino Linotype" w:cs="Arial"/>
          <w:sz w:val="24"/>
          <w:szCs w:val="24"/>
        </w:rPr>
        <w:t xml:space="preserve">De conformidad con las constancias que obran en el expediente electrónico, se observa que el </w:t>
      </w:r>
      <w:r w:rsidRPr="009655C1">
        <w:rPr>
          <w:rFonts w:ascii="Palatino Linotype" w:hAnsi="Palatino Linotype" w:cs="Arial"/>
          <w:b/>
          <w:sz w:val="24"/>
          <w:szCs w:val="24"/>
        </w:rPr>
        <w:t>Sujeto Obligado</w:t>
      </w:r>
      <w:r w:rsidRPr="009655C1">
        <w:rPr>
          <w:rFonts w:ascii="Palatino Linotype" w:hAnsi="Palatino Linotype" w:cs="Arial"/>
          <w:sz w:val="24"/>
          <w:szCs w:val="24"/>
        </w:rPr>
        <w:t xml:space="preserve"> fue omiso en dar respuesta a la solicitud de información por lo que se constituye la figura jurídica de la </w:t>
      </w:r>
      <w:r w:rsidRPr="009655C1">
        <w:rPr>
          <w:rFonts w:ascii="Palatino Linotype" w:hAnsi="Palatino Linotype" w:cs="Arial"/>
          <w:b/>
          <w:i/>
          <w:sz w:val="24"/>
          <w:szCs w:val="24"/>
        </w:rPr>
        <w:t>NEGATIVA FICTA</w:t>
      </w:r>
      <w:r w:rsidRPr="009655C1">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rsidR="00B7691C" w:rsidRPr="009655C1" w:rsidRDefault="00B7691C" w:rsidP="00B7691C">
      <w:pPr>
        <w:pStyle w:val="Prrafodelista"/>
        <w:ind w:left="1440"/>
        <w:rPr>
          <w:rFonts w:ascii="Palatino Linotype" w:hAnsi="Palatino Linotype"/>
        </w:rPr>
      </w:pPr>
    </w:p>
    <w:p w:rsidR="00B7691C" w:rsidRPr="009655C1" w:rsidRDefault="00B7691C" w:rsidP="00B7691C">
      <w:pPr>
        <w:autoSpaceDE w:val="0"/>
        <w:autoSpaceDN w:val="0"/>
        <w:adjustRightInd w:val="0"/>
        <w:ind w:left="567" w:right="567"/>
        <w:jc w:val="both"/>
        <w:rPr>
          <w:rFonts w:ascii="Palatino Linotype" w:hAnsi="Palatino Linotype" w:cs="Arial"/>
          <w:i/>
        </w:rPr>
      </w:pPr>
      <w:r w:rsidRPr="009655C1">
        <w:rPr>
          <w:rFonts w:ascii="Palatino Linotype" w:hAnsi="Palatino Linotype" w:cs="Arial"/>
          <w:i/>
        </w:rPr>
        <w:t>“</w:t>
      </w:r>
      <w:r w:rsidRPr="009655C1">
        <w:rPr>
          <w:rFonts w:ascii="Palatino Linotype" w:hAnsi="Palatino Linotype" w:cs="Arial"/>
          <w:b/>
          <w:i/>
        </w:rPr>
        <w:t>Artículo 178.</w:t>
      </w:r>
      <w:r w:rsidRPr="009655C1">
        <w:rPr>
          <w:rFonts w:ascii="Palatino Linotype" w:hAnsi="Palatino Linotype" w:cs="Arial"/>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B7691C" w:rsidRPr="009655C1" w:rsidRDefault="00B7691C" w:rsidP="00B7691C">
      <w:pPr>
        <w:pStyle w:val="Prrafodelista"/>
        <w:autoSpaceDE w:val="0"/>
        <w:autoSpaceDN w:val="0"/>
        <w:adjustRightInd w:val="0"/>
        <w:ind w:left="567" w:right="567"/>
        <w:jc w:val="both"/>
        <w:rPr>
          <w:rFonts w:ascii="Palatino Linotype" w:hAnsi="Palatino Linotype" w:cs="Arial"/>
          <w:i/>
        </w:rPr>
      </w:pPr>
    </w:p>
    <w:p w:rsidR="00B7691C" w:rsidRPr="009655C1" w:rsidRDefault="00B7691C" w:rsidP="00B7691C">
      <w:pPr>
        <w:autoSpaceDE w:val="0"/>
        <w:autoSpaceDN w:val="0"/>
        <w:adjustRightInd w:val="0"/>
        <w:ind w:left="567" w:right="567"/>
        <w:jc w:val="both"/>
        <w:rPr>
          <w:rFonts w:ascii="Palatino Linotype" w:hAnsi="Palatino Linotype" w:cs="Arial"/>
          <w:i/>
        </w:rPr>
      </w:pPr>
      <w:r w:rsidRPr="009655C1">
        <w:rPr>
          <w:rFonts w:ascii="Palatino Linotype" w:hAnsi="Palatino Linotype" w:cs="Arial"/>
          <w:b/>
          <w:i/>
        </w:rPr>
        <w:t>A falta de respuesta del Sujeto Obligado, dentro de los plazos establecidos en esta Ley, a una solicitud de acceso a la información pública, el recurso podrá ser interpuesto en cualquier momento</w:t>
      </w:r>
      <w:r w:rsidRPr="009655C1">
        <w:rPr>
          <w:rFonts w:ascii="Palatino Linotype" w:hAnsi="Palatino Linotype" w:cs="Arial"/>
          <w:i/>
        </w:rPr>
        <w:t>, acompañado con el documento que pruebe la fecha en que presentó la solicitud.</w:t>
      </w:r>
    </w:p>
    <w:p w:rsidR="00B7691C" w:rsidRPr="009655C1" w:rsidRDefault="00B7691C" w:rsidP="00B7691C">
      <w:pPr>
        <w:autoSpaceDE w:val="0"/>
        <w:autoSpaceDN w:val="0"/>
        <w:adjustRightInd w:val="0"/>
        <w:ind w:left="567" w:right="567"/>
        <w:jc w:val="both"/>
        <w:rPr>
          <w:rFonts w:ascii="Palatino Linotype" w:hAnsi="Palatino Linotype" w:cs="Arial"/>
          <w:i/>
        </w:rPr>
      </w:pPr>
    </w:p>
    <w:p w:rsidR="00B7691C" w:rsidRPr="009655C1" w:rsidRDefault="00B7691C" w:rsidP="00B7691C">
      <w:pPr>
        <w:autoSpaceDE w:val="0"/>
        <w:autoSpaceDN w:val="0"/>
        <w:adjustRightInd w:val="0"/>
        <w:ind w:left="567" w:right="567"/>
        <w:jc w:val="both"/>
        <w:rPr>
          <w:rFonts w:ascii="Palatino Linotype" w:hAnsi="Palatino Linotype" w:cs="Arial"/>
          <w:i/>
        </w:rPr>
      </w:pPr>
      <w:r w:rsidRPr="009655C1">
        <w:rPr>
          <w:rFonts w:ascii="Palatino Linotype" w:hAnsi="Palatino Linotype" w:cs="Arial"/>
          <w:i/>
        </w:rPr>
        <w:t>En el caso de que se interponga ante la Unidad de Transparencia, ésta deberá remitir el recurso de revisión al Instituto a más tardar al día siguiente de haberlo recibido.”</w:t>
      </w:r>
    </w:p>
    <w:p w:rsidR="00B7691C" w:rsidRPr="009655C1" w:rsidRDefault="00B7691C" w:rsidP="00B7691C">
      <w:pPr>
        <w:autoSpaceDE w:val="0"/>
        <w:autoSpaceDN w:val="0"/>
        <w:adjustRightInd w:val="0"/>
        <w:ind w:left="360" w:right="567"/>
        <w:jc w:val="both"/>
        <w:rPr>
          <w:rFonts w:ascii="Palatino Linotype" w:hAnsi="Palatino Linotype" w:cs="Arial"/>
          <w:i/>
        </w:rPr>
      </w:pPr>
    </w:p>
    <w:p w:rsidR="00B7691C" w:rsidRPr="009655C1" w:rsidRDefault="00B7691C" w:rsidP="00B7691C">
      <w:pPr>
        <w:autoSpaceDE w:val="0"/>
        <w:autoSpaceDN w:val="0"/>
        <w:adjustRightInd w:val="0"/>
        <w:ind w:left="360" w:right="567"/>
        <w:jc w:val="right"/>
        <w:rPr>
          <w:rFonts w:ascii="Palatino Linotype" w:hAnsi="Palatino Linotype" w:cs="Arial"/>
        </w:rPr>
      </w:pPr>
      <w:r w:rsidRPr="009655C1">
        <w:rPr>
          <w:rFonts w:ascii="Palatino Linotype" w:hAnsi="Palatino Linotype" w:cs="Arial"/>
        </w:rPr>
        <w:t>(Énfasis añadido)</w:t>
      </w:r>
    </w:p>
    <w:p w:rsidR="00B7691C" w:rsidRPr="009655C1" w:rsidRDefault="00B7691C" w:rsidP="00B7691C">
      <w:pPr>
        <w:pStyle w:val="INFOEM"/>
        <w:ind w:left="0" w:right="0"/>
        <w:rPr>
          <w:rFonts w:eastAsia="Palatino Linotype" w:cs="Palatino Linotype"/>
          <w:i w:val="0"/>
          <w:color w:val="000000"/>
          <w:sz w:val="24"/>
          <w:szCs w:val="24"/>
        </w:rPr>
      </w:pPr>
    </w:p>
    <w:p w:rsidR="00B7691C" w:rsidRPr="009655C1" w:rsidRDefault="00B7691C" w:rsidP="00B7691C">
      <w:pPr>
        <w:pStyle w:val="INFOEM"/>
        <w:ind w:left="0" w:right="0"/>
        <w:rPr>
          <w:b/>
          <w:i w:val="0"/>
          <w:sz w:val="24"/>
        </w:rPr>
      </w:pPr>
      <w:r w:rsidRPr="009655C1">
        <w:rPr>
          <w:rFonts w:eastAsia="Palatino Linotype" w:cs="Palatino Linotype"/>
          <w:i w:val="0"/>
          <w:color w:val="000000"/>
          <w:sz w:val="24"/>
          <w:szCs w:val="24"/>
        </w:rPr>
        <w:t xml:space="preserve">Ante la falta de respuesta por parte del </w:t>
      </w:r>
      <w:r w:rsidRPr="009655C1">
        <w:rPr>
          <w:rFonts w:eastAsia="Palatino Linotype" w:cs="Palatino Linotype"/>
          <w:b/>
          <w:i w:val="0"/>
          <w:color w:val="000000"/>
          <w:sz w:val="24"/>
          <w:szCs w:val="24"/>
        </w:rPr>
        <w:t>Sujeto Obligado</w:t>
      </w:r>
      <w:r w:rsidRPr="009655C1">
        <w:rPr>
          <w:rFonts w:eastAsia="Palatino Linotype" w:cs="Palatino Linotype"/>
          <w:i w:val="0"/>
          <w:color w:val="000000"/>
          <w:sz w:val="24"/>
          <w:szCs w:val="24"/>
        </w:rPr>
        <w:t xml:space="preserve">, el </w:t>
      </w:r>
      <w:r w:rsidRPr="009655C1">
        <w:rPr>
          <w:rFonts w:eastAsia="Palatino Linotype" w:cs="Palatino Linotype"/>
          <w:b/>
          <w:i w:val="0"/>
          <w:color w:val="000000"/>
          <w:sz w:val="24"/>
          <w:szCs w:val="24"/>
        </w:rPr>
        <w:t>Recurrente</w:t>
      </w:r>
      <w:r w:rsidRPr="009655C1">
        <w:rPr>
          <w:rFonts w:eastAsia="Palatino Linotype" w:cs="Palatino Linotype"/>
          <w:i w:val="0"/>
          <w:color w:val="000000"/>
          <w:sz w:val="24"/>
          <w:szCs w:val="24"/>
        </w:rPr>
        <w:t xml:space="preserve"> consideró que su derecho a la información pública había sido conculcado, por lo que interpuso el recurso de revisión al rubro citado</w:t>
      </w:r>
      <w:r w:rsidRPr="009655C1">
        <w:rPr>
          <w:rFonts w:cs="Arial"/>
          <w:bCs/>
          <w:i w:val="0"/>
          <w:sz w:val="24"/>
        </w:rPr>
        <w:t>, señalando sustancialmente como sus razones o motivos de inconformidad, lo siguiente:</w:t>
      </w:r>
      <w:r w:rsidRPr="009655C1" w:rsidDel="00107C3B">
        <w:rPr>
          <w:b/>
          <w:i w:val="0"/>
          <w:sz w:val="24"/>
        </w:rPr>
        <w:t xml:space="preserve"> </w:t>
      </w:r>
    </w:p>
    <w:p w:rsidR="00C37F12" w:rsidRPr="009655C1" w:rsidRDefault="00C37F12" w:rsidP="00C37F12">
      <w:pPr>
        <w:pStyle w:val="INFOEM"/>
        <w:ind w:left="0"/>
        <w:rPr>
          <w:b/>
          <w:i w:val="0"/>
          <w:sz w:val="24"/>
        </w:rPr>
      </w:pPr>
      <w:r w:rsidRPr="009655C1">
        <w:rPr>
          <w:b/>
          <w:i w:val="0"/>
          <w:sz w:val="24"/>
        </w:rPr>
        <w:t>Acto Impugnado:</w:t>
      </w:r>
    </w:p>
    <w:p w:rsidR="00C37F12" w:rsidRPr="009655C1" w:rsidRDefault="00C37F12" w:rsidP="00C37F12">
      <w:pPr>
        <w:pStyle w:val="INFOEM"/>
      </w:pPr>
      <w:r w:rsidRPr="009655C1">
        <w:t>“La falta de respuesta.” (Sic)</w:t>
      </w:r>
    </w:p>
    <w:p w:rsidR="00C37F12" w:rsidRPr="009655C1" w:rsidRDefault="00C37F12" w:rsidP="00C37F12">
      <w:pPr>
        <w:pStyle w:val="INFOEM"/>
        <w:ind w:left="0"/>
        <w:rPr>
          <w:b/>
          <w:i w:val="0"/>
          <w:sz w:val="24"/>
        </w:rPr>
      </w:pPr>
      <w:r w:rsidRPr="009655C1">
        <w:rPr>
          <w:b/>
          <w:i w:val="0"/>
          <w:sz w:val="24"/>
        </w:rPr>
        <w:t>Razones o motivos de inconformidad:</w:t>
      </w:r>
    </w:p>
    <w:p w:rsidR="00C37F12" w:rsidRPr="009655C1" w:rsidRDefault="00C37F12" w:rsidP="00C37F12">
      <w:pPr>
        <w:pStyle w:val="INFOEM"/>
        <w:rPr>
          <w:sz w:val="24"/>
        </w:rPr>
      </w:pPr>
      <w:r w:rsidRPr="009655C1">
        <w:t>“Ha transcurrido el tiempo previsto en la ley para que el Sujeto Obligado emita una respuesta a mi solicitud de información, no obstante, no he recibido respuesta alguna respecto de mo solicitud” (Sic)</w:t>
      </w:r>
    </w:p>
    <w:p w:rsidR="00C37F12" w:rsidRPr="009655C1" w:rsidRDefault="00C37F12"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rsidR="00B7691C" w:rsidRPr="009655C1" w:rsidRDefault="00B7691C"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sidRPr="009655C1">
        <w:rPr>
          <w:rFonts w:ascii="Palatino Linotype" w:eastAsia="Calibri" w:hAnsi="Palatino Linotype" w:cs="Calibri"/>
          <w:sz w:val="24"/>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96101D" w:rsidRPr="009655C1" w:rsidRDefault="0096101D"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rsidR="00B7691C" w:rsidRPr="009655C1" w:rsidRDefault="00B7691C"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sidRPr="009655C1">
        <w:rPr>
          <w:rFonts w:ascii="Palatino Linotype" w:eastAsia="Calibri" w:hAnsi="Palatino Linotype" w:cs="Calibri"/>
          <w:sz w:val="24"/>
          <w:lang w:val="es-ES_tradnl" w:eastAsia="es-MX"/>
        </w:rPr>
        <w:lastRenderedPageBreak/>
        <w:t xml:space="preserve">Ahora bien, para delimitar esferas competenciales es necesario traer a colación </w:t>
      </w:r>
      <w:r w:rsidR="0046306D" w:rsidRPr="009655C1">
        <w:rPr>
          <w:rFonts w:ascii="Palatino Linotype" w:eastAsia="Calibri" w:hAnsi="Palatino Linotype" w:cs="Calibri"/>
          <w:sz w:val="24"/>
          <w:lang w:val="es-ES_tradnl" w:eastAsia="es-MX"/>
        </w:rPr>
        <w:t>el organigrama del Sujeto Obligado, tal como se ilustra</w:t>
      </w:r>
      <w:r w:rsidRPr="009655C1">
        <w:rPr>
          <w:rFonts w:ascii="Palatino Linotype" w:eastAsia="Calibri" w:hAnsi="Palatino Linotype" w:cs="Calibri"/>
          <w:sz w:val="24"/>
          <w:lang w:val="es-ES_tradnl" w:eastAsia="es-MX"/>
        </w:rPr>
        <w:t>:</w:t>
      </w:r>
    </w:p>
    <w:p w:rsidR="0046306D" w:rsidRPr="009655C1" w:rsidRDefault="0046306D"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rsidR="00B7691C" w:rsidRPr="009655C1" w:rsidRDefault="0046306D" w:rsidP="0046306D">
      <w:pPr>
        <w:pBdr>
          <w:top w:val="nil"/>
          <w:left w:val="nil"/>
          <w:bottom w:val="nil"/>
          <w:right w:val="nil"/>
          <w:between w:val="nil"/>
        </w:pBdr>
        <w:spacing w:after="0" w:line="360" w:lineRule="auto"/>
        <w:contextualSpacing/>
        <w:jc w:val="center"/>
        <w:rPr>
          <w:rFonts w:ascii="Palatino Linotype" w:eastAsia="Calibri" w:hAnsi="Palatino Linotype" w:cs="Calibri"/>
          <w:sz w:val="24"/>
          <w:lang w:val="es-ES_tradnl" w:eastAsia="es-MX"/>
        </w:rPr>
      </w:pPr>
      <w:r w:rsidRPr="009655C1">
        <w:rPr>
          <w:rFonts w:ascii="Palatino Linotype" w:eastAsia="Calibri" w:hAnsi="Palatino Linotype" w:cs="Calibri"/>
          <w:noProof/>
          <w:sz w:val="24"/>
          <w:lang w:eastAsia="es-MX"/>
        </w:rPr>
        <mc:AlternateContent>
          <mc:Choice Requires="wps">
            <w:drawing>
              <wp:anchor distT="0" distB="0" distL="114300" distR="114300" simplePos="0" relativeHeight="251659264" behindDoc="0" locked="0" layoutInCell="1" allowOverlap="1">
                <wp:simplePos x="0" y="0"/>
                <wp:positionH relativeFrom="column">
                  <wp:posOffset>824865</wp:posOffset>
                </wp:positionH>
                <wp:positionV relativeFrom="paragraph">
                  <wp:posOffset>1538605</wp:posOffset>
                </wp:positionV>
                <wp:extent cx="752475" cy="1000125"/>
                <wp:effectExtent l="19050" t="19050" r="28575" b="28575"/>
                <wp:wrapNone/>
                <wp:docPr id="2" name="Rectángulo 2"/>
                <wp:cNvGraphicFramePr/>
                <a:graphic xmlns:a="http://schemas.openxmlformats.org/drawingml/2006/main">
                  <a:graphicData uri="http://schemas.microsoft.com/office/word/2010/wordprocessingShape">
                    <wps:wsp>
                      <wps:cNvSpPr/>
                      <wps:spPr>
                        <a:xfrm>
                          <a:off x="0" y="0"/>
                          <a:ext cx="752475" cy="10001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76467684" id="Rectángulo 2" o:spid="_x0000_s1026" style="position:absolute;margin-left:64.95pt;margin-top:121.15pt;width:59.2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" filled="f" strokecolor="red" strokeweight="2.25pt"/>
            </w:pict>
          </mc:Fallback>
        </mc:AlternateContent>
      </w:r>
      <w:r w:rsidRPr="009655C1">
        <w:rPr>
          <w:rFonts w:ascii="Palatino Linotype" w:eastAsia="Calibri" w:hAnsi="Palatino Linotype" w:cs="Calibri"/>
          <w:noProof/>
          <w:sz w:val="24"/>
          <w:lang w:eastAsia="es-MX"/>
        </w:rPr>
        <w:drawing>
          <wp:inline distT="0" distB="0" distL="0" distR="0">
            <wp:extent cx="4162425" cy="4853151"/>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C0743A.tmp"/>
                    <pic:cNvPicPr/>
                  </pic:nvPicPr>
                  <pic:blipFill>
                    <a:blip r:embed="rId7">
                      <a:extLst>
                        <a:ext uri="{28A0092B-C50C-407E-A947-70E740481C1C}">
                          <a14:useLocalDpi xmlns:a14="http://schemas.microsoft.com/office/drawing/2010/main" val="0"/>
                        </a:ext>
                      </a:extLst>
                    </a:blip>
                    <a:stretch>
                      <a:fillRect/>
                    </a:stretch>
                  </pic:blipFill>
                  <pic:spPr>
                    <a:xfrm>
                      <a:off x="0" y="0"/>
                      <a:ext cx="4166410" cy="4857797"/>
                    </a:xfrm>
                    <a:prstGeom prst="rect">
                      <a:avLst/>
                    </a:prstGeom>
                  </pic:spPr>
                </pic:pic>
              </a:graphicData>
            </a:graphic>
          </wp:inline>
        </w:drawing>
      </w:r>
    </w:p>
    <w:p w:rsidR="00B7691C" w:rsidRPr="009655C1" w:rsidRDefault="00B7691C" w:rsidP="00B7691C">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rsidR="00B7691C" w:rsidRPr="009655C1" w:rsidRDefault="00B7691C" w:rsidP="00B7691C">
      <w:pPr>
        <w:pStyle w:val="Sinespaciado"/>
        <w:spacing w:line="360" w:lineRule="auto"/>
        <w:jc w:val="both"/>
        <w:rPr>
          <w:rFonts w:ascii="Palatino Linotype" w:hAnsi="Palatino Linotype" w:cs="Arial"/>
        </w:rPr>
      </w:pPr>
    </w:p>
    <w:p w:rsidR="00B7691C" w:rsidRPr="009655C1" w:rsidRDefault="00B7691C" w:rsidP="00B7691C">
      <w:pPr>
        <w:pStyle w:val="Sinespaciado"/>
        <w:spacing w:line="360" w:lineRule="auto"/>
        <w:jc w:val="both"/>
        <w:rPr>
          <w:rFonts w:ascii="Palatino Linotype" w:hAnsi="Palatino Linotype"/>
          <w:bCs/>
        </w:rPr>
      </w:pPr>
      <w:r w:rsidRPr="009655C1">
        <w:rPr>
          <w:rFonts w:ascii="Palatino Linotype" w:hAnsi="Palatino Linotype" w:cs="Arial"/>
        </w:rPr>
        <w:t xml:space="preserve">De lo expuesto con anterioridad, se desprende que </w:t>
      </w:r>
      <w:r w:rsidRPr="009655C1">
        <w:rPr>
          <w:rFonts w:ascii="Palatino Linotype" w:hAnsi="Palatino Linotype" w:cs="Arial"/>
          <w:b/>
        </w:rPr>
        <w:t xml:space="preserve">El Sujeto Obligado </w:t>
      </w:r>
      <w:r w:rsidRPr="009655C1">
        <w:rPr>
          <w:rFonts w:ascii="Palatino Linotype" w:hAnsi="Palatino Linotype" w:cs="Arial"/>
        </w:rPr>
        <w:t xml:space="preserve">se auxilia de diversas Direcciones y Áreas Administrativas para cumplir con sus fines y objetivos, resultando de nuestro más amplio interés la </w:t>
      </w:r>
      <w:r w:rsidR="0046306D" w:rsidRPr="009655C1">
        <w:rPr>
          <w:rFonts w:ascii="Palatino Linotype" w:hAnsi="Palatino Linotype" w:cs="Arial"/>
        </w:rPr>
        <w:t>Tesorería Municipal.</w:t>
      </w:r>
    </w:p>
    <w:p w:rsidR="00B7691C" w:rsidRPr="009655C1" w:rsidRDefault="00B7691C" w:rsidP="00B7691C">
      <w:pPr>
        <w:spacing w:after="0" w:line="360" w:lineRule="auto"/>
        <w:ind w:right="214"/>
        <w:jc w:val="both"/>
        <w:rPr>
          <w:rFonts w:ascii="Palatino Linotype" w:hAnsi="Palatino Linotype" w:cs="Arial"/>
          <w:sz w:val="24"/>
          <w:szCs w:val="24"/>
        </w:rPr>
      </w:pPr>
    </w:p>
    <w:p w:rsidR="00B7691C" w:rsidRPr="009655C1" w:rsidRDefault="00B7691C" w:rsidP="00B7691C">
      <w:pPr>
        <w:spacing w:after="0" w:line="360" w:lineRule="auto"/>
        <w:ind w:right="214"/>
        <w:jc w:val="both"/>
        <w:rPr>
          <w:rFonts w:ascii="Palatino Linotype" w:hAnsi="Palatino Linotype" w:cs="Arial"/>
          <w:sz w:val="24"/>
          <w:szCs w:val="24"/>
        </w:rPr>
      </w:pPr>
      <w:r w:rsidRPr="009655C1">
        <w:rPr>
          <w:rFonts w:ascii="Palatino Linotype" w:hAnsi="Palatino Linotype" w:cs="Arial"/>
          <w:sz w:val="24"/>
          <w:szCs w:val="24"/>
        </w:rPr>
        <w:t xml:space="preserve">En ese orden de ideas, el Bando Municipal </w:t>
      </w:r>
      <w:r w:rsidR="0046306D" w:rsidRPr="009655C1">
        <w:rPr>
          <w:rFonts w:ascii="Palatino Linotype" w:hAnsi="Palatino Linotype" w:cs="Arial"/>
          <w:sz w:val="24"/>
          <w:szCs w:val="24"/>
        </w:rPr>
        <w:t>de Apaxco</w:t>
      </w:r>
      <w:r w:rsidRPr="009655C1">
        <w:rPr>
          <w:rFonts w:ascii="Palatino Linotype" w:hAnsi="Palatino Linotype" w:cs="Arial"/>
          <w:sz w:val="24"/>
          <w:szCs w:val="24"/>
        </w:rPr>
        <w:t xml:space="preserve">, establece las atribuciones de </w:t>
      </w:r>
      <w:r w:rsidR="0046306D" w:rsidRPr="009655C1">
        <w:rPr>
          <w:rFonts w:ascii="Palatino Linotype" w:hAnsi="Palatino Linotype" w:cs="Arial"/>
          <w:sz w:val="24"/>
          <w:szCs w:val="24"/>
        </w:rPr>
        <w:t>la Tesorería Municipal</w:t>
      </w:r>
      <w:r w:rsidRPr="009655C1">
        <w:rPr>
          <w:rFonts w:ascii="Palatino Linotype" w:hAnsi="Palatino Linotype" w:cs="Arial"/>
          <w:sz w:val="24"/>
          <w:szCs w:val="24"/>
        </w:rPr>
        <w:t>, porciones normativas que disponen a la literalidad lo siguiente:</w:t>
      </w:r>
    </w:p>
    <w:p w:rsidR="00B7691C" w:rsidRPr="009655C1" w:rsidRDefault="00B7691C" w:rsidP="00B7691C">
      <w:pPr>
        <w:pStyle w:val="Prrafodelista"/>
        <w:spacing w:line="360" w:lineRule="auto"/>
        <w:ind w:left="720" w:right="567"/>
        <w:jc w:val="both"/>
        <w:rPr>
          <w:rFonts w:ascii="Palatino Linotype" w:hAnsi="Palatino Linotype"/>
          <w:i/>
          <w:sz w:val="22"/>
        </w:rPr>
      </w:pPr>
    </w:p>
    <w:p w:rsidR="00B7691C" w:rsidRPr="009655C1" w:rsidRDefault="00B7691C" w:rsidP="00B7691C">
      <w:pPr>
        <w:spacing w:after="0" w:line="360" w:lineRule="auto"/>
        <w:contextualSpacing/>
        <w:jc w:val="both"/>
        <w:rPr>
          <w:rFonts w:ascii="Palatino Linotype" w:eastAsia="Palatino Linotype" w:hAnsi="Palatino Linotype" w:cs="Palatino Linotype"/>
          <w:sz w:val="24"/>
          <w:szCs w:val="24"/>
        </w:rPr>
      </w:pPr>
    </w:p>
    <w:p w:rsidR="0046306D" w:rsidRPr="009655C1" w:rsidRDefault="00F40980" w:rsidP="0046306D">
      <w:pPr>
        <w:pStyle w:val="INFOEM"/>
        <w:spacing w:line="276" w:lineRule="auto"/>
      </w:pPr>
      <w:r w:rsidRPr="009655C1">
        <w:t>Artículo 63</w:t>
      </w:r>
      <w:r w:rsidR="0046306D" w:rsidRPr="009655C1">
        <w:t>. La Administración Pública Municipal centralizada se integra con las dependencias</w:t>
      </w:r>
    </w:p>
    <w:p w:rsidR="00B7691C" w:rsidRPr="009655C1" w:rsidRDefault="0046306D" w:rsidP="0046306D">
      <w:pPr>
        <w:pStyle w:val="INFOEM"/>
        <w:spacing w:line="276" w:lineRule="auto"/>
      </w:pPr>
      <w:r w:rsidRPr="009655C1">
        <w:t>siguientes:</w:t>
      </w:r>
    </w:p>
    <w:p w:rsidR="0046306D" w:rsidRPr="009655C1" w:rsidRDefault="0046306D" w:rsidP="0046306D">
      <w:pPr>
        <w:pStyle w:val="INFOEM"/>
        <w:spacing w:line="276" w:lineRule="auto"/>
      </w:pPr>
      <w:r w:rsidRPr="009655C1">
        <w:t>(…)</w:t>
      </w:r>
    </w:p>
    <w:p w:rsidR="0046306D" w:rsidRPr="009655C1" w:rsidRDefault="0046306D" w:rsidP="0046306D">
      <w:pPr>
        <w:pStyle w:val="INFOEM"/>
        <w:spacing w:line="276" w:lineRule="auto"/>
      </w:pPr>
      <w:r w:rsidRPr="009655C1">
        <w:t>III. Tesorería Municipal.</w:t>
      </w:r>
    </w:p>
    <w:p w:rsidR="0046306D" w:rsidRPr="009655C1" w:rsidRDefault="0046306D" w:rsidP="0046306D">
      <w:pPr>
        <w:pStyle w:val="INFOEM"/>
        <w:spacing w:line="276" w:lineRule="auto"/>
      </w:pPr>
      <w:r w:rsidRPr="009655C1">
        <w:t>A. Contaduría General;</w:t>
      </w:r>
    </w:p>
    <w:p w:rsidR="0046306D" w:rsidRPr="009655C1" w:rsidRDefault="0046306D" w:rsidP="0046306D">
      <w:pPr>
        <w:pStyle w:val="INFOEM"/>
        <w:spacing w:line="276" w:lineRule="auto"/>
      </w:pPr>
      <w:r w:rsidRPr="009655C1">
        <w:t>B. Coordinador de Ingresos;</w:t>
      </w:r>
    </w:p>
    <w:p w:rsidR="0046306D" w:rsidRPr="009655C1" w:rsidRDefault="0046306D" w:rsidP="0046306D">
      <w:pPr>
        <w:pStyle w:val="INFOEM"/>
        <w:spacing w:line="276" w:lineRule="auto"/>
      </w:pPr>
      <w:r w:rsidRPr="009655C1">
        <w:t>C. Coordinador de Egresos;</w:t>
      </w:r>
    </w:p>
    <w:p w:rsidR="0046306D" w:rsidRPr="009655C1" w:rsidRDefault="0046306D" w:rsidP="0046306D">
      <w:pPr>
        <w:pStyle w:val="INFOEM"/>
        <w:spacing w:line="276" w:lineRule="auto"/>
      </w:pPr>
      <w:r w:rsidRPr="009655C1">
        <w:t>D. Coordinación de Catastro.</w:t>
      </w:r>
    </w:p>
    <w:p w:rsidR="0046306D" w:rsidRPr="009655C1" w:rsidRDefault="0046306D" w:rsidP="0046306D">
      <w:pPr>
        <w:pStyle w:val="INFOEM"/>
        <w:spacing w:line="276" w:lineRule="auto"/>
      </w:pPr>
      <w:r w:rsidRPr="009655C1">
        <w:t>(…)</w:t>
      </w:r>
    </w:p>
    <w:p w:rsidR="000D109F" w:rsidRPr="009655C1" w:rsidRDefault="000D109F" w:rsidP="000D109F">
      <w:pPr>
        <w:pStyle w:val="INFOEM"/>
        <w:spacing w:line="276" w:lineRule="auto"/>
        <w:jc w:val="center"/>
        <w:rPr>
          <w:b/>
        </w:rPr>
      </w:pPr>
      <w:r w:rsidRPr="009655C1">
        <w:rPr>
          <w:b/>
        </w:rPr>
        <w:t>CAPÍTULO DÉCIMO</w:t>
      </w:r>
    </w:p>
    <w:p w:rsidR="000D109F" w:rsidRPr="009655C1" w:rsidRDefault="000D109F" w:rsidP="000D109F">
      <w:pPr>
        <w:pStyle w:val="INFOEM"/>
        <w:spacing w:line="276" w:lineRule="auto"/>
        <w:jc w:val="center"/>
        <w:rPr>
          <w:b/>
        </w:rPr>
      </w:pPr>
      <w:r w:rsidRPr="009655C1">
        <w:rPr>
          <w:b/>
        </w:rPr>
        <w:t>DE LA TESORERÍA MUNICIPAL</w:t>
      </w:r>
    </w:p>
    <w:p w:rsidR="0046306D" w:rsidRPr="009655C1" w:rsidRDefault="00F40980" w:rsidP="0046306D">
      <w:pPr>
        <w:pStyle w:val="INFOEM"/>
        <w:spacing w:line="276" w:lineRule="auto"/>
      </w:pPr>
      <w:r w:rsidRPr="009655C1">
        <w:t>Artículo 101</w:t>
      </w:r>
      <w:r w:rsidR="000D109F" w:rsidRPr="009655C1">
        <w:t xml:space="preserve">. La Tesorería Municipal es la dependencia administrativa encargada de la recaudación de los ingresos municipales y responsable de realizar las erogaciones que haga el Ayuntamiento, por conducto de las dependencias, de conformidad con las disposiciones legales aplicables, teniendo como finalidad administrar la Hacienda Pública Municipal, de manera ordenada, eficaz, eficiente, honrada y transparente, enfocada a crear una cultura de pago, que se refleje en servicios que eleven la calidad de vida de los Apaxquenses; dicha área está a cargo de un titular propuesto por el </w:t>
      </w:r>
      <w:r w:rsidR="000D109F" w:rsidRPr="009655C1">
        <w:lastRenderedPageBreak/>
        <w:t>Presidente Municipal y aprobado por el Ayuntamiento quien además será considerado como Autoridad Fiscal al cual le corresponden las atribuciones que expresamente señalan la Constitución Local, la Ley Orgánica Municipal, el Código Financiero del Estado de México y Municipios, el Código Administrativo del Estado de México, este Bando Municipal y demás normas legales, administrativas y reglamentarias.</w:t>
      </w:r>
    </w:p>
    <w:p w:rsidR="000D109F" w:rsidRPr="009655C1" w:rsidRDefault="000D109F" w:rsidP="000D109F">
      <w:pPr>
        <w:pStyle w:val="INFOEM"/>
        <w:spacing w:line="276" w:lineRule="auto"/>
      </w:pPr>
      <w:r w:rsidRPr="009655C1">
        <w:t>Para la consecución de sus fines, esta dependencia se auxiliará de las siguientes:</w:t>
      </w:r>
    </w:p>
    <w:p w:rsidR="000D109F" w:rsidRPr="009655C1" w:rsidRDefault="000D109F" w:rsidP="000D109F">
      <w:pPr>
        <w:pStyle w:val="INFOEM"/>
        <w:numPr>
          <w:ilvl w:val="0"/>
          <w:numId w:val="4"/>
        </w:numPr>
        <w:spacing w:line="276" w:lineRule="auto"/>
      </w:pPr>
      <w:r w:rsidRPr="009655C1">
        <w:t xml:space="preserve">Contaduría General: </w:t>
      </w:r>
    </w:p>
    <w:p w:rsidR="00F40980" w:rsidRPr="009655C1" w:rsidRDefault="000D109F" w:rsidP="00F40980">
      <w:pPr>
        <w:pStyle w:val="INFOEM"/>
        <w:numPr>
          <w:ilvl w:val="0"/>
          <w:numId w:val="4"/>
        </w:numPr>
        <w:spacing w:line="276" w:lineRule="auto"/>
      </w:pPr>
      <w:r w:rsidRPr="009655C1">
        <w:t xml:space="preserve">Coordinador de Ingresos: </w:t>
      </w:r>
    </w:p>
    <w:p w:rsidR="000D109F" w:rsidRPr="009655C1" w:rsidRDefault="000D109F" w:rsidP="00F40980">
      <w:pPr>
        <w:pStyle w:val="INFOEM"/>
        <w:numPr>
          <w:ilvl w:val="0"/>
          <w:numId w:val="4"/>
        </w:numPr>
        <w:spacing w:line="276" w:lineRule="auto"/>
      </w:pPr>
      <w:r w:rsidRPr="009655C1">
        <w:t xml:space="preserve">Coordinador de Egresos: </w:t>
      </w:r>
    </w:p>
    <w:p w:rsidR="0046306D" w:rsidRPr="009655C1" w:rsidRDefault="00F40980" w:rsidP="00F40980">
      <w:pPr>
        <w:pStyle w:val="INFOEM"/>
      </w:pPr>
      <w:r w:rsidRPr="009655C1">
        <w:t>Que tendrán las facultades conferidas en el Reglamento Orgánico Municipal y demás disposiciones legales.</w:t>
      </w:r>
    </w:p>
    <w:p w:rsidR="00F40980" w:rsidRPr="009655C1" w:rsidRDefault="00F40980" w:rsidP="00F40980">
      <w:pPr>
        <w:spacing w:after="0" w:line="360" w:lineRule="auto"/>
        <w:contextualSpacing/>
        <w:jc w:val="both"/>
        <w:rPr>
          <w:rFonts w:ascii="Palatino Linotype" w:eastAsia="Palatino Linotype" w:hAnsi="Palatino Linotype" w:cs="Palatino Linotype"/>
          <w:sz w:val="24"/>
          <w:szCs w:val="24"/>
        </w:rPr>
      </w:pPr>
    </w:p>
    <w:p w:rsidR="00A83D3A" w:rsidRPr="009655C1" w:rsidRDefault="00A83D3A" w:rsidP="00A83D3A">
      <w:pPr>
        <w:spacing w:after="0" w:line="360" w:lineRule="auto"/>
        <w:jc w:val="both"/>
        <w:rPr>
          <w:rFonts w:ascii="Palatino Linotype" w:eastAsia="Times New Roman" w:hAnsi="Palatino Linotype" w:cs="Times New Roman"/>
          <w:sz w:val="24"/>
          <w:szCs w:val="24"/>
          <w:lang w:val="es-ES" w:eastAsia="es-ES"/>
        </w:rPr>
      </w:pPr>
      <w:r w:rsidRPr="009655C1">
        <w:rPr>
          <w:rFonts w:ascii="Palatino Linotype" w:eastAsia="Times New Roman" w:hAnsi="Palatino Linotype" w:cs="Times New Roman"/>
          <w:sz w:val="24"/>
          <w:szCs w:val="24"/>
          <w:lang w:val="es-ES" w:eastAsia="es-ES"/>
        </w:rPr>
        <w:t>Ahora bien, la Ley de Transparencia y Acceso a la Información Pública del Estado de México y Municipios, prevé en su artículo 23 fracción IV,</w:t>
      </w:r>
      <w:r w:rsidRPr="009655C1">
        <w:t xml:space="preserve"> </w:t>
      </w:r>
      <w:r w:rsidRPr="009655C1">
        <w:rPr>
          <w:rFonts w:ascii="Palatino Linotype" w:eastAsia="Times New Roman" w:hAnsi="Palatino Linotype" w:cs="Times New Roman"/>
          <w:sz w:val="24"/>
          <w:szCs w:val="24"/>
          <w:lang w:val="es-ES" w:eastAsia="es-ES"/>
        </w:rPr>
        <w:t>que los Ayuntamientos se encuentran obligados a transparentar y permitir el acceso a la información que generen, posean o administren; de ahí que la Ley de la materia delimita perfectamente los alcances de las obligaciones que corresponden a los Ayuntamientos, como se advierte enseguida:</w:t>
      </w:r>
    </w:p>
    <w:p w:rsidR="00A83D3A" w:rsidRPr="009655C1" w:rsidRDefault="00A83D3A" w:rsidP="00A83D3A">
      <w:pPr>
        <w:spacing w:after="0" w:line="360" w:lineRule="auto"/>
        <w:jc w:val="both"/>
        <w:rPr>
          <w:rFonts w:ascii="Palatino Linotype" w:eastAsia="Times New Roman" w:hAnsi="Palatino Linotype" w:cs="Times New Roman"/>
          <w:sz w:val="24"/>
          <w:szCs w:val="24"/>
          <w:lang w:val="es-ES" w:eastAsia="es-ES"/>
        </w:rPr>
      </w:pPr>
    </w:p>
    <w:p w:rsidR="00A83D3A" w:rsidRPr="009655C1" w:rsidRDefault="00A83D3A" w:rsidP="00A83D3A">
      <w:pPr>
        <w:spacing w:after="0" w:line="240" w:lineRule="auto"/>
        <w:ind w:left="567" w:right="567"/>
        <w:jc w:val="both"/>
        <w:rPr>
          <w:rFonts w:ascii="Palatino Linotype" w:eastAsia="Times New Roman" w:hAnsi="Palatino Linotype" w:cs="Arial"/>
          <w:i/>
          <w:szCs w:val="24"/>
          <w:lang w:val="es-ES" w:eastAsia="es-ES"/>
        </w:rPr>
      </w:pPr>
      <w:r w:rsidRPr="009655C1">
        <w:rPr>
          <w:rFonts w:ascii="Palatino Linotype" w:eastAsia="Times New Roman" w:hAnsi="Palatino Linotype" w:cs="Arial"/>
          <w:b/>
          <w:i/>
          <w:szCs w:val="24"/>
          <w:lang w:val="es-ES" w:eastAsia="es-ES"/>
        </w:rPr>
        <w:t>“Artículo 23.</w:t>
      </w:r>
      <w:r w:rsidRPr="009655C1">
        <w:rPr>
          <w:rFonts w:ascii="Palatino Linotype" w:eastAsia="Times New Roman" w:hAnsi="Palatino Linotype" w:cs="Arial"/>
          <w:i/>
          <w:szCs w:val="24"/>
          <w:lang w:val="es-ES" w:eastAsia="es-ES"/>
        </w:rPr>
        <w:t xml:space="preserve"> Son sujetos obligados a transparentar y permitir el acceso a su información y proteger los datos personales que obren en su poder:</w:t>
      </w:r>
    </w:p>
    <w:p w:rsidR="00A83D3A" w:rsidRPr="009655C1" w:rsidRDefault="00A83D3A" w:rsidP="00A83D3A">
      <w:pPr>
        <w:spacing w:after="0" w:line="240" w:lineRule="auto"/>
        <w:ind w:left="567" w:right="567"/>
        <w:jc w:val="both"/>
        <w:rPr>
          <w:rFonts w:ascii="Palatino Linotype" w:eastAsia="Times New Roman" w:hAnsi="Palatino Linotype" w:cs="Arial"/>
          <w:i/>
          <w:szCs w:val="24"/>
          <w:lang w:val="es-ES" w:eastAsia="es-ES"/>
        </w:rPr>
      </w:pPr>
      <w:r w:rsidRPr="009655C1">
        <w:rPr>
          <w:rFonts w:ascii="Palatino Linotype" w:eastAsia="Times New Roman" w:hAnsi="Palatino Linotype" w:cs="Arial"/>
          <w:b/>
          <w:i/>
          <w:szCs w:val="24"/>
          <w:lang w:val="es-ES" w:eastAsia="es-ES"/>
        </w:rPr>
        <w:t>IV. Los ayuntamientos y las dependencias, organismos, órganos y entidades de la administración municipal</w:t>
      </w:r>
      <w:r w:rsidRPr="009655C1">
        <w:rPr>
          <w:rFonts w:ascii="Palatino Linotype" w:eastAsia="Times New Roman" w:hAnsi="Palatino Linotype" w:cs="Arial"/>
          <w:i/>
          <w:szCs w:val="24"/>
          <w:lang w:val="es-ES" w:eastAsia="es-ES"/>
        </w:rPr>
        <w:t>;”</w:t>
      </w:r>
    </w:p>
    <w:p w:rsidR="00A83D3A" w:rsidRPr="009655C1" w:rsidRDefault="00A83D3A" w:rsidP="00A83D3A">
      <w:pPr>
        <w:spacing w:after="0" w:line="240" w:lineRule="auto"/>
        <w:ind w:left="567" w:right="567"/>
        <w:jc w:val="right"/>
        <w:rPr>
          <w:rFonts w:ascii="Palatino Linotype" w:eastAsia="Times New Roman" w:hAnsi="Palatino Linotype" w:cs="Arial"/>
          <w:i/>
          <w:szCs w:val="24"/>
          <w:lang w:val="es-ES" w:eastAsia="es-ES"/>
        </w:rPr>
      </w:pPr>
      <w:r w:rsidRPr="009655C1">
        <w:rPr>
          <w:rFonts w:ascii="Palatino Linotype" w:eastAsia="Times New Roman" w:hAnsi="Palatino Linotype" w:cs="Arial"/>
          <w:i/>
          <w:szCs w:val="24"/>
          <w:lang w:val="es-ES" w:eastAsia="es-ES"/>
        </w:rPr>
        <w:t xml:space="preserve"> (Énfasis añadido)</w:t>
      </w:r>
    </w:p>
    <w:p w:rsidR="00A83D3A" w:rsidRPr="009655C1" w:rsidRDefault="00A83D3A" w:rsidP="00A83D3A">
      <w:pPr>
        <w:autoSpaceDE w:val="0"/>
        <w:autoSpaceDN w:val="0"/>
        <w:adjustRightInd w:val="0"/>
        <w:spacing w:after="0" w:line="360" w:lineRule="auto"/>
        <w:ind w:right="51"/>
        <w:jc w:val="both"/>
        <w:rPr>
          <w:rFonts w:ascii="Palatino Linotype" w:eastAsia="Times New Roman" w:hAnsi="Palatino Linotype" w:cs="Arial"/>
          <w:sz w:val="24"/>
          <w:szCs w:val="24"/>
          <w:lang w:val="es-ES" w:eastAsia="es-ES"/>
        </w:rPr>
      </w:pPr>
    </w:p>
    <w:p w:rsidR="00A83D3A" w:rsidRPr="009655C1" w:rsidRDefault="00A83D3A" w:rsidP="00A83D3A">
      <w:pPr>
        <w:autoSpaceDE w:val="0"/>
        <w:autoSpaceDN w:val="0"/>
        <w:adjustRightInd w:val="0"/>
        <w:spacing w:after="0" w:line="360" w:lineRule="auto"/>
        <w:ind w:right="51"/>
        <w:jc w:val="both"/>
        <w:rPr>
          <w:rFonts w:ascii="Palatino Linotype" w:hAnsi="Palatino Linotype" w:cs="Arial"/>
          <w:sz w:val="24"/>
          <w:szCs w:val="24"/>
        </w:rPr>
      </w:pPr>
      <w:r w:rsidRPr="009655C1">
        <w:rPr>
          <w:rFonts w:ascii="Palatino Linotype" w:eastAsia="Times New Roman" w:hAnsi="Palatino Linotype" w:cs="Arial"/>
          <w:sz w:val="24"/>
          <w:szCs w:val="24"/>
          <w:lang w:val="es-ES" w:eastAsia="es-ES"/>
        </w:rPr>
        <w:lastRenderedPageBreak/>
        <w:t>Del precepto legal en cita se establece que los Ayuntamientos, y las dependencias, organismos, órganos y entidades de la administración municipal se encuentran obligados a transparentar y permitir el acceso a la información que generen, posean o administren; de ahí que la Ley de la materia delimita perfectamente los alcances de las obligaciones que corresponden a los Ayuntamientos y las dependencias, organismos, órganos y entidades de la administración municipal.</w:t>
      </w:r>
    </w:p>
    <w:p w:rsidR="00A83D3A" w:rsidRPr="009655C1" w:rsidRDefault="00A83D3A" w:rsidP="00A83D3A">
      <w:pPr>
        <w:spacing w:after="0" w:line="360" w:lineRule="auto"/>
        <w:jc w:val="both"/>
        <w:rPr>
          <w:rFonts w:ascii="Palatino Linotype" w:hAnsi="Palatino Linotype"/>
          <w:sz w:val="24"/>
          <w:szCs w:val="24"/>
        </w:rPr>
      </w:pPr>
    </w:p>
    <w:p w:rsidR="00A83D3A" w:rsidRPr="009655C1" w:rsidRDefault="00A83D3A" w:rsidP="00A83D3A">
      <w:pPr>
        <w:spacing w:after="0" w:line="360" w:lineRule="auto"/>
        <w:contextualSpacing/>
        <w:jc w:val="both"/>
        <w:rPr>
          <w:rFonts w:ascii="Palatino Linotype" w:eastAsia="Times New Roman" w:hAnsi="Palatino Linotype" w:cs="Arial"/>
          <w:bCs/>
          <w:color w:val="000000"/>
          <w:sz w:val="24"/>
          <w:szCs w:val="24"/>
          <w:lang w:eastAsia="es-ES"/>
        </w:rPr>
      </w:pPr>
      <w:r w:rsidRPr="009655C1">
        <w:rPr>
          <w:rFonts w:ascii="Palatino Linotype" w:eastAsia="Times New Roman" w:hAnsi="Palatino Linotype" w:cs="Arial"/>
          <w:bCs/>
          <w:color w:val="000000"/>
          <w:sz w:val="24"/>
          <w:szCs w:val="24"/>
          <w:lang w:eastAsia="es-ES"/>
        </w:rPr>
        <w:t>Así,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rsidR="00A83D3A" w:rsidRPr="009655C1" w:rsidRDefault="00A83D3A" w:rsidP="00A83D3A">
      <w:pPr>
        <w:spacing w:after="0" w:line="360" w:lineRule="auto"/>
        <w:contextualSpacing/>
        <w:jc w:val="both"/>
        <w:rPr>
          <w:rFonts w:ascii="Palatino Linotype" w:eastAsia="Times New Roman" w:hAnsi="Palatino Linotype" w:cs="Arial"/>
          <w:bCs/>
          <w:color w:val="000000"/>
          <w:sz w:val="24"/>
          <w:szCs w:val="24"/>
          <w:lang w:eastAsia="es-ES"/>
        </w:rPr>
      </w:pPr>
    </w:p>
    <w:p w:rsidR="00A83D3A" w:rsidRPr="009655C1" w:rsidRDefault="00A83D3A" w:rsidP="00A83D3A">
      <w:pPr>
        <w:spacing w:after="0" w:line="360" w:lineRule="auto"/>
        <w:ind w:left="567"/>
        <w:contextualSpacing/>
        <w:jc w:val="both"/>
        <w:rPr>
          <w:rFonts w:ascii="Palatino Linotype" w:eastAsia="Times New Roman" w:hAnsi="Palatino Linotype" w:cs="Arial"/>
          <w:bCs/>
          <w:color w:val="000000"/>
          <w:sz w:val="24"/>
          <w:szCs w:val="24"/>
          <w:lang w:eastAsia="es-ES"/>
        </w:rPr>
      </w:pPr>
      <w:r w:rsidRPr="009655C1">
        <w:rPr>
          <w:rFonts w:ascii="Palatino Linotype" w:eastAsia="Times New Roman" w:hAnsi="Palatino Linotype" w:cs="Arial"/>
          <w:bCs/>
          <w:color w:val="000000"/>
          <w:sz w:val="24"/>
          <w:szCs w:val="24"/>
          <w:lang w:eastAsia="es-ES"/>
        </w:rPr>
        <w:t xml:space="preserve">1. </w:t>
      </w:r>
      <w:r w:rsidRPr="009655C1">
        <w:rPr>
          <w:rFonts w:ascii="Palatino Linotype" w:eastAsia="Times New Roman" w:hAnsi="Palatino Linotype" w:cs="Arial"/>
          <w:b/>
          <w:bCs/>
          <w:color w:val="000000"/>
          <w:sz w:val="24"/>
          <w:szCs w:val="24"/>
          <w:lang w:eastAsia="es-ES"/>
        </w:rPr>
        <w:t>Las Unidades de Transparencia garantizarán que las solicitudes de acceso a la información se turnen a todas las áreas competentes</w:t>
      </w:r>
      <w:r w:rsidRPr="009655C1">
        <w:rPr>
          <w:rFonts w:ascii="Palatino Linotype" w:eastAsia="Times New Roman" w:hAnsi="Palatino Linotype" w:cs="Arial"/>
          <w:bCs/>
          <w:color w:val="000000"/>
          <w:sz w:val="24"/>
          <w:szCs w:val="24"/>
          <w:lang w:eastAsia="es-ES"/>
        </w:rPr>
        <w:t xml:space="preserve"> que cuenten con la información o deban tenerla -de acuerdo a las facultades, competencias y funciones-, con el objeto de que dichas áreas realicen una búsqueda exhaustiva y razonable de la información requerida, y </w:t>
      </w:r>
    </w:p>
    <w:p w:rsidR="00A83D3A" w:rsidRPr="009655C1" w:rsidRDefault="00A83D3A" w:rsidP="00A83D3A">
      <w:pPr>
        <w:spacing w:after="0" w:line="360" w:lineRule="auto"/>
        <w:ind w:left="567"/>
        <w:contextualSpacing/>
        <w:jc w:val="both"/>
        <w:rPr>
          <w:rFonts w:ascii="Palatino Linotype" w:eastAsia="Times New Roman" w:hAnsi="Palatino Linotype" w:cs="Arial"/>
          <w:bCs/>
          <w:color w:val="000000"/>
          <w:sz w:val="24"/>
          <w:szCs w:val="24"/>
          <w:lang w:eastAsia="es-ES"/>
        </w:rPr>
      </w:pPr>
      <w:r w:rsidRPr="009655C1">
        <w:rPr>
          <w:rFonts w:ascii="Palatino Linotype" w:eastAsia="Times New Roman" w:hAnsi="Palatino Linotype" w:cs="Arial"/>
          <w:bCs/>
          <w:color w:val="000000"/>
          <w:sz w:val="24"/>
          <w:szCs w:val="24"/>
          <w:lang w:eastAsia="es-ES"/>
        </w:rPr>
        <w:t xml:space="preserve">2. Los sujetos obligados otorgaran acceso a los documentos que se encuentren en sus archivos o que estén obligados a documentar de acuerdo con sus facultades, competencias o funciones, en el formato en que la solicitante manifieste, de entre aquellos formatos existentes. </w:t>
      </w:r>
    </w:p>
    <w:p w:rsidR="00A83D3A" w:rsidRPr="009655C1" w:rsidRDefault="00A83D3A" w:rsidP="00A83D3A">
      <w:pPr>
        <w:spacing w:after="0" w:line="360" w:lineRule="auto"/>
        <w:contextualSpacing/>
        <w:jc w:val="both"/>
        <w:rPr>
          <w:rFonts w:ascii="Palatino Linotype" w:eastAsia="Times New Roman" w:hAnsi="Palatino Linotype" w:cs="Arial"/>
          <w:bCs/>
          <w:color w:val="000000"/>
          <w:sz w:val="24"/>
          <w:szCs w:val="24"/>
          <w:lang w:eastAsia="es-ES"/>
        </w:rPr>
      </w:pPr>
    </w:p>
    <w:p w:rsidR="00A83D3A" w:rsidRPr="009655C1" w:rsidRDefault="00A83D3A" w:rsidP="00A83D3A">
      <w:pPr>
        <w:spacing w:after="0" w:line="360" w:lineRule="auto"/>
        <w:contextualSpacing/>
        <w:jc w:val="both"/>
        <w:rPr>
          <w:rFonts w:ascii="Palatino Linotype" w:eastAsia="Times New Roman" w:hAnsi="Palatino Linotype" w:cs="Arial"/>
          <w:bCs/>
          <w:color w:val="000000"/>
          <w:sz w:val="24"/>
          <w:szCs w:val="24"/>
          <w:lang w:eastAsia="es-ES"/>
        </w:rPr>
      </w:pPr>
      <w:r w:rsidRPr="009655C1">
        <w:rPr>
          <w:rFonts w:ascii="Palatino Linotype" w:eastAsia="Times New Roman" w:hAnsi="Palatino Linotype" w:cs="Arial"/>
          <w:bCs/>
          <w:color w:val="000000"/>
          <w:sz w:val="24"/>
          <w:szCs w:val="24"/>
          <w:lang w:eastAsia="es-ES"/>
        </w:rPr>
        <w:t xml:space="preserve">Así se logra vislumbrar que la </w:t>
      </w:r>
      <w:r w:rsidR="00F40980" w:rsidRPr="009655C1">
        <w:rPr>
          <w:rFonts w:ascii="Palatino Linotype" w:eastAsia="Times New Roman" w:hAnsi="Palatino Linotype" w:cs="Arial"/>
          <w:bCs/>
          <w:color w:val="000000"/>
          <w:sz w:val="24"/>
          <w:szCs w:val="24"/>
          <w:lang w:eastAsia="es-ES"/>
        </w:rPr>
        <w:t>Tesorería Municipal</w:t>
      </w:r>
      <w:r w:rsidRPr="009655C1">
        <w:rPr>
          <w:rFonts w:ascii="Palatino Linotype" w:eastAsia="Times New Roman" w:hAnsi="Palatino Linotype" w:cs="Arial"/>
          <w:bCs/>
          <w:color w:val="000000"/>
          <w:sz w:val="24"/>
          <w:szCs w:val="24"/>
          <w:lang w:eastAsia="es-ES"/>
        </w:rPr>
        <w:t xml:space="preserve"> cuenta con facultades para conocer todo lo relacionado a las erogaciones del Ayuntamiento, así como la recaudación de los </w:t>
      </w:r>
      <w:r w:rsidRPr="009655C1">
        <w:rPr>
          <w:rFonts w:ascii="Palatino Linotype" w:eastAsia="Times New Roman" w:hAnsi="Palatino Linotype" w:cs="Arial"/>
          <w:bCs/>
          <w:color w:val="000000"/>
          <w:sz w:val="24"/>
          <w:szCs w:val="24"/>
          <w:lang w:eastAsia="es-ES"/>
        </w:rPr>
        <w:lastRenderedPageBreak/>
        <w:t>recursos materiales, por lo que, se considera que no cumplió con el procedimiento de búsqueda establecido en el artículo 162 de la Ley de Transparencia y Acceso a la Información Pública del Estado de México y Municipios.</w:t>
      </w:r>
    </w:p>
    <w:p w:rsidR="00A83D3A" w:rsidRPr="009655C1" w:rsidRDefault="00A83D3A" w:rsidP="00A83D3A">
      <w:pPr>
        <w:spacing w:after="0" w:line="360" w:lineRule="auto"/>
        <w:contextualSpacing/>
        <w:jc w:val="both"/>
        <w:rPr>
          <w:rFonts w:ascii="Palatino Linotype" w:eastAsia="Times New Roman" w:hAnsi="Palatino Linotype" w:cs="Arial"/>
          <w:bCs/>
          <w:color w:val="000000"/>
          <w:sz w:val="24"/>
          <w:szCs w:val="24"/>
          <w:lang w:eastAsia="es-ES"/>
        </w:rPr>
      </w:pPr>
    </w:p>
    <w:p w:rsidR="00A83D3A" w:rsidRPr="009655C1" w:rsidRDefault="00A83D3A" w:rsidP="00A83D3A">
      <w:pPr>
        <w:pStyle w:val="Citas"/>
        <w:tabs>
          <w:tab w:val="left" w:pos="7470"/>
        </w:tabs>
        <w:ind w:left="0" w:right="72"/>
        <w:rPr>
          <w:bCs/>
          <w:i w:val="0"/>
          <w:sz w:val="24"/>
          <w:szCs w:val="24"/>
        </w:rPr>
      </w:pPr>
      <w:r w:rsidRPr="009655C1">
        <w:rPr>
          <w:rFonts w:eastAsia="Calibri"/>
          <w:i w:val="0"/>
          <w:sz w:val="24"/>
        </w:rPr>
        <w:t xml:space="preserve">Por lo anterior, debe </w:t>
      </w:r>
      <w:r w:rsidRPr="009655C1">
        <w:rPr>
          <w:bCs/>
          <w:i w:val="0"/>
          <w:sz w:val="24"/>
          <w:szCs w:val="24"/>
        </w:rPr>
        <w:t>arribarse a las siguientes consideraciones:</w:t>
      </w:r>
    </w:p>
    <w:p w:rsidR="00A83D3A" w:rsidRPr="009655C1" w:rsidRDefault="00A83D3A" w:rsidP="00A83D3A">
      <w:pPr>
        <w:pStyle w:val="Sinespaciado"/>
        <w:numPr>
          <w:ilvl w:val="0"/>
          <w:numId w:val="8"/>
        </w:numPr>
        <w:spacing w:line="360" w:lineRule="auto"/>
        <w:jc w:val="both"/>
        <w:rPr>
          <w:rFonts w:ascii="Palatino Linotype" w:hAnsi="Palatino Linotype"/>
        </w:rPr>
      </w:pPr>
      <w:r w:rsidRPr="009655C1">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9655C1">
        <w:rPr>
          <w:rFonts w:ascii="Palatino Linotype" w:hAnsi="Palatino Linotype"/>
          <w:b/>
          <w:bCs/>
        </w:rPr>
        <w:t xml:space="preserve">Sujetos Obligados. </w:t>
      </w:r>
    </w:p>
    <w:p w:rsidR="00A83D3A" w:rsidRPr="009655C1" w:rsidRDefault="00A83D3A" w:rsidP="00A83D3A">
      <w:pPr>
        <w:pStyle w:val="Sinespaciado"/>
        <w:numPr>
          <w:ilvl w:val="0"/>
          <w:numId w:val="8"/>
        </w:numPr>
        <w:spacing w:line="360" w:lineRule="auto"/>
        <w:jc w:val="both"/>
        <w:rPr>
          <w:rFonts w:ascii="Palatino Linotype" w:hAnsi="Palatino Linotype"/>
        </w:rPr>
      </w:pPr>
      <w:r w:rsidRPr="009655C1">
        <w:rPr>
          <w:rFonts w:ascii="Palatino Linotype" w:hAnsi="Palatino Linotype"/>
        </w:rPr>
        <w:t xml:space="preserve">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w:t>
      </w:r>
      <w:r w:rsidRPr="009655C1">
        <w:rPr>
          <w:rFonts w:ascii="Palatino Linotype" w:hAnsi="Palatino Linotype"/>
          <w:b/>
          <w:bCs/>
        </w:rPr>
        <w:t xml:space="preserve">El Sujeto Obligado. </w:t>
      </w:r>
    </w:p>
    <w:p w:rsidR="00A83D3A" w:rsidRPr="009655C1" w:rsidRDefault="00A83D3A" w:rsidP="00A83D3A">
      <w:pPr>
        <w:pStyle w:val="Prrafodelista"/>
        <w:numPr>
          <w:ilvl w:val="0"/>
          <w:numId w:val="8"/>
        </w:numPr>
        <w:spacing w:line="360" w:lineRule="auto"/>
        <w:jc w:val="both"/>
        <w:rPr>
          <w:rFonts w:ascii="Palatino Linotype" w:hAnsi="Palatino Linotype" w:cs="Arial"/>
        </w:rPr>
      </w:pPr>
      <w:r w:rsidRPr="009655C1">
        <w:rPr>
          <w:rFonts w:ascii="Palatino Linotype" w:hAnsi="Palatino Linotype" w:cs="Arial"/>
        </w:rPr>
        <w:t xml:space="preserve">Resulta evidente para esta Ponencia que la Unidad de Transparencia del </w:t>
      </w:r>
      <w:r w:rsidRPr="009655C1">
        <w:rPr>
          <w:rFonts w:ascii="Palatino Linotype" w:hAnsi="Palatino Linotype" w:cs="Arial"/>
          <w:b/>
        </w:rPr>
        <w:t>Sujeto Obligado</w:t>
      </w:r>
      <w:r w:rsidRPr="009655C1">
        <w:rPr>
          <w:rFonts w:ascii="Palatino Linotype" w:hAnsi="Palatino Linotype" w:cs="Arial"/>
        </w:rPr>
        <w:t xml:space="preserve"> dejo de observar la normativa en la materia, toda vez que no dio el trámite correspondiente a la solicitud de acceso a la información, limitando el derecho de acceso a la información, del hoy </w:t>
      </w:r>
      <w:r w:rsidRPr="009655C1">
        <w:rPr>
          <w:rFonts w:ascii="Palatino Linotype" w:hAnsi="Palatino Linotype" w:cs="Arial"/>
          <w:b/>
        </w:rPr>
        <w:t>Recurrente</w:t>
      </w:r>
      <w:r w:rsidRPr="009655C1">
        <w:rPr>
          <w:rFonts w:ascii="Palatino Linotype" w:hAnsi="Palatino Linotype" w:cs="Arial"/>
        </w:rPr>
        <w:t>.</w:t>
      </w:r>
    </w:p>
    <w:p w:rsidR="00A83D3A" w:rsidRPr="009655C1" w:rsidRDefault="00A83D3A" w:rsidP="00A83D3A">
      <w:pPr>
        <w:pStyle w:val="Prrafodelista"/>
        <w:numPr>
          <w:ilvl w:val="0"/>
          <w:numId w:val="8"/>
        </w:numPr>
        <w:spacing w:line="360" w:lineRule="auto"/>
        <w:jc w:val="both"/>
        <w:rPr>
          <w:rFonts w:ascii="Palatino Linotype" w:eastAsia="Calibri" w:hAnsi="Palatino Linotype" w:cs="Arial"/>
          <w:b/>
        </w:rPr>
      </w:pPr>
      <w:r w:rsidRPr="009655C1">
        <w:rPr>
          <w:rFonts w:ascii="Palatino Linotype" w:hAnsi="Palatino Linotype"/>
        </w:rPr>
        <w:t xml:space="preserve">Que, de una interpretación sistemática al Organigrama del Ayuntamiento de Apaxco, se advierte que, de manera enunciativa más no limitativa, la Tesorería Municipal resulta competente para conocer y atender la solicitud de información número </w:t>
      </w:r>
      <w:r w:rsidRPr="009655C1">
        <w:rPr>
          <w:rFonts w:ascii="Palatino Linotype" w:hAnsi="Palatino Linotype"/>
          <w:b/>
          <w:bCs/>
          <w:lang w:val="es-MX"/>
        </w:rPr>
        <w:t>00001/APAXCO/IP/2024.</w:t>
      </w:r>
    </w:p>
    <w:p w:rsidR="0046306D" w:rsidRPr="009655C1" w:rsidRDefault="0046306D" w:rsidP="00B7691C">
      <w:pPr>
        <w:spacing w:after="0" w:line="360" w:lineRule="auto"/>
        <w:contextualSpacing/>
        <w:jc w:val="both"/>
        <w:rPr>
          <w:rFonts w:ascii="Palatino Linotype" w:eastAsia="Palatino Linotype" w:hAnsi="Palatino Linotype" w:cs="Palatino Linotype"/>
          <w:sz w:val="24"/>
          <w:szCs w:val="24"/>
        </w:rPr>
      </w:pPr>
    </w:p>
    <w:p w:rsidR="00B7691C" w:rsidRPr="009655C1" w:rsidRDefault="00B7691C" w:rsidP="00B7691C">
      <w:pPr>
        <w:spacing w:after="0" w:line="360" w:lineRule="auto"/>
        <w:contextualSpacing/>
        <w:jc w:val="both"/>
        <w:rPr>
          <w:rFonts w:ascii="Palatino Linotype" w:eastAsia="Palatino Linotype" w:hAnsi="Palatino Linotype" w:cs="Palatino Linotype"/>
          <w:sz w:val="24"/>
          <w:szCs w:val="24"/>
        </w:rPr>
      </w:pPr>
      <w:r w:rsidRPr="009655C1">
        <w:rPr>
          <w:rFonts w:ascii="Palatino Linotype" w:eastAsia="Palatino Linotype" w:hAnsi="Palatino Linotype" w:cs="Palatino Linotype"/>
          <w:sz w:val="24"/>
          <w:szCs w:val="24"/>
        </w:rPr>
        <w:lastRenderedPageBreak/>
        <w:t>Por lo señalado anteriormente y en virtud de que las pretensiones del Recurrente no fueron, este Órgano Garante estima que las razones o motivos de inconformidad planteados en el recurso de revisión devienen fundados, por lo que es procedente ordenar al Sujeto Obligado atienda la solicitud de información.</w:t>
      </w:r>
    </w:p>
    <w:p w:rsidR="00B7691C" w:rsidRPr="009655C1" w:rsidRDefault="00B7691C" w:rsidP="00B7691C">
      <w:pPr>
        <w:shd w:val="clear" w:color="auto" w:fill="FFFFFF"/>
        <w:spacing w:after="0" w:line="240" w:lineRule="auto"/>
        <w:jc w:val="both"/>
        <w:rPr>
          <w:rFonts w:ascii="Palatino Linotype" w:eastAsia="Times New Roman" w:hAnsi="Palatino Linotype" w:cs="Arial"/>
          <w:iCs/>
          <w:sz w:val="24"/>
          <w:szCs w:val="24"/>
          <w:lang w:eastAsia="es-MX"/>
        </w:rPr>
      </w:pPr>
    </w:p>
    <w:p w:rsidR="00B7691C" w:rsidRPr="009655C1" w:rsidRDefault="00B7691C" w:rsidP="00B7691C">
      <w:pPr>
        <w:spacing w:after="0" w:line="360" w:lineRule="auto"/>
        <w:ind w:right="51"/>
        <w:jc w:val="both"/>
        <w:rPr>
          <w:rFonts w:ascii="Palatino Linotype" w:eastAsiaTheme="minorEastAsia" w:hAnsi="Palatino Linotype" w:cs="Arial"/>
          <w:sz w:val="24"/>
          <w:szCs w:val="24"/>
          <w:lang w:val="es-ES_tradnl" w:eastAsia="es-ES"/>
        </w:rPr>
      </w:pPr>
    </w:p>
    <w:p w:rsidR="00B7691C" w:rsidRPr="009655C1" w:rsidRDefault="00B7691C" w:rsidP="00B7691C">
      <w:pPr>
        <w:pStyle w:val="Prrafodelista"/>
        <w:numPr>
          <w:ilvl w:val="0"/>
          <w:numId w:val="2"/>
        </w:numPr>
        <w:spacing w:line="360" w:lineRule="auto"/>
        <w:ind w:right="51"/>
        <w:jc w:val="both"/>
        <w:rPr>
          <w:rFonts w:ascii="Palatino Linotype" w:hAnsi="Palatino Linotype"/>
          <w:b/>
          <w:iCs/>
        </w:rPr>
      </w:pPr>
      <w:r w:rsidRPr="009655C1">
        <w:rPr>
          <w:rFonts w:ascii="Palatino Linotype" w:hAnsi="Palatino Linotype"/>
          <w:b/>
          <w:iCs/>
        </w:rPr>
        <w:t xml:space="preserve">Vista a los Órganos de Control Interno Competentes </w:t>
      </w:r>
    </w:p>
    <w:p w:rsidR="00B7691C" w:rsidRPr="009655C1" w:rsidRDefault="00B7691C" w:rsidP="00B7691C">
      <w:pPr>
        <w:spacing w:after="0" w:line="360" w:lineRule="auto"/>
        <w:ind w:right="51"/>
        <w:jc w:val="both"/>
        <w:rPr>
          <w:rFonts w:ascii="Palatino Linotype" w:eastAsia="Times New Roman" w:hAnsi="Palatino Linotype" w:cs="Times New Roman"/>
          <w:b/>
          <w:iCs/>
          <w:sz w:val="24"/>
          <w:szCs w:val="24"/>
          <w:lang w:val="es-ES" w:eastAsia="es-ES"/>
        </w:rPr>
      </w:pPr>
    </w:p>
    <w:p w:rsidR="00B7691C" w:rsidRPr="009655C1"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9655C1">
        <w:rPr>
          <w:rFonts w:ascii="Palatino Linotype" w:eastAsia="Times New Roman" w:hAnsi="Palatino Linotype" w:cs="Times New Roman"/>
          <w:iCs/>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de Control Interno competente, un expediente formado con motivo de las presuntas infracciones de carácter omisivo cometidas en detrimento al derecho de acceso a la información.  </w:t>
      </w:r>
    </w:p>
    <w:p w:rsidR="00B7691C" w:rsidRPr="009655C1"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rsidR="00B7691C" w:rsidRPr="009655C1"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9655C1">
        <w:rPr>
          <w:rFonts w:ascii="Palatino Linotype" w:eastAsia="Times New Roman" w:hAnsi="Palatino Linotype" w:cs="Times New Roman"/>
          <w:iCs/>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rsidR="00B7691C" w:rsidRPr="009655C1"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rsidR="00B7691C" w:rsidRPr="009655C1"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r w:rsidRPr="009655C1">
        <w:rPr>
          <w:rFonts w:ascii="Palatino Linotype" w:eastAsia="Times New Roman" w:hAnsi="Palatino Linotype" w:cs="Times New Roman"/>
          <w:iCs/>
          <w:sz w:val="24"/>
          <w:szCs w:val="24"/>
          <w:lang w:val="es-ES" w:eastAsia="es-ES"/>
        </w:rPr>
        <w:t>“</w:t>
      </w:r>
      <w:r w:rsidRPr="009655C1">
        <w:rPr>
          <w:rFonts w:ascii="Palatino Linotype" w:eastAsia="Times New Roman" w:hAnsi="Palatino Linotype" w:cs="Times New Roman"/>
          <w:i/>
          <w:iCs/>
          <w:sz w:val="24"/>
          <w:szCs w:val="24"/>
          <w:lang w:val="es-ES" w:eastAsia="es-ES"/>
        </w:rPr>
        <w:t>Artículo 190.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B7691C" w:rsidRPr="009655C1"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p>
    <w:p w:rsidR="00B7691C" w:rsidRPr="009655C1"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r w:rsidRPr="009655C1">
        <w:rPr>
          <w:rFonts w:ascii="Palatino Linotype" w:eastAsia="Times New Roman" w:hAnsi="Palatino Linotype" w:cs="Times New Roman"/>
          <w:i/>
          <w:iCs/>
          <w:sz w:val="24"/>
          <w:szCs w:val="24"/>
          <w:lang w:val="es-ES" w:eastAsia="es-ES"/>
        </w:rPr>
        <w:t>Artículo 222. Son causas de responsabilidad administrativa de los servidores públicos de los sujetos obligados, por incumplimiento de las obligaciones establecidas en la materia de la presente Ley, las siguientes:</w:t>
      </w:r>
    </w:p>
    <w:p w:rsidR="00B7691C" w:rsidRPr="009655C1" w:rsidRDefault="00B7691C" w:rsidP="00B7691C">
      <w:pPr>
        <w:spacing w:after="0" w:line="360" w:lineRule="auto"/>
        <w:ind w:right="51" w:firstLine="708"/>
        <w:jc w:val="both"/>
        <w:rPr>
          <w:rFonts w:ascii="Palatino Linotype" w:eastAsia="Times New Roman" w:hAnsi="Palatino Linotype" w:cs="Times New Roman"/>
          <w:i/>
          <w:iCs/>
          <w:sz w:val="24"/>
          <w:szCs w:val="24"/>
          <w:lang w:val="es-ES" w:eastAsia="es-ES"/>
        </w:rPr>
      </w:pPr>
      <w:r w:rsidRPr="009655C1">
        <w:rPr>
          <w:rFonts w:ascii="Palatino Linotype" w:eastAsia="Times New Roman" w:hAnsi="Palatino Linotype" w:cs="Times New Roman"/>
          <w:i/>
          <w:iCs/>
          <w:sz w:val="24"/>
          <w:szCs w:val="24"/>
          <w:lang w:val="es-ES" w:eastAsia="es-ES"/>
        </w:rPr>
        <w:t>(…)</w:t>
      </w:r>
    </w:p>
    <w:p w:rsidR="00B7691C" w:rsidRPr="009655C1" w:rsidRDefault="00B7691C" w:rsidP="00B7691C">
      <w:pPr>
        <w:spacing w:after="0" w:line="360" w:lineRule="auto"/>
        <w:ind w:left="708" w:right="51"/>
        <w:jc w:val="both"/>
        <w:rPr>
          <w:rFonts w:ascii="Palatino Linotype" w:eastAsia="Times New Roman" w:hAnsi="Palatino Linotype" w:cs="Times New Roman"/>
          <w:i/>
          <w:iCs/>
          <w:sz w:val="24"/>
          <w:szCs w:val="24"/>
          <w:lang w:val="es-ES" w:eastAsia="es-ES"/>
        </w:rPr>
      </w:pPr>
      <w:r w:rsidRPr="009655C1">
        <w:rPr>
          <w:rFonts w:ascii="Palatino Linotype" w:eastAsia="Times New Roman" w:hAnsi="Palatino Linotype" w:cs="Times New Roman"/>
          <w:i/>
          <w:iCs/>
          <w:sz w:val="24"/>
          <w:szCs w:val="24"/>
          <w:lang w:val="es-ES" w:eastAsia="es-ES"/>
        </w:rPr>
        <w:t>I. Cualquier acto u omisión que provoque la suspensión o deficiencia en la atención de las solicitudes de información;</w:t>
      </w:r>
    </w:p>
    <w:p w:rsidR="00B7691C" w:rsidRPr="009655C1" w:rsidRDefault="00B7691C" w:rsidP="00B7691C">
      <w:pPr>
        <w:spacing w:after="0" w:line="360" w:lineRule="auto"/>
        <w:ind w:left="708" w:right="51"/>
        <w:jc w:val="both"/>
        <w:rPr>
          <w:rFonts w:ascii="Palatino Linotype" w:eastAsia="Times New Roman" w:hAnsi="Palatino Linotype" w:cs="Times New Roman"/>
          <w:iCs/>
          <w:sz w:val="24"/>
          <w:szCs w:val="24"/>
          <w:lang w:val="es-ES" w:eastAsia="es-ES"/>
        </w:rPr>
      </w:pPr>
      <w:r w:rsidRPr="009655C1">
        <w:rPr>
          <w:rFonts w:ascii="Palatino Linotype" w:eastAsia="Times New Roman" w:hAnsi="Palatino Linotype" w:cs="Times New Roman"/>
          <w:i/>
          <w:iCs/>
          <w:sz w:val="24"/>
          <w:szCs w:val="24"/>
          <w:lang w:val="es-ES" w:eastAsia="es-ES"/>
        </w:rPr>
        <w:t>II. La falta de respuesta a las solicitudes de información en los plazos señalados en la normatividad aplicable</w:t>
      </w:r>
      <w:r w:rsidRPr="009655C1">
        <w:rPr>
          <w:rFonts w:ascii="Palatino Linotype" w:eastAsia="Times New Roman" w:hAnsi="Palatino Linotype" w:cs="Times New Roman"/>
          <w:iCs/>
          <w:sz w:val="24"/>
          <w:szCs w:val="24"/>
          <w:lang w:val="es-ES" w:eastAsia="es-ES"/>
        </w:rPr>
        <w:t>;</w:t>
      </w:r>
    </w:p>
    <w:p w:rsidR="00B7691C" w:rsidRPr="009655C1" w:rsidRDefault="00B7691C" w:rsidP="00B7691C">
      <w:pPr>
        <w:spacing w:after="0" w:line="360" w:lineRule="auto"/>
        <w:ind w:right="51" w:firstLine="708"/>
        <w:jc w:val="both"/>
        <w:rPr>
          <w:rFonts w:ascii="Palatino Linotype" w:eastAsia="Times New Roman" w:hAnsi="Palatino Linotype" w:cs="Times New Roman"/>
          <w:i/>
          <w:iCs/>
          <w:sz w:val="24"/>
          <w:szCs w:val="24"/>
          <w:lang w:val="es-ES" w:eastAsia="es-ES"/>
        </w:rPr>
      </w:pPr>
      <w:r w:rsidRPr="009655C1">
        <w:rPr>
          <w:rFonts w:ascii="Palatino Linotype" w:eastAsia="Times New Roman" w:hAnsi="Palatino Linotype" w:cs="Times New Roman"/>
          <w:i/>
          <w:iCs/>
          <w:sz w:val="24"/>
          <w:szCs w:val="24"/>
          <w:lang w:val="es-ES" w:eastAsia="es-ES"/>
        </w:rPr>
        <w:t>(…)” (Sic)</w:t>
      </w:r>
    </w:p>
    <w:p w:rsidR="00B7691C" w:rsidRPr="009655C1"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rsidR="00B7691C" w:rsidRPr="009655C1"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9655C1">
        <w:rPr>
          <w:rFonts w:ascii="Palatino Linotype" w:eastAsia="Times New Roman" w:hAnsi="Palatino Linotype" w:cs="Times New Roman"/>
          <w:iCs/>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rsidR="00B7691C" w:rsidRPr="009655C1" w:rsidRDefault="00B7691C" w:rsidP="00B7691C">
      <w:pPr>
        <w:spacing w:after="0" w:line="360" w:lineRule="auto"/>
        <w:ind w:right="51"/>
        <w:jc w:val="both"/>
        <w:rPr>
          <w:rFonts w:ascii="Palatino Linotype" w:eastAsia="Times New Roman" w:hAnsi="Palatino Linotype" w:cs="Times New Roman"/>
          <w:i/>
          <w:iCs/>
          <w:sz w:val="24"/>
          <w:szCs w:val="24"/>
          <w:lang w:val="es-ES" w:eastAsia="es-ES"/>
        </w:rPr>
      </w:pPr>
      <w:r w:rsidRPr="009655C1">
        <w:rPr>
          <w:rFonts w:ascii="Palatino Linotype" w:eastAsia="Times New Roman" w:hAnsi="Palatino Linotype" w:cs="Times New Roman"/>
          <w:i/>
          <w:iCs/>
          <w:sz w:val="24"/>
          <w:szCs w:val="24"/>
          <w:lang w:val="es-ES" w:eastAsia="es-ES"/>
        </w:rPr>
        <w:t>“Artículo 19. Corresponde a la Secretaría Técnica del Pleno ejercer las atribuciones siguientes:</w:t>
      </w:r>
    </w:p>
    <w:p w:rsidR="00B7691C" w:rsidRPr="009655C1" w:rsidRDefault="00B7691C" w:rsidP="00B7691C">
      <w:pPr>
        <w:spacing w:after="0" w:line="360" w:lineRule="auto"/>
        <w:ind w:right="51"/>
        <w:jc w:val="both"/>
        <w:rPr>
          <w:rFonts w:ascii="Palatino Linotype" w:eastAsia="Times New Roman" w:hAnsi="Palatino Linotype" w:cs="Times New Roman"/>
          <w:i/>
          <w:iCs/>
          <w:sz w:val="24"/>
          <w:szCs w:val="24"/>
          <w:lang w:val="es-ES" w:eastAsia="es-ES"/>
        </w:rPr>
      </w:pPr>
      <w:r w:rsidRPr="009655C1">
        <w:rPr>
          <w:rFonts w:ascii="Palatino Linotype" w:eastAsia="Times New Roman" w:hAnsi="Palatino Linotype" w:cs="Times New Roman"/>
          <w:i/>
          <w:iCs/>
          <w:sz w:val="24"/>
          <w:szCs w:val="24"/>
          <w:lang w:val="es-ES" w:eastAsia="es-ES"/>
        </w:rPr>
        <w:t>(…)</w:t>
      </w:r>
    </w:p>
    <w:p w:rsidR="00B7691C" w:rsidRPr="009655C1" w:rsidRDefault="00B7691C" w:rsidP="00B7691C">
      <w:pPr>
        <w:spacing w:after="0" w:line="360" w:lineRule="auto"/>
        <w:ind w:right="51"/>
        <w:jc w:val="both"/>
        <w:rPr>
          <w:rFonts w:ascii="Palatino Linotype" w:eastAsia="Times New Roman" w:hAnsi="Palatino Linotype" w:cs="Times New Roman"/>
          <w:i/>
          <w:iCs/>
          <w:sz w:val="24"/>
          <w:szCs w:val="24"/>
          <w:lang w:val="es-ES" w:eastAsia="es-ES"/>
        </w:rPr>
      </w:pPr>
      <w:r w:rsidRPr="009655C1">
        <w:rPr>
          <w:rFonts w:ascii="Palatino Linotype" w:eastAsia="Times New Roman" w:hAnsi="Palatino Linotype" w:cs="Times New Roman"/>
          <w:i/>
          <w:iCs/>
          <w:sz w:val="24"/>
          <w:szCs w:val="24"/>
          <w:lang w:val="es-ES" w:eastAsia="es-ES"/>
        </w:rPr>
        <w:lastRenderedPageBreak/>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rsidR="00B7691C" w:rsidRPr="009655C1"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p>
    <w:p w:rsidR="00B7691C" w:rsidRPr="009655C1" w:rsidRDefault="00B7691C" w:rsidP="00B7691C">
      <w:pPr>
        <w:spacing w:after="0" w:line="360" w:lineRule="auto"/>
        <w:ind w:right="51"/>
        <w:jc w:val="both"/>
        <w:rPr>
          <w:rFonts w:ascii="Palatino Linotype" w:eastAsia="Times New Roman" w:hAnsi="Palatino Linotype" w:cs="Times New Roman"/>
          <w:iCs/>
          <w:sz w:val="24"/>
          <w:szCs w:val="24"/>
          <w:lang w:val="es-ES" w:eastAsia="es-ES"/>
        </w:rPr>
      </w:pPr>
      <w:r w:rsidRPr="009655C1">
        <w:rPr>
          <w:rFonts w:ascii="Palatino Linotype" w:eastAsia="Times New Roman" w:hAnsi="Palatino Linotype" w:cs="Times New Roman"/>
          <w:iCs/>
          <w:sz w:val="24"/>
          <w:szCs w:val="24"/>
          <w:lang w:val="es-ES" w:eastAsia="es-ES"/>
        </w:rPr>
        <w:t>Por lo que es menester en este asunto, dar vista a la Secretaría Técnica del Pleno a efecto de que ejerza las atribuciones previstas en la normatividad aplicable y comunique al  Órgano de Control Interno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B7691C" w:rsidRPr="009655C1" w:rsidRDefault="00B7691C" w:rsidP="00B7691C">
      <w:pPr>
        <w:spacing w:after="0" w:line="360" w:lineRule="auto"/>
        <w:ind w:right="51"/>
        <w:jc w:val="both"/>
        <w:rPr>
          <w:rFonts w:ascii="Palatino Linotype" w:eastAsiaTheme="minorEastAsia" w:hAnsi="Palatino Linotype" w:cs="Arial"/>
          <w:sz w:val="24"/>
          <w:szCs w:val="24"/>
          <w:lang w:val="es-ES_tradnl" w:eastAsia="es-ES"/>
        </w:rPr>
      </w:pPr>
    </w:p>
    <w:p w:rsidR="00B7691C" w:rsidRPr="009655C1" w:rsidRDefault="00B7691C" w:rsidP="00B7691C">
      <w:pPr>
        <w:numPr>
          <w:ilvl w:val="0"/>
          <w:numId w:val="1"/>
        </w:numPr>
        <w:spacing w:after="0" w:line="360" w:lineRule="auto"/>
        <w:jc w:val="both"/>
        <w:rPr>
          <w:rFonts w:ascii="Palatino Linotype" w:eastAsia="Times New Roman" w:hAnsi="Palatino Linotype" w:cs="Arial"/>
          <w:b/>
          <w:i/>
          <w:sz w:val="28"/>
          <w:szCs w:val="24"/>
          <w:lang w:val="es-ES" w:eastAsia="es-ES"/>
        </w:rPr>
      </w:pPr>
      <w:r w:rsidRPr="009655C1">
        <w:rPr>
          <w:rFonts w:ascii="Palatino Linotype" w:eastAsia="Times New Roman" w:hAnsi="Palatino Linotype" w:cs="Arial"/>
          <w:b/>
          <w:i/>
          <w:sz w:val="28"/>
          <w:szCs w:val="24"/>
          <w:lang w:val="es-ES" w:eastAsia="es-ES"/>
        </w:rPr>
        <w:t>De la Versión pública</w:t>
      </w: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r w:rsidRPr="009655C1">
        <w:rPr>
          <w:rFonts w:ascii="Palatino Linotype" w:eastAsia="Times New Roman" w:hAnsi="Palatino Linotype" w:cs="Times New Roman"/>
          <w:bCs/>
          <w:sz w:val="24"/>
          <w:szCs w:val="24"/>
          <w:lang w:eastAsia="es-ES"/>
        </w:rPr>
        <w:t>A este respecto, los</w:t>
      </w:r>
      <w:r w:rsidRPr="009655C1">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rsidR="00B7691C" w:rsidRPr="009655C1" w:rsidRDefault="00B7691C" w:rsidP="00B7691C">
      <w:pPr>
        <w:spacing w:after="0" w:line="360" w:lineRule="auto"/>
        <w:jc w:val="both"/>
        <w:rPr>
          <w:rFonts w:ascii="Palatino Linotype" w:eastAsia="Times New Roman" w:hAnsi="Palatino Linotype" w:cs="Times New Roman"/>
          <w:b/>
          <w:bCs/>
          <w:i/>
          <w:noProof/>
          <w:sz w:val="24"/>
          <w:szCs w:val="24"/>
          <w:lang w:eastAsia="es-ES"/>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ES"/>
        </w:rPr>
      </w:pPr>
      <w:r w:rsidRPr="009655C1">
        <w:rPr>
          <w:rFonts w:ascii="Palatino Linotype" w:eastAsia="Times New Roman" w:hAnsi="Palatino Linotype" w:cs="Arial"/>
          <w:b/>
          <w:bCs/>
          <w:i/>
          <w:noProof/>
          <w:lang w:eastAsia="es-ES"/>
        </w:rPr>
        <w:t>“</w:t>
      </w:r>
      <w:r w:rsidRPr="009655C1">
        <w:rPr>
          <w:rFonts w:ascii="Palatino Linotype" w:eastAsia="Times New Roman" w:hAnsi="Palatino Linotype" w:cs="Arial"/>
          <w:b/>
          <w:bCs/>
          <w:i/>
          <w:lang w:eastAsia="es-MX"/>
        </w:rPr>
        <w:t>Artículo</w:t>
      </w:r>
      <w:r w:rsidRPr="009655C1">
        <w:rPr>
          <w:rFonts w:ascii="Palatino Linotype" w:eastAsia="Times New Roman" w:hAnsi="Palatino Linotype" w:cs="Arial"/>
          <w:b/>
          <w:bCs/>
          <w:i/>
          <w:lang w:eastAsia="es-ES"/>
        </w:rPr>
        <w:t xml:space="preserve"> 3. </w:t>
      </w:r>
      <w:r w:rsidRPr="009655C1">
        <w:rPr>
          <w:rFonts w:ascii="Palatino Linotype" w:eastAsia="Times New Roman" w:hAnsi="Palatino Linotype" w:cs="Times New Roman"/>
          <w:i/>
          <w:lang w:eastAsia="es-ES"/>
        </w:rPr>
        <w:t xml:space="preserve">Para los efectos de la presente Ley se entenderá por: </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ES"/>
        </w:rPr>
      </w:pPr>
    </w:p>
    <w:p w:rsidR="00B7691C" w:rsidRPr="009655C1" w:rsidRDefault="00B7691C" w:rsidP="00B7691C">
      <w:pPr>
        <w:spacing w:after="0" w:line="240" w:lineRule="auto"/>
        <w:ind w:left="567" w:right="567"/>
        <w:jc w:val="both"/>
        <w:rPr>
          <w:rFonts w:ascii="Palatino Linotype" w:eastAsia="Times New Roman" w:hAnsi="Palatino Linotype" w:cs="Arial"/>
          <w:i/>
          <w:lang w:eastAsia="es-ES"/>
        </w:rPr>
      </w:pPr>
      <w:r w:rsidRPr="009655C1">
        <w:rPr>
          <w:rFonts w:ascii="Palatino Linotype" w:eastAsia="Times New Roman" w:hAnsi="Palatino Linotype" w:cs="Arial"/>
          <w:b/>
          <w:i/>
          <w:lang w:eastAsia="es-ES"/>
        </w:rPr>
        <w:lastRenderedPageBreak/>
        <w:t>IX.</w:t>
      </w:r>
      <w:r w:rsidRPr="009655C1">
        <w:rPr>
          <w:rFonts w:ascii="Palatino Linotype" w:eastAsia="Times New Roman" w:hAnsi="Palatino Linotype" w:cs="Arial"/>
          <w:i/>
          <w:lang w:eastAsia="es-ES"/>
        </w:rPr>
        <w:t xml:space="preserve"> </w:t>
      </w:r>
      <w:r w:rsidRPr="009655C1">
        <w:rPr>
          <w:rFonts w:ascii="Palatino Linotype" w:eastAsia="Times New Roman" w:hAnsi="Palatino Linotype" w:cs="Arial"/>
          <w:b/>
          <w:i/>
          <w:lang w:eastAsia="es-ES"/>
        </w:rPr>
        <w:t xml:space="preserve">Datos personales: </w:t>
      </w:r>
      <w:r w:rsidRPr="009655C1">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rsidR="00B7691C" w:rsidRPr="009655C1" w:rsidRDefault="00B7691C" w:rsidP="00B7691C">
      <w:pPr>
        <w:spacing w:after="0" w:line="240" w:lineRule="auto"/>
        <w:ind w:left="567" w:right="567"/>
        <w:jc w:val="both"/>
        <w:rPr>
          <w:rFonts w:ascii="Palatino Linotype" w:eastAsia="Times New Roman" w:hAnsi="Palatino Linotype" w:cs="Arial"/>
          <w:i/>
          <w:lang w:eastAsia="es-ES"/>
        </w:rPr>
      </w:pPr>
    </w:p>
    <w:p w:rsidR="00B7691C" w:rsidRPr="009655C1" w:rsidRDefault="00B7691C" w:rsidP="00B7691C">
      <w:pPr>
        <w:spacing w:after="0" w:line="240" w:lineRule="auto"/>
        <w:ind w:left="567" w:right="567"/>
        <w:jc w:val="both"/>
        <w:rPr>
          <w:rFonts w:ascii="Palatino Linotype" w:eastAsia="Times New Roman" w:hAnsi="Palatino Linotype" w:cs="Arial"/>
          <w:i/>
          <w:lang w:eastAsia="es-ES"/>
        </w:rPr>
      </w:pPr>
      <w:r w:rsidRPr="009655C1">
        <w:rPr>
          <w:rFonts w:ascii="Palatino Linotype" w:eastAsia="Times New Roman" w:hAnsi="Palatino Linotype" w:cs="Arial"/>
          <w:b/>
          <w:i/>
          <w:lang w:eastAsia="es-ES"/>
        </w:rPr>
        <w:t>XX.</w:t>
      </w:r>
      <w:r w:rsidRPr="009655C1">
        <w:rPr>
          <w:rFonts w:ascii="Palatino Linotype" w:eastAsia="Times New Roman" w:hAnsi="Palatino Linotype" w:cs="Arial"/>
          <w:i/>
          <w:lang w:eastAsia="es-ES"/>
        </w:rPr>
        <w:t xml:space="preserve"> </w:t>
      </w:r>
      <w:r w:rsidRPr="009655C1">
        <w:rPr>
          <w:rFonts w:ascii="Palatino Linotype" w:eastAsia="Times New Roman" w:hAnsi="Palatino Linotype" w:cs="Arial"/>
          <w:b/>
          <w:i/>
          <w:lang w:eastAsia="es-ES"/>
        </w:rPr>
        <w:t>Información clasificada:</w:t>
      </w:r>
      <w:r w:rsidRPr="009655C1">
        <w:rPr>
          <w:rFonts w:ascii="Palatino Linotype" w:eastAsia="Times New Roman" w:hAnsi="Palatino Linotype" w:cs="Arial"/>
          <w:i/>
          <w:lang w:eastAsia="es-ES"/>
        </w:rPr>
        <w:t xml:space="preserve"> Aquella considerada por la presente Ley como reservada o confidencial; </w:t>
      </w:r>
    </w:p>
    <w:p w:rsidR="00B7691C" w:rsidRPr="009655C1" w:rsidRDefault="00B7691C" w:rsidP="00B7691C">
      <w:pPr>
        <w:spacing w:after="0" w:line="240" w:lineRule="auto"/>
        <w:ind w:left="567" w:right="567"/>
        <w:jc w:val="both"/>
        <w:rPr>
          <w:rFonts w:ascii="Palatino Linotype" w:eastAsia="Times New Roman" w:hAnsi="Palatino Linotype" w:cs="Arial"/>
          <w:i/>
          <w:lang w:eastAsia="es-ES"/>
        </w:rPr>
      </w:pPr>
    </w:p>
    <w:p w:rsidR="00B7691C" w:rsidRPr="009655C1" w:rsidRDefault="00B7691C" w:rsidP="00B7691C">
      <w:pPr>
        <w:spacing w:after="0" w:line="240" w:lineRule="auto"/>
        <w:ind w:left="567" w:right="567"/>
        <w:jc w:val="both"/>
        <w:rPr>
          <w:rFonts w:ascii="Palatino Linotype" w:eastAsia="Times New Roman" w:hAnsi="Palatino Linotype" w:cs="Arial"/>
          <w:i/>
          <w:lang w:eastAsia="es-ES"/>
        </w:rPr>
      </w:pPr>
      <w:r w:rsidRPr="009655C1">
        <w:rPr>
          <w:rFonts w:ascii="Palatino Linotype" w:eastAsia="Times New Roman" w:hAnsi="Palatino Linotype" w:cs="Arial"/>
          <w:b/>
          <w:i/>
          <w:lang w:eastAsia="es-ES"/>
        </w:rPr>
        <w:t>XXI.</w:t>
      </w:r>
      <w:r w:rsidRPr="009655C1">
        <w:rPr>
          <w:rFonts w:ascii="Palatino Linotype" w:eastAsia="Times New Roman" w:hAnsi="Palatino Linotype" w:cs="Arial"/>
          <w:i/>
          <w:lang w:eastAsia="es-ES"/>
        </w:rPr>
        <w:t xml:space="preserve"> </w:t>
      </w:r>
      <w:r w:rsidRPr="009655C1">
        <w:rPr>
          <w:rFonts w:ascii="Palatino Linotype" w:eastAsia="Times New Roman" w:hAnsi="Palatino Linotype" w:cs="Arial"/>
          <w:b/>
          <w:i/>
          <w:lang w:eastAsia="es-ES"/>
        </w:rPr>
        <w:t>Información confidencial</w:t>
      </w:r>
      <w:r w:rsidRPr="009655C1">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B7691C" w:rsidRPr="009655C1" w:rsidRDefault="00B7691C" w:rsidP="00B7691C">
      <w:pPr>
        <w:spacing w:after="0" w:line="240" w:lineRule="auto"/>
        <w:ind w:left="567" w:right="567"/>
        <w:jc w:val="both"/>
        <w:rPr>
          <w:rFonts w:ascii="Palatino Linotype" w:eastAsia="Times New Roman" w:hAnsi="Palatino Linotype" w:cs="Arial"/>
          <w:i/>
          <w:lang w:eastAsia="es-ES"/>
        </w:rPr>
      </w:pPr>
      <w:r w:rsidRPr="009655C1">
        <w:rPr>
          <w:rFonts w:ascii="Palatino Linotype" w:eastAsia="Times New Roman" w:hAnsi="Palatino Linotype" w:cs="Arial"/>
          <w:b/>
          <w:i/>
          <w:lang w:eastAsia="es-ES"/>
        </w:rPr>
        <w:t>XLV. Versión pública:</w:t>
      </w:r>
      <w:r w:rsidRPr="009655C1">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rsidR="00B7691C" w:rsidRPr="009655C1" w:rsidRDefault="00B7691C" w:rsidP="00B7691C">
      <w:pPr>
        <w:spacing w:after="0" w:line="240" w:lineRule="auto"/>
        <w:ind w:left="567" w:right="567"/>
        <w:jc w:val="both"/>
        <w:rPr>
          <w:rFonts w:ascii="Palatino Linotype" w:eastAsia="Times New Roman" w:hAnsi="Palatino Linotype" w:cs="Arial"/>
          <w:i/>
          <w:lang w:eastAsia="es-ES"/>
        </w:rPr>
      </w:pPr>
    </w:p>
    <w:p w:rsidR="00B7691C" w:rsidRPr="009655C1" w:rsidRDefault="00B7691C" w:rsidP="00B7691C">
      <w:pPr>
        <w:spacing w:after="0" w:line="240" w:lineRule="auto"/>
        <w:ind w:left="567" w:right="567"/>
        <w:jc w:val="both"/>
        <w:rPr>
          <w:rFonts w:ascii="Palatino Linotype" w:eastAsia="Times New Roman" w:hAnsi="Palatino Linotype" w:cs="Arial"/>
          <w:i/>
          <w:lang w:eastAsia="es-ES"/>
        </w:rPr>
      </w:pPr>
      <w:r w:rsidRPr="009655C1">
        <w:rPr>
          <w:rFonts w:ascii="Palatino Linotype" w:eastAsia="Times New Roman" w:hAnsi="Palatino Linotype" w:cs="Arial"/>
          <w:b/>
          <w:i/>
          <w:lang w:eastAsia="es-ES"/>
        </w:rPr>
        <w:t>Artículo 51.</w:t>
      </w:r>
      <w:r w:rsidRPr="009655C1">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655C1">
        <w:rPr>
          <w:rFonts w:ascii="Palatino Linotype" w:eastAsia="Times New Roman" w:hAnsi="Palatino Linotype" w:cs="Arial"/>
          <w:b/>
          <w:i/>
          <w:lang w:eastAsia="es-ES"/>
        </w:rPr>
        <w:t xml:space="preserve">y tendrá la responsabilidad de verificar en cada caso que la misma no sea confidencial o reservada. </w:t>
      </w:r>
      <w:r w:rsidRPr="009655C1">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rsidR="00B7691C" w:rsidRPr="009655C1" w:rsidRDefault="00B7691C" w:rsidP="00B7691C">
      <w:pPr>
        <w:spacing w:after="0" w:line="240" w:lineRule="auto"/>
        <w:ind w:left="567" w:right="567"/>
        <w:jc w:val="both"/>
        <w:rPr>
          <w:rFonts w:ascii="Palatino Linotype" w:eastAsia="Times New Roman" w:hAnsi="Palatino Linotype" w:cs="Arial"/>
          <w:i/>
          <w:lang w:eastAsia="es-ES"/>
        </w:rPr>
      </w:pPr>
    </w:p>
    <w:p w:rsidR="00B7691C" w:rsidRPr="009655C1" w:rsidRDefault="00B7691C" w:rsidP="00B7691C">
      <w:pPr>
        <w:spacing w:after="0" w:line="240" w:lineRule="auto"/>
        <w:ind w:left="567" w:right="567"/>
        <w:jc w:val="both"/>
        <w:rPr>
          <w:rFonts w:ascii="Palatino Linotype" w:eastAsia="Times New Roman" w:hAnsi="Palatino Linotype" w:cs="Arial"/>
          <w:bCs/>
          <w:noProof/>
          <w:sz w:val="24"/>
          <w:szCs w:val="24"/>
          <w:lang w:eastAsia="es-ES"/>
        </w:rPr>
      </w:pPr>
      <w:r w:rsidRPr="009655C1">
        <w:rPr>
          <w:rFonts w:ascii="Palatino Linotype" w:eastAsia="Times New Roman" w:hAnsi="Palatino Linotype" w:cs="Arial"/>
          <w:b/>
          <w:i/>
          <w:lang w:eastAsia="es-ES"/>
        </w:rPr>
        <w:t>Artículo 52.</w:t>
      </w:r>
      <w:r w:rsidRPr="009655C1">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655C1">
        <w:rPr>
          <w:rFonts w:ascii="Palatino Linotype" w:eastAsia="Times New Roman" w:hAnsi="Palatino Linotype" w:cs="Arial"/>
          <w:bCs/>
          <w:i/>
          <w:noProof/>
          <w:lang w:eastAsia="es-ES"/>
        </w:rPr>
        <w:t>”</w:t>
      </w: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655C1" w:rsidRDefault="00B7691C" w:rsidP="00B7691C">
      <w:pPr>
        <w:spacing w:after="0" w:line="360" w:lineRule="auto"/>
        <w:jc w:val="both"/>
        <w:rPr>
          <w:rFonts w:ascii="Palatino Linotype" w:eastAsia="Arial Unicode MS" w:hAnsi="Palatino Linotype" w:cs="Arial"/>
          <w:i/>
          <w:szCs w:val="24"/>
          <w:lang w:eastAsia="es-ES"/>
        </w:rPr>
      </w:pPr>
      <w:r w:rsidRPr="009655C1">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rsidR="00B7691C" w:rsidRPr="009655C1" w:rsidRDefault="00B7691C" w:rsidP="00B7691C">
      <w:pPr>
        <w:spacing w:after="0" w:line="360" w:lineRule="auto"/>
        <w:jc w:val="both"/>
        <w:rPr>
          <w:rFonts w:ascii="Palatino Linotype" w:eastAsia="Arial Unicode MS" w:hAnsi="Palatino Linotype"/>
        </w:rPr>
      </w:pPr>
    </w:p>
    <w:p w:rsidR="00B7691C" w:rsidRPr="009655C1" w:rsidRDefault="00B7691C" w:rsidP="00B7691C">
      <w:pPr>
        <w:spacing w:after="0" w:line="360" w:lineRule="auto"/>
        <w:jc w:val="both"/>
        <w:rPr>
          <w:rFonts w:ascii="Palatino Linotype" w:hAnsi="Palatino Linotype"/>
          <w:sz w:val="24"/>
        </w:rPr>
      </w:pPr>
      <w:r w:rsidRPr="009655C1">
        <w:rPr>
          <w:rFonts w:ascii="Palatino Linotype" w:hAnsi="Palatino Linotype"/>
          <w:sz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rsidR="00B7691C" w:rsidRPr="009655C1" w:rsidRDefault="00B7691C" w:rsidP="00B7691C">
      <w:pPr>
        <w:spacing w:after="0" w:line="360" w:lineRule="auto"/>
        <w:jc w:val="both"/>
        <w:rPr>
          <w:rFonts w:ascii="Palatino Linotype" w:hAnsi="Palatino Linotype"/>
          <w:sz w:val="24"/>
        </w:rPr>
      </w:pPr>
    </w:p>
    <w:p w:rsidR="00B7691C" w:rsidRPr="009655C1" w:rsidRDefault="00B7691C" w:rsidP="00B7691C">
      <w:pPr>
        <w:spacing w:after="0" w:line="360" w:lineRule="auto"/>
        <w:jc w:val="both"/>
        <w:rPr>
          <w:rFonts w:ascii="Palatino Linotype" w:eastAsia="Arial Unicode MS" w:hAnsi="Palatino Linotype"/>
          <w:sz w:val="24"/>
          <w:lang w:val="es-ES"/>
        </w:rPr>
      </w:pPr>
      <w:r w:rsidRPr="009655C1">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655C1">
        <w:rPr>
          <w:rFonts w:ascii="Palatino Linotype" w:eastAsia="Arial Unicode MS" w:hAnsi="Palatino Linotype"/>
          <w:color w:val="000000"/>
          <w:sz w:val="24"/>
          <w:lang w:eastAsia="es-MX"/>
        </w:rPr>
        <w:t>el Sujeto Obligado</w:t>
      </w:r>
      <w:r w:rsidRPr="009655C1">
        <w:rPr>
          <w:rFonts w:ascii="Palatino Linotype" w:eastAsia="Arial Unicode MS" w:hAnsi="Palatino Linotype"/>
          <w:sz w:val="24"/>
          <w:lang w:val="es-ES"/>
        </w:rPr>
        <w:t xml:space="preserve">, en ese contexto, todo dato personal susceptible de clasificación debe ser protegido. </w:t>
      </w:r>
    </w:p>
    <w:p w:rsidR="00B7691C" w:rsidRPr="009655C1" w:rsidRDefault="00B7691C" w:rsidP="00B7691C">
      <w:pPr>
        <w:spacing w:after="0" w:line="360" w:lineRule="auto"/>
        <w:jc w:val="both"/>
        <w:rPr>
          <w:rFonts w:ascii="Palatino Linotype" w:eastAsia="Times New Roman" w:hAnsi="Palatino Linotype" w:cs="Times New Roman"/>
          <w:sz w:val="24"/>
          <w:szCs w:val="24"/>
          <w:lang w:val="es-ES_tradnl" w:eastAsia="es-ES"/>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ES"/>
        </w:rPr>
      </w:pPr>
      <w:r w:rsidRPr="009655C1">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9655C1">
        <w:rPr>
          <w:rFonts w:ascii="Palatino Linotype" w:eastAsia="Times New Roman" w:hAnsi="Palatino Linotype" w:cs="Times New Roman"/>
          <w:sz w:val="24"/>
          <w:szCs w:val="24"/>
          <w:lang w:val="es-ES" w:eastAsia="es-ES"/>
        </w:rPr>
        <w:t>resulta necesario que el Comité de Transparencia d</w:t>
      </w:r>
      <w:r w:rsidRPr="009655C1">
        <w:rPr>
          <w:rFonts w:ascii="Palatino Linotype" w:eastAsia="Times New Roman" w:hAnsi="Palatino Linotype" w:cs="Times New Roman"/>
          <w:sz w:val="24"/>
          <w:szCs w:val="24"/>
          <w:lang w:val="es-ES_tradnl" w:eastAsia="es-ES"/>
        </w:rPr>
        <w:t xml:space="preserve">el </w:t>
      </w:r>
      <w:r w:rsidRPr="009655C1">
        <w:rPr>
          <w:rFonts w:ascii="Palatino Linotype" w:eastAsia="Times New Roman" w:hAnsi="Palatino Linotype" w:cs="Times New Roman"/>
          <w:b/>
          <w:sz w:val="24"/>
          <w:szCs w:val="24"/>
          <w:lang w:val="es-ES_tradnl" w:eastAsia="es-ES"/>
        </w:rPr>
        <w:t>sujeto obligado</w:t>
      </w:r>
      <w:r w:rsidRPr="009655C1">
        <w:rPr>
          <w:rFonts w:ascii="Palatino Linotype" w:eastAsia="Times New Roman" w:hAnsi="Palatino Linotype" w:cs="Times New Roman"/>
          <w:sz w:val="24"/>
          <w:szCs w:val="24"/>
          <w:lang w:val="es-ES_tradnl" w:eastAsia="es-ES"/>
        </w:rPr>
        <w:t xml:space="preserve"> </w:t>
      </w:r>
      <w:r w:rsidRPr="009655C1">
        <w:rPr>
          <w:rFonts w:ascii="Palatino Linotype" w:eastAsia="Times New Roman" w:hAnsi="Palatino Linotype" w:cs="Times New Roman"/>
          <w:sz w:val="24"/>
          <w:szCs w:val="24"/>
          <w:lang w:val="es-ES" w:eastAsia="es-ES"/>
        </w:rPr>
        <w:t>emita el Acuerdo de Clasificación correspondiente</w:t>
      </w:r>
      <w:r w:rsidRPr="009655C1">
        <w:rPr>
          <w:rFonts w:ascii="Palatino Linotype" w:eastAsia="Times New Roman" w:hAnsi="Palatino Linotype" w:cs="Times New Roman"/>
          <w:sz w:val="24"/>
          <w:szCs w:val="24"/>
          <w:lang w:val="es-ES_tradnl" w:eastAsia="es-ES"/>
        </w:rPr>
        <w:t xml:space="preserve"> debidamente fundado y motivado, </w:t>
      </w:r>
      <w:r w:rsidRPr="009655C1">
        <w:rPr>
          <w:rFonts w:ascii="Palatino Linotype" w:eastAsia="Times New Roman" w:hAnsi="Palatino Linotype" w:cs="Times New Roman"/>
          <w:sz w:val="24"/>
          <w:szCs w:val="24"/>
          <w:lang w:val="es-ES"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w:t>
      </w:r>
      <w:r w:rsidRPr="009655C1">
        <w:rPr>
          <w:rFonts w:ascii="Palatino Linotype" w:eastAsia="Times New Roman" w:hAnsi="Palatino Linotype" w:cs="Times New Roman"/>
          <w:sz w:val="24"/>
          <w:szCs w:val="24"/>
          <w:lang w:val="es-ES" w:eastAsia="es-ES"/>
        </w:rPr>
        <w:lastRenderedPageBreak/>
        <w:t>mediante Acuerdo del Consejo Nacional del Sistema Nacional de Transparencia, Acceso a la Información Pública y Protección de Datos Personales.</w:t>
      </w: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ES"/>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ES"/>
        </w:rPr>
      </w:pPr>
      <w:r w:rsidRPr="009655C1">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9655C1">
        <w:rPr>
          <w:rFonts w:ascii="Palatino Linotype" w:eastAsia="Times New Roman" w:hAnsi="Palatino Linotype" w:cs="Times New Roman"/>
          <w:b/>
          <w:sz w:val="24"/>
          <w:szCs w:val="24"/>
          <w:lang w:val="es-ES" w:eastAsia="es-ES"/>
        </w:rPr>
        <w:t>Registro Federal de Contribuyentes</w:t>
      </w:r>
      <w:r w:rsidRPr="009655C1">
        <w:rPr>
          <w:rFonts w:ascii="Palatino Linotype" w:eastAsia="Times New Roman" w:hAnsi="Palatino Linotype" w:cs="Times New Roman"/>
          <w:sz w:val="24"/>
          <w:szCs w:val="24"/>
          <w:lang w:val="es-ES" w:eastAsia="es-ES"/>
        </w:rPr>
        <w:t xml:space="preserve"> (RFC) y la </w:t>
      </w:r>
      <w:r w:rsidRPr="009655C1">
        <w:rPr>
          <w:rFonts w:ascii="Palatino Linotype" w:eastAsia="Times New Roman" w:hAnsi="Palatino Linotype" w:cs="Times New Roman"/>
          <w:b/>
          <w:sz w:val="24"/>
          <w:szCs w:val="24"/>
          <w:lang w:val="es-ES" w:eastAsia="es-ES"/>
        </w:rPr>
        <w:t>Clave Única de Registro de Población</w:t>
      </w:r>
      <w:r w:rsidRPr="009655C1">
        <w:rPr>
          <w:rFonts w:ascii="Palatino Linotype" w:eastAsia="Times New Roman" w:hAnsi="Palatino Linotype" w:cs="Times New Roman"/>
          <w:sz w:val="24"/>
          <w:szCs w:val="24"/>
          <w:lang w:val="es-ES" w:eastAsia="es-ES"/>
        </w:rPr>
        <w:t xml:space="preserve"> (CURP).</w:t>
      </w:r>
    </w:p>
    <w:p w:rsidR="00B7691C" w:rsidRPr="009655C1" w:rsidRDefault="00B7691C" w:rsidP="00B7691C">
      <w:pPr>
        <w:spacing w:after="0" w:line="360" w:lineRule="auto"/>
        <w:jc w:val="both"/>
        <w:rPr>
          <w:rFonts w:ascii="Palatino Linotype" w:eastAsia="Times New Roman" w:hAnsi="Palatino Linotype" w:cs="Times New Roman"/>
          <w:sz w:val="24"/>
          <w:szCs w:val="24"/>
        </w:rPr>
      </w:pPr>
    </w:p>
    <w:p w:rsidR="00B7691C" w:rsidRPr="009655C1" w:rsidRDefault="00B7691C" w:rsidP="00B7691C">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655C1">
        <w:rPr>
          <w:rFonts w:ascii="Palatino Linotype" w:eastAsia="Times New Roman" w:hAnsi="Palatino Linotype" w:cs="Arial"/>
          <w:sz w:val="24"/>
          <w:szCs w:val="24"/>
          <w:lang w:eastAsia="es-MX"/>
        </w:rPr>
        <w:t>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rsidR="00B7691C" w:rsidRPr="009655C1" w:rsidRDefault="00B7691C" w:rsidP="00B7691C">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rsidR="00B7691C" w:rsidRPr="009655C1" w:rsidRDefault="00B7691C" w:rsidP="00B7691C">
      <w:pPr>
        <w:spacing w:after="0" w:line="360" w:lineRule="auto"/>
        <w:ind w:right="-91"/>
        <w:jc w:val="both"/>
        <w:rPr>
          <w:rFonts w:ascii="Palatino Linotype" w:eastAsia="Times New Roman" w:hAnsi="Palatino Linotype" w:cs="Arial"/>
          <w:sz w:val="24"/>
          <w:szCs w:val="24"/>
          <w:lang w:eastAsia="es-MX"/>
        </w:rPr>
      </w:pPr>
      <w:r w:rsidRPr="009655C1">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rsidR="00B7691C" w:rsidRPr="009655C1" w:rsidRDefault="00B7691C" w:rsidP="00B7691C">
      <w:pPr>
        <w:spacing w:after="0" w:line="360" w:lineRule="auto"/>
        <w:ind w:right="-91"/>
        <w:jc w:val="both"/>
        <w:rPr>
          <w:rFonts w:ascii="Palatino Linotype" w:eastAsia="Times New Roman" w:hAnsi="Palatino Linotype" w:cs="Arial"/>
          <w:sz w:val="24"/>
          <w:szCs w:val="24"/>
          <w:lang w:eastAsia="es-MX"/>
        </w:rPr>
      </w:pPr>
    </w:p>
    <w:p w:rsidR="00B7691C" w:rsidRPr="009655C1" w:rsidRDefault="00B7691C" w:rsidP="00B7691C">
      <w:pPr>
        <w:spacing w:after="0" w:line="240" w:lineRule="auto"/>
        <w:ind w:left="567" w:right="567"/>
        <w:jc w:val="both"/>
        <w:rPr>
          <w:rFonts w:ascii="Palatino Linotype" w:eastAsia="Times New Roman" w:hAnsi="Palatino Linotype" w:cs="Arial"/>
          <w:b/>
          <w:bCs/>
          <w:i/>
        </w:rPr>
      </w:pPr>
      <w:r w:rsidRPr="009655C1">
        <w:rPr>
          <w:rFonts w:ascii="Palatino Linotype" w:eastAsia="Times New Roman" w:hAnsi="Palatino Linotype" w:cs="Arial"/>
          <w:bCs/>
          <w:i/>
        </w:rPr>
        <w:t>“</w:t>
      </w:r>
      <w:r w:rsidRPr="009655C1">
        <w:rPr>
          <w:rFonts w:ascii="Palatino Linotype" w:eastAsia="Times New Roman" w:hAnsi="Palatino Linotype" w:cs="Arial"/>
          <w:b/>
          <w:bCs/>
          <w:i/>
        </w:rPr>
        <w:t xml:space="preserve">Registro Federal de Contribuyentes (RFC) de personas físicas. </w:t>
      </w:r>
      <w:r w:rsidRPr="009655C1">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rsidR="00B7691C" w:rsidRPr="009655C1" w:rsidRDefault="00B7691C" w:rsidP="00B7691C">
      <w:pPr>
        <w:spacing w:after="0" w:line="240" w:lineRule="auto"/>
        <w:ind w:left="567" w:right="567"/>
        <w:jc w:val="both"/>
        <w:rPr>
          <w:rFonts w:ascii="Palatino Linotype" w:eastAsia="Times New Roman" w:hAnsi="Palatino Linotype" w:cs="Arial"/>
          <w:bCs/>
          <w:i/>
          <w:sz w:val="20"/>
        </w:rPr>
      </w:pPr>
      <w:r w:rsidRPr="009655C1">
        <w:rPr>
          <w:rFonts w:ascii="Palatino Linotype" w:eastAsia="Times New Roman" w:hAnsi="Palatino Linotype" w:cs="Arial"/>
          <w:bCs/>
          <w:i/>
          <w:sz w:val="20"/>
        </w:rPr>
        <w:t>Resoluciones:</w:t>
      </w:r>
    </w:p>
    <w:p w:rsidR="00B7691C" w:rsidRPr="009655C1" w:rsidRDefault="00B7691C" w:rsidP="00B7691C">
      <w:pPr>
        <w:spacing w:after="0" w:line="240" w:lineRule="auto"/>
        <w:ind w:left="567" w:right="567"/>
        <w:jc w:val="both"/>
        <w:rPr>
          <w:rFonts w:ascii="Palatino Linotype" w:eastAsia="Times New Roman" w:hAnsi="Palatino Linotype" w:cs="Arial"/>
          <w:bCs/>
          <w:i/>
          <w:sz w:val="20"/>
        </w:rPr>
      </w:pPr>
      <w:r w:rsidRPr="009655C1">
        <w:rPr>
          <w:rFonts w:ascii="Palatino Linotype" w:eastAsia="Times New Roman" w:hAnsi="Palatino Linotype" w:cs="Arial"/>
          <w:bCs/>
          <w:i/>
          <w:sz w:val="20"/>
        </w:rPr>
        <w:t>•</w:t>
      </w:r>
      <w:r w:rsidRPr="009655C1">
        <w:rPr>
          <w:rFonts w:ascii="Palatino Linotype" w:eastAsia="Times New Roman" w:hAnsi="Palatino Linotype" w:cs="Arial"/>
          <w:bCs/>
          <w:i/>
          <w:sz w:val="20"/>
        </w:rPr>
        <w:tab/>
        <w:t>RRA 0189/17. Morena. 08 de febrero de 2017. Por unanimidad. Comisionado Ponente Joel Salas Suárez.</w:t>
      </w:r>
    </w:p>
    <w:p w:rsidR="00B7691C" w:rsidRPr="009655C1" w:rsidRDefault="00B7691C" w:rsidP="00B7691C">
      <w:pPr>
        <w:spacing w:after="0" w:line="240" w:lineRule="auto"/>
        <w:ind w:left="567" w:right="567"/>
        <w:jc w:val="both"/>
        <w:rPr>
          <w:rFonts w:ascii="Palatino Linotype" w:eastAsia="Times New Roman" w:hAnsi="Palatino Linotype" w:cs="Arial"/>
          <w:bCs/>
          <w:i/>
          <w:sz w:val="20"/>
        </w:rPr>
      </w:pPr>
      <w:r w:rsidRPr="009655C1">
        <w:rPr>
          <w:rFonts w:ascii="Palatino Linotype" w:eastAsia="Times New Roman" w:hAnsi="Palatino Linotype" w:cs="Arial"/>
          <w:bCs/>
          <w:i/>
          <w:sz w:val="20"/>
        </w:rPr>
        <w:t>•</w:t>
      </w:r>
      <w:r w:rsidRPr="009655C1">
        <w:rPr>
          <w:rFonts w:ascii="Palatino Linotype" w:eastAsia="Times New Roman" w:hAnsi="Palatino Linotype" w:cs="Arial"/>
          <w:bCs/>
          <w:i/>
          <w:sz w:val="20"/>
        </w:rPr>
        <w:tab/>
        <w:t xml:space="preserve">RRA 0677/17. Universidad Nacional Autónoma de México. 08 de marzo de 2017. Por unanimidad. Comisionado Ponente Rosendoevgueni Monterrey Chepov. </w:t>
      </w:r>
    </w:p>
    <w:p w:rsidR="00B7691C" w:rsidRPr="009655C1" w:rsidRDefault="00B7691C" w:rsidP="00B7691C">
      <w:pPr>
        <w:spacing w:after="0" w:line="240" w:lineRule="auto"/>
        <w:ind w:left="567" w:right="567"/>
        <w:jc w:val="both"/>
        <w:rPr>
          <w:rFonts w:ascii="Palatino Linotype" w:eastAsia="Times New Roman" w:hAnsi="Palatino Linotype" w:cs="Arial"/>
          <w:i/>
          <w:sz w:val="20"/>
        </w:rPr>
      </w:pPr>
      <w:r w:rsidRPr="009655C1">
        <w:rPr>
          <w:rFonts w:ascii="Palatino Linotype" w:eastAsia="Times New Roman" w:hAnsi="Palatino Linotype" w:cs="Arial"/>
          <w:bCs/>
          <w:i/>
          <w:sz w:val="20"/>
        </w:rPr>
        <w:lastRenderedPageBreak/>
        <w:t>•</w:t>
      </w:r>
      <w:r w:rsidRPr="009655C1">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655C1">
        <w:rPr>
          <w:rFonts w:ascii="Palatino Linotype" w:eastAsia="Times New Roman" w:hAnsi="Palatino Linotype" w:cs="Arial"/>
          <w:i/>
          <w:sz w:val="20"/>
        </w:rPr>
        <w:t>”</w:t>
      </w:r>
    </w:p>
    <w:p w:rsidR="00B7691C" w:rsidRPr="009655C1" w:rsidRDefault="00B7691C" w:rsidP="00B7691C">
      <w:pPr>
        <w:spacing w:after="0" w:line="360" w:lineRule="auto"/>
        <w:jc w:val="both"/>
        <w:rPr>
          <w:rFonts w:ascii="Palatino Linotype" w:eastAsia="Times New Roman" w:hAnsi="Palatino Linotype" w:cs="Arial"/>
          <w:sz w:val="24"/>
          <w:szCs w:val="24"/>
          <w:lang w:eastAsia="es-MX"/>
        </w:rPr>
      </w:pPr>
    </w:p>
    <w:p w:rsidR="00B7691C" w:rsidRPr="009655C1" w:rsidRDefault="00B7691C" w:rsidP="00B7691C">
      <w:pPr>
        <w:spacing w:after="0" w:line="360" w:lineRule="auto"/>
        <w:jc w:val="both"/>
        <w:rPr>
          <w:rFonts w:ascii="Palatino Linotype" w:eastAsia="Times New Roman" w:hAnsi="Palatino Linotype" w:cs="Arial"/>
          <w:sz w:val="24"/>
          <w:szCs w:val="24"/>
          <w:lang w:eastAsia="es-MX"/>
        </w:rPr>
      </w:pPr>
      <w:r w:rsidRPr="009655C1">
        <w:rPr>
          <w:rFonts w:ascii="Palatino Linotype" w:eastAsia="Times New Roman"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rsidR="00B7691C" w:rsidRPr="009655C1" w:rsidRDefault="00B7691C" w:rsidP="00B7691C">
      <w:pPr>
        <w:spacing w:after="0" w:line="360" w:lineRule="auto"/>
        <w:jc w:val="both"/>
        <w:rPr>
          <w:rFonts w:ascii="Palatino Linotype" w:eastAsia="Times New Roman" w:hAnsi="Palatino Linotype" w:cs="Arial"/>
          <w:sz w:val="24"/>
          <w:szCs w:val="24"/>
          <w:lang w:eastAsia="es-MX"/>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MX"/>
        </w:rPr>
      </w:pPr>
      <w:r w:rsidRPr="009655C1">
        <w:rPr>
          <w:rFonts w:ascii="Palatino Linotype" w:eastAsia="Times New Roman" w:hAnsi="Palatino Linotype" w:cs="Times New Roman"/>
          <w:sz w:val="24"/>
          <w:szCs w:val="24"/>
          <w:lang w:val="es-ES" w:eastAsia="es-MX"/>
        </w:rPr>
        <w:t xml:space="preserve">Por cuanto hace a la </w:t>
      </w:r>
      <w:r w:rsidRPr="009655C1">
        <w:rPr>
          <w:rFonts w:ascii="Palatino Linotype" w:eastAsia="Times New Roman" w:hAnsi="Palatino Linotype" w:cs="Times New Roman"/>
          <w:b/>
          <w:sz w:val="24"/>
          <w:szCs w:val="24"/>
          <w:lang w:val="es-ES" w:eastAsia="es-ES"/>
        </w:rPr>
        <w:t xml:space="preserve">Clave Única de Registro de Población, </w:t>
      </w:r>
      <w:r w:rsidRPr="009655C1">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MX"/>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MX"/>
        </w:rPr>
      </w:pPr>
      <w:r w:rsidRPr="009655C1">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MX"/>
        </w:rPr>
      </w:pPr>
    </w:p>
    <w:p w:rsidR="00B7691C" w:rsidRPr="009655C1" w:rsidRDefault="00B7691C" w:rsidP="00B7691C">
      <w:pPr>
        <w:spacing w:after="0"/>
        <w:ind w:left="567" w:right="567"/>
        <w:jc w:val="both"/>
        <w:rPr>
          <w:rFonts w:ascii="Palatino Linotype" w:hAnsi="Palatino Linotype" w:cs="Arial"/>
          <w:i/>
          <w:lang w:val="es-ES" w:eastAsia="es-MX"/>
        </w:rPr>
      </w:pPr>
      <w:r w:rsidRPr="009655C1">
        <w:rPr>
          <w:rFonts w:ascii="Palatino Linotype" w:hAnsi="Palatino Linotype" w:cs="Arial,Bold"/>
          <w:b/>
          <w:bCs/>
          <w:i/>
          <w:lang w:val="es-ES" w:eastAsia="es-MX"/>
        </w:rPr>
        <w:t xml:space="preserve">“Artículo 86. </w:t>
      </w:r>
      <w:r w:rsidRPr="009655C1">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rsidR="00B7691C" w:rsidRPr="009655C1" w:rsidRDefault="00B7691C" w:rsidP="00B7691C">
      <w:pPr>
        <w:spacing w:after="0"/>
        <w:ind w:left="567" w:right="567"/>
        <w:jc w:val="both"/>
        <w:rPr>
          <w:rFonts w:ascii="Palatino Linotype" w:hAnsi="Palatino Linotype" w:cs="Arial"/>
          <w:i/>
          <w:lang w:val="es-ES" w:eastAsia="es-MX"/>
        </w:rPr>
      </w:pPr>
    </w:p>
    <w:p w:rsidR="00B7691C" w:rsidRPr="009655C1" w:rsidRDefault="00B7691C" w:rsidP="00B7691C">
      <w:pPr>
        <w:spacing w:after="0"/>
        <w:ind w:left="567" w:right="567"/>
        <w:jc w:val="both"/>
        <w:rPr>
          <w:rFonts w:ascii="Palatino Linotype" w:hAnsi="Palatino Linotype" w:cs="Arial"/>
          <w:i/>
          <w:lang w:val="es-ES" w:eastAsia="es-MX"/>
        </w:rPr>
      </w:pPr>
      <w:r w:rsidRPr="009655C1">
        <w:rPr>
          <w:rFonts w:ascii="Palatino Linotype" w:hAnsi="Palatino Linotype" w:cs="Arial,Bold"/>
          <w:b/>
          <w:bCs/>
          <w:i/>
          <w:lang w:val="es-ES" w:eastAsia="es-MX"/>
        </w:rPr>
        <w:t xml:space="preserve">Artículo 91. </w:t>
      </w:r>
      <w:r w:rsidRPr="009655C1">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MX"/>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MX"/>
        </w:rPr>
      </w:pPr>
      <w:r w:rsidRPr="009655C1">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w:t>
      </w:r>
      <w:r w:rsidRPr="009655C1">
        <w:rPr>
          <w:rFonts w:ascii="Palatino Linotype" w:eastAsia="Times New Roman" w:hAnsi="Palatino Linotype" w:cs="Times New Roman"/>
          <w:sz w:val="24"/>
          <w:szCs w:val="24"/>
          <w:lang w:val="es-ES" w:eastAsia="es-MX"/>
        </w:rPr>
        <w:lastRenderedPageBreak/>
        <w:t xml:space="preserve">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MX"/>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MX"/>
        </w:rPr>
      </w:pPr>
      <w:r w:rsidRPr="009655C1">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rsidR="00B7691C" w:rsidRPr="009655C1" w:rsidRDefault="00B7691C" w:rsidP="00B7691C">
      <w:pPr>
        <w:spacing w:after="0" w:line="360" w:lineRule="auto"/>
        <w:jc w:val="both"/>
        <w:rPr>
          <w:rFonts w:ascii="Palatino Linotype" w:hAnsi="Palatino Linotype" w:cs="Arial"/>
          <w:lang w:val="es-ES"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b/>
          <w:i/>
          <w:lang w:val="es-ES"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val="es-ES" w:eastAsia="es-MX"/>
        </w:rPr>
      </w:pPr>
      <w:r w:rsidRPr="009655C1">
        <w:rPr>
          <w:rFonts w:ascii="Palatino Linotype" w:eastAsia="Times New Roman" w:hAnsi="Palatino Linotype" w:cs="Times New Roman"/>
          <w:b/>
          <w:i/>
          <w:lang w:val="es-ES" w:eastAsia="es-MX"/>
        </w:rPr>
        <w:t>Clave Única de Registro de Población (CURP)</w:t>
      </w:r>
      <w:r w:rsidRPr="009655C1">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B7691C" w:rsidRPr="009655C1" w:rsidRDefault="00B7691C" w:rsidP="00B7691C">
      <w:pPr>
        <w:spacing w:after="0" w:line="360" w:lineRule="auto"/>
        <w:ind w:right="616"/>
        <w:jc w:val="both"/>
        <w:rPr>
          <w:rFonts w:ascii="Palatino Linotype" w:hAnsi="Palatino Linotype" w:cs="Arial"/>
          <w:bCs/>
          <w:lang w:val="es-ES" w:eastAsia="es-MX"/>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MX"/>
        </w:rPr>
      </w:pPr>
      <w:r w:rsidRPr="009655C1">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B7691C" w:rsidRPr="009655C1" w:rsidRDefault="00B7691C" w:rsidP="00B7691C">
      <w:pPr>
        <w:spacing w:after="0" w:line="360" w:lineRule="auto"/>
        <w:jc w:val="both"/>
        <w:rPr>
          <w:rFonts w:ascii="Palatino Linotype" w:eastAsia="Arial Unicode MS" w:hAnsi="Palatino Linotype" w:cs="Times New Roman"/>
          <w:sz w:val="24"/>
          <w:szCs w:val="24"/>
          <w:lang w:eastAsia="es-ES"/>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MX"/>
        </w:rPr>
      </w:pPr>
      <w:r w:rsidRPr="009655C1">
        <w:rPr>
          <w:rFonts w:ascii="Palatino Linotype" w:eastAsia="Times New Roman" w:hAnsi="Palatino Linotype" w:cs="Times New Roman"/>
          <w:sz w:val="24"/>
          <w:szCs w:val="24"/>
          <w:lang w:val="es-ES_tradnl" w:eastAsia="es-ES"/>
        </w:rPr>
        <w:t xml:space="preserve">Por ende, en el presente caso el Sujeto Obligado debe </w:t>
      </w:r>
      <w:r w:rsidRPr="009655C1">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9655C1">
        <w:rPr>
          <w:rFonts w:ascii="Palatino Linotype" w:eastAsia="Times New Roman" w:hAnsi="Palatino Linotype" w:cs="Times New Roman"/>
          <w:sz w:val="24"/>
          <w:szCs w:val="24"/>
          <w:lang w:val="es-ES_tradnl" w:eastAsia="es-ES"/>
        </w:rPr>
        <w:t xml:space="preserve">el Sujeto Obligado </w:t>
      </w:r>
      <w:r w:rsidRPr="009655C1">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9655C1">
        <w:rPr>
          <w:rFonts w:ascii="Palatino Linotype" w:eastAsia="Times New Roman" w:hAnsi="Palatino Linotype" w:cs="Times New Roman"/>
          <w:sz w:val="24"/>
          <w:szCs w:val="24"/>
          <w:lang w:val="es-ES_tradnl" w:eastAsia="es-ES"/>
        </w:rPr>
        <w:t>el Sujeto Obligado</w:t>
      </w:r>
      <w:r w:rsidRPr="009655C1">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MX"/>
        </w:rPr>
      </w:pPr>
    </w:p>
    <w:p w:rsidR="00B7691C" w:rsidRPr="009655C1" w:rsidRDefault="00B7691C" w:rsidP="00B7691C">
      <w:pPr>
        <w:spacing w:after="0" w:line="360" w:lineRule="auto"/>
        <w:jc w:val="both"/>
        <w:rPr>
          <w:rFonts w:ascii="Palatino Linotype" w:eastAsia="Calibri" w:hAnsi="Palatino Linotype" w:cs="Times New Roman"/>
          <w:sz w:val="24"/>
          <w:szCs w:val="24"/>
          <w:lang w:eastAsia="es-ES"/>
        </w:rPr>
      </w:pPr>
      <w:r w:rsidRPr="009655C1">
        <w:rPr>
          <w:rFonts w:ascii="Palatino Linotype" w:eastAsia="Calibri" w:hAnsi="Palatino Linotype" w:cs="Times New Roman"/>
          <w:sz w:val="24"/>
          <w:szCs w:val="24"/>
          <w:lang w:eastAsia="es-ES"/>
        </w:rPr>
        <w:t xml:space="preserve">Así, es que </w:t>
      </w:r>
      <w:r w:rsidRPr="009655C1">
        <w:rPr>
          <w:rFonts w:ascii="Palatino Linotype" w:eastAsia="Times New Roman" w:hAnsi="Palatino Linotype" w:cs="Times New Roman"/>
          <w:sz w:val="24"/>
          <w:szCs w:val="24"/>
          <w:lang w:val="es-ES_tradnl" w:eastAsia="es-ES"/>
        </w:rPr>
        <w:t xml:space="preserve">el Sujeto Obligado </w:t>
      </w:r>
      <w:r w:rsidRPr="009655C1">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B7691C" w:rsidRPr="009655C1" w:rsidRDefault="00B7691C" w:rsidP="00B7691C">
      <w:pPr>
        <w:spacing w:after="0" w:line="360" w:lineRule="auto"/>
        <w:jc w:val="both"/>
        <w:rPr>
          <w:rFonts w:ascii="Palatino Linotype" w:eastAsia="Calibri" w:hAnsi="Palatino Linotype" w:cs="Times New Roman"/>
          <w:sz w:val="24"/>
          <w:szCs w:val="24"/>
          <w:lang w:eastAsia="es-ES"/>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r w:rsidRPr="009655C1">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 xml:space="preserve">“Artículo 49. </w:t>
      </w:r>
      <w:r w:rsidRPr="009655C1">
        <w:rPr>
          <w:rFonts w:ascii="Palatino Linotype" w:eastAsia="Times New Roman" w:hAnsi="Palatino Linotype" w:cs="Times New Roman"/>
          <w:i/>
          <w:lang w:eastAsia="es-MX"/>
        </w:rPr>
        <w:t>Los Comités de Transparencia tendrán las siguientes atribuciones:</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VIII.</w:t>
      </w:r>
      <w:r w:rsidRPr="009655C1">
        <w:rPr>
          <w:rFonts w:ascii="Palatino Linotype" w:eastAsia="Times New Roman" w:hAnsi="Palatino Linotype" w:cs="Times New Roman"/>
          <w:i/>
          <w:lang w:eastAsia="es-MX"/>
        </w:rPr>
        <w:t xml:space="preserve"> Aprobar, modificar o revocar la clasificación de la información;</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Artículo 132.</w:t>
      </w:r>
      <w:r w:rsidRPr="009655C1">
        <w:rPr>
          <w:rFonts w:ascii="Palatino Linotype" w:eastAsia="Times New Roman" w:hAnsi="Palatino Linotype" w:cs="Times New Roman"/>
          <w:i/>
          <w:lang w:eastAsia="es-MX"/>
        </w:rPr>
        <w:t xml:space="preserve"> La clasificación de la información se llevará a cabo en el momento en que:</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I.</w:t>
      </w:r>
      <w:r w:rsidRPr="009655C1">
        <w:rPr>
          <w:rFonts w:ascii="Palatino Linotype" w:eastAsia="Times New Roman" w:hAnsi="Palatino Linotype" w:cs="Times New Roman"/>
          <w:i/>
          <w:lang w:eastAsia="es-MX"/>
        </w:rPr>
        <w:t xml:space="preserve"> Se reciba una solicitud de acceso a la información;</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II.</w:t>
      </w:r>
      <w:r w:rsidRPr="009655C1">
        <w:rPr>
          <w:rFonts w:ascii="Palatino Linotype" w:eastAsia="Times New Roman" w:hAnsi="Palatino Linotype" w:cs="Times New Roman"/>
          <w:i/>
          <w:lang w:eastAsia="es-MX"/>
        </w:rPr>
        <w:t xml:space="preserve"> Se determine mediante resolución de autoridad competente; o</w:t>
      </w:r>
    </w:p>
    <w:p w:rsidR="00B7691C" w:rsidRPr="009655C1" w:rsidRDefault="00B7691C" w:rsidP="00B7691C">
      <w:pPr>
        <w:spacing w:after="0" w:line="240" w:lineRule="auto"/>
        <w:ind w:left="567" w:right="567"/>
        <w:jc w:val="both"/>
        <w:rPr>
          <w:rFonts w:ascii="Palatino Linotype" w:eastAsia="Times New Roman" w:hAnsi="Palatino Linotype" w:cs="Times New Roman"/>
          <w:b/>
          <w:i/>
          <w:lang w:eastAsia="es-MX"/>
        </w:rPr>
      </w:pPr>
      <w:r w:rsidRPr="009655C1">
        <w:rPr>
          <w:rFonts w:ascii="Palatino Linotype" w:eastAsia="Times New Roman" w:hAnsi="Palatino Linotype" w:cs="Times New Roman"/>
          <w:b/>
          <w:i/>
          <w:lang w:eastAsia="es-MX"/>
        </w:rPr>
        <w:t>III.</w:t>
      </w:r>
      <w:r w:rsidRPr="009655C1">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655C1">
        <w:rPr>
          <w:rFonts w:ascii="Palatino Linotype" w:eastAsia="Times New Roman" w:hAnsi="Palatino Linotype" w:cs="Times New Roman"/>
          <w:b/>
          <w:i/>
          <w:lang w:eastAsia="es-MX"/>
        </w:rPr>
        <w:t>”</w:t>
      </w:r>
    </w:p>
    <w:p w:rsidR="00B7691C" w:rsidRPr="009655C1"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“Segundo.-</w:t>
      </w:r>
      <w:r w:rsidRPr="009655C1">
        <w:rPr>
          <w:rFonts w:ascii="Palatino Linotype" w:eastAsia="Times New Roman" w:hAnsi="Palatino Linotype" w:cs="Times New Roman"/>
          <w:i/>
          <w:lang w:eastAsia="es-MX"/>
        </w:rPr>
        <w:t xml:space="preserve"> Para efectos de los presentes Lineamientos Generales, se entenderá por:</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i/>
          <w:lang w:eastAsia="es-MX"/>
        </w:rPr>
        <w:t>…</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XVIII.</w:t>
      </w:r>
      <w:r w:rsidRPr="009655C1">
        <w:rPr>
          <w:rFonts w:ascii="Palatino Linotype" w:eastAsia="Times New Roman" w:hAnsi="Palatino Linotype" w:cs="Times New Roman"/>
          <w:i/>
          <w:lang w:eastAsia="es-MX"/>
        </w:rPr>
        <w:t xml:space="preserve"> </w:t>
      </w:r>
      <w:r w:rsidRPr="009655C1">
        <w:rPr>
          <w:rFonts w:ascii="Palatino Linotype" w:eastAsia="Times New Roman" w:hAnsi="Palatino Linotype" w:cs="Times New Roman"/>
          <w:b/>
          <w:i/>
          <w:lang w:eastAsia="es-MX"/>
        </w:rPr>
        <w:t>Versión pública:</w:t>
      </w:r>
      <w:r w:rsidRPr="009655C1">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B7691C" w:rsidRPr="009655C1"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Cuarto.</w:t>
      </w:r>
      <w:r w:rsidRPr="009655C1">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i/>
          <w:lang w:eastAsia="es-MX"/>
        </w:rPr>
        <w:lastRenderedPageBreak/>
        <w:t>Los Sujetos Obligados deberán aplicar, de manera estricta, las excepciones al derecho de acceso a la información y sólo podrán invocarlas cuando acrediten su procedencia.</w:t>
      </w:r>
    </w:p>
    <w:p w:rsidR="00B7691C" w:rsidRPr="009655C1"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Quinto.</w:t>
      </w:r>
      <w:r w:rsidRPr="009655C1">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B7691C" w:rsidRPr="009655C1"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Sexto.</w:t>
      </w:r>
      <w:r w:rsidRPr="009655C1">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Séptimo.</w:t>
      </w:r>
      <w:r w:rsidRPr="009655C1">
        <w:rPr>
          <w:rFonts w:ascii="Palatino Linotype" w:eastAsia="Times New Roman" w:hAnsi="Palatino Linotype" w:cs="Times New Roman"/>
          <w:i/>
          <w:lang w:eastAsia="es-MX"/>
        </w:rPr>
        <w:t xml:space="preserve"> La clasificación de la información se llevará a cabo en el momento en que:</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I.</w:t>
      </w:r>
      <w:r w:rsidRPr="009655C1">
        <w:rPr>
          <w:rFonts w:ascii="Palatino Linotype" w:eastAsia="Times New Roman" w:hAnsi="Palatino Linotype" w:cs="Times New Roman"/>
          <w:i/>
          <w:lang w:eastAsia="es-MX"/>
        </w:rPr>
        <w:t xml:space="preserve"> Se reciba una solicitud de acceso a la información;</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II.</w:t>
      </w:r>
      <w:r w:rsidRPr="009655C1">
        <w:rPr>
          <w:rFonts w:ascii="Palatino Linotype" w:eastAsia="Times New Roman" w:hAnsi="Palatino Linotype" w:cs="Times New Roman"/>
          <w:i/>
          <w:lang w:eastAsia="es-MX"/>
        </w:rPr>
        <w:t xml:space="preserve"> Se determine mediante resolución de autoridad competente, o</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III.</w:t>
      </w:r>
      <w:r w:rsidRPr="009655C1">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rsidR="00B7691C" w:rsidRPr="009655C1"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Octavo.</w:t>
      </w:r>
      <w:r w:rsidRPr="009655C1">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i/>
          <w:lang w:eastAsia="es-MX"/>
        </w:rPr>
        <w:lastRenderedPageBreak/>
        <w:t>Los documentos contenidos en los archivos históricos y los identificados como históricos confidenciales no serán susceptibles de clasificación como reservados.</w:t>
      </w:r>
    </w:p>
    <w:p w:rsidR="00B7691C" w:rsidRPr="009655C1"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Noveno.</w:t>
      </w:r>
      <w:r w:rsidRPr="009655C1">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B7691C" w:rsidRPr="009655C1"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b/>
          <w:i/>
          <w:lang w:eastAsia="es-MX"/>
        </w:rPr>
        <w:t>Décimo.</w:t>
      </w:r>
      <w:r w:rsidRPr="009655C1">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MX"/>
        </w:rPr>
      </w:pPr>
      <w:r w:rsidRPr="009655C1">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rsidR="00B7691C" w:rsidRPr="009655C1" w:rsidRDefault="00B7691C" w:rsidP="00B7691C">
      <w:pPr>
        <w:spacing w:after="0" w:line="240" w:lineRule="auto"/>
        <w:ind w:left="567" w:right="567"/>
        <w:jc w:val="both"/>
        <w:rPr>
          <w:rFonts w:ascii="Palatino Linotype" w:eastAsia="Times New Roman" w:hAnsi="Palatino Linotype" w:cs="Times New Roman"/>
          <w:b/>
          <w:i/>
          <w:lang w:eastAsia="es-MX"/>
        </w:rPr>
      </w:pPr>
    </w:p>
    <w:p w:rsidR="00B7691C" w:rsidRPr="009655C1" w:rsidRDefault="00B7691C" w:rsidP="00B7691C">
      <w:pPr>
        <w:spacing w:after="0" w:line="240" w:lineRule="auto"/>
        <w:ind w:left="567" w:right="567"/>
        <w:jc w:val="both"/>
        <w:rPr>
          <w:rFonts w:ascii="Palatino Linotype" w:eastAsia="Times New Roman" w:hAnsi="Palatino Linotype" w:cs="Times New Roman"/>
          <w:b/>
          <w:sz w:val="24"/>
          <w:szCs w:val="24"/>
          <w:lang w:eastAsia="es-MX"/>
        </w:rPr>
      </w:pPr>
      <w:r w:rsidRPr="009655C1">
        <w:rPr>
          <w:rFonts w:ascii="Palatino Linotype" w:eastAsia="Times New Roman" w:hAnsi="Palatino Linotype" w:cs="Times New Roman"/>
          <w:b/>
          <w:i/>
          <w:lang w:eastAsia="es-MX"/>
        </w:rPr>
        <w:t>Décimo primero.</w:t>
      </w:r>
      <w:r w:rsidRPr="009655C1">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655C1">
        <w:rPr>
          <w:rFonts w:ascii="Palatino Linotype" w:eastAsia="Times New Roman" w:hAnsi="Palatino Linotype" w:cs="Times New Roman"/>
          <w:b/>
          <w:i/>
          <w:lang w:eastAsia="es-MX"/>
        </w:rPr>
        <w:t>”</w:t>
      </w:r>
    </w:p>
    <w:p w:rsidR="00B7691C" w:rsidRPr="009655C1" w:rsidRDefault="00B7691C" w:rsidP="00B7691C">
      <w:pPr>
        <w:spacing w:after="0" w:line="360" w:lineRule="auto"/>
        <w:jc w:val="both"/>
        <w:rPr>
          <w:rFonts w:ascii="Palatino Linotype" w:hAnsi="Palatino Linotype" w:cs="Arial"/>
          <w:i/>
          <w:lang w:eastAsia="es-MX"/>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r w:rsidRPr="009655C1">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655C1">
        <w:rPr>
          <w:rFonts w:ascii="Palatino Linotype" w:eastAsia="Times New Roman" w:hAnsi="Palatino Linotype" w:cs="Times New Roman"/>
          <w:sz w:val="24"/>
          <w:szCs w:val="24"/>
          <w:lang w:val="es-ES_tradnl" w:eastAsia="es-ES"/>
        </w:rPr>
        <w:t>el Sujeto Obligado</w:t>
      </w:r>
      <w:r w:rsidRPr="009655C1">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w:t>
      </w:r>
      <w:r w:rsidRPr="009655C1">
        <w:rPr>
          <w:rFonts w:ascii="Palatino Linotype" w:eastAsia="Times New Roman" w:hAnsi="Palatino Linotype" w:cs="Times New Roman"/>
          <w:sz w:val="24"/>
          <w:szCs w:val="24"/>
          <w:lang w:eastAsia="es-ES"/>
        </w:rPr>
        <w:lastRenderedPageBreak/>
        <w:t>supuestos jurídicos se debe fundar y motivar correctamente la categorización de la información.</w:t>
      </w: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r w:rsidRPr="009655C1">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r w:rsidRPr="009655C1">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ES"/>
        </w:rPr>
      </w:pPr>
      <w:r w:rsidRPr="009655C1">
        <w:rPr>
          <w:rFonts w:ascii="Palatino Linotype" w:eastAsia="Times New Roman" w:hAnsi="Palatino Linotype" w:cs="Times New Roman"/>
          <w:b/>
          <w:i/>
          <w:lang w:eastAsia="es-ES"/>
        </w:rPr>
        <w:t xml:space="preserve">FUNDAMENTACIÓN Y MOTIVACIÓN. </w:t>
      </w:r>
      <w:r w:rsidRPr="009655C1">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r w:rsidRPr="009655C1">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r w:rsidRPr="009655C1">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ES"/>
        </w:rPr>
      </w:pPr>
      <w:r w:rsidRPr="009655C1">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655C1">
        <w:rPr>
          <w:rFonts w:ascii="Palatino Linotype" w:eastAsia="Times New Roman" w:hAnsi="Palatino Linotype" w:cs="Times New Roman"/>
          <w:i/>
          <w:lang w:eastAsia="es-ES"/>
        </w:rPr>
        <w:t xml:space="preserve">. El contenido formal de </w:t>
      </w:r>
      <w:r w:rsidRPr="009655C1">
        <w:rPr>
          <w:rFonts w:ascii="Palatino Linotype" w:eastAsia="Times New Roman" w:hAnsi="Palatino Linotype" w:cs="Times New Roman"/>
          <w:i/>
          <w:lang w:eastAsia="es-ES"/>
        </w:rPr>
        <w:lastRenderedPageBreak/>
        <w:t>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B7691C" w:rsidRPr="009655C1" w:rsidRDefault="00B7691C" w:rsidP="00B7691C">
      <w:pPr>
        <w:spacing w:after="0" w:line="240" w:lineRule="auto"/>
        <w:ind w:left="567" w:right="567"/>
        <w:jc w:val="both"/>
        <w:rPr>
          <w:rFonts w:ascii="Palatino Linotype" w:eastAsia="Times New Roman" w:hAnsi="Palatino Linotype" w:cs="Times New Roman"/>
          <w:i/>
          <w:lang w:eastAsia="es-ES"/>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r w:rsidRPr="009655C1">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B7691C" w:rsidRPr="009655C1" w:rsidRDefault="00B7691C" w:rsidP="00B7691C">
      <w:pPr>
        <w:spacing w:after="0" w:line="360" w:lineRule="auto"/>
        <w:jc w:val="both"/>
        <w:rPr>
          <w:rFonts w:ascii="Palatino Linotype" w:eastAsia="Times New Roman" w:hAnsi="Palatino Linotype" w:cs="Times New Roman"/>
          <w:sz w:val="24"/>
          <w:szCs w:val="24"/>
          <w:lang w:eastAsia="es-ES"/>
        </w:rPr>
      </w:pPr>
    </w:p>
    <w:p w:rsidR="00B7691C" w:rsidRPr="009655C1" w:rsidRDefault="00B7691C" w:rsidP="00B7691C">
      <w:pPr>
        <w:spacing w:after="0" w:line="360" w:lineRule="auto"/>
        <w:jc w:val="both"/>
        <w:rPr>
          <w:rFonts w:ascii="Palatino Linotype" w:eastAsia="Times New Roman" w:hAnsi="Palatino Linotype" w:cs="Times New Roman"/>
          <w:sz w:val="24"/>
          <w:szCs w:val="24"/>
          <w:lang w:val="es-ES" w:eastAsia="es-ES"/>
        </w:rPr>
      </w:pPr>
      <w:r w:rsidRPr="009655C1">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9655C1">
        <w:rPr>
          <w:rFonts w:ascii="Palatino Linotype" w:eastAsia="Times New Roman" w:hAnsi="Palatino Linotype" w:cs="Times New Roman"/>
          <w:b/>
          <w:sz w:val="24"/>
          <w:szCs w:val="24"/>
          <w:lang w:val="es-ES" w:eastAsia="es-ES"/>
        </w:rPr>
        <w:t xml:space="preserve"> </w:t>
      </w:r>
      <w:r w:rsidRPr="009655C1">
        <w:rPr>
          <w:rFonts w:ascii="Palatino Linotype" w:eastAsia="Times New Roman" w:hAnsi="Palatino Linotype" w:cs="Times New Roman"/>
          <w:sz w:val="24"/>
          <w:szCs w:val="24"/>
          <w:lang w:val="es-ES" w:eastAsia="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w:t>
      </w:r>
      <w:r w:rsidRPr="009655C1">
        <w:rPr>
          <w:rFonts w:ascii="Palatino Linotype" w:eastAsia="Times New Roman" w:hAnsi="Palatino Linotype" w:cs="Times New Roman"/>
          <w:sz w:val="24"/>
          <w:szCs w:val="24"/>
          <w:lang w:val="es-ES" w:eastAsia="es-ES"/>
        </w:rPr>
        <w:lastRenderedPageBreak/>
        <w:t>en la documentación respectiva, es decir, si no se exponen de manera puntual las razones de ello se estaría violentando desde un inicio el derecho de acceso a la información del solicitante.</w:t>
      </w: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r w:rsidRPr="009655C1">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9655C1">
        <w:rPr>
          <w:rFonts w:ascii="Palatino Linotype" w:hAnsi="Palatino Linotype" w:cs="Arial"/>
          <w:b/>
          <w:sz w:val="24"/>
          <w:szCs w:val="24"/>
        </w:rPr>
        <w:t>ORDENA</w:t>
      </w:r>
      <w:r w:rsidRPr="009655C1">
        <w:rPr>
          <w:rFonts w:ascii="Palatino Linotype" w:hAnsi="Palatino Linotype" w:cs="Arial"/>
          <w:sz w:val="24"/>
          <w:szCs w:val="24"/>
        </w:rPr>
        <w:t xml:space="preserve"> al </w:t>
      </w:r>
      <w:r w:rsidRPr="009655C1">
        <w:rPr>
          <w:rFonts w:ascii="Palatino Linotype" w:hAnsi="Palatino Linotype" w:cs="Arial"/>
          <w:b/>
          <w:sz w:val="24"/>
          <w:szCs w:val="24"/>
        </w:rPr>
        <w:t>Sujeto Obligado</w:t>
      </w:r>
      <w:r w:rsidRPr="009655C1">
        <w:rPr>
          <w:rFonts w:ascii="Palatino Linotype" w:hAnsi="Palatino Linotype" w:cs="Arial"/>
          <w:sz w:val="24"/>
          <w:szCs w:val="24"/>
        </w:rPr>
        <w:t xml:space="preserve">, atienda la solicitud de información </w:t>
      </w:r>
      <w:r w:rsidRPr="009655C1">
        <w:rPr>
          <w:rFonts w:ascii="Palatino Linotype" w:hAnsi="Palatino Linotype"/>
          <w:b/>
          <w:bCs/>
          <w:sz w:val="24"/>
          <w:szCs w:val="24"/>
        </w:rPr>
        <w:t>00001/APAXCO/IP/2024</w:t>
      </w:r>
      <w:r w:rsidRPr="009655C1">
        <w:rPr>
          <w:rFonts w:ascii="Palatino Linotype" w:eastAsia="Times New Roman" w:hAnsi="Palatino Linotype" w:cs="Times New Roman"/>
          <w:b/>
          <w:bCs/>
          <w:sz w:val="24"/>
          <w:szCs w:val="24"/>
          <w:lang w:val="es-ES" w:eastAsia="es-ES"/>
        </w:rPr>
        <w:t>,</w:t>
      </w:r>
      <w:r w:rsidRPr="009655C1">
        <w:rPr>
          <w:rFonts w:ascii="Palatino Linotype" w:hAnsi="Palatino Linotype" w:cs="Arial"/>
          <w:sz w:val="24"/>
          <w:szCs w:val="24"/>
        </w:rPr>
        <w:t xml:space="preserve"> que ha sido materia del presente fallo.</w:t>
      </w: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r w:rsidRPr="009655C1">
        <w:rPr>
          <w:rFonts w:ascii="Palatino Linotype" w:hAnsi="Palatino Linotype" w:cs="Arial"/>
          <w:sz w:val="24"/>
          <w:szCs w:val="24"/>
        </w:rPr>
        <w:t>Por lo antes expuesto y fundado es de resolverse y,</w:t>
      </w:r>
    </w:p>
    <w:p w:rsidR="00B7691C" w:rsidRPr="009655C1" w:rsidRDefault="00B7691C" w:rsidP="00B7691C">
      <w:pPr>
        <w:autoSpaceDE w:val="0"/>
        <w:autoSpaceDN w:val="0"/>
        <w:adjustRightInd w:val="0"/>
        <w:spacing w:after="0" w:line="360" w:lineRule="auto"/>
        <w:jc w:val="both"/>
        <w:rPr>
          <w:rFonts w:ascii="Palatino Linotype" w:hAnsi="Palatino Linotype" w:cs="Arial"/>
          <w:sz w:val="24"/>
          <w:szCs w:val="24"/>
        </w:rPr>
      </w:pPr>
    </w:p>
    <w:p w:rsidR="00B7691C" w:rsidRPr="009655C1" w:rsidRDefault="00B7691C" w:rsidP="00B7691C">
      <w:pPr>
        <w:spacing w:after="0" w:line="360" w:lineRule="auto"/>
        <w:ind w:left="426"/>
        <w:jc w:val="center"/>
        <w:rPr>
          <w:rFonts w:ascii="Palatino Linotype" w:eastAsia="Times New Roman" w:hAnsi="Palatino Linotype" w:cs="Times New Roman"/>
          <w:b/>
          <w:color w:val="000000"/>
          <w:sz w:val="28"/>
          <w:szCs w:val="24"/>
          <w:lang w:val="es-ES" w:eastAsia="es-ES"/>
        </w:rPr>
      </w:pPr>
      <w:r w:rsidRPr="009655C1">
        <w:rPr>
          <w:rFonts w:ascii="Palatino Linotype" w:eastAsia="Times New Roman" w:hAnsi="Palatino Linotype" w:cs="Times New Roman"/>
          <w:b/>
          <w:color w:val="000000"/>
          <w:sz w:val="28"/>
          <w:szCs w:val="24"/>
          <w:lang w:val="es-ES" w:eastAsia="es-ES"/>
        </w:rPr>
        <w:t>SE    RESUELVE</w:t>
      </w:r>
    </w:p>
    <w:p w:rsidR="00B7691C" w:rsidRPr="009655C1" w:rsidRDefault="00B7691C" w:rsidP="00B7691C">
      <w:pPr>
        <w:tabs>
          <w:tab w:val="left" w:pos="8647"/>
        </w:tabs>
        <w:spacing w:after="0" w:line="360" w:lineRule="auto"/>
        <w:ind w:right="51"/>
        <w:jc w:val="both"/>
        <w:rPr>
          <w:rFonts w:ascii="Palatino Linotype" w:hAnsi="Palatino Linotype" w:cs="Arial"/>
          <w:sz w:val="24"/>
          <w:szCs w:val="24"/>
        </w:rPr>
      </w:pPr>
    </w:p>
    <w:p w:rsidR="00B7691C" w:rsidRPr="009655C1" w:rsidRDefault="00B7691C" w:rsidP="00B7691C">
      <w:pPr>
        <w:tabs>
          <w:tab w:val="left" w:pos="8647"/>
        </w:tabs>
        <w:spacing w:after="0" w:line="360" w:lineRule="auto"/>
        <w:ind w:right="51"/>
        <w:jc w:val="both"/>
        <w:rPr>
          <w:rFonts w:ascii="Palatino Linotype" w:hAnsi="Palatino Linotype" w:cs="Arial"/>
          <w:sz w:val="24"/>
          <w:szCs w:val="24"/>
        </w:rPr>
      </w:pPr>
      <w:r w:rsidRPr="009655C1">
        <w:rPr>
          <w:rFonts w:ascii="Palatino Linotype" w:hAnsi="Palatino Linotype" w:cs="Arial"/>
          <w:b/>
          <w:sz w:val="28"/>
          <w:szCs w:val="24"/>
        </w:rPr>
        <w:t>PRIMERO.</w:t>
      </w:r>
      <w:r w:rsidRPr="009655C1">
        <w:rPr>
          <w:rFonts w:ascii="Palatino Linotype" w:hAnsi="Palatino Linotype" w:cs="Arial"/>
          <w:sz w:val="24"/>
          <w:szCs w:val="24"/>
        </w:rPr>
        <w:t xml:space="preserve"> Resultan fundadas las razones o motivos de inconformidad hechos valer por el </w:t>
      </w:r>
      <w:r w:rsidRPr="009655C1">
        <w:rPr>
          <w:rFonts w:ascii="Palatino Linotype" w:hAnsi="Palatino Linotype" w:cs="Arial"/>
          <w:b/>
          <w:sz w:val="24"/>
          <w:szCs w:val="24"/>
        </w:rPr>
        <w:t>Recurrente,</w:t>
      </w:r>
      <w:r w:rsidRPr="009655C1">
        <w:rPr>
          <w:rFonts w:ascii="Palatino Linotype" w:hAnsi="Palatino Linotype" w:cs="Arial"/>
          <w:sz w:val="24"/>
          <w:szCs w:val="24"/>
        </w:rPr>
        <w:t xml:space="preserve"> en términos del considerando </w:t>
      </w:r>
      <w:r w:rsidRPr="009655C1">
        <w:rPr>
          <w:rFonts w:ascii="Palatino Linotype" w:hAnsi="Palatino Linotype" w:cs="Arial"/>
          <w:b/>
          <w:sz w:val="24"/>
          <w:szCs w:val="24"/>
        </w:rPr>
        <w:t>CUARTO</w:t>
      </w:r>
      <w:r w:rsidRPr="009655C1">
        <w:rPr>
          <w:rFonts w:ascii="Palatino Linotype" w:hAnsi="Palatino Linotype" w:cs="Arial"/>
          <w:sz w:val="24"/>
          <w:szCs w:val="24"/>
        </w:rPr>
        <w:t>, de la presente resolución.</w:t>
      </w:r>
    </w:p>
    <w:p w:rsidR="00B7691C" w:rsidRPr="009655C1" w:rsidRDefault="00B7691C" w:rsidP="00B7691C">
      <w:pPr>
        <w:tabs>
          <w:tab w:val="left" w:pos="8647"/>
        </w:tabs>
        <w:spacing w:after="0" w:line="360" w:lineRule="auto"/>
        <w:ind w:right="51"/>
        <w:jc w:val="both"/>
        <w:rPr>
          <w:rFonts w:ascii="Palatino Linotype" w:hAnsi="Palatino Linotype" w:cs="Arial"/>
          <w:sz w:val="24"/>
          <w:szCs w:val="24"/>
        </w:rPr>
      </w:pPr>
    </w:p>
    <w:p w:rsidR="00B7691C" w:rsidRPr="009655C1" w:rsidRDefault="00B7691C" w:rsidP="00B7691C">
      <w:pPr>
        <w:spacing w:line="360" w:lineRule="auto"/>
        <w:ind w:right="49"/>
        <w:jc w:val="both"/>
        <w:rPr>
          <w:rFonts w:ascii="Palatino Linotype" w:hAnsi="Palatino Linotype"/>
          <w:bCs/>
          <w:sz w:val="24"/>
          <w:szCs w:val="24"/>
        </w:rPr>
      </w:pPr>
      <w:r w:rsidRPr="009655C1">
        <w:rPr>
          <w:rFonts w:ascii="Palatino Linotype" w:hAnsi="Palatino Linotype" w:cstheme="minorHAnsi"/>
          <w:b/>
          <w:sz w:val="28"/>
        </w:rPr>
        <w:t>SEGUNDO</w:t>
      </w:r>
      <w:r w:rsidRPr="009655C1">
        <w:rPr>
          <w:rFonts w:ascii="Palatino Linotype" w:hAnsi="Palatino Linotype" w:cstheme="minorHAnsi"/>
          <w:b/>
        </w:rPr>
        <w:t xml:space="preserve">. </w:t>
      </w:r>
      <w:r w:rsidRPr="009655C1">
        <w:rPr>
          <w:rFonts w:ascii="Palatino Linotype" w:hAnsi="Palatino Linotype"/>
          <w:bCs/>
          <w:sz w:val="24"/>
          <w:lang w:eastAsia="es-MX"/>
        </w:rPr>
        <w:t xml:space="preserve">Se </w:t>
      </w:r>
      <w:r w:rsidRPr="009655C1">
        <w:rPr>
          <w:rFonts w:ascii="Palatino Linotype" w:hAnsi="Palatino Linotype"/>
          <w:b/>
          <w:bCs/>
          <w:sz w:val="24"/>
          <w:lang w:eastAsia="es-MX"/>
        </w:rPr>
        <w:t xml:space="preserve">ORDENA </w:t>
      </w:r>
      <w:r w:rsidRPr="009655C1">
        <w:rPr>
          <w:rFonts w:ascii="Palatino Linotype" w:hAnsi="Palatino Linotype"/>
          <w:bCs/>
          <w:sz w:val="24"/>
          <w:lang w:eastAsia="es-MX"/>
        </w:rPr>
        <w:t>al</w:t>
      </w:r>
      <w:r w:rsidRPr="009655C1">
        <w:rPr>
          <w:rFonts w:ascii="Palatino Linotype" w:hAnsi="Palatino Linotype"/>
          <w:b/>
          <w:sz w:val="24"/>
          <w:lang w:eastAsia="es-MX"/>
        </w:rPr>
        <w:t xml:space="preserve"> SUJETO</w:t>
      </w:r>
      <w:r w:rsidRPr="009655C1">
        <w:rPr>
          <w:rFonts w:ascii="Palatino Linotype" w:hAnsi="Palatino Linotype"/>
          <w:b/>
          <w:lang w:eastAsia="es-MX"/>
        </w:rPr>
        <w:t xml:space="preserve"> </w:t>
      </w:r>
      <w:r w:rsidRPr="009655C1">
        <w:rPr>
          <w:rFonts w:ascii="Palatino Linotype" w:hAnsi="Palatino Linotype"/>
          <w:b/>
          <w:sz w:val="24"/>
          <w:lang w:eastAsia="es-MX"/>
        </w:rPr>
        <w:t xml:space="preserve">OBLIGADO </w:t>
      </w:r>
      <w:r w:rsidRPr="009655C1">
        <w:rPr>
          <w:rFonts w:ascii="Palatino Linotype" w:hAnsi="Palatino Linotype"/>
          <w:bCs/>
          <w:sz w:val="24"/>
          <w:lang w:eastAsia="es-MX"/>
        </w:rPr>
        <w:t xml:space="preserve">atienda la solicitud de información número </w:t>
      </w:r>
      <w:r w:rsidRPr="009655C1">
        <w:rPr>
          <w:rFonts w:ascii="Palatino Linotype" w:hAnsi="Palatino Linotype"/>
          <w:b/>
          <w:bCs/>
          <w:sz w:val="24"/>
          <w:szCs w:val="24"/>
        </w:rPr>
        <w:t>00001/APAXCO/IP/2024</w:t>
      </w:r>
      <w:r w:rsidRPr="009655C1">
        <w:rPr>
          <w:rFonts w:ascii="Palatino Linotype" w:eastAsia="Times New Roman" w:hAnsi="Palatino Linotype" w:cs="Times New Roman"/>
          <w:b/>
          <w:bCs/>
          <w:sz w:val="24"/>
          <w:szCs w:val="24"/>
          <w:lang w:val="es-ES" w:eastAsia="es-ES"/>
        </w:rPr>
        <w:t>,</w:t>
      </w:r>
      <w:r w:rsidRPr="009655C1">
        <w:rPr>
          <w:rFonts w:ascii="Palatino Linotype" w:hAnsi="Palatino Linotype" w:cs="Arial"/>
          <w:sz w:val="24"/>
          <w:szCs w:val="24"/>
        </w:rPr>
        <w:t xml:space="preserve"> </w:t>
      </w:r>
      <w:r w:rsidRPr="009655C1">
        <w:rPr>
          <w:rFonts w:ascii="Palatino Linotype" w:hAnsi="Palatino Linotype"/>
          <w:bCs/>
          <w:sz w:val="24"/>
          <w:lang w:eastAsia="es-MX"/>
        </w:rPr>
        <w:t xml:space="preserve">en términos del Considerando </w:t>
      </w:r>
      <w:r w:rsidRPr="009655C1">
        <w:rPr>
          <w:rFonts w:ascii="Palatino Linotype" w:hAnsi="Palatino Linotype"/>
          <w:b/>
          <w:bCs/>
          <w:sz w:val="24"/>
          <w:szCs w:val="24"/>
          <w:lang w:eastAsia="es-MX"/>
        </w:rPr>
        <w:t>CUARTO</w:t>
      </w:r>
      <w:r w:rsidRPr="009655C1">
        <w:rPr>
          <w:rFonts w:ascii="Palatino Linotype" w:hAnsi="Palatino Linotype"/>
          <w:bCs/>
          <w:sz w:val="24"/>
          <w:szCs w:val="24"/>
          <w:lang w:eastAsia="es-MX"/>
        </w:rPr>
        <w:t xml:space="preserve"> de esta resolución; vía Sistema de Acceso a la Información Mexiquense (SAIMEX).</w:t>
      </w:r>
    </w:p>
    <w:p w:rsidR="00B7691C" w:rsidRPr="009655C1" w:rsidRDefault="00B7691C" w:rsidP="00B7691C">
      <w:pPr>
        <w:pStyle w:val="Sinespaciado"/>
        <w:spacing w:line="360" w:lineRule="auto"/>
        <w:jc w:val="both"/>
        <w:rPr>
          <w:rFonts w:ascii="Palatino Linotype" w:hAnsi="Palatino Linotype"/>
          <w:b/>
          <w:bCs/>
          <w:color w:val="222222"/>
          <w:lang w:eastAsia="es-MX"/>
        </w:rPr>
      </w:pPr>
    </w:p>
    <w:p w:rsidR="00B7691C" w:rsidRPr="009655C1" w:rsidRDefault="00B7691C" w:rsidP="00B7691C">
      <w:pPr>
        <w:tabs>
          <w:tab w:val="left" w:pos="8647"/>
        </w:tabs>
        <w:spacing w:after="0" w:line="360" w:lineRule="auto"/>
        <w:ind w:right="51"/>
        <w:jc w:val="both"/>
        <w:rPr>
          <w:rFonts w:ascii="Palatino Linotype" w:hAnsi="Palatino Linotype" w:cs="Arial"/>
          <w:sz w:val="24"/>
          <w:szCs w:val="24"/>
        </w:rPr>
      </w:pPr>
      <w:r w:rsidRPr="009655C1">
        <w:rPr>
          <w:rFonts w:ascii="Palatino Linotype" w:hAnsi="Palatino Linotype" w:cs="Arial"/>
          <w:b/>
          <w:sz w:val="28"/>
          <w:szCs w:val="24"/>
        </w:rPr>
        <w:t>TERCERO</w:t>
      </w:r>
      <w:r w:rsidRPr="009655C1">
        <w:rPr>
          <w:rFonts w:ascii="Palatino Linotype" w:hAnsi="Palatino Linotype" w:cs="Arial"/>
          <w:b/>
          <w:sz w:val="24"/>
          <w:szCs w:val="24"/>
        </w:rPr>
        <w:t>.</w:t>
      </w:r>
      <w:r w:rsidRPr="009655C1">
        <w:rPr>
          <w:rFonts w:ascii="Palatino Linotype" w:hAnsi="Palatino Linotype" w:cs="Arial"/>
          <w:sz w:val="24"/>
          <w:szCs w:val="24"/>
        </w:rPr>
        <w:t xml:space="preserve"> </w:t>
      </w:r>
      <w:r w:rsidRPr="009655C1">
        <w:rPr>
          <w:rFonts w:ascii="Palatino Linotype" w:hAnsi="Palatino Linotype" w:cs="Arial"/>
          <w:b/>
          <w:sz w:val="24"/>
          <w:szCs w:val="24"/>
        </w:rPr>
        <w:t>Notifíquese</w:t>
      </w:r>
      <w:r w:rsidRPr="009655C1">
        <w:rPr>
          <w:rFonts w:ascii="Palatino Linotype" w:hAnsi="Palatino Linotype" w:cs="Arial"/>
          <w:b/>
          <w:i/>
          <w:sz w:val="24"/>
          <w:szCs w:val="24"/>
        </w:rPr>
        <w:t xml:space="preserve"> </w:t>
      </w:r>
      <w:r w:rsidRPr="009655C1">
        <w:rPr>
          <w:rFonts w:ascii="Palatino Linotype" w:hAnsi="Palatino Linotype" w:cs="Arial"/>
          <w:sz w:val="24"/>
          <w:szCs w:val="24"/>
        </w:rPr>
        <w:t>al Titular de la Unidad de Transparencia del</w:t>
      </w:r>
      <w:r w:rsidRPr="009655C1">
        <w:rPr>
          <w:rFonts w:ascii="Palatino Linotype" w:hAnsi="Palatino Linotype" w:cs="Arial"/>
          <w:b/>
          <w:sz w:val="24"/>
          <w:szCs w:val="24"/>
        </w:rPr>
        <w:t xml:space="preserve"> Sujeto Obligado</w:t>
      </w:r>
      <w:r w:rsidRPr="009655C1">
        <w:rPr>
          <w:rFonts w:ascii="Palatino Linotype" w:hAnsi="Palatino Linotype" w:cs="Arial"/>
          <w:sz w:val="24"/>
          <w:szCs w:val="24"/>
        </w:rPr>
        <w:t xml:space="preserve"> la presente resolución, para que conforme al artículo 186 último párrafo y 189 </w:t>
      </w:r>
      <w:r w:rsidRPr="009655C1">
        <w:rPr>
          <w:rFonts w:ascii="Palatino Linotype" w:hAnsi="Palatino Linotype" w:cs="Arial"/>
          <w:sz w:val="24"/>
          <w:szCs w:val="24"/>
        </w:rPr>
        <w:lastRenderedPageBreak/>
        <w:t xml:space="preserve">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9655C1">
        <w:rPr>
          <w:rFonts w:ascii="Palatino Linotype" w:hAnsi="Palatino Linotype" w:cs="Arial"/>
          <w:b/>
          <w:sz w:val="24"/>
          <w:szCs w:val="32"/>
          <w:lang w:val="es-ES_tradnl"/>
        </w:rPr>
        <w:t>y</w:t>
      </w:r>
      <w:r w:rsidRPr="009655C1">
        <w:rPr>
          <w:rFonts w:ascii="Palatino Linotype" w:hAnsi="Palatino Linotype" w:cs="Arial"/>
          <w:sz w:val="24"/>
          <w:szCs w:val="32"/>
          <w:lang w:val="es-ES_tradnl"/>
        </w:rPr>
        <w:t xml:space="preserve"> </w:t>
      </w:r>
      <w:r w:rsidRPr="009655C1">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7691C" w:rsidRPr="009655C1" w:rsidRDefault="00B7691C" w:rsidP="00B7691C">
      <w:pPr>
        <w:tabs>
          <w:tab w:val="left" w:pos="8647"/>
        </w:tabs>
        <w:spacing w:after="0" w:line="360" w:lineRule="auto"/>
        <w:ind w:right="51"/>
        <w:jc w:val="both"/>
        <w:rPr>
          <w:rFonts w:ascii="Palatino Linotype" w:hAnsi="Palatino Linotype" w:cs="Arial"/>
          <w:sz w:val="24"/>
          <w:szCs w:val="24"/>
        </w:rPr>
      </w:pPr>
    </w:p>
    <w:p w:rsidR="00B7691C" w:rsidRPr="009655C1" w:rsidRDefault="00B7691C" w:rsidP="00B7691C">
      <w:pPr>
        <w:spacing w:after="0" w:line="360" w:lineRule="auto"/>
        <w:jc w:val="both"/>
        <w:rPr>
          <w:rFonts w:ascii="Palatino Linotype" w:eastAsia="Times New Roman" w:hAnsi="Palatino Linotype" w:cs="Arial"/>
          <w:sz w:val="24"/>
          <w:szCs w:val="24"/>
          <w:lang w:val="es-ES" w:eastAsia="es-ES"/>
        </w:rPr>
      </w:pPr>
      <w:r w:rsidRPr="009655C1">
        <w:rPr>
          <w:rFonts w:ascii="Palatino Linotype" w:eastAsia="Times New Roman" w:hAnsi="Palatino Linotype" w:cs="Arial"/>
          <w:b/>
          <w:sz w:val="28"/>
          <w:szCs w:val="24"/>
          <w:lang w:val="es-ES" w:eastAsia="es-ES"/>
        </w:rPr>
        <w:t>CUARTO</w:t>
      </w:r>
      <w:r w:rsidRPr="009655C1">
        <w:rPr>
          <w:rFonts w:ascii="Palatino Linotype" w:eastAsia="Times New Roman" w:hAnsi="Palatino Linotype" w:cs="Arial"/>
          <w:b/>
          <w:sz w:val="24"/>
          <w:szCs w:val="24"/>
          <w:lang w:val="es-ES" w:eastAsia="es-ES"/>
        </w:rPr>
        <w:t>. Notifíquese</w:t>
      </w:r>
      <w:r w:rsidRPr="009655C1">
        <w:rPr>
          <w:rFonts w:ascii="Palatino Linotype" w:eastAsia="Times New Roman" w:hAnsi="Palatino Linotype" w:cs="Arial"/>
          <w:sz w:val="24"/>
          <w:szCs w:val="24"/>
          <w:lang w:val="es-ES" w:eastAsia="es-ES"/>
        </w:rPr>
        <w:t xml:space="preserve"> </w:t>
      </w:r>
      <w:r w:rsidRPr="009655C1">
        <w:rPr>
          <w:rFonts w:ascii="Palatino Linotype" w:eastAsia="Times New Roman" w:hAnsi="Palatino Linotype" w:cs="Arial"/>
          <w:b/>
          <w:sz w:val="24"/>
          <w:szCs w:val="24"/>
          <w:lang w:val="es-ES" w:eastAsia="es-ES"/>
        </w:rPr>
        <w:t>a la Recurrente</w:t>
      </w:r>
      <w:r w:rsidRPr="009655C1">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rsidR="00B7691C" w:rsidRPr="009655C1" w:rsidRDefault="00B7691C" w:rsidP="00B7691C">
      <w:pPr>
        <w:spacing w:after="0" w:line="360" w:lineRule="auto"/>
        <w:jc w:val="both"/>
        <w:rPr>
          <w:rFonts w:ascii="Palatino Linotype" w:hAnsi="Palatino Linotype"/>
          <w:sz w:val="24"/>
          <w:szCs w:val="24"/>
          <w:lang w:eastAsia="es-ES_tradnl"/>
        </w:rPr>
      </w:pPr>
    </w:p>
    <w:p w:rsidR="00B7691C" w:rsidRPr="009655C1" w:rsidRDefault="00B7691C" w:rsidP="00B7691C">
      <w:pPr>
        <w:spacing w:after="0" w:line="360" w:lineRule="auto"/>
        <w:jc w:val="both"/>
        <w:rPr>
          <w:rFonts w:ascii="Palatino Linotype" w:eastAsia="Calibri" w:hAnsi="Palatino Linotype" w:cs="Times New Roman"/>
          <w:sz w:val="24"/>
          <w:szCs w:val="24"/>
          <w:lang w:eastAsia="es-ES_tradnl"/>
        </w:rPr>
      </w:pPr>
      <w:r w:rsidRPr="009655C1">
        <w:rPr>
          <w:rFonts w:ascii="Palatino Linotype" w:eastAsia="Calibri" w:hAnsi="Palatino Linotype" w:cs="Times New Roman"/>
          <w:b/>
          <w:sz w:val="28"/>
          <w:szCs w:val="24"/>
          <w:lang w:eastAsia="es-ES_tradnl"/>
        </w:rPr>
        <w:t>QUINTO</w:t>
      </w:r>
      <w:r w:rsidRPr="009655C1">
        <w:rPr>
          <w:rFonts w:ascii="Palatino Linotype" w:eastAsia="Calibri" w:hAnsi="Palatino Linotype" w:cs="Times New Roman"/>
          <w:b/>
          <w:sz w:val="24"/>
          <w:szCs w:val="24"/>
          <w:lang w:eastAsia="es-ES_tradnl"/>
        </w:rPr>
        <w:t>.</w:t>
      </w:r>
      <w:r w:rsidRPr="009655C1">
        <w:rPr>
          <w:rFonts w:ascii="Palatino Linotype" w:eastAsia="Calibri" w:hAnsi="Palatino Linotype" w:cs="Times New Roman"/>
          <w:sz w:val="24"/>
          <w:szCs w:val="24"/>
          <w:lang w:eastAsia="es-ES_tradnl"/>
        </w:rPr>
        <w:t xml:space="preserve"> </w:t>
      </w:r>
      <w:r w:rsidRPr="009655C1">
        <w:rPr>
          <w:rFonts w:ascii="Palatino Linotype" w:eastAsia="Calibri" w:hAnsi="Palatino Linotype" w:cs="Times New Roman"/>
          <w:b/>
          <w:sz w:val="24"/>
          <w:szCs w:val="24"/>
          <w:lang w:eastAsia="es-ES_tradnl"/>
        </w:rPr>
        <w:t>Notifíquese</w:t>
      </w:r>
      <w:r w:rsidRPr="009655C1">
        <w:rPr>
          <w:rFonts w:ascii="Palatino Linotype" w:eastAsia="Calibri" w:hAnsi="Palatino Linotype" w:cs="Times New Roman"/>
          <w:sz w:val="24"/>
          <w:szCs w:val="24"/>
          <w:lang w:eastAsia="es-ES_tradnl"/>
        </w:rPr>
        <w:t xml:space="preserve"> al </w:t>
      </w:r>
      <w:r w:rsidRPr="009655C1">
        <w:rPr>
          <w:rFonts w:ascii="Palatino Linotype" w:eastAsia="Calibri" w:hAnsi="Palatino Linotype" w:cs="Times New Roman"/>
          <w:b/>
          <w:sz w:val="24"/>
          <w:szCs w:val="24"/>
          <w:lang w:eastAsia="es-ES_tradnl"/>
        </w:rPr>
        <w:t>Recurrente</w:t>
      </w:r>
      <w:r w:rsidRPr="009655C1">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9655C1">
        <w:rPr>
          <w:rFonts w:ascii="Palatino Linotype" w:eastAsia="Calibri" w:hAnsi="Palatino Linotype" w:cs="Times New Roman"/>
          <w:b/>
          <w:sz w:val="24"/>
          <w:szCs w:val="24"/>
          <w:lang w:eastAsia="es-ES_tradnl"/>
        </w:rPr>
        <w:t>Sujeto Obligado</w:t>
      </w:r>
      <w:r w:rsidRPr="009655C1">
        <w:rPr>
          <w:rFonts w:ascii="Palatino Linotype" w:eastAsia="Calibri" w:hAnsi="Palatino Linotype" w:cs="Times New Roman"/>
          <w:sz w:val="24"/>
          <w:szCs w:val="24"/>
          <w:lang w:eastAsia="es-ES_tradnl"/>
        </w:rPr>
        <w:t>, en cumplimiento a esta Resolución.</w:t>
      </w:r>
    </w:p>
    <w:p w:rsidR="00B7691C" w:rsidRPr="009655C1" w:rsidRDefault="00B7691C" w:rsidP="00B7691C">
      <w:pPr>
        <w:spacing w:after="0" w:line="360" w:lineRule="auto"/>
        <w:jc w:val="both"/>
        <w:rPr>
          <w:rFonts w:ascii="Palatino Linotype" w:eastAsia="Calibri" w:hAnsi="Palatino Linotype" w:cs="Times New Roman"/>
          <w:sz w:val="24"/>
          <w:szCs w:val="24"/>
          <w:lang w:eastAsia="es-ES_tradnl"/>
        </w:rPr>
      </w:pPr>
    </w:p>
    <w:p w:rsidR="00B7691C" w:rsidRPr="009655C1" w:rsidRDefault="00B7691C" w:rsidP="00B7691C">
      <w:pPr>
        <w:spacing w:after="0" w:line="360" w:lineRule="auto"/>
        <w:jc w:val="both"/>
        <w:rPr>
          <w:rFonts w:ascii="Palatino Linotype" w:hAnsi="Palatino Linotype"/>
          <w:sz w:val="24"/>
          <w:szCs w:val="24"/>
          <w:lang w:eastAsia="es-ES_tradnl"/>
        </w:rPr>
      </w:pPr>
      <w:r w:rsidRPr="009655C1">
        <w:rPr>
          <w:rFonts w:ascii="Palatino Linotype" w:eastAsia="Calibri" w:hAnsi="Palatino Linotype" w:cs="Times New Roman"/>
          <w:b/>
          <w:sz w:val="28"/>
          <w:szCs w:val="24"/>
          <w:lang w:eastAsia="es-ES_tradnl"/>
        </w:rPr>
        <w:t>SEXTO</w:t>
      </w:r>
      <w:r w:rsidRPr="009655C1">
        <w:rPr>
          <w:rFonts w:ascii="Palatino Linotype" w:eastAsia="Calibri" w:hAnsi="Palatino Linotype" w:cs="Times New Roman"/>
          <w:b/>
          <w:sz w:val="24"/>
          <w:szCs w:val="24"/>
          <w:lang w:eastAsia="es-ES_tradnl"/>
        </w:rPr>
        <w:t xml:space="preserve">. - </w:t>
      </w:r>
      <w:r w:rsidRPr="009655C1">
        <w:rPr>
          <w:rFonts w:ascii="Palatino Linotype" w:hAnsi="Palatino Linotype"/>
          <w:b/>
          <w:sz w:val="24"/>
          <w:szCs w:val="24"/>
          <w:lang w:eastAsia="es-ES_tradnl"/>
        </w:rPr>
        <w:t xml:space="preserve">Gírese </w:t>
      </w:r>
      <w:r w:rsidRPr="009655C1">
        <w:rPr>
          <w:rFonts w:ascii="Palatino Linotype" w:hAnsi="Palatino Linotype"/>
          <w:sz w:val="24"/>
          <w:szCs w:val="24"/>
          <w:lang w:eastAsia="es-ES_tradnl"/>
        </w:rPr>
        <w:t xml:space="preserve">oficio a la Secretaría Técnica del Pleno de este Instituto para hacer del conocimiento del Órgano de Control Interno competente la presente resolución, a fin de que de conformidad con el artículo 190 de la Ley de Transparencia y Acceso a la </w:t>
      </w:r>
      <w:r w:rsidRPr="009655C1">
        <w:rPr>
          <w:rFonts w:ascii="Palatino Linotype" w:hAnsi="Palatino Linotype"/>
          <w:sz w:val="24"/>
          <w:szCs w:val="24"/>
          <w:lang w:eastAsia="es-ES_tradnl"/>
        </w:rPr>
        <w:lastRenderedPageBreak/>
        <w:t xml:space="preserve">Información Pública del Estado de México y Municipios se determine lo conducente, en términos de lo señalado en el Considerando </w:t>
      </w:r>
      <w:r w:rsidRPr="009655C1">
        <w:rPr>
          <w:rFonts w:ascii="Palatino Linotype" w:hAnsi="Palatino Linotype"/>
          <w:b/>
          <w:bCs/>
          <w:sz w:val="24"/>
          <w:szCs w:val="24"/>
          <w:lang w:eastAsia="es-ES_tradnl"/>
        </w:rPr>
        <w:t>CUARTO</w:t>
      </w:r>
      <w:r w:rsidRPr="009655C1">
        <w:rPr>
          <w:rFonts w:ascii="Palatino Linotype" w:hAnsi="Palatino Linotype"/>
          <w:sz w:val="24"/>
          <w:szCs w:val="24"/>
          <w:lang w:eastAsia="es-ES_tradnl"/>
        </w:rPr>
        <w:t xml:space="preserve"> de la presente resolución.</w:t>
      </w:r>
    </w:p>
    <w:p w:rsidR="00B7691C" w:rsidRPr="009655C1" w:rsidRDefault="00B7691C" w:rsidP="00B7691C">
      <w:pPr>
        <w:spacing w:after="0" w:line="360" w:lineRule="auto"/>
        <w:jc w:val="both"/>
        <w:rPr>
          <w:rFonts w:ascii="Palatino Linotype" w:hAnsi="Palatino Linotype"/>
          <w:sz w:val="24"/>
          <w:szCs w:val="24"/>
          <w:lang w:eastAsia="es-ES_tradnl"/>
        </w:rPr>
      </w:pPr>
    </w:p>
    <w:p w:rsidR="00B7691C" w:rsidRPr="009655C1" w:rsidRDefault="00B7691C" w:rsidP="00B7691C">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B7691C" w:rsidRPr="009655C1" w:rsidRDefault="00B7691C" w:rsidP="00B7691C">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9655C1">
        <w:rPr>
          <w:rFonts w:ascii="Palatino Linotype" w:eastAsiaTheme="minorEastAsia" w:hAnsi="Palatino Linotype"/>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 EN LA </w:t>
      </w:r>
      <w:r w:rsidR="0096101D" w:rsidRPr="009655C1">
        <w:rPr>
          <w:rFonts w:ascii="Palatino Linotype" w:eastAsiaTheme="minorEastAsia" w:hAnsi="Palatino Linotype"/>
          <w:color w:val="000000" w:themeColor="text1"/>
          <w:sz w:val="24"/>
          <w:szCs w:val="24"/>
          <w:lang w:val="es-ES_tradnl" w:eastAsia="es-ES"/>
        </w:rPr>
        <w:t>OCTAVA</w:t>
      </w:r>
      <w:r w:rsidRPr="009655C1">
        <w:rPr>
          <w:rFonts w:ascii="Palatino Linotype" w:eastAsiaTheme="minorEastAsia" w:hAnsi="Palatino Linotype"/>
          <w:color w:val="000000" w:themeColor="text1"/>
          <w:sz w:val="24"/>
          <w:szCs w:val="24"/>
          <w:lang w:val="es-ES_tradnl" w:eastAsia="es-ES"/>
        </w:rPr>
        <w:t xml:space="preserve"> SESIÓN ORDINARIA CELEBRADA EL </w:t>
      </w:r>
      <w:r w:rsidR="0096101D" w:rsidRPr="009655C1">
        <w:rPr>
          <w:rFonts w:ascii="Palatino Linotype" w:eastAsiaTheme="minorEastAsia" w:hAnsi="Palatino Linotype"/>
          <w:color w:val="000000" w:themeColor="text1"/>
          <w:sz w:val="24"/>
          <w:szCs w:val="24"/>
          <w:lang w:val="es-ES_tradnl" w:eastAsia="es-ES"/>
        </w:rPr>
        <w:t>SEIS DE MARZO DE DOS MIL VEINTICUATRO</w:t>
      </w:r>
      <w:r w:rsidRPr="009655C1">
        <w:rPr>
          <w:rFonts w:ascii="Palatino Linotype" w:eastAsiaTheme="minorEastAsia" w:hAnsi="Palatino Linotype"/>
          <w:color w:val="000000" w:themeColor="text1"/>
          <w:sz w:val="24"/>
          <w:szCs w:val="24"/>
          <w:lang w:val="es-ES_tradnl" w:eastAsia="es-ES"/>
        </w:rPr>
        <w:t xml:space="preserve">, </w:t>
      </w:r>
      <w:r w:rsidRPr="009655C1">
        <w:rPr>
          <w:rFonts w:ascii="Palatino Linotype" w:hAnsi="Palatino Linotype" w:cs="Arial"/>
          <w:sz w:val="24"/>
        </w:rPr>
        <w:t xml:space="preserve">ANTE EL SECRETARIO TÉCNICO DEL PLENO, </w:t>
      </w:r>
      <w:r w:rsidRPr="009655C1">
        <w:rPr>
          <w:rFonts w:ascii="Palatino Linotype" w:hAnsi="Palatino Linotype" w:cs="Arial"/>
          <w:sz w:val="24"/>
          <w:szCs w:val="24"/>
        </w:rPr>
        <w:t>ALEXIS TAPIA RAMÍREZ</w:t>
      </w:r>
      <w:r w:rsidRPr="009655C1">
        <w:rPr>
          <w:rFonts w:ascii="Palatino Linotype" w:eastAsiaTheme="minorEastAsia" w:hAnsi="Palatino Linotype"/>
          <w:color w:val="000000" w:themeColor="text1"/>
          <w:sz w:val="24"/>
          <w:szCs w:val="24"/>
          <w:lang w:val="es-ES_tradnl" w:eastAsia="es-ES"/>
        </w:rPr>
        <w:t>.--------------------------------------------------------------------------------------------------------------------------------------------------------------------------------------------------------------------------------------------------------------------------------------------------------------------------------------------------------------------------------------------------------------------------------------------------------------------------------------------------------------------------------------------------------------------------------------------------------------------------------------------------------------------------------------------------------------------------------------------------------------------------------------------------------------------------------------------------------------------------------------------------------------------------------------------------------------------------------------------------------------------------------------------------------------------------------------</w:t>
      </w:r>
      <w:r w:rsidR="00426004" w:rsidRPr="009655C1">
        <w:rPr>
          <w:rFonts w:ascii="Palatino Linotype" w:hAnsi="Palatino Linotype" w:cs="Arial"/>
          <w:sz w:val="24"/>
        </w:rPr>
        <w:t>---------------------------------------------------------------------------------------------------------------------------------------------------------------------------------------------------------------------------------------</w:t>
      </w:r>
    </w:p>
    <w:p w:rsidR="00B7691C" w:rsidRPr="00E11432" w:rsidRDefault="00B7691C" w:rsidP="00B7691C">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9655C1">
        <w:rPr>
          <w:rFonts w:ascii="Palatino Linotype" w:hAnsi="Palatino Linotype"/>
          <w:sz w:val="16"/>
          <w:szCs w:val="18"/>
        </w:rPr>
        <w:t>JMV/CCR/LMST</w:t>
      </w:r>
      <w:bookmarkStart w:id="0" w:name="_GoBack"/>
      <w:bookmarkEnd w:id="0"/>
    </w:p>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B7691C" w:rsidRDefault="00B7691C" w:rsidP="00B7691C"/>
    <w:p w:rsidR="00E63010" w:rsidRDefault="00E63010"/>
    <w:sectPr w:rsidR="00E63010" w:rsidSect="00B7691C">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1C" w:rsidRDefault="00B7691C" w:rsidP="00B7691C">
      <w:pPr>
        <w:spacing w:after="0" w:line="240" w:lineRule="auto"/>
      </w:pPr>
      <w:r>
        <w:separator/>
      </w:r>
    </w:p>
  </w:endnote>
  <w:endnote w:type="continuationSeparator" w:id="0">
    <w:p w:rsidR="00B7691C" w:rsidRDefault="00B7691C" w:rsidP="00B7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C" w:rsidRPr="000B69FA" w:rsidRDefault="00B7691C" w:rsidP="00B7691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655C1">
      <w:rPr>
        <w:rFonts w:ascii="Palatino Linotype" w:hAnsi="Palatino Linotype"/>
        <w:bCs/>
        <w:noProof/>
        <w:sz w:val="20"/>
      </w:rPr>
      <w:t>32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655C1">
      <w:rPr>
        <w:rFonts w:ascii="Palatino Linotype" w:hAnsi="Palatino Linotype"/>
        <w:bCs/>
        <w:noProof/>
        <w:sz w:val="20"/>
      </w:rPr>
      <w:t>33</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C" w:rsidRPr="000B69FA" w:rsidRDefault="00B7691C" w:rsidP="00B7691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655C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655C1">
      <w:rPr>
        <w:rFonts w:ascii="Palatino Linotype" w:hAnsi="Palatino Linotype"/>
        <w:bCs/>
        <w:noProof/>
        <w:sz w:val="20"/>
      </w:rPr>
      <w:t>33</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1C" w:rsidRDefault="00B7691C" w:rsidP="00B7691C">
      <w:pPr>
        <w:spacing w:after="0" w:line="240" w:lineRule="auto"/>
      </w:pPr>
      <w:r>
        <w:separator/>
      </w:r>
    </w:p>
  </w:footnote>
  <w:footnote w:type="continuationSeparator" w:id="0">
    <w:p w:rsidR="00B7691C" w:rsidRDefault="00B7691C" w:rsidP="00B7691C">
      <w:pPr>
        <w:spacing w:after="0" w:line="240" w:lineRule="auto"/>
      </w:pPr>
      <w:r>
        <w:continuationSeparator/>
      </w:r>
    </w:p>
  </w:footnote>
  <w:footnote w:id="1">
    <w:p w:rsidR="00B7691C" w:rsidRPr="00481AAF" w:rsidRDefault="00B7691C" w:rsidP="00B7691C">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B7691C" w:rsidRPr="00946E1F" w:rsidRDefault="00B7691C" w:rsidP="00B7691C">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C" w:rsidRDefault="009655C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721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1C" w:rsidRDefault="009655C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92.15pt;margin-top:-128.35pt;width:736.5pt;height:960pt;z-index:-25165619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B7691C" w:rsidTr="00B7691C">
      <w:trPr>
        <w:trHeight w:val="227"/>
      </w:trPr>
      <w:tc>
        <w:tcPr>
          <w:tcW w:w="5949" w:type="dxa"/>
          <w:hideMark/>
        </w:tcPr>
        <w:p w:rsidR="00B7691C" w:rsidRDefault="00B7691C"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rsidR="00B7691C" w:rsidRPr="00B4142F" w:rsidRDefault="00B7691C" w:rsidP="00B7691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w:t>
          </w:r>
          <w:r w:rsidR="00426004">
            <w:rPr>
              <w:rFonts w:ascii="Palatino Linotype" w:hAnsi="Palatino Linotype" w:cs="Arial"/>
              <w:bCs/>
              <w:sz w:val="24"/>
              <w:lang w:eastAsia="es-MX"/>
            </w:rPr>
            <w:t>0</w:t>
          </w:r>
          <w:r>
            <w:rPr>
              <w:rFonts w:ascii="Palatino Linotype" w:hAnsi="Palatino Linotype" w:cs="Arial"/>
              <w:bCs/>
              <w:sz w:val="24"/>
              <w:lang w:eastAsia="es-MX"/>
            </w:rPr>
            <w:t xml:space="preserve">495/INFOEM/IP/RR/2024 </w:t>
          </w:r>
        </w:p>
      </w:tc>
    </w:tr>
    <w:tr w:rsidR="00B7691C" w:rsidTr="00B7691C">
      <w:trPr>
        <w:trHeight w:val="242"/>
      </w:trPr>
      <w:tc>
        <w:tcPr>
          <w:tcW w:w="5949" w:type="dxa"/>
          <w:hideMark/>
        </w:tcPr>
        <w:p w:rsidR="00B7691C" w:rsidRDefault="00B7691C"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rsidR="00B7691C" w:rsidRPr="00F06FED" w:rsidRDefault="00B7691C" w:rsidP="00B7691C">
          <w:pPr>
            <w:spacing w:after="120" w:line="256" w:lineRule="auto"/>
            <w:ind w:right="214"/>
            <w:jc w:val="right"/>
            <w:rPr>
              <w:rFonts w:ascii="Palatino Linotype" w:hAnsi="Palatino Linotype" w:cs="Arial"/>
            </w:rPr>
          </w:pPr>
          <w:r w:rsidRPr="00B9337F">
            <w:rPr>
              <w:rFonts w:ascii="Palatino Linotype" w:hAnsi="Palatino Linotype" w:cs="Arial"/>
              <w:szCs w:val="20"/>
            </w:rPr>
            <w:t xml:space="preserve">Ayuntamiento de </w:t>
          </w:r>
          <w:r>
            <w:rPr>
              <w:rFonts w:ascii="Palatino Linotype" w:hAnsi="Palatino Linotype" w:cs="Arial"/>
              <w:szCs w:val="20"/>
            </w:rPr>
            <w:t>Apaxco</w:t>
          </w:r>
        </w:p>
      </w:tc>
    </w:tr>
    <w:tr w:rsidR="00B7691C" w:rsidTr="00B7691C">
      <w:trPr>
        <w:trHeight w:val="342"/>
      </w:trPr>
      <w:tc>
        <w:tcPr>
          <w:tcW w:w="5949" w:type="dxa"/>
          <w:hideMark/>
        </w:tcPr>
        <w:p w:rsidR="00B7691C" w:rsidRDefault="00B7691C" w:rsidP="00B7691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rsidR="00B7691C" w:rsidRDefault="00B7691C" w:rsidP="00B7691C">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rsidR="00B7691C" w:rsidRDefault="00B7691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B7691C" w:rsidTr="00B7691C">
      <w:trPr>
        <w:trHeight w:val="227"/>
      </w:trPr>
      <w:tc>
        <w:tcPr>
          <w:tcW w:w="6091" w:type="dxa"/>
          <w:hideMark/>
        </w:tcPr>
        <w:p w:rsidR="00B7691C" w:rsidRDefault="00B7691C"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rsidR="00B7691C" w:rsidRPr="00B4142F" w:rsidRDefault="00B7691C" w:rsidP="00B7691C">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w:t>
          </w:r>
          <w:r w:rsidR="00426004">
            <w:rPr>
              <w:rFonts w:ascii="Palatino Linotype" w:hAnsi="Palatino Linotype" w:cs="Arial"/>
              <w:bCs/>
              <w:sz w:val="24"/>
              <w:lang w:eastAsia="es-MX"/>
            </w:rPr>
            <w:t>0</w:t>
          </w:r>
          <w:r>
            <w:rPr>
              <w:rFonts w:ascii="Palatino Linotype" w:hAnsi="Palatino Linotype" w:cs="Arial"/>
              <w:bCs/>
              <w:sz w:val="24"/>
              <w:lang w:eastAsia="es-MX"/>
            </w:rPr>
            <w:t>495/INFOEM/IP/RR/2024</w:t>
          </w:r>
        </w:p>
      </w:tc>
    </w:tr>
    <w:tr w:rsidR="00B7691C" w:rsidTr="00B7691C">
      <w:trPr>
        <w:trHeight w:val="196"/>
      </w:trPr>
      <w:tc>
        <w:tcPr>
          <w:tcW w:w="6091" w:type="dxa"/>
          <w:hideMark/>
        </w:tcPr>
        <w:p w:rsidR="00B7691C" w:rsidRDefault="00B7691C"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rsidR="00B7691C" w:rsidRPr="00F06FED" w:rsidRDefault="00E5019C" w:rsidP="00B7691C">
          <w:pPr>
            <w:spacing w:after="120" w:line="256" w:lineRule="auto"/>
            <w:ind w:right="214"/>
            <w:jc w:val="right"/>
            <w:rPr>
              <w:rFonts w:ascii="Palatino Linotype" w:hAnsi="Palatino Linotype" w:cs="Arial"/>
            </w:rPr>
          </w:pPr>
          <w:r>
            <w:rPr>
              <w:rFonts w:ascii="Palatino Linotype" w:hAnsi="Palatino Linotype" w:cs="Arial"/>
            </w:rPr>
            <w:t>XXXXXXXXXXXXXXXXXXX</w:t>
          </w:r>
        </w:p>
      </w:tc>
    </w:tr>
    <w:tr w:rsidR="00B7691C" w:rsidTr="00B7691C">
      <w:trPr>
        <w:trHeight w:val="242"/>
      </w:trPr>
      <w:tc>
        <w:tcPr>
          <w:tcW w:w="6091" w:type="dxa"/>
          <w:hideMark/>
        </w:tcPr>
        <w:p w:rsidR="00B7691C" w:rsidRDefault="00B7691C"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rsidR="00B7691C" w:rsidRDefault="00B7691C" w:rsidP="00B7691C">
          <w:pPr>
            <w:spacing w:after="120" w:line="256" w:lineRule="auto"/>
            <w:ind w:right="214"/>
            <w:jc w:val="right"/>
            <w:rPr>
              <w:rFonts w:ascii="Palatino Linotype" w:hAnsi="Palatino Linotype" w:cs="Arial"/>
              <w:szCs w:val="20"/>
            </w:rPr>
          </w:pPr>
          <w:r w:rsidRPr="00B9337F">
            <w:rPr>
              <w:rFonts w:ascii="Palatino Linotype" w:hAnsi="Palatino Linotype" w:cs="Arial"/>
              <w:szCs w:val="20"/>
            </w:rPr>
            <w:t xml:space="preserve">Ayuntamiento de </w:t>
          </w:r>
          <w:r>
            <w:rPr>
              <w:rFonts w:ascii="Palatino Linotype" w:hAnsi="Palatino Linotype" w:cs="Arial"/>
              <w:szCs w:val="20"/>
            </w:rPr>
            <w:t>Apaxco</w:t>
          </w:r>
        </w:p>
      </w:tc>
    </w:tr>
    <w:tr w:rsidR="00B7691C" w:rsidTr="00B7691C">
      <w:trPr>
        <w:trHeight w:val="342"/>
      </w:trPr>
      <w:tc>
        <w:tcPr>
          <w:tcW w:w="6091" w:type="dxa"/>
          <w:hideMark/>
        </w:tcPr>
        <w:p w:rsidR="00B7691C" w:rsidRDefault="00B7691C" w:rsidP="00B7691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rsidR="00B7691C" w:rsidRDefault="00B7691C" w:rsidP="00B7691C">
          <w:pPr>
            <w:spacing w:after="120" w:line="256" w:lineRule="auto"/>
            <w:ind w:right="214"/>
            <w:jc w:val="right"/>
            <w:rPr>
              <w:rFonts w:ascii="Palatino Linotype" w:hAnsi="Palatino Linotype" w:cs="Arial"/>
              <w:szCs w:val="20"/>
            </w:rPr>
          </w:pPr>
          <w:r>
            <w:rPr>
              <w:rFonts w:ascii="Palatino Linotype" w:hAnsi="Palatino Linotype" w:cs="Arial"/>
              <w:szCs w:val="20"/>
            </w:rPr>
            <w:t xml:space="preserve">José Martínez Vilchis </w:t>
          </w:r>
        </w:p>
      </w:tc>
    </w:tr>
  </w:tbl>
  <w:p w:rsidR="00B7691C" w:rsidRDefault="009655C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5.4pt;margin-top:-136.7pt;width:736.5pt;height:960pt;z-index:-25165516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2E71"/>
    <w:multiLevelType w:val="hybridMultilevel"/>
    <w:tmpl w:val="28C8043A"/>
    <w:lvl w:ilvl="0" w:tplc="6ACC7B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2E50654"/>
    <w:multiLevelType w:val="hybridMultilevel"/>
    <w:tmpl w:val="6E869CBE"/>
    <w:lvl w:ilvl="0" w:tplc="138ADF92">
      <w:start w:val="1"/>
      <w:numFmt w:val="upperRoman"/>
      <w:lvlText w:val="%1."/>
      <w:lvlJc w:val="left"/>
      <w:pPr>
        <w:ind w:left="1931" w:hanging="72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220460"/>
    <w:multiLevelType w:val="hybridMultilevel"/>
    <w:tmpl w:val="E16A49F6"/>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A32E2D"/>
    <w:multiLevelType w:val="hybridMultilevel"/>
    <w:tmpl w:val="4462C772"/>
    <w:lvl w:ilvl="0" w:tplc="138ADF92">
      <w:start w:val="1"/>
      <w:numFmt w:val="upperRoman"/>
      <w:lvlText w:val="%1."/>
      <w:lvlJc w:val="left"/>
      <w:pPr>
        <w:ind w:left="2782" w:hanging="72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50644A01"/>
    <w:multiLevelType w:val="hybridMultilevel"/>
    <w:tmpl w:val="68087E4A"/>
    <w:lvl w:ilvl="0" w:tplc="6986D0B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739156C4"/>
    <w:multiLevelType w:val="hybridMultilevel"/>
    <w:tmpl w:val="AEA2F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1C"/>
    <w:rsid w:val="000D109F"/>
    <w:rsid w:val="003F78FF"/>
    <w:rsid w:val="00426004"/>
    <w:rsid w:val="004478B5"/>
    <w:rsid w:val="0046306D"/>
    <w:rsid w:val="00741977"/>
    <w:rsid w:val="008647C1"/>
    <w:rsid w:val="008C0110"/>
    <w:rsid w:val="0096101D"/>
    <w:rsid w:val="009655C1"/>
    <w:rsid w:val="00A83D3A"/>
    <w:rsid w:val="00B7691C"/>
    <w:rsid w:val="00B90D0A"/>
    <w:rsid w:val="00C37F12"/>
    <w:rsid w:val="00E5019C"/>
    <w:rsid w:val="00E63010"/>
    <w:rsid w:val="00F409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648A9AC-C2D1-4C21-A619-19C04A93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91C"/>
  </w:style>
  <w:style w:type="paragraph" w:styleId="Ttulo2">
    <w:name w:val="heading 2"/>
    <w:aliases w:val="Subtítulos"/>
    <w:basedOn w:val="Normal"/>
    <w:next w:val="Normal"/>
    <w:link w:val="Ttulo2Car"/>
    <w:uiPriority w:val="9"/>
    <w:unhideWhenUsed/>
    <w:qFormat/>
    <w:rsid w:val="00B7691C"/>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B7691C"/>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B76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76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76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76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76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7691C"/>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B7691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7691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B7691C"/>
    <w:pPr>
      <w:spacing w:after="120"/>
    </w:pPr>
  </w:style>
  <w:style w:type="character" w:customStyle="1" w:styleId="TextoindependienteCar">
    <w:name w:val="Texto independiente Car"/>
    <w:basedOn w:val="Fuentedeprrafopredeter"/>
    <w:link w:val="Textoindependiente"/>
    <w:uiPriority w:val="1"/>
    <w:rsid w:val="00B7691C"/>
  </w:style>
  <w:style w:type="character" w:customStyle="1" w:styleId="apple-converted-space">
    <w:name w:val="apple-converted-space"/>
    <w:basedOn w:val="Fuentedeprrafopredeter"/>
    <w:rsid w:val="00B7691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7691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B7691C"/>
    <w:rPr>
      <w:color w:val="0563C1" w:themeColor="hyperlink"/>
      <w:u w:val="single"/>
    </w:rPr>
  </w:style>
  <w:style w:type="paragraph" w:customStyle="1" w:styleId="INFOEM">
    <w:name w:val="INFOEM"/>
    <w:basedOn w:val="Normal"/>
    <w:qFormat/>
    <w:rsid w:val="00B7691C"/>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A83D3A"/>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33</Pages>
  <Words>7976</Words>
  <Characters>43874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13</cp:revision>
  <dcterms:created xsi:type="dcterms:W3CDTF">2024-02-27T17:23:00Z</dcterms:created>
  <dcterms:modified xsi:type="dcterms:W3CDTF">2024-05-17T00:18:00Z</dcterms:modified>
</cp:coreProperties>
</file>