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AF81D" w14:textId="77777777" w:rsidR="001D0070" w:rsidRDefault="001D0070" w:rsidP="006922F5">
      <w:pPr>
        <w:pBdr>
          <w:top w:val="nil"/>
          <w:left w:val="nil"/>
          <w:bottom w:val="nil"/>
          <w:right w:val="nil"/>
          <w:between w:val="nil"/>
        </w:pBdr>
        <w:contextualSpacing/>
        <w:rPr>
          <w:rFonts w:eastAsia="Palatino Linotype" w:cs="Palatino Linotype"/>
          <w:color w:val="000000"/>
          <w:szCs w:val="24"/>
        </w:rPr>
      </w:pPr>
    </w:p>
    <w:p w14:paraId="49AF2C0C" w14:textId="07BABB5C"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r w:rsidRPr="00100663">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100663">
        <w:rPr>
          <w:rFonts w:eastAsia="Palatino Linotype" w:cs="Palatino Linotype"/>
          <w:color w:val="000000"/>
          <w:szCs w:val="24"/>
        </w:rPr>
        <w:t>México, a</w:t>
      </w:r>
      <w:r w:rsidR="005C5EB4">
        <w:rPr>
          <w:rFonts w:eastAsia="Palatino Linotype" w:cs="Palatino Linotype"/>
          <w:color w:val="000000"/>
          <w:szCs w:val="24"/>
        </w:rPr>
        <w:t xml:space="preserve"> </w:t>
      </w:r>
      <w:r w:rsidR="00F30114">
        <w:rPr>
          <w:rFonts w:eastAsia="Palatino Linotype" w:cs="Palatino Linotype"/>
          <w:color w:val="000000"/>
          <w:szCs w:val="24"/>
        </w:rPr>
        <w:t>ocho de febrero de dos mil veinticuatro</w:t>
      </w:r>
      <w:r w:rsidRPr="00100663">
        <w:rPr>
          <w:rFonts w:eastAsia="Palatino Linotype" w:cs="Palatino Linotype"/>
          <w:color w:val="000000"/>
          <w:szCs w:val="24"/>
        </w:rPr>
        <w:t>.</w:t>
      </w:r>
    </w:p>
    <w:p w14:paraId="60399B74"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113095CB"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r w:rsidRPr="00100663">
        <w:rPr>
          <w:rFonts w:eastAsia="Palatino Linotype" w:cs="Palatino Linotype"/>
          <w:b/>
          <w:color w:val="000000"/>
          <w:szCs w:val="24"/>
        </w:rPr>
        <w:t>VISTO</w:t>
      </w:r>
      <w:r w:rsidRPr="00100663">
        <w:rPr>
          <w:rFonts w:eastAsia="Palatino Linotype" w:cs="Palatino Linotype"/>
          <w:color w:val="000000"/>
          <w:szCs w:val="24"/>
        </w:rPr>
        <w:t xml:space="preserve"> el expediente electrónico formado con motivo del recurso de revisión número </w:t>
      </w:r>
      <w:bookmarkStart w:id="0" w:name="_GoBack"/>
      <w:r w:rsidR="006C3B33">
        <w:rPr>
          <w:rFonts w:eastAsia="Palatino Linotype" w:cs="Palatino Linotype"/>
          <w:b/>
          <w:color w:val="000000"/>
          <w:szCs w:val="24"/>
        </w:rPr>
        <w:t>02985</w:t>
      </w:r>
      <w:r w:rsidRPr="00100663">
        <w:rPr>
          <w:rFonts w:eastAsia="Palatino Linotype" w:cs="Palatino Linotype"/>
          <w:b/>
          <w:color w:val="000000"/>
          <w:szCs w:val="24"/>
        </w:rPr>
        <w:t>/INFOEM/IP/RR/202</w:t>
      </w:r>
      <w:r w:rsidR="001D0070">
        <w:rPr>
          <w:rFonts w:eastAsia="Palatino Linotype" w:cs="Palatino Linotype"/>
          <w:b/>
          <w:color w:val="000000"/>
          <w:szCs w:val="24"/>
        </w:rPr>
        <w:t>3</w:t>
      </w:r>
      <w:bookmarkEnd w:id="0"/>
      <w:r w:rsidR="00B54BC7" w:rsidRPr="00100663">
        <w:rPr>
          <w:rFonts w:eastAsia="Palatino Linotype" w:cs="Palatino Linotype"/>
          <w:color w:val="000000"/>
          <w:szCs w:val="24"/>
        </w:rPr>
        <w:t xml:space="preserve">, </w:t>
      </w:r>
      <w:r w:rsidR="006C3B33" w:rsidRPr="00B64F3C">
        <w:rPr>
          <w:rFonts w:cs="Arial"/>
        </w:rPr>
        <w:t>por un particular que al momento de ingresar la solicitud de información e interponer el recurso de revisión, no señaló nombre o seudónimo con el cual desee ser identificado,</w:t>
      </w:r>
      <w:r w:rsidR="006C3B33" w:rsidRPr="00B64F3C">
        <w:rPr>
          <w:rFonts w:cs="Arial"/>
          <w:b/>
        </w:rPr>
        <w:t xml:space="preserve"> </w:t>
      </w:r>
      <w:r w:rsidR="006C3B33" w:rsidRPr="00B64F3C">
        <w:rPr>
          <w:rFonts w:cs="Arial"/>
        </w:rPr>
        <w:t xml:space="preserve">en lo sucesivo </w:t>
      </w:r>
      <w:r w:rsidR="006C3B33" w:rsidRPr="00B64F3C">
        <w:rPr>
          <w:rFonts w:cs="Arial"/>
          <w:b/>
        </w:rPr>
        <w:t>El Recurrente</w:t>
      </w:r>
      <w:r w:rsidRPr="00100663">
        <w:rPr>
          <w:rFonts w:eastAsia="Palatino Linotype" w:cs="Palatino Linotype"/>
          <w:color w:val="000000"/>
          <w:szCs w:val="24"/>
        </w:rPr>
        <w:t>, en contra de la respuesta de</w:t>
      </w:r>
      <w:r w:rsidR="001D0070">
        <w:rPr>
          <w:rFonts w:eastAsia="Palatino Linotype" w:cs="Palatino Linotype"/>
          <w:color w:val="000000"/>
          <w:szCs w:val="24"/>
        </w:rPr>
        <w:t>l</w:t>
      </w:r>
      <w:r w:rsidRPr="00100663">
        <w:rPr>
          <w:rFonts w:eastAsia="Palatino Linotype" w:cs="Palatino Linotype"/>
          <w:color w:val="000000"/>
          <w:szCs w:val="24"/>
        </w:rPr>
        <w:t xml:space="preserve"> </w:t>
      </w:r>
      <w:r w:rsidR="006C3B33" w:rsidRPr="006C3B33">
        <w:rPr>
          <w:rFonts w:eastAsia="Palatino Linotype" w:cs="Palatino Linotype"/>
          <w:b/>
          <w:color w:val="000000"/>
          <w:szCs w:val="24"/>
        </w:rPr>
        <w:t>Sistema Municipal Para el Desarrollo Integral de la Familia de Toluca</w:t>
      </w:r>
      <w:r w:rsidR="0051074E" w:rsidRPr="00100663">
        <w:rPr>
          <w:rFonts w:eastAsia="Palatino Linotype" w:cs="Palatino Linotype"/>
          <w:color w:val="000000"/>
          <w:szCs w:val="24"/>
        </w:rPr>
        <w:t xml:space="preserve">, </w:t>
      </w:r>
      <w:r w:rsidRPr="00100663">
        <w:rPr>
          <w:rFonts w:eastAsia="Palatino Linotype" w:cs="Palatino Linotype"/>
          <w:color w:val="000000"/>
          <w:szCs w:val="24"/>
        </w:rPr>
        <w:t>en lo subsecuente</w:t>
      </w:r>
      <w:r w:rsidRPr="00100663">
        <w:rPr>
          <w:rFonts w:eastAsia="Palatino Linotype" w:cs="Palatino Linotype"/>
          <w:b/>
          <w:color w:val="000000"/>
          <w:szCs w:val="24"/>
        </w:rPr>
        <w:t xml:space="preserve"> </w:t>
      </w:r>
      <w:r w:rsidRPr="00100663">
        <w:rPr>
          <w:rFonts w:eastAsia="Palatino Linotype" w:cs="Palatino Linotype"/>
          <w:color w:val="000000"/>
          <w:szCs w:val="24"/>
        </w:rPr>
        <w:t>el</w:t>
      </w:r>
      <w:r w:rsidRPr="00100663">
        <w:rPr>
          <w:rFonts w:eastAsia="Palatino Linotype" w:cs="Palatino Linotype"/>
          <w:b/>
          <w:color w:val="000000"/>
          <w:szCs w:val="24"/>
        </w:rPr>
        <w:t xml:space="preserve"> Sujeto Obligado, </w:t>
      </w:r>
      <w:r w:rsidRPr="00100663">
        <w:rPr>
          <w:rFonts w:eastAsia="Palatino Linotype" w:cs="Palatino Linotype"/>
          <w:color w:val="000000"/>
          <w:szCs w:val="24"/>
        </w:rPr>
        <w:t>se procede a dictar la presente resolución.</w:t>
      </w:r>
    </w:p>
    <w:p w14:paraId="2E2053C2"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77777777" w:rsidR="00A970D5" w:rsidRPr="00100663" w:rsidRDefault="00A970D5" w:rsidP="006922F5">
      <w:pPr>
        <w:pStyle w:val="Ttulo2"/>
        <w:rPr>
          <w:rFonts w:eastAsia="Palatino Linotype"/>
          <w:sz w:val="24"/>
          <w:szCs w:val="24"/>
        </w:rPr>
      </w:pPr>
      <w:r w:rsidRPr="00100663">
        <w:rPr>
          <w:rFonts w:eastAsia="Palatino Linotype"/>
          <w:sz w:val="24"/>
          <w:szCs w:val="24"/>
        </w:rPr>
        <w:t>PRIMERO. De la Solicitud de Información.</w:t>
      </w:r>
    </w:p>
    <w:p w14:paraId="0870C154" w14:textId="32D116F4" w:rsidR="00A970D5" w:rsidRPr="00100663" w:rsidRDefault="00B36B86" w:rsidP="006922F5">
      <w:pPr>
        <w:pBdr>
          <w:top w:val="nil"/>
          <w:left w:val="nil"/>
          <w:bottom w:val="nil"/>
          <w:right w:val="nil"/>
          <w:between w:val="nil"/>
        </w:pBdr>
        <w:contextualSpacing/>
        <w:rPr>
          <w:rFonts w:eastAsia="Palatino Linotype" w:cs="Palatino Linotype"/>
          <w:color w:val="000000"/>
          <w:szCs w:val="24"/>
        </w:rPr>
      </w:pPr>
      <w:r w:rsidRPr="00100663">
        <w:rPr>
          <w:rFonts w:eastAsia="Palatino Linotype" w:cs="Palatino Linotype"/>
          <w:color w:val="000000"/>
          <w:szCs w:val="24"/>
        </w:rPr>
        <w:t xml:space="preserve">Con fecha </w:t>
      </w:r>
      <w:r w:rsidR="006C3B33">
        <w:rPr>
          <w:rFonts w:eastAsia="Palatino Linotype" w:cs="Palatino Linotype"/>
          <w:color w:val="000000"/>
          <w:szCs w:val="24"/>
        </w:rPr>
        <w:t xml:space="preserve">veintiuno de abril </w:t>
      </w:r>
      <w:r w:rsidR="001D0070">
        <w:rPr>
          <w:rFonts w:eastAsia="Palatino Linotype" w:cs="Palatino Linotype"/>
          <w:color w:val="000000"/>
          <w:szCs w:val="24"/>
        </w:rPr>
        <w:t>de dos mil veintitrés</w:t>
      </w:r>
      <w:r w:rsidR="00B54BC7" w:rsidRPr="00100663">
        <w:rPr>
          <w:rFonts w:eastAsia="Palatino Linotype" w:cs="Palatino Linotype"/>
          <w:color w:val="000000"/>
          <w:szCs w:val="24"/>
        </w:rPr>
        <w:t xml:space="preserve">, </w:t>
      </w:r>
      <w:r w:rsidR="00430C63" w:rsidRPr="00100663">
        <w:rPr>
          <w:rFonts w:eastAsia="Palatino Linotype" w:cs="Palatino Linotype"/>
          <w:color w:val="000000"/>
          <w:szCs w:val="24"/>
        </w:rPr>
        <w:t>el</w:t>
      </w:r>
      <w:r w:rsidR="00A970D5" w:rsidRPr="00100663">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100663" w:rsidRPr="00100663">
        <w:rPr>
          <w:rFonts w:eastAsia="Palatino Linotype" w:cs="Palatino Linotype"/>
          <w:b/>
          <w:bCs/>
          <w:color w:val="000000"/>
          <w:szCs w:val="24"/>
        </w:rPr>
        <w:t xml:space="preserve"> </w:t>
      </w:r>
      <w:r w:rsidR="006C3B33" w:rsidRPr="006C3B33">
        <w:rPr>
          <w:rFonts w:eastAsia="Palatino Linotype" w:cs="Palatino Linotype"/>
          <w:b/>
          <w:bCs/>
          <w:color w:val="000000"/>
          <w:szCs w:val="24"/>
        </w:rPr>
        <w:t>00098/DIFTOLUCA/IP/2023</w:t>
      </w:r>
      <w:r w:rsidR="00A970D5" w:rsidRPr="00100663">
        <w:rPr>
          <w:rFonts w:eastAsia="Palatino Linotype" w:cs="Palatino Linotype"/>
          <w:color w:val="000000"/>
          <w:szCs w:val="24"/>
        </w:rPr>
        <w:t>,</w:t>
      </w:r>
      <w:r w:rsidR="00A970D5" w:rsidRPr="00100663">
        <w:rPr>
          <w:rFonts w:eastAsia="Palatino Linotype" w:cs="Palatino Linotype"/>
          <w:b/>
          <w:color w:val="000000"/>
          <w:szCs w:val="24"/>
        </w:rPr>
        <w:t xml:space="preserve"> </w:t>
      </w:r>
      <w:r w:rsidR="00A970D5" w:rsidRPr="00100663">
        <w:rPr>
          <w:rFonts w:eastAsia="Palatino Linotype" w:cs="Palatino Linotype"/>
          <w:color w:val="000000"/>
          <w:szCs w:val="24"/>
        </w:rPr>
        <w:t>mediante la cual solicitó información en el tenor siguiente:</w:t>
      </w:r>
    </w:p>
    <w:p w14:paraId="68B56D82"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3954CC6" w:rsidR="00A970D5" w:rsidRPr="008B6CDF" w:rsidRDefault="723045DB" w:rsidP="006C3B33">
      <w:pPr>
        <w:pStyle w:val="Fundamentos"/>
      </w:pPr>
      <w:r w:rsidRPr="008B6CDF">
        <w:t>“</w:t>
      </w:r>
      <w:r w:rsidR="006C3B33">
        <w:t xml:space="preserve">De acuerdo al artículo 70 de la Ley de transparencia se solicita los resultados de las </w:t>
      </w:r>
      <w:proofErr w:type="spellStart"/>
      <w:r w:rsidR="006C3B33">
        <w:t>auditorias</w:t>
      </w:r>
      <w:proofErr w:type="spellEnd"/>
      <w:r w:rsidR="006C3B33">
        <w:t xml:space="preserve"> realizadas al Sistema DIF municipal de Toluca en esta administración.</w:t>
      </w:r>
      <w:r w:rsidRPr="008B6CDF">
        <w:t>” (Sic)</w:t>
      </w:r>
    </w:p>
    <w:p w14:paraId="40BBECCB" w14:textId="77777777" w:rsidR="00A970D5" w:rsidRPr="00100663"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100663" w:rsidRDefault="00A970D5" w:rsidP="006922F5">
      <w:pPr>
        <w:pBdr>
          <w:top w:val="nil"/>
          <w:left w:val="nil"/>
          <w:bottom w:val="nil"/>
          <w:right w:val="nil"/>
          <w:between w:val="nil"/>
        </w:pBdr>
        <w:contextualSpacing/>
        <w:rPr>
          <w:rFonts w:eastAsia="Palatino Linotype" w:cs="Palatino Linotype"/>
          <w:b/>
          <w:color w:val="000000"/>
          <w:szCs w:val="24"/>
        </w:rPr>
      </w:pPr>
      <w:r w:rsidRPr="00100663">
        <w:rPr>
          <w:rFonts w:eastAsia="Palatino Linotype" w:cs="Palatino Linotype"/>
          <w:color w:val="000000"/>
          <w:szCs w:val="24"/>
        </w:rPr>
        <w:t xml:space="preserve">Modalidad de entrega: </w:t>
      </w:r>
      <w:r w:rsidRPr="00100663">
        <w:rPr>
          <w:rFonts w:eastAsia="Palatino Linotype" w:cs="Palatino Linotype"/>
          <w:b/>
          <w:color w:val="000000"/>
          <w:szCs w:val="24"/>
        </w:rPr>
        <w:t>A través del SAIMEX</w:t>
      </w:r>
      <w:r w:rsidRPr="00100663">
        <w:rPr>
          <w:rFonts w:eastAsia="Palatino Linotype" w:cs="Palatino Linotype"/>
          <w:color w:val="000000"/>
          <w:szCs w:val="24"/>
        </w:rPr>
        <w:t>.</w:t>
      </w:r>
    </w:p>
    <w:p w14:paraId="474DB373" w14:textId="77777777" w:rsidR="00430C63" w:rsidRPr="00100663" w:rsidRDefault="00430C63" w:rsidP="006922F5">
      <w:pPr>
        <w:pBdr>
          <w:top w:val="nil"/>
          <w:left w:val="nil"/>
          <w:bottom w:val="nil"/>
          <w:right w:val="nil"/>
          <w:between w:val="nil"/>
        </w:pBdr>
        <w:contextualSpacing/>
        <w:rPr>
          <w:rFonts w:eastAsia="Palatino Linotype" w:cs="Palatino Linotype"/>
          <w:color w:val="000000"/>
          <w:szCs w:val="24"/>
        </w:rPr>
      </w:pPr>
    </w:p>
    <w:p w14:paraId="655052DE" w14:textId="77777777" w:rsidR="006C3B33" w:rsidRPr="00A138F0" w:rsidRDefault="006C3B33" w:rsidP="006C3B33">
      <w:pPr>
        <w:rPr>
          <w:rFonts w:eastAsiaTheme="minorHAnsi" w:cs="Arial"/>
          <w:b/>
          <w:sz w:val="28"/>
          <w:lang w:val="es-MX" w:eastAsia="en-US"/>
        </w:rPr>
      </w:pPr>
      <w:r w:rsidRPr="00A138F0">
        <w:rPr>
          <w:rFonts w:eastAsiaTheme="minorHAnsi" w:cs="Arial"/>
          <w:b/>
          <w:sz w:val="28"/>
          <w:lang w:val="es-MX" w:eastAsia="en-US"/>
        </w:rPr>
        <w:lastRenderedPageBreak/>
        <w:t xml:space="preserve">SEGUNDO. Del Requerimiento de Aclaración a la Solicitud de Información por parte del Sujeto Obligado. </w:t>
      </w:r>
    </w:p>
    <w:p w14:paraId="55880E2D" w14:textId="76A20BF5" w:rsidR="006C3B33" w:rsidRPr="00A138F0" w:rsidRDefault="006C3B33" w:rsidP="006C3B33">
      <w:pPr>
        <w:rPr>
          <w:rFonts w:eastAsiaTheme="minorHAnsi" w:cs="Arial"/>
          <w:lang w:val="es-MX" w:eastAsia="en-US"/>
        </w:rPr>
      </w:pPr>
      <w:r w:rsidRPr="00A138F0">
        <w:rPr>
          <w:rFonts w:eastAsiaTheme="minorHAnsi" w:cs="Arial"/>
          <w:lang w:val="es-MX" w:eastAsia="en-US"/>
        </w:rPr>
        <w:t xml:space="preserve">En fecha </w:t>
      </w:r>
      <w:r>
        <w:rPr>
          <w:rFonts w:eastAsiaTheme="minorHAnsi" w:cs="Arial"/>
          <w:lang w:val="es-MX" w:eastAsia="en-US"/>
        </w:rPr>
        <w:t>veintiséis de abril</w:t>
      </w:r>
      <w:r w:rsidRPr="00A138F0">
        <w:rPr>
          <w:rFonts w:eastAsiaTheme="minorHAnsi" w:cs="Arial"/>
          <w:lang w:val="es-MX" w:eastAsia="en-US"/>
        </w:rPr>
        <w:t xml:space="preserve"> de dos mil veintitrés, </w:t>
      </w:r>
      <w:r w:rsidRPr="00A138F0">
        <w:rPr>
          <w:rFonts w:eastAsiaTheme="minorHAnsi" w:cs="Arial"/>
          <w:b/>
          <w:lang w:val="es-MX" w:eastAsia="en-US"/>
        </w:rPr>
        <w:t>El Sujeto Obligado</w:t>
      </w:r>
      <w:r w:rsidRPr="00A138F0">
        <w:rPr>
          <w:rFonts w:eastAsiaTheme="minorHAnsi" w:cs="Arial"/>
          <w:lang w:val="es-MX" w:eastAsia="en-US"/>
        </w:rPr>
        <w:t xml:space="preserve"> solicitó la aclaración a la solicitud de información número </w:t>
      </w:r>
      <w:r w:rsidRPr="006C3B33">
        <w:rPr>
          <w:rFonts w:eastAsiaTheme="minorHAnsi" w:cs="Arial"/>
          <w:b/>
          <w:lang w:val="es-MX" w:eastAsia="en-US"/>
        </w:rPr>
        <w:t>00098/DIFTOLUCA/IP/2023</w:t>
      </w:r>
      <w:r w:rsidRPr="00A138F0">
        <w:rPr>
          <w:rFonts w:eastAsiaTheme="minorHAnsi" w:cs="Arial"/>
          <w:lang w:val="es-MX" w:eastAsia="en-US"/>
        </w:rPr>
        <w:t>, de conformidad con lo siguiente:</w:t>
      </w:r>
    </w:p>
    <w:p w14:paraId="5F94B408" w14:textId="77777777" w:rsidR="006C3B33" w:rsidRPr="00A138F0" w:rsidRDefault="006C3B33" w:rsidP="006C3B33">
      <w:pPr>
        <w:rPr>
          <w:rFonts w:asciiTheme="minorHAnsi" w:eastAsiaTheme="minorHAnsi" w:hAnsiTheme="minorHAnsi" w:cstheme="minorBidi"/>
          <w:sz w:val="22"/>
          <w:lang w:val="es-MX" w:eastAsia="en-US"/>
        </w:rPr>
      </w:pPr>
    </w:p>
    <w:p w14:paraId="225F9095" w14:textId="77777777" w:rsidR="00C15AFA" w:rsidRDefault="006C3B33" w:rsidP="00C15AFA">
      <w:pPr>
        <w:ind w:left="567" w:right="567"/>
        <w:rPr>
          <w:rFonts w:eastAsiaTheme="minorHAnsi" w:cstheme="minorBidi"/>
          <w:i/>
          <w:sz w:val="22"/>
          <w:lang w:val="es-MX"/>
        </w:rPr>
      </w:pPr>
      <w:r w:rsidRPr="00A138F0">
        <w:rPr>
          <w:rFonts w:eastAsiaTheme="minorHAnsi" w:cstheme="minorBidi"/>
          <w:i/>
          <w:sz w:val="22"/>
          <w:lang w:val="es-MX"/>
        </w:rPr>
        <w:t>“</w:t>
      </w:r>
      <w:r w:rsidR="00AF2AB3" w:rsidRPr="00AF2AB3">
        <w:rPr>
          <w:rFonts w:eastAsiaTheme="minorHAnsi" w:cstheme="minorBidi"/>
          <w:i/>
          <w:sz w:val="22"/>
          <w:lang w:val="es-MX"/>
        </w:rPr>
        <w:t xml:space="preserve">Con fundamento en el </w:t>
      </w:r>
      <w:proofErr w:type="spellStart"/>
      <w:r w:rsidR="00AF2AB3" w:rsidRPr="00AF2AB3">
        <w:rPr>
          <w:rFonts w:eastAsiaTheme="minorHAnsi" w:cstheme="minorBidi"/>
          <w:i/>
          <w:sz w:val="22"/>
          <w:lang w:val="es-MX"/>
        </w:rPr>
        <w:t>articulo</w:t>
      </w:r>
      <w:proofErr w:type="spellEnd"/>
      <w:r w:rsidR="00AF2AB3" w:rsidRPr="00AF2AB3">
        <w:rPr>
          <w:rFonts w:eastAsiaTheme="minorHAnsi" w:cstheme="minorBidi"/>
          <w:i/>
          <w:sz w:val="22"/>
          <w:lang w:val="es-MX"/>
        </w:rPr>
        <w:t xml:space="preserve"> 159 de la Ley de Transparencia y Acceso a la Información Pública del Estado de México y Municipios, se le requiere para que dentro del plazo de diez días hábiles realice lo siguiente:</w:t>
      </w:r>
    </w:p>
    <w:p w14:paraId="69586571" w14:textId="473A744D" w:rsidR="00AF2AB3" w:rsidRPr="00AF2AB3" w:rsidRDefault="00AF2AB3" w:rsidP="00C15AFA">
      <w:pPr>
        <w:ind w:left="567" w:right="567"/>
        <w:rPr>
          <w:rFonts w:eastAsiaTheme="minorHAnsi" w:cstheme="minorBidi"/>
          <w:i/>
          <w:sz w:val="22"/>
          <w:lang w:val="es-MX"/>
        </w:rPr>
      </w:pPr>
      <w:r w:rsidRPr="00AF2AB3">
        <w:rPr>
          <w:rFonts w:eastAsiaTheme="minorHAnsi" w:cstheme="minorBidi"/>
          <w:i/>
          <w:sz w:val="22"/>
          <w:lang w:val="es-MX"/>
        </w:rPr>
        <w:t>FAVOR DE ACLARAR LA TEMPORALIDAD Y EL TIPO DE AUDITORIA QUE REQUIERE</w:t>
      </w:r>
    </w:p>
    <w:p w14:paraId="7F388D5E" w14:textId="77777777" w:rsidR="00AF2AB3" w:rsidRPr="00AF2AB3" w:rsidRDefault="00AF2AB3" w:rsidP="00AF2AB3">
      <w:pPr>
        <w:ind w:left="567" w:right="567"/>
        <w:rPr>
          <w:rFonts w:eastAsiaTheme="minorHAnsi" w:cstheme="minorBidi"/>
          <w:i/>
          <w:sz w:val="22"/>
          <w:lang w:val="es-MX"/>
        </w:rPr>
      </w:pPr>
      <w:r w:rsidRPr="00AF2AB3">
        <w:rPr>
          <w:rFonts w:eastAsiaTheme="minorHAnsi" w:cstheme="minorBidi"/>
          <w:i/>
          <w:sz w:val="22"/>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7944FE0" w14:textId="77777777" w:rsidR="00AF2AB3" w:rsidRPr="00AF2AB3" w:rsidRDefault="00AF2AB3" w:rsidP="00AF2AB3">
      <w:pPr>
        <w:ind w:left="567" w:right="567"/>
        <w:rPr>
          <w:rFonts w:eastAsiaTheme="minorHAnsi" w:cstheme="minorBidi"/>
          <w:i/>
          <w:sz w:val="22"/>
          <w:lang w:val="es-MX"/>
        </w:rPr>
      </w:pPr>
      <w:r w:rsidRPr="00AF2AB3">
        <w:rPr>
          <w:rFonts w:eastAsiaTheme="minorHAnsi" w:cstheme="minorBidi"/>
          <w:i/>
          <w:sz w:val="22"/>
          <w:lang w:val="es-MX"/>
        </w:rPr>
        <w:t>ATENTAMENTE</w:t>
      </w:r>
    </w:p>
    <w:p w14:paraId="4882D4D8" w14:textId="4FC9209C" w:rsidR="006C3B33" w:rsidRPr="00A138F0" w:rsidRDefault="00AF2AB3" w:rsidP="00AF2AB3">
      <w:pPr>
        <w:ind w:left="567" w:right="567"/>
        <w:rPr>
          <w:rFonts w:eastAsiaTheme="minorHAnsi" w:cstheme="minorBidi"/>
          <w:i/>
          <w:sz w:val="22"/>
          <w:lang w:val="es-MX"/>
        </w:rPr>
      </w:pPr>
      <w:r w:rsidRPr="00AF2AB3">
        <w:rPr>
          <w:rFonts w:eastAsiaTheme="minorHAnsi" w:cstheme="minorBidi"/>
          <w:i/>
          <w:sz w:val="22"/>
          <w:lang w:val="es-MX"/>
        </w:rPr>
        <w:t xml:space="preserve">Lic. en C. </w:t>
      </w:r>
      <w:proofErr w:type="spellStart"/>
      <w:r w:rsidRPr="00AF2AB3">
        <w:rPr>
          <w:rFonts w:eastAsiaTheme="minorHAnsi" w:cstheme="minorBidi"/>
          <w:i/>
          <w:sz w:val="22"/>
          <w:lang w:val="es-MX"/>
        </w:rPr>
        <w:t>Jasmin</w:t>
      </w:r>
      <w:proofErr w:type="spellEnd"/>
      <w:r w:rsidRPr="00AF2AB3">
        <w:rPr>
          <w:rFonts w:eastAsiaTheme="minorHAnsi" w:cstheme="minorBidi"/>
          <w:i/>
          <w:sz w:val="22"/>
          <w:lang w:val="es-MX"/>
        </w:rPr>
        <w:t xml:space="preserve"> </w:t>
      </w:r>
      <w:proofErr w:type="spellStart"/>
      <w:r w:rsidRPr="00AF2AB3">
        <w:rPr>
          <w:rFonts w:eastAsiaTheme="minorHAnsi" w:cstheme="minorBidi"/>
          <w:i/>
          <w:sz w:val="22"/>
          <w:lang w:val="es-MX"/>
        </w:rPr>
        <w:t>Arlet</w:t>
      </w:r>
      <w:proofErr w:type="spellEnd"/>
      <w:r w:rsidRPr="00AF2AB3">
        <w:rPr>
          <w:rFonts w:eastAsiaTheme="minorHAnsi" w:cstheme="minorBidi"/>
          <w:i/>
          <w:sz w:val="22"/>
          <w:lang w:val="es-MX"/>
        </w:rPr>
        <w:t xml:space="preserve"> Sánchez Gutiérrez</w:t>
      </w:r>
      <w:r w:rsidR="006C3B33" w:rsidRPr="00A138F0">
        <w:rPr>
          <w:rFonts w:eastAsiaTheme="minorHAnsi" w:cstheme="minorBidi"/>
          <w:i/>
          <w:sz w:val="22"/>
          <w:lang w:val="es-MX"/>
        </w:rPr>
        <w:t xml:space="preserve">” (Sic). </w:t>
      </w:r>
    </w:p>
    <w:p w14:paraId="601B6B00" w14:textId="77777777" w:rsidR="006C3B33" w:rsidRPr="00A138F0" w:rsidRDefault="006C3B33" w:rsidP="006C3B33">
      <w:pPr>
        <w:rPr>
          <w:rFonts w:asciiTheme="minorHAnsi" w:eastAsiaTheme="minorHAnsi" w:hAnsiTheme="minorHAnsi" w:cstheme="minorBidi"/>
          <w:sz w:val="22"/>
          <w:lang w:val="es-MX" w:eastAsia="en-US"/>
        </w:rPr>
      </w:pPr>
    </w:p>
    <w:p w14:paraId="16E4D70A" w14:textId="77777777" w:rsidR="006C3B33" w:rsidRPr="00A138F0" w:rsidRDefault="006C3B33" w:rsidP="006C3B33">
      <w:pPr>
        <w:rPr>
          <w:rFonts w:eastAsiaTheme="minorHAnsi" w:cs="Arial"/>
          <w:b/>
          <w:sz w:val="28"/>
          <w:lang w:val="es-MX" w:eastAsia="en-US"/>
        </w:rPr>
      </w:pPr>
      <w:r w:rsidRPr="00A138F0">
        <w:rPr>
          <w:rFonts w:eastAsiaTheme="minorHAnsi" w:cs="Arial"/>
          <w:b/>
          <w:sz w:val="28"/>
          <w:lang w:val="es-MX" w:eastAsia="en-US"/>
        </w:rPr>
        <w:t xml:space="preserve">TERCERO. De la respuesta al Requerimiento de Aclaración a la Solicitud de Información por parte del solicitante. </w:t>
      </w:r>
    </w:p>
    <w:p w14:paraId="641A4DA8" w14:textId="05C551E9" w:rsidR="006C3B33" w:rsidRPr="00A138F0" w:rsidRDefault="006C3B33" w:rsidP="006C3B33">
      <w:pPr>
        <w:rPr>
          <w:rFonts w:eastAsiaTheme="minorHAnsi" w:cs="Arial"/>
          <w:lang w:val="es-MX" w:eastAsia="en-US"/>
        </w:rPr>
      </w:pPr>
      <w:r w:rsidRPr="00A138F0">
        <w:rPr>
          <w:rFonts w:eastAsiaTheme="minorHAnsi" w:cs="Arial"/>
          <w:lang w:val="es-MX" w:eastAsia="en-US"/>
        </w:rPr>
        <w:t xml:space="preserve">En el expediente electrónico </w:t>
      </w:r>
      <w:r w:rsidRPr="00A138F0">
        <w:rPr>
          <w:rFonts w:eastAsiaTheme="minorHAnsi" w:cs="Arial"/>
          <w:b/>
          <w:lang w:val="es-MX" w:eastAsia="en-US"/>
        </w:rPr>
        <w:t>SAIMEX</w:t>
      </w:r>
      <w:r w:rsidRPr="00A138F0">
        <w:rPr>
          <w:rFonts w:eastAsiaTheme="minorHAnsi" w:cs="Arial"/>
          <w:lang w:val="es-MX" w:eastAsia="en-US"/>
        </w:rPr>
        <w:t xml:space="preserve">, se aprecia que el día </w:t>
      </w:r>
      <w:r w:rsidR="00BC4ECB">
        <w:rPr>
          <w:rFonts w:eastAsiaTheme="minorHAnsi" w:cs="Arial"/>
          <w:lang w:val="es-MX" w:eastAsia="en-US"/>
        </w:rPr>
        <w:t xml:space="preserve">veintisiete de abril </w:t>
      </w:r>
      <w:r w:rsidRPr="00A138F0">
        <w:rPr>
          <w:rFonts w:eastAsiaTheme="minorHAnsi" w:cs="Arial"/>
          <w:lang w:val="es-MX" w:eastAsia="en-US"/>
        </w:rPr>
        <w:t xml:space="preserve">de dos mil veintitrés, el solicitante dio respuesta a la solicitud de requerimiento de aclaración de la solicitud de información número </w:t>
      </w:r>
      <w:r w:rsidR="00BC4ECB" w:rsidRPr="00BC4ECB">
        <w:rPr>
          <w:rFonts w:eastAsiaTheme="minorHAnsi" w:cs="Arial"/>
          <w:b/>
          <w:lang w:val="es-MX" w:eastAsia="en-US"/>
        </w:rPr>
        <w:t>00098/DIFTOLUCA/IP/2023</w:t>
      </w:r>
      <w:r w:rsidRPr="00A138F0">
        <w:rPr>
          <w:rFonts w:eastAsiaTheme="minorHAnsi" w:cs="Arial"/>
          <w:lang w:val="es-MX" w:eastAsia="en-US"/>
        </w:rPr>
        <w:t xml:space="preserve">, señalando lo siguiente: </w:t>
      </w:r>
    </w:p>
    <w:p w14:paraId="60221A9E" w14:textId="77777777" w:rsidR="006C3B33" w:rsidRPr="00A138F0" w:rsidRDefault="006C3B33" w:rsidP="006C3B33">
      <w:pPr>
        <w:pStyle w:val="Sinespaciado"/>
        <w:rPr>
          <w:rFonts w:eastAsiaTheme="minorHAnsi"/>
          <w:lang w:eastAsia="en-US"/>
        </w:rPr>
      </w:pPr>
    </w:p>
    <w:p w14:paraId="4473B5C8" w14:textId="6786F1A1" w:rsidR="006C3B33" w:rsidRPr="00A138F0" w:rsidRDefault="006C3B33" w:rsidP="00BC4ECB">
      <w:pPr>
        <w:ind w:left="567" w:right="567"/>
        <w:rPr>
          <w:rFonts w:eastAsiaTheme="minorHAnsi" w:cstheme="minorBidi"/>
          <w:i/>
          <w:sz w:val="22"/>
          <w:lang w:val="es-MX"/>
        </w:rPr>
      </w:pPr>
      <w:r w:rsidRPr="00A138F0">
        <w:rPr>
          <w:rFonts w:eastAsiaTheme="minorHAnsi" w:cstheme="minorBidi"/>
          <w:i/>
          <w:sz w:val="22"/>
          <w:lang w:val="es-MX"/>
        </w:rPr>
        <w:t>“</w:t>
      </w:r>
      <w:r w:rsidR="00BC4ECB" w:rsidRPr="00BC4ECB">
        <w:rPr>
          <w:rFonts w:eastAsiaTheme="minorHAnsi" w:cstheme="minorBidi"/>
          <w:i/>
          <w:sz w:val="22"/>
          <w:lang w:val="es-MX"/>
        </w:rPr>
        <w:t>Es muy claro no traten de evadir es todas las auditorias sin importar quien las realiza</w:t>
      </w:r>
      <w:r w:rsidRPr="00A138F0">
        <w:rPr>
          <w:rFonts w:eastAsiaTheme="minorHAnsi" w:cstheme="minorBidi"/>
          <w:i/>
          <w:sz w:val="22"/>
          <w:lang w:val="es-MX"/>
        </w:rPr>
        <w:t>” (Sic)</w:t>
      </w:r>
    </w:p>
    <w:p w14:paraId="2611833D" w14:textId="77777777" w:rsidR="006C3B33" w:rsidRPr="00A138F0" w:rsidRDefault="006C3B33" w:rsidP="006C3B33">
      <w:pPr>
        <w:ind w:right="850"/>
      </w:pPr>
    </w:p>
    <w:p w14:paraId="40975C51" w14:textId="77777777" w:rsidR="006C3B33" w:rsidRDefault="006C3B33" w:rsidP="006C3B33">
      <w:pPr>
        <w:pBdr>
          <w:top w:val="nil"/>
          <w:left w:val="nil"/>
          <w:bottom w:val="nil"/>
          <w:right w:val="nil"/>
          <w:between w:val="nil"/>
        </w:pBdr>
        <w:contextualSpacing/>
        <w:rPr>
          <w:rFonts w:cs="Arial"/>
          <w:b/>
          <w:sz w:val="28"/>
          <w:szCs w:val="20"/>
        </w:rPr>
      </w:pPr>
      <w:r w:rsidRPr="00A138F0">
        <w:rPr>
          <w:rFonts w:cs="Arial"/>
          <w:b/>
          <w:sz w:val="28"/>
        </w:rPr>
        <w:t xml:space="preserve">CUARTO. </w:t>
      </w:r>
      <w:r w:rsidRPr="00A138F0">
        <w:rPr>
          <w:rFonts w:cs="Arial"/>
          <w:b/>
          <w:sz w:val="28"/>
          <w:szCs w:val="20"/>
        </w:rPr>
        <w:t>De la respuesta del Sujeto Obligado.</w:t>
      </w:r>
    </w:p>
    <w:p w14:paraId="2EE6F294" w14:textId="6FC7163B" w:rsidR="00A970D5" w:rsidRPr="006922F5" w:rsidRDefault="00A970D5" w:rsidP="006C3B3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De las constancias que obran en el expediente electrónico, se observa qu</w:t>
      </w:r>
      <w:r w:rsidR="008B2951" w:rsidRPr="006922F5">
        <w:rPr>
          <w:rFonts w:eastAsia="Palatino Linotype" w:cs="Palatino Linotype"/>
          <w:color w:val="000000"/>
          <w:szCs w:val="24"/>
        </w:rPr>
        <w:t>e el día</w:t>
      </w:r>
      <w:r w:rsidR="008B6CDF">
        <w:rPr>
          <w:rFonts w:eastAsia="Palatino Linotype" w:cs="Palatino Linotype"/>
          <w:color w:val="000000"/>
          <w:szCs w:val="24"/>
        </w:rPr>
        <w:t xml:space="preserve"> </w:t>
      </w:r>
      <w:r w:rsidR="00BC4ECB">
        <w:rPr>
          <w:rFonts w:eastAsia="Palatino Linotype" w:cs="Palatino Linotype"/>
          <w:color w:val="000000"/>
          <w:szCs w:val="24"/>
        </w:rPr>
        <w:t xml:space="preserve">dieciocho de mayo </w:t>
      </w:r>
      <w:r w:rsidR="008B6CDF">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8C314A0" w14:textId="77777777" w:rsidR="00BC4ECB" w:rsidRDefault="00A970D5" w:rsidP="00BC4ECB">
      <w:pPr>
        <w:pStyle w:val="Fundamentos"/>
      </w:pPr>
      <w:r w:rsidRPr="0037112D">
        <w:t>“</w:t>
      </w:r>
      <w:r w:rsidR="00BC4ECB">
        <w:t>Con fundamento en el artículo 163 de la Ley de Transparencia y Acceso a la Información Pública del Estado de México y Municipios, le contestamos que:</w:t>
      </w:r>
    </w:p>
    <w:p w14:paraId="77A2EFB5" w14:textId="77777777" w:rsidR="00BC4ECB" w:rsidRDefault="00BC4ECB" w:rsidP="00BC4ECB">
      <w:pPr>
        <w:pStyle w:val="Fundamentos"/>
      </w:pPr>
    </w:p>
    <w:p w14:paraId="6EFB33D6" w14:textId="77777777" w:rsidR="00BC4ECB" w:rsidRDefault="00BC4ECB" w:rsidP="00BC4ECB">
      <w:pPr>
        <w:pStyle w:val="Fundamentos"/>
      </w:pPr>
      <w:r>
        <w:t xml:space="preserve">En cumplimiento a lo dispuesto en el artículo 53 </w:t>
      </w:r>
      <w:proofErr w:type="gramStart"/>
      <w:r>
        <w:t>fracción</w:t>
      </w:r>
      <w:proofErr w:type="gramEnd"/>
      <w:r>
        <w:t xml:space="preserve"> II, IV, V y VI de la Ley de Transparencia y Acceso a la Información Pública del Estado de México y Municipios, adjunto a la presente los elementos generados para la atención de la solicitud de información interpuesta a este Sujeto Obligado. Así mismo y en apego a lo estipulado en el numeral 178 de Ley de Transparencia y Acceso a la Información Pública del Estado de México y Municipios, me permito hacer de su conocimiento que dentro de los 15 días hábiles posteriores a la fecha de la notificación del presente, usted podrá interponer Recurso de Revisión en contra de este Sujeto Obligado, siempre y cuando se cumpla alguno de los preceptos estipulados en los artículos mencionados. Sin otro particular por el momento quedamos a sus órdenes, enviándole un cordial saludo.</w:t>
      </w:r>
    </w:p>
    <w:p w14:paraId="3990809E" w14:textId="77777777" w:rsidR="00BC4ECB" w:rsidRDefault="00BC4ECB" w:rsidP="00BC4ECB">
      <w:pPr>
        <w:pStyle w:val="Fundamentos"/>
      </w:pPr>
    </w:p>
    <w:p w14:paraId="3600805E" w14:textId="77777777" w:rsidR="00BC4ECB" w:rsidRDefault="00BC4ECB" w:rsidP="00BC4ECB">
      <w:pPr>
        <w:pStyle w:val="Fundamentos"/>
      </w:pPr>
      <w:r>
        <w:t>ATENTAMENTE</w:t>
      </w:r>
    </w:p>
    <w:p w14:paraId="3FE4A9EF" w14:textId="4C497814" w:rsidR="00A970D5" w:rsidRPr="00404754" w:rsidRDefault="00BC4ECB" w:rsidP="00BC4ECB">
      <w:pPr>
        <w:pStyle w:val="Fundamentos"/>
        <w:rPr>
          <w:lang w:val="es-MX"/>
        </w:rPr>
      </w:pPr>
      <w:r>
        <w:t xml:space="preserve">Lic. en C. </w:t>
      </w:r>
      <w:proofErr w:type="spellStart"/>
      <w:r>
        <w:t>Jasmin</w:t>
      </w:r>
      <w:proofErr w:type="spellEnd"/>
      <w:r>
        <w:t xml:space="preserve"> </w:t>
      </w:r>
      <w:proofErr w:type="spellStart"/>
      <w:r>
        <w:t>Arlet</w:t>
      </w:r>
      <w:proofErr w:type="spellEnd"/>
      <w:r>
        <w:t xml:space="preserve"> Sánchez Gutiérrez</w:t>
      </w:r>
      <w:r w:rsidR="00A970D5" w:rsidRPr="00404754">
        <w:rPr>
          <w:lang w:val="es-MX"/>
        </w:rPr>
        <w:t>”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974B714" w:rsidR="0037112D" w:rsidRPr="0037112D" w:rsidRDefault="0037112D" w:rsidP="006922F5">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8B6CDF">
        <w:rPr>
          <w:rFonts w:eastAsia="Palatino Linotype" w:cs="Palatino Linotype"/>
          <w:color w:val="000000"/>
          <w:szCs w:val="24"/>
        </w:rPr>
        <w:t xml:space="preserve">adjuntó a su respuesta </w:t>
      </w:r>
      <w:r w:rsidR="00BC4ECB">
        <w:rPr>
          <w:rFonts w:eastAsia="Palatino Linotype" w:cs="Palatino Linotype"/>
          <w:color w:val="000000"/>
          <w:szCs w:val="24"/>
        </w:rPr>
        <w:t>los documentos electrónicos denominados</w:t>
      </w:r>
      <w:r w:rsidR="00100663">
        <w:rPr>
          <w:rFonts w:eastAsia="Palatino Linotype" w:cs="Palatino Linotype"/>
          <w:color w:val="000000"/>
          <w:szCs w:val="24"/>
        </w:rPr>
        <w:t xml:space="preserve"> </w:t>
      </w:r>
      <w:r>
        <w:rPr>
          <w:rFonts w:eastAsia="Palatino Linotype" w:cs="Palatino Linotype"/>
          <w:b/>
          <w:bCs/>
          <w:color w:val="000000"/>
          <w:szCs w:val="24"/>
        </w:rPr>
        <w:t>“</w:t>
      </w:r>
      <w:r w:rsidR="00BC4ECB" w:rsidRPr="00BC4ECB">
        <w:rPr>
          <w:rFonts w:eastAsia="Palatino Linotype" w:cs="Palatino Linotype"/>
          <w:b/>
          <w:bCs/>
          <w:color w:val="000000"/>
          <w:szCs w:val="24"/>
        </w:rPr>
        <w:t>oficio 599[1] 1.pdf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RAR00098_2023.PDF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OFICIO 200B10400-OIC-817-2022[1]3.pdf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OFICIO 200B10400-OIC-817-2022[2]3.pdf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SS00098_2023.PDF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 xml:space="preserve">OF. </w:t>
      </w:r>
      <w:proofErr w:type="gramStart"/>
      <w:r w:rsidR="00BC4ECB" w:rsidRPr="00BC4ECB">
        <w:rPr>
          <w:rFonts w:eastAsia="Palatino Linotype" w:cs="Palatino Linotype"/>
          <w:b/>
          <w:bCs/>
          <w:color w:val="000000"/>
          <w:szCs w:val="24"/>
        </w:rPr>
        <w:t>RESULT[</w:t>
      </w:r>
      <w:proofErr w:type="gramEnd"/>
      <w:r w:rsidR="00BC4ECB" w:rsidRPr="00BC4ECB">
        <w:rPr>
          <w:rFonts w:eastAsia="Palatino Linotype" w:cs="Palatino Linotype"/>
          <w:b/>
          <w:bCs/>
          <w:color w:val="000000"/>
          <w:szCs w:val="24"/>
        </w:rPr>
        <w:t>1]2.pdf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RAR00098_2023.PDF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SS00098_2023.PDF</w:t>
      </w:r>
      <w:r w:rsidR="00BC4ECB">
        <w:rPr>
          <w:rFonts w:eastAsia="Palatino Linotype" w:cs="Palatino Linotype"/>
          <w:b/>
          <w:bCs/>
          <w:color w:val="000000"/>
          <w:szCs w:val="24"/>
        </w:rPr>
        <w:t>”, “</w:t>
      </w:r>
      <w:r w:rsidR="00BC4ECB" w:rsidRPr="00BC4ECB">
        <w:rPr>
          <w:rFonts w:eastAsia="Palatino Linotype" w:cs="Palatino Linotype"/>
          <w:b/>
          <w:bCs/>
          <w:color w:val="000000"/>
          <w:szCs w:val="24"/>
        </w:rPr>
        <w:t xml:space="preserve">informe de </w:t>
      </w:r>
      <w:proofErr w:type="spellStart"/>
      <w:r w:rsidR="00BC4ECB" w:rsidRPr="00BC4ECB">
        <w:rPr>
          <w:rFonts w:eastAsia="Palatino Linotype" w:cs="Palatino Linotype"/>
          <w:b/>
          <w:bCs/>
          <w:color w:val="000000"/>
          <w:szCs w:val="24"/>
        </w:rPr>
        <w:t>auditoria</w:t>
      </w:r>
      <w:proofErr w:type="spellEnd"/>
      <w:r w:rsidR="00BC4ECB" w:rsidRPr="00BC4ECB">
        <w:rPr>
          <w:rFonts w:eastAsia="Palatino Linotype" w:cs="Palatino Linotype"/>
          <w:b/>
          <w:bCs/>
          <w:color w:val="000000"/>
          <w:szCs w:val="24"/>
        </w:rPr>
        <w:t>[1]1.pdf</w:t>
      </w:r>
      <w:r w:rsidR="00BC4ECB">
        <w:rPr>
          <w:rFonts w:eastAsia="Palatino Linotype" w:cs="Palatino Linotype"/>
          <w:b/>
          <w:bCs/>
          <w:color w:val="000000"/>
          <w:szCs w:val="24"/>
        </w:rPr>
        <w:t>”</w:t>
      </w:r>
      <w:r w:rsidR="00DD2018">
        <w:rPr>
          <w:rFonts w:eastAsia="Palatino Linotype" w:cs="Palatino Linotype"/>
          <w:b/>
          <w:bCs/>
          <w:color w:val="000000"/>
          <w:szCs w:val="24"/>
        </w:rPr>
        <w:t xml:space="preserve"> y “</w:t>
      </w:r>
      <w:r w:rsidR="00DD2018" w:rsidRPr="00DD2018">
        <w:rPr>
          <w:rFonts w:eastAsia="Palatino Linotype" w:cs="Palatino Linotype"/>
          <w:b/>
          <w:bCs/>
          <w:color w:val="000000"/>
          <w:szCs w:val="24"/>
        </w:rPr>
        <w:t>RESP. AUD 1[1].</w:t>
      </w:r>
      <w:proofErr w:type="spellStart"/>
      <w:r w:rsidR="00DD2018" w:rsidRPr="00DD2018">
        <w:rPr>
          <w:rFonts w:eastAsia="Palatino Linotype" w:cs="Palatino Linotype"/>
          <w:b/>
          <w:bCs/>
          <w:color w:val="000000"/>
          <w:szCs w:val="24"/>
        </w:rPr>
        <w:t>pdf</w:t>
      </w:r>
      <w:proofErr w:type="spellEnd"/>
      <w:r>
        <w:rPr>
          <w:rFonts w:eastAsia="Palatino Linotype" w:cs="Palatino Linotype"/>
          <w:b/>
          <w:bCs/>
          <w:color w:val="000000"/>
          <w:szCs w:val="24"/>
        </w:rPr>
        <w:t>”</w:t>
      </w:r>
      <w:r>
        <w:rPr>
          <w:rFonts w:eastAsia="Palatino Linotype" w:cs="Palatino Linotype"/>
          <w:color w:val="000000"/>
          <w:szCs w:val="24"/>
        </w:rPr>
        <w:t xml:space="preserve">, </w:t>
      </w:r>
      <w:r w:rsidR="009B321A">
        <w:rPr>
          <w:rFonts w:eastAsia="Palatino Linotype" w:cs="Palatino Linotype"/>
          <w:color w:val="000000"/>
          <w:szCs w:val="24"/>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6036A2F6" w:rsidR="00A970D5" w:rsidRPr="006922F5" w:rsidRDefault="00DD2018" w:rsidP="006922F5">
      <w:pPr>
        <w:pStyle w:val="Ttulo2"/>
        <w:rPr>
          <w:rFonts w:eastAsia="Palatino Linotype"/>
        </w:rPr>
      </w:pPr>
      <w:r>
        <w:rPr>
          <w:rFonts w:eastAsia="Palatino Linotype"/>
        </w:rPr>
        <w:lastRenderedPageBreak/>
        <w:t>QUINTO</w:t>
      </w:r>
      <w:r w:rsidR="00A970D5" w:rsidRPr="006922F5">
        <w:rPr>
          <w:rFonts w:eastAsia="Palatino Linotype"/>
        </w:rPr>
        <w:t>. Del recurso de revisión.</w:t>
      </w:r>
    </w:p>
    <w:p w14:paraId="0C8C3A2F" w14:textId="3743178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9B321A">
        <w:rPr>
          <w:rFonts w:eastAsia="Palatino Linotype" w:cs="Palatino Linotype"/>
          <w:color w:val="000000"/>
          <w:szCs w:val="24"/>
        </w:rPr>
        <w:t>la</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C77CBD">
        <w:rPr>
          <w:rFonts w:eastAsia="Palatino Linotype" w:cs="Palatino Linotype"/>
          <w:color w:val="000000"/>
          <w:szCs w:val="24"/>
        </w:rPr>
        <w:t xml:space="preserve"> </w:t>
      </w:r>
      <w:r w:rsidR="00DD2018">
        <w:rPr>
          <w:rFonts w:eastAsia="Palatino Linotype" w:cs="Palatino Linotype"/>
          <w:color w:val="000000"/>
          <w:szCs w:val="24"/>
        </w:rPr>
        <w:t xml:space="preserve">treinta de mayo </w:t>
      </w:r>
      <w:r w:rsidR="00C77CBD">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DD2018">
        <w:rPr>
          <w:rFonts w:eastAsia="Palatino Linotype" w:cs="Palatino Linotype"/>
          <w:b/>
          <w:color w:val="000000"/>
          <w:szCs w:val="24"/>
        </w:rPr>
        <w:t>02985</w:t>
      </w:r>
      <w:r w:rsidRPr="006922F5">
        <w:rPr>
          <w:rFonts w:eastAsia="Palatino Linotype" w:cs="Palatino Linotype"/>
          <w:b/>
          <w:color w:val="000000"/>
          <w:szCs w:val="24"/>
        </w:rPr>
        <w:t>/INFOEM/IP/RR/202</w:t>
      </w:r>
      <w:r w:rsidR="00C77CBD">
        <w:rPr>
          <w:rFonts w:eastAsia="Palatino Linotype" w:cs="Palatino Linotype"/>
          <w:b/>
          <w:color w:val="000000"/>
          <w:szCs w:val="24"/>
        </w:rPr>
        <w:t>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5C23964" w:rsidR="00A970D5" w:rsidRPr="006922F5" w:rsidRDefault="00A970D5" w:rsidP="006922F5">
      <w:pPr>
        <w:pStyle w:val="Fundamentos"/>
        <w:rPr>
          <w:b/>
        </w:rPr>
      </w:pPr>
      <w:r w:rsidRPr="006922F5">
        <w:t>“</w:t>
      </w:r>
      <w:r w:rsidR="00DD2018" w:rsidRPr="00DD2018">
        <w:t>Respuesta</w:t>
      </w:r>
      <w:r w:rsidR="002806D1">
        <w:t xml:space="preserve">” </w:t>
      </w:r>
      <w:r w:rsidRPr="006922F5">
        <w:t>Sic)</w:t>
      </w:r>
    </w:p>
    <w:p w14:paraId="3C40A441" w14:textId="77777777" w:rsidR="00A970D5" w:rsidRPr="006922F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382170D3" w:rsidR="00A970D5" w:rsidRPr="006922F5" w:rsidRDefault="00A970D5" w:rsidP="006922F5">
      <w:pPr>
        <w:pStyle w:val="Fundamentos"/>
      </w:pPr>
      <w:r w:rsidRPr="006922F5">
        <w:t>“</w:t>
      </w:r>
      <w:r w:rsidR="00DD2018" w:rsidRPr="00DD2018">
        <w:t>Entrega de información incompleta</w:t>
      </w:r>
      <w:r w:rsidRPr="006922F5">
        <w:t>” (Sic)</w:t>
      </w:r>
    </w:p>
    <w:p w14:paraId="057706FA" w14:textId="77777777" w:rsidR="00391DD0" w:rsidRPr="006922F5" w:rsidRDefault="00391DD0" w:rsidP="006922F5">
      <w:pPr>
        <w:pBdr>
          <w:top w:val="nil"/>
          <w:left w:val="nil"/>
          <w:bottom w:val="nil"/>
          <w:right w:val="nil"/>
          <w:between w:val="nil"/>
        </w:pBdr>
        <w:contextualSpacing/>
        <w:rPr>
          <w:rFonts w:eastAsia="Palatino Linotype" w:cs="Palatino Linotype"/>
          <w:color w:val="000000"/>
          <w:szCs w:val="24"/>
        </w:rPr>
      </w:pPr>
    </w:p>
    <w:p w14:paraId="11D7F189" w14:textId="18425954" w:rsidR="00A970D5" w:rsidRPr="006922F5" w:rsidRDefault="00DD2018" w:rsidP="006922F5">
      <w:pPr>
        <w:pStyle w:val="Ttulo2"/>
        <w:rPr>
          <w:rFonts w:eastAsia="Palatino Linotype"/>
        </w:rPr>
      </w:pPr>
      <w:r>
        <w:rPr>
          <w:rFonts w:eastAsia="Palatino Linotype"/>
        </w:rPr>
        <w:t>SEXTO</w:t>
      </w:r>
      <w:r w:rsidR="00A970D5" w:rsidRPr="006922F5">
        <w:rPr>
          <w:rFonts w:eastAsia="Palatino Linotype"/>
        </w:rPr>
        <w:t>. Del turno y admisión del recurso de revisión.</w:t>
      </w:r>
    </w:p>
    <w:p w14:paraId="2459DEBA" w14:textId="234764F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C77CBD">
        <w:rPr>
          <w:rFonts w:eastAsia="Palatino Linotype" w:cs="Palatino Linotype"/>
          <w:color w:val="000000"/>
          <w:szCs w:val="24"/>
        </w:rPr>
        <w:t xml:space="preserve"> </w:t>
      </w:r>
      <w:r w:rsidR="00DD2018">
        <w:rPr>
          <w:rFonts w:eastAsia="Palatino Linotype" w:cs="Palatino Linotype"/>
          <w:color w:val="000000"/>
          <w:szCs w:val="24"/>
        </w:rPr>
        <w:t>cinco</w:t>
      </w:r>
      <w:r w:rsidR="00C77CBD">
        <w:rPr>
          <w:rFonts w:eastAsia="Palatino Linotype" w:cs="Palatino Linotype"/>
          <w:color w:val="000000"/>
          <w:szCs w:val="24"/>
        </w:rPr>
        <w:t xml:space="preserve"> de junio 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0BAA78D" w:rsidR="00A970D5" w:rsidRPr="006922F5" w:rsidRDefault="00DD2018" w:rsidP="006922F5">
      <w:pPr>
        <w:pStyle w:val="Ttulo2"/>
        <w:rPr>
          <w:rFonts w:eastAsia="Palatino Linotype"/>
        </w:rPr>
      </w:pPr>
      <w:r>
        <w:rPr>
          <w:rFonts w:eastAsia="Palatino Linotype"/>
        </w:rPr>
        <w:t>SÉPTIMO</w:t>
      </w:r>
      <w:r w:rsidR="00A970D5" w:rsidRPr="006922F5">
        <w:rPr>
          <w:rFonts w:eastAsia="Palatino Linotype"/>
        </w:rPr>
        <w:t>. De la etapa de instrucción.</w:t>
      </w:r>
    </w:p>
    <w:p w14:paraId="134297B7" w14:textId="15AB93E5" w:rsidR="00EB47A3" w:rsidRPr="009849E0" w:rsidRDefault="00EB47A3" w:rsidP="00EB47A3">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abierta la etapa de instrucción, se observa</w:t>
      </w:r>
      <w:r w:rsidRPr="000719E4">
        <w:rPr>
          <w:rFonts w:eastAsia="Palatino Linotype" w:cs="Palatino Linotype"/>
          <w:color w:val="000000"/>
          <w:szCs w:val="24"/>
        </w:rPr>
        <w:t xml:space="preserve"> </w:t>
      </w:r>
      <w:r w:rsidRPr="006F65AC">
        <w:rPr>
          <w:rFonts w:eastAsia="Palatino Linotype" w:cs="Palatino Linotype"/>
          <w:color w:val="000000"/>
          <w:szCs w:val="24"/>
        </w:rPr>
        <w:t>que en fecha</w:t>
      </w:r>
      <w:r w:rsidR="00C77CBD">
        <w:rPr>
          <w:rFonts w:eastAsia="Palatino Linotype" w:cs="Palatino Linotype"/>
          <w:color w:val="000000"/>
          <w:szCs w:val="24"/>
        </w:rPr>
        <w:t xml:space="preserve"> </w:t>
      </w:r>
      <w:r w:rsidR="00DD2018">
        <w:rPr>
          <w:rFonts w:eastAsia="Palatino Linotype" w:cs="Palatino Linotype"/>
          <w:color w:val="000000"/>
          <w:szCs w:val="24"/>
        </w:rPr>
        <w:t xml:space="preserve">veintiuno de junio </w:t>
      </w:r>
      <w:r w:rsidR="00C77CBD">
        <w:rPr>
          <w:rFonts w:eastAsia="Palatino Linotype" w:cs="Palatino Linotype"/>
          <w:color w:val="000000"/>
          <w:szCs w:val="24"/>
        </w:rPr>
        <w:t>de dos mil veintitrés</w:t>
      </w:r>
      <w:r w:rsidRPr="006F65AC">
        <w:rPr>
          <w:rFonts w:eastAsia="Palatino Linotype" w:cs="Palatino Linotype"/>
          <w:color w:val="000000"/>
          <w:szCs w:val="24"/>
        </w:rPr>
        <w:t>, el Sujeto Obligado rindió su Informe Justificado, consistente en</w:t>
      </w:r>
      <w:r w:rsidRPr="000719E4">
        <w:rPr>
          <w:rFonts w:eastAsia="Palatino Linotype" w:cs="Palatino Linotype"/>
          <w:color w:val="000000"/>
          <w:szCs w:val="24"/>
        </w:rPr>
        <w:t xml:space="preserve"> </w:t>
      </w:r>
      <w:r w:rsidR="00DD2018">
        <w:rPr>
          <w:rFonts w:eastAsia="Palatino Linotype" w:cs="Palatino Linotype"/>
          <w:color w:val="000000"/>
          <w:szCs w:val="24"/>
        </w:rPr>
        <w:t>el documento denominado</w:t>
      </w:r>
      <w:r w:rsidR="002806D1">
        <w:rPr>
          <w:rFonts w:eastAsia="Palatino Linotype" w:cs="Palatino Linotype"/>
          <w:color w:val="000000"/>
          <w:szCs w:val="24"/>
        </w:rPr>
        <w:t xml:space="preserve"> </w:t>
      </w:r>
      <w:r w:rsidR="002806D1" w:rsidRPr="002806D1">
        <w:rPr>
          <w:rFonts w:eastAsia="Palatino Linotype" w:cs="Palatino Linotype"/>
          <w:b/>
          <w:color w:val="000000"/>
          <w:szCs w:val="24"/>
        </w:rPr>
        <w:t>“</w:t>
      </w:r>
      <w:r w:rsidR="00DD2018" w:rsidRPr="00DD2018">
        <w:rPr>
          <w:rFonts w:eastAsia="Palatino Linotype" w:cs="Palatino Linotype"/>
          <w:b/>
          <w:color w:val="000000"/>
          <w:szCs w:val="24"/>
        </w:rPr>
        <w:t>IJRR_02985_2023_0001.pdf</w:t>
      </w:r>
      <w:r w:rsidRPr="006F65AC">
        <w:rPr>
          <w:rFonts w:eastAsia="Palatino Linotype" w:cs="Palatino Linotype"/>
          <w:b/>
          <w:bCs/>
          <w:color w:val="000000"/>
          <w:szCs w:val="24"/>
        </w:rPr>
        <w:t>”</w:t>
      </w:r>
      <w:r w:rsidR="002806D1">
        <w:rPr>
          <w:rFonts w:eastAsia="Palatino Linotype" w:cs="Palatino Linotype"/>
          <w:color w:val="000000"/>
          <w:szCs w:val="24"/>
        </w:rPr>
        <w:t xml:space="preserve">, </w:t>
      </w:r>
      <w:r w:rsidR="00DD2018">
        <w:rPr>
          <w:rFonts w:eastAsia="Palatino Linotype" w:cs="Palatino Linotype"/>
          <w:color w:val="000000"/>
          <w:szCs w:val="24"/>
        </w:rPr>
        <w:t xml:space="preserve">el cual fue puesto </w:t>
      </w:r>
      <w:r w:rsidRPr="006F65AC">
        <w:rPr>
          <w:rFonts w:eastAsia="Palatino Linotype" w:cs="Palatino Linotype"/>
          <w:color w:val="000000"/>
          <w:szCs w:val="24"/>
        </w:rPr>
        <w:t>a la vista del</w:t>
      </w:r>
      <w:r w:rsidRPr="000719E4">
        <w:rPr>
          <w:rFonts w:eastAsia="Palatino Linotype" w:cs="Palatino Linotype"/>
          <w:color w:val="000000"/>
          <w:szCs w:val="24"/>
        </w:rPr>
        <w:t xml:space="preserve"> </w:t>
      </w:r>
      <w:r w:rsidRPr="006F65AC">
        <w:rPr>
          <w:rFonts w:eastAsia="Palatino Linotype" w:cs="Palatino Linotype"/>
          <w:color w:val="000000"/>
          <w:szCs w:val="24"/>
        </w:rPr>
        <w:t>Recurrente mediante acuerdo de fecha</w:t>
      </w:r>
      <w:r w:rsidR="00C77CBD">
        <w:rPr>
          <w:rFonts w:eastAsia="Palatino Linotype" w:cs="Palatino Linotype"/>
          <w:color w:val="000000"/>
          <w:szCs w:val="24"/>
        </w:rPr>
        <w:t xml:space="preserve"> </w:t>
      </w:r>
      <w:r w:rsidR="00DD2018">
        <w:rPr>
          <w:rFonts w:eastAsia="Palatino Linotype" w:cs="Palatino Linotype"/>
          <w:color w:val="000000"/>
          <w:szCs w:val="24"/>
        </w:rPr>
        <w:t>once</w:t>
      </w:r>
      <w:r w:rsidR="00C77CBD">
        <w:rPr>
          <w:rFonts w:eastAsia="Palatino Linotype" w:cs="Palatino Linotype"/>
          <w:color w:val="000000"/>
          <w:szCs w:val="24"/>
        </w:rPr>
        <w:t xml:space="preserve"> de julio del año en curso</w:t>
      </w:r>
      <w:r w:rsidRPr="006F65AC">
        <w:rPr>
          <w:rFonts w:eastAsia="Palatino Linotype" w:cs="Palatino Linotype"/>
          <w:color w:val="000000"/>
          <w:szCs w:val="24"/>
        </w:rPr>
        <w:t xml:space="preserve">, en términos de la fracción III del artículo 185 de la Ley de Transparencia y Acceso a la Información Pública </w:t>
      </w:r>
      <w:r w:rsidRPr="006F65AC">
        <w:rPr>
          <w:rFonts w:eastAsia="Palatino Linotype" w:cs="Palatino Linotype"/>
          <w:color w:val="000000"/>
          <w:szCs w:val="24"/>
        </w:rPr>
        <w:lastRenderedPageBreak/>
        <w:t>del Estado de México y Municipios, otorgando al</w:t>
      </w:r>
      <w:r w:rsidRPr="000719E4">
        <w:rPr>
          <w:rFonts w:eastAsia="Palatino Linotype" w:cs="Palatino Linotype"/>
          <w:color w:val="000000"/>
          <w:szCs w:val="24"/>
        </w:rPr>
        <w:t xml:space="preserve"> </w:t>
      </w:r>
      <w:r w:rsidRPr="006F65AC">
        <w:rPr>
          <w:rFonts w:eastAsia="Palatino Linotype" w:cs="Palatino Linotype"/>
          <w:color w:val="000000"/>
          <w:szCs w:val="24"/>
        </w:rPr>
        <w:t>particular un término de tres días para manifestar lo que a</w:t>
      </w:r>
      <w:r w:rsidR="009849E0">
        <w:rPr>
          <w:rFonts w:eastAsia="Palatino Linotype" w:cs="Palatino Linotype"/>
          <w:color w:val="000000"/>
          <w:szCs w:val="24"/>
        </w:rPr>
        <w:t xml:space="preserve"> su derecho conviniera. Por su</w:t>
      </w:r>
      <w:r w:rsidRPr="006F65AC">
        <w:rPr>
          <w:rFonts w:eastAsia="Palatino Linotype" w:cs="Palatino Linotype"/>
          <w:color w:val="000000"/>
          <w:szCs w:val="24"/>
        </w:rPr>
        <w:t xml:space="preserve"> parte, </w:t>
      </w:r>
      <w:r w:rsidR="009849E0">
        <w:rPr>
          <w:rFonts w:eastAsia="Palatino Linotype" w:cs="Palatino Linotype"/>
          <w:color w:val="000000"/>
          <w:szCs w:val="24"/>
        </w:rPr>
        <w:t xml:space="preserve">el Recurrente </w:t>
      </w:r>
      <w:r w:rsidR="002806D1">
        <w:rPr>
          <w:rFonts w:eastAsia="Palatino Linotype" w:cs="Palatino Linotype"/>
          <w:color w:val="000000"/>
          <w:szCs w:val="24"/>
        </w:rPr>
        <w:t xml:space="preserve">no realizó manifestaciones, vertió alegatos ni presentó pruebas que a su derecho convinieran. </w:t>
      </w:r>
      <w:r w:rsidR="009849E0">
        <w:rPr>
          <w:rFonts w:eastAsia="Palatino Linotype" w:cs="Palatino Linotype"/>
          <w:color w:val="000000"/>
          <w:szCs w:val="24"/>
        </w:rPr>
        <w:t>El contenido de ambos documentos será analizado en el estudio correspondiente.</w:t>
      </w:r>
    </w:p>
    <w:p w14:paraId="5B536618" w14:textId="7ED50870" w:rsidR="00C02596" w:rsidRDefault="00C02596" w:rsidP="006922F5">
      <w:pPr>
        <w:pBdr>
          <w:top w:val="nil"/>
          <w:left w:val="nil"/>
          <w:bottom w:val="nil"/>
          <w:right w:val="nil"/>
          <w:between w:val="nil"/>
        </w:pBdr>
        <w:contextualSpacing/>
        <w:rPr>
          <w:rFonts w:eastAsia="Palatino Linotype" w:cs="Palatino Linotype"/>
          <w:color w:val="000000"/>
          <w:szCs w:val="24"/>
        </w:rPr>
      </w:pPr>
    </w:p>
    <w:p w14:paraId="614431B8" w14:textId="43A625EC" w:rsidR="00DD2018" w:rsidRPr="006922F5" w:rsidRDefault="00DD2018" w:rsidP="00DD2018">
      <w:pPr>
        <w:pStyle w:val="Ttulo2"/>
        <w:rPr>
          <w:rFonts w:eastAsia="Palatino Linotype"/>
        </w:rPr>
      </w:pPr>
      <w:r>
        <w:rPr>
          <w:rFonts w:eastAsiaTheme="minorHAnsi"/>
          <w:lang w:eastAsia="en-US"/>
        </w:rPr>
        <w:t>OCTAVO</w:t>
      </w:r>
      <w:r w:rsidR="00123A80" w:rsidRPr="006922F5">
        <w:rPr>
          <w:rFonts w:eastAsiaTheme="minorHAnsi"/>
          <w:lang w:eastAsia="en-US"/>
        </w:rPr>
        <w:t>.</w:t>
      </w:r>
      <w:r w:rsidRPr="00DD2018">
        <w:rPr>
          <w:rFonts w:eastAsiaTheme="minorHAnsi"/>
          <w:lang w:eastAsia="en-US"/>
        </w:rPr>
        <w:t xml:space="preserve"> </w:t>
      </w:r>
      <w:r w:rsidRPr="006922F5">
        <w:rPr>
          <w:rFonts w:eastAsiaTheme="minorHAnsi"/>
          <w:lang w:eastAsia="en-US"/>
        </w:rPr>
        <w:t>De la ampliación del término para resolver.</w:t>
      </w:r>
    </w:p>
    <w:p w14:paraId="14CD4E35" w14:textId="4248848A"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 xml:space="preserve">En fecha </w:t>
      </w:r>
      <w:r>
        <w:rPr>
          <w:rFonts w:eastAsiaTheme="minorHAnsi" w:cstheme="minorBidi"/>
          <w:lang w:val="es-MX" w:eastAsia="en-US"/>
        </w:rPr>
        <w:t xml:space="preserve">treinta y uno de julio </w:t>
      </w:r>
      <w:r w:rsidRPr="00A138F0">
        <w:rPr>
          <w:rFonts w:eastAsiaTheme="minorHAnsi" w:cstheme="minorBidi"/>
          <w:lang w:val="es-MX" w:eastAsia="en-US"/>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233E09B8" w14:textId="77777777" w:rsidR="00DD2018" w:rsidRPr="00A138F0" w:rsidRDefault="00DD2018" w:rsidP="00DD2018">
      <w:pPr>
        <w:rPr>
          <w:rFonts w:eastAsiaTheme="minorHAnsi" w:cstheme="minorBidi"/>
          <w:lang w:val="es-MX" w:eastAsia="en-US"/>
        </w:rPr>
      </w:pPr>
    </w:p>
    <w:p w14:paraId="1E078FBE"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 xml:space="preserve">Este organismo garante no pasa por alto justificar, </w:t>
      </w:r>
      <w:r w:rsidRPr="00A138F0">
        <w:rPr>
          <w:rFonts w:eastAsiaTheme="minorHAnsi" w:cstheme="minorBidi"/>
          <w:bCs/>
          <w:lang w:val="es-MX" w:eastAsia="en-US"/>
        </w:rPr>
        <w:t xml:space="preserve">que el plazo para emitir resolución en el presente asunto </w:t>
      </w:r>
      <w:r w:rsidRPr="00A138F0">
        <w:rPr>
          <w:rFonts w:eastAsiaTheme="minorHAnsi" w:cstheme="minorBidi"/>
          <w:lang w:val="es-MX" w:eastAsia="en-U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32232D5" w14:textId="77777777" w:rsidR="00DD2018" w:rsidRPr="00A138F0" w:rsidRDefault="00DD2018" w:rsidP="00DD2018">
      <w:pPr>
        <w:rPr>
          <w:rFonts w:eastAsiaTheme="minorHAnsi" w:cstheme="minorBidi"/>
          <w:lang w:val="es-MX" w:eastAsia="en-US"/>
        </w:rPr>
      </w:pPr>
    </w:p>
    <w:p w14:paraId="7204E1CE"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 xml:space="preserve">Por ello, es menester precisar que si bien se ha excedido el plazo para resolver el presente medio de impugnación, de conformidad con la ley de la materia, </w:t>
      </w:r>
      <w:r w:rsidRPr="00A138F0">
        <w:rPr>
          <w:rFonts w:eastAsiaTheme="minorHAnsi" w:cstheme="minorBidi"/>
          <w:bCs/>
          <w:lang w:val="es-MX" w:eastAsia="en-US"/>
        </w:rPr>
        <w:t>el plazo para emitir resolución</w:t>
      </w:r>
      <w:r w:rsidRPr="00A138F0">
        <w:rPr>
          <w:rFonts w:eastAsiaTheme="minorHAnsi" w:cstheme="minorBidi"/>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057802A" w14:textId="77777777" w:rsidR="00DD2018" w:rsidRPr="00A138F0" w:rsidRDefault="00DD2018" w:rsidP="00DD2018">
      <w:pPr>
        <w:rPr>
          <w:rFonts w:eastAsiaTheme="minorHAnsi" w:cstheme="minorBidi"/>
          <w:lang w:val="es-MX" w:eastAsia="en-US"/>
        </w:rPr>
      </w:pPr>
    </w:p>
    <w:p w14:paraId="77DCAD7C"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F87344"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16AF668" w14:textId="77777777" w:rsidR="00DD2018" w:rsidRPr="00A138F0" w:rsidRDefault="00DD2018" w:rsidP="00DD2018">
      <w:pPr>
        <w:rPr>
          <w:rFonts w:eastAsiaTheme="minorHAnsi" w:cstheme="minorBidi"/>
          <w:lang w:val="es-MX" w:eastAsia="en-US"/>
        </w:rPr>
      </w:pPr>
    </w:p>
    <w:p w14:paraId="3F7BD38A"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0C6F3438" w14:textId="77777777" w:rsidR="00DD2018" w:rsidRPr="00A138F0" w:rsidRDefault="00DD2018" w:rsidP="00DD2018">
      <w:pPr>
        <w:rPr>
          <w:rFonts w:asciiTheme="minorHAnsi" w:eastAsiaTheme="minorHAnsi" w:hAnsiTheme="minorHAnsi" w:cstheme="minorBidi"/>
          <w:sz w:val="22"/>
          <w:lang w:val="es-MX" w:eastAsia="en-US"/>
        </w:rPr>
      </w:pPr>
    </w:p>
    <w:p w14:paraId="21330F14"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a)      Complejidad del asunto: La complejidad de la prueba, la pluralidad de sujetos procesales, el tiempo transcurrido, las características y contexto del recurso.</w:t>
      </w:r>
    </w:p>
    <w:p w14:paraId="3ED637B9"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b)     Actividad Procesal del interesado: Acciones u omisiones del interesado.</w:t>
      </w:r>
    </w:p>
    <w:p w14:paraId="3B249CA8"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c)  Conducta de la Autoridad: Las Acciones u omisiones realizadas en el procedimiento. Así como si la autoridad actuó con la debida diligencia.</w:t>
      </w:r>
    </w:p>
    <w:p w14:paraId="069ABAD1"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d) La afectación generada en la situación jurídica de la persona involucrada en el proceso: Violación a sus derechos humanos.</w:t>
      </w:r>
    </w:p>
    <w:p w14:paraId="78FD98F9" w14:textId="77777777" w:rsidR="00DD2018" w:rsidRPr="00A138F0" w:rsidRDefault="00DD2018" w:rsidP="00DD2018">
      <w:pPr>
        <w:rPr>
          <w:rFonts w:eastAsiaTheme="minorHAnsi" w:cstheme="minorBidi"/>
          <w:sz w:val="22"/>
          <w:lang w:val="es-MX" w:eastAsia="en-US"/>
        </w:rPr>
      </w:pPr>
    </w:p>
    <w:p w14:paraId="33E27960"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w:t>
      </w:r>
      <w:r w:rsidRPr="00A138F0">
        <w:rPr>
          <w:rFonts w:eastAsiaTheme="minorHAnsi" w:cstheme="minorBidi"/>
          <w:lang w:val="es-MX" w:eastAsia="en-US"/>
        </w:rPr>
        <w:lastRenderedPageBreak/>
        <w:t>debe concluirse que es una excluyente de responsabilidad en relación con la actuación del funcionario, como ha acontecido en el caso que nos ocupa.</w:t>
      </w:r>
    </w:p>
    <w:p w14:paraId="12572787" w14:textId="77777777" w:rsidR="00DD2018" w:rsidRPr="00A138F0" w:rsidRDefault="00DD2018" w:rsidP="00DD2018">
      <w:pPr>
        <w:rPr>
          <w:rFonts w:eastAsiaTheme="minorHAnsi" w:cstheme="minorBidi"/>
          <w:lang w:val="es-MX" w:eastAsia="en-US"/>
        </w:rPr>
      </w:pPr>
    </w:p>
    <w:p w14:paraId="34941CBE"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Argumento que encuentra sustento en la jurisprudencia P</w:t>
      </w:r>
      <w:proofErr w:type="gramStart"/>
      <w:r w:rsidRPr="00A138F0">
        <w:rPr>
          <w:rFonts w:eastAsiaTheme="minorHAnsi" w:cstheme="minorBidi"/>
          <w:lang w:val="es-MX" w:eastAsia="en-US"/>
        </w:rPr>
        <w:t>./</w:t>
      </w:r>
      <w:proofErr w:type="gramEnd"/>
      <w:r w:rsidRPr="00A138F0">
        <w:rPr>
          <w:rFonts w:eastAsiaTheme="minorHAnsi" w:cstheme="minorBidi"/>
          <w:lang w:val="es-MX" w:eastAsia="en-US"/>
        </w:rPr>
        <w:t xml:space="preserve">J. 32/92 emitida por el Pleno de la Suprema Corte de Justicia de la Nación de rubro </w:t>
      </w:r>
      <w:r w:rsidRPr="00A138F0">
        <w:rPr>
          <w:rFonts w:eastAsiaTheme="minorHAnsi" w:cstheme="minorBidi"/>
          <w:i/>
          <w:lang w:val="es-MX" w:eastAsia="en-US"/>
        </w:rPr>
        <w:t>“TÉRMINOS PROCESALES. PARA DETERMINAR SI UN FUNCIONARIO JUDICIAL ACTUÓ INDEBIDAMENTE POR NO RESPETARLOS SE DEBE ATENDER AL PRESUPUESTO QUE CONSIDERÓ EL LEGISLADOR AL FIJARLOS Y LAS CARACTERÍSTICAS DEL CASO.”</w:t>
      </w:r>
      <w:r w:rsidRPr="00A138F0">
        <w:rPr>
          <w:rFonts w:eastAsiaTheme="minorHAnsi" w:cstheme="minorBidi"/>
          <w:lang w:val="es-MX" w:eastAsia="en-US"/>
        </w:rPr>
        <w:t>, visible en la Gaceta del Seminario Judicial de la Federación con el registro digital 205635.</w:t>
      </w:r>
    </w:p>
    <w:p w14:paraId="311F6F6E" w14:textId="77777777" w:rsidR="00DD2018" w:rsidRPr="00A138F0" w:rsidRDefault="00DD2018" w:rsidP="00DD2018">
      <w:pPr>
        <w:rPr>
          <w:rFonts w:eastAsiaTheme="minorHAnsi" w:cstheme="minorBidi"/>
          <w:lang w:val="es-MX" w:eastAsia="en-US"/>
        </w:rPr>
      </w:pPr>
    </w:p>
    <w:p w14:paraId="1E02909A"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721BEA" w14:textId="77777777" w:rsidR="00DD2018" w:rsidRPr="00A138F0" w:rsidRDefault="00DD2018" w:rsidP="00DD2018">
      <w:pPr>
        <w:rPr>
          <w:rFonts w:eastAsiaTheme="minorHAnsi" w:cstheme="minorBidi"/>
          <w:lang w:val="es-MX" w:eastAsia="en-US"/>
        </w:rPr>
      </w:pPr>
    </w:p>
    <w:p w14:paraId="2BA5D426" w14:textId="77777777" w:rsidR="00DD2018" w:rsidRPr="00A138F0" w:rsidRDefault="00DD2018" w:rsidP="00DD2018">
      <w:pPr>
        <w:rPr>
          <w:rFonts w:eastAsiaTheme="minorHAnsi" w:cstheme="minorBidi"/>
          <w:lang w:val="es-MX" w:eastAsia="en-US"/>
        </w:rPr>
      </w:pPr>
      <w:r w:rsidRPr="00A138F0">
        <w:rPr>
          <w:rFonts w:eastAsiaTheme="minorHAnsi" w:cstheme="minorBidi"/>
          <w:lang w:val="es-MX" w:eastAsia="en-US"/>
        </w:rPr>
        <w:t>Al respecto, también son de considerar los criterios sostenidos por el Cuarto Tribunal Colegiado en Materia Administrativa del Primer Circuito, cuyos rubros y datos de identificación son los siguientes:</w:t>
      </w:r>
    </w:p>
    <w:p w14:paraId="13C87E1D" w14:textId="77777777" w:rsidR="00DD2018" w:rsidRPr="00A138F0" w:rsidRDefault="00DD2018" w:rsidP="00DD2018">
      <w:pPr>
        <w:rPr>
          <w:rFonts w:eastAsiaTheme="minorHAnsi" w:cstheme="minorBidi"/>
          <w:sz w:val="22"/>
          <w:lang w:val="es-MX" w:eastAsia="en-US"/>
        </w:rPr>
      </w:pPr>
      <w:r w:rsidRPr="00A138F0">
        <w:rPr>
          <w:rFonts w:eastAsiaTheme="minorHAnsi" w:cstheme="minorBidi"/>
          <w:sz w:val="22"/>
          <w:lang w:val="es-MX" w:eastAsia="en-US"/>
        </w:rPr>
        <w:t xml:space="preserve"> </w:t>
      </w:r>
    </w:p>
    <w:p w14:paraId="0D9ADCE1" w14:textId="77777777" w:rsidR="00DD2018" w:rsidRPr="00A138F0" w:rsidRDefault="00DD2018" w:rsidP="00DD2018">
      <w:pPr>
        <w:rPr>
          <w:rFonts w:eastAsiaTheme="minorHAnsi" w:cstheme="minorBidi"/>
          <w:sz w:val="22"/>
          <w:lang w:val="es-MX" w:eastAsia="en-US"/>
        </w:rPr>
      </w:pPr>
      <w:r w:rsidRPr="00A138F0">
        <w:rPr>
          <w:rFonts w:eastAsiaTheme="minorHAnsi" w:cstheme="minorBidi"/>
          <w:b/>
          <w:i/>
          <w:sz w:val="22"/>
          <w:lang w:val="es-MX" w:eastAsia="en-US"/>
        </w:rPr>
        <w:lastRenderedPageBreak/>
        <w:t>“PLAZO RAZONABLE PARA RESOLVER. DIMENSIÓN Y EFECTOS DE ESTE CONCEPTO CUANDO SE ADUCE EXCESIVA CARGA DE TRABAJO.”</w:t>
      </w:r>
      <w:r w:rsidRPr="00A138F0">
        <w:rPr>
          <w:rFonts w:eastAsiaTheme="minorHAnsi" w:cstheme="minorBidi"/>
          <w:sz w:val="22"/>
          <w:lang w:val="es-MX" w:eastAsia="en-US"/>
        </w:rPr>
        <w:t xml:space="preserve"> consultable en el Seminario Judicial de la Federación y su gaceta, con el registro digital 2002351.</w:t>
      </w:r>
    </w:p>
    <w:p w14:paraId="09185C03" w14:textId="77777777" w:rsidR="00DD2018" w:rsidRPr="00A138F0" w:rsidRDefault="00DD2018" w:rsidP="00DD2018">
      <w:pPr>
        <w:rPr>
          <w:rFonts w:eastAsiaTheme="minorHAnsi" w:cstheme="minorBidi"/>
          <w:b/>
          <w:i/>
          <w:sz w:val="22"/>
          <w:lang w:val="es-MX" w:eastAsia="en-US"/>
        </w:rPr>
      </w:pPr>
    </w:p>
    <w:p w14:paraId="068EA261" w14:textId="77777777" w:rsidR="00DD2018" w:rsidRPr="00A138F0" w:rsidRDefault="00DD2018" w:rsidP="00DD2018">
      <w:pPr>
        <w:rPr>
          <w:rFonts w:eastAsiaTheme="minorHAnsi" w:cstheme="minorBidi"/>
          <w:sz w:val="22"/>
          <w:lang w:val="es-MX" w:eastAsia="en-US"/>
        </w:rPr>
      </w:pPr>
      <w:r w:rsidRPr="00A138F0">
        <w:rPr>
          <w:rFonts w:eastAsiaTheme="minorHAnsi" w:cstheme="minorBidi"/>
          <w:b/>
          <w:i/>
          <w:sz w:val="22"/>
          <w:lang w:val="es-MX" w:eastAsia="en-US"/>
        </w:rPr>
        <w:t>“PLAZO RAZONABLE PARA RESOLVER. CONCEPTO Y ELEMENTOS QUE LO INTEGRAN A LA LUZ DEL DERECHO INTERNACIONAL DE LOS DERECHOS HUMANOS.”</w:t>
      </w:r>
      <w:r w:rsidRPr="00A138F0">
        <w:rPr>
          <w:rFonts w:eastAsiaTheme="minorHAnsi" w:cstheme="minorBidi"/>
          <w:sz w:val="22"/>
          <w:lang w:val="es-MX" w:eastAsia="en-US"/>
        </w:rPr>
        <w:t>, visible en el Seminario Judicial de la Federación y su gaceta, con el registro digital 2002350.</w:t>
      </w:r>
    </w:p>
    <w:p w14:paraId="28F81B10" w14:textId="77777777" w:rsidR="00DD2018" w:rsidRPr="00A138F0" w:rsidRDefault="00DD2018" w:rsidP="00DD2018">
      <w:pPr>
        <w:rPr>
          <w:rFonts w:eastAsiaTheme="minorHAnsi" w:cstheme="minorBidi"/>
          <w:sz w:val="22"/>
          <w:lang w:val="es-MX" w:eastAsia="en-US"/>
        </w:rPr>
      </w:pPr>
    </w:p>
    <w:p w14:paraId="224DAA2E" w14:textId="00FBCF10" w:rsidR="00123A80" w:rsidRPr="00DD2018" w:rsidRDefault="00DD2018" w:rsidP="00DD2018">
      <w:pPr>
        <w:pStyle w:val="Ttulo2"/>
        <w:rPr>
          <w:rFonts w:eastAsia="Palatino Linotype" w:cs="Palatino Linotype"/>
          <w:b w:val="0"/>
          <w:color w:val="000000"/>
          <w:sz w:val="22"/>
          <w:szCs w:val="24"/>
        </w:rPr>
      </w:pPr>
      <w:r w:rsidRPr="00DD2018">
        <w:rPr>
          <w:rFonts w:eastAsiaTheme="minorHAnsi" w:cstheme="minorBidi"/>
          <w:b w:val="0"/>
          <w:bCs/>
          <w:sz w:val="24"/>
          <w:szCs w:val="22"/>
          <w:lang w:val="es-MX" w:eastAsia="en-US"/>
        </w:rPr>
        <w:t>Por ello, este organismo garante comprometido con la tutela de los derechos humanos confiados, señala que este exceso del plazo legal para resolver el presente asunto, resulta de carácter excepcional.</w:t>
      </w:r>
    </w:p>
    <w:p w14:paraId="6F1484AF" w14:textId="77777777" w:rsidR="00123A80" w:rsidRPr="006922F5" w:rsidRDefault="00123A80" w:rsidP="006922F5">
      <w:pPr>
        <w:pBdr>
          <w:top w:val="nil"/>
          <w:left w:val="nil"/>
          <w:bottom w:val="nil"/>
          <w:right w:val="nil"/>
          <w:between w:val="nil"/>
        </w:pBdr>
        <w:contextualSpacing/>
        <w:rPr>
          <w:rFonts w:eastAsia="Palatino Linotype" w:cs="Palatino Linotype"/>
          <w:color w:val="000000"/>
          <w:szCs w:val="24"/>
        </w:rPr>
      </w:pPr>
    </w:p>
    <w:p w14:paraId="393AC3DB" w14:textId="34B60922" w:rsidR="00DD2018" w:rsidRPr="00DD2018" w:rsidRDefault="00DD2018" w:rsidP="00DD2018">
      <w:pPr>
        <w:pStyle w:val="Ttulo2"/>
        <w:rPr>
          <w:rFonts w:eastAsia="Palatino Linotype"/>
        </w:rPr>
      </w:pPr>
      <w:r>
        <w:rPr>
          <w:rFonts w:eastAsia="Palatino Linotype"/>
        </w:rPr>
        <w:t>NOVEN</w:t>
      </w:r>
      <w:r w:rsidR="00123A80">
        <w:rPr>
          <w:rFonts w:eastAsia="Palatino Linotype"/>
        </w:rPr>
        <w:t>O</w:t>
      </w:r>
      <w:r w:rsidR="00A970D5" w:rsidRPr="006922F5">
        <w:rPr>
          <w:rFonts w:eastAsia="Palatino Linotype"/>
        </w:rPr>
        <w:t xml:space="preserve">. </w:t>
      </w:r>
      <w:r w:rsidRPr="00DD2018">
        <w:rPr>
          <w:rFonts w:eastAsia="Palatino Linotype"/>
        </w:rPr>
        <w:t>Del cierre de instrucción.</w:t>
      </w:r>
    </w:p>
    <w:p w14:paraId="65310342" w14:textId="574356C7" w:rsidR="00DD2018" w:rsidRPr="00DD2018" w:rsidRDefault="00DD2018" w:rsidP="00DD2018">
      <w:pPr>
        <w:pStyle w:val="Ttulo2"/>
        <w:rPr>
          <w:rFonts w:eastAsia="Palatino Linotype" w:cs="Palatino Linotype"/>
          <w:b w:val="0"/>
          <w:color w:val="000000"/>
          <w:sz w:val="24"/>
          <w:szCs w:val="24"/>
        </w:rPr>
      </w:pPr>
      <w:r w:rsidRPr="00DD2018">
        <w:rPr>
          <w:rFonts w:eastAsia="Palatino Linotype"/>
          <w:b w:val="0"/>
          <w:sz w:val="24"/>
        </w:rPr>
        <w:t xml:space="preserve">Una vez transcurrido el término legal, se decretó el cierre de instrucción en fecha </w:t>
      </w:r>
      <w:r>
        <w:rPr>
          <w:rFonts w:eastAsia="Palatino Linotype"/>
          <w:b w:val="0"/>
          <w:sz w:val="24"/>
        </w:rPr>
        <w:t xml:space="preserve">tres de agosto </w:t>
      </w:r>
      <w:r w:rsidRPr="00DD2018">
        <w:rPr>
          <w:rFonts w:eastAsia="Palatino Linotype"/>
          <w:b w:val="0"/>
          <w:sz w:val="24"/>
        </w:rPr>
        <w:t>de dos mil veintitrés, en términos del artículo 185 fracción VI de la Ley de Transparencia y Acceso a la Información Pública del Estado de México y Municipios, iniciando el término legal para dictar resolución definitiva del asunto</w:t>
      </w:r>
      <w:r>
        <w:rPr>
          <w:rFonts w:eastAsia="Palatino Linotype"/>
          <w:b w:val="0"/>
          <w:sz w:val="24"/>
        </w:rPr>
        <w:t>.</w:t>
      </w:r>
    </w:p>
    <w:p w14:paraId="364CFBE5" w14:textId="10D42324" w:rsidR="00A914F3" w:rsidRDefault="00A914F3" w:rsidP="006922F5">
      <w:pPr>
        <w:pBdr>
          <w:top w:val="nil"/>
          <w:left w:val="nil"/>
          <w:bottom w:val="nil"/>
          <w:right w:val="nil"/>
          <w:between w:val="nil"/>
        </w:pBdr>
        <w:contextualSpacing/>
        <w:rPr>
          <w:rFonts w:eastAsia="Palatino Linotype" w:cs="Palatino Linotype"/>
          <w:color w:val="000000"/>
          <w:szCs w:val="24"/>
        </w:rPr>
      </w:pPr>
    </w:p>
    <w:p w14:paraId="426859BB"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3983002" w14:textId="77777777" w:rsidR="009346AE" w:rsidRPr="008D2CA9" w:rsidRDefault="009346AE" w:rsidP="009346AE">
      <w:pPr>
        <w:rPr>
          <w:rFonts w:cs="Arial"/>
          <w:sz w:val="28"/>
          <w:szCs w:val="28"/>
        </w:rPr>
      </w:pPr>
      <w:r w:rsidRPr="008D2CA9">
        <w:rPr>
          <w:rFonts w:cs="Arial"/>
          <w:b/>
          <w:sz w:val="28"/>
          <w:szCs w:val="28"/>
        </w:rPr>
        <w:t xml:space="preserve">PRIMERO. </w:t>
      </w:r>
      <w:r w:rsidRPr="008D2CA9">
        <w:rPr>
          <w:rFonts w:cs="Arial"/>
          <w:b/>
          <w:sz w:val="26"/>
          <w:szCs w:val="26"/>
        </w:rPr>
        <w:t>De la competencia</w:t>
      </w:r>
      <w:r w:rsidRPr="008D2CA9">
        <w:rPr>
          <w:rFonts w:cs="Arial"/>
          <w:sz w:val="26"/>
          <w:szCs w:val="26"/>
        </w:rPr>
        <w:t>.</w:t>
      </w:r>
    </w:p>
    <w:p w14:paraId="3076AB66" w14:textId="77777777" w:rsidR="009346AE" w:rsidRPr="008D2CA9" w:rsidRDefault="009346AE" w:rsidP="009346AE">
      <w:pPr>
        <w:rPr>
          <w:rFonts w:cs="Arial"/>
          <w:szCs w:val="24"/>
        </w:rPr>
      </w:pPr>
      <w:r w:rsidRPr="008D2CA9">
        <w:rPr>
          <w:rFonts w:cs="Arial"/>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D2CA9">
        <w:rPr>
          <w:rFonts w:cs="Arial"/>
          <w:b/>
          <w:szCs w:val="24"/>
        </w:rPr>
        <w:t>Recurrente</w:t>
      </w:r>
      <w:r w:rsidRPr="008D2CA9">
        <w:rPr>
          <w:rFonts w:cs="Arial"/>
          <w:szCs w:val="24"/>
        </w:rPr>
        <w:t xml:space="preserve">, conforme a lo </w:t>
      </w:r>
      <w:r w:rsidRPr="008D2CA9">
        <w:rPr>
          <w:rFonts w:cs="Arial"/>
          <w:szCs w:val="24"/>
        </w:rPr>
        <w:lastRenderedPageBreak/>
        <w:t>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9A2678" w14:textId="77777777" w:rsidR="009346AE" w:rsidRPr="008D2CA9" w:rsidRDefault="009346AE" w:rsidP="009346AE">
      <w:pPr>
        <w:rPr>
          <w:rFonts w:cs="Arial"/>
          <w:szCs w:val="24"/>
        </w:rPr>
      </w:pPr>
    </w:p>
    <w:p w14:paraId="5BC2AF32" w14:textId="77777777" w:rsidR="009346AE" w:rsidRPr="008D2CA9" w:rsidRDefault="009346AE" w:rsidP="009346AE">
      <w:pPr>
        <w:rPr>
          <w:rFonts w:cs="Arial"/>
          <w:szCs w:val="24"/>
        </w:rPr>
      </w:pPr>
    </w:p>
    <w:p w14:paraId="56C7F6B1" w14:textId="77777777" w:rsidR="009346AE" w:rsidRPr="008D2CA9" w:rsidRDefault="009346AE" w:rsidP="009346AE">
      <w:pPr>
        <w:autoSpaceDE w:val="0"/>
        <w:autoSpaceDN w:val="0"/>
        <w:adjustRightInd w:val="0"/>
        <w:rPr>
          <w:rFonts w:cs="Arial"/>
          <w:bCs/>
          <w:szCs w:val="24"/>
        </w:rPr>
      </w:pPr>
      <w:r w:rsidRPr="008D2CA9">
        <w:rPr>
          <w:rFonts w:cs="Arial"/>
          <w:b/>
          <w:sz w:val="28"/>
          <w:szCs w:val="28"/>
        </w:rPr>
        <w:t>SEGUNDO. Del alcance del recurso de revisión.</w:t>
      </w:r>
      <w:r w:rsidRPr="008D2CA9">
        <w:rPr>
          <w:rFonts w:cs="Arial"/>
          <w:bCs/>
          <w:sz w:val="28"/>
          <w:szCs w:val="28"/>
        </w:rPr>
        <w:t xml:space="preserve"> </w:t>
      </w:r>
    </w:p>
    <w:p w14:paraId="504FC2DC" w14:textId="77777777" w:rsidR="009346AE" w:rsidRPr="008D2CA9" w:rsidRDefault="009346AE" w:rsidP="009346AE">
      <w:pPr>
        <w:autoSpaceDE w:val="0"/>
        <w:autoSpaceDN w:val="0"/>
        <w:adjustRightInd w:val="0"/>
        <w:rPr>
          <w:rFonts w:cs="Arial"/>
          <w:bCs/>
          <w:szCs w:val="24"/>
        </w:rPr>
      </w:pPr>
      <w:r w:rsidRPr="008D2CA9">
        <w:rPr>
          <w:rFonts w:cs="Arial"/>
          <w:bCs/>
          <w:szCs w:val="24"/>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1EF3549B" w14:textId="77777777" w:rsidR="009346AE" w:rsidRPr="008D2CA9" w:rsidRDefault="009346AE" w:rsidP="009346AE">
      <w:pPr>
        <w:autoSpaceDE w:val="0"/>
        <w:autoSpaceDN w:val="0"/>
        <w:adjustRightInd w:val="0"/>
        <w:rPr>
          <w:rFonts w:cs="Arial"/>
          <w:bCs/>
          <w:szCs w:val="24"/>
        </w:rPr>
      </w:pPr>
    </w:p>
    <w:p w14:paraId="78017A40" w14:textId="77777777" w:rsidR="009346AE" w:rsidRPr="008D2CA9" w:rsidRDefault="009346AE" w:rsidP="009346AE">
      <w:pPr>
        <w:autoSpaceDE w:val="0"/>
        <w:autoSpaceDN w:val="0"/>
        <w:adjustRightInd w:val="0"/>
        <w:rPr>
          <w:rFonts w:cs="Arial"/>
          <w:szCs w:val="24"/>
        </w:rPr>
      </w:pPr>
      <w:r w:rsidRPr="008D2CA9">
        <w:rPr>
          <w:rFonts w:cs="Arial"/>
          <w:szCs w:val="24"/>
        </w:rPr>
        <w:t xml:space="preserve">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w:t>
      </w:r>
      <w:r w:rsidRPr="008D2CA9">
        <w:rPr>
          <w:rFonts w:cs="Arial"/>
          <w:szCs w:val="24"/>
        </w:rPr>
        <w:lastRenderedPageBreak/>
        <w:t>electrónico con la finalidad de reparar cualquier posible afectación al derecho de acceso a la información pública y garantizando el principio rector de máxima publicidad.</w:t>
      </w:r>
    </w:p>
    <w:p w14:paraId="6BBBCF13" w14:textId="77777777" w:rsidR="009346AE" w:rsidRPr="008D2CA9" w:rsidRDefault="009346AE" w:rsidP="009346AE">
      <w:pPr>
        <w:autoSpaceDE w:val="0"/>
        <w:autoSpaceDN w:val="0"/>
        <w:adjustRightInd w:val="0"/>
        <w:rPr>
          <w:rFonts w:cs="Arial"/>
          <w:szCs w:val="24"/>
        </w:rPr>
      </w:pPr>
    </w:p>
    <w:p w14:paraId="1F04066A" w14:textId="77777777" w:rsidR="009346AE" w:rsidRPr="008D2CA9" w:rsidRDefault="009346AE" w:rsidP="009346AE">
      <w:pPr>
        <w:autoSpaceDE w:val="0"/>
        <w:autoSpaceDN w:val="0"/>
        <w:adjustRightInd w:val="0"/>
        <w:rPr>
          <w:rFonts w:cs="Arial"/>
          <w:szCs w:val="24"/>
        </w:rPr>
      </w:pPr>
      <w:r w:rsidRPr="008D2CA9">
        <w:rPr>
          <w:rFonts w:cs="Arial"/>
          <w:szCs w:val="24"/>
        </w:rPr>
        <w:t xml:space="preserve">Así mismo, esta Ponencia considera importante abordar el análisis de los requisitos de </w:t>
      </w:r>
      <w:proofErr w:type="spellStart"/>
      <w:r w:rsidRPr="008D2CA9">
        <w:rPr>
          <w:rFonts w:cs="Arial"/>
          <w:szCs w:val="24"/>
        </w:rPr>
        <w:t>procedibilidad</w:t>
      </w:r>
      <w:proofErr w:type="spellEnd"/>
      <w:r w:rsidRPr="008D2CA9">
        <w:rPr>
          <w:rFonts w:cs="Arial"/>
          <w:szCs w:val="24"/>
        </w:rPr>
        <w:t xml:space="preserve"> de los recursos de revisión, así el artículo 180 de la Ley de Transparencia y Acceso a la Información Pública del Estado de México y Municipios, que establece lo siguiente:</w:t>
      </w:r>
    </w:p>
    <w:p w14:paraId="7876C362" w14:textId="77777777" w:rsidR="009346AE" w:rsidRPr="008D2CA9" w:rsidRDefault="009346AE" w:rsidP="009346AE">
      <w:pPr>
        <w:autoSpaceDE w:val="0"/>
        <w:autoSpaceDN w:val="0"/>
        <w:adjustRightInd w:val="0"/>
        <w:rPr>
          <w:rFonts w:cs="Arial"/>
          <w:szCs w:val="24"/>
        </w:rPr>
      </w:pPr>
    </w:p>
    <w:p w14:paraId="7F326D40"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r w:rsidRPr="008D2CA9">
        <w:rPr>
          <w:rFonts w:cs="Arial"/>
          <w:b/>
          <w:i/>
          <w:szCs w:val="24"/>
        </w:rPr>
        <w:t>Artículo 180</w:t>
      </w:r>
      <w:r w:rsidRPr="008D2CA9">
        <w:rPr>
          <w:rFonts w:cs="Arial"/>
          <w:i/>
          <w:szCs w:val="24"/>
        </w:rPr>
        <w:t xml:space="preserve">. El recurso de revisión contendrá: </w:t>
      </w:r>
    </w:p>
    <w:p w14:paraId="4C962AC2"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w:t>
      </w:r>
      <w:r w:rsidRPr="008D2CA9">
        <w:rPr>
          <w:rFonts w:cs="Arial"/>
          <w:i/>
          <w:szCs w:val="24"/>
        </w:rPr>
        <w:t xml:space="preserve">. El Sujeto Obligado ante la cual se presentó la solicitud; </w:t>
      </w:r>
    </w:p>
    <w:p w14:paraId="37F32DB8"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II</w:t>
      </w:r>
      <w:r w:rsidRPr="008D2CA9">
        <w:rPr>
          <w:rFonts w:cs="Arial"/>
          <w:i/>
          <w:szCs w:val="24"/>
        </w:rPr>
        <w:t xml:space="preserve">. </w:t>
      </w:r>
      <w:r w:rsidRPr="008D2CA9">
        <w:rPr>
          <w:rFonts w:cs="Arial"/>
          <w:i/>
          <w:szCs w:val="24"/>
          <w:u w:val="single"/>
        </w:rPr>
        <w:t>El nombre del solicitante</w:t>
      </w:r>
      <w:r w:rsidRPr="008D2CA9">
        <w:rPr>
          <w:rFonts w:cs="Arial"/>
          <w:i/>
          <w:szCs w:val="24"/>
        </w:rPr>
        <w:t xml:space="preserve"> que recurre o de su representante y, en su caso, del tercero interesado, así como la dirección o medio que señale para recibir notificaciones; </w:t>
      </w:r>
    </w:p>
    <w:p w14:paraId="072DAC23"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III</w:t>
      </w:r>
      <w:r w:rsidRPr="008D2CA9">
        <w:rPr>
          <w:rFonts w:cs="Arial"/>
          <w:i/>
          <w:szCs w:val="24"/>
        </w:rPr>
        <w:t xml:space="preserve">. El número de folio de respuesta de la solicitud de acceso; </w:t>
      </w:r>
    </w:p>
    <w:p w14:paraId="7E316858"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IV</w:t>
      </w:r>
      <w:r w:rsidRPr="008D2CA9">
        <w:rPr>
          <w:rFonts w:cs="Arial"/>
          <w:i/>
          <w:szCs w:val="24"/>
        </w:rPr>
        <w:t xml:space="preserve">. La fecha en que fue notificada la respuesta al solicitante o tuvo conocimiento del acto reclamado, o de presentación de la solicitud, en caso de falta de respuesta; </w:t>
      </w:r>
    </w:p>
    <w:p w14:paraId="487CE98F"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V</w:t>
      </w:r>
      <w:r w:rsidRPr="008D2CA9">
        <w:rPr>
          <w:rFonts w:cs="Arial"/>
          <w:i/>
          <w:szCs w:val="24"/>
        </w:rPr>
        <w:t xml:space="preserve">. El acto que se recurre; </w:t>
      </w:r>
    </w:p>
    <w:p w14:paraId="7B18FADF"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VI</w:t>
      </w:r>
      <w:r w:rsidRPr="008D2CA9">
        <w:rPr>
          <w:rFonts w:cs="Arial"/>
          <w:i/>
          <w:szCs w:val="24"/>
        </w:rPr>
        <w:t xml:space="preserve">. Las razones o motivos de inconformidad; </w:t>
      </w:r>
    </w:p>
    <w:p w14:paraId="085D3ABF"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VII</w:t>
      </w:r>
      <w:r w:rsidRPr="008D2CA9">
        <w:rPr>
          <w:rFonts w:cs="Arial"/>
          <w:i/>
          <w:szCs w:val="24"/>
        </w:rPr>
        <w:t xml:space="preserve">. La copia de la respuesta que se impugna y, en su caso, de la notificación correspondiente, en el caso de respuesta de la solicitud; y </w:t>
      </w:r>
    </w:p>
    <w:p w14:paraId="7BA35D11"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VIII</w:t>
      </w:r>
      <w:r w:rsidRPr="008D2CA9">
        <w:rPr>
          <w:rFonts w:cs="Arial"/>
          <w:i/>
          <w:szCs w:val="24"/>
        </w:rPr>
        <w:t xml:space="preserve">. Firma del Recurrente, en su caso, cuando se presente por escrito, requisito sin el cual se dará trámite al recurso. </w:t>
      </w:r>
    </w:p>
    <w:p w14:paraId="45365168"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 xml:space="preserve">Adicionalmente, se podrán anexar las pruebas y demás elementos que considere procedentes someter a juicio del Instituto. </w:t>
      </w:r>
    </w:p>
    <w:p w14:paraId="4FDDE2EA"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 xml:space="preserve">En ningún caso será necesario que el particular ratifique el recurso de revisión interpuesto. </w:t>
      </w:r>
    </w:p>
    <w:p w14:paraId="0E570693" w14:textId="77777777" w:rsidR="009346AE" w:rsidRPr="008D2CA9" w:rsidRDefault="009346AE" w:rsidP="009346AE">
      <w:pPr>
        <w:autoSpaceDE w:val="0"/>
        <w:autoSpaceDN w:val="0"/>
        <w:adjustRightInd w:val="0"/>
        <w:spacing w:line="276" w:lineRule="auto"/>
        <w:ind w:left="567" w:right="567"/>
        <w:rPr>
          <w:rFonts w:cs="Arial"/>
          <w:szCs w:val="24"/>
        </w:rPr>
      </w:pPr>
      <w:r w:rsidRPr="008D2CA9">
        <w:rPr>
          <w:rFonts w:cs="Arial"/>
          <w:i/>
          <w:szCs w:val="24"/>
          <w:u w:val="single"/>
        </w:rPr>
        <w:t>En caso de que el recurso se interponga de manera electrónica no será indispensable que contengan los requisitos establecidos en las fracciones II, IV, VII y VIII.”</w:t>
      </w:r>
    </w:p>
    <w:p w14:paraId="3BA3E788" w14:textId="77777777" w:rsidR="009346AE" w:rsidRPr="008D2CA9" w:rsidRDefault="009346AE" w:rsidP="009346AE">
      <w:pPr>
        <w:autoSpaceDE w:val="0"/>
        <w:autoSpaceDN w:val="0"/>
        <w:adjustRightInd w:val="0"/>
        <w:spacing w:line="276" w:lineRule="auto"/>
        <w:ind w:left="567" w:right="567"/>
        <w:rPr>
          <w:rFonts w:cs="Arial"/>
          <w:szCs w:val="24"/>
        </w:rPr>
      </w:pPr>
    </w:p>
    <w:p w14:paraId="19F613BE" w14:textId="77777777" w:rsidR="009346AE" w:rsidRPr="008D2CA9" w:rsidRDefault="009346AE" w:rsidP="009346AE">
      <w:pPr>
        <w:autoSpaceDE w:val="0"/>
        <w:autoSpaceDN w:val="0"/>
        <w:adjustRightInd w:val="0"/>
        <w:spacing w:line="276" w:lineRule="auto"/>
        <w:ind w:left="567" w:right="567"/>
        <w:jc w:val="right"/>
        <w:rPr>
          <w:rFonts w:cs="Arial"/>
          <w:szCs w:val="24"/>
        </w:rPr>
      </w:pPr>
      <w:r w:rsidRPr="008D2CA9">
        <w:rPr>
          <w:rFonts w:cs="Arial"/>
          <w:szCs w:val="24"/>
        </w:rPr>
        <w:t>(Énfasis añadido)</w:t>
      </w:r>
    </w:p>
    <w:p w14:paraId="10601081" w14:textId="77777777" w:rsidR="009346AE" w:rsidRPr="008D2CA9" w:rsidRDefault="009346AE" w:rsidP="009346AE">
      <w:pPr>
        <w:autoSpaceDE w:val="0"/>
        <w:autoSpaceDN w:val="0"/>
        <w:adjustRightInd w:val="0"/>
        <w:rPr>
          <w:rFonts w:cs="Arial"/>
          <w:szCs w:val="24"/>
        </w:rPr>
      </w:pPr>
    </w:p>
    <w:p w14:paraId="5065EC58" w14:textId="77777777" w:rsidR="009346AE" w:rsidRPr="008D2CA9" w:rsidRDefault="009346AE" w:rsidP="009346AE">
      <w:pPr>
        <w:autoSpaceDE w:val="0"/>
        <w:autoSpaceDN w:val="0"/>
        <w:adjustRightInd w:val="0"/>
        <w:rPr>
          <w:rFonts w:cs="Arial"/>
          <w:szCs w:val="24"/>
        </w:rPr>
      </w:pPr>
      <w:r w:rsidRPr="008D2CA9">
        <w:rPr>
          <w:rFonts w:cs="Arial"/>
          <w:szCs w:val="24"/>
        </w:rPr>
        <w:lastRenderedPageBreak/>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8D2CA9">
        <w:rPr>
          <w:rFonts w:cs="Arial"/>
          <w:b/>
          <w:szCs w:val="24"/>
        </w:rPr>
        <w:t>Recurrente</w:t>
      </w:r>
      <w:r w:rsidRPr="008D2CA9">
        <w:rPr>
          <w:rFonts w:cs="Arial"/>
          <w:szCs w:val="24"/>
        </w:rPr>
        <w:t>, en ejercicio de su derecho de acceso a la información pública, no proporcionó un nombre para que sea identificado, ya que en el apartado de “DATOS DEL SOLICITANTE”, no señalo como nombre o seudónimo con el cual desee ser identificado, por lo que no se tiene certeza sobre su identidad, lo que en estricto sentido, no se colmarían los requisitos establecidos en el citado artículo 180 de la Ley de Transparencia.</w:t>
      </w:r>
    </w:p>
    <w:p w14:paraId="7128D0BF" w14:textId="77777777" w:rsidR="009346AE" w:rsidRPr="008D2CA9" w:rsidRDefault="009346AE" w:rsidP="009346AE">
      <w:pPr>
        <w:autoSpaceDE w:val="0"/>
        <w:autoSpaceDN w:val="0"/>
        <w:adjustRightInd w:val="0"/>
        <w:rPr>
          <w:rFonts w:cs="Arial"/>
          <w:szCs w:val="24"/>
        </w:rPr>
      </w:pPr>
    </w:p>
    <w:p w14:paraId="45DD14FD" w14:textId="77777777" w:rsidR="009346AE" w:rsidRPr="008D2CA9" w:rsidRDefault="009346AE" w:rsidP="009346AE">
      <w:pPr>
        <w:autoSpaceDE w:val="0"/>
        <w:autoSpaceDN w:val="0"/>
        <w:adjustRightInd w:val="0"/>
        <w:rPr>
          <w:rFonts w:cs="Arial"/>
          <w:szCs w:val="24"/>
        </w:rPr>
      </w:pPr>
      <w:r w:rsidRPr="008D2CA9">
        <w:rPr>
          <w:rFonts w:cs="Arial"/>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8D2CA9">
        <w:rPr>
          <w:rFonts w:cs="Arial"/>
          <w:i/>
          <w:szCs w:val="24"/>
        </w:rPr>
        <w:t>sine qua non</w:t>
      </w:r>
      <w:r w:rsidRPr="008D2CA9">
        <w:rPr>
          <w:rFonts w:cs="Arial"/>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D7B1370" w14:textId="77777777" w:rsidR="009346AE" w:rsidRPr="008D2CA9" w:rsidRDefault="009346AE" w:rsidP="009346AE">
      <w:pPr>
        <w:autoSpaceDE w:val="0"/>
        <w:autoSpaceDN w:val="0"/>
        <w:adjustRightInd w:val="0"/>
        <w:rPr>
          <w:rFonts w:cs="Arial"/>
          <w:szCs w:val="24"/>
        </w:rPr>
      </w:pPr>
    </w:p>
    <w:p w14:paraId="05A58E40" w14:textId="77777777" w:rsidR="009346AE" w:rsidRPr="008D2CA9" w:rsidRDefault="009346AE" w:rsidP="009346AE">
      <w:pPr>
        <w:autoSpaceDE w:val="0"/>
        <w:autoSpaceDN w:val="0"/>
        <w:adjustRightInd w:val="0"/>
        <w:rPr>
          <w:rFonts w:cs="Arial"/>
          <w:szCs w:val="24"/>
        </w:rPr>
      </w:pPr>
      <w:r w:rsidRPr="008D2CA9">
        <w:rPr>
          <w:rFonts w:cs="Arial"/>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B4EE991" w14:textId="77777777" w:rsidR="009346AE" w:rsidRPr="008D2CA9" w:rsidRDefault="009346AE" w:rsidP="009346AE">
      <w:pPr>
        <w:autoSpaceDE w:val="0"/>
        <w:autoSpaceDN w:val="0"/>
        <w:adjustRightInd w:val="0"/>
        <w:rPr>
          <w:rFonts w:cs="Arial"/>
          <w:szCs w:val="24"/>
        </w:rPr>
      </w:pPr>
    </w:p>
    <w:p w14:paraId="5D6341FB" w14:textId="77777777" w:rsidR="009346AE" w:rsidRPr="008D2CA9" w:rsidRDefault="009346AE" w:rsidP="009346AE">
      <w:pPr>
        <w:autoSpaceDE w:val="0"/>
        <w:autoSpaceDN w:val="0"/>
        <w:adjustRightInd w:val="0"/>
        <w:spacing w:line="276" w:lineRule="auto"/>
        <w:jc w:val="center"/>
        <w:rPr>
          <w:rFonts w:cs="Arial"/>
          <w:b/>
          <w:i/>
        </w:rPr>
      </w:pPr>
      <w:r w:rsidRPr="008D2CA9">
        <w:rPr>
          <w:rFonts w:cs="Arial"/>
          <w:b/>
          <w:i/>
        </w:rPr>
        <w:t>Constitución Política de los Estados Unidos Mexicanos</w:t>
      </w:r>
    </w:p>
    <w:p w14:paraId="43E72003" w14:textId="77777777" w:rsidR="009346AE" w:rsidRPr="008D2CA9" w:rsidRDefault="009346AE" w:rsidP="009346AE">
      <w:pPr>
        <w:autoSpaceDE w:val="0"/>
        <w:autoSpaceDN w:val="0"/>
        <w:adjustRightInd w:val="0"/>
        <w:spacing w:line="276" w:lineRule="auto"/>
        <w:rPr>
          <w:rFonts w:cs="Arial"/>
        </w:rPr>
      </w:pPr>
    </w:p>
    <w:p w14:paraId="14C3E72A" w14:textId="77777777" w:rsidR="009346AE" w:rsidRPr="008D2CA9" w:rsidRDefault="009346AE" w:rsidP="009346AE">
      <w:pPr>
        <w:autoSpaceDE w:val="0"/>
        <w:autoSpaceDN w:val="0"/>
        <w:adjustRightInd w:val="0"/>
        <w:spacing w:line="276" w:lineRule="auto"/>
        <w:ind w:left="567" w:right="567"/>
        <w:rPr>
          <w:rFonts w:cs="Arial"/>
          <w:i/>
        </w:rPr>
      </w:pPr>
      <w:r w:rsidRPr="008D2CA9">
        <w:rPr>
          <w:rFonts w:cs="Arial"/>
          <w:i/>
        </w:rPr>
        <w:t>“</w:t>
      </w:r>
      <w:r w:rsidRPr="008D2CA9">
        <w:rPr>
          <w:rFonts w:cs="Arial"/>
          <w:b/>
          <w:i/>
        </w:rPr>
        <w:t>Artículo 6o</w:t>
      </w:r>
      <w:r w:rsidRPr="008D2CA9">
        <w:rPr>
          <w:rFonts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A87E217"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Toda persona tiene derecho al libre acceso a información plural y oportuna, así como a buscar, recibir y difundir información e ideas de toda índole por cualquier medio de expresión.</w:t>
      </w:r>
    </w:p>
    <w:p w14:paraId="09F9702A"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Para efectos de lo dispuesto en el presente artículo se observará lo siguiente:</w:t>
      </w:r>
    </w:p>
    <w:p w14:paraId="4150ACA3"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A</w:t>
      </w:r>
      <w:r w:rsidRPr="008D2CA9">
        <w:rPr>
          <w:rFonts w:cs="Arial"/>
          <w:i/>
          <w:szCs w:val="24"/>
        </w:rPr>
        <w:t>. Para el ejercicio del derecho de acceso a la información, la Federación, los Estados y el Distrito Federal, en el ámbito de sus respectivas competencias, se regirán por los siguientes principios y bases:</w:t>
      </w:r>
    </w:p>
    <w:p w14:paraId="4EFBB797"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w:t>
      </w:r>
      <w:r w:rsidRPr="008D2CA9">
        <w:rPr>
          <w:rFonts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BEF58C"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p>
    <w:p w14:paraId="1DDEBF99"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III.</w:t>
      </w:r>
      <w:r w:rsidRPr="008D2CA9">
        <w:rPr>
          <w:rFonts w:cs="Arial"/>
          <w:i/>
          <w:szCs w:val="24"/>
        </w:rPr>
        <w:t xml:space="preserve"> Toda persona, sin necesidad de acreditar interés alguno o justificar su utilización, tendrá acceso gratuito a la información pública, a sus datos personales o a la rectificación de éstos.</w:t>
      </w:r>
    </w:p>
    <w:p w14:paraId="05690BDB"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p>
    <w:p w14:paraId="29F877AC"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lastRenderedPageBreak/>
        <w:t>V</w:t>
      </w:r>
      <w:r w:rsidRPr="008D2CA9">
        <w:rPr>
          <w:rFonts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13D448"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VI.</w:t>
      </w:r>
      <w:r w:rsidRPr="008D2CA9">
        <w:rPr>
          <w:rFonts w:cs="Arial"/>
          <w:i/>
          <w:szCs w:val="24"/>
        </w:rPr>
        <w:t xml:space="preserve"> Las leyes determinarán la manera en que los sujetos obligados deberán hacer pública la información relativa a los recursos públicos que entreguen a personas físicas o morales.”</w:t>
      </w:r>
    </w:p>
    <w:p w14:paraId="5FC39CFB"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p>
    <w:p w14:paraId="6E6A2651"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La ley establecerá aquella información que se considere reservada o confidencial.</w:t>
      </w:r>
    </w:p>
    <w:p w14:paraId="794CE928" w14:textId="77777777" w:rsidR="009346AE" w:rsidRPr="008D2CA9" w:rsidRDefault="009346AE" w:rsidP="009346AE">
      <w:pPr>
        <w:autoSpaceDE w:val="0"/>
        <w:autoSpaceDN w:val="0"/>
        <w:adjustRightInd w:val="0"/>
        <w:spacing w:line="276" w:lineRule="auto"/>
        <w:ind w:left="567" w:right="567"/>
        <w:rPr>
          <w:rFonts w:cs="Arial"/>
          <w:i/>
          <w:szCs w:val="24"/>
        </w:rPr>
      </w:pPr>
    </w:p>
    <w:p w14:paraId="1699ADED" w14:textId="77777777" w:rsidR="009346AE" w:rsidRPr="008D2CA9" w:rsidRDefault="009346AE" w:rsidP="009346AE">
      <w:pPr>
        <w:autoSpaceDE w:val="0"/>
        <w:autoSpaceDN w:val="0"/>
        <w:adjustRightInd w:val="0"/>
        <w:spacing w:line="276" w:lineRule="auto"/>
        <w:ind w:left="567" w:right="567"/>
        <w:rPr>
          <w:rFonts w:cs="Arial"/>
          <w:i/>
          <w:szCs w:val="24"/>
        </w:rPr>
      </w:pPr>
    </w:p>
    <w:p w14:paraId="20B22375" w14:textId="77777777" w:rsidR="009346AE" w:rsidRPr="008D2CA9" w:rsidRDefault="009346AE" w:rsidP="009346AE">
      <w:pPr>
        <w:autoSpaceDE w:val="0"/>
        <w:autoSpaceDN w:val="0"/>
        <w:adjustRightInd w:val="0"/>
        <w:spacing w:line="276" w:lineRule="auto"/>
        <w:ind w:left="567" w:right="567"/>
        <w:jc w:val="center"/>
        <w:rPr>
          <w:rFonts w:cs="Arial"/>
          <w:b/>
          <w:i/>
          <w:szCs w:val="24"/>
        </w:rPr>
      </w:pPr>
      <w:r w:rsidRPr="008D2CA9">
        <w:rPr>
          <w:rFonts w:cs="Arial"/>
          <w:b/>
          <w:i/>
          <w:szCs w:val="24"/>
        </w:rPr>
        <w:t>Constitución Política del Estado Libre y Soberano de México</w:t>
      </w:r>
    </w:p>
    <w:p w14:paraId="6D07087B" w14:textId="77777777" w:rsidR="009346AE" w:rsidRPr="008D2CA9" w:rsidRDefault="009346AE" w:rsidP="009346AE">
      <w:pPr>
        <w:autoSpaceDE w:val="0"/>
        <w:autoSpaceDN w:val="0"/>
        <w:adjustRightInd w:val="0"/>
        <w:spacing w:line="276" w:lineRule="auto"/>
        <w:ind w:left="567" w:right="567"/>
        <w:rPr>
          <w:rFonts w:cs="Arial"/>
          <w:i/>
          <w:szCs w:val="24"/>
        </w:rPr>
      </w:pPr>
    </w:p>
    <w:p w14:paraId="41DD53BD"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r w:rsidRPr="008D2CA9">
        <w:rPr>
          <w:rFonts w:cs="Arial"/>
          <w:b/>
          <w:i/>
          <w:szCs w:val="24"/>
        </w:rPr>
        <w:t>Artículo 5</w:t>
      </w:r>
      <w:r w:rsidRPr="008D2CA9">
        <w:rPr>
          <w:rFonts w:cs="Arial"/>
          <w:i/>
          <w:szCs w:val="24"/>
        </w:rPr>
        <w:t xml:space="preserve">. … </w:t>
      </w:r>
    </w:p>
    <w:p w14:paraId="62E259A4"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p>
    <w:p w14:paraId="2095DC92"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El derecho a la información será garantizado por el Estado. La ley establecerá las previsiones que permitan asegurar la protección, el respeto y la difusión de este derecho.</w:t>
      </w:r>
    </w:p>
    <w:p w14:paraId="303B8769"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6C68DB9"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Este derecho se regirá por los principios y bases siguientes:</w:t>
      </w:r>
    </w:p>
    <w:p w14:paraId="3A37F675"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w:t>
      </w:r>
      <w:r w:rsidRPr="008D2CA9">
        <w:rPr>
          <w:rFonts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w:t>
      </w:r>
      <w:r w:rsidRPr="008D2CA9">
        <w:rPr>
          <w:rFonts w:cs="Arial"/>
          <w:i/>
          <w:szCs w:val="24"/>
        </w:rPr>
        <w:lastRenderedPageBreak/>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F6B0E9"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p>
    <w:p w14:paraId="05ED9C49"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b/>
          <w:i/>
          <w:szCs w:val="24"/>
        </w:rPr>
        <w:t>III</w:t>
      </w:r>
      <w:r w:rsidRPr="008D2CA9">
        <w:rPr>
          <w:rFonts w:cs="Arial"/>
          <w:i/>
          <w:szCs w:val="24"/>
        </w:rPr>
        <w:t>. Toda persona, sin necesidad de acreditar interés alguno o justificar su utilización, tendrá acceso gratuito a la información pública, a sus datos personales o a la rectificación de éstos.”</w:t>
      </w:r>
    </w:p>
    <w:p w14:paraId="0791547F" w14:textId="77777777" w:rsidR="009346AE" w:rsidRPr="008D2CA9" w:rsidRDefault="009346AE" w:rsidP="009346AE">
      <w:pPr>
        <w:autoSpaceDE w:val="0"/>
        <w:autoSpaceDN w:val="0"/>
        <w:adjustRightInd w:val="0"/>
        <w:spacing w:line="276" w:lineRule="auto"/>
        <w:ind w:left="567" w:right="567"/>
        <w:jc w:val="right"/>
        <w:rPr>
          <w:rFonts w:cs="Arial"/>
          <w:szCs w:val="24"/>
        </w:rPr>
      </w:pPr>
      <w:r w:rsidRPr="008D2CA9">
        <w:rPr>
          <w:rFonts w:cs="Arial"/>
          <w:szCs w:val="24"/>
        </w:rPr>
        <w:t>(Énfasis añadido)</w:t>
      </w:r>
    </w:p>
    <w:p w14:paraId="6D63338C" w14:textId="77777777" w:rsidR="009346AE" w:rsidRPr="008D2CA9" w:rsidRDefault="009346AE" w:rsidP="009346AE">
      <w:pPr>
        <w:autoSpaceDE w:val="0"/>
        <w:autoSpaceDN w:val="0"/>
        <w:adjustRightInd w:val="0"/>
        <w:rPr>
          <w:rFonts w:cs="Arial"/>
          <w:szCs w:val="24"/>
        </w:rPr>
      </w:pPr>
    </w:p>
    <w:p w14:paraId="11BD7088" w14:textId="77777777" w:rsidR="009346AE" w:rsidRPr="008D2CA9" w:rsidRDefault="009346AE" w:rsidP="009346AE">
      <w:pPr>
        <w:autoSpaceDE w:val="0"/>
        <w:autoSpaceDN w:val="0"/>
        <w:adjustRightInd w:val="0"/>
        <w:rPr>
          <w:rFonts w:cs="Arial"/>
          <w:szCs w:val="24"/>
        </w:rPr>
      </w:pPr>
      <w:r w:rsidRPr="008D2CA9">
        <w:rPr>
          <w:rFonts w:cs="Arial"/>
          <w:szCs w:val="24"/>
        </w:rPr>
        <w:t>Por otra parte, del contenido del artículo 1 de la Constitución Política de los Estados Unidos Mexicanos, se destaca lo siguiente:</w:t>
      </w:r>
    </w:p>
    <w:p w14:paraId="2B92CFD3" w14:textId="77777777" w:rsidR="009346AE" w:rsidRPr="008D2CA9" w:rsidRDefault="009346AE" w:rsidP="009346AE">
      <w:pPr>
        <w:autoSpaceDE w:val="0"/>
        <w:autoSpaceDN w:val="0"/>
        <w:adjustRightInd w:val="0"/>
        <w:rPr>
          <w:rFonts w:cs="Arial"/>
          <w:szCs w:val="24"/>
        </w:rPr>
      </w:pPr>
    </w:p>
    <w:p w14:paraId="3A3B90E4" w14:textId="77777777" w:rsidR="009346AE" w:rsidRPr="008D2CA9" w:rsidRDefault="009346AE" w:rsidP="009346AE">
      <w:pPr>
        <w:autoSpaceDE w:val="0"/>
        <w:autoSpaceDN w:val="0"/>
        <w:adjustRightInd w:val="0"/>
        <w:spacing w:line="240" w:lineRule="auto"/>
        <w:ind w:left="567" w:right="567"/>
        <w:rPr>
          <w:rFonts w:cs="Arial"/>
          <w:i/>
          <w:szCs w:val="24"/>
        </w:rPr>
      </w:pPr>
      <w:r w:rsidRPr="008D2CA9">
        <w:rPr>
          <w:rFonts w:cs="Arial"/>
          <w:i/>
          <w:szCs w:val="24"/>
        </w:rPr>
        <w:t>“</w:t>
      </w:r>
      <w:r w:rsidRPr="008D2CA9">
        <w:rPr>
          <w:rFonts w:cs="Arial"/>
          <w:b/>
          <w:i/>
          <w:szCs w:val="24"/>
        </w:rPr>
        <w:t>Artículo 1o.</w:t>
      </w:r>
      <w:r w:rsidRPr="008D2CA9">
        <w:rPr>
          <w:rFonts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32605C" w14:textId="77777777" w:rsidR="009346AE" w:rsidRPr="008D2CA9" w:rsidRDefault="009346AE" w:rsidP="009346AE">
      <w:pPr>
        <w:autoSpaceDE w:val="0"/>
        <w:autoSpaceDN w:val="0"/>
        <w:adjustRightInd w:val="0"/>
        <w:spacing w:line="240" w:lineRule="auto"/>
        <w:ind w:left="567" w:right="567"/>
        <w:rPr>
          <w:rFonts w:cs="Arial"/>
          <w:i/>
          <w:szCs w:val="24"/>
        </w:rPr>
      </w:pPr>
      <w:r w:rsidRPr="008D2CA9">
        <w:rPr>
          <w:rFonts w:cs="Arial"/>
          <w:i/>
          <w:szCs w:val="24"/>
        </w:rPr>
        <w:t>Las normas relativas a los derechos humanos se interpretarán de conformidad con esta Constitución y con los tratados internacionales de la materia favoreciendo en todo tiempo a las personas la protección más amplia.</w:t>
      </w:r>
    </w:p>
    <w:p w14:paraId="19A7619F" w14:textId="77777777" w:rsidR="009346AE" w:rsidRPr="008D2CA9" w:rsidRDefault="009346AE" w:rsidP="009346AE">
      <w:pPr>
        <w:autoSpaceDE w:val="0"/>
        <w:autoSpaceDN w:val="0"/>
        <w:adjustRightInd w:val="0"/>
        <w:spacing w:line="240" w:lineRule="auto"/>
        <w:ind w:left="567" w:right="567"/>
        <w:rPr>
          <w:rFonts w:cs="Arial"/>
          <w:i/>
          <w:szCs w:val="24"/>
        </w:rPr>
      </w:pPr>
      <w:r w:rsidRPr="008D2CA9">
        <w:rPr>
          <w:rFonts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558CD14" w14:textId="77777777" w:rsidR="009346AE" w:rsidRPr="008D2CA9" w:rsidRDefault="009346AE" w:rsidP="009346AE">
      <w:pPr>
        <w:autoSpaceDE w:val="0"/>
        <w:autoSpaceDN w:val="0"/>
        <w:adjustRightInd w:val="0"/>
        <w:rPr>
          <w:rFonts w:cs="Arial"/>
          <w:szCs w:val="24"/>
        </w:rPr>
      </w:pPr>
    </w:p>
    <w:p w14:paraId="7AC05A91" w14:textId="77777777" w:rsidR="009346AE" w:rsidRPr="008D2CA9" w:rsidRDefault="009346AE" w:rsidP="009346AE">
      <w:pPr>
        <w:autoSpaceDE w:val="0"/>
        <w:autoSpaceDN w:val="0"/>
        <w:adjustRightInd w:val="0"/>
        <w:rPr>
          <w:rFonts w:cs="Arial"/>
          <w:szCs w:val="24"/>
        </w:rPr>
      </w:pPr>
      <w:r w:rsidRPr="008D2CA9">
        <w:rPr>
          <w:rFonts w:cs="Arial"/>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w:t>
      </w:r>
      <w:r w:rsidRPr="008D2CA9">
        <w:rPr>
          <w:rFonts w:cs="Arial"/>
          <w:szCs w:val="24"/>
        </w:rPr>
        <w:lastRenderedPageBreak/>
        <w:t>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05F78DE" w14:textId="77777777" w:rsidR="009346AE" w:rsidRPr="008D2CA9" w:rsidRDefault="009346AE" w:rsidP="009346AE">
      <w:pPr>
        <w:autoSpaceDE w:val="0"/>
        <w:autoSpaceDN w:val="0"/>
        <w:adjustRightInd w:val="0"/>
        <w:rPr>
          <w:rFonts w:cs="Arial"/>
          <w:szCs w:val="24"/>
        </w:rPr>
      </w:pPr>
    </w:p>
    <w:p w14:paraId="29ACB0CB" w14:textId="77777777" w:rsidR="009346AE" w:rsidRPr="008D2CA9" w:rsidRDefault="009346AE" w:rsidP="009346AE">
      <w:pPr>
        <w:autoSpaceDE w:val="0"/>
        <w:autoSpaceDN w:val="0"/>
        <w:adjustRightInd w:val="0"/>
        <w:rPr>
          <w:rFonts w:cs="Arial"/>
          <w:szCs w:val="24"/>
        </w:rPr>
      </w:pPr>
      <w:r w:rsidRPr="008D2CA9">
        <w:rPr>
          <w:rFonts w:cs="Arial"/>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610734E9" w14:textId="77777777" w:rsidR="009346AE" w:rsidRPr="008D2CA9" w:rsidRDefault="009346AE" w:rsidP="009346AE">
      <w:pPr>
        <w:autoSpaceDE w:val="0"/>
        <w:autoSpaceDN w:val="0"/>
        <w:adjustRightInd w:val="0"/>
        <w:rPr>
          <w:rFonts w:cs="Arial"/>
          <w:szCs w:val="24"/>
        </w:rPr>
      </w:pPr>
    </w:p>
    <w:p w14:paraId="6C85AE53" w14:textId="77777777" w:rsidR="009346AE" w:rsidRPr="008D2CA9" w:rsidRDefault="009346AE" w:rsidP="009346AE">
      <w:pPr>
        <w:autoSpaceDE w:val="0"/>
        <w:autoSpaceDN w:val="0"/>
        <w:adjustRightInd w:val="0"/>
        <w:spacing w:line="276" w:lineRule="auto"/>
        <w:ind w:left="567" w:right="567"/>
        <w:rPr>
          <w:rFonts w:cs="Arial"/>
          <w:i/>
          <w:szCs w:val="24"/>
        </w:rPr>
      </w:pPr>
      <w:r w:rsidRPr="008D2CA9">
        <w:rPr>
          <w:rFonts w:cs="Arial"/>
          <w:i/>
          <w:szCs w:val="24"/>
        </w:rPr>
        <w:t>“</w:t>
      </w:r>
      <w:r w:rsidRPr="008D2CA9">
        <w:rPr>
          <w:rFonts w:cs="Arial"/>
          <w:b/>
          <w:i/>
          <w:szCs w:val="24"/>
        </w:rPr>
        <w:t>Acceso a información gubernamental. No debe condicionarse a que el solicitante acredite su personalidad, demuestre interés alguno o justifique su utilización.</w:t>
      </w:r>
      <w:r w:rsidRPr="008D2CA9">
        <w:rPr>
          <w:rFonts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F7DA4A1"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t>Resoluciones</w:t>
      </w:r>
    </w:p>
    <w:p w14:paraId="7221A5B4"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t>• RDA 5275/13. Interpuesto en contra de la Secretaría de la Defensa Nacional. Comisionado Ponente Ángel Trinidad Zaldívar.</w:t>
      </w:r>
    </w:p>
    <w:p w14:paraId="0FDED5D7"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t xml:space="preserve">• RDA 2937/13. Interpuesto en contra de LICONSA, S.A. de C.V. Comisionado. Ponente Gerardo </w:t>
      </w:r>
      <w:proofErr w:type="spellStart"/>
      <w:r w:rsidRPr="008D2CA9">
        <w:rPr>
          <w:rFonts w:cs="Arial"/>
          <w:i/>
          <w:sz w:val="20"/>
          <w:szCs w:val="24"/>
        </w:rPr>
        <w:t>Laveaga</w:t>
      </w:r>
      <w:proofErr w:type="spellEnd"/>
      <w:r w:rsidRPr="008D2CA9">
        <w:rPr>
          <w:rFonts w:cs="Arial"/>
          <w:i/>
          <w:sz w:val="20"/>
          <w:szCs w:val="24"/>
        </w:rPr>
        <w:t xml:space="preserve"> Rendón.</w:t>
      </w:r>
    </w:p>
    <w:p w14:paraId="72BE5EDC"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t xml:space="preserve">• RDA 3609/12. Interpuesto en contra de la Secretaría de Educación Pública. Comisionada Ponente Sigrid </w:t>
      </w:r>
      <w:proofErr w:type="spellStart"/>
      <w:r w:rsidRPr="008D2CA9">
        <w:rPr>
          <w:rFonts w:cs="Arial"/>
          <w:i/>
          <w:sz w:val="20"/>
          <w:szCs w:val="24"/>
        </w:rPr>
        <w:t>Arzt</w:t>
      </w:r>
      <w:proofErr w:type="spellEnd"/>
      <w:r w:rsidRPr="008D2CA9">
        <w:rPr>
          <w:rFonts w:cs="Arial"/>
          <w:i/>
          <w:sz w:val="20"/>
          <w:szCs w:val="24"/>
        </w:rPr>
        <w:t xml:space="preserve"> Colunga.</w:t>
      </w:r>
    </w:p>
    <w:p w14:paraId="0C4A2240"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t>• RDA 3361/12. Interpuesto en contra del Servicio de Administración Tributaria. Comisionada Ponente María Elena Pérez-Jaén Zermeño.</w:t>
      </w:r>
    </w:p>
    <w:p w14:paraId="13109C56" w14:textId="77777777" w:rsidR="009346AE" w:rsidRPr="008D2CA9" w:rsidRDefault="009346AE" w:rsidP="009346AE">
      <w:pPr>
        <w:autoSpaceDE w:val="0"/>
        <w:autoSpaceDN w:val="0"/>
        <w:adjustRightInd w:val="0"/>
        <w:spacing w:line="276" w:lineRule="auto"/>
        <w:ind w:left="567" w:right="567"/>
        <w:rPr>
          <w:rFonts w:cs="Arial"/>
          <w:i/>
          <w:sz w:val="20"/>
          <w:szCs w:val="24"/>
        </w:rPr>
      </w:pPr>
      <w:r w:rsidRPr="008D2CA9">
        <w:rPr>
          <w:rFonts w:cs="Arial"/>
          <w:i/>
          <w:sz w:val="20"/>
          <w:szCs w:val="24"/>
        </w:rPr>
        <w:lastRenderedPageBreak/>
        <w:t xml:space="preserve">• RDA 0563/12. Interpuesto en contra de la Secretaría de la Función Pública. Comisionada Ponente Jacqueline </w:t>
      </w:r>
      <w:proofErr w:type="spellStart"/>
      <w:r w:rsidRPr="008D2CA9">
        <w:rPr>
          <w:rFonts w:cs="Arial"/>
          <w:i/>
          <w:sz w:val="20"/>
          <w:szCs w:val="24"/>
        </w:rPr>
        <w:t>Peschard</w:t>
      </w:r>
      <w:proofErr w:type="spellEnd"/>
      <w:r w:rsidRPr="008D2CA9">
        <w:rPr>
          <w:rFonts w:cs="Arial"/>
          <w:i/>
          <w:sz w:val="20"/>
          <w:szCs w:val="24"/>
        </w:rPr>
        <w:t xml:space="preserve"> Mariscal.”</w:t>
      </w:r>
    </w:p>
    <w:p w14:paraId="7F4A53B9" w14:textId="77777777" w:rsidR="009346AE" w:rsidRPr="008D2CA9" w:rsidRDefault="009346AE" w:rsidP="009346AE">
      <w:pPr>
        <w:autoSpaceDE w:val="0"/>
        <w:autoSpaceDN w:val="0"/>
        <w:adjustRightInd w:val="0"/>
        <w:rPr>
          <w:rFonts w:cs="Arial"/>
          <w:szCs w:val="24"/>
        </w:rPr>
      </w:pPr>
    </w:p>
    <w:p w14:paraId="617AE128" w14:textId="77777777" w:rsidR="009346AE" w:rsidRPr="008D2CA9" w:rsidRDefault="009346AE" w:rsidP="009346AE">
      <w:pPr>
        <w:autoSpaceDE w:val="0"/>
        <w:autoSpaceDN w:val="0"/>
        <w:adjustRightInd w:val="0"/>
        <w:rPr>
          <w:rFonts w:cs="Arial"/>
          <w:szCs w:val="24"/>
        </w:rPr>
      </w:pPr>
      <w:r w:rsidRPr="008D2CA9">
        <w:rPr>
          <w:rFonts w:cs="Arial"/>
          <w:szCs w:val="24"/>
        </w:rPr>
        <w:t xml:space="preserve">En ese orden de ideas, se estima que el requerimiento relativo al nombre como presupuesto de </w:t>
      </w:r>
      <w:proofErr w:type="spellStart"/>
      <w:r w:rsidRPr="008D2CA9">
        <w:rPr>
          <w:rFonts w:cs="Arial"/>
          <w:szCs w:val="24"/>
        </w:rPr>
        <w:t>procedibilidad</w:t>
      </w:r>
      <w:proofErr w:type="spellEnd"/>
      <w:r w:rsidRPr="008D2CA9">
        <w:rPr>
          <w:rFonts w:cs="Arial"/>
          <w:szCs w:val="24"/>
        </w:rPr>
        <w:t xml:space="preserve"> podría limitar el ejercicio del derecho de acceso a la información pública, debido a que el hecho de solicitar la identificación del </w:t>
      </w:r>
      <w:r w:rsidRPr="008D2CA9">
        <w:rPr>
          <w:rFonts w:cs="Arial"/>
          <w:b/>
          <w:szCs w:val="24"/>
        </w:rPr>
        <w:t>Recurrente</w:t>
      </w:r>
      <w:r w:rsidRPr="008D2CA9">
        <w:rPr>
          <w:rFonts w:cs="Arial"/>
          <w:szCs w:val="24"/>
        </w:rPr>
        <w:t xml:space="preserve"> a través de dicho dato personal, en ciertos extremos se equipara a una exigencia acerca de su interés o justificación de su utilización, lo que materialmente haría nugatorio un derecho fundamental.</w:t>
      </w:r>
    </w:p>
    <w:p w14:paraId="421CAC99" w14:textId="77777777" w:rsidR="009346AE" w:rsidRPr="008D2CA9" w:rsidRDefault="009346AE" w:rsidP="009346AE">
      <w:pPr>
        <w:autoSpaceDE w:val="0"/>
        <w:autoSpaceDN w:val="0"/>
        <w:adjustRightInd w:val="0"/>
        <w:rPr>
          <w:rFonts w:cs="Arial"/>
          <w:szCs w:val="24"/>
        </w:rPr>
      </w:pPr>
    </w:p>
    <w:p w14:paraId="61164717" w14:textId="77777777" w:rsidR="009346AE" w:rsidRPr="008D2CA9" w:rsidRDefault="009346AE" w:rsidP="009346AE">
      <w:pPr>
        <w:autoSpaceDE w:val="0"/>
        <w:autoSpaceDN w:val="0"/>
        <w:adjustRightInd w:val="0"/>
        <w:rPr>
          <w:rFonts w:cs="Arial"/>
          <w:szCs w:val="24"/>
        </w:rPr>
      </w:pPr>
      <w:r w:rsidRPr="008D2CA9">
        <w:rPr>
          <w:rFonts w:cs="Arial"/>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2EB23192" w14:textId="77777777" w:rsidR="009346AE" w:rsidRPr="008D2CA9" w:rsidRDefault="009346AE" w:rsidP="009346AE">
      <w:pPr>
        <w:autoSpaceDE w:val="0"/>
        <w:autoSpaceDN w:val="0"/>
        <w:adjustRightInd w:val="0"/>
        <w:rPr>
          <w:rFonts w:cs="Arial"/>
          <w:szCs w:val="24"/>
        </w:rPr>
      </w:pPr>
    </w:p>
    <w:p w14:paraId="05247D51" w14:textId="77777777" w:rsidR="009346AE" w:rsidRPr="008D2CA9" w:rsidRDefault="009346AE" w:rsidP="009346AE">
      <w:pPr>
        <w:autoSpaceDE w:val="0"/>
        <w:autoSpaceDN w:val="0"/>
        <w:adjustRightInd w:val="0"/>
        <w:rPr>
          <w:rFonts w:cs="Arial"/>
          <w:szCs w:val="24"/>
        </w:rPr>
      </w:pPr>
      <w:r w:rsidRPr="008D2CA9">
        <w:rPr>
          <w:rFonts w:cs="Arial"/>
          <w:szCs w:val="24"/>
        </w:rPr>
        <w:t xml:space="preserve">En consecuencia, dado lo expuesto y fundado con anterioridad, se estima que el requisito relativo al nombre del </w:t>
      </w:r>
      <w:r w:rsidRPr="008D2CA9">
        <w:rPr>
          <w:rFonts w:cs="Arial"/>
          <w:b/>
          <w:szCs w:val="24"/>
        </w:rPr>
        <w:t>Recurrente</w:t>
      </w:r>
      <w:r w:rsidRPr="008D2CA9">
        <w:rPr>
          <w:rFonts w:cs="Arial"/>
          <w:szCs w:val="24"/>
        </w:rPr>
        <w:t xml:space="preserve"> no constituye un presupuesto indispensable de </w:t>
      </w:r>
      <w:proofErr w:type="spellStart"/>
      <w:r w:rsidRPr="008D2CA9">
        <w:rPr>
          <w:rFonts w:cs="Arial"/>
          <w:szCs w:val="24"/>
        </w:rPr>
        <w:t>procedibilidad</w:t>
      </w:r>
      <w:proofErr w:type="spellEnd"/>
      <w:r w:rsidRPr="008D2CA9">
        <w:rPr>
          <w:rFonts w:cs="Arial"/>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w:t>
      </w:r>
      <w:r w:rsidRPr="008D2CA9">
        <w:rPr>
          <w:rFonts w:cs="Arial"/>
          <w:szCs w:val="24"/>
        </w:rPr>
        <w:lastRenderedPageBreak/>
        <w:t xml:space="preserve">requiere legitimación en la causa, sino que únicamente basta con que se encuentre legitimado en el procedimiento de recurso de revisión, circunstancia que se acredita en las constancias electrónicas del expediente, de las que se desprende que el </w:t>
      </w:r>
      <w:r w:rsidRPr="008D2CA9">
        <w:rPr>
          <w:rFonts w:cs="Arial"/>
          <w:b/>
          <w:szCs w:val="24"/>
        </w:rPr>
        <w:t>Recurrente</w:t>
      </w:r>
      <w:r w:rsidRPr="008D2CA9">
        <w:rPr>
          <w:rFonts w:cs="Arial"/>
          <w:szCs w:val="24"/>
        </w:rPr>
        <w:t>, es la misma persona que realizó la solicitud de acceso a la información pública que ahora se impugna.</w:t>
      </w:r>
    </w:p>
    <w:p w14:paraId="63E846A5" w14:textId="77777777" w:rsidR="009346AE" w:rsidRPr="008D2CA9" w:rsidRDefault="009346AE" w:rsidP="009346AE">
      <w:pPr>
        <w:autoSpaceDE w:val="0"/>
        <w:autoSpaceDN w:val="0"/>
        <w:adjustRightInd w:val="0"/>
        <w:rPr>
          <w:rFonts w:cs="Arial"/>
          <w:szCs w:val="24"/>
        </w:rPr>
      </w:pPr>
    </w:p>
    <w:p w14:paraId="60EB06F3" w14:textId="77777777" w:rsidR="009346AE" w:rsidRPr="008D2CA9" w:rsidRDefault="009346AE" w:rsidP="009346AE">
      <w:pPr>
        <w:autoSpaceDE w:val="0"/>
        <w:autoSpaceDN w:val="0"/>
        <w:adjustRightInd w:val="0"/>
        <w:rPr>
          <w:rFonts w:cs="Arial"/>
          <w:szCs w:val="24"/>
        </w:rPr>
      </w:pPr>
      <w:r w:rsidRPr="008D2CA9">
        <w:rPr>
          <w:rFonts w:cs="Arial"/>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33767E68" w14:textId="77777777" w:rsidR="009346AE" w:rsidRPr="008D2CA9" w:rsidRDefault="009346AE" w:rsidP="009346AE">
      <w:pPr>
        <w:autoSpaceDE w:val="0"/>
        <w:autoSpaceDN w:val="0"/>
        <w:adjustRightInd w:val="0"/>
        <w:rPr>
          <w:rFonts w:cs="Arial"/>
          <w:szCs w:val="24"/>
        </w:rPr>
      </w:pPr>
    </w:p>
    <w:p w14:paraId="63DC255C" w14:textId="77777777" w:rsidR="009346AE" w:rsidRPr="008D2CA9" w:rsidRDefault="009346AE" w:rsidP="009346AE">
      <w:pPr>
        <w:autoSpaceDE w:val="0"/>
        <w:autoSpaceDN w:val="0"/>
        <w:adjustRightInd w:val="0"/>
        <w:rPr>
          <w:rFonts w:cs="Arial"/>
          <w:b/>
          <w:sz w:val="28"/>
          <w:szCs w:val="28"/>
        </w:rPr>
      </w:pPr>
      <w:r w:rsidRPr="008D2CA9">
        <w:rPr>
          <w:rFonts w:cs="Arial"/>
          <w:b/>
          <w:sz w:val="28"/>
          <w:szCs w:val="28"/>
        </w:rPr>
        <w:t xml:space="preserve">TERCERO. Del estudio de las causas de improcedencia. </w:t>
      </w:r>
    </w:p>
    <w:p w14:paraId="0F922280" w14:textId="77777777" w:rsidR="009346AE" w:rsidRPr="008D2CA9" w:rsidRDefault="009346AE" w:rsidP="009346AE">
      <w:pPr>
        <w:autoSpaceDE w:val="0"/>
        <w:autoSpaceDN w:val="0"/>
        <w:adjustRightInd w:val="0"/>
        <w:rPr>
          <w:rFonts w:cs="Arial"/>
          <w:szCs w:val="24"/>
        </w:rPr>
      </w:pPr>
      <w:r w:rsidRPr="008D2CA9">
        <w:rPr>
          <w:rFonts w:cs="Arial"/>
          <w:szCs w:val="24"/>
        </w:rPr>
        <w:t xml:space="preserve">El estudio de las causas de improcedencia que se hagan valer por las partes o que se advierta de oficio por este </w:t>
      </w:r>
      <w:proofErr w:type="spellStart"/>
      <w:r w:rsidRPr="008D2CA9">
        <w:rPr>
          <w:rFonts w:cs="Arial"/>
          <w:szCs w:val="24"/>
        </w:rPr>
        <w:t>Resolutor</w:t>
      </w:r>
      <w:proofErr w:type="spellEnd"/>
      <w:r w:rsidRPr="008D2CA9">
        <w:rPr>
          <w:rFonts w:cs="Arial"/>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74424770" w14:textId="77777777" w:rsidR="009346AE" w:rsidRPr="008D2CA9" w:rsidRDefault="009346AE" w:rsidP="009346AE">
      <w:pPr>
        <w:autoSpaceDE w:val="0"/>
        <w:autoSpaceDN w:val="0"/>
        <w:adjustRightInd w:val="0"/>
        <w:rPr>
          <w:rFonts w:cs="Arial"/>
          <w:szCs w:val="24"/>
        </w:rPr>
      </w:pPr>
    </w:p>
    <w:p w14:paraId="2DBB83B5" w14:textId="77777777" w:rsidR="009346AE" w:rsidRPr="008D2CA9" w:rsidRDefault="009346AE" w:rsidP="009346AE">
      <w:pPr>
        <w:spacing w:line="276" w:lineRule="auto"/>
        <w:ind w:left="567" w:right="567"/>
        <w:rPr>
          <w:rFonts w:cs="Arial"/>
        </w:rPr>
      </w:pPr>
      <w:r w:rsidRPr="008D2CA9">
        <w:rPr>
          <w:b/>
          <w:bCs/>
          <w:i/>
        </w:rPr>
        <w:t xml:space="preserve">IMPROCEDENCIA Y SOBRESEIMIENTO EN EL JUICIO DE AMPARO. LAS CAUSAS PREVISTAS EN LOS ARTÍCULOS 73 Y 74 DE LA LEY DE LA </w:t>
      </w:r>
      <w:r w:rsidRPr="008D2CA9">
        <w:rPr>
          <w:b/>
          <w:bCs/>
          <w:i/>
        </w:rPr>
        <w:lastRenderedPageBreak/>
        <w:t xml:space="preserve">MATERIA, RESPECTIVAMENTE, NO SON INCOMPATIBLES CON EL ARTÍCULO 25.1 DE LA CONVENCIÓN AMERICANA SOBRE DERECHOS HUMANOS. </w:t>
      </w:r>
      <w:r w:rsidRPr="008D2CA9">
        <w:rPr>
          <w:i/>
        </w:rPr>
        <w:t xml:space="preserve">Del examen de compatibilidad de los artículos </w:t>
      </w:r>
      <w:hyperlink r:id="rId8" w:history="1">
        <w:r w:rsidRPr="008D2CA9">
          <w:rPr>
            <w:i/>
            <w:color w:val="0563C1" w:themeColor="hyperlink"/>
            <w:u w:val="single"/>
          </w:rPr>
          <w:t>73 y 74 de la Ley de Amparo</w:t>
        </w:r>
      </w:hyperlink>
      <w:r w:rsidRPr="008D2CA9">
        <w:rPr>
          <w:i/>
          <w:color w:val="0563C1" w:themeColor="hyperlink"/>
          <w:u w:val="single"/>
        </w:rPr>
        <w:t xml:space="preserve"> </w:t>
      </w:r>
      <w:r w:rsidRPr="008D2CA9">
        <w:rPr>
          <w:i/>
        </w:rPr>
        <w:t xml:space="preserve">con el artículo </w:t>
      </w:r>
      <w:hyperlink r:id="rId9" w:history="1">
        <w:r w:rsidRPr="008D2CA9">
          <w:rPr>
            <w:i/>
            <w:color w:val="0563C1" w:themeColor="hyperlink"/>
            <w:u w:val="single"/>
          </w:rPr>
          <w:t>25.1 de la Convención Americana sobre Derechos Humanos</w:t>
        </w:r>
      </w:hyperlink>
      <w:r w:rsidRPr="008D2CA9">
        <w:rPr>
          <w:i/>
        </w:rPr>
        <w:t xml:space="preserve"> </w:t>
      </w:r>
      <w:r w:rsidRPr="008D2CA9">
        <w:rPr>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D2CA9">
        <w:rPr>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D2CA9">
        <w:rPr>
          <w:i/>
        </w:rPr>
        <w:t>concesoria</w:t>
      </w:r>
      <w:proofErr w:type="spellEnd"/>
      <w:r w:rsidRPr="008D2CA9">
        <w:rPr>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DB87F83" w14:textId="77777777" w:rsidR="009346AE" w:rsidRPr="008D2CA9" w:rsidRDefault="009346AE" w:rsidP="009346AE">
      <w:pPr>
        <w:autoSpaceDE w:val="0"/>
        <w:autoSpaceDN w:val="0"/>
        <w:adjustRightInd w:val="0"/>
        <w:rPr>
          <w:rFonts w:eastAsia="Times New Roman" w:cs="Arial"/>
          <w:szCs w:val="24"/>
          <w:lang w:val="es-ES" w:eastAsia="es-ES"/>
        </w:rPr>
      </w:pPr>
    </w:p>
    <w:p w14:paraId="7A008660" w14:textId="77777777" w:rsidR="009346AE" w:rsidRPr="008D2CA9" w:rsidRDefault="009346AE" w:rsidP="009346AE">
      <w:pPr>
        <w:autoSpaceDE w:val="0"/>
        <w:autoSpaceDN w:val="0"/>
        <w:adjustRightInd w:val="0"/>
        <w:rPr>
          <w:rFonts w:cs="Arial"/>
          <w:szCs w:val="24"/>
        </w:rPr>
      </w:pPr>
      <w:r w:rsidRPr="008D2CA9">
        <w:rPr>
          <w:rFonts w:cs="Arial"/>
          <w:szCs w:val="24"/>
        </w:rPr>
        <w:t>Por lo que una vez que se analizó el expediente en estudio se cae en la cuenta de que no se actualiza ninguna de las casuales a continuación transcritas:</w:t>
      </w:r>
    </w:p>
    <w:p w14:paraId="012FFD27" w14:textId="77777777" w:rsidR="009346AE" w:rsidRPr="008D2CA9" w:rsidRDefault="009346AE" w:rsidP="009346AE">
      <w:pPr>
        <w:autoSpaceDE w:val="0"/>
        <w:autoSpaceDN w:val="0"/>
        <w:adjustRightInd w:val="0"/>
        <w:rPr>
          <w:rFonts w:cs="Arial"/>
          <w:szCs w:val="24"/>
        </w:rPr>
      </w:pPr>
    </w:p>
    <w:p w14:paraId="290F606A"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i/>
          <w:lang w:val="es-ES" w:eastAsia="es-ES"/>
        </w:rPr>
        <w:t>“</w:t>
      </w:r>
      <w:r w:rsidRPr="008D2CA9">
        <w:rPr>
          <w:rFonts w:eastAsia="Times New Roman" w:cs="Arial"/>
          <w:b/>
          <w:i/>
          <w:lang w:val="es-ES" w:eastAsia="es-ES"/>
        </w:rPr>
        <w:t>Artículo 191</w:t>
      </w:r>
      <w:r w:rsidRPr="008D2CA9">
        <w:rPr>
          <w:rFonts w:eastAsia="Times New Roman" w:cs="Arial"/>
          <w:i/>
          <w:lang w:val="es-ES" w:eastAsia="es-ES"/>
        </w:rPr>
        <w:t xml:space="preserve">. El recurso será desechado por improcedente cuando:  </w:t>
      </w:r>
    </w:p>
    <w:p w14:paraId="4DF29288"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I</w:t>
      </w:r>
      <w:r w:rsidRPr="008D2CA9">
        <w:rPr>
          <w:rFonts w:eastAsia="Times New Roman" w:cs="Arial"/>
          <w:i/>
          <w:lang w:val="es-ES" w:eastAsia="es-ES"/>
        </w:rPr>
        <w:t xml:space="preserve">. Sea extemporáneo por haber transcurrido el plazo establecido en la presente Ley, a partir de la respuesta;  </w:t>
      </w:r>
    </w:p>
    <w:p w14:paraId="6DEC5072"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II</w:t>
      </w:r>
      <w:r w:rsidRPr="008D2CA9">
        <w:rPr>
          <w:rFonts w:eastAsia="Times New Roman" w:cs="Arial"/>
          <w:i/>
          <w:lang w:val="es-ES" w:eastAsia="es-ES"/>
        </w:rPr>
        <w:t xml:space="preserve">. Se esté tramitando ante el Poder Judicial de la Federación algún recurso o medio de defensa interpuesto por el recurrente;  </w:t>
      </w:r>
    </w:p>
    <w:p w14:paraId="1DD71044"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III</w:t>
      </w:r>
      <w:r w:rsidRPr="008D2CA9">
        <w:rPr>
          <w:rFonts w:eastAsia="Times New Roman" w:cs="Arial"/>
          <w:i/>
          <w:lang w:val="es-ES" w:eastAsia="es-ES"/>
        </w:rPr>
        <w:t xml:space="preserve">. No actualice alguno de los supuestos previstos en la presente Ley;  </w:t>
      </w:r>
    </w:p>
    <w:p w14:paraId="5E97B514"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lastRenderedPageBreak/>
        <w:t>IV</w:t>
      </w:r>
      <w:r w:rsidRPr="008D2CA9">
        <w:rPr>
          <w:rFonts w:eastAsia="Times New Roman" w:cs="Arial"/>
          <w:i/>
          <w:lang w:val="es-ES" w:eastAsia="es-ES"/>
        </w:rPr>
        <w:t xml:space="preserve">. No se haya desahogado la prevención en los términos establecidos en la presente Ley;  </w:t>
      </w:r>
    </w:p>
    <w:p w14:paraId="7D0A98D4"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V</w:t>
      </w:r>
      <w:r w:rsidRPr="008D2CA9">
        <w:rPr>
          <w:rFonts w:eastAsia="Times New Roman" w:cs="Arial"/>
          <w:i/>
          <w:lang w:val="es-ES" w:eastAsia="es-ES"/>
        </w:rPr>
        <w:t xml:space="preserve">. Se impugne la veracidad de la información proporcionada;  </w:t>
      </w:r>
    </w:p>
    <w:p w14:paraId="1A95F1AE"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VI</w:t>
      </w:r>
      <w:r w:rsidRPr="008D2CA9">
        <w:rPr>
          <w:rFonts w:eastAsia="Times New Roman" w:cs="Arial"/>
          <w:i/>
          <w:lang w:val="es-ES" w:eastAsia="es-ES"/>
        </w:rPr>
        <w:t xml:space="preserve">. Se trate de una consulta, o trámite en específico; y  </w:t>
      </w:r>
    </w:p>
    <w:p w14:paraId="05657303" w14:textId="77777777" w:rsidR="009346AE" w:rsidRPr="008D2CA9" w:rsidRDefault="009346AE" w:rsidP="009346AE">
      <w:pPr>
        <w:autoSpaceDE w:val="0"/>
        <w:autoSpaceDN w:val="0"/>
        <w:adjustRightInd w:val="0"/>
        <w:spacing w:line="276" w:lineRule="auto"/>
        <w:ind w:left="567" w:right="567"/>
        <w:rPr>
          <w:rFonts w:eastAsia="Times New Roman" w:cs="Arial"/>
          <w:i/>
          <w:lang w:val="es-ES" w:eastAsia="es-ES"/>
        </w:rPr>
      </w:pPr>
      <w:r w:rsidRPr="008D2CA9">
        <w:rPr>
          <w:rFonts w:eastAsia="Times New Roman" w:cs="Arial"/>
          <w:b/>
          <w:i/>
          <w:lang w:val="es-ES" w:eastAsia="es-ES"/>
        </w:rPr>
        <w:t>VII</w:t>
      </w:r>
      <w:r w:rsidRPr="008D2CA9">
        <w:rPr>
          <w:rFonts w:eastAsia="Times New Roman" w:cs="Arial"/>
          <w:i/>
          <w:lang w:val="es-ES" w:eastAsia="es-ES"/>
        </w:rPr>
        <w:t>. El recurrente amplíe su solicitud en el recurso de revisión, únicamente respecto de los nuevos contenidos.”</w:t>
      </w:r>
    </w:p>
    <w:p w14:paraId="1FF9E28E" w14:textId="77777777" w:rsidR="009346AE" w:rsidRPr="008D2CA9" w:rsidRDefault="009346AE" w:rsidP="009346AE">
      <w:pPr>
        <w:autoSpaceDE w:val="0"/>
        <w:autoSpaceDN w:val="0"/>
        <w:adjustRightInd w:val="0"/>
        <w:rPr>
          <w:rFonts w:cs="Arial"/>
          <w:szCs w:val="24"/>
        </w:rPr>
      </w:pPr>
    </w:p>
    <w:p w14:paraId="5075185C" w14:textId="77777777" w:rsidR="009346AE" w:rsidRPr="008D2CA9" w:rsidRDefault="009346AE" w:rsidP="009346AE">
      <w:pPr>
        <w:autoSpaceDE w:val="0"/>
        <w:autoSpaceDN w:val="0"/>
        <w:adjustRightInd w:val="0"/>
        <w:rPr>
          <w:rFonts w:cs="Arial"/>
          <w:szCs w:val="24"/>
        </w:rPr>
      </w:pPr>
      <w:r w:rsidRPr="008D2CA9">
        <w:rPr>
          <w:rFonts w:cs="Arial"/>
          <w:szCs w:val="24"/>
        </w:rPr>
        <w:t xml:space="preserve">Ya que no fue interpuesto de forma extemporánea, no se está tramitando ante el Poder Judicial Federal, no es una consulta, o trámite en específico, ni tampoco se advierte que </w:t>
      </w:r>
      <w:r w:rsidRPr="008D2CA9">
        <w:rPr>
          <w:rFonts w:cs="Arial"/>
          <w:b/>
          <w:szCs w:val="24"/>
        </w:rPr>
        <w:t>el recurrente</w:t>
      </w:r>
      <w:r w:rsidRPr="008D2CA9">
        <w:rPr>
          <w:rFonts w:cs="Arial"/>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373452CB" w14:textId="77777777" w:rsidR="009346AE" w:rsidRPr="008D2CA9" w:rsidRDefault="009346AE" w:rsidP="009346AE">
      <w:pPr>
        <w:autoSpaceDE w:val="0"/>
        <w:autoSpaceDN w:val="0"/>
        <w:adjustRightInd w:val="0"/>
        <w:rPr>
          <w:rFonts w:cs="Arial"/>
          <w:szCs w:val="24"/>
        </w:rPr>
      </w:pPr>
    </w:p>
    <w:p w14:paraId="0DC69ACD" w14:textId="6D5919A0" w:rsidR="00A970D5" w:rsidRPr="006922F5" w:rsidRDefault="009346AE" w:rsidP="009346AE">
      <w:pPr>
        <w:pStyle w:val="Ttulo2"/>
        <w:rPr>
          <w:rFonts w:eastAsia="Palatino Linotype"/>
        </w:rPr>
      </w:pPr>
      <w:r w:rsidRPr="008D2CA9">
        <w:rPr>
          <w:rFonts w:eastAsia="Times New Roman" w:cs="Arial"/>
          <w:sz w:val="28"/>
          <w:szCs w:val="28"/>
          <w:lang w:val="es-ES" w:eastAsia="es-ES"/>
        </w:rPr>
        <w:t xml:space="preserve">CUARTO. </w:t>
      </w:r>
      <w:r w:rsidRPr="008D2CA9">
        <w:rPr>
          <w:rFonts w:eastAsia="Times New Roman" w:cs="Arial"/>
          <w:lang w:val="es-ES" w:eastAsia="es-ES"/>
        </w:rPr>
        <w:t>Estudio y resolución del recurso de revisión.</w:t>
      </w:r>
    </w:p>
    <w:p w14:paraId="102DA030"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3CF682A" w14:textId="4A179EEA" w:rsidR="00514C55" w:rsidRPr="00BC4869" w:rsidRDefault="00A970D5" w:rsidP="006D438A">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6D438A">
        <w:rPr>
          <w:rFonts w:eastAsia="Palatino Linotype" w:cs="Palatino Linotype"/>
          <w:color w:val="000000"/>
          <w:szCs w:val="24"/>
        </w:rPr>
        <w:t>el</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CF6592" w:rsidRPr="006922F5">
        <w:rPr>
          <w:rFonts w:eastAsia="Palatino Linotype" w:cs="Palatino Linotype"/>
          <w:color w:val="000000"/>
          <w:szCs w:val="24"/>
        </w:rPr>
        <w:t xml:space="preserve"> </w:t>
      </w:r>
      <w:r w:rsidR="00BC4869">
        <w:rPr>
          <w:rFonts w:eastAsia="Palatino Linotype" w:cs="Palatino Linotype"/>
          <w:color w:val="000000"/>
          <w:szCs w:val="24"/>
        </w:rPr>
        <w:t xml:space="preserve">que </w:t>
      </w:r>
      <w:r w:rsidR="006D438A">
        <w:rPr>
          <w:rFonts w:eastAsia="Palatino Linotype" w:cs="Palatino Linotype"/>
          <w:color w:val="000000"/>
          <w:szCs w:val="24"/>
        </w:rPr>
        <w:t xml:space="preserve">se le </w:t>
      </w:r>
      <w:r w:rsidR="00287C9D">
        <w:rPr>
          <w:rFonts w:eastAsia="Palatino Linotype" w:cs="Palatino Linotype"/>
          <w:color w:val="000000"/>
          <w:szCs w:val="24"/>
        </w:rPr>
        <w:t xml:space="preserve">entregara </w:t>
      </w:r>
      <w:r w:rsidR="009346AE">
        <w:rPr>
          <w:rFonts w:eastAsia="Palatino Linotype" w:cs="Palatino Linotype"/>
          <w:color w:val="000000"/>
          <w:szCs w:val="24"/>
        </w:rPr>
        <w:t>los resultados de las auditorías realizadas al Sistema DIF municipal de Toluca, durante la administraci</w:t>
      </w:r>
      <w:r w:rsidR="00E36443">
        <w:rPr>
          <w:rFonts w:eastAsia="Palatino Linotype" w:cs="Palatino Linotype"/>
          <w:color w:val="000000"/>
          <w:szCs w:val="24"/>
        </w:rPr>
        <w:t>ón actual, es decir al veintiuno de abril de dos mil veintitrés.</w:t>
      </w:r>
    </w:p>
    <w:p w14:paraId="6E35799A" w14:textId="77777777" w:rsidR="00877767" w:rsidRPr="006922F5" w:rsidRDefault="00877767" w:rsidP="006922F5">
      <w:pPr>
        <w:pBdr>
          <w:top w:val="nil"/>
          <w:left w:val="nil"/>
          <w:bottom w:val="nil"/>
          <w:right w:val="nil"/>
          <w:between w:val="nil"/>
        </w:pBdr>
        <w:contextualSpacing/>
        <w:rPr>
          <w:rFonts w:eastAsia="Palatino Linotype" w:cs="Palatino Linotype"/>
          <w:color w:val="000000"/>
          <w:szCs w:val="24"/>
        </w:rPr>
      </w:pPr>
    </w:p>
    <w:p w14:paraId="46A58DB1" w14:textId="185E740F"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2C2D27">
        <w:rPr>
          <w:rFonts w:eastAsia="Palatino Linotype" w:cs="Palatino Linotype"/>
          <w:color w:val="000000"/>
          <w:szCs w:val="24"/>
        </w:rPr>
        <w:t xml:space="preserve">hizo </w:t>
      </w:r>
      <w:r w:rsidR="00A978AF">
        <w:rPr>
          <w:rFonts w:eastAsia="Palatino Linotype" w:cs="Palatino Linotype"/>
          <w:color w:val="000000"/>
          <w:szCs w:val="24"/>
        </w:rPr>
        <w:t>entrega de</w:t>
      </w:r>
      <w:r w:rsidR="00287C9D">
        <w:rPr>
          <w:rFonts w:eastAsia="Palatino Linotype" w:cs="Palatino Linotype"/>
          <w:color w:val="000000"/>
          <w:szCs w:val="24"/>
        </w:rPr>
        <w:t>l siguiente</w:t>
      </w:r>
      <w:r w:rsidR="00A978AF">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02BA886C" w14:textId="6AC31783" w:rsidR="00897CF4" w:rsidRPr="005A2137" w:rsidRDefault="00E36443" w:rsidP="00E36443">
      <w:pPr>
        <w:pStyle w:val="Prrafodelista"/>
        <w:numPr>
          <w:ilvl w:val="0"/>
          <w:numId w:val="33"/>
        </w:numPr>
        <w:pBdr>
          <w:top w:val="nil"/>
          <w:left w:val="nil"/>
          <w:bottom w:val="nil"/>
          <w:right w:val="nil"/>
          <w:between w:val="nil"/>
        </w:pBdr>
        <w:contextualSpacing/>
      </w:pPr>
      <w:r w:rsidRPr="00E36443">
        <w:rPr>
          <w:rFonts w:eastAsia="Palatino Linotype" w:cs="Palatino Linotype"/>
          <w:b/>
          <w:bCs/>
          <w:color w:val="000000"/>
        </w:rPr>
        <w:t>oficio 599[1] 1.pdf</w:t>
      </w:r>
      <w:r>
        <w:rPr>
          <w:rFonts w:eastAsia="Palatino Linotype" w:cs="Palatino Linotype"/>
          <w:bCs/>
          <w:color w:val="000000"/>
        </w:rPr>
        <w:t>: Consta del oficio número 200B10400/OIC/599/2022, signado por la Titular del Ó</w:t>
      </w:r>
      <w:r w:rsidR="00595850">
        <w:rPr>
          <w:rFonts w:eastAsia="Palatino Linotype" w:cs="Palatino Linotype"/>
          <w:bCs/>
          <w:color w:val="000000"/>
        </w:rPr>
        <w:t xml:space="preserve">rgano Interno de Control del Sistema Municipal para el Desarrollo Integral de la Familia de Toluca, mediante el cual medularmente refiere que se adjunta al presente el “Informe de “Auditoría Administrativa y Financiera a la Dirección de Administración y Tesorería de los Ingresos captados por los Centros de Salud y Asistencia Social, adscritos al Sistema </w:t>
      </w:r>
      <w:r w:rsidR="005A2137">
        <w:rPr>
          <w:rFonts w:eastAsia="Palatino Linotype" w:cs="Palatino Linotype"/>
          <w:bCs/>
          <w:color w:val="000000"/>
        </w:rPr>
        <w:t>Municipal para el Desarrollo Integral de la Familia de Toluca, del período comprendido del 01 de enero al 30 de abril de 2022”; por el Órgano Interno de Control del Sistema Municipal para el Desarrollo Integral de la Familia de Toluca”.</w:t>
      </w:r>
    </w:p>
    <w:p w14:paraId="78297D91" w14:textId="60AC80CB" w:rsidR="005A2137" w:rsidRPr="000849EF" w:rsidRDefault="005A2137" w:rsidP="005A2137">
      <w:pPr>
        <w:pStyle w:val="Prrafodelista"/>
        <w:numPr>
          <w:ilvl w:val="0"/>
          <w:numId w:val="33"/>
        </w:numPr>
        <w:pBdr>
          <w:top w:val="nil"/>
          <w:left w:val="nil"/>
          <w:bottom w:val="nil"/>
          <w:right w:val="nil"/>
          <w:between w:val="nil"/>
        </w:pBdr>
        <w:contextualSpacing/>
      </w:pPr>
      <w:r w:rsidRPr="005A2137">
        <w:rPr>
          <w:rFonts w:eastAsia="Palatino Linotype" w:cs="Palatino Linotype"/>
          <w:b/>
          <w:bCs/>
          <w:color w:val="000000"/>
        </w:rPr>
        <w:t>RAR00098_2023.PDF</w:t>
      </w:r>
      <w:r>
        <w:rPr>
          <w:rFonts w:eastAsia="Palatino Linotype" w:cs="Palatino Linotype"/>
          <w:bCs/>
          <w:color w:val="000000"/>
        </w:rPr>
        <w:t xml:space="preserve">: Consta del oficio número 200B10400/OIC/0261/2023, signado por la Titular del Órgano Interno de Control del Sistema Municipal para el Desarrollo Integral de la Familia de Toluca, mediante el cual refiere que en atención a la información peticionada por el </w:t>
      </w:r>
      <w:r w:rsidR="000849EF">
        <w:rPr>
          <w:rFonts w:eastAsia="Palatino Linotype" w:cs="Palatino Linotype"/>
          <w:bCs/>
          <w:color w:val="000000"/>
        </w:rPr>
        <w:t>particular, ésta se encuentra publicada en la página electrónica del portal de IPOMEX que corresponde al Organismo, asimismo, adjunta la liga de la plataforma para su consulta.</w:t>
      </w:r>
    </w:p>
    <w:p w14:paraId="54D5E08F" w14:textId="2DEDAF51" w:rsidR="000849EF" w:rsidRPr="0089641A" w:rsidRDefault="000849EF" w:rsidP="000849EF">
      <w:pPr>
        <w:pStyle w:val="Prrafodelista"/>
        <w:numPr>
          <w:ilvl w:val="0"/>
          <w:numId w:val="33"/>
        </w:numPr>
        <w:pBdr>
          <w:top w:val="nil"/>
          <w:left w:val="nil"/>
          <w:bottom w:val="nil"/>
          <w:right w:val="nil"/>
          <w:between w:val="nil"/>
        </w:pBdr>
        <w:contextualSpacing/>
      </w:pPr>
      <w:r w:rsidRPr="000849EF">
        <w:rPr>
          <w:rFonts w:eastAsia="Palatino Linotype" w:cs="Palatino Linotype"/>
          <w:b/>
          <w:bCs/>
          <w:color w:val="000000"/>
        </w:rPr>
        <w:t>OFICIO 200B10400-OIC-817-2022[1]3.pdf</w:t>
      </w:r>
      <w:r>
        <w:rPr>
          <w:rFonts w:eastAsia="Palatino Linotype" w:cs="Palatino Linotype"/>
          <w:bCs/>
          <w:color w:val="000000"/>
        </w:rPr>
        <w:t>: Consta del</w:t>
      </w:r>
      <w:r w:rsidR="009521DB">
        <w:rPr>
          <w:rFonts w:eastAsia="Palatino Linotype" w:cs="Palatino Linotype"/>
          <w:bCs/>
          <w:color w:val="000000"/>
        </w:rPr>
        <w:t xml:space="preserve"> oficio número 200B10400/OIC/817</w:t>
      </w:r>
      <w:r>
        <w:rPr>
          <w:rFonts w:eastAsia="Palatino Linotype" w:cs="Palatino Linotype"/>
          <w:bCs/>
          <w:color w:val="000000"/>
        </w:rPr>
        <w:t>/202</w:t>
      </w:r>
      <w:r w:rsidR="009521DB">
        <w:rPr>
          <w:rFonts w:eastAsia="Palatino Linotype" w:cs="Palatino Linotype"/>
          <w:bCs/>
          <w:color w:val="000000"/>
        </w:rPr>
        <w:t>2</w:t>
      </w:r>
      <w:r>
        <w:rPr>
          <w:rFonts w:eastAsia="Palatino Linotype" w:cs="Palatino Linotype"/>
          <w:bCs/>
          <w:color w:val="000000"/>
        </w:rPr>
        <w:t xml:space="preserve">, signado por la Titular del Órgano Interno de Control del Sistema Municipal para el Desarrollo Integral de la Familia de Toluca, mediante el cual refiere que en </w:t>
      </w:r>
      <w:r w:rsidR="009521DB">
        <w:rPr>
          <w:rFonts w:eastAsia="Palatino Linotype" w:cs="Palatino Linotype"/>
          <w:bCs/>
          <w:color w:val="000000"/>
        </w:rPr>
        <w:t>relación al oficio número 200B</w:t>
      </w:r>
      <w:r w:rsidR="008569C6">
        <w:rPr>
          <w:rFonts w:eastAsia="Palatino Linotype" w:cs="Palatino Linotype"/>
          <w:bCs/>
          <w:color w:val="000000"/>
        </w:rPr>
        <w:t xml:space="preserve">10400/OIC/817/2022, en el que se notificó el inicio de la “Autoría Administrativa al seguimiento y cumplimiento de las metas fijadas en el Programa Operativo Anual 2022 (POA) del período comprendido del 01 de enero al 31 de octubre de 2022”, al respecto. Adjunta el </w:t>
      </w:r>
      <w:r w:rsidR="008569C6">
        <w:rPr>
          <w:rFonts w:eastAsia="Palatino Linotype" w:cs="Palatino Linotype"/>
          <w:bCs/>
          <w:color w:val="000000"/>
        </w:rPr>
        <w:lastRenderedPageBreak/>
        <w:t xml:space="preserve">Informe de Auditoría para los fines administrativos que haya lugar, resultante del análisis a la documentación proporcionada y de conformidad a los procedimientos aplicados. Como bien fue mencionado, se adjunta el Informe de “Auditoría </w:t>
      </w:r>
      <w:r w:rsidR="0089641A">
        <w:rPr>
          <w:rFonts w:eastAsia="Palatino Linotype" w:cs="Palatino Linotype"/>
          <w:bCs/>
          <w:color w:val="000000"/>
        </w:rPr>
        <w:t>Administrativa</w:t>
      </w:r>
      <w:r w:rsidR="008569C6">
        <w:rPr>
          <w:rFonts w:eastAsia="Palatino Linotype" w:cs="Palatino Linotype"/>
          <w:bCs/>
          <w:color w:val="000000"/>
        </w:rPr>
        <w:t xml:space="preserve"> al seguimiento y cumplimiento </w:t>
      </w:r>
      <w:r w:rsidR="0089641A">
        <w:rPr>
          <w:rFonts w:eastAsia="Palatino Linotype" w:cs="Palatino Linotype"/>
          <w:bCs/>
          <w:color w:val="000000"/>
        </w:rPr>
        <w:t>de las metas fijadas en el Programa Operativo Anual 2022 (POA), del periodo comprendido del 01 de enero al 31 de octubre del 2022”.</w:t>
      </w:r>
    </w:p>
    <w:p w14:paraId="07B10A88" w14:textId="40366F87" w:rsidR="0089641A" w:rsidRPr="0089641A" w:rsidRDefault="0089641A" w:rsidP="0089641A">
      <w:pPr>
        <w:pStyle w:val="Prrafodelista"/>
        <w:numPr>
          <w:ilvl w:val="0"/>
          <w:numId w:val="33"/>
        </w:numPr>
        <w:pBdr>
          <w:top w:val="nil"/>
          <w:left w:val="nil"/>
          <w:bottom w:val="nil"/>
          <w:right w:val="nil"/>
          <w:between w:val="nil"/>
        </w:pBdr>
        <w:contextualSpacing/>
        <w:rPr>
          <w:b/>
        </w:rPr>
      </w:pPr>
      <w:r w:rsidRPr="0089641A">
        <w:rPr>
          <w:b/>
        </w:rPr>
        <w:t>OFICIO 200B10400-OIC-817-2022[2]3.pdf</w:t>
      </w:r>
      <w:r>
        <w:rPr>
          <w:b/>
        </w:rPr>
        <w:t xml:space="preserve">: </w:t>
      </w:r>
      <w:r>
        <w:t xml:space="preserve"> </w:t>
      </w:r>
      <w:r>
        <w:rPr>
          <w:rFonts w:eastAsia="Palatino Linotype" w:cs="Palatino Linotype"/>
          <w:bCs/>
          <w:color w:val="000000"/>
        </w:rPr>
        <w:t>Consta del oficio número 200B10400/OIC/817/2022, signado por la Titular del Órgano Interno de Control del Sistema Municipal para el Desarrollo Integral de la Familia de Toluca, mediante el cual refiere que en relación al oficio número 200B10400/OIC/817/2022, en el que se notificó el inicio de la “Autoría Administrativa al seguimiento y cumplimiento de las metas fijadas en el Programa Operativo Anual 2022 (POA) del período comprendido del 01 de enero al 31 de octubre de 2022”, al respecto. Adjunta el Informe de Auditoría para los fines administrativos que haya lugar, resultante del análisis a la documentación proporcionada y de conformidad a los procedimientos aplicados. Como bien fue mencionado, se adjunta el Informe de “Auditoría Administrativa al seguimiento y cumplimiento de las metas fijadas en el Programa Operativo Anual 2022 (POA), del periodo comprendido del 01 de enero al 31 de octubre del 2022”.</w:t>
      </w:r>
    </w:p>
    <w:p w14:paraId="03616C4F" w14:textId="215D867B" w:rsidR="0089641A" w:rsidRPr="00BD45D4" w:rsidRDefault="0089641A" w:rsidP="0089641A">
      <w:pPr>
        <w:pStyle w:val="Prrafodelista"/>
        <w:numPr>
          <w:ilvl w:val="0"/>
          <w:numId w:val="33"/>
        </w:numPr>
        <w:pBdr>
          <w:top w:val="nil"/>
          <w:left w:val="nil"/>
          <w:bottom w:val="nil"/>
          <w:right w:val="nil"/>
          <w:between w:val="nil"/>
        </w:pBdr>
        <w:contextualSpacing/>
        <w:rPr>
          <w:b/>
        </w:rPr>
      </w:pPr>
      <w:r w:rsidRPr="0089641A">
        <w:rPr>
          <w:b/>
        </w:rPr>
        <w:t>SS00098_2023.PDF</w:t>
      </w:r>
      <w:r>
        <w:rPr>
          <w:b/>
        </w:rPr>
        <w:t xml:space="preserve">: </w:t>
      </w:r>
      <w:r>
        <w:rPr>
          <w:rFonts w:eastAsia="Palatino Linotype" w:cs="Palatino Linotype"/>
          <w:bCs/>
          <w:color w:val="000000"/>
        </w:rPr>
        <w:t xml:space="preserve">Consta del oficio número 200B10200/299/2023, signado por la Titular </w:t>
      </w:r>
      <w:r w:rsidR="00D06273">
        <w:rPr>
          <w:rFonts w:eastAsia="Palatino Linotype" w:cs="Palatino Linotype"/>
          <w:bCs/>
          <w:color w:val="000000"/>
        </w:rPr>
        <w:t xml:space="preserve">de la Unidad de Información, Planeación, Programación y Evaluación </w:t>
      </w:r>
      <w:r w:rsidR="00BD45D4">
        <w:rPr>
          <w:rFonts w:eastAsia="Palatino Linotype" w:cs="Palatino Linotype"/>
          <w:bCs/>
          <w:color w:val="000000"/>
        </w:rPr>
        <w:t>y Presidenta</w:t>
      </w:r>
      <w:r>
        <w:rPr>
          <w:rFonts w:eastAsia="Palatino Linotype" w:cs="Palatino Linotype"/>
          <w:bCs/>
          <w:color w:val="000000"/>
        </w:rPr>
        <w:t xml:space="preserve"> del Sistema Municipal para el Desarrollo Integral de la Familia de Toluca, mediante el cual refiere que </w:t>
      </w:r>
      <w:r w:rsidR="00BD45D4">
        <w:rPr>
          <w:rFonts w:eastAsia="Palatino Linotype" w:cs="Palatino Linotype"/>
          <w:bCs/>
          <w:color w:val="000000"/>
        </w:rPr>
        <w:t>se hace del conocimiento del particular que dentro de los 15 días hábiles posteriores a la fecha de la notificación del oficio, podrá interpones Recurso de Revisión en contra del Sujeto Obligado</w:t>
      </w:r>
      <w:r>
        <w:rPr>
          <w:rFonts w:eastAsia="Palatino Linotype" w:cs="Palatino Linotype"/>
          <w:bCs/>
          <w:color w:val="000000"/>
        </w:rPr>
        <w:t>.</w:t>
      </w:r>
    </w:p>
    <w:p w14:paraId="5CD6EF5F" w14:textId="3E33C1E8" w:rsidR="00BD45D4" w:rsidRPr="00C86876" w:rsidRDefault="00BD45D4" w:rsidP="00BD45D4">
      <w:pPr>
        <w:pStyle w:val="Prrafodelista"/>
        <w:numPr>
          <w:ilvl w:val="0"/>
          <w:numId w:val="33"/>
        </w:numPr>
        <w:pBdr>
          <w:top w:val="nil"/>
          <w:left w:val="nil"/>
          <w:bottom w:val="nil"/>
          <w:right w:val="nil"/>
          <w:between w:val="nil"/>
        </w:pBdr>
        <w:contextualSpacing/>
        <w:rPr>
          <w:b/>
        </w:rPr>
      </w:pPr>
      <w:r w:rsidRPr="00BD45D4">
        <w:rPr>
          <w:b/>
        </w:rPr>
        <w:lastRenderedPageBreak/>
        <w:t>OF. RESULT[1]2.pdf</w:t>
      </w:r>
      <w:r>
        <w:rPr>
          <w:b/>
        </w:rPr>
        <w:t xml:space="preserve">: </w:t>
      </w:r>
      <w:r w:rsidRPr="00DF3234">
        <w:rPr>
          <w:rFonts w:eastAsia="Palatino Linotype" w:cs="Palatino Linotype"/>
          <w:bCs/>
          <w:color w:val="000000"/>
        </w:rPr>
        <w:t xml:space="preserve">Consta del oficio número </w:t>
      </w:r>
      <w:r w:rsidR="00DF3234">
        <w:rPr>
          <w:rFonts w:eastAsia="Palatino Linotype" w:cs="Palatino Linotype"/>
          <w:bCs/>
          <w:color w:val="000000"/>
        </w:rPr>
        <w:t xml:space="preserve">200B10400/OIC/815/2022, signado por la Titular del Órgano Interno de Control </w:t>
      </w:r>
      <w:r w:rsidRPr="00DF3234">
        <w:rPr>
          <w:rFonts w:eastAsia="Palatino Linotype" w:cs="Palatino Linotype"/>
          <w:bCs/>
          <w:color w:val="000000"/>
        </w:rPr>
        <w:t xml:space="preserve">del Sistema Municipal para el Desarrollo Integral de la Familia de Toluca, mediante el cual refiere que </w:t>
      </w:r>
      <w:r w:rsidR="00DF3234">
        <w:rPr>
          <w:rFonts w:eastAsia="Palatino Linotype" w:cs="Palatino Linotype"/>
          <w:bCs/>
          <w:color w:val="000000"/>
        </w:rPr>
        <w:t xml:space="preserve">en relación al oficio número 200B10400/OIC/739/2022, en el que se notificó el inicio de la Auditoría Administrativa al Cumplimiento de las Obligaciones de Transparencia en el Portal del Sistema </w:t>
      </w:r>
      <w:r w:rsidR="00C86876">
        <w:rPr>
          <w:rFonts w:eastAsia="Palatino Linotype" w:cs="Palatino Linotype"/>
          <w:bCs/>
          <w:color w:val="000000"/>
        </w:rPr>
        <w:t>de Información Pública de Oficio Mexiquense (IPOMEX), del periodo comprendido del 01 de enero al 31 de octubre de 2022, al respecto tiene a bien adjuntar el Informe de Auditoria para los fines administrativos que haya lugar, resultante del análisis a la documentación proporcionada y de conformidad a los procedimientos aplicados</w:t>
      </w:r>
      <w:r w:rsidRPr="00DF3234">
        <w:rPr>
          <w:rFonts w:eastAsia="Palatino Linotype" w:cs="Palatino Linotype"/>
          <w:bCs/>
          <w:color w:val="000000"/>
        </w:rPr>
        <w:t>.</w:t>
      </w:r>
    </w:p>
    <w:p w14:paraId="0D0A7B8F" w14:textId="7D3F30EF" w:rsidR="00C86876" w:rsidRPr="00872254" w:rsidRDefault="00C86876" w:rsidP="00872254">
      <w:pPr>
        <w:pStyle w:val="Prrafodelista"/>
        <w:numPr>
          <w:ilvl w:val="0"/>
          <w:numId w:val="33"/>
        </w:numPr>
        <w:pBdr>
          <w:top w:val="nil"/>
          <w:left w:val="nil"/>
          <w:bottom w:val="nil"/>
          <w:right w:val="nil"/>
          <w:between w:val="nil"/>
        </w:pBdr>
        <w:contextualSpacing/>
        <w:rPr>
          <w:b/>
        </w:rPr>
      </w:pPr>
      <w:r w:rsidRPr="00C86876">
        <w:rPr>
          <w:b/>
        </w:rPr>
        <w:t>RAR00098_2023.PDF</w:t>
      </w:r>
      <w:r>
        <w:rPr>
          <w:b/>
        </w:rPr>
        <w:t xml:space="preserve">: </w:t>
      </w:r>
      <w:r w:rsidR="00872254" w:rsidRPr="00872254">
        <w:rPr>
          <w:rFonts w:eastAsia="Palatino Linotype" w:cs="Palatino Linotype"/>
          <w:bCs/>
          <w:color w:val="000000"/>
        </w:rPr>
        <w:t>Consta del oficio número 200B10400/OIC/0261/2023, signado por la Titular del Órgano Interno de Control del Sistema Municipal para el Desarrollo Integral de la Familia de Toluca, mediante el cual refiere que en atención a la información peticionada por el particular, ésta se encuentra publicada en la página electrónica del portal de IPOMEX que corresponde al Organismo, asimismo, adjunta la liga de la plataforma para su consulta.</w:t>
      </w:r>
    </w:p>
    <w:p w14:paraId="2FFA7B4B" w14:textId="76433CEE" w:rsidR="00872254" w:rsidRDefault="00872254" w:rsidP="00872254">
      <w:pPr>
        <w:pStyle w:val="Prrafodelista"/>
        <w:numPr>
          <w:ilvl w:val="0"/>
          <w:numId w:val="33"/>
        </w:numPr>
        <w:pBdr>
          <w:top w:val="nil"/>
          <w:left w:val="nil"/>
          <w:bottom w:val="nil"/>
          <w:right w:val="nil"/>
          <w:between w:val="nil"/>
        </w:pBdr>
        <w:contextualSpacing/>
        <w:rPr>
          <w:b/>
        </w:rPr>
      </w:pPr>
      <w:r w:rsidRPr="00872254">
        <w:rPr>
          <w:b/>
        </w:rPr>
        <w:t>SS00098_2023.PDF</w:t>
      </w:r>
      <w:r>
        <w:rPr>
          <w:b/>
        </w:rPr>
        <w:t xml:space="preserve">: </w:t>
      </w:r>
      <w:r>
        <w:rPr>
          <w:rFonts w:eastAsia="Palatino Linotype" w:cs="Palatino Linotype"/>
          <w:bCs/>
          <w:color w:val="000000"/>
        </w:rPr>
        <w:t>Consta del oficio número 200B10200/299/2023, signado por la Titular de la Unidad de Información, Planeación, Programación y Evaluación y Presidenta del Sistema Municipal para el Desarrollo Integral de la Familia de Toluca, mediante el cual refiere que se hace del conocimiento del particular que dentro de los 15 días hábiles posteriores a la fecha de la notificación del oficio, podrá interpones Recurso de Revisión en contra del Sujeto Obligado.</w:t>
      </w:r>
      <w:r w:rsidRPr="00872254">
        <w:rPr>
          <w:b/>
        </w:rPr>
        <w:t xml:space="preserve"> </w:t>
      </w:r>
    </w:p>
    <w:p w14:paraId="61B7428E" w14:textId="1A1639C4" w:rsidR="00872254" w:rsidRDefault="00872254" w:rsidP="00872254">
      <w:pPr>
        <w:pStyle w:val="Prrafodelista"/>
        <w:numPr>
          <w:ilvl w:val="0"/>
          <w:numId w:val="33"/>
        </w:numPr>
        <w:pBdr>
          <w:top w:val="nil"/>
          <w:left w:val="nil"/>
          <w:bottom w:val="nil"/>
          <w:right w:val="nil"/>
          <w:between w:val="nil"/>
        </w:pBdr>
        <w:contextualSpacing/>
        <w:rPr>
          <w:b/>
        </w:rPr>
      </w:pPr>
      <w:r w:rsidRPr="00872254">
        <w:rPr>
          <w:b/>
        </w:rPr>
        <w:t xml:space="preserve">informe de </w:t>
      </w:r>
      <w:proofErr w:type="spellStart"/>
      <w:proofErr w:type="gramStart"/>
      <w:r w:rsidRPr="00872254">
        <w:rPr>
          <w:b/>
        </w:rPr>
        <w:t>auditoria</w:t>
      </w:r>
      <w:proofErr w:type="spellEnd"/>
      <w:r w:rsidRPr="00872254">
        <w:rPr>
          <w:b/>
        </w:rPr>
        <w:t>[</w:t>
      </w:r>
      <w:proofErr w:type="gramEnd"/>
      <w:r w:rsidRPr="00872254">
        <w:rPr>
          <w:b/>
        </w:rPr>
        <w:t>1]1.pdf</w:t>
      </w:r>
      <w:r>
        <w:rPr>
          <w:b/>
        </w:rPr>
        <w:t xml:space="preserve">: </w:t>
      </w:r>
      <w:r w:rsidRPr="00872254">
        <w:rPr>
          <w:rFonts w:eastAsia="Palatino Linotype" w:cs="Palatino Linotype"/>
          <w:bCs/>
          <w:color w:val="000000"/>
        </w:rPr>
        <w:t xml:space="preserve">Consta del </w:t>
      </w:r>
      <w:r>
        <w:rPr>
          <w:rFonts w:eastAsia="Palatino Linotype" w:cs="Palatino Linotype"/>
          <w:bCs/>
          <w:color w:val="000000"/>
        </w:rPr>
        <w:t xml:space="preserve">Informe de “Auditoría Administrativa y Financiera a la Dirección de </w:t>
      </w:r>
      <w:r w:rsidR="00CA61B9">
        <w:rPr>
          <w:rFonts w:eastAsia="Palatino Linotype" w:cs="Palatino Linotype"/>
          <w:bCs/>
          <w:color w:val="000000"/>
        </w:rPr>
        <w:t>Administración</w:t>
      </w:r>
      <w:r>
        <w:rPr>
          <w:rFonts w:eastAsia="Palatino Linotype" w:cs="Palatino Linotype"/>
          <w:bCs/>
          <w:color w:val="000000"/>
        </w:rPr>
        <w:t xml:space="preserve"> y Tesorería de los Ingresos captados por los Centros de Salud y Asistencia Social, adscritos al Sistema Municipal para </w:t>
      </w:r>
      <w:r>
        <w:rPr>
          <w:rFonts w:eastAsia="Palatino Linotype" w:cs="Palatino Linotype"/>
          <w:bCs/>
          <w:color w:val="000000"/>
        </w:rPr>
        <w:lastRenderedPageBreak/>
        <w:t>el Desarrollo Integral de la Familia de Toluca, del periodo comprendido del 01 de enero al 30 de abril de 2022” por el Órgano Interno de Control del Sistema Municipal para el Desarrollo Integral de la Familia de Toluca</w:t>
      </w:r>
      <w:r w:rsidRPr="00872254">
        <w:rPr>
          <w:rFonts w:eastAsia="Palatino Linotype" w:cs="Palatino Linotype"/>
          <w:bCs/>
          <w:color w:val="000000"/>
        </w:rPr>
        <w:t>.</w:t>
      </w:r>
      <w:r w:rsidRPr="00872254">
        <w:rPr>
          <w:b/>
        </w:rPr>
        <w:t xml:space="preserve"> </w:t>
      </w:r>
    </w:p>
    <w:p w14:paraId="02C45EA1" w14:textId="5CD2790C" w:rsidR="00872254" w:rsidRPr="0089641A" w:rsidRDefault="000855D9" w:rsidP="000855D9">
      <w:pPr>
        <w:pStyle w:val="Prrafodelista"/>
        <w:numPr>
          <w:ilvl w:val="0"/>
          <w:numId w:val="33"/>
        </w:numPr>
        <w:pBdr>
          <w:top w:val="nil"/>
          <w:left w:val="nil"/>
          <w:bottom w:val="nil"/>
          <w:right w:val="nil"/>
          <w:between w:val="nil"/>
        </w:pBdr>
        <w:contextualSpacing/>
        <w:rPr>
          <w:b/>
        </w:rPr>
      </w:pPr>
      <w:r w:rsidRPr="000855D9">
        <w:rPr>
          <w:b/>
        </w:rPr>
        <w:t>RESP. AUD 1[1].</w:t>
      </w:r>
      <w:proofErr w:type="spellStart"/>
      <w:r w:rsidRPr="000855D9">
        <w:rPr>
          <w:b/>
        </w:rPr>
        <w:t>pdf</w:t>
      </w:r>
      <w:proofErr w:type="spellEnd"/>
      <w:r w:rsidR="00872254">
        <w:rPr>
          <w:b/>
        </w:rPr>
        <w:t xml:space="preserve">: </w:t>
      </w:r>
      <w:r w:rsidR="00872254" w:rsidRPr="00872254">
        <w:rPr>
          <w:rFonts w:eastAsia="Palatino Linotype" w:cs="Palatino Linotype"/>
          <w:bCs/>
          <w:color w:val="000000"/>
        </w:rPr>
        <w:t xml:space="preserve">Consta del oficio número </w:t>
      </w:r>
      <w:r>
        <w:rPr>
          <w:rFonts w:eastAsia="Palatino Linotype" w:cs="Palatino Linotype"/>
          <w:bCs/>
          <w:color w:val="000000"/>
        </w:rPr>
        <w:t>200B10500/815/2022</w:t>
      </w:r>
      <w:r w:rsidR="00872254" w:rsidRPr="00872254">
        <w:rPr>
          <w:rFonts w:eastAsia="Palatino Linotype" w:cs="Palatino Linotype"/>
          <w:bCs/>
          <w:color w:val="000000"/>
        </w:rPr>
        <w:t xml:space="preserve">, signado por </w:t>
      </w:r>
      <w:r>
        <w:rPr>
          <w:rFonts w:eastAsia="Palatino Linotype" w:cs="Palatino Linotype"/>
          <w:bCs/>
          <w:color w:val="000000"/>
        </w:rPr>
        <w:t>la Directora de Administración y Tesorería</w:t>
      </w:r>
      <w:r w:rsidR="00872254" w:rsidRPr="00872254">
        <w:rPr>
          <w:rFonts w:eastAsia="Palatino Linotype" w:cs="Palatino Linotype"/>
          <w:bCs/>
          <w:color w:val="000000"/>
        </w:rPr>
        <w:t xml:space="preserve">, mediante el cual refiere que </w:t>
      </w:r>
      <w:r>
        <w:rPr>
          <w:rFonts w:eastAsia="Palatino Linotype" w:cs="Palatino Linotype"/>
          <w:bCs/>
          <w:color w:val="000000"/>
        </w:rPr>
        <w:t>envía documentales derivados de los hallazgos de la “Auditoría Administrativa y Financiera a la Dirección de Administración y Tesorería de los Ingresos captados por los Centros de Salud y Asistencia Social”, adscritos al Sistema Municipal para el Desarrollo Integral de la Familia de Toluca, del período comprendido del 01 de enero al 30</w:t>
      </w:r>
      <w:r w:rsidR="00FC3177">
        <w:rPr>
          <w:rFonts w:eastAsia="Palatino Linotype" w:cs="Palatino Linotype"/>
          <w:bCs/>
          <w:color w:val="000000"/>
        </w:rPr>
        <w:t xml:space="preserve"> de abril de 2022</w:t>
      </w:r>
      <w:r w:rsidR="00872254" w:rsidRPr="00872254">
        <w:rPr>
          <w:rFonts w:eastAsia="Palatino Linotype" w:cs="Palatino Linotype"/>
          <w:bCs/>
          <w:color w:val="000000"/>
        </w:rPr>
        <w:t>.</w:t>
      </w:r>
    </w:p>
    <w:p w14:paraId="4910361B" w14:textId="77777777" w:rsidR="00897CF4" w:rsidRPr="00897CF4" w:rsidRDefault="00897CF4" w:rsidP="00897CF4">
      <w:pPr>
        <w:pBdr>
          <w:top w:val="nil"/>
          <w:left w:val="nil"/>
          <w:bottom w:val="nil"/>
          <w:right w:val="nil"/>
          <w:between w:val="nil"/>
        </w:pBdr>
        <w:contextualSpacing/>
        <w:rPr>
          <w:rFonts w:eastAsia="Palatino Linotype" w:cs="Palatino Linotype"/>
          <w:color w:val="000000"/>
          <w:szCs w:val="24"/>
        </w:rPr>
      </w:pPr>
    </w:p>
    <w:p w14:paraId="6128DFF4" w14:textId="7753CEA2" w:rsidR="00A970D5"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A42FC0">
        <w:rPr>
          <w:rFonts w:eastAsia="Palatino Linotype" w:cs="Palatino Linotype"/>
          <w:color w:val="000000"/>
          <w:szCs w:val="24"/>
        </w:rPr>
        <w:t xml:space="preserve"> la respuesta</w:t>
      </w:r>
      <w:r w:rsidR="003A4262">
        <w:rPr>
          <w:rFonts w:eastAsia="Palatino Linotype" w:cs="Palatino Linotype"/>
          <w:color w:val="000000"/>
          <w:szCs w:val="24"/>
        </w:rPr>
        <w:t xml:space="preserve">; dando como razones o motivos de inconformidad </w:t>
      </w:r>
      <w:r w:rsidR="0048529A">
        <w:rPr>
          <w:rFonts w:eastAsia="Palatino Linotype" w:cs="Palatino Linotype"/>
          <w:color w:val="000000"/>
          <w:szCs w:val="24"/>
        </w:rPr>
        <w:t xml:space="preserve">la </w:t>
      </w:r>
      <w:r w:rsidR="00FC3177">
        <w:rPr>
          <w:rFonts w:eastAsia="Palatino Linotype" w:cs="Palatino Linotype"/>
          <w:color w:val="000000"/>
          <w:szCs w:val="24"/>
        </w:rPr>
        <w:t>entrega de la información incompleta</w:t>
      </w:r>
      <w:r w:rsidR="0048529A">
        <w:rPr>
          <w:rFonts w:eastAsia="Palatino Linotype" w:cs="Palatino Linotype"/>
          <w:color w:val="000000"/>
          <w:szCs w:val="24"/>
        </w:rPr>
        <w:t>.</w:t>
      </w:r>
    </w:p>
    <w:p w14:paraId="3AC05501" w14:textId="77777777" w:rsidR="003D372B" w:rsidRPr="006922F5" w:rsidRDefault="003D372B" w:rsidP="006922F5">
      <w:pPr>
        <w:pBdr>
          <w:top w:val="nil"/>
          <w:left w:val="nil"/>
          <w:bottom w:val="nil"/>
          <w:right w:val="nil"/>
          <w:between w:val="nil"/>
        </w:pBdr>
        <w:contextualSpacing/>
        <w:rPr>
          <w:rFonts w:eastAsia="Palatino Linotype" w:cs="Palatino Linotype"/>
          <w:color w:val="000000"/>
          <w:szCs w:val="24"/>
        </w:rPr>
      </w:pPr>
    </w:p>
    <w:p w14:paraId="564987EB" w14:textId="437F02F7" w:rsidR="00EF5FF8" w:rsidRDefault="00216F33" w:rsidP="006922F5">
      <w:pPr>
        <w:pBdr>
          <w:top w:val="nil"/>
          <w:left w:val="nil"/>
          <w:bottom w:val="nil"/>
          <w:right w:val="nil"/>
          <w:between w:val="nil"/>
        </w:pBdr>
        <w:contextualSpacing/>
        <w:rPr>
          <w:rFonts w:eastAsia="Palatino Linotype" w:cs="Palatino Linotype"/>
          <w:szCs w:val="24"/>
        </w:rPr>
      </w:pPr>
      <w:r>
        <w:rPr>
          <w:rFonts w:eastAsia="Palatino Linotype" w:cs="Palatino Linotype"/>
          <w:szCs w:val="24"/>
        </w:rPr>
        <w:t xml:space="preserve">Así, en la etapa de instrucción, el Sujeto Obligado </w:t>
      </w:r>
      <w:r w:rsidR="00490C99">
        <w:rPr>
          <w:rFonts w:eastAsia="Palatino Linotype" w:cs="Palatino Linotype"/>
          <w:szCs w:val="24"/>
        </w:rPr>
        <w:t>rindió su Informe Justificado mediante la presentación</w:t>
      </w:r>
      <w:r w:rsidR="00C10601">
        <w:rPr>
          <w:rFonts w:eastAsia="Palatino Linotype" w:cs="Palatino Linotype"/>
          <w:szCs w:val="24"/>
        </w:rPr>
        <w:t xml:space="preserve"> </w:t>
      </w:r>
      <w:r w:rsidR="00FC3177">
        <w:rPr>
          <w:rFonts w:eastAsia="Palatino Linotype" w:cs="Palatino Linotype"/>
          <w:szCs w:val="24"/>
        </w:rPr>
        <w:t>del siguiente documento</w:t>
      </w:r>
      <w:r w:rsidR="00AD7FA9">
        <w:rPr>
          <w:rFonts w:eastAsia="Palatino Linotype" w:cs="Palatino Linotype"/>
          <w:szCs w:val="24"/>
        </w:rPr>
        <w:t xml:space="preserve">: </w:t>
      </w:r>
    </w:p>
    <w:p w14:paraId="6D89F40E" w14:textId="77777777" w:rsidR="00AD7FA9" w:rsidRDefault="00AD7FA9" w:rsidP="006922F5">
      <w:pPr>
        <w:pBdr>
          <w:top w:val="nil"/>
          <w:left w:val="nil"/>
          <w:bottom w:val="nil"/>
          <w:right w:val="nil"/>
          <w:between w:val="nil"/>
        </w:pBdr>
        <w:contextualSpacing/>
        <w:rPr>
          <w:rFonts w:eastAsia="Palatino Linotype" w:cs="Palatino Linotype"/>
          <w:szCs w:val="24"/>
        </w:rPr>
      </w:pPr>
    </w:p>
    <w:p w14:paraId="19BF9886" w14:textId="1D3820D0" w:rsidR="0048529A" w:rsidRPr="008240F4" w:rsidRDefault="00FC3177" w:rsidP="00FC3177">
      <w:pPr>
        <w:pStyle w:val="Prrafodelista"/>
        <w:numPr>
          <w:ilvl w:val="0"/>
          <w:numId w:val="34"/>
        </w:numPr>
        <w:pBdr>
          <w:top w:val="nil"/>
          <w:left w:val="nil"/>
          <w:bottom w:val="nil"/>
          <w:right w:val="nil"/>
          <w:between w:val="nil"/>
        </w:pBdr>
        <w:contextualSpacing/>
        <w:rPr>
          <w:rFonts w:eastAsia="Palatino Linotype" w:cs="Palatino Linotype"/>
        </w:rPr>
      </w:pPr>
      <w:r w:rsidRPr="00FC3177">
        <w:rPr>
          <w:rFonts w:eastAsia="Palatino Linotype" w:cs="Palatino Linotype"/>
          <w:b/>
          <w:bCs/>
          <w:color w:val="000000"/>
        </w:rPr>
        <w:t>IJRR_02985_2023_0001.pdf</w:t>
      </w:r>
      <w:r w:rsidR="0048529A" w:rsidRPr="008240F4">
        <w:rPr>
          <w:rFonts w:eastAsia="Palatino Linotype" w:cs="Palatino Linotype"/>
          <w:bCs/>
          <w:color w:val="000000"/>
        </w:rPr>
        <w:t xml:space="preserve">. </w:t>
      </w:r>
      <w:r>
        <w:rPr>
          <w:rFonts w:eastAsia="Palatino Linotype" w:cs="Palatino Linotype"/>
          <w:bCs/>
          <w:color w:val="000000"/>
        </w:rPr>
        <w:t>Oficio número 200B10200/453/2023, el cual consta de</w:t>
      </w:r>
      <w:r w:rsidR="00613F71">
        <w:rPr>
          <w:rFonts w:eastAsia="Palatino Linotype" w:cs="Palatino Linotype"/>
          <w:bCs/>
          <w:color w:val="000000"/>
        </w:rPr>
        <w:t xml:space="preserve"> </w:t>
      </w:r>
      <w:r w:rsidR="00172C67">
        <w:rPr>
          <w:rFonts w:eastAsia="Palatino Linotype" w:cs="Palatino Linotype"/>
          <w:bCs/>
          <w:color w:val="000000"/>
        </w:rPr>
        <w:t>los oficios remitidos en respuesta</w:t>
      </w:r>
      <w:r w:rsidR="00613F71">
        <w:rPr>
          <w:rFonts w:eastAsia="Palatino Linotype" w:cs="Palatino Linotype"/>
          <w:bCs/>
          <w:color w:val="000000"/>
        </w:rPr>
        <w:t>, por lo que refiere que la solicitud de acceso a la información fue atendida en tiempo y forma, por lo que solicita se confirme la respuesta</w:t>
      </w:r>
      <w:r w:rsidR="0048529A" w:rsidRPr="008240F4">
        <w:rPr>
          <w:rFonts w:eastAsia="Palatino Linotype" w:cs="Palatino Linotype"/>
          <w:bCs/>
          <w:color w:val="000000"/>
        </w:rPr>
        <w:t>.</w:t>
      </w:r>
    </w:p>
    <w:p w14:paraId="0F606404" w14:textId="77777777" w:rsidR="00AD7FA9" w:rsidRDefault="00AD7FA9" w:rsidP="006922F5">
      <w:pPr>
        <w:pBdr>
          <w:top w:val="nil"/>
          <w:left w:val="nil"/>
          <w:bottom w:val="nil"/>
          <w:right w:val="nil"/>
          <w:between w:val="nil"/>
        </w:pBdr>
        <w:contextualSpacing/>
        <w:rPr>
          <w:rFonts w:eastAsia="Palatino Linotype" w:cs="Palatino Linotype"/>
          <w:szCs w:val="24"/>
        </w:rPr>
      </w:pPr>
    </w:p>
    <w:p w14:paraId="7FE9A63F" w14:textId="58D83016" w:rsidR="00AD7FA9" w:rsidRDefault="00F82913"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Por su parte, el Recurrente no emitió manifestaciones, vertió alegatos ni presentó pruebas que a su derecho convinieran; asimismo, tampoco realizó pronunciamiento alguno respecto del Informe Justificado rendido por el Sujeto Obligado.</w:t>
      </w:r>
    </w:p>
    <w:p w14:paraId="198E1D48" w14:textId="77777777" w:rsidR="001602ED" w:rsidRDefault="001602ED" w:rsidP="006922F5">
      <w:pPr>
        <w:pBdr>
          <w:top w:val="nil"/>
          <w:left w:val="nil"/>
          <w:bottom w:val="nil"/>
          <w:right w:val="nil"/>
          <w:between w:val="nil"/>
        </w:pBdr>
        <w:contextualSpacing/>
        <w:rPr>
          <w:rFonts w:eastAsia="Palatino Linotype" w:cs="Palatino Linotype"/>
          <w:color w:val="000000"/>
          <w:szCs w:val="24"/>
        </w:rPr>
      </w:pPr>
    </w:p>
    <w:p w14:paraId="613F5623" w14:textId="58D14845" w:rsidR="00653DD2" w:rsidRDefault="0048788A"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Ahora bien, en relación a la aclaración solicitada por el Sujeto Obligado, en la cual el Recurrente establece que </w:t>
      </w:r>
      <w:r w:rsidRPr="0048788A">
        <w:rPr>
          <w:rFonts w:eastAsia="Palatino Linotype" w:cs="Palatino Linotype"/>
          <w:i/>
          <w:color w:val="000000"/>
          <w:szCs w:val="24"/>
        </w:rPr>
        <w:t>“Es muy claro no traten de evadir es todas las auditorias sin importar quien las realiza”</w:t>
      </w:r>
      <w:r>
        <w:rPr>
          <w:rFonts w:eastAsia="Palatino Linotype" w:cs="Palatino Linotype"/>
          <w:i/>
          <w:color w:val="000000"/>
          <w:szCs w:val="24"/>
        </w:rPr>
        <w:t xml:space="preserve">, </w:t>
      </w:r>
      <w:r>
        <w:rPr>
          <w:rFonts w:eastAsia="Palatino Linotype" w:cs="Palatino Linotype"/>
          <w:color w:val="000000"/>
          <w:szCs w:val="24"/>
        </w:rPr>
        <w:t xml:space="preserve"> respecto a la temporalidad advertimos que se refiere a la actual administración, la cual e</w:t>
      </w:r>
      <w:r w:rsidR="00975152">
        <w:rPr>
          <w:rFonts w:eastAsia="Palatino Linotype" w:cs="Palatino Linotype"/>
          <w:color w:val="000000"/>
          <w:szCs w:val="24"/>
        </w:rPr>
        <w:t>n resumen se trata de 2022-2024.</w:t>
      </w:r>
    </w:p>
    <w:p w14:paraId="69BAFBC6" w14:textId="77777777" w:rsidR="0048788A" w:rsidRDefault="0048788A" w:rsidP="006922F5">
      <w:pPr>
        <w:pBdr>
          <w:top w:val="nil"/>
          <w:left w:val="nil"/>
          <w:bottom w:val="nil"/>
          <w:right w:val="nil"/>
          <w:between w:val="nil"/>
        </w:pBdr>
        <w:contextualSpacing/>
        <w:rPr>
          <w:rFonts w:eastAsia="Palatino Linotype" w:cs="Palatino Linotype"/>
          <w:color w:val="000000"/>
          <w:szCs w:val="24"/>
        </w:rPr>
      </w:pPr>
    </w:p>
    <w:p w14:paraId="36FFF7A6" w14:textId="2BB7963F" w:rsidR="0048788A" w:rsidRDefault="0048788A" w:rsidP="0048788A">
      <w:pPr>
        <w:tabs>
          <w:tab w:val="left" w:pos="7938"/>
        </w:tabs>
        <w:rPr>
          <w:rFonts w:cs="Arial"/>
          <w:lang w:val="es-419"/>
        </w:rPr>
      </w:pPr>
      <w:r>
        <w:rPr>
          <w:rFonts w:cs="Arial"/>
          <w:lang w:val="es-419"/>
        </w:rPr>
        <w:t xml:space="preserve">Bajo ese contexto esté Órgano Garante procedió a analizar dentro de la Portal de Información Pública de Oficio (IPOMEX), del Sujeto Obligado, la cual puede ser consultada en la página electrónica </w:t>
      </w:r>
      <w:hyperlink r:id="rId10" w:history="1">
        <w:r w:rsidRPr="00092838">
          <w:rPr>
            <w:rStyle w:val="Hipervnculo"/>
          </w:rPr>
          <w:t>https://www.ipomex.org.mx/ipo3/lgt/indice/DIFTOLUCA/art_92_xxviii.web</w:t>
        </w:r>
      </w:hyperlink>
      <w:r>
        <w:rPr>
          <w:rFonts w:cs="Arial"/>
          <w:lang w:val="es-419"/>
        </w:rPr>
        <w:t>, obteniendo la siguiente información:</w:t>
      </w:r>
    </w:p>
    <w:p w14:paraId="22DC7D2A" w14:textId="017F27FF" w:rsidR="0048788A" w:rsidRDefault="007D36A0" w:rsidP="007D36A0">
      <w:pPr>
        <w:pBdr>
          <w:top w:val="nil"/>
          <w:left w:val="nil"/>
          <w:bottom w:val="nil"/>
          <w:right w:val="nil"/>
          <w:between w:val="nil"/>
        </w:pBdr>
        <w:contextualSpacing/>
        <w:jc w:val="center"/>
        <w:rPr>
          <w:rFonts w:eastAsia="Palatino Linotype" w:cs="Palatino Linotype"/>
          <w:color w:val="000000"/>
          <w:szCs w:val="24"/>
        </w:rPr>
      </w:pPr>
      <w:r>
        <w:rPr>
          <w:rFonts w:eastAsia="Palatino Linotype" w:cs="Palatino Linotype"/>
          <w:noProof/>
          <w:color w:val="000000"/>
          <w:szCs w:val="24"/>
          <w:lang w:val="es-MX"/>
        </w:rPr>
        <w:drawing>
          <wp:inline distT="0" distB="0" distL="0" distR="0" wp14:anchorId="37816B64" wp14:editId="06123131">
            <wp:extent cx="3961130" cy="1552575"/>
            <wp:effectExtent l="190500" t="190500" r="19177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5796" cy="1566162"/>
                    </a:xfrm>
                    <a:prstGeom prst="rect">
                      <a:avLst/>
                    </a:prstGeom>
                    <a:ln>
                      <a:noFill/>
                    </a:ln>
                    <a:effectLst>
                      <a:outerShdw blurRad="190500" algn="tl" rotWithShape="0">
                        <a:srgbClr val="000000">
                          <a:alpha val="70000"/>
                        </a:srgbClr>
                      </a:outerShdw>
                    </a:effectLst>
                  </pic:spPr>
                </pic:pic>
              </a:graphicData>
            </a:graphic>
          </wp:inline>
        </w:drawing>
      </w:r>
    </w:p>
    <w:p w14:paraId="7DDEF1FB" w14:textId="23FEB77C" w:rsidR="007D36A0" w:rsidRDefault="007D36A0" w:rsidP="007D36A0">
      <w:pPr>
        <w:pBdr>
          <w:top w:val="nil"/>
          <w:left w:val="nil"/>
          <w:bottom w:val="nil"/>
          <w:right w:val="nil"/>
          <w:between w:val="nil"/>
        </w:pBdr>
        <w:contextualSpacing/>
        <w:jc w:val="center"/>
        <w:rPr>
          <w:rFonts w:eastAsia="Palatino Linotype" w:cs="Palatino Linotype"/>
          <w:color w:val="000000"/>
          <w:szCs w:val="24"/>
        </w:rPr>
      </w:pPr>
    </w:p>
    <w:p w14:paraId="13F5678A" w14:textId="1BBD133C" w:rsidR="007D36A0" w:rsidRDefault="00975152" w:rsidP="007D36A0">
      <w:pPr>
        <w:pBdr>
          <w:top w:val="nil"/>
          <w:left w:val="nil"/>
          <w:bottom w:val="nil"/>
          <w:right w:val="nil"/>
          <w:between w:val="nil"/>
        </w:pBdr>
        <w:contextualSpacing/>
        <w:jc w:val="center"/>
        <w:rPr>
          <w:rFonts w:eastAsia="Palatino Linotype" w:cs="Palatino Linotype"/>
          <w:color w:val="000000"/>
          <w:szCs w:val="24"/>
        </w:rPr>
      </w:pPr>
      <w:r>
        <w:rPr>
          <w:rFonts w:eastAsia="Palatino Linotype" w:cs="Palatino Linotype"/>
          <w:noProof/>
          <w:color w:val="000000"/>
          <w:szCs w:val="24"/>
          <w:lang w:val="es-MX"/>
        </w:rPr>
        <w:lastRenderedPageBreak/>
        <w:drawing>
          <wp:inline distT="0" distB="0" distL="0" distR="0" wp14:anchorId="0B02D9CA" wp14:editId="6F0F7F9D">
            <wp:extent cx="4152900" cy="6419850"/>
            <wp:effectExtent l="190500" t="190500" r="190500" b="1905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6419850"/>
                    </a:xfrm>
                    <a:prstGeom prst="rect">
                      <a:avLst/>
                    </a:prstGeom>
                    <a:ln>
                      <a:noFill/>
                    </a:ln>
                    <a:effectLst>
                      <a:outerShdw blurRad="190500" algn="tl" rotWithShape="0">
                        <a:srgbClr val="000000">
                          <a:alpha val="70000"/>
                        </a:srgbClr>
                      </a:outerShdw>
                    </a:effectLst>
                  </pic:spPr>
                </pic:pic>
              </a:graphicData>
            </a:graphic>
          </wp:inline>
        </w:drawing>
      </w:r>
    </w:p>
    <w:p w14:paraId="02F5D43C" w14:textId="19853125" w:rsidR="00975152" w:rsidRDefault="004C406E" w:rsidP="007D36A0">
      <w:pPr>
        <w:pBdr>
          <w:top w:val="nil"/>
          <w:left w:val="nil"/>
          <w:bottom w:val="nil"/>
          <w:right w:val="nil"/>
          <w:between w:val="nil"/>
        </w:pBdr>
        <w:contextualSpacing/>
        <w:jc w:val="center"/>
        <w:rPr>
          <w:rFonts w:eastAsia="Palatino Linotype" w:cs="Palatino Linotype"/>
          <w:color w:val="000000"/>
          <w:szCs w:val="24"/>
        </w:rPr>
      </w:pPr>
      <w:r>
        <w:rPr>
          <w:rFonts w:eastAsia="Palatino Linotype" w:cs="Palatino Linotype"/>
          <w:noProof/>
          <w:color w:val="000000"/>
          <w:szCs w:val="24"/>
          <w:lang w:val="es-MX"/>
        </w:rPr>
        <w:lastRenderedPageBreak/>
        <w:drawing>
          <wp:inline distT="0" distB="0" distL="0" distR="0" wp14:anchorId="50A56E26" wp14:editId="4C82635C">
            <wp:extent cx="3990975" cy="7505700"/>
            <wp:effectExtent l="190500" t="190500" r="200025" b="1905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7505700"/>
                    </a:xfrm>
                    <a:prstGeom prst="rect">
                      <a:avLst/>
                    </a:prstGeom>
                    <a:ln>
                      <a:noFill/>
                    </a:ln>
                    <a:effectLst>
                      <a:outerShdw blurRad="190500" algn="tl" rotWithShape="0">
                        <a:srgbClr val="000000">
                          <a:alpha val="70000"/>
                        </a:srgbClr>
                      </a:outerShdw>
                    </a:effectLst>
                  </pic:spPr>
                </pic:pic>
              </a:graphicData>
            </a:graphic>
          </wp:inline>
        </w:drawing>
      </w:r>
    </w:p>
    <w:p w14:paraId="7325DA8C" w14:textId="77777777" w:rsidR="004C406E" w:rsidRPr="0048788A" w:rsidRDefault="004C406E" w:rsidP="007D36A0">
      <w:pPr>
        <w:pBdr>
          <w:top w:val="nil"/>
          <w:left w:val="nil"/>
          <w:bottom w:val="nil"/>
          <w:right w:val="nil"/>
          <w:between w:val="nil"/>
        </w:pBdr>
        <w:contextualSpacing/>
        <w:jc w:val="center"/>
        <w:rPr>
          <w:rFonts w:eastAsia="Palatino Linotype" w:cs="Palatino Linotype"/>
          <w:color w:val="000000"/>
          <w:szCs w:val="24"/>
        </w:rPr>
      </w:pPr>
    </w:p>
    <w:p w14:paraId="288141E9" w14:textId="153EBF52" w:rsidR="007D36A0" w:rsidRDefault="007D36A0" w:rsidP="00286AA3">
      <w:pPr>
        <w:pBdr>
          <w:top w:val="nil"/>
          <w:left w:val="nil"/>
          <w:bottom w:val="nil"/>
          <w:right w:val="nil"/>
          <w:between w:val="nil"/>
        </w:pBdr>
        <w:contextualSpacing/>
        <w:rPr>
          <w:rFonts w:cs="Arial"/>
          <w:lang w:val="es-419"/>
        </w:rPr>
      </w:pPr>
      <w:r>
        <w:rPr>
          <w:rFonts w:cs="Arial"/>
          <w:lang w:val="es-419"/>
        </w:rPr>
        <w:t xml:space="preserve">De las imágenes previamente plasmadas, se advierte </w:t>
      </w:r>
      <w:r w:rsidR="004C406E">
        <w:rPr>
          <w:rFonts w:cs="Arial"/>
          <w:lang w:val="es-419"/>
        </w:rPr>
        <w:t>efectivamente que la información entregada en respuesta, es con la que contaba el Sujeto Obligado a la fecha de la solicitud de información la cual se trata del día veintiuno de abril de dos mil veintitrés</w:t>
      </w:r>
      <w:r>
        <w:rPr>
          <w:rFonts w:cs="Arial"/>
          <w:lang w:val="es-419"/>
        </w:rPr>
        <w:t>, por tanto el Sujeto Obligado colmo la pretensión del particular</w:t>
      </w:r>
      <w:r w:rsidR="004C406E">
        <w:rPr>
          <w:rFonts w:cs="Arial"/>
          <w:lang w:val="es-419"/>
        </w:rPr>
        <w:t>.</w:t>
      </w:r>
    </w:p>
    <w:p w14:paraId="472B1BD9" w14:textId="77777777" w:rsidR="007D36A0" w:rsidRDefault="007D36A0" w:rsidP="00286AA3">
      <w:pPr>
        <w:pBdr>
          <w:top w:val="nil"/>
          <w:left w:val="nil"/>
          <w:bottom w:val="nil"/>
          <w:right w:val="nil"/>
          <w:between w:val="nil"/>
        </w:pBdr>
        <w:contextualSpacing/>
        <w:rPr>
          <w:rFonts w:eastAsia="Palatino Linotype" w:cs="Palatino Linotype"/>
          <w:color w:val="000000"/>
          <w:szCs w:val="24"/>
        </w:rPr>
      </w:pPr>
    </w:p>
    <w:p w14:paraId="2195829A"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7FC0079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04EF134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6o.</w:t>
      </w:r>
      <w:r w:rsidRPr="00286AA3">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86AA3">
        <w:rPr>
          <w:rFonts w:eastAsia="Palatino Linotype" w:cs="Palatino Linotype"/>
          <w:b/>
          <w:bCs/>
          <w:i/>
          <w:iCs/>
          <w:color w:val="000000" w:themeColor="text1"/>
          <w:sz w:val="22"/>
          <w:lang w:val="es-ES"/>
        </w:rPr>
        <w:t>El derecho a la información será garantizado por el Estado.</w:t>
      </w:r>
      <w:r w:rsidRPr="00286AA3">
        <w:rPr>
          <w:rFonts w:eastAsia="Palatino Linotype" w:cs="Palatino Linotype"/>
          <w:i/>
          <w:iCs/>
          <w:color w:val="000000" w:themeColor="text1"/>
          <w:sz w:val="22"/>
          <w:lang w:val="es-ES"/>
        </w:rPr>
        <w:t xml:space="preserve"> </w:t>
      </w:r>
    </w:p>
    <w:p w14:paraId="62C451B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7F535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Toda persona tiene derecho al libre acceso a información plural y oportuna, así como a buscar, recibir y difundir información e ideas de toda índole por cualquier medio de expresión.</w:t>
      </w:r>
    </w:p>
    <w:p w14:paraId="4FACE820"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752045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Para efectos de lo dispuesto en el presente artículo se observará lo siguiente:</w:t>
      </w:r>
    </w:p>
    <w:p w14:paraId="607C787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22602F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A. Para el ejercicio del derecho de acceso a la información, la Federación, los Estados y el Distrito Federal, en el ámbito de sus respectivas competencias, se regirán por los siguientes principios y bases:</w:t>
      </w:r>
    </w:p>
    <w:p w14:paraId="274C64C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8C2A56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I. Toda la información en posesión de</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cualquier autoridad</w:t>
      </w:r>
      <w:r w:rsidRPr="00286AA3">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86AA3">
        <w:rPr>
          <w:rFonts w:eastAsia="Palatino Linotype" w:cs="Palatino Linotype"/>
          <w:b/>
          <w:bCs/>
          <w:i/>
          <w:iCs/>
          <w:color w:val="000000" w:themeColor="text1"/>
          <w:sz w:val="22"/>
          <w:lang w:val="es-ES"/>
        </w:rPr>
        <w:t>en el ámbito federal, estatal y municipal, es pública</w:t>
      </w:r>
      <w:r w:rsidRPr="00286AA3">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00286AA3">
        <w:rPr>
          <w:rFonts w:eastAsia="Palatino Linotype" w:cs="Palatino Linotype"/>
          <w:b/>
          <w:bCs/>
          <w:i/>
          <w:iCs/>
          <w:color w:val="000000" w:themeColor="text1"/>
          <w:sz w:val="22"/>
          <w:lang w:val="es-ES"/>
        </w:rPr>
        <w:t xml:space="preserve">Los sujetos obligados deberán </w:t>
      </w:r>
      <w:r w:rsidRPr="00286AA3">
        <w:rPr>
          <w:rFonts w:eastAsia="Palatino Linotype" w:cs="Palatino Linotype"/>
          <w:b/>
          <w:bCs/>
          <w:i/>
          <w:iCs/>
          <w:color w:val="000000" w:themeColor="text1"/>
          <w:sz w:val="22"/>
          <w:lang w:val="es-ES"/>
        </w:rPr>
        <w:lastRenderedPageBreak/>
        <w:t>documentar todo acto que derive del ejercicio de sus facultades, competencias o funciones</w:t>
      </w:r>
      <w:r w:rsidRPr="00286AA3">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1E4FE6A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que se refiere a la vida privada y los datos personales será protegida en los términos y con las excepciones que fijen las leyes.</w:t>
      </w:r>
    </w:p>
    <w:p w14:paraId="7A4FD7F9"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641D66B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56FA4CAD"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 xml:space="preserve">la información completa y actualizada sobre el ejercicio de los recursos públicos </w:t>
      </w:r>
      <w:r w:rsidRPr="00286AA3">
        <w:rPr>
          <w:rFonts w:eastAsia="Palatino Linotype" w:cs="Palatino Linotype"/>
          <w:i/>
          <w:iCs/>
          <w:color w:val="000000" w:themeColor="text1"/>
          <w:sz w:val="22"/>
          <w:lang w:val="es-ES"/>
        </w:rPr>
        <w:t>y los indicadores que permitan rendir cuenta del cumplimiento de sus objetivos y de los resultados obtenidos.</w:t>
      </w:r>
    </w:p>
    <w:p w14:paraId="5B5C6CA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03C11A6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221EFC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9CA5402"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w:t>
      </w:r>
    </w:p>
    <w:p w14:paraId="0205947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La ley establecerá aquella información que se considere reservada o confidencial.</w:t>
      </w:r>
    </w:p>
    <w:p w14:paraId="2B1D548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 w:val="22"/>
          <w:lang w:val="es-ES"/>
        </w:rPr>
      </w:pPr>
    </w:p>
    <w:p w14:paraId="1F3F7FFB"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Por su parte, la Constitución Política del Estado Libre y Soberano de México, en su artículo 5°, dispone en su parte conducente, lo siguiente:</w:t>
      </w:r>
    </w:p>
    <w:p w14:paraId="621D839E"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214F30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5</w:t>
      </w:r>
      <w:r w:rsidRPr="00286AA3">
        <w:rPr>
          <w:rFonts w:eastAsia="Palatino Linotype" w:cs="Palatino Linotype"/>
          <w:i/>
          <w:iCs/>
          <w:color w:val="000000" w:themeColor="text1"/>
          <w:sz w:val="22"/>
          <w:lang w:val="es-ES"/>
        </w:rPr>
        <w:t xml:space="preserve">. … </w:t>
      </w:r>
    </w:p>
    <w:p w14:paraId="76053C4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41E641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5BEC5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w:t>
      </w:r>
      <w:r w:rsidRPr="00286AA3">
        <w:rPr>
          <w:rFonts w:eastAsia="Palatino Linotype" w:cs="Palatino Linotype"/>
          <w:i/>
          <w:iCs/>
          <w:color w:val="000000" w:themeColor="text1"/>
          <w:sz w:val="22"/>
          <w:lang w:val="es-ES"/>
        </w:rPr>
        <w:lastRenderedPageBreak/>
        <w:t xml:space="preserve">transparentarán sus acciones, en términos de las disposiciones aplicables, la información será oportuna, clara, veraz y de fácil acceso. </w:t>
      </w:r>
    </w:p>
    <w:p w14:paraId="1686AF6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4803EE8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Este derecho se regirá por los principios y bases siguientes:</w:t>
      </w:r>
    </w:p>
    <w:p w14:paraId="59E302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74D42403"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768A5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23A6F49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7031B4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2D3A506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12A6E0F"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CD009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2A9CF4E7"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626C1D67" w14:textId="4363368E" w:rsidR="00286AA3" w:rsidRPr="00286AA3" w:rsidRDefault="00286AA3" w:rsidP="00286AA3">
      <w:pPr>
        <w:rPr>
          <w:rFonts w:eastAsia="Palatino Linotype" w:cs="Palatino Linotype"/>
          <w:szCs w:val="24"/>
        </w:rPr>
      </w:pPr>
      <w:r w:rsidRPr="00286AA3">
        <w:rPr>
          <w:rFonts w:eastAsia="Palatino Linotype" w:cs="Palatino Linotype"/>
          <w:szCs w:val="24"/>
        </w:rPr>
        <w:lastRenderedPageBreak/>
        <w:t>En ese orden de ideas, la Ley de Transparencia y Acceso a la Información Pública del Estado de México y Municipios, prevé en su artículo 23 fracción I</w:t>
      </w:r>
      <w:r w:rsidR="008240F4">
        <w:rPr>
          <w:rFonts w:eastAsia="Palatino Linotype" w:cs="Palatino Linotype"/>
          <w:szCs w:val="24"/>
        </w:rPr>
        <w:t>V</w:t>
      </w:r>
      <w:r w:rsidRPr="00286AA3">
        <w:rPr>
          <w:rFonts w:eastAsia="Palatino Linotype" w:cs="Palatino Linotype"/>
          <w:szCs w:val="24"/>
        </w:rPr>
        <w:t>, lo siguiente:</w:t>
      </w:r>
    </w:p>
    <w:p w14:paraId="68B0F04D" w14:textId="77777777" w:rsidR="00286AA3" w:rsidRPr="00286AA3" w:rsidRDefault="00286AA3" w:rsidP="00286AA3">
      <w:pPr>
        <w:rPr>
          <w:rFonts w:eastAsia="Palatino Linotype" w:cs="Palatino Linotype"/>
          <w:szCs w:val="24"/>
        </w:rPr>
      </w:pPr>
    </w:p>
    <w:p w14:paraId="66FFABC9" w14:textId="77777777" w:rsidR="00286AA3" w:rsidRPr="00CA61B9" w:rsidRDefault="00286AA3" w:rsidP="00286AA3">
      <w:pPr>
        <w:spacing w:line="240" w:lineRule="auto"/>
        <w:ind w:left="567" w:right="567"/>
        <w:rPr>
          <w:rFonts w:eastAsia="Palatino Linotype" w:cs="Palatino Linotype"/>
          <w:i/>
          <w:iCs/>
          <w:sz w:val="22"/>
          <w:lang w:val="es-ES"/>
        </w:rPr>
      </w:pPr>
      <w:r w:rsidRPr="00CA61B9">
        <w:rPr>
          <w:rFonts w:eastAsia="Palatino Linotype" w:cs="Palatino Linotype"/>
          <w:b/>
          <w:bCs/>
          <w:i/>
          <w:iCs/>
          <w:sz w:val="22"/>
          <w:lang w:val="es-ES"/>
        </w:rPr>
        <w:t>Artículo 23.</w:t>
      </w:r>
      <w:r w:rsidRPr="00CA61B9">
        <w:rPr>
          <w:rFonts w:eastAsia="Palatino Linotype" w:cs="Palatino Linotype"/>
          <w:i/>
          <w:iCs/>
          <w:sz w:val="22"/>
          <w:lang w:val="es-ES"/>
        </w:rPr>
        <w:t xml:space="preserve"> Son sujetos obligados a transparentar y permitir el acceso a su información y proteger los datos personales que obren en su poder:</w:t>
      </w:r>
    </w:p>
    <w:p w14:paraId="796E3AD9" w14:textId="14F78E23" w:rsidR="00286AA3" w:rsidRPr="00CA61B9" w:rsidRDefault="008240F4" w:rsidP="00286AA3">
      <w:pPr>
        <w:spacing w:line="240" w:lineRule="auto"/>
        <w:ind w:left="567" w:right="567"/>
        <w:rPr>
          <w:rFonts w:eastAsia="Palatino Linotype" w:cs="Palatino Linotype"/>
          <w:i/>
          <w:iCs/>
          <w:sz w:val="22"/>
          <w:lang w:val="es-ES"/>
        </w:rPr>
      </w:pPr>
      <w:r w:rsidRPr="00CA61B9">
        <w:rPr>
          <w:rFonts w:eastAsia="Palatino Linotype" w:cs="Palatino Linotype"/>
          <w:i/>
          <w:iCs/>
          <w:sz w:val="22"/>
          <w:lang w:val="es-ES"/>
        </w:rPr>
        <w:t>(…)</w:t>
      </w:r>
    </w:p>
    <w:p w14:paraId="14D48834" w14:textId="1BC45548" w:rsidR="00286AA3" w:rsidRPr="00CA61B9" w:rsidRDefault="00286AA3" w:rsidP="00286AA3">
      <w:pPr>
        <w:spacing w:line="240" w:lineRule="auto"/>
        <w:ind w:left="567" w:right="567"/>
        <w:rPr>
          <w:rFonts w:eastAsia="Palatino Linotype" w:cs="Palatino Linotype"/>
          <w:i/>
          <w:iCs/>
          <w:sz w:val="22"/>
          <w:lang w:val="es-ES"/>
        </w:rPr>
      </w:pPr>
      <w:r w:rsidRPr="00CA61B9">
        <w:rPr>
          <w:rFonts w:eastAsia="Palatino Linotype" w:cs="Palatino Linotype"/>
          <w:b/>
          <w:bCs/>
          <w:i/>
          <w:iCs/>
          <w:sz w:val="22"/>
          <w:lang w:val="es-ES"/>
        </w:rPr>
        <w:t>I</w:t>
      </w:r>
      <w:r w:rsidR="008240F4" w:rsidRPr="00CA61B9">
        <w:rPr>
          <w:rFonts w:eastAsia="Palatino Linotype" w:cs="Palatino Linotype"/>
          <w:b/>
          <w:bCs/>
          <w:i/>
          <w:iCs/>
          <w:sz w:val="22"/>
          <w:lang w:val="es-ES"/>
        </w:rPr>
        <w:t>V</w:t>
      </w:r>
      <w:r w:rsidRPr="00CA61B9">
        <w:rPr>
          <w:rFonts w:eastAsia="Palatino Linotype" w:cs="Palatino Linotype"/>
          <w:b/>
          <w:bCs/>
          <w:i/>
          <w:iCs/>
          <w:sz w:val="22"/>
          <w:lang w:val="es-ES"/>
        </w:rPr>
        <w:t>.</w:t>
      </w:r>
      <w:r w:rsidR="008240F4" w:rsidRPr="00CA61B9">
        <w:rPr>
          <w:rFonts w:eastAsia="Palatino Linotype" w:cs="Palatino Linotype"/>
          <w:i/>
          <w:iCs/>
          <w:sz w:val="22"/>
          <w:lang w:val="es-ES"/>
        </w:rPr>
        <w:t xml:space="preserve"> Los</w:t>
      </w:r>
      <w:r w:rsidRPr="00CA61B9">
        <w:rPr>
          <w:rFonts w:eastAsia="Palatino Linotype" w:cs="Palatino Linotype"/>
          <w:i/>
          <w:iCs/>
          <w:sz w:val="22"/>
          <w:lang w:val="es-ES"/>
        </w:rPr>
        <w:t xml:space="preserve"> </w:t>
      </w:r>
      <w:r w:rsidR="008240F4" w:rsidRPr="00CA61B9">
        <w:rPr>
          <w:rFonts w:eastAsia="Palatino Linotype" w:cs="Palatino Linotype"/>
          <w:i/>
          <w:iCs/>
          <w:sz w:val="22"/>
          <w:lang w:val="es-ES"/>
        </w:rPr>
        <w:t>ayuntamientos y las dependencias, organismos, órganos y entidades de la administración municipal</w:t>
      </w:r>
      <w:r w:rsidRPr="00CA61B9">
        <w:rPr>
          <w:rFonts w:eastAsia="Palatino Linotype" w:cs="Palatino Linotype"/>
          <w:i/>
          <w:iCs/>
          <w:sz w:val="22"/>
          <w:lang w:val="es-ES"/>
        </w:rPr>
        <w:t>;</w:t>
      </w:r>
    </w:p>
    <w:p w14:paraId="3879DFA0" w14:textId="77777777" w:rsidR="00286AA3" w:rsidRPr="00286AA3" w:rsidRDefault="00286AA3" w:rsidP="00286AA3">
      <w:pPr>
        <w:spacing w:line="240" w:lineRule="auto"/>
        <w:ind w:left="567" w:right="567"/>
        <w:rPr>
          <w:rFonts w:eastAsia="Palatino Linotype" w:cs="Palatino Linotype"/>
          <w:i/>
          <w:iCs/>
          <w:sz w:val="22"/>
          <w:lang w:val="es-ES"/>
        </w:rPr>
      </w:pPr>
      <w:r w:rsidRPr="00CA61B9">
        <w:rPr>
          <w:rFonts w:eastAsia="Palatino Linotype" w:cs="Palatino Linotype"/>
          <w:i/>
          <w:iCs/>
          <w:sz w:val="22"/>
          <w:lang w:val="es-ES"/>
        </w:rPr>
        <w:t>(…)</w:t>
      </w:r>
    </w:p>
    <w:p w14:paraId="3684C176"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1DFE9885"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D2D41E3" w14:textId="77777777" w:rsidR="00996423" w:rsidRDefault="00996423" w:rsidP="00996423">
      <w:pPr>
        <w:rPr>
          <w:rFonts w:eastAsia="Times New Roman" w:cs="Arial"/>
          <w:noProof/>
          <w:color w:val="000000"/>
          <w:highlight w:val="green"/>
        </w:rPr>
      </w:pPr>
    </w:p>
    <w:p w14:paraId="18F018BC" w14:textId="05FE8BC6" w:rsidR="00996423" w:rsidRDefault="00996423" w:rsidP="00996423">
      <w:pPr>
        <w:rPr>
          <w:rFonts w:eastAsia="Times New Roman" w:cs="Arial"/>
          <w:noProof/>
          <w:color w:val="000000"/>
        </w:rPr>
      </w:pPr>
      <w:r w:rsidRPr="002358E8">
        <w:rPr>
          <w:rFonts w:eastAsia="Times New Roman" w:cs="Arial"/>
          <w:noProof/>
          <w:color w:val="000000"/>
        </w:rPr>
        <w:t xml:space="preserve">Aunado a lo anterior es necesario traer a colación lo establecido en el Reglamento Interno del Sistema Municipal para el Desarrollo Integral de la Familia de Toluca, en sus artículos 13, </w:t>
      </w:r>
      <w:r w:rsidR="002358E8">
        <w:rPr>
          <w:rFonts w:eastAsia="Times New Roman" w:cs="Arial"/>
          <w:noProof/>
          <w:color w:val="000000"/>
        </w:rPr>
        <w:t>16, 20</w:t>
      </w:r>
      <w:r w:rsidRPr="002358E8">
        <w:rPr>
          <w:rFonts w:eastAsia="Times New Roman" w:cs="Arial"/>
          <w:noProof/>
          <w:color w:val="000000"/>
        </w:rPr>
        <w:t xml:space="preserve"> que a la letra señalan lo siguiente:</w:t>
      </w:r>
    </w:p>
    <w:p w14:paraId="0F2FBED6" w14:textId="77777777" w:rsidR="0001712A" w:rsidRPr="002358E8" w:rsidRDefault="0001712A" w:rsidP="00996423">
      <w:pPr>
        <w:rPr>
          <w:rFonts w:eastAsia="Times New Roman" w:cs="Arial"/>
          <w:noProof/>
          <w:color w:val="000000"/>
        </w:rPr>
      </w:pPr>
    </w:p>
    <w:p w14:paraId="4DF1A556" w14:textId="77777777" w:rsidR="00996423" w:rsidRPr="002358E8" w:rsidRDefault="00996423" w:rsidP="00996423">
      <w:pPr>
        <w:ind w:left="567" w:right="567"/>
        <w:rPr>
          <w:rFonts w:eastAsia="Times New Roman" w:cs="Arial"/>
          <w:i/>
          <w:noProof/>
          <w:color w:val="000000"/>
        </w:rPr>
      </w:pPr>
      <w:r w:rsidRPr="0001712A">
        <w:rPr>
          <w:rFonts w:eastAsia="Times New Roman" w:cs="Arial"/>
          <w:b/>
          <w:i/>
          <w:noProof/>
          <w:color w:val="000000"/>
        </w:rPr>
        <w:t>Artículo 13.-</w:t>
      </w:r>
      <w:r w:rsidRPr="002358E8">
        <w:rPr>
          <w:rFonts w:eastAsia="Times New Roman" w:cs="Arial"/>
          <w:i/>
          <w:noProof/>
          <w:color w:val="000000"/>
        </w:rPr>
        <w:t xml:space="preserve"> Para el estudio, planeación, despacho, control y evaluación de los asuntos de su competencia, la Dirección General se auxiliará de las Unidades Administrativas básicas siguientes:</w:t>
      </w:r>
    </w:p>
    <w:p w14:paraId="4A60A131"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 Coordinación de Apoyo Técnico;</w:t>
      </w:r>
    </w:p>
    <w:p w14:paraId="7814C38B"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II. Unidad de Información, Planeación, Programación y Evaluación;</w:t>
      </w:r>
    </w:p>
    <w:p w14:paraId="4F9E972B"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III. Enlace de Comunicación Social y Gobierno Digital;</w:t>
      </w:r>
    </w:p>
    <w:p w14:paraId="121A2736"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IV. Procuraduría Municipal de la Protección de los Niños, Niñas y Adolescentes;</w:t>
      </w:r>
    </w:p>
    <w:p w14:paraId="105F0D40"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lastRenderedPageBreak/>
        <w:t>V. Departamento de Desarrollo Comunitario;</w:t>
      </w:r>
    </w:p>
    <w:p w14:paraId="298C006E" w14:textId="77777777" w:rsidR="00996423" w:rsidRPr="002358E8" w:rsidRDefault="00996423" w:rsidP="00996423">
      <w:pPr>
        <w:ind w:left="567" w:right="567"/>
        <w:rPr>
          <w:rFonts w:eastAsia="Times New Roman" w:cs="Arial"/>
          <w:b/>
          <w:i/>
          <w:noProof/>
          <w:color w:val="000000"/>
          <w:u w:val="single"/>
        </w:rPr>
      </w:pPr>
      <w:r w:rsidRPr="002358E8">
        <w:rPr>
          <w:rFonts w:eastAsia="Times New Roman" w:cs="Arial"/>
          <w:b/>
          <w:i/>
          <w:noProof/>
          <w:color w:val="000000"/>
          <w:u w:val="single"/>
        </w:rPr>
        <w:t>VI. Órgano Interno de Control;</w:t>
      </w:r>
    </w:p>
    <w:p w14:paraId="7AF94DEE" w14:textId="77777777" w:rsidR="00996423" w:rsidRPr="002358E8" w:rsidRDefault="00996423" w:rsidP="00996423">
      <w:pPr>
        <w:ind w:left="567" w:right="567"/>
        <w:rPr>
          <w:rFonts w:eastAsia="Times New Roman" w:cs="Arial"/>
          <w:b/>
          <w:i/>
          <w:noProof/>
          <w:color w:val="000000"/>
          <w:u w:val="single"/>
        </w:rPr>
      </w:pPr>
      <w:r w:rsidRPr="002358E8">
        <w:rPr>
          <w:rFonts w:eastAsia="Times New Roman" w:cs="Arial"/>
          <w:b/>
          <w:i/>
          <w:noProof/>
          <w:color w:val="000000"/>
          <w:u w:val="single"/>
        </w:rPr>
        <w:t>VII. Dirección de Administración y Tesorería;</w:t>
      </w:r>
    </w:p>
    <w:p w14:paraId="492F98B9"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VIII. Dirección de Salud Integral a la Familia;</w:t>
      </w:r>
    </w:p>
    <w:p w14:paraId="4202D563"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IX. Dirección de Bienestar, Integración Familiar y Salud Mental;</w:t>
      </w:r>
    </w:p>
    <w:p w14:paraId="01C10B30"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 Dirección de Servicios Jurídicos Asistenciales;</w:t>
      </w:r>
    </w:p>
    <w:p w14:paraId="65D6EA35"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 Dirección de Programas al Adulto Mayor;</w:t>
      </w:r>
    </w:p>
    <w:p w14:paraId="00E3CED3"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XII. Dirección de Atención a la Discapacidad.</w:t>
      </w:r>
    </w:p>
    <w:p w14:paraId="3E82176B" w14:textId="77777777" w:rsidR="00996423" w:rsidRPr="002358E8" w:rsidRDefault="00996423" w:rsidP="00996423">
      <w:pPr>
        <w:ind w:left="567" w:right="567"/>
        <w:rPr>
          <w:rFonts w:eastAsia="Times New Roman" w:cs="Arial"/>
          <w:i/>
          <w:noProof/>
          <w:color w:val="000000"/>
        </w:rPr>
      </w:pPr>
      <w:r w:rsidRPr="002358E8">
        <w:rPr>
          <w:rFonts w:eastAsia="Times New Roman" w:cs="Arial"/>
          <w:b/>
          <w:i/>
          <w:noProof/>
          <w:color w:val="000000"/>
        </w:rPr>
        <w:t>Artículo 16.-</w:t>
      </w:r>
      <w:r w:rsidRPr="002358E8">
        <w:rPr>
          <w:rFonts w:eastAsia="Times New Roman" w:cs="Arial"/>
          <w:i/>
          <w:noProof/>
          <w:color w:val="000000"/>
        </w:rPr>
        <w:t xml:space="preserve"> Corresponde al Órgano Interno de Control:</w:t>
      </w:r>
    </w:p>
    <w:p w14:paraId="1FC94881"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 Fiscalizar el ejercicio de los presupuestos autorizados en el Organismo, cumpliendo con las medidas de racionalidad, austeridad y disciplina presupuestal establecidas y su</w:t>
      </w:r>
    </w:p>
    <w:p w14:paraId="07EF39A2"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congruencia con el avance programático;</w:t>
      </w:r>
    </w:p>
    <w:p w14:paraId="7F82BB3D"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II. Coordinar con el Órgano Superior de Fiscalización del Estado de México, la Secretaría de la Contraloría y la Contraloría Municipal, asimismo cualquier otra instancia de control para el cumplimiento de sus funciones;</w:t>
      </w:r>
    </w:p>
    <w:p w14:paraId="555606A0"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III. Participar en los procesos de entrega-recepción de las Unidades Administrativas del SMDIFTOL;</w:t>
      </w:r>
    </w:p>
    <w:p w14:paraId="6048FE84"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IV. Vigilar la actualización del inventario general de los bienes muebles e inmuebles</w:t>
      </w:r>
    </w:p>
    <w:p w14:paraId="6B58F859"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propiedad del Sistema, expresando las características, identificación y destino de los</w:t>
      </w:r>
    </w:p>
    <w:p w14:paraId="4F3C6BD6"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mismos;</w:t>
      </w:r>
    </w:p>
    <w:p w14:paraId="5C01D42C"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 Informar al Órgano Superior de Fiscalización del Estado de México sobre la situación que guardan las observaciones derivadas de la revisión a los informes mensuales, trimestrales y de la cuenta pública anual del SMDIFTOL;</w:t>
      </w:r>
    </w:p>
    <w:p w14:paraId="4D35773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 Dar seguimiento al correcto cumplimiento a los objetivos, metas y prioridades</w:t>
      </w:r>
    </w:p>
    <w:p w14:paraId="172C8ED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establecidas en el Plan de Desarrollo Municipal y demás programas autorizados;</w:t>
      </w:r>
    </w:p>
    <w:p w14:paraId="2371B277"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lastRenderedPageBreak/>
        <w:t>VII. Ejecutar supervisiones, investigaciones, revisiones y auditorías tendientes a verificar que en el SMDIFTOL se observen las normas y disposiciones que regulan la prestación del servicio público, así como particulares que puedan constituir responsabilidades administrativas en el ámbito de su competencia, así como las relativas al sistema de registro y contabilidad, contratación y pago de servicios personales, contratación de servicios, obra pública, adquisición de bienes, arrendamientos, conservación, uso y destino, afectación, enajenación y baja de bienes y demás activos y recursos materiales;</w:t>
      </w:r>
    </w:p>
    <w:p w14:paraId="5BD85493"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VIII. Participar en el Comité de Adquisiciones como vocal, de acuerdo a lo previsto</w:t>
      </w:r>
    </w:p>
    <w:p w14:paraId="153160F9"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reglamentariamente;</w:t>
      </w:r>
    </w:p>
    <w:p w14:paraId="2261F492"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IX. Investigar las denuncias que se interpongan en contra de los/las servidores/as</w:t>
      </w:r>
    </w:p>
    <w:p w14:paraId="22F03CCA"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públicos/as;</w:t>
      </w:r>
    </w:p>
    <w:p w14:paraId="7558CA40"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 Promover la implantación de medidas de control interno que coadyuven a la protección de los recursos, obtención de información oportuna y confiable, la promoción de la eficiencia operacional y la adhesión a las políticas institucionales;</w:t>
      </w:r>
    </w:p>
    <w:p w14:paraId="6A53F448"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 Cumplir con las tareas en materia de Transparencia y Protección de Datos Personales, de acuerdo con la normatividad vigente;</w:t>
      </w:r>
    </w:p>
    <w:p w14:paraId="31CF51E3"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XII. Atender de manera directa toda instrucción del superior jerárquico del SMDIFTOL; y</w:t>
      </w:r>
    </w:p>
    <w:p w14:paraId="7985423C"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XIII. Realizar todas aquellas funciones inherentes y aplicables al área de su competencia.</w:t>
      </w:r>
    </w:p>
    <w:p w14:paraId="084AF0A9" w14:textId="77777777" w:rsidR="00996423" w:rsidRPr="002358E8" w:rsidRDefault="00996423" w:rsidP="00996423">
      <w:pPr>
        <w:ind w:left="567" w:right="567"/>
        <w:rPr>
          <w:rFonts w:eastAsia="Times New Roman" w:cs="Arial"/>
          <w:i/>
          <w:noProof/>
          <w:color w:val="000000"/>
        </w:rPr>
      </w:pPr>
      <w:r w:rsidRPr="002358E8">
        <w:rPr>
          <w:rFonts w:eastAsia="Times New Roman" w:cs="Arial"/>
          <w:b/>
          <w:i/>
          <w:noProof/>
          <w:color w:val="000000"/>
        </w:rPr>
        <w:t xml:space="preserve">Artículo 20.- </w:t>
      </w:r>
      <w:r w:rsidRPr="002358E8">
        <w:rPr>
          <w:rFonts w:eastAsia="Times New Roman" w:cs="Arial"/>
          <w:i/>
          <w:noProof/>
          <w:color w:val="000000"/>
        </w:rPr>
        <w:t>Corresponde a la Dirección de Administración y Tesorería, quien tendrá</w:t>
      </w:r>
    </w:p>
    <w:p w14:paraId="3DFF366C"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además de las señaladas en el artículo 16 de la Ley, las siguientes atribuciones:</w:t>
      </w:r>
    </w:p>
    <w:p w14:paraId="02D79B77"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 Elaborar el presupuesto anual del SMDIFTOL bajo la coordinación de sus diferentes</w:t>
      </w:r>
    </w:p>
    <w:p w14:paraId="2473C99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Unidades Administrativas;</w:t>
      </w:r>
    </w:p>
    <w:p w14:paraId="090AA4B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lastRenderedPageBreak/>
        <w:t>II. Supervisar y controlar la integración del presupuesto general optimizando los recursos financieros;</w:t>
      </w:r>
    </w:p>
    <w:p w14:paraId="785EDE8B"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III. Administrar de manera eficiente los recursos del SMDIFTOL;</w:t>
      </w:r>
    </w:p>
    <w:p w14:paraId="6A8C6C4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IV. Coordinar el ejercicio del presupuesto asignado al SMDIFTOL, cuidando que su</w:t>
      </w:r>
    </w:p>
    <w:p w14:paraId="28240F9B"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aplicación se realice con base en los principios de racionalidad, austeridad y disciplina</w:t>
      </w:r>
    </w:p>
    <w:p w14:paraId="0A777F49"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financiera;</w:t>
      </w:r>
    </w:p>
    <w:p w14:paraId="255ABC0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 Validar las pólizas-cheque generadas por el Departamento de Finanzas para efectuar</w:t>
      </w:r>
    </w:p>
    <w:p w14:paraId="24ED4931"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los pagos a proveedores de bienes y servicios otorgados al SMDIFTOL, los</w:t>
      </w:r>
    </w:p>
    <w:p w14:paraId="3E1DAA0D"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correspondientes al pago de nómina y de obligaciones fiscales, laborales, de seguridad</w:t>
      </w:r>
    </w:p>
    <w:p w14:paraId="131198FB"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social sindical y administrativas, así como verificar que las mismas cumplan con las políticas y normas aplicables;</w:t>
      </w:r>
    </w:p>
    <w:p w14:paraId="25268A03"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 Alimentar, actualizar y controlar los resultados del Sistema de Control Patrimonial con la finalidad de establecer políticas para la toma de decisiones en materia de bienes muebles e inmuebles, uso y destino de los mismos;</w:t>
      </w:r>
    </w:p>
    <w:p w14:paraId="52894ABD"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VII. Presentar a la Junta de Gobierno, los estados financieros mensuales, para su revisión y aprobación;</w:t>
      </w:r>
    </w:p>
    <w:p w14:paraId="78051098"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VIII. Establecer el plan y las estrategias financieras de contingencia del SMDIFTOL;</w:t>
      </w:r>
    </w:p>
    <w:p w14:paraId="755A928C"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IX. Fungir como Tesorero/a de la Junta de Gobierno del SMDIFTOL;</w:t>
      </w:r>
    </w:p>
    <w:p w14:paraId="2EB50477"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 Proveer a las Unidades Administrativas de los recursos humanos y materiales necesarios para su buen funcionamiento, así como de servicios de mantenimiento de inmuebles, parque vehicular y apoyo para la realización de eventos cuando así sea requerido;</w:t>
      </w:r>
    </w:p>
    <w:p w14:paraId="71790997"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 Fungir como Vocal Financiero en el Comité de Adquisiciones, Enajenaciones,</w:t>
      </w:r>
    </w:p>
    <w:p w14:paraId="4B71E72E"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Arrendamientos y Servicios;</w:t>
      </w:r>
    </w:p>
    <w:p w14:paraId="6BBEBD54"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XII. Dar atención a requerimientos propios de los eventos a realizar en el Parque “Luis</w:t>
      </w:r>
    </w:p>
    <w:p w14:paraId="0F7235C1"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lastRenderedPageBreak/>
        <w:t>Dolando Colosio”;</w:t>
      </w:r>
    </w:p>
    <w:p w14:paraId="2B84F8DE"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XIII. Suscribir contratos de bienes y servicios en términos de la legislación aplicable;</w:t>
      </w:r>
    </w:p>
    <w:p w14:paraId="274C28A1"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XIV. Evaluar de manera periódica el avance del Programa Anual para cada una de las áreas a su cargo generando acciones correctivas en caso de ser necesario, garantizando su cumplimiento;</w:t>
      </w:r>
    </w:p>
    <w:p w14:paraId="2FBF6302"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XV. Participar en el Comité de Interno de Mejora Regulatoria como vocal, de acuerdo a lo previsto reglamentariamente;</w:t>
      </w:r>
    </w:p>
    <w:p w14:paraId="5C46183F"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XVI. Cumplir con las tareas en materia de Transparencia y Protección de Datos Personales, de acuerdo con la normatividad vigente;</w:t>
      </w:r>
    </w:p>
    <w:p w14:paraId="081CFE89" w14:textId="77777777" w:rsidR="00996423" w:rsidRPr="002358E8" w:rsidRDefault="00996423" w:rsidP="00996423">
      <w:pPr>
        <w:ind w:left="567" w:right="567"/>
        <w:rPr>
          <w:rFonts w:eastAsia="Times New Roman" w:cs="Arial"/>
          <w:i/>
          <w:noProof/>
          <w:color w:val="000000"/>
        </w:rPr>
      </w:pPr>
      <w:r w:rsidRPr="002358E8">
        <w:rPr>
          <w:rFonts w:eastAsia="Times New Roman" w:cs="Arial"/>
          <w:i/>
          <w:noProof/>
          <w:color w:val="000000"/>
        </w:rPr>
        <w:t>XVII. Atender de manera directa toda instrucción del superior jerárquico del SMDIFTOL; y</w:t>
      </w:r>
    </w:p>
    <w:p w14:paraId="4B2DF930" w14:textId="01BCFB2D" w:rsidR="00286AA3" w:rsidRPr="000822D5" w:rsidRDefault="00996423" w:rsidP="000822D5">
      <w:pPr>
        <w:ind w:left="567" w:right="567"/>
        <w:rPr>
          <w:rFonts w:eastAsia="Times New Roman" w:cs="Arial"/>
          <w:i/>
          <w:noProof/>
          <w:color w:val="000000"/>
        </w:rPr>
      </w:pPr>
      <w:r w:rsidRPr="002358E8">
        <w:rPr>
          <w:rFonts w:eastAsia="Times New Roman" w:cs="Arial"/>
          <w:i/>
          <w:noProof/>
          <w:color w:val="000000"/>
        </w:rPr>
        <w:t>XVIII. Realizar todas aquellas funciones inherentes y aplicables al área de su competencia.</w:t>
      </w:r>
      <w:r w:rsidRPr="00996423">
        <w:rPr>
          <w:rFonts w:eastAsia="Times New Roman" w:cs="Arial"/>
          <w:i/>
          <w:noProof/>
          <w:color w:val="000000"/>
        </w:rPr>
        <w:cr/>
      </w:r>
    </w:p>
    <w:p w14:paraId="410566C8" w14:textId="77777777" w:rsidR="002358E8" w:rsidRPr="00F07EAD" w:rsidRDefault="002358E8" w:rsidP="002358E8">
      <w:pPr>
        <w:tabs>
          <w:tab w:val="left" w:pos="709"/>
        </w:tabs>
        <w:ind w:right="51"/>
        <w:rPr>
          <w:rFonts w:cs="Arial"/>
          <w:lang w:val="es-419"/>
        </w:rPr>
      </w:pPr>
      <w:r w:rsidRPr="00F07EAD">
        <w:rPr>
          <w:rFonts w:eastAsia="Arial Unicode MS" w:cs="Arial"/>
        </w:rPr>
        <w:t>En ese mismo</w:t>
      </w:r>
      <w:r w:rsidRPr="00F07EAD">
        <w:rPr>
          <w:rFonts w:cs="Arial"/>
          <w:lang w:val="es-419"/>
        </w:rPr>
        <w:t xml:space="preserv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0744EE83" w14:textId="77777777" w:rsidR="002358E8" w:rsidRPr="00F07EAD" w:rsidRDefault="002358E8" w:rsidP="002358E8">
      <w:pPr>
        <w:rPr>
          <w:rFonts w:cs="Arial"/>
          <w:lang w:val="es-419"/>
        </w:rPr>
      </w:pPr>
    </w:p>
    <w:p w14:paraId="7A7EC19F" w14:textId="77777777" w:rsidR="002358E8" w:rsidRPr="00F07EAD" w:rsidRDefault="002358E8" w:rsidP="002358E8">
      <w:pPr>
        <w:pStyle w:val="Sinespaciado"/>
        <w:ind w:left="851" w:right="851"/>
        <w:jc w:val="both"/>
        <w:rPr>
          <w:rFonts w:ascii="Palatino Linotype" w:hAnsi="Palatino Linotype"/>
          <w:i/>
        </w:rPr>
      </w:pPr>
      <w:r w:rsidRPr="00F07EAD">
        <w:rPr>
          <w:rFonts w:ascii="Palatino Linotype" w:hAnsi="Palatino Linotype"/>
        </w:rPr>
        <w:t>“</w:t>
      </w:r>
      <w:r w:rsidRPr="00F07EAD">
        <w:rPr>
          <w:rFonts w:ascii="Palatino Linotype" w:hAnsi="Palatino Linotype"/>
          <w:b/>
          <w:i/>
        </w:rPr>
        <w:t>Artículo 12.</w:t>
      </w:r>
      <w:r w:rsidRPr="00F07EA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6BD6ED24" w14:textId="77777777" w:rsidR="002358E8" w:rsidRPr="00F07EAD" w:rsidRDefault="002358E8" w:rsidP="002358E8">
      <w:pPr>
        <w:pStyle w:val="Sinespaciado"/>
        <w:ind w:left="851" w:right="851"/>
        <w:jc w:val="both"/>
        <w:rPr>
          <w:rFonts w:ascii="Palatino Linotype" w:hAnsi="Palatino Linotype"/>
          <w:i/>
        </w:rPr>
      </w:pPr>
    </w:p>
    <w:p w14:paraId="2F546C00" w14:textId="77777777" w:rsidR="002358E8" w:rsidRPr="00F07EAD" w:rsidRDefault="002358E8" w:rsidP="002358E8">
      <w:pPr>
        <w:pStyle w:val="Sinespaciado"/>
        <w:ind w:left="851" w:right="851"/>
        <w:jc w:val="both"/>
        <w:rPr>
          <w:rFonts w:ascii="Palatino Linotype" w:hAnsi="Palatino Linotype"/>
        </w:rPr>
      </w:pPr>
      <w:r w:rsidRPr="00F07EAD">
        <w:rPr>
          <w:rFonts w:ascii="Palatino Linotype" w:hAnsi="Palatino Linotype"/>
          <w:b/>
          <w:i/>
          <w:u w:val="single"/>
        </w:rPr>
        <w:t>Los sujetos obligados sólo proporcionarán la información pública que se les requiera y que obre en sus archivos</w:t>
      </w:r>
      <w:r w:rsidRPr="00F07EAD">
        <w:rPr>
          <w:rFonts w:ascii="Palatino Linotype" w:hAnsi="Palatino Linotype"/>
          <w:i/>
        </w:rPr>
        <w:t xml:space="preserve"> y en el estado en que ésta se encuentre. La obligación de proporcionar información no comprende el procesamiento de la misma, ni el presentarla conforme al interés del solicitante; </w:t>
      </w:r>
      <w:r w:rsidRPr="00F07EAD">
        <w:rPr>
          <w:rFonts w:ascii="Palatino Linotype" w:hAnsi="Palatino Linotype"/>
          <w:i/>
        </w:rPr>
        <w:lastRenderedPageBreak/>
        <w:t>no estarán obligados a generarla, resumirla, efectuar cálculos o practicar investigaciones.”</w:t>
      </w:r>
    </w:p>
    <w:p w14:paraId="54C00175" w14:textId="77777777" w:rsidR="002358E8" w:rsidRPr="00F07EAD" w:rsidRDefault="002358E8" w:rsidP="002358E8">
      <w:pPr>
        <w:autoSpaceDE w:val="0"/>
        <w:autoSpaceDN w:val="0"/>
        <w:adjustRightInd w:val="0"/>
        <w:rPr>
          <w:rFonts w:cs="Arial"/>
        </w:rPr>
      </w:pPr>
    </w:p>
    <w:p w14:paraId="6504CDF4" w14:textId="77777777" w:rsidR="002358E8" w:rsidRPr="00F07EAD" w:rsidRDefault="002358E8" w:rsidP="002358E8">
      <w:pPr>
        <w:rPr>
          <w:rFonts w:cs="Arial"/>
        </w:rPr>
      </w:pPr>
      <w:r w:rsidRPr="00F07EAD">
        <w:rPr>
          <w:rFonts w:cs="Arial"/>
          <w:lang w:val="es-419"/>
        </w:rPr>
        <w:t>Ante</w:t>
      </w:r>
      <w:r w:rsidRPr="00F07EAD">
        <w:rPr>
          <w:rFonts w:cs="Arial"/>
        </w:rPr>
        <w:t xml:space="preserve"> ello, es de señalar que el artículo 4, párrafo segundo de la Ley de Transparencia y Acceso a la Información Pública del Estado de México y Municipios, dispone:</w:t>
      </w:r>
    </w:p>
    <w:p w14:paraId="045DEB6D" w14:textId="77777777" w:rsidR="002358E8" w:rsidRPr="00F07EAD" w:rsidRDefault="002358E8" w:rsidP="002358E8">
      <w:pPr>
        <w:pStyle w:val="Sinespaciado"/>
        <w:rPr>
          <w:rFonts w:ascii="Palatino Linotype" w:hAnsi="Palatino Linotype"/>
        </w:rPr>
      </w:pPr>
    </w:p>
    <w:p w14:paraId="221D69A6" w14:textId="77777777" w:rsidR="002358E8" w:rsidRPr="00F07EAD" w:rsidRDefault="002358E8" w:rsidP="002358E8">
      <w:pPr>
        <w:ind w:left="851" w:right="901"/>
        <w:rPr>
          <w:rFonts w:cs="Arial"/>
          <w:i/>
        </w:rPr>
      </w:pPr>
      <w:r w:rsidRPr="00F07EAD">
        <w:rPr>
          <w:rFonts w:cs="Arial"/>
          <w:i/>
        </w:rPr>
        <w:t>“</w:t>
      </w:r>
      <w:r w:rsidRPr="00F07EAD">
        <w:rPr>
          <w:rFonts w:cs="Arial"/>
          <w:b/>
          <w:i/>
        </w:rPr>
        <w:t xml:space="preserve">Artículo 4. </w:t>
      </w:r>
      <w:r w:rsidRPr="00F07EAD">
        <w:rPr>
          <w:rFonts w:cs="Arial"/>
          <w:i/>
        </w:rPr>
        <w:t xml:space="preserve">… </w:t>
      </w:r>
    </w:p>
    <w:p w14:paraId="5D6ACFDB" w14:textId="77777777" w:rsidR="002358E8" w:rsidRPr="00F07EAD" w:rsidRDefault="002358E8" w:rsidP="002358E8">
      <w:pPr>
        <w:ind w:left="851" w:right="901"/>
        <w:rPr>
          <w:rFonts w:cs="Arial"/>
          <w:i/>
        </w:rPr>
      </w:pPr>
      <w:r w:rsidRPr="00F07EAD">
        <w:rPr>
          <w:rFonts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B4FA7E" w14:textId="77777777" w:rsidR="002358E8" w:rsidRPr="00F07EAD" w:rsidRDefault="002358E8" w:rsidP="002358E8">
      <w:pPr>
        <w:tabs>
          <w:tab w:val="left" w:pos="709"/>
        </w:tabs>
        <w:contextualSpacing/>
        <w:rPr>
          <w:rFonts w:cs="Arial"/>
        </w:rPr>
      </w:pPr>
    </w:p>
    <w:p w14:paraId="6AFAB03A" w14:textId="77777777" w:rsidR="002358E8" w:rsidRPr="00F07EAD" w:rsidRDefault="002358E8" w:rsidP="002358E8">
      <w:pPr>
        <w:tabs>
          <w:tab w:val="left" w:pos="709"/>
        </w:tabs>
        <w:contextualSpacing/>
        <w:rPr>
          <w:rFonts w:cs="Arial"/>
        </w:rPr>
      </w:pPr>
      <w:r w:rsidRPr="00F07EAD">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E4795F6" w14:textId="77777777" w:rsidR="002358E8" w:rsidRPr="00F07EAD" w:rsidRDefault="002358E8" w:rsidP="002358E8">
      <w:pPr>
        <w:tabs>
          <w:tab w:val="left" w:pos="709"/>
        </w:tabs>
        <w:contextualSpacing/>
        <w:rPr>
          <w:rFonts w:cs="Arial"/>
        </w:rPr>
      </w:pPr>
    </w:p>
    <w:p w14:paraId="0B50BFA2" w14:textId="77777777" w:rsidR="002358E8" w:rsidRPr="00F07EAD" w:rsidRDefault="002358E8" w:rsidP="002358E8">
      <w:pPr>
        <w:tabs>
          <w:tab w:val="left" w:pos="709"/>
        </w:tabs>
        <w:contextualSpacing/>
        <w:rPr>
          <w:rFonts w:cs="Arial"/>
        </w:rPr>
      </w:pPr>
      <w:r w:rsidRPr="00F07EAD">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F07EAD">
        <w:rPr>
          <w:rFonts w:cs="Arial"/>
        </w:rPr>
        <w:lastRenderedPageBreak/>
        <w:t xml:space="preserve">archivos, en el estado en el que se encuentre, sin la obligación de generarla, resumirla, efectuar cálculos o practicar investigaciones; tal y como se señala a continuación: </w:t>
      </w:r>
    </w:p>
    <w:p w14:paraId="33D46558" w14:textId="77777777" w:rsidR="002358E8" w:rsidRPr="00F07EAD" w:rsidRDefault="002358E8" w:rsidP="002358E8">
      <w:pPr>
        <w:tabs>
          <w:tab w:val="left" w:pos="709"/>
        </w:tabs>
        <w:contextualSpacing/>
        <w:rPr>
          <w:rFonts w:cs="Arial"/>
        </w:rPr>
      </w:pPr>
    </w:p>
    <w:p w14:paraId="7640C359" w14:textId="77777777" w:rsidR="002358E8" w:rsidRPr="00F07EAD" w:rsidRDefault="002358E8" w:rsidP="002358E8">
      <w:pPr>
        <w:ind w:left="567" w:right="618"/>
        <w:rPr>
          <w:rFonts w:cs="Arial"/>
          <w:i/>
        </w:rPr>
      </w:pPr>
      <w:r w:rsidRPr="00F07EAD">
        <w:rPr>
          <w:rFonts w:cs="Arial"/>
          <w:i/>
        </w:rPr>
        <w:t>“</w:t>
      </w:r>
      <w:r w:rsidRPr="00F07EAD">
        <w:rPr>
          <w:rFonts w:cs="Arial"/>
          <w:b/>
          <w:i/>
        </w:rPr>
        <w:t>Artículo 12.</w:t>
      </w:r>
      <w:r w:rsidRPr="00F07EAD">
        <w:rPr>
          <w:rFonts w:cs="Arial"/>
          <w:i/>
        </w:rPr>
        <w:t xml:space="preserve"> Quienes generen, recopilen, administren, manejen, procesen, archiven o conserven información pública serán responsables de la misma en los términos de las disposiciones jurídicas aplicables. </w:t>
      </w:r>
    </w:p>
    <w:p w14:paraId="2D931A21" w14:textId="77777777" w:rsidR="002358E8" w:rsidRPr="00F07EAD" w:rsidRDefault="002358E8" w:rsidP="002358E8">
      <w:pPr>
        <w:ind w:left="567" w:right="618"/>
        <w:rPr>
          <w:rFonts w:cs="Arial"/>
          <w:i/>
        </w:rPr>
      </w:pPr>
    </w:p>
    <w:p w14:paraId="7F5E33EF" w14:textId="77777777" w:rsidR="002358E8" w:rsidRPr="00F07EAD" w:rsidRDefault="002358E8" w:rsidP="002358E8">
      <w:pPr>
        <w:ind w:left="567" w:right="618"/>
        <w:rPr>
          <w:rFonts w:cs="Arial"/>
          <w:i/>
        </w:rPr>
      </w:pPr>
      <w:r w:rsidRPr="00F07EAD">
        <w:rPr>
          <w:rFonts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BFB50C2" w14:textId="77777777" w:rsidR="002358E8" w:rsidRPr="00F07EAD" w:rsidRDefault="002358E8" w:rsidP="002358E8">
      <w:pPr>
        <w:tabs>
          <w:tab w:val="left" w:pos="709"/>
        </w:tabs>
        <w:contextualSpacing/>
        <w:rPr>
          <w:rFonts w:cs="Arial"/>
        </w:rPr>
      </w:pPr>
    </w:p>
    <w:p w14:paraId="535602E9" w14:textId="77777777" w:rsidR="002358E8" w:rsidRPr="00F07EAD" w:rsidRDefault="002358E8" w:rsidP="002358E8">
      <w:pPr>
        <w:tabs>
          <w:tab w:val="left" w:pos="709"/>
        </w:tabs>
        <w:contextualSpacing/>
        <w:rPr>
          <w:rFonts w:cs="Arial"/>
        </w:rPr>
      </w:pPr>
      <w:r w:rsidRPr="00F07EAD">
        <w:rPr>
          <w:rFonts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5BA75B8" w14:textId="77777777" w:rsidR="002358E8" w:rsidRPr="00F07EAD" w:rsidRDefault="002358E8" w:rsidP="002358E8">
      <w:pPr>
        <w:autoSpaceDE w:val="0"/>
        <w:autoSpaceDN w:val="0"/>
        <w:adjustRightInd w:val="0"/>
        <w:rPr>
          <w:rFonts w:cs="Arial"/>
        </w:rPr>
      </w:pPr>
    </w:p>
    <w:p w14:paraId="7D42DBD9" w14:textId="77777777" w:rsidR="002358E8" w:rsidRPr="00F07EAD" w:rsidRDefault="002358E8" w:rsidP="002358E8">
      <w:pPr>
        <w:rPr>
          <w:rFonts w:cs="Arial"/>
        </w:rPr>
      </w:pPr>
      <w:r w:rsidRPr="00F07EAD">
        <w:rPr>
          <w:rFonts w:cs="Arial"/>
        </w:rPr>
        <w:t xml:space="preserve">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esta </w:t>
      </w:r>
      <w:r w:rsidRPr="00F07EAD">
        <w:rPr>
          <w:rFonts w:cs="Arial"/>
        </w:rPr>
        <w:lastRenderedPageBreak/>
        <w:t>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08F90308" w14:textId="77777777" w:rsidR="002358E8" w:rsidRPr="00F07EAD" w:rsidRDefault="002358E8" w:rsidP="002358E8">
      <w:pPr>
        <w:rPr>
          <w:rFonts w:cs="Arial"/>
        </w:rPr>
      </w:pPr>
    </w:p>
    <w:p w14:paraId="53F5EC4C" w14:textId="77777777" w:rsidR="002358E8" w:rsidRPr="00F07EAD" w:rsidRDefault="002358E8" w:rsidP="002358E8">
      <w:pPr>
        <w:rPr>
          <w:rFonts w:cs="Arial"/>
          <w:color w:val="000000"/>
        </w:rPr>
      </w:pPr>
      <w:r w:rsidRPr="00F07EAD">
        <w:rPr>
          <w:rFonts w:cs="Arial"/>
          <w:color w:val="000000"/>
        </w:rPr>
        <w:t>Sirve de sustento a lo anterior, el criterio 31/10 emitido por el entonces Instituto Federal de Acceso a la Información y Protección de Datos, ahora Instituto Nacional de Acceso a la Información y Protección de Datos, que enuncia lo siguiente:</w:t>
      </w:r>
    </w:p>
    <w:p w14:paraId="1C7707C3" w14:textId="77777777" w:rsidR="002358E8" w:rsidRPr="00F07EAD" w:rsidRDefault="002358E8" w:rsidP="002358E8">
      <w:pPr>
        <w:rPr>
          <w:rFonts w:cs="Arial"/>
        </w:rPr>
      </w:pPr>
    </w:p>
    <w:p w14:paraId="1D7189C0" w14:textId="77777777" w:rsidR="002358E8" w:rsidRPr="00F07EAD" w:rsidRDefault="002358E8" w:rsidP="002358E8">
      <w:pPr>
        <w:ind w:left="851" w:right="1134"/>
        <w:rPr>
          <w:rFonts w:cs="Arial"/>
          <w:i/>
        </w:rPr>
      </w:pPr>
      <w:r w:rsidRPr="00F07EAD">
        <w:rPr>
          <w:rFonts w:cs="Arial"/>
          <w:b/>
          <w:i/>
        </w:rPr>
        <w:t>El Instituto Federal de Acceso a la Información y Protección de Datos no cuenta con facultades para pronunciarse respecto de la veracidad de los documentos proporcionados por los sujetos obligados</w:t>
      </w:r>
      <w:r w:rsidRPr="00F07EAD">
        <w:rPr>
          <w:rFonts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w:t>
      </w:r>
      <w:r w:rsidRPr="00F07EAD">
        <w:rPr>
          <w:rFonts w:cs="Arial"/>
          <w:i/>
        </w:rPr>
        <w:lastRenderedPageBreak/>
        <w:t xml:space="preserve">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F07EAD">
        <w:rPr>
          <w:rFonts w:cs="Arial"/>
          <w:i/>
        </w:rPr>
        <w:t>Marván</w:t>
      </w:r>
      <w:proofErr w:type="spellEnd"/>
      <w:r w:rsidRPr="00F07EAD">
        <w:rPr>
          <w:rFonts w:cs="Arial"/>
          <w:i/>
        </w:rPr>
        <w:t xml:space="preserve"> Laborde 2395/09 Secretaría de Economía - María </w:t>
      </w:r>
      <w:proofErr w:type="spellStart"/>
      <w:r w:rsidRPr="00F07EAD">
        <w:rPr>
          <w:rFonts w:cs="Arial"/>
          <w:i/>
        </w:rPr>
        <w:t>Marván</w:t>
      </w:r>
      <w:proofErr w:type="spellEnd"/>
      <w:r w:rsidRPr="00F07EAD">
        <w:rPr>
          <w:rFonts w:cs="Arial"/>
          <w:i/>
        </w:rPr>
        <w:t xml:space="preserve"> Laborde 0837/10 Administración Portuaria Integral de Veracruz, S.A. de C.V. – María </w:t>
      </w:r>
      <w:proofErr w:type="spellStart"/>
      <w:r w:rsidRPr="00F07EAD">
        <w:rPr>
          <w:rFonts w:cs="Arial"/>
          <w:i/>
        </w:rPr>
        <w:t>Marván</w:t>
      </w:r>
      <w:proofErr w:type="spellEnd"/>
      <w:r w:rsidRPr="00F07EAD">
        <w:rPr>
          <w:rFonts w:cs="Arial"/>
          <w:i/>
        </w:rPr>
        <w:t xml:space="preserve"> Laborde </w:t>
      </w:r>
    </w:p>
    <w:p w14:paraId="27BE5049" w14:textId="77777777" w:rsidR="002358E8" w:rsidRPr="00F07EAD" w:rsidRDefault="002358E8" w:rsidP="002358E8">
      <w:pPr>
        <w:ind w:left="851" w:right="1134"/>
        <w:rPr>
          <w:rFonts w:cs="Arial"/>
          <w:i/>
        </w:rPr>
      </w:pPr>
      <w:r w:rsidRPr="00F07EAD">
        <w:rPr>
          <w:rFonts w:cs="Arial"/>
          <w:i/>
        </w:rPr>
        <w:t>Criterio 31/10</w:t>
      </w:r>
    </w:p>
    <w:p w14:paraId="4B1AC993" w14:textId="77777777" w:rsidR="002358E8" w:rsidRPr="00F07EAD" w:rsidRDefault="002358E8" w:rsidP="002358E8">
      <w:pPr>
        <w:rPr>
          <w:rFonts w:cs="Arial"/>
          <w:color w:val="000000"/>
        </w:rPr>
      </w:pPr>
    </w:p>
    <w:p w14:paraId="5DB3EA10" w14:textId="77777777" w:rsidR="002358E8" w:rsidRPr="00F07EAD" w:rsidRDefault="002358E8" w:rsidP="002358E8">
      <w:pPr>
        <w:rPr>
          <w:rFonts w:cs="Arial"/>
          <w:color w:val="000000"/>
        </w:rPr>
      </w:pPr>
      <w:r w:rsidRPr="00F07EAD">
        <w:rPr>
          <w:rFonts w:cs="Arial"/>
          <w:color w:val="000000"/>
        </w:rPr>
        <w:t>En tal sentido es que se considera que la respuesta da atención a la solicitud de información</w:t>
      </w:r>
      <w:r w:rsidRPr="00F07EAD">
        <w:rPr>
          <w:rFonts w:cs="Arial"/>
          <w:color w:val="000000"/>
          <w:lang w:val="es-419"/>
        </w:rPr>
        <w:t xml:space="preserve"> de mérito</w:t>
      </w:r>
      <w:r w:rsidRPr="00F07EAD">
        <w:rPr>
          <w:rFonts w:cs="Arial"/>
          <w:color w:val="000000"/>
        </w:rPr>
        <w:t>.</w:t>
      </w:r>
    </w:p>
    <w:p w14:paraId="5A274399" w14:textId="77777777" w:rsidR="002358E8" w:rsidRPr="00F07EAD" w:rsidRDefault="002358E8" w:rsidP="002358E8">
      <w:pPr>
        <w:rPr>
          <w:rFonts w:cs="Arial"/>
          <w:color w:val="000000"/>
        </w:rPr>
      </w:pPr>
    </w:p>
    <w:p w14:paraId="2F5931FB" w14:textId="0466901C" w:rsidR="002358E8" w:rsidRPr="00F07EAD" w:rsidRDefault="002358E8" w:rsidP="002358E8">
      <w:pPr>
        <w:ind w:right="51"/>
        <w:rPr>
          <w:rFonts w:cs="Arial"/>
        </w:rPr>
      </w:pPr>
      <w:r w:rsidRPr="00F07EAD">
        <w:rPr>
          <w:rFonts w:eastAsia="MS Mincho" w:cs="Arial"/>
        </w:rPr>
        <w:t>Así, en mérito</w:t>
      </w:r>
      <w:r w:rsidRPr="00F07EAD">
        <w:rPr>
          <w:rFonts w:cs="Arial"/>
        </w:rPr>
        <w:t xml:space="preserve"> de lo expuesto en líneas anteriores </w:t>
      </w:r>
      <w:r w:rsidRPr="00F07EAD">
        <w:rPr>
          <w:noProof/>
        </w:rPr>
        <w:t xml:space="preserve">resultan </w:t>
      </w:r>
      <w:r w:rsidRPr="00F07EAD">
        <w:rPr>
          <w:b/>
          <w:i/>
          <w:noProof/>
        </w:rPr>
        <w:t xml:space="preserve">infundadas </w:t>
      </w:r>
      <w:r w:rsidRPr="00F07EAD">
        <w:rPr>
          <w:noProof/>
        </w:rPr>
        <w:t xml:space="preserve">las razones o motivos de inconformidad que arguye la </w:t>
      </w:r>
      <w:r w:rsidRPr="00F07EAD">
        <w:rPr>
          <w:b/>
          <w:noProof/>
        </w:rPr>
        <w:t>Recurrente</w:t>
      </w:r>
      <w:r w:rsidRPr="00F07EAD">
        <w:rPr>
          <w:noProof/>
        </w:rPr>
        <w:t xml:space="preserve">, </w:t>
      </w:r>
      <w:r w:rsidRPr="00F07EAD">
        <w:rPr>
          <w:rFonts w:cs="Arial"/>
        </w:rPr>
        <w:t xml:space="preserve">por ello con fundamento en el artículo 186, fracción II, de la Ley de Transparencia y Acceso a la Información Pública del Estado de México y Municipios, se </w:t>
      </w:r>
      <w:r w:rsidRPr="00F07EAD">
        <w:rPr>
          <w:rFonts w:cs="Arial"/>
          <w:b/>
        </w:rPr>
        <w:t>CONFIRMA</w:t>
      </w:r>
      <w:r w:rsidRPr="00F07EAD">
        <w:rPr>
          <w:rFonts w:cs="Arial"/>
        </w:rPr>
        <w:t xml:space="preserve"> la respuesta a la solicitud de información pública número: </w:t>
      </w:r>
      <w:r w:rsidRPr="002358E8">
        <w:rPr>
          <w:rFonts w:eastAsia="Palatino Linotype" w:cs="Palatino Linotype"/>
          <w:b/>
          <w:lang w:val="es-MX"/>
        </w:rPr>
        <w:t>00098/DIFTOLUCA/IP/2023</w:t>
      </w:r>
      <w:r w:rsidRPr="00F07EAD">
        <w:rPr>
          <w:rFonts w:cs="Arial"/>
        </w:rPr>
        <w:t xml:space="preserve">; </w:t>
      </w:r>
      <w:r w:rsidRPr="00F07EAD">
        <w:t>que ha sido materia del presente fallo, p</w:t>
      </w:r>
      <w:r w:rsidRPr="00F07EAD">
        <w:rPr>
          <w:rFonts w:cs="Arial"/>
        </w:rPr>
        <w:t>or lo antes expuesto y fundado es de resolverse y;</w:t>
      </w:r>
    </w:p>
    <w:p w14:paraId="0BDF2528" w14:textId="77777777" w:rsidR="002358E8" w:rsidRPr="00F07EAD" w:rsidRDefault="002358E8" w:rsidP="002358E8">
      <w:pPr>
        <w:ind w:right="51"/>
        <w:rPr>
          <w:rFonts w:cs="Arial"/>
        </w:rPr>
      </w:pPr>
    </w:p>
    <w:p w14:paraId="0AA12123" w14:textId="77777777" w:rsidR="002358E8" w:rsidRPr="00F07EAD" w:rsidRDefault="002358E8" w:rsidP="002358E8">
      <w:pPr>
        <w:jc w:val="center"/>
        <w:rPr>
          <w:b/>
          <w:bCs/>
          <w:spacing w:val="60"/>
        </w:rPr>
      </w:pPr>
      <w:r w:rsidRPr="00F07EAD">
        <w:rPr>
          <w:b/>
          <w:bCs/>
          <w:spacing w:val="60"/>
        </w:rPr>
        <w:t>SE    RESUELVE</w:t>
      </w:r>
    </w:p>
    <w:p w14:paraId="6280F8A1" w14:textId="77777777" w:rsidR="002358E8" w:rsidRPr="00F07EAD" w:rsidRDefault="002358E8" w:rsidP="002358E8">
      <w:pPr>
        <w:rPr>
          <w:rFonts w:cs="Arial"/>
        </w:rPr>
      </w:pPr>
    </w:p>
    <w:p w14:paraId="08CF2C2E" w14:textId="5DC071F2" w:rsidR="002358E8" w:rsidRPr="00F07EAD" w:rsidRDefault="002358E8" w:rsidP="002358E8">
      <w:pPr>
        <w:rPr>
          <w:rFonts w:cs="Arial"/>
          <w:b/>
        </w:rPr>
      </w:pPr>
      <w:r w:rsidRPr="002358E8">
        <w:rPr>
          <w:rFonts w:cs="Arial"/>
          <w:b/>
          <w:sz w:val="28"/>
        </w:rPr>
        <w:t>PRIMERO.</w:t>
      </w:r>
      <w:r w:rsidRPr="00F07EAD">
        <w:rPr>
          <w:rFonts w:cs="Arial"/>
        </w:rPr>
        <w:t xml:space="preserve"> Se </w:t>
      </w:r>
      <w:r w:rsidRPr="00F07EAD">
        <w:rPr>
          <w:rFonts w:cs="Arial"/>
          <w:b/>
        </w:rPr>
        <w:t>CONFIRMA</w:t>
      </w:r>
      <w:r w:rsidRPr="00F07EAD">
        <w:rPr>
          <w:rFonts w:cs="Arial"/>
        </w:rPr>
        <w:t xml:space="preserve"> la respuesta a la solicitud de información: </w:t>
      </w:r>
      <w:r w:rsidRPr="002358E8">
        <w:rPr>
          <w:rFonts w:eastAsia="Palatino Linotype" w:cs="Palatino Linotype"/>
          <w:b/>
          <w:lang w:val="es-MX"/>
        </w:rPr>
        <w:t>00098/DIFTOLUCA/IP/2023</w:t>
      </w:r>
      <w:r w:rsidRPr="00F07EAD">
        <w:rPr>
          <w:rFonts w:cs="Arial"/>
        </w:rPr>
        <w:t xml:space="preserve">, recaída en el recurso de revisión </w:t>
      </w:r>
      <w:r>
        <w:rPr>
          <w:rFonts w:eastAsia="Palatino Linotype" w:cs="Palatino Linotype"/>
          <w:b/>
          <w:lang w:val="es-419"/>
        </w:rPr>
        <w:t>02985</w:t>
      </w:r>
      <w:r w:rsidRPr="00F07EAD">
        <w:rPr>
          <w:rFonts w:eastAsia="Palatino Linotype" w:cs="Palatino Linotype"/>
          <w:b/>
        </w:rPr>
        <w:t>/INFOEM/IP/RR/2023</w:t>
      </w:r>
      <w:r w:rsidRPr="00F07EAD">
        <w:rPr>
          <w:rFonts w:cs="Arial"/>
          <w:b/>
          <w:bCs/>
        </w:rPr>
        <w:t xml:space="preserve">, </w:t>
      </w:r>
      <w:r w:rsidRPr="00F07EAD">
        <w:rPr>
          <w:rFonts w:cs="Arial"/>
        </w:rPr>
        <w:t>por resultar infundadas las razones o motivos de inconformidad hechos valer por la</w:t>
      </w:r>
      <w:r w:rsidRPr="00F07EAD">
        <w:rPr>
          <w:rFonts w:cs="Arial"/>
          <w:b/>
        </w:rPr>
        <w:t xml:space="preserve"> Recurrente</w:t>
      </w:r>
      <w:r w:rsidRPr="00F07EAD">
        <w:rPr>
          <w:rFonts w:cs="Arial"/>
        </w:rPr>
        <w:t xml:space="preserve"> en términos del Considerando </w:t>
      </w:r>
      <w:r>
        <w:rPr>
          <w:rFonts w:cs="Arial"/>
          <w:b/>
        </w:rPr>
        <w:t>CUARTO</w:t>
      </w:r>
      <w:r w:rsidRPr="00F07EAD">
        <w:rPr>
          <w:rFonts w:cs="Arial"/>
          <w:b/>
        </w:rPr>
        <w:t xml:space="preserve"> </w:t>
      </w:r>
      <w:r w:rsidRPr="00F07EAD">
        <w:rPr>
          <w:rFonts w:cs="Arial"/>
        </w:rPr>
        <w:t>de</w:t>
      </w:r>
      <w:r w:rsidRPr="00F07EAD">
        <w:rPr>
          <w:rFonts w:cs="Arial"/>
          <w:b/>
        </w:rPr>
        <w:t xml:space="preserve"> </w:t>
      </w:r>
      <w:r w:rsidRPr="00F07EAD">
        <w:rPr>
          <w:rFonts w:cs="Arial"/>
        </w:rPr>
        <w:t>la presente resolución.</w:t>
      </w:r>
    </w:p>
    <w:p w14:paraId="0EDEA593" w14:textId="77777777" w:rsidR="002358E8" w:rsidRPr="00F07EAD" w:rsidRDefault="002358E8" w:rsidP="002358E8">
      <w:pPr>
        <w:rPr>
          <w:rFonts w:cs="Arial"/>
        </w:rPr>
      </w:pPr>
    </w:p>
    <w:p w14:paraId="0E82A91C" w14:textId="77777777" w:rsidR="002358E8" w:rsidRPr="00F07EAD" w:rsidRDefault="002358E8" w:rsidP="002358E8">
      <w:pPr>
        <w:rPr>
          <w:rFonts w:cs="Arial"/>
        </w:rPr>
      </w:pPr>
      <w:r w:rsidRPr="002358E8">
        <w:rPr>
          <w:rFonts w:cs="Arial"/>
          <w:b/>
          <w:sz w:val="28"/>
        </w:rPr>
        <w:t>SEGUNDO</w:t>
      </w:r>
      <w:r w:rsidRPr="002358E8">
        <w:rPr>
          <w:rFonts w:cs="Arial"/>
          <w:sz w:val="28"/>
        </w:rPr>
        <w:t xml:space="preserve">. </w:t>
      </w:r>
      <w:r w:rsidRPr="00F07EAD">
        <w:rPr>
          <w:rFonts w:cs="Arial"/>
        </w:rPr>
        <w:t>Notifíquese la presente resolución al</w:t>
      </w:r>
      <w:r w:rsidRPr="00F07EAD">
        <w:t xml:space="preserve"> </w:t>
      </w:r>
      <w:r w:rsidRPr="00F07EAD">
        <w:rPr>
          <w:rFonts w:cs="Arial"/>
        </w:rPr>
        <w:t>Titular</w:t>
      </w:r>
      <w:r w:rsidRPr="00F07EAD">
        <w:t xml:space="preserve"> </w:t>
      </w:r>
      <w:r w:rsidRPr="00F07EAD">
        <w:rPr>
          <w:rFonts w:cs="Arial"/>
        </w:rPr>
        <w:t xml:space="preserve">de la Unidad de Transparencia del Sujeto Obligado mediante el </w:t>
      </w:r>
      <w:r w:rsidRPr="00F07EAD">
        <w:rPr>
          <w:rFonts w:cs="Arial"/>
          <w:lang w:val="es-419"/>
        </w:rPr>
        <w:t>Sistema de Acceso a la Información Mexiquense (</w:t>
      </w:r>
      <w:r w:rsidRPr="00F07EAD">
        <w:rPr>
          <w:rFonts w:cs="Arial"/>
        </w:rPr>
        <w:t>SAIMEX</w:t>
      </w:r>
      <w:r w:rsidRPr="00F07EAD">
        <w:rPr>
          <w:rFonts w:cs="Arial"/>
          <w:lang w:val="es-419"/>
        </w:rPr>
        <w:t>)</w:t>
      </w:r>
      <w:r w:rsidRPr="00F07EAD">
        <w:rPr>
          <w:rFonts w:cs="Arial"/>
        </w:rPr>
        <w:t>.</w:t>
      </w:r>
    </w:p>
    <w:p w14:paraId="459E4D32" w14:textId="77777777" w:rsidR="002358E8" w:rsidRPr="00F07EAD" w:rsidRDefault="002358E8" w:rsidP="002358E8">
      <w:pPr>
        <w:rPr>
          <w:rFonts w:cs="Arial"/>
        </w:rPr>
      </w:pPr>
    </w:p>
    <w:p w14:paraId="5D44F2F7" w14:textId="65044F94" w:rsidR="00B97B0E" w:rsidRDefault="002358E8" w:rsidP="002358E8">
      <w:pPr>
        <w:contextualSpacing/>
        <w:rPr>
          <w:rFonts w:eastAsia="Times New Roman" w:cs="Arial"/>
          <w:szCs w:val="24"/>
        </w:rPr>
      </w:pPr>
      <w:r w:rsidRPr="002358E8">
        <w:rPr>
          <w:rFonts w:cs="Arial"/>
          <w:b/>
          <w:sz w:val="28"/>
        </w:rPr>
        <w:t>TERCERO</w:t>
      </w:r>
      <w:r w:rsidRPr="002358E8">
        <w:rPr>
          <w:rFonts w:cs="Arial"/>
          <w:sz w:val="28"/>
        </w:rPr>
        <w:t xml:space="preserve">. </w:t>
      </w:r>
      <w:r w:rsidRPr="00F07EAD">
        <w:rPr>
          <w:rFonts w:cs="Arial"/>
        </w:rPr>
        <w:t xml:space="preserve">Notifíquese al recurrente mediante el </w:t>
      </w:r>
      <w:r w:rsidRPr="00F07EAD">
        <w:rPr>
          <w:rFonts w:cs="Arial"/>
          <w:lang w:val="es-419"/>
        </w:rPr>
        <w:t>Sistema de Acceso a la Información Mexiquense (</w:t>
      </w:r>
      <w:r w:rsidRPr="00F07EAD">
        <w:rPr>
          <w:rFonts w:cs="Arial"/>
        </w:rPr>
        <w:t>SAIMEX</w:t>
      </w:r>
      <w:r w:rsidRPr="00F07EAD">
        <w:rPr>
          <w:rFonts w:cs="Arial"/>
          <w:lang w:val="es-419"/>
        </w:rPr>
        <w:t>)</w:t>
      </w:r>
      <w:r w:rsidRPr="00F07EAD">
        <w:rPr>
          <w:rFonts w:cs="Arial"/>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13BE9D31" w14:textId="77777777" w:rsidR="00CA61B9" w:rsidRPr="00F467A8" w:rsidRDefault="00CA61B9" w:rsidP="00CA61B9">
      <w:pPr>
        <w:contextualSpacing/>
        <w:rPr>
          <w:rFonts w:eastAsia="Palatino Linotype" w:cs="Palatino Linotype"/>
          <w:color w:val="000000"/>
          <w:szCs w:val="24"/>
        </w:rPr>
      </w:pPr>
    </w:p>
    <w:p w14:paraId="20573BFF" w14:textId="45A80BAC" w:rsidR="00A970D5" w:rsidRPr="006922F5" w:rsidRDefault="006922F5" w:rsidP="00235736">
      <w:pPr>
        <w:pBdr>
          <w:top w:val="nil"/>
          <w:left w:val="nil"/>
          <w:bottom w:val="nil"/>
          <w:right w:val="nil"/>
          <w:between w:val="nil"/>
        </w:pBdr>
        <w:ind w:right="-8"/>
        <w:contextualSpacing/>
        <w:rPr>
          <w:rFonts w:eastAsia="Palatino Linotype" w:cs="Palatino Linotype"/>
          <w:color w:val="000000"/>
          <w:szCs w:val="24"/>
        </w:rPr>
      </w:pPr>
      <w:r>
        <w:rPr>
          <w:rFonts w:eastAsia="Palatino Linotype" w:cs="Palatino Linotype"/>
          <w:color w:val="000000"/>
          <w:szCs w:val="24"/>
        </w:rPr>
        <w:t xml:space="preserve">ASÍ LO RESUELVE, POR </w:t>
      </w:r>
      <w:r w:rsidR="00593725">
        <w:rPr>
          <w:rFonts w:eastAsia="Palatino Linotype" w:cs="Palatino Linotype"/>
          <w:color w:val="000000"/>
          <w:szCs w:val="24"/>
        </w:rPr>
        <w:t xml:space="preserve">UNANIMIDAD </w:t>
      </w:r>
      <w:r>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C406E">
        <w:rPr>
          <w:rFonts w:eastAsia="Palatino Linotype" w:cs="Palatino Linotype"/>
          <w:color w:val="000000"/>
          <w:szCs w:val="24"/>
        </w:rPr>
        <w:t>CUARTA</w:t>
      </w:r>
      <w:r>
        <w:rPr>
          <w:rFonts w:eastAsia="Palatino Linotype" w:cs="Palatino Linotype"/>
          <w:color w:val="000000"/>
          <w:szCs w:val="24"/>
        </w:rPr>
        <w:t xml:space="preserve"> SESIÓN ORDINARIA CELEBRADA EL</w:t>
      </w:r>
      <w:r w:rsidR="00593725">
        <w:rPr>
          <w:rFonts w:eastAsia="Palatino Linotype" w:cs="Palatino Linotype"/>
          <w:color w:val="000000"/>
          <w:szCs w:val="24"/>
        </w:rPr>
        <w:t xml:space="preserve"> </w:t>
      </w:r>
      <w:r w:rsidR="004C406E">
        <w:rPr>
          <w:rFonts w:eastAsia="Palatino Linotype" w:cs="Palatino Linotype"/>
          <w:color w:val="000000"/>
          <w:szCs w:val="24"/>
        </w:rPr>
        <w:t>OCHO DE FEBRERO DE DOS MIL VEINITCUATRO</w:t>
      </w:r>
      <w:r>
        <w:rPr>
          <w:rFonts w:eastAsia="Palatino Linotype" w:cs="Palatino Linotype"/>
          <w:color w:val="000000"/>
          <w:szCs w:val="24"/>
        </w:rPr>
        <w:t xml:space="preserve">, ANTE EL SECRETARIO TÉCNICO </w:t>
      </w:r>
      <w:r w:rsidR="00235736">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15FE" w:rsidRPr="006922F5">
        <w:rPr>
          <w:rFonts w:eastAsia="Palatino Linotype" w:cs="Palatino Linotype"/>
          <w:color w:val="000000"/>
          <w:szCs w:val="24"/>
        </w:rPr>
        <w:t>--------------</w:t>
      </w:r>
      <w:r>
        <w:rPr>
          <w:rFonts w:eastAsia="Palatino Linotype" w:cs="Palatino Linotype"/>
          <w:color w:val="000000"/>
          <w:szCs w:val="24"/>
        </w:rPr>
        <w:t>---------------------------------------------------------------------------------------------------------------------</w:t>
      </w:r>
      <w:r w:rsidR="00BB2A3A">
        <w:rPr>
          <w:rFonts w:eastAsia="Palatino Linotype" w:cs="Palatino Linotype"/>
          <w:color w:val="000000"/>
          <w:szCs w:val="24"/>
        </w:rPr>
        <w:t>---------------------</w:t>
      </w:r>
      <w:r w:rsidR="00235736">
        <w:rPr>
          <w:rFonts w:eastAsia="Palatino Linotype" w:cs="Palatino Linotype"/>
          <w:color w:val="000000"/>
          <w:szCs w:val="24"/>
        </w:rPr>
        <w:t>----------------------------------------------------------------------------------------------------------------------</w:t>
      </w:r>
      <w:r w:rsidR="00B25DBA">
        <w:rPr>
          <w:rFonts w:eastAsia="Palatino Linotype" w:cs="Palatino Linotype"/>
          <w:color w:val="000000"/>
          <w:szCs w:val="24"/>
        </w:rPr>
        <w:t>-----------------------------------------------------------------------------------------------------------------------------------------------------------------------------------------------------------------------------------------------------------------------</w:t>
      </w:r>
      <w:r w:rsidR="004C406E">
        <w:rPr>
          <w:rFonts w:eastAsia="Palatino Linotype" w:cs="Palatino Linotype"/>
          <w:color w:val="000000"/>
          <w:szCs w:val="24"/>
        </w:rPr>
        <w:t>--------------</w:t>
      </w:r>
    </w:p>
    <w:p w14:paraId="4DA57669" w14:textId="29FF642E" w:rsidR="00A970D5" w:rsidRPr="004B7011" w:rsidRDefault="004C406E" w:rsidP="00235736">
      <w:pPr>
        <w:pBdr>
          <w:top w:val="nil"/>
          <w:left w:val="nil"/>
          <w:bottom w:val="nil"/>
          <w:right w:val="nil"/>
          <w:between w:val="nil"/>
        </w:pBdr>
        <w:spacing w:line="240" w:lineRule="auto"/>
        <w:ind w:right="-8"/>
        <w:contextualSpacing/>
        <w:rPr>
          <w:rFonts w:eastAsia="Palatino Linotype" w:cs="Palatino Linotype"/>
          <w:color w:val="000000"/>
          <w:sz w:val="20"/>
          <w:szCs w:val="20"/>
        </w:rPr>
      </w:pPr>
      <w:r>
        <w:rPr>
          <w:rFonts w:eastAsia="Palatino Linotype" w:cs="Palatino Linotype"/>
          <w:color w:val="000000"/>
          <w:sz w:val="20"/>
          <w:szCs w:val="20"/>
        </w:rPr>
        <w:t>JMV/CCR/</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100663">
      <w:headerReference w:type="even" r:id="rId14"/>
      <w:headerReference w:type="default" r:id="rId15"/>
      <w:footerReference w:type="default" r:id="rId16"/>
      <w:headerReference w:type="first" r:id="rId17"/>
      <w:footerReference w:type="first" r:id="rId18"/>
      <w:pgSz w:w="12240" w:h="15840"/>
      <w:pgMar w:top="255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92418" w14:textId="77777777" w:rsidR="00FC3177" w:rsidRDefault="00FC3177" w:rsidP="00F2498E">
      <w:pPr>
        <w:spacing w:line="240" w:lineRule="auto"/>
      </w:pPr>
      <w:r>
        <w:separator/>
      </w:r>
    </w:p>
  </w:endnote>
  <w:endnote w:type="continuationSeparator" w:id="0">
    <w:p w14:paraId="479B916E" w14:textId="77777777" w:rsidR="00FC3177" w:rsidRDefault="00FC3177" w:rsidP="00F2498E">
      <w:pPr>
        <w:spacing w:line="240" w:lineRule="auto"/>
      </w:pPr>
      <w:r>
        <w:continuationSeparator/>
      </w:r>
    </w:p>
  </w:endnote>
  <w:endnote w:type="continuationNotice" w:id="1">
    <w:p w14:paraId="0F2AE099" w14:textId="77777777" w:rsidR="00FC3177" w:rsidRDefault="00FC31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C3177" w:rsidRPr="00871A91" w:rsidRDefault="00FC317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D604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D6041">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C3177" w:rsidRPr="00871A91" w:rsidRDefault="00FC317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D604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D6041">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DC05E" w14:textId="77777777" w:rsidR="00FC3177" w:rsidRDefault="00FC3177" w:rsidP="00F2498E">
      <w:pPr>
        <w:spacing w:line="240" w:lineRule="auto"/>
      </w:pPr>
      <w:r>
        <w:separator/>
      </w:r>
    </w:p>
  </w:footnote>
  <w:footnote w:type="continuationSeparator" w:id="0">
    <w:p w14:paraId="1E4E02E3" w14:textId="77777777" w:rsidR="00FC3177" w:rsidRDefault="00FC3177" w:rsidP="00F2498E">
      <w:pPr>
        <w:spacing w:line="240" w:lineRule="auto"/>
      </w:pPr>
      <w:r>
        <w:continuationSeparator/>
      </w:r>
    </w:p>
  </w:footnote>
  <w:footnote w:type="continuationNotice" w:id="1">
    <w:p w14:paraId="4FF52F35" w14:textId="77777777" w:rsidR="00FC3177" w:rsidRDefault="00FC31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C3177" w:rsidRDefault="00AD6041">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C3177" w:rsidRPr="00B17577" w14:paraId="37B9EBDE" w14:textId="77777777" w:rsidTr="003938ED">
      <w:trPr>
        <w:trHeight w:val="227"/>
      </w:trPr>
      <w:tc>
        <w:tcPr>
          <w:tcW w:w="5103" w:type="dxa"/>
          <w:hideMark/>
        </w:tcPr>
        <w:p w14:paraId="4964FBC5" w14:textId="54CDA645" w:rsidR="00FC3177" w:rsidRPr="00096248" w:rsidRDefault="00FC317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8806120" w:rsidR="00FC3177" w:rsidRPr="00096248" w:rsidRDefault="00FC3177" w:rsidP="006C3B33">
          <w:pPr>
            <w:spacing w:after="120" w:line="240" w:lineRule="auto"/>
            <w:ind w:right="71"/>
            <w:jc w:val="right"/>
            <w:rPr>
              <w:rFonts w:cs="Arial"/>
              <w:b/>
              <w:szCs w:val="24"/>
            </w:rPr>
          </w:pPr>
          <w:r>
            <w:rPr>
              <w:rFonts w:cs="Arial"/>
              <w:b/>
              <w:bCs/>
              <w:szCs w:val="24"/>
            </w:rPr>
            <w:t>02985</w:t>
          </w:r>
          <w:r w:rsidRPr="001D0070">
            <w:rPr>
              <w:rFonts w:cs="Arial"/>
              <w:b/>
              <w:bCs/>
              <w:szCs w:val="24"/>
            </w:rPr>
            <w:t>/INFOEM/IP/RR/2023</w:t>
          </w:r>
        </w:p>
      </w:tc>
    </w:tr>
    <w:tr w:rsidR="00FC3177" w14:paraId="7591D3C9" w14:textId="77777777" w:rsidTr="003938ED">
      <w:trPr>
        <w:trHeight w:val="242"/>
      </w:trPr>
      <w:tc>
        <w:tcPr>
          <w:tcW w:w="5103" w:type="dxa"/>
          <w:hideMark/>
        </w:tcPr>
        <w:p w14:paraId="729A65A8" w14:textId="77777777" w:rsidR="00FC3177" w:rsidRPr="00096248" w:rsidRDefault="00FC317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2592FE1" w:rsidR="00FC3177" w:rsidRPr="00096248" w:rsidRDefault="00FC3177" w:rsidP="00100663">
          <w:pPr>
            <w:spacing w:after="120" w:line="240" w:lineRule="auto"/>
            <w:ind w:left="-81" w:right="71"/>
            <w:jc w:val="right"/>
            <w:rPr>
              <w:rFonts w:cs="Arial"/>
              <w:szCs w:val="24"/>
            </w:rPr>
          </w:pPr>
          <w:r w:rsidRPr="006C3B33">
            <w:rPr>
              <w:rFonts w:cs="Arial"/>
              <w:szCs w:val="24"/>
            </w:rPr>
            <w:t>Sistema Municipal Para el Desarrollo Integral de la Familia de Toluca</w:t>
          </w:r>
        </w:p>
      </w:tc>
    </w:tr>
    <w:tr w:rsidR="00FC3177" w:rsidRPr="00F63239" w14:paraId="037E914D" w14:textId="77777777" w:rsidTr="003938ED">
      <w:trPr>
        <w:trHeight w:val="342"/>
      </w:trPr>
      <w:tc>
        <w:tcPr>
          <w:tcW w:w="5103" w:type="dxa"/>
          <w:hideMark/>
        </w:tcPr>
        <w:p w14:paraId="7676B68F" w14:textId="64D69EAF" w:rsidR="00FC3177" w:rsidRPr="00096248" w:rsidRDefault="00FC317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C3177" w:rsidRDefault="00FC317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C3177" w:rsidRPr="00711916" w:rsidRDefault="00FC3177" w:rsidP="00011C4D">
          <w:pPr>
            <w:spacing w:after="120" w:line="240" w:lineRule="auto"/>
            <w:ind w:left="-486" w:right="71" w:firstLine="567"/>
            <w:jc w:val="right"/>
            <w:rPr>
              <w:rFonts w:cs="Arial"/>
              <w:sz w:val="2"/>
              <w:szCs w:val="2"/>
            </w:rPr>
          </w:pPr>
        </w:p>
      </w:tc>
    </w:tr>
  </w:tbl>
  <w:p w14:paraId="2998DBFD" w14:textId="25A9F426" w:rsidR="00FC3177" w:rsidRPr="00871A91" w:rsidRDefault="00AD6041">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1pt;margin-top:-123.1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r w:rsidR="00FC317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C3177" w14:paraId="0F9FE9B6" w14:textId="77777777" w:rsidTr="003938ED">
      <w:trPr>
        <w:trHeight w:val="227"/>
      </w:trPr>
      <w:tc>
        <w:tcPr>
          <w:tcW w:w="5103" w:type="dxa"/>
          <w:hideMark/>
        </w:tcPr>
        <w:p w14:paraId="6D1D9D71" w14:textId="11150E5A" w:rsidR="00FC3177" w:rsidRPr="00663A37" w:rsidRDefault="00FC317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CE3B5E6" w:rsidR="00FC3177" w:rsidRPr="00C81ECD" w:rsidRDefault="00FC3177" w:rsidP="006C3B33">
          <w:pPr>
            <w:spacing w:after="120" w:line="240" w:lineRule="auto"/>
            <w:ind w:left="-486" w:right="68" w:firstLine="558"/>
            <w:jc w:val="right"/>
            <w:rPr>
              <w:rFonts w:cs="Arial"/>
              <w:b/>
              <w:szCs w:val="24"/>
            </w:rPr>
          </w:pPr>
          <w:r>
            <w:rPr>
              <w:rFonts w:cs="Arial"/>
              <w:b/>
              <w:bCs/>
              <w:szCs w:val="24"/>
            </w:rPr>
            <w:t>02985</w:t>
          </w:r>
          <w:r w:rsidRPr="001D0070">
            <w:rPr>
              <w:rFonts w:cs="Arial"/>
              <w:b/>
              <w:bCs/>
              <w:szCs w:val="24"/>
            </w:rPr>
            <w:t>/INFOEM/IP/RR/2023</w:t>
          </w:r>
        </w:p>
      </w:tc>
    </w:tr>
    <w:tr w:rsidR="00FC3177" w:rsidRPr="001F57CD" w14:paraId="1377D264" w14:textId="77777777" w:rsidTr="003938ED">
      <w:trPr>
        <w:trHeight w:val="196"/>
      </w:trPr>
      <w:tc>
        <w:tcPr>
          <w:tcW w:w="5103" w:type="dxa"/>
          <w:hideMark/>
        </w:tcPr>
        <w:p w14:paraId="04D597A1" w14:textId="77777777" w:rsidR="00FC3177" w:rsidRPr="00663A37" w:rsidRDefault="00FC317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B0E589A" w:rsidR="00FC3177" w:rsidRPr="00663A37" w:rsidRDefault="00AD6041" w:rsidP="00011C4D">
          <w:pPr>
            <w:spacing w:after="120" w:line="240" w:lineRule="auto"/>
            <w:ind w:right="68"/>
            <w:jc w:val="right"/>
            <w:rPr>
              <w:rFonts w:cs="Arial"/>
              <w:szCs w:val="24"/>
            </w:rPr>
          </w:pPr>
          <w:r>
            <w:rPr>
              <w:rFonts w:cs="Arial"/>
              <w:szCs w:val="24"/>
            </w:rPr>
            <w:t>XXXX</w:t>
          </w:r>
        </w:p>
      </w:tc>
    </w:tr>
    <w:tr w:rsidR="00FC3177" w14:paraId="4DC11993" w14:textId="77777777" w:rsidTr="003938ED">
      <w:trPr>
        <w:trHeight w:val="242"/>
      </w:trPr>
      <w:tc>
        <w:tcPr>
          <w:tcW w:w="5103" w:type="dxa"/>
          <w:hideMark/>
        </w:tcPr>
        <w:p w14:paraId="76CEF1B5" w14:textId="77777777" w:rsidR="00FC3177" w:rsidRPr="00663A37" w:rsidRDefault="00FC317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DA80029" w:rsidR="00FC3177" w:rsidRPr="00663A37" w:rsidRDefault="00FC3177" w:rsidP="00100663">
          <w:pPr>
            <w:spacing w:after="120" w:line="240" w:lineRule="auto"/>
            <w:ind w:left="-70" w:right="68"/>
            <w:jc w:val="right"/>
            <w:rPr>
              <w:rFonts w:cs="Arial"/>
              <w:szCs w:val="24"/>
            </w:rPr>
          </w:pPr>
          <w:r w:rsidRPr="006C3B33">
            <w:rPr>
              <w:rFonts w:cs="Arial"/>
              <w:szCs w:val="24"/>
            </w:rPr>
            <w:t>Sistema Municipal Para el Desarrollo Integral de la Familia de Toluca</w:t>
          </w:r>
        </w:p>
      </w:tc>
    </w:tr>
    <w:tr w:rsidR="00FC3177" w14:paraId="5C2B511D" w14:textId="77777777" w:rsidTr="003938ED">
      <w:trPr>
        <w:trHeight w:val="342"/>
      </w:trPr>
      <w:tc>
        <w:tcPr>
          <w:tcW w:w="5103" w:type="dxa"/>
          <w:hideMark/>
        </w:tcPr>
        <w:p w14:paraId="03FEF68C" w14:textId="45E91CF4" w:rsidR="00FC3177" w:rsidRPr="00663A37" w:rsidRDefault="00FC317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C3177" w:rsidRPr="00663A37" w:rsidRDefault="00FC317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C3177" w:rsidRPr="00871A91" w:rsidRDefault="00AD6041">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3.15pt;margin-top:-123.0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FC317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nsid w:val="28E222FE"/>
    <w:multiLevelType w:val="hybridMultilevel"/>
    <w:tmpl w:val="E4CE4BB4"/>
    <w:lvl w:ilvl="0" w:tplc="080A000B">
      <w:start w:val="1"/>
      <w:numFmt w:val="bullet"/>
      <w:lvlText w:val=""/>
      <w:lvlJc w:val="left"/>
      <w:pPr>
        <w:ind w:left="927" w:hanging="360"/>
      </w:pPr>
      <w:rPr>
        <w:rFonts w:ascii="Wingdings" w:hAnsi="Wingdings" w:hint="default"/>
        <w:b/>
      </w:rPr>
    </w:lvl>
    <w:lvl w:ilvl="1" w:tplc="080A0003">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nsid w:val="35CB7CB8"/>
    <w:multiLevelType w:val="hybridMultilevel"/>
    <w:tmpl w:val="BE927FBC"/>
    <w:lvl w:ilvl="0" w:tplc="536CA59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D278A4"/>
    <w:multiLevelType w:val="hybridMultilevel"/>
    <w:tmpl w:val="7160FAA8"/>
    <w:lvl w:ilvl="0" w:tplc="BEE4EC0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28">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A96121A"/>
    <w:multiLevelType w:val="hybridMultilevel"/>
    <w:tmpl w:val="8B584792"/>
    <w:lvl w:ilvl="0" w:tplc="0E089F4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28"/>
  </w:num>
  <w:num w:numId="3">
    <w:abstractNumId w:val="4"/>
  </w:num>
  <w:num w:numId="4">
    <w:abstractNumId w:val="22"/>
  </w:num>
  <w:num w:numId="5">
    <w:abstractNumId w:val="20"/>
  </w:num>
  <w:num w:numId="6">
    <w:abstractNumId w:val="7"/>
  </w:num>
  <w:num w:numId="7">
    <w:abstractNumId w:val="25"/>
  </w:num>
  <w:num w:numId="8">
    <w:abstractNumId w:val="34"/>
  </w:num>
  <w:num w:numId="9">
    <w:abstractNumId w:val="27"/>
  </w:num>
  <w:num w:numId="10">
    <w:abstractNumId w:val="3"/>
  </w:num>
  <w:num w:numId="11">
    <w:abstractNumId w:val="23"/>
  </w:num>
  <w:num w:numId="12">
    <w:abstractNumId w:val="8"/>
  </w:num>
  <w:num w:numId="13">
    <w:abstractNumId w:val="9"/>
  </w:num>
  <w:num w:numId="14">
    <w:abstractNumId w:val="21"/>
  </w:num>
  <w:num w:numId="15">
    <w:abstractNumId w:val="13"/>
  </w:num>
  <w:num w:numId="16">
    <w:abstractNumId w:val="29"/>
  </w:num>
  <w:num w:numId="17">
    <w:abstractNumId w:val="32"/>
  </w:num>
  <w:num w:numId="18">
    <w:abstractNumId w:val="1"/>
  </w:num>
  <w:num w:numId="19">
    <w:abstractNumId w:val="26"/>
  </w:num>
  <w:num w:numId="20">
    <w:abstractNumId w:val="6"/>
  </w:num>
  <w:num w:numId="21">
    <w:abstractNumId w:val="17"/>
  </w:num>
  <w:num w:numId="22">
    <w:abstractNumId w:val="2"/>
  </w:num>
  <w:num w:numId="23">
    <w:abstractNumId w:val="0"/>
  </w:num>
  <w:num w:numId="24">
    <w:abstractNumId w:val="10"/>
  </w:num>
  <w:num w:numId="25">
    <w:abstractNumId w:val="14"/>
  </w:num>
  <w:num w:numId="26">
    <w:abstractNumId w:val="12"/>
  </w:num>
  <w:num w:numId="27">
    <w:abstractNumId w:val="33"/>
  </w:num>
  <w:num w:numId="28">
    <w:abstractNumId w:val="31"/>
  </w:num>
  <w:num w:numId="29">
    <w:abstractNumId w:val="5"/>
  </w:num>
  <w:num w:numId="30">
    <w:abstractNumId w:val="18"/>
  </w:num>
  <w:num w:numId="31">
    <w:abstractNumId w:val="15"/>
  </w:num>
  <w:num w:numId="32">
    <w:abstractNumId w:val="36"/>
  </w:num>
  <w:num w:numId="33">
    <w:abstractNumId w:val="35"/>
  </w:num>
  <w:num w:numId="34">
    <w:abstractNumId w:val="19"/>
  </w:num>
  <w:num w:numId="35">
    <w:abstractNumId w:val="11"/>
  </w:num>
  <w:num w:numId="36">
    <w:abstractNumId w:val="30"/>
  </w:num>
  <w:num w:numId="3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A2"/>
    <w:rsid w:val="00002C6A"/>
    <w:rsid w:val="00002CED"/>
    <w:rsid w:val="00003412"/>
    <w:rsid w:val="000034AA"/>
    <w:rsid w:val="00003F45"/>
    <w:rsid w:val="00004014"/>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2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D5F"/>
    <w:rsid w:val="00036EFC"/>
    <w:rsid w:val="000405E6"/>
    <w:rsid w:val="00040A10"/>
    <w:rsid w:val="00041421"/>
    <w:rsid w:val="00041670"/>
    <w:rsid w:val="000417BE"/>
    <w:rsid w:val="00041AE7"/>
    <w:rsid w:val="00041DEA"/>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2D5"/>
    <w:rsid w:val="00082E5D"/>
    <w:rsid w:val="00083498"/>
    <w:rsid w:val="0008496A"/>
    <w:rsid w:val="000849EF"/>
    <w:rsid w:val="000855D9"/>
    <w:rsid w:val="00085EA2"/>
    <w:rsid w:val="0008628E"/>
    <w:rsid w:val="000864CC"/>
    <w:rsid w:val="0008737D"/>
    <w:rsid w:val="00087AFB"/>
    <w:rsid w:val="00087F54"/>
    <w:rsid w:val="0009020C"/>
    <w:rsid w:val="00090297"/>
    <w:rsid w:val="00090A37"/>
    <w:rsid w:val="00091848"/>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4202"/>
    <w:rsid w:val="000A4CE4"/>
    <w:rsid w:val="000A5EA1"/>
    <w:rsid w:val="000B1F27"/>
    <w:rsid w:val="000B2390"/>
    <w:rsid w:val="000B28CF"/>
    <w:rsid w:val="000B491D"/>
    <w:rsid w:val="000B51CE"/>
    <w:rsid w:val="000B5608"/>
    <w:rsid w:val="000B65C3"/>
    <w:rsid w:val="000C0203"/>
    <w:rsid w:val="000C066A"/>
    <w:rsid w:val="000C0E5D"/>
    <w:rsid w:val="000C2D59"/>
    <w:rsid w:val="000C416A"/>
    <w:rsid w:val="000C51AF"/>
    <w:rsid w:val="000C568A"/>
    <w:rsid w:val="000C661C"/>
    <w:rsid w:val="000C7472"/>
    <w:rsid w:val="000C7F8F"/>
    <w:rsid w:val="000D0CD3"/>
    <w:rsid w:val="000D14DA"/>
    <w:rsid w:val="000D2C63"/>
    <w:rsid w:val="000D3C8A"/>
    <w:rsid w:val="000D422C"/>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0663"/>
    <w:rsid w:val="0010147E"/>
    <w:rsid w:val="0010149D"/>
    <w:rsid w:val="00103C89"/>
    <w:rsid w:val="00103D8C"/>
    <w:rsid w:val="001050A9"/>
    <w:rsid w:val="001059AF"/>
    <w:rsid w:val="001067FE"/>
    <w:rsid w:val="00107256"/>
    <w:rsid w:val="001107C4"/>
    <w:rsid w:val="0011110C"/>
    <w:rsid w:val="001116B7"/>
    <w:rsid w:val="0011295F"/>
    <w:rsid w:val="00114C24"/>
    <w:rsid w:val="00114F1E"/>
    <w:rsid w:val="00115495"/>
    <w:rsid w:val="00116E4B"/>
    <w:rsid w:val="00116F6B"/>
    <w:rsid w:val="00121842"/>
    <w:rsid w:val="00121F46"/>
    <w:rsid w:val="001235A0"/>
    <w:rsid w:val="00123A80"/>
    <w:rsid w:val="00123D0B"/>
    <w:rsid w:val="00130C18"/>
    <w:rsid w:val="00131262"/>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2C5"/>
    <w:rsid w:val="00155CC6"/>
    <w:rsid w:val="00155F53"/>
    <w:rsid w:val="001564E3"/>
    <w:rsid w:val="00156699"/>
    <w:rsid w:val="001568D5"/>
    <w:rsid w:val="00157D2B"/>
    <w:rsid w:val="001602ED"/>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2C67"/>
    <w:rsid w:val="0017523B"/>
    <w:rsid w:val="00175B42"/>
    <w:rsid w:val="0017633C"/>
    <w:rsid w:val="00176522"/>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D28"/>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0070"/>
    <w:rsid w:val="001D1B77"/>
    <w:rsid w:val="001D225B"/>
    <w:rsid w:val="001D3563"/>
    <w:rsid w:val="001D3687"/>
    <w:rsid w:val="001D3EE2"/>
    <w:rsid w:val="001D41E0"/>
    <w:rsid w:val="001D4382"/>
    <w:rsid w:val="001D6CA8"/>
    <w:rsid w:val="001E04CC"/>
    <w:rsid w:val="001E1A95"/>
    <w:rsid w:val="001E2186"/>
    <w:rsid w:val="001E21A0"/>
    <w:rsid w:val="001E2646"/>
    <w:rsid w:val="001E2BA9"/>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6A67"/>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DBC"/>
    <w:rsid w:val="00230E13"/>
    <w:rsid w:val="0023118D"/>
    <w:rsid w:val="00232621"/>
    <w:rsid w:val="0023293E"/>
    <w:rsid w:val="00232A7A"/>
    <w:rsid w:val="00232DA5"/>
    <w:rsid w:val="00232F2F"/>
    <w:rsid w:val="00232F87"/>
    <w:rsid w:val="002338B9"/>
    <w:rsid w:val="00234061"/>
    <w:rsid w:val="002349A9"/>
    <w:rsid w:val="00234E3C"/>
    <w:rsid w:val="00235736"/>
    <w:rsid w:val="0023573F"/>
    <w:rsid w:val="002358E8"/>
    <w:rsid w:val="00236B9A"/>
    <w:rsid w:val="002372F0"/>
    <w:rsid w:val="00240046"/>
    <w:rsid w:val="00241201"/>
    <w:rsid w:val="002432E1"/>
    <w:rsid w:val="00243315"/>
    <w:rsid w:val="00245AC1"/>
    <w:rsid w:val="00246269"/>
    <w:rsid w:val="00252443"/>
    <w:rsid w:val="002530AE"/>
    <w:rsid w:val="0025386E"/>
    <w:rsid w:val="00253E5E"/>
    <w:rsid w:val="002547B2"/>
    <w:rsid w:val="0025565C"/>
    <w:rsid w:val="00255FD1"/>
    <w:rsid w:val="00256CE0"/>
    <w:rsid w:val="00261886"/>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06D1"/>
    <w:rsid w:val="002811E3"/>
    <w:rsid w:val="002813B2"/>
    <w:rsid w:val="00282431"/>
    <w:rsid w:val="00282E9E"/>
    <w:rsid w:val="00283BBD"/>
    <w:rsid w:val="00283D5E"/>
    <w:rsid w:val="00284245"/>
    <w:rsid w:val="00285034"/>
    <w:rsid w:val="00285A94"/>
    <w:rsid w:val="00286AA3"/>
    <w:rsid w:val="00287C9D"/>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2203"/>
    <w:rsid w:val="002A51B8"/>
    <w:rsid w:val="002A5ADD"/>
    <w:rsid w:val="002A5FDF"/>
    <w:rsid w:val="002A650A"/>
    <w:rsid w:val="002A6FCE"/>
    <w:rsid w:val="002A7501"/>
    <w:rsid w:val="002B0EA1"/>
    <w:rsid w:val="002B317E"/>
    <w:rsid w:val="002B3CE2"/>
    <w:rsid w:val="002B40FF"/>
    <w:rsid w:val="002B44C4"/>
    <w:rsid w:val="002B4EB9"/>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039"/>
    <w:rsid w:val="00340ADD"/>
    <w:rsid w:val="00341178"/>
    <w:rsid w:val="00341B42"/>
    <w:rsid w:val="00341DB4"/>
    <w:rsid w:val="003420E1"/>
    <w:rsid w:val="003423FC"/>
    <w:rsid w:val="0034444F"/>
    <w:rsid w:val="00344766"/>
    <w:rsid w:val="00344AD3"/>
    <w:rsid w:val="00345089"/>
    <w:rsid w:val="00345427"/>
    <w:rsid w:val="00345687"/>
    <w:rsid w:val="00345708"/>
    <w:rsid w:val="00346373"/>
    <w:rsid w:val="003467CD"/>
    <w:rsid w:val="003471F0"/>
    <w:rsid w:val="003505B2"/>
    <w:rsid w:val="0035063B"/>
    <w:rsid w:val="003519DC"/>
    <w:rsid w:val="00352677"/>
    <w:rsid w:val="0035393E"/>
    <w:rsid w:val="00355981"/>
    <w:rsid w:val="00357437"/>
    <w:rsid w:val="00360189"/>
    <w:rsid w:val="0036188D"/>
    <w:rsid w:val="00362013"/>
    <w:rsid w:val="00362136"/>
    <w:rsid w:val="003623F5"/>
    <w:rsid w:val="0036336C"/>
    <w:rsid w:val="003637A1"/>
    <w:rsid w:val="00364169"/>
    <w:rsid w:val="003647C3"/>
    <w:rsid w:val="00364C0A"/>
    <w:rsid w:val="0037112D"/>
    <w:rsid w:val="003713C2"/>
    <w:rsid w:val="0037145D"/>
    <w:rsid w:val="0037172A"/>
    <w:rsid w:val="0037269A"/>
    <w:rsid w:val="0037526D"/>
    <w:rsid w:val="0037545E"/>
    <w:rsid w:val="00376405"/>
    <w:rsid w:val="0038157C"/>
    <w:rsid w:val="0038209B"/>
    <w:rsid w:val="003839F9"/>
    <w:rsid w:val="00385421"/>
    <w:rsid w:val="00386A48"/>
    <w:rsid w:val="00386F51"/>
    <w:rsid w:val="00387CF3"/>
    <w:rsid w:val="00390611"/>
    <w:rsid w:val="00391DD0"/>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94C"/>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4A15"/>
    <w:rsid w:val="003C4FF5"/>
    <w:rsid w:val="003C57BF"/>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5F"/>
    <w:rsid w:val="003E468A"/>
    <w:rsid w:val="003E4972"/>
    <w:rsid w:val="003E606D"/>
    <w:rsid w:val="003E6C77"/>
    <w:rsid w:val="003E6E17"/>
    <w:rsid w:val="003E7594"/>
    <w:rsid w:val="003F2491"/>
    <w:rsid w:val="003F308A"/>
    <w:rsid w:val="003F4582"/>
    <w:rsid w:val="003F5D5C"/>
    <w:rsid w:val="003F6192"/>
    <w:rsid w:val="003F61FA"/>
    <w:rsid w:val="00400915"/>
    <w:rsid w:val="0040187C"/>
    <w:rsid w:val="00402CBA"/>
    <w:rsid w:val="00403319"/>
    <w:rsid w:val="00404754"/>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B00"/>
    <w:rsid w:val="00421DD1"/>
    <w:rsid w:val="004232C6"/>
    <w:rsid w:val="00426124"/>
    <w:rsid w:val="00426F24"/>
    <w:rsid w:val="00430C63"/>
    <w:rsid w:val="004310BB"/>
    <w:rsid w:val="004325EA"/>
    <w:rsid w:val="004338C7"/>
    <w:rsid w:val="00433E65"/>
    <w:rsid w:val="00434C3F"/>
    <w:rsid w:val="00434EAD"/>
    <w:rsid w:val="00437085"/>
    <w:rsid w:val="004406B5"/>
    <w:rsid w:val="004431D5"/>
    <w:rsid w:val="004436C5"/>
    <w:rsid w:val="00444E7F"/>
    <w:rsid w:val="00445514"/>
    <w:rsid w:val="0044558A"/>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529A"/>
    <w:rsid w:val="0048788A"/>
    <w:rsid w:val="00487BBD"/>
    <w:rsid w:val="004900E8"/>
    <w:rsid w:val="0049095E"/>
    <w:rsid w:val="00490C99"/>
    <w:rsid w:val="0049216F"/>
    <w:rsid w:val="004928F5"/>
    <w:rsid w:val="004933FC"/>
    <w:rsid w:val="0049368A"/>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06E"/>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D7EE2"/>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921"/>
    <w:rsid w:val="00565C1E"/>
    <w:rsid w:val="005660D0"/>
    <w:rsid w:val="00566380"/>
    <w:rsid w:val="0056658C"/>
    <w:rsid w:val="00567D41"/>
    <w:rsid w:val="005701EF"/>
    <w:rsid w:val="00570367"/>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209A"/>
    <w:rsid w:val="00593725"/>
    <w:rsid w:val="005944ED"/>
    <w:rsid w:val="00595850"/>
    <w:rsid w:val="005964D7"/>
    <w:rsid w:val="00596D61"/>
    <w:rsid w:val="00597018"/>
    <w:rsid w:val="005A030B"/>
    <w:rsid w:val="005A0521"/>
    <w:rsid w:val="005A1C6D"/>
    <w:rsid w:val="005A1EA5"/>
    <w:rsid w:val="005A2137"/>
    <w:rsid w:val="005A2CE7"/>
    <w:rsid w:val="005A2F92"/>
    <w:rsid w:val="005A43E7"/>
    <w:rsid w:val="005A4480"/>
    <w:rsid w:val="005A60E9"/>
    <w:rsid w:val="005A77E1"/>
    <w:rsid w:val="005A7E33"/>
    <w:rsid w:val="005B10CC"/>
    <w:rsid w:val="005B4E14"/>
    <w:rsid w:val="005B52A0"/>
    <w:rsid w:val="005B538B"/>
    <w:rsid w:val="005B6FFD"/>
    <w:rsid w:val="005B72D5"/>
    <w:rsid w:val="005C0894"/>
    <w:rsid w:val="005C16D1"/>
    <w:rsid w:val="005C196C"/>
    <w:rsid w:val="005C32BE"/>
    <w:rsid w:val="005C3DF3"/>
    <w:rsid w:val="005C5501"/>
    <w:rsid w:val="005C5AEA"/>
    <w:rsid w:val="005C5EB4"/>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7E9F"/>
    <w:rsid w:val="005F1439"/>
    <w:rsid w:val="005F21B0"/>
    <w:rsid w:val="005F30F1"/>
    <w:rsid w:val="005F3103"/>
    <w:rsid w:val="005F4D3D"/>
    <w:rsid w:val="005F5B10"/>
    <w:rsid w:val="005F6CAB"/>
    <w:rsid w:val="0060129A"/>
    <w:rsid w:val="0060244C"/>
    <w:rsid w:val="006055AB"/>
    <w:rsid w:val="00610A95"/>
    <w:rsid w:val="00613401"/>
    <w:rsid w:val="00613F71"/>
    <w:rsid w:val="0061516D"/>
    <w:rsid w:val="00615B10"/>
    <w:rsid w:val="006168EB"/>
    <w:rsid w:val="00616DEB"/>
    <w:rsid w:val="00620DE2"/>
    <w:rsid w:val="00624E9E"/>
    <w:rsid w:val="0062573B"/>
    <w:rsid w:val="006263D3"/>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3DD2"/>
    <w:rsid w:val="00655007"/>
    <w:rsid w:val="0065599C"/>
    <w:rsid w:val="00655B5C"/>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7F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3B33"/>
    <w:rsid w:val="006C410C"/>
    <w:rsid w:val="006C48DE"/>
    <w:rsid w:val="006C52D3"/>
    <w:rsid w:val="006C55C2"/>
    <w:rsid w:val="006C55D7"/>
    <w:rsid w:val="006C6C41"/>
    <w:rsid w:val="006D1EC8"/>
    <w:rsid w:val="006D2D2B"/>
    <w:rsid w:val="006D3F59"/>
    <w:rsid w:val="006D41A6"/>
    <w:rsid w:val="006D438A"/>
    <w:rsid w:val="006D6830"/>
    <w:rsid w:val="006D719C"/>
    <w:rsid w:val="006D7DF3"/>
    <w:rsid w:val="006E15A2"/>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428B"/>
    <w:rsid w:val="006F676C"/>
    <w:rsid w:val="006F6AB6"/>
    <w:rsid w:val="00700C90"/>
    <w:rsid w:val="00701D18"/>
    <w:rsid w:val="00701F34"/>
    <w:rsid w:val="007031A2"/>
    <w:rsid w:val="00704693"/>
    <w:rsid w:val="0070491A"/>
    <w:rsid w:val="00704AB9"/>
    <w:rsid w:val="007054D8"/>
    <w:rsid w:val="00706D47"/>
    <w:rsid w:val="007070E1"/>
    <w:rsid w:val="00711916"/>
    <w:rsid w:val="00711EE2"/>
    <w:rsid w:val="00712D71"/>
    <w:rsid w:val="007130DA"/>
    <w:rsid w:val="00713380"/>
    <w:rsid w:val="00713DD5"/>
    <w:rsid w:val="007147B9"/>
    <w:rsid w:val="0071601C"/>
    <w:rsid w:val="007167AE"/>
    <w:rsid w:val="00720D8F"/>
    <w:rsid w:val="0072119A"/>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A56"/>
    <w:rsid w:val="0074665B"/>
    <w:rsid w:val="00746DD6"/>
    <w:rsid w:val="00746E60"/>
    <w:rsid w:val="00746FA8"/>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96785"/>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4416"/>
    <w:rsid w:val="007B46BF"/>
    <w:rsid w:val="007B6DD8"/>
    <w:rsid w:val="007C009D"/>
    <w:rsid w:val="007C05DC"/>
    <w:rsid w:val="007C0FF7"/>
    <w:rsid w:val="007C14EE"/>
    <w:rsid w:val="007C17F1"/>
    <w:rsid w:val="007C3040"/>
    <w:rsid w:val="007C354C"/>
    <w:rsid w:val="007C35DF"/>
    <w:rsid w:val="007C3BA4"/>
    <w:rsid w:val="007C3BBF"/>
    <w:rsid w:val="007C44C8"/>
    <w:rsid w:val="007C4E4F"/>
    <w:rsid w:val="007C5BB3"/>
    <w:rsid w:val="007C6783"/>
    <w:rsid w:val="007D0042"/>
    <w:rsid w:val="007D07B3"/>
    <w:rsid w:val="007D1B1E"/>
    <w:rsid w:val="007D1D80"/>
    <w:rsid w:val="007D2550"/>
    <w:rsid w:val="007D36A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0F4"/>
    <w:rsid w:val="00824570"/>
    <w:rsid w:val="00824E58"/>
    <w:rsid w:val="008275DC"/>
    <w:rsid w:val="0082778F"/>
    <w:rsid w:val="00827D60"/>
    <w:rsid w:val="008302C5"/>
    <w:rsid w:val="00830D47"/>
    <w:rsid w:val="00831867"/>
    <w:rsid w:val="00831D6C"/>
    <w:rsid w:val="00832F6C"/>
    <w:rsid w:val="008341ED"/>
    <w:rsid w:val="008362CE"/>
    <w:rsid w:val="00837584"/>
    <w:rsid w:val="00841673"/>
    <w:rsid w:val="00841963"/>
    <w:rsid w:val="008441B1"/>
    <w:rsid w:val="00845B52"/>
    <w:rsid w:val="00846D3E"/>
    <w:rsid w:val="00846DE7"/>
    <w:rsid w:val="008477B9"/>
    <w:rsid w:val="00847C27"/>
    <w:rsid w:val="008505FB"/>
    <w:rsid w:val="008523FA"/>
    <w:rsid w:val="008529E6"/>
    <w:rsid w:val="00852CDD"/>
    <w:rsid w:val="008542A4"/>
    <w:rsid w:val="00855E11"/>
    <w:rsid w:val="008569C6"/>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25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0A94"/>
    <w:rsid w:val="00891CFC"/>
    <w:rsid w:val="00891E79"/>
    <w:rsid w:val="008921AE"/>
    <w:rsid w:val="00895187"/>
    <w:rsid w:val="00895BD3"/>
    <w:rsid w:val="0089641A"/>
    <w:rsid w:val="00896EDC"/>
    <w:rsid w:val="00897CF4"/>
    <w:rsid w:val="008A06D7"/>
    <w:rsid w:val="008A0C9F"/>
    <w:rsid w:val="008A14F6"/>
    <w:rsid w:val="008A1645"/>
    <w:rsid w:val="008A3E6F"/>
    <w:rsid w:val="008A56C3"/>
    <w:rsid w:val="008A7EF2"/>
    <w:rsid w:val="008B003A"/>
    <w:rsid w:val="008B0DFB"/>
    <w:rsid w:val="008B2951"/>
    <w:rsid w:val="008B2BBB"/>
    <w:rsid w:val="008B389B"/>
    <w:rsid w:val="008B60D9"/>
    <w:rsid w:val="008B646D"/>
    <w:rsid w:val="008B6842"/>
    <w:rsid w:val="008B6CDF"/>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E5682"/>
    <w:rsid w:val="008F1C22"/>
    <w:rsid w:val="008F2554"/>
    <w:rsid w:val="008F47DC"/>
    <w:rsid w:val="008F52B5"/>
    <w:rsid w:val="008F635E"/>
    <w:rsid w:val="008F738E"/>
    <w:rsid w:val="009002CE"/>
    <w:rsid w:val="009025FB"/>
    <w:rsid w:val="009029DB"/>
    <w:rsid w:val="009038A8"/>
    <w:rsid w:val="009042E8"/>
    <w:rsid w:val="00905C6E"/>
    <w:rsid w:val="0090753F"/>
    <w:rsid w:val="009118BA"/>
    <w:rsid w:val="00913E51"/>
    <w:rsid w:val="00914986"/>
    <w:rsid w:val="00914DFE"/>
    <w:rsid w:val="0091549C"/>
    <w:rsid w:val="0091614B"/>
    <w:rsid w:val="00916CEC"/>
    <w:rsid w:val="0091735D"/>
    <w:rsid w:val="0091759C"/>
    <w:rsid w:val="009202C9"/>
    <w:rsid w:val="00921287"/>
    <w:rsid w:val="0092131F"/>
    <w:rsid w:val="00921595"/>
    <w:rsid w:val="00925D59"/>
    <w:rsid w:val="00926716"/>
    <w:rsid w:val="009308DA"/>
    <w:rsid w:val="00932A82"/>
    <w:rsid w:val="0093319A"/>
    <w:rsid w:val="00933540"/>
    <w:rsid w:val="0093396C"/>
    <w:rsid w:val="00933E6E"/>
    <w:rsid w:val="0093425F"/>
    <w:rsid w:val="009346AE"/>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21DB"/>
    <w:rsid w:val="00953424"/>
    <w:rsid w:val="00953B51"/>
    <w:rsid w:val="00953B7B"/>
    <w:rsid w:val="00954528"/>
    <w:rsid w:val="009558AA"/>
    <w:rsid w:val="009603E5"/>
    <w:rsid w:val="0096071A"/>
    <w:rsid w:val="00960A35"/>
    <w:rsid w:val="00960C91"/>
    <w:rsid w:val="00961AEB"/>
    <w:rsid w:val="00961B6D"/>
    <w:rsid w:val="00962A88"/>
    <w:rsid w:val="00963717"/>
    <w:rsid w:val="00963E37"/>
    <w:rsid w:val="00964678"/>
    <w:rsid w:val="00965CC4"/>
    <w:rsid w:val="0096624D"/>
    <w:rsid w:val="00966A2E"/>
    <w:rsid w:val="009674D4"/>
    <w:rsid w:val="009676E3"/>
    <w:rsid w:val="00970143"/>
    <w:rsid w:val="00970B7F"/>
    <w:rsid w:val="00970C38"/>
    <w:rsid w:val="00971614"/>
    <w:rsid w:val="00972340"/>
    <w:rsid w:val="00975152"/>
    <w:rsid w:val="009752FA"/>
    <w:rsid w:val="00977693"/>
    <w:rsid w:val="00977BB1"/>
    <w:rsid w:val="009818E4"/>
    <w:rsid w:val="00982494"/>
    <w:rsid w:val="009845F3"/>
    <w:rsid w:val="009845FD"/>
    <w:rsid w:val="009849E0"/>
    <w:rsid w:val="00986E0B"/>
    <w:rsid w:val="00990935"/>
    <w:rsid w:val="00990A99"/>
    <w:rsid w:val="00990AFD"/>
    <w:rsid w:val="00991001"/>
    <w:rsid w:val="00991069"/>
    <w:rsid w:val="0099397C"/>
    <w:rsid w:val="00994A07"/>
    <w:rsid w:val="00996257"/>
    <w:rsid w:val="00996423"/>
    <w:rsid w:val="00996BCA"/>
    <w:rsid w:val="009A0E79"/>
    <w:rsid w:val="009A1740"/>
    <w:rsid w:val="009A216A"/>
    <w:rsid w:val="009A23B0"/>
    <w:rsid w:val="009A35C9"/>
    <w:rsid w:val="009A3604"/>
    <w:rsid w:val="009A473C"/>
    <w:rsid w:val="009A52E0"/>
    <w:rsid w:val="009A640D"/>
    <w:rsid w:val="009A7F00"/>
    <w:rsid w:val="009B1548"/>
    <w:rsid w:val="009B321A"/>
    <w:rsid w:val="009B3A1D"/>
    <w:rsid w:val="009B41F0"/>
    <w:rsid w:val="009B4F7E"/>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09"/>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4451"/>
    <w:rsid w:val="00A34742"/>
    <w:rsid w:val="00A35811"/>
    <w:rsid w:val="00A35D0A"/>
    <w:rsid w:val="00A40E66"/>
    <w:rsid w:val="00A40FB6"/>
    <w:rsid w:val="00A41712"/>
    <w:rsid w:val="00A42629"/>
    <w:rsid w:val="00A42FC0"/>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24B2"/>
    <w:rsid w:val="00A53511"/>
    <w:rsid w:val="00A541FE"/>
    <w:rsid w:val="00A55724"/>
    <w:rsid w:val="00A60841"/>
    <w:rsid w:val="00A61A4E"/>
    <w:rsid w:val="00A63700"/>
    <w:rsid w:val="00A64575"/>
    <w:rsid w:val="00A64C36"/>
    <w:rsid w:val="00A65A26"/>
    <w:rsid w:val="00A67625"/>
    <w:rsid w:val="00A67EF4"/>
    <w:rsid w:val="00A73EF9"/>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54C"/>
    <w:rsid w:val="00A94751"/>
    <w:rsid w:val="00A954D7"/>
    <w:rsid w:val="00A95B2A"/>
    <w:rsid w:val="00A95E7F"/>
    <w:rsid w:val="00A96228"/>
    <w:rsid w:val="00A96DBD"/>
    <w:rsid w:val="00A970D5"/>
    <w:rsid w:val="00A97638"/>
    <w:rsid w:val="00A978AF"/>
    <w:rsid w:val="00AA0B4E"/>
    <w:rsid w:val="00AA1BBB"/>
    <w:rsid w:val="00AA1E74"/>
    <w:rsid w:val="00AA24D2"/>
    <w:rsid w:val="00AA423E"/>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6041"/>
    <w:rsid w:val="00AD76EF"/>
    <w:rsid w:val="00AD7FA9"/>
    <w:rsid w:val="00AE19D1"/>
    <w:rsid w:val="00AE2666"/>
    <w:rsid w:val="00AE29DB"/>
    <w:rsid w:val="00AE2E9B"/>
    <w:rsid w:val="00AE3BE0"/>
    <w:rsid w:val="00AE50C7"/>
    <w:rsid w:val="00AE514C"/>
    <w:rsid w:val="00AE5D09"/>
    <w:rsid w:val="00AE6037"/>
    <w:rsid w:val="00AE6272"/>
    <w:rsid w:val="00AE6B11"/>
    <w:rsid w:val="00AE7EBC"/>
    <w:rsid w:val="00AF2AB3"/>
    <w:rsid w:val="00AF434D"/>
    <w:rsid w:val="00AF4EE4"/>
    <w:rsid w:val="00AF75A2"/>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5DBA"/>
    <w:rsid w:val="00B26507"/>
    <w:rsid w:val="00B269CE"/>
    <w:rsid w:val="00B3055A"/>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ED1"/>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8EA"/>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97B0E"/>
    <w:rsid w:val="00BA088E"/>
    <w:rsid w:val="00BA152C"/>
    <w:rsid w:val="00BA2861"/>
    <w:rsid w:val="00BA3873"/>
    <w:rsid w:val="00BA636A"/>
    <w:rsid w:val="00BA6707"/>
    <w:rsid w:val="00BA74AF"/>
    <w:rsid w:val="00BA7C0B"/>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869"/>
    <w:rsid w:val="00BC4ECB"/>
    <w:rsid w:val="00BC66EE"/>
    <w:rsid w:val="00BC69F2"/>
    <w:rsid w:val="00BC7535"/>
    <w:rsid w:val="00BC7F3C"/>
    <w:rsid w:val="00BC7FFB"/>
    <w:rsid w:val="00BD034D"/>
    <w:rsid w:val="00BD3209"/>
    <w:rsid w:val="00BD323A"/>
    <w:rsid w:val="00BD3ECE"/>
    <w:rsid w:val="00BD4316"/>
    <w:rsid w:val="00BD45D4"/>
    <w:rsid w:val="00BD5782"/>
    <w:rsid w:val="00BD780A"/>
    <w:rsid w:val="00BE0194"/>
    <w:rsid w:val="00BE0CEB"/>
    <w:rsid w:val="00BE1A07"/>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9C1"/>
    <w:rsid w:val="00C01B8A"/>
    <w:rsid w:val="00C01E0C"/>
    <w:rsid w:val="00C01FED"/>
    <w:rsid w:val="00C02596"/>
    <w:rsid w:val="00C027B1"/>
    <w:rsid w:val="00C0468A"/>
    <w:rsid w:val="00C0496A"/>
    <w:rsid w:val="00C049A8"/>
    <w:rsid w:val="00C05398"/>
    <w:rsid w:val="00C056BE"/>
    <w:rsid w:val="00C06182"/>
    <w:rsid w:val="00C06249"/>
    <w:rsid w:val="00C068BC"/>
    <w:rsid w:val="00C07871"/>
    <w:rsid w:val="00C0787B"/>
    <w:rsid w:val="00C07B7F"/>
    <w:rsid w:val="00C07EC8"/>
    <w:rsid w:val="00C10243"/>
    <w:rsid w:val="00C10601"/>
    <w:rsid w:val="00C134F6"/>
    <w:rsid w:val="00C13C38"/>
    <w:rsid w:val="00C1424F"/>
    <w:rsid w:val="00C14933"/>
    <w:rsid w:val="00C14D71"/>
    <w:rsid w:val="00C14E0B"/>
    <w:rsid w:val="00C157FC"/>
    <w:rsid w:val="00C15AFA"/>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2F0F"/>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77CBD"/>
    <w:rsid w:val="00C80B05"/>
    <w:rsid w:val="00C81AD2"/>
    <w:rsid w:val="00C81CD7"/>
    <w:rsid w:val="00C81ECD"/>
    <w:rsid w:val="00C82268"/>
    <w:rsid w:val="00C83AEC"/>
    <w:rsid w:val="00C83E44"/>
    <w:rsid w:val="00C84348"/>
    <w:rsid w:val="00C86876"/>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1B9"/>
    <w:rsid w:val="00CA6A87"/>
    <w:rsid w:val="00CA760E"/>
    <w:rsid w:val="00CB1E78"/>
    <w:rsid w:val="00CB2149"/>
    <w:rsid w:val="00CB2159"/>
    <w:rsid w:val="00CB252D"/>
    <w:rsid w:val="00CB4BBD"/>
    <w:rsid w:val="00CB4C86"/>
    <w:rsid w:val="00CB508B"/>
    <w:rsid w:val="00CB51F5"/>
    <w:rsid w:val="00CB5B7B"/>
    <w:rsid w:val="00CB5F3F"/>
    <w:rsid w:val="00CB6418"/>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3CB"/>
    <w:rsid w:val="00CF31B4"/>
    <w:rsid w:val="00CF4606"/>
    <w:rsid w:val="00CF4CEF"/>
    <w:rsid w:val="00CF6431"/>
    <w:rsid w:val="00CF6592"/>
    <w:rsid w:val="00CF6E52"/>
    <w:rsid w:val="00D00B10"/>
    <w:rsid w:val="00D01DCF"/>
    <w:rsid w:val="00D01F15"/>
    <w:rsid w:val="00D02606"/>
    <w:rsid w:val="00D0448D"/>
    <w:rsid w:val="00D04514"/>
    <w:rsid w:val="00D05D6D"/>
    <w:rsid w:val="00D06273"/>
    <w:rsid w:val="00D062B1"/>
    <w:rsid w:val="00D067C4"/>
    <w:rsid w:val="00D076D9"/>
    <w:rsid w:val="00D100BF"/>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35D"/>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6683"/>
    <w:rsid w:val="00D574A2"/>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2ED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2018"/>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234"/>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4BA9"/>
    <w:rsid w:val="00E1701F"/>
    <w:rsid w:val="00E2168A"/>
    <w:rsid w:val="00E22FD4"/>
    <w:rsid w:val="00E23A0E"/>
    <w:rsid w:val="00E23EE3"/>
    <w:rsid w:val="00E245A1"/>
    <w:rsid w:val="00E24831"/>
    <w:rsid w:val="00E25228"/>
    <w:rsid w:val="00E27953"/>
    <w:rsid w:val="00E31001"/>
    <w:rsid w:val="00E314BF"/>
    <w:rsid w:val="00E34A4E"/>
    <w:rsid w:val="00E36443"/>
    <w:rsid w:val="00E41D06"/>
    <w:rsid w:val="00E41D0D"/>
    <w:rsid w:val="00E41E33"/>
    <w:rsid w:val="00E426BD"/>
    <w:rsid w:val="00E43C83"/>
    <w:rsid w:val="00E44669"/>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4A0"/>
    <w:rsid w:val="00E65521"/>
    <w:rsid w:val="00E65D6D"/>
    <w:rsid w:val="00E67455"/>
    <w:rsid w:val="00E67FF3"/>
    <w:rsid w:val="00E701AC"/>
    <w:rsid w:val="00E70BF9"/>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0CE"/>
    <w:rsid w:val="00EB311C"/>
    <w:rsid w:val="00EB352A"/>
    <w:rsid w:val="00EB3FD5"/>
    <w:rsid w:val="00EB47A3"/>
    <w:rsid w:val="00EB4897"/>
    <w:rsid w:val="00EB5F05"/>
    <w:rsid w:val="00EB6396"/>
    <w:rsid w:val="00EB65D1"/>
    <w:rsid w:val="00EB6B8E"/>
    <w:rsid w:val="00EC1362"/>
    <w:rsid w:val="00EC238F"/>
    <w:rsid w:val="00EC291E"/>
    <w:rsid w:val="00EC2EEA"/>
    <w:rsid w:val="00EC6033"/>
    <w:rsid w:val="00EC690F"/>
    <w:rsid w:val="00EC6ABB"/>
    <w:rsid w:val="00EC7B44"/>
    <w:rsid w:val="00ED10D9"/>
    <w:rsid w:val="00ED28F4"/>
    <w:rsid w:val="00ED2D91"/>
    <w:rsid w:val="00ED30A9"/>
    <w:rsid w:val="00ED30BB"/>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2D3"/>
    <w:rsid w:val="00F01526"/>
    <w:rsid w:val="00F023A7"/>
    <w:rsid w:val="00F02EDC"/>
    <w:rsid w:val="00F039E2"/>
    <w:rsid w:val="00F04A95"/>
    <w:rsid w:val="00F058D3"/>
    <w:rsid w:val="00F10A38"/>
    <w:rsid w:val="00F1176A"/>
    <w:rsid w:val="00F11FF3"/>
    <w:rsid w:val="00F123B3"/>
    <w:rsid w:val="00F12BF1"/>
    <w:rsid w:val="00F12F4D"/>
    <w:rsid w:val="00F12FB0"/>
    <w:rsid w:val="00F12FD5"/>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114"/>
    <w:rsid w:val="00F30FC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809C6"/>
    <w:rsid w:val="00F81408"/>
    <w:rsid w:val="00F815F4"/>
    <w:rsid w:val="00F82913"/>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177"/>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 w:val="6011CFBC"/>
    <w:rsid w:val="72304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5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3184355">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57933669">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pomex.org.mx/ipo3/lgt/indice/DIFTOLUCA/art_92_xxviii.w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0671-ABF8-462A-B472-8955CC8E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9801</Words>
  <Characters>53909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2019-06-13T15:30:00Z</cp:lastPrinted>
  <dcterms:created xsi:type="dcterms:W3CDTF">2024-01-23T17:04:00Z</dcterms:created>
  <dcterms:modified xsi:type="dcterms:W3CDTF">2024-02-22T21:34:00Z</dcterms:modified>
</cp:coreProperties>
</file>