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6F63" w14:textId="77777777" w:rsidR="00A74653" w:rsidRDefault="00A74653">
      <w:pPr>
        <w:widowControl w:val="0"/>
        <w:pBdr>
          <w:top w:val="nil"/>
          <w:left w:val="nil"/>
          <w:bottom w:val="nil"/>
          <w:right w:val="nil"/>
          <w:between w:val="nil"/>
        </w:pBdr>
        <w:spacing w:line="276" w:lineRule="auto"/>
      </w:pPr>
    </w:p>
    <w:p w14:paraId="0E5819E3" w14:textId="77777777" w:rsidR="00A74653" w:rsidRDefault="001268B9">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eastAsia="Palatino Linotype" w:hAnsi="Palatino Linotype" w:cs="Palatino Linotype"/>
        </w:rPr>
        <w:t>diecinueve</w:t>
      </w:r>
      <w:r>
        <w:rPr>
          <w:rFonts w:ascii="Palatino Linotype" w:eastAsia="Palatino Linotype" w:hAnsi="Palatino Linotype" w:cs="Palatino Linotype"/>
          <w:color w:val="000000"/>
        </w:rPr>
        <w:t xml:space="preserve"> (1</w:t>
      </w:r>
      <w:r>
        <w:rPr>
          <w:rFonts w:ascii="Palatino Linotype" w:eastAsia="Palatino Linotype" w:hAnsi="Palatino Linotype" w:cs="Palatino Linotype"/>
        </w:rPr>
        <w:t>9</w:t>
      </w:r>
      <w:r>
        <w:rPr>
          <w:rFonts w:ascii="Palatino Linotype" w:eastAsia="Palatino Linotype" w:hAnsi="Palatino Linotype" w:cs="Palatino Linotype"/>
          <w:color w:val="000000"/>
        </w:rPr>
        <w:t>) de septiembre de dos mil veinticuatro.</w:t>
      </w:r>
    </w:p>
    <w:p w14:paraId="64E5C2AC" w14:textId="77777777" w:rsidR="00A74653" w:rsidRDefault="00A74653">
      <w:pPr>
        <w:tabs>
          <w:tab w:val="left" w:pos="3465"/>
        </w:tabs>
        <w:spacing w:line="360" w:lineRule="auto"/>
        <w:jc w:val="both"/>
        <w:rPr>
          <w:rFonts w:ascii="Palatino Linotype" w:eastAsia="Palatino Linotype" w:hAnsi="Palatino Linotype" w:cs="Palatino Linotype"/>
          <w:color w:val="000000"/>
        </w:rPr>
      </w:pPr>
    </w:p>
    <w:p w14:paraId="5D6A3CF0" w14:textId="1A8FE8F6" w:rsidR="00A74653" w:rsidRDefault="001268B9">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03303/INFOEM/IP/RR/2024</w:t>
      </w:r>
      <w:r>
        <w:rPr>
          <w:rFonts w:ascii="Palatino Linotype" w:eastAsia="Palatino Linotype" w:hAnsi="Palatino Linotype" w:cs="Palatino Linotype"/>
          <w:color w:val="000000"/>
        </w:rPr>
        <w:t xml:space="preserve">, interpuesto por </w:t>
      </w:r>
      <w:r w:rsidR="00FE1378">
        <w:rPr>
          <w:rFonts w:ascii="Palatino Linotype" w:eastAsia="Palatino Linotype" w:hAnsi="Palatino Linotype" w:cs="Palatino Linotype"/>
          <w:b/>
          <w:color w:val="000000"/>
        </w:rPr>
        <w:t xml:space="preserve">XXX </w:t>
      </w:r>
      <w:proofErr w:type="spellStart"/>
      <w:r w:rsidR="00FE1378">
        <w:rPr>
          <w:rFonts w:ascii="Palatino Linotype" w:eastAsia="Palatino Linotype" w:hAnsi="Palatino Linotype" w:cs="Palatino Linotype"/>
          <w:b/>
          <w:color w:val="000000"/>
        </w:rPr>
        <w:t>XXX</w:t>
      </w:r>
      <w:proofErr w:type="spellEnd"/>
      <w:r>
        <w:rPr>
          <w:rFonts w:ascii="Palatino Linotype" w:eastAsia="Palatino Linotype" w:hAnsi="Palatino Linotype" w:cs="Palatino Linotype"/>
          <w:color w:val="000000"/>
        </w:rPr>
        <w:t xml:space="preserve">, en lo sucesivo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Ayuntamiento de Zumpango</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14:paraId="4FB0B813" w14:textId="77777777" w:rsidR="00A74653" w:rsidRDefault="00A74653">
      <w:pPr>
        <w:spacing w:line="360" w:lineRule="auto"/>
        <w:jc w:val="both"/>
        <w:rPr>
          <w:rFonts w:ascii="Palatino Linotype" w:eastAsia="Palatino Linotype" w:hAnsi="Palatino Linotype" w:cs="Palatino Linotype"/>
          <w:b/>
          <w:color w:val="000000"/>
        </w:rPr>
      </w:pPr>
    </w:p>
    <w:p w14:paraId="49929887" w14:textId="77777777" w:rsidR="00A74653" w:rsidRDefault="001268B9">
      <w:pPr>
        <w:pStyle w:val="Ttulo1"/>
        <w:spacing w:before="0" w:line="360" w:lineRule="auto"/>
        <w:jc w:val="center"/>
        <w:rPr>
          <w:b/>
          <w:color w:val="000000"/>
        </w:rPr>
      </w:pPr>
      <w:bookmarkStart w:id="0" w:name="_heading=h.gjdgxs" w:colFirst="0" w:colLast="0"/>
      <w:bookmarkEnd w:id="0"/>
      <w:r>
        <w:rPr>
          <w:b/>
          <w:color w:val="000000"/>
        </w:rPr>
        <w:t>A N T E C E D E N T E S</w:t>
      </w:r>
    </w:p>
    <w:p w14:paraId="17F254E7"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6AFDDEF"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diecisiete (17) de abril de dos mil veinticuatro</w:t>
      </w:r>
      <w:r>
        <w:rPr>
          <w:rFonts w:ascii="Palatino Linotype" w:eastAsia="Palatino Linotype" w:hAnsi="Palatino Linotype" w:cs="Palatino Linotype"/>
          <w:color w:val="000000"/>
        </w:rPr>
        <w:t>,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(SAIMEX), la solicitud de información pública registrada con el número </w:t>
      </w:r>
      <w:r>
        <w:rPr>
          <w:rFonts w:ascii="Palatino Linotype" w:eastAsia="Palatino Linotype" w:hAnsi="Palatino Linotype" w:cs="Palatino Linotype"/>
          <w:b/>
          <w:color w:val="000000"/>
        </w:rPr>
        <w:t>00076/ZUMPANGO/IP/2024,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w:t>
      </w:r>
      <w:r>
        <w:rPr>
          <w:rFonts w:ascii="Palatino Linotype" w:eastAsia="Palatino Linotype" w:hAnsi="Palatino Linotype" w:cs="Palatino Linotype"/>
          <w:color w:val="000000"/>
        </w:rPr>
        <w:t>que requirió lo siguiente:</w:t>
      </w:r>
    </w:p>
    <w:p w14:paraId="63E2069E" w14:textId="77777777" w:rsidR="00A74653" w:rsidRDefault="00A74653">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p>
    <w:p w14:paraId="7124D1B5"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“Declaraciones patrimoniales y de intereses presentadas por Miguel Ángel Gamboa Monroy, en su carácter de presidente municipal” </w:t>
      </w:r>
      <w:r>
        <w:rPr>
          <w:rFonts w:ascii="Palatino Linotype" w:eastAsia="Palatino Linotype" w:hAnsi="Palatino Linotype" w:cs="Palatino Linotype"/>
          <w:color w:val="000000"/>
        </w:rPr>
        <w:t>(Sic).</w:t>
      </w:r>
    </w:p>
    <w:p w14:paraId="2C8E05B1" w14:textId="77777777" w:rsidR="00A74653" w:rsidRDefault="00A74653">
      <w:pPr>
        <w:spacing w:line="360" w:lineRule="auto"/>
        <w:ind w:right="333"/>
        <w:jc w:val="both"/>
        <w:rPr>
          <w:rFonts w:ascii="Palatino Linotype" w:eastAsia="Palatino Linotype" w:hAnsi="Palatino Linotype" w:cs="Palatino Linotype"/>
          <w:color w:val="000000"/>
        </w:rPr>
      </w:pPr>
    </w:p>
    <w:p w14:paraId="5F7D115E"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14:paraId="5C103A95"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5A4547F"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diecisiete (17) de mayo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14:paraId="3C4A7B55" w14:textId="77777777" w:rsidR="00A74653" w:rsidRDefault="00A74653">
      <w:pPr>
        <w:pBdr>
          <w:top w:val="nil"/>
          <w:left w:val="nil"/>
          <w:bottom w:val="nil"/>
          <w:right w:val="nil"/>
          <w:between w:val="nil"/>
        </w:pBdr>
        <w:spacing w:line="276" w:lineRule="auto"/>
        <w:ind w:left="567" w:right="567"/>
        <w:jc w:val="both"/>
        <w:rPr>
          <w:rFonts w:ascii="Palatino Linotype" w:eastAsia="Palatino Linotype" w:hAnsi="Palatino Linotype" w:cs="Palatino Linotype"/>
          <w:i/>
        </w:rPr>
      </w:pPr>
    </w:p>
    <w:p w14:paraId="106A34A3"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“En respuesta a la solicitud recibida, nos permitimos hacer de su conocimiento que con fundamento en el artículo 53, Fracciones: II, V y VI de la Ley de Transparencia y Acceso a la Información Pública del Estado de México y Municipios, le contestamos que:</w:t>
      </w:r>
    </w:p>
    <w:p w14:paraId="55721300" w14:textId="77777777" w:rsidR="00A74653" w:rsidRDefault="00A7465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144FD346"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SE DA RESPUESTA A LA SOLICITUD 00076/ZUMPANGO/IP/2024”</w:t>
      </w:r>
      <w:r>
        <w:rPr>
          <w:rFonts w:ascii="Palatino Linotype" w:eastAsia="Palatino Linotype" w:hAnsi="Palatino Linotype" w:cs="Palatino Linotype"/>
          <w:color w:val="000000"/>
          <w:sz w:val="22"/>
          <w:szCs w:val="22"/>
        </w:rPr>
        <w:t xml:space="preserve"> (Sic.)</w:t>
      </w:r>
    </w:p>
    <w:p w14:paraId="5568E9F6" w14:textId="77777777" w:rsidR="00A74653" w:rsidRDefault="001268B9">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34E471C9" w14:textId="77777777" w:rsidR="00A74653" w:rsidRDefault="001268B9">
      <w:pPr>
        <w:numPr>
          <w:ilvl w:val="0"/>
          <w:numId w:val="8"/>
        </w:numPr>
        <w:pBdr>
          <w:top w:val="nil"/>
          <w:left w:val="nil"/>
          <w:bottom w:val="nil"/>
          <w:right w:val="nil"/>
          <w:between w:val="nil"/>
        </w:pBdr>
        <w:tabs>
          <w:tab w:val="left" w:pos="284"/>
          <w:tab w:val="left" w:pos="426"/>
        </w:tabs>
        <w:spacing w:line="360" w:lineRule="auto"/>
        <w:jc w:val="both"/>
        <w:rPr>
          <w:color w:val="000000"/>
        </w:rPr>
      </w:pPr>
      <w:r>
        <w:rPr>
          <w:rFonts w:ascii="Palatino Linotype" w:eastAsia="Palatino Linotype" w:hAnsi="Palatino Linotype" w:cs="Palatino Linotype"/>
          <w:color w:val="000000"/>
        </w:rPr>
        <w:t xml:space="preserve">Se hace constar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acompañó a su acuse de respuesta con el archivo electrónico cuyo título y contenido se describe a continuación:</w:t>
      </w:r>
    </w:p>
    <w:p w14:paraId="3AEE09AE" w14:textId="77777777" w:rsidR="00A74653" w:rsidRDefault="001268B9">
      <w:pPr>
        <w:numPr>
          <w:ilvl w:val="1"/>
          <w:numId w:val="7"/>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“DECLARACION PRESIDENTE.pdf”</w:t>
      </w:r>
      <w:r>
        <w:rPr>
          <w:rFonts w:ascii="Palatino Linotype" w:eastAsia="Palatino Linotype" w:hAnsi="Palatino Linotype" w:cs="Palatino Linotype"/>
          <w:color w:val="000000"/>
          <w:sz w:val="22"/>
          <w:szCs w:val="22"/>
        </w:rPr>
        <w:t>: Documento de cinco fojas consistente en los siguientes instrumentos:</w:t>
      </w:r>
    </w:p>
    <w:p w14:paraId="58F633FF" w14:textId="77777777" w:rsidR="00A74653" w:rsidRDefault="001268B9">
      <w:pPr>
        <w:numPr>
          <w:ilvl w:val="2"/>
          <w:numId w:val="2"/>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Seis acuses de recibo de la declaración del ejercicio de impuestos federales, presentadas por el </w:t>
      </w:r>
      <w:r>
        <w:rPr>
          <w:rFonts w:ascii="Palatino Linotype" w:eastAsia="Palatino Linotype" w:hAnsi="Palatino Linotype" w:cs="Palatino Linotype"/>
          <w:i/>
          <w:color w:val="000000"/>
          <w:sz w:val="22"/>
          <w:szCs w:val="22"/>
        </w:rPr>
        <w:t>C. Miguel Ángel Gamboa Monroy</w:t>
      </w:r>
      <w:r>
        <w:rPr>
          <w:rFonts w:ascii="Palatino Linotype" w:eastAsia="Palatino Linotype" w:hAnsi="Palatino Linotype" w:cs="Palatino Linotype"/>
          <w:color w:val="000000"/>
          <w:sz w:val="22"/>
          <w:szCs w:val="22"/>
        </w:rPr>
        <w:t>, ante el Servicio de Administración Tributaria, en el periodo comprendido del dos mil diecinueve al dos mil veintitrés.</w:t>
      </w:r>
    </w:p>
    <w:p w14:paraId="7835AB07" w14:textId="77777777" w:rsidR="00A74653" w:rsidRDefault="001268B9">
      <w:pPr>
        <w:numPr>
          <w:ilvl w:val="2"/>
          <w:numId w:val="2"/>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número PRES/MUN-ZUM/038/2024, de veinticinco (25) de abril de dos mil veinticuatro, emitido por el Presidente Municipal, dirigido a la Titular de la Unidad de Transparencia y Acceso a la Información Pública, por el que refiere adjuntar los acuses de recibo de su declaración del ejercicio de impuestos federales del dos mil diecinueve al dos mil veintitrés.</w:t>
      </w:r>
    </w:p>
    <w:p w14:paraId="3DEF333D" w14:textId="77777777" w:rsidR="00A74653" w:rsidRDefault="00A74653">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1C8D8334" w14:textId="77777777" w:rsidR="00A74653" w:rsidRDefault="001268B9">
      <w:pPr>
        <w:numPr>
          <w:ilvl w:val="0"/>
          <w:numId w:val="8"/>
        </w:numPr>
        <w:pBdr>
          <w:top w:val="nil"/>
          <w:left w:val="nil"/>
          <w:bottom w:val="nil"/>
          <w:right w:val="nil"/>
          <w:between w:val="nil"/>
        </w:pBdr>
        <w:tabs>
          <w:tab w:val="left" w:pos="284"/>
          <w:tab w:val="left" w:pos="426"/>
        </w:tabs>
        <w:spacing w:line="360" w:lineRule="auto"/>
        <w:jc w:val="both"/>
        <w:rPr>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veintisiete (27) de mayo de dos mil veinticuatro</w:t>
      </w:r>
      <w:r>
        <w:rPr>
          <w:rFonts w:ascii="Palatino Linotype" w:eastAsia="Palatino Linotype" w:hAnsi="Palatino Linotype" w:cs="Palatino Linotype"/>
          <w:color w:val="000000"/>
        </w:rPr>
        <w:t xml:space="preserve">, el particular interpuso el recurso de revisión </w:t>
      </w:r>
      <w:r>
        <w:rPr>
          <w:rFonts w:ascii="Palatino Linotype" w:eastAsia="Palatino Linotype" w:hAnsi="Palatino Linotype" w:cs="Palatino Linotype"/>
          <w:b/>
          <w:color w:val="000000"/>
        </w:rPr>
        <w:t>03303/INFOEM/IP/RR/2024</w:t>
      </w:r>
      <w:r>
        <w:rPr>
          <w:rFonts w:ascii="Palatino Linotype" w:eastAsia="Palatino Linotype" w:hAnsi="Palatino Linotype" w:cs="Palatino Linotype"/>
          <w:color w:val="000000"/>
        </w:rPr>
        <w:t>; impugnación en la que refirió lo siguiente:</w:t>
      </w:r>
    </w:p>
    <w:p w14:paraId="7BEF25C6" w14:textId="77777777" w:rsidR="00A74653" w:rsidRDefault="001268B9">
      <w:pPr>
        <w:numPr>
          <w:ilvl w:val="0"/>
          <w:numId w:val="9"/>
        </w:numPr>
        <w:pBdr>
          <w:top w:val="nil"/>
          <w:left w:val="nil"/>
          <w:bottom w:val="nil"/>
          <w:right w:val="nil"/>
          <w:between w:val="nil"/>
        </w:pBdr>
        <w:tabs>
          <w:tab w:val="left" w:pos="1134"/>
        </w:tabs>
        <w:spacing w:line="276" w:lineRule="auto"/>
        <w:ind w:left="1134"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La respuesta no corresponde con lo solicitado, al ser solo un oficio que hace referencia a una información no entregada”</w:t>
      </w:r>
      <w:r>
        <w:rPr>
          <w:rFonts w:ascii="Palatino Linotype" w:eastAsia="Palatino Linotype" w:hAnsi="Palatino Linotype" w:cs="Palatino Linotype"/>
          <w:color w:val="000000"/>
          <w:sz w:val="22"/>
          <w:szCs w:val="22"/>
        </w:rPr>
        <w:t xml:space="preserve"> (Sic.)</w:t>
      </w:r>
    </w:p>
    <w:p w14:paraId="20890C80" w14:textId="77777777" w:rsidR="00A74653" w:rsidRDefault="001268B9">
      <w:pPr>
        <w:numPr>
          <w:ilvl w:val="0"/>
          <w:numId w:val="9"/>
        </w:numPr>
        <w:pBdr>
          <w:top w:val="nil"/>
          <w:left w:val="nil"/>
          <w:bottom w:val="nil"/>
          <w:right w:val="nil"/>
          <w:between w:val="nil"/>
        </w:pBdr>
        <w:tabs>
          <w:tab w:val="left" w:pos="1134"/>
        </w:tabs>
        <w:spacing w:line="276" w:lineRule="auto"/>
        <w:ind w:left="1134"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En el oficio recibido vía SAIMEX se expresa que se da respuesta pero no se incluyen archivos ni texto que correspondan con la información solicitada”</w:t>
      </w:r>
      <w:r>
        <w:rPr>
          <w:rFonts w:ascii="Palatino Linotype" w:eastAsia="Palatino Linotype" w:hAnsi="Palatino Linotype" w:cs="Palatino Linotype"/>
          <w:color w:val="000000"/>
          <w:sz w:val="22"/>
          <w:szCs w:val="22"/>
        </w:rPr>
        <w:t xml:space="preserve"> (Sic.)</w:t>
      </w:r>
    </w:p>
    <w:p w14:paraId="44B14FCF" w14:textId="77777777" w:rsidR="00A74653" w:rsidRDefault="00A74653">
      <w:pPr>
        <w:tabs>
          <w:tab w:val="left" w:pos="426"/>
        </w:tabs>
        <w:spacing w:line="360" w:lineRule="auto"/>
        <w:jc w:val="both"/>
        <w:rPr>
          <w:rFonts w:ascii="Palatino Linotype" w:eastAsia="Palatino Linotype" w:hAnsi="Palatino Linotype" w:cs="Palatino Linotype"/>
          <w:color w:val="000000"/>
        </w:rPr>
      </w:pPr>
    </w:p>
    <w:p w14:paraId="614F92B6"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Se registró el recurso de revisión bajo el número de expediente </w:t>
      </w:r>
      <w:r>
        <w:rPr>
          <w:rFonts w:ascii="Palatino Linotype" w:eastAsia="Palatino Linotype" w:hAnsi="Palatino Linotype" w:cs="Palatino Linotype"/>
          <w:b/>
          <w:color w:val="000000"/>
        </w:rPr>
        <w:t>03303/INFOEM/IP/RR/2024</w:t>
      </w:r>
      <w:r>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44BC3A24"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40F51BF"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bookmarkStart w:id="1" w:name="_heading=h.30j0zll" w:colFirst="0" w:colLast="0"/>
      <w:bookmarkEnd w:id="1"/>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Pr>
          <w:rFonts w:ascii="Palatino Linotype" w:eastAsia="Palatino Linotype" w:hAnsi="Palatino Linotype" w:cs="Palatino Linotype"/>
          <w:b/>
          <w:color w:val="000000"/>
        </w:rPr>
        <w:t>treinta (30) de mayo de dos mil veinticuatro</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su Informe Justificado respectivo.</w:t>
      </w:r>
    </w:p>
    <w:p w14:paraId="5ABFB79E"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7F42130"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De las constancias que obran dentro del expediente digital, formado en el SAIMEX,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presentó su informe justificado para confirmar, modificar o revocar su respuesta original; en el mismo sentido,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omitió el presentar cualquier tipo de alegatos o manifestaciones.</w:t>
      </w:r>
    </w:p>
    <w:p w14:paraId="3BA9DA6C"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E2D2C9C"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doce (12) de agosto de dos mil veinticuatro</w:t>
      </w:r>
      <w:r>
        <w:rPr>
          <w:rFonts w:ascii="Palatino Linotype" w:eastAsia="Palatino Linotype" w:hAnsi="Palatino Linotype" w:cs="Palatino Linotype"/>
          <w:color w:val="000000"/>
        </w:rPr>
        <w:t>, se notificó en el SAIMEX la ampliación del plazo para resolver el recurso de revisión, con base en lo establecido en el tercer párrafo del artículo 181 de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1"/>
      </w:r>
      <w:r>
        <w:rPr>
          <w:rFonts w:ascii="Palatino Linotype" w:eastAsia="Palatino Linotype" w:hAnsi="Palatino Linotype" w:cs="Palatino Linotype"/>
          <w:color w:val="000000"/>
        </w:rPr>
        <w:t>.</w:t>
      </w:r>
    </w:p>
    <w:p w14:paraId="26155289"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B0C20F9"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B59A3B5"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8EA39E2"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CBB78DB"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F1836CF"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w:t>
      </w:r>
      <w:r>
        <w:rPr>
          <w:rFonts w:ascii="Palatino Linotype" w:eastAsia="Palatino Linotype" w:hAnsi="Palatino Linotype" w:cs="Palatino Linotype"/>
          <w:color w:val="000000"/>
        </w:rPr>
        <w:lastRenderedPageBreak/>
        <w:t>en el menor tiempo posible, tomando en consideración la dilación total del procedimiento; esto es, en un plazo razonable.</w:t>
      </w:r>
    </w:p>
    <w:p w14:paraId="6EFB8773"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2884854"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14B9A9B"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C76E8DA"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08CFC40C" w14:textId="77777777" w:rsidR="00A74653" w:rsidRDefault="001268B9">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25A0BEED" w14:textId="77777777" w:rsidR="00A74653" w:rsidRDefault="001268B9">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22C95747" w14:textId="77777777" w:rsidR="00A74653" w:rsidRDefault="001268B9">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2125F5B8" w14:textId="77777777" w:rsidR="00A74653" w:rsidRDefault="001268B9">
      <w:pPr>
        <w:numPr>
          <w:ilvl w:val="1"/>
          <w:numId w:val="4"/>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48504CCA"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B9EBD05"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C64847"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8CF8F02"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1DADF095"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4F34817"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Pr>
          <w:rFonts w:ascii="Palatino Linotype" w:eastAsia="Palatino Linotype" w:hAnsi="Palatino Linotype" w:cs="Palatino Linotype"/>
          <w:color w:val="000000"/>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4216A87"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100A485"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0B4564F"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w:t>
      </w:r>
      <w:r>
        <w:rPr>
          <w:rFonts w:ascii="Palatino Linotype" w:eastAsia="Palatino Linotype" w:hAnsi="Palatino Linotype" w:cs="Palatino Linotype"/>
          <w:i/>
          <w:color w:val="000000"/>
          <w:sz w:val="22"/>
          <w:szCs w:val="22"/>
        </w:rPr>
        <w:lastRenderedPageBreak/>
        <w:t>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Pr>
          <w:rFonts w:ascii="Palatino Linotype" w:eastAsia="Palatino Linotype" w:hAnsi="Palatino Linotype" w:cs="Palatino Linotype"/>
          <w:i/>
          <w:color w:val="000000"/>
          <w:sz w:val="22"/>
          <w:szCs w:val="22"/>
          <w:vertAlign w:val="superscript"/>
        </w:rPr>
        <w:footnoteReference w:id="3"/>
      </w:r>
    </w:p>
    <w:p w14:paraId="3160064B" w14:textId="77777777" w:rsidR="00A74653" w:rsidRDefault="00A7465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4BDE2CCF"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w:t>
      </w:r>
      <w:r>
        <w:rPr>
          <w:rFonts w:ascii="Palatino Linotype" w:eastAsia="Palatino Linotype" w:hAnsi="Palatino Linotype" w:cs="Palatino Linotype"/>
          <w:i/>
          <w:color w:val="000000"/>
          <w:sz w:val="22"/>
          <w:szCs w:val="22"/>
        </w:rPr>
        <w:lastRenderedPageBreak/>
        <w:t>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Pr>
          <w:rFonts w:ascii="Palatino Linotype" w:eastAsia="Palatino Linotype" w:hAnsi="Palatino Linotype" w:cs="Palatino Linotype"/>
          <w:i/>
          <w:color w:val="000000"/>
          <w:sz w:val="22"/>
          <w:szCs w:val="22"/>
          <w:vertAlign w:val="superscript"/>
        </w:rPr>
        <w:footnoteReference w:id="4"/>
      </w:r>
    </w:p>
    <w:p w14:paraId="2569D891"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8A60492"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440A4355"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8C5FC1A"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Finalmente, el </w:t>
      </w:r>
      <w:r>
        <w:rPr>
          <w:rFonts w:ascii="Palatino Linotype" w:eastAsia="Palatino Linotype" w:hAnsi="Palatino Linotype" w:cs="Palatino Linotype"/>
          <w:b/>
          <w:color w:val="000000"/>
        </w:rPr>
        <w:t>cinco (05) de septiembre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p>
    <w:p w14:paraId="3E6564AF" w14:textId="77777777" w:rsidR="00A74653" w:rsidRDefault="001268B9">
      <w:pPr>
        <w:rPr>
          <w:rFonts w:ascii="Palatino Linotype" w:eastAsia="Palatino Linotype" w:hAnsi="Palatino Linotype" w:cs="Palatino Linotype"/>
          <w:color w:val="000000"/>
        </w:rPr>
      </w:pPr>
      <w:bookmarkStart w:id="2" w:name="_heading=h.1fob9te" w:colFirst="0" w:colLast="0"/>
      <w:bookmarkEnd w:id="2"/>
      <w:r>
        <w:br w:type="page"/>
      </w:r>
    </w:p>
    <w:p w14:paraId="52D47559" w14:textId="77777777" w:rsidR="00A74653" w:rsidRDefault="001268B9">
      <w:pPr>
        <w:pStyle w:val="Ttulo1"/>
        <w:spacing w:before="0" w:line="360" w:lineRule="auto"/>
        <w:jc w:val="center"/>
        <w:rPr>
          <w:b/>
          <w:color w:val="000000"/>
        </w:rPr>
      </w:pPr>
      <w:bookmarkStart w:id="3" w:name="_heading=h.3znysh7" w:colFirst="0" w:colLast="0"/>
      <w:bookmarkEnd w:id="3"/>
      <w:r>
        <w:rPr>
          <w:b/>
          <w:color w:val="000000"/>
        </w:rPr>
        <w:lastRenderedPageBreak/>
        <w:t>C O N S I D E R A N D O</w:t>
      </w:r>
    </w:p>
    <w:p w14:paraId="3BA6C720" w14:textId="77777777" w:rsidR="00A74653" w:rsidRDefault="00A74653">
      <w:pPr>
        <w:spacing w:line="360" w:lineRule="auto"/>
        <w:rPr>
          <w:color w:val="000000"/>
        </w:rPr>
      </w:pPr>
    </w:p>
    <w:p w14:paraId="0831F0C4" w14:textId="77777777" w:rsidR="00A74653" w:rsidRDefault="001268B9">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7EEE5662" w14:textId="77777777" w:rsidR="00A74653" w:rsidRDefault="001268B9">
      <w:pPr>
        <w:numPr>
          <w:ilvl w:val="0"/>
          <w:numId w:val="8"/>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Pr>
          <w:rFonts w:ascii="Palatino Linotype" w:eastAsia="Palatino Linotype" w:hAnsi="Palatino Linotype" w:cs="Palatino Linotype"/>
          <w:b/>
          <w:color w:val="000000"/>
        </w:rPr>
        <w:t>.</w:t>
      </w:r>
    </w:p>
    <w:p w14:paraId="1874DCDF" w14:textId="77777777" w:rsidR="00A74653" w:rsidRDefault="00A746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564A26CF" w14:textId="77777777" w:rsidR="00A74653" w:rsidRDefault="001268B9">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75BFBE32" w14:textId="77777777" w:rsidR="00A74653" w:rsidRDefault="001268B9">
      <w:pPr>
        <w:numPr>
          <w:ilvl w:val="0"/>
          <w:numId w:val="8"/>
        </w:numPr>
        <w:tabs>
          <w:tab w:val="left" w:pos="426"/>
        </w:tabs>
        <w:spacing w:line="360" w:lineRule="auto"/>
        <w:ind w:right="49"/>
        <w:jc w:val="both"/>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15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diecisiete (17) de mayo de dos mil veinticuatro</w:t>
      </w:r>
      <w:r>
        <w:rPr>
          <w:rFonts w:ascii="Palatino Linotype" w:eastAsia="Palatino Linotype" w:hAnsi="Palatino Linotype" w:cs="Palatino Linotype"/>
        </w:rPr>
        <w:t xml:space="preserve">, el plazo para interponer el recurso de revisión transcurrió del </w:t>
      </w:r>
      <w:r>
        <w:rPr>
          <w:rFonts w:ascii="Palatino Linotype" w:eastAsia="Palatino Linotype" w:hAnsi="Palatino Linotype" w:cs="Palatino Linotype"/>
          <w:b/>
        </w:rPr>
        <w:t xml:space="preserve">veinte (20) de mayo </w:t>
      </w:r>
      <w:r>
        <w:rPr>
          <w:rFonts w:ascii="Palatino Linotype" w:eastAsia="Palatino Linotype" w:hAnsi="Palatino Linotype" w:cs="Palatino Linotype"/>
        </w:rPr>
        <w:t xml:space="preserve">al </w:t>
      </w:r>
      <w:r>
        <w:rPr>
          <w:rFonts w:ascii="Palatino Linotype" w:eastAsia="Palatino Linotype" w:hAnsi="Palatino Linotype" w:cs="Palatino Linotype"/>
          <w:b/>
        </w:rPr>
        <w:t>siete (07) de junio de dos mil veinticuatro</w:t>
      </w:r>
      <w:r>
        <w:rPr>
          <w:rFonts w:ascii="Palatino Linotype" w:eastAsia="Palatino Linotype" w:hAnsi="Palatino Linotype" w:cs="Palatino Linotype"/>
        </w:rPr>
        <w:t>; sin contemplar en el cómputo los sábados y domingos, en términos del artículo 3, fracción X, de la Ley de Transparencia y Acceso a la Información Pública del Estado de México y Municipios.</w:t>
      </w:r>
    </w:p>
    <w:p w14:paraId="57F06CB0" w14:textId="77777777" w:rsidR="00A74653" w:rsidRDefault="001268B9">
      <w:pPr>
        <w:numPr>
          <w:ilvl w:val="0"/>
          <w:numId w:val="8"/>
        </w:numPr>
        <w:pBdr>
          <w:top w:val="nil"/>
          <w:left w:val="nil"/>
          <w:bottom w:val="nil"/>
          <w:right w:val="nil"/>
          <w:between w:val="nil"/>
        </w:pBdr>
        <w:tabs>
          <w:tab w:val="left" w:pos="284"/>
          <w:tab w:val="left" w:pos="426"/>
        </w:tabs>
        <w:spacing w:line="360" w:lineRule="auto"/>
        <w:ind w:right="49"/>
        <w:jc w:val="both"/>
        <w:rPr>
          <w:color w:val="000000"/>
        </w:rPr>
      </w:pPr>
      <w:r>
        <w:rPr>
          <w:rFonts w:ascii="Palatino Linotype" w:eastAsia="Palatino Linotype" w:hAnsi="Palatino Linotype" w:cs="Palatino Linotype"/>
          <w:color w:val="000000"/>
        </w:rPr>
        <w:lastRenderedPageBreak/>
        <w:t xml:space="preserve">De las constancias que obran dentro del expediente digital formado en el SAIMEX, se advierte que el particular presentó el recurso de revisión </w:t>
      </w:r>
      <w:r>
        <w:rPr>
          <w:rFonts w:ascii="Palatino Linotype" w:eastAsia="Palatino Linotype" w:hAnsi="Palatino Linotype" w:cs="Palatino Linotype"/>
          <w:b/>
          <w:color w:val="000000"/>
        </w:rPr>
        <w:t>03303/INFOEM/IP/RR/2024</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veintisiete (27) de mayo de dos mil veinticuatro</w:t>
      </w:r>
      <w:r>
        <w:rPr>
          <w:rFonts w:ascii="Palatino Linotype" w:eastAsia="Palatino Linotype" w:hAnsi="Palatino Linotype" w:cs="Palatino Linotype"/>
          <w:color w:val="000000"/>
        </w:rPr>
        <w:t>; por ende, éste se encuentra dentro del plazo legalmente establecido en el artículo 178</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xml:space="preserve"> de la Ley de Transparencia y Acceso a la Información Pública del Estado de México y Municipios.</w:t>
      </w:r>
    </w:p>
    <w:p w14:paraId="3D8684C3" w14:textId="77777777" w:rsidR="00A74653" w:rsidRDefault="00A74653">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14:paraId="6CA00B19" w14:textId="77777777" w:rsidR="00A74653" w:rsidRDefault="001268B9">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2D6AB40" w14:textId="77777777" w:rsidR="00A74653" w:rsidRDefault="00A7465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bookmarkStart w:id="6" w:name="_heading=h.3dy6vkm" w:colFirst="0" w:colLast="0"/>
      <w:bookmarkEnd w:id="6"/>
    </w:p>
    <w:p w14:paraId="1074A91E" w14:textId="77777777" w:rsidR="00A74653" w:rsidRDefault="001268B9">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TERCERO. De las causales de sobreseimiento.</w:t>
      </w:r>
    </w:p>
    <w:p w14:paraId="6688A8D5" w14:textId="77777777" w:rsidR="00A74653" w:rsidRDefault="001268B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b/>
          <w:color w:val="000000"/>
        </w:rPr>
        <w:t>I. De la atención a la solicitud de información.</w:t>
      </w:r>
    </w:p>
    <w:p w14:paraId="23C1D16A"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w:t>
      </w:r>
      <w:r>
        <w:rPr>
          <w:rFonts w:ascii="Palatino Linotype" w:eastAsia="Palatino Linotype" w:hAnsi="Palatino Linotype" w:cs="Palatino Linotype"/>
          <w:color w:val="000000"/>
        </w:rPr>
        <w:lastRenderedPageBreak/>
        <w:t>discapacidad y a los hablantes de lengua indígena con el objeto de otorgar la protección más amplia del derecho de las personas.</w:t>
      </w:r>
    </w:p>
    <w:p w14:paraId="5D8BA7C6"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1B02FB8"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Para atender las solicitudes de información, los Sujetos Obligados contarán con un área denominada </w:t>
      </w:r>
      <w:r>
        <w:rPr>
          <w:rFonts w:ascii="Palatino Linotype" w:eastAsia="Palatino Linotype" w:hAnsi="Palatino Linotype" w:cs="Palatino Linotype"/>
          <w:b/>
          <w:color w:val="000000"/>
        </w:rPr>
        <w:t>Unidad de Transparencia</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la cual será presidida por un Titular, quien fungirá como enlace entre éstos y los solicitantes. Dicha Unidad </w:t>
      </w:r>
      <w:r>
        <w:rPr>
          <w:rFonts w:ascii="Palatino Linotype" w:eastAsia="Palatino Linotype" w:hAnsi="Palatino Linotype" w:cs="Palatino Linotype"/>
          <w:b/>
          <w:color w:val="000000"/>
        </w:rPr>
        <w:t>será la encargada de tramitar internamente la solicitud de información</w:t>
      </w:r>
      <w:r>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Pr>
          <w:rFonts w:ascii="Palatino Linotype" w:eastAsia="Palatino Linotype" w:hAnsi="Palatino Linotype" w:cs="Palatino Linotype"/>
          <w:b/>
          <w:color w:val="000000"/>
        </w:rPr>
        <w:t xml:space="preserve">gestionar la atención a las solicitudes de información </w:t>
      </w:r>
      <w:r>
        <w:rPr>
          <w:rFonts w:ascii="Palatino Linotype" w:eastAsia="Palatino Linotype" w:hAnsi="Palatino Linotype" w:cs="Palatino Linotype"/>
          <w:color w:val="000000"/>
        </w:rPr>
        <w:t>en los términos de la Ley General y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w:t>
      </w:r>
    </w:p>
    <w:p w14:paraId="6F23890C"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14D7E15"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14:paraId="54EAB4AF" w14:textId="77777777" w:rsidR="00A74653" w:rsidRDefault="001268B9">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Recibir, tramitar y dar respuesta a las solicitudes de acceso a la información;</w:t>
      </w:r>
    </w:p>
    <w:p w14:paraId="4B227B3C" w14:textId="77777777" w:rsidR="00A74653" w:rsidRDefault="001268B9">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04DE8897" w14:textId="77777777" w:rsidR="00A74653" w:rsidRDefault="001268B9">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Entregar, en su caso, a los particulares la información solicitada; y </w:t>
      </w:r>
    </w:p>
    <w:p w14:paraId="682AA986" w14:textId="77777777" w:rsidR="00A74653" w:rsidRDefault="001268B9">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Efectuar las notificaciones a los solicitantes.</w:t>
      </w:r>
    </w:p>
    <w:p w14:paraId="47B65B03"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9CE5A0E"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lastRenderedPageBreak/>
        <w:t xml:space="preserve">Otros sujetos del proceso de atención a las solicitudes de información son los servidores públicos habilitados, quienes serán designados por la o el Titular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propuesta del responsable de la Unidad de Transparencia</w:t>
      </w:r>
      <w:r>
        <w:rPr>
          <w:rFonts w:ascii="Palatino Linotype" w:eastAsia="Palatino Linotype" w:hAnsi="Palatino Linotype" w:cs="Palatino Linotype"/>
          <w:color w:val="000000"/>
          <w:vertAlign w:val="superscript"/>
        </w:rPr>
        <w:footnoteReference w:id="8"/>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w:t>
      </w:r>
    </w:p>
    <w:p w14:paraId="3C61AE5E" w14:textId="77777777" w:rsidR="00A74653" w:rsidRDefault="001268B9">
      <w:pPr>
        <w:numPr>
          <w:ilvl w:val="1"/>
          <w:numId w:val="3"/>
        </w:numPr>
        <w:pBdr>
          <w:top w:val="nil"/>
          <w:left w:val="nil"/>
          <w:bottom w:val="nil"/>
          <w:right w:val="nil"/>
          <w:between w:val="nil"/>
        </w:pBdr>
        <w:tabs>
          <w:tab w:val="left" w:pos="426"/>
        </w:tabs>
        <w:spacing w:line="360" w:lineRule="auto"/>
        <w:ind w:left="1134"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Localizar la información que le solicite la Unidad de Transparencia; y</w:t>
      </w:r>
    </w:p>
    <w:p w14:paraId="0A6B197A" w14:textId="77777777" w:rsidR="00A74653" w:rsidRDefault="001268B9">
      <w:pPr>
        <w:numPr>
          <w:ilvl w:val="1"/>
          <w:numId w:val="3"/>
        </w:numPr>
        <w:pBdr>
          <w:top w:val="nil"/>
          <w:left w:val="nil"/>
          <w:bottom w:val="nil"/>
          <w:right w:val="nil"/>
          <w:between w:val="nil"/>
        </w:pBdr>
        <w:tabs>
          <w:tab w:val="left" w:pos="426"/>
        </w:tabs>
        <w:spacing w:line="360" w:lineRule="auto"/>
        <w:ind w:left="1134"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49BD222E"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7D515C6"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De tal manera que cada una de las áreas administrativas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4B14FAE"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14A9EB3"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Establecido lo anterior, de la lectura a la solicitud de información </w:t>
      </w:r>
      <w:r>
        <w:rPr>
          <w:rFonts w:ascii="Palatino Linotype" w:eastAsia="Palatino Linotype" w:hAnsi="Palatino Linotype" w:cs="Palatino Linotype"/>
          <w:b/>
          <w:color w:val="000000"/>
        </w:rPr>
        <w:t>00076/ZUMPANGO/IP/2024</w:t>
      </w:r>
      <w:r>
        <w:rPr>
          <w:rFonts w:ascii="Palatino Linotype" w:eastAsia="Palatino Linotype" w:hAnsi="Palatino Linotype" w:cs="Palatino Linotype"/>
          <w:color w:val="000000"/>
        </w:rPr>
        <w:t xml:space="preserve">,  y como fuera señalado en el </w:t>
      </w:r>
      <w:r>
        <w:rPr>
          <w:rFonts w:ascii="Palatino Linotype" w:eastAsia="Palatino Linotype" w:hAnsi="Palatino Linotype" w:cs="Palatino Linotype"/>
          <w:i/>
          <w:color w:val="000000"/>
        </w:rPr>
        <w:t>Planteamiento de la Litis</w:t>
      </w:r>
      <w:r>
        <w:rPr>
          <w:rFonts w:ascii="Palatino Linotype" w:eastAsia="Palatino Linotype" w:hAnsi="Palatino Linotype" w:cs="Palatino Linotype"/>
          <w:color w:val="000000"/>
        </w:rPr>
        <w:t xml:space="preserve"> de esta resolución, se advierte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la siguiente información:</w:t>
      </w:r>
    </w:p>
    <w:p w14:paraId="06B726BA" w14:textId="77777777" w:rsidR="00A74653" w:rsidRDefault="001268B9">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Declaraciones patrimoniales y de intereses del Presidente Municipal.</w:t>
      </w:r>
    </w:p>
    <w:p w14:paraId="3B555E0D"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505E034"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En respuesta a la solicitud de información </w:t>
      </w:r>
      <w:r>
        <w:rPr>
          <w:rFonts w:ascii="Palatino Linotype" w:eastAsia="Palatino Linotype" w:hAnsi="Palatino Linotype" w:cs="Palatino Linotype"/>
          <w:b/>
          <w:color w:val="000000"/>
        </w:rPr>
        <w:t>00076/ZUMPANGO/IP/2024</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el oficio número PRES/MUN-ZUM/038/2024 de </w:t>
      </w:r>
      <w:r>
        <w:rPr>
          <w:rFonts w:ascii="Palatino Linotype" w:eastAsia="Palatino Linotype" w:hAnsi="Palatino Linotype" w:cs="Palatino Linotype"/>
          <w:color w:val="000000"/>
        </w:rPr>
        <w:lastRenderedPageBreak/>
        <w:t>veinticinco (25) de abril de dos mil veinticuatro, emitido por el Presidente Municipal Constitucional, dirigido a la Titular de la Unidad de Transparencia y Acceso a la Información Pública, por el que refirió anexar los acuses de recibo de sus declaraciones del ejercicio de impuestos federales del dos mil diecinueve al dos mil veintitrés.</w:t>
      </w:r>
    </w:p>
    <w:p w14:paraId="5D770FAB"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BA0F8B9"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En acompañamiento al oficio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los siguientes documentos:</w:t>
      </w:r>
    </w:p>
    <w:p w14:paraId="2972B6BD" w14:textId="77777777" w:rsidR="00A74653" w:rsidRDefault="001268B9">
      <w:pPr>
        <w:numPr>
          <w:ilvl w:val="2"/>
          <w:numId w:val="5"/>
        </w:numPr>
        <w:pBdr>
          <w:top w:val="nil"/>
          <w:left w:val="nil"/>
          <w:bottom w:val="nil"/>
          <w:right w:val="nil"/>
          <w:between w:val="nil"/>
        </w:pBdr>
        <w:tabs>
          <w:tab w:val="left" w:pos="284"/>
          <w:tab w:val="left" w:pos="426"/>
        </w:tabs>
        <w:spacing w:line="360" w:lineRule="auto"/>
        <w:ind w:left="1134" w:right="2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Acuse de recibo de la declaración del ejercicio de impuestos federales dos mil veintitrés, presentada por el </w:t>
      </w:r>
      <w:r>
        <w:rPr>
          <w:rFonts w:ascii="Palatino Linotype" w:eastAsia="Palatino Linotype" w:hAnsi="Palatino Linotype" w:cs="Palatino Linotype"/>
          <w:i/>
          <w:color w:val="000000"/>
        </w:rPr>
        <w:t>C. Miguel Ángel Gamboa Monroy</w:t>
      </w:r>
      <w:r>
        <w:rPr>
          <w:rFonts w:ascii="Palatino Linotype" w:eastAsia="Palatino Linotype" w:hAnsi="Palatino Linotype" w:cs="Palatino Linotype"/>
          <w:color w:val="000000"/>
        </w:rPr>
        <w:t>, ante el Servicio de Administración Tributaria.</w:t>
      </w:r>
    </w:p>
    <w:p w14:paraId="30D928DC" w14:textId="77777777" w:rsidR="00A74653" w:rsidRDefault="001268B9">
      <w:pPr>
        <w:numPr>
          <w:ilvl w:val="2"/>
          <w:numId w:val="5"/>
        </w:numPr>
        <w:pBdr>
          <w:top w:val="nil"/>
          <w:left w:val="nil"/>
          <w:bottom w:val="nil"/>
          <w:right w:val="nil"/>
          <w:between w:val="nil"/>
        </w:pBdr>
        <w:tabs>
          <w:tab w:val="left" w:pos="284"/>
          <w:tab w:val="left" w:pos="426"/>
        </w:tabs>
        <w:spacing w:line="360" w:lineRule="auto"/>
        <w:ind w:left="1134" w:right="2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Acuse de recibo de la declaración del ejercicio de impuestos federales dos mil veintidós, presentada por el </w:t>
      </w:r>
      <w:r>
        <w:rPr>
          <w:rFonts w:ascii="Palatino Linotype" w:eastAsia="Palatino Linotype" w:hAnsi="Palatino Linotype" w:cs="Palatino Linotype"/>
          <w:i/>
          <w:color w:val="000000"/>
        </w:rPr>
        <w:t>C. Miguel Ángel Gamboa Monroy</w:t>
      </w:r>
      <w:r>
        <w:rPr>
          <w:rFonts w:ascii="Palatino Linotype" w:eastAsia="Palatino Linotype" w:hAnsi="Palatino Linotype" w:cs="Palatino Linotype"/>
          <w:color w:val="000000"/>
        </w:rPr>
        <w:t>, ante el Servicio de Administración Tributaria.</w:t>
      </w:r>
    </w:p>
    <w:p w14:paraId="16013C3E" w14:textId="77777777" w:rsidR="00A74653" w:rsidRDefault="001268B9">
      <w:pPr>
        <w:numPr>
          <w:ilvl w:val="2"/>
          <w:numId w:val="5"/>
        </w:numPr>
        <w:pBdr>
          <w:top w:val="nil"/>
          <w:left w:val="nil"/>
          <w:bottom w:val="nil"/>
          <w:right w:val="nil"/>
          <w:between w:val="nil"/>
        </w:pBdr>
        <w:tabs>
          <w:tab w:val="left" w:pos="284"/>
          <w:tab w:val="left" w:pos="426"/>
        </w:tabs>
        <w:spacing w:line="360" w:lineRule="auto"/>
        <w:ind w:left="1134" w:right="2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Acuse de recibo de la declaración del ejercicio de impuestos federales dos mil veintiuno, presentada por el </w:t>
      </w:r>
      <w:r>
        <w:rPr>
          <w:rFonts w:ascii="Palatino Linotype" w:eastAsia="Palatino Linotype" w:hAnsi="Palatino Linotype" w:cs="Palatino Linotype"/>
          <w:i/>
          <w:color w:val="000000"/>
        </w:rPr>
        <w:t>C. Miguel Ángel Gamboa Monroy</w:t>
      </w:r>
      <w:r>
        <w:rPr>
          <w:rFonts w:ascii="Palatino Linotype" w:eastAsia="Palatino Linotype" w:hAnsi="Palatino Linotype" w:cs="Palatino Linotype"/>
          <w:color w:val="000000"/>
        </w:rPr>
        <w:t>, ante el Servicio de Administración Tributaria.</w:t>
      </w:r>
    </w:p>
    <w:p w14:paraId="4870D277" w14:textId="77777777" w:rsidR="00A74653" w:rsidRDefault="001268B9">
      <w:pPr>
        <w:numPr>
          <w:ilvl w:val="2"/>
          <w:numId w:val="5"/>
        </w:numPr>
        <w:pBdr>
          <w:top w:val="nil"/>
          <w:left w:val="nil"/>
          <w:bottom w:val="nil"/>
          <w:right w:val="nil"/>
          <w:between w:val="nil"/>
        </w:pBdr>
        <w:tabs>
          <w:tab w:val="left" w:pos="284"/>
          <w:tab w:val="left" w:pos="426"/>
        </w:tabs>
        <w:spacing w:line="360" w:lineRule="auto"/>
        <w:ind w:left="1134" w:right="2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Acuse de recibo de la declaración complementaria del ejercicio de impuestos federales dos mil veinte, presentada por el </w:t>
      </w:r>
      <w:r>
        <w:rPr>
          <w:rFonts w:ascii="Palatino Linotype" w:eastAsia="Palatino Linotype" w:hAnsi="Palatino Linotype" w:cs="Palatino Linotype"/>
          <w:i/>
          <w:color w:val="000000"/>
        </w:rPr>
        <w:t>C. Miguel Ángel Gamboa Monroy</w:t>
      </w:r>
      <w:r>
        <w:rPr>
          <w:rFonts w:ascii="Palatino Linotype" w:eastAsia="Palatino Linotype" w:hAnsi="Palatino Linotype" w:cs="Palatino Linotype"/>
          <w:color w:val="000000"/>
        </w:rPr>
        <w:t>, ante el Servicio de Administración Tributaria.</w:t>
      </w:r>
    </w:p>
    <w:p w14:paraId="2B47050F" w14:textId="77777777" w:rsidR="00A74653" w:rsidRDefault="001268B9">
      <w:pPr>
        <w:numPr>
          <w:ilvl w:val="2"/>
          <w:numId w:val="5"/>
        </w:numPr>
        <w:pBdr>
          <w:top w:val="nil"/>
          <w:left w:val="nil"/>
          <w:bottom w:val="nil"/>
          <w:right w:val="nil"/>
          <w:between w:val="nil"/>
        </w:pBdr>
        <w:tabs>
          <w:tab w:val="left" w:pos="284"/>
          <w:tab w:val="left" w:pos="426"/>
        </w:tabs>
        <w:spacing w:line="360" w:lineRule="auto"/>
        <w:ind w:left="1134" w:right="2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Acuse de recibo de la declaración del ejercicio de impuestos federales dos mil veinte, presentada por el </w:t>
      </w:r>
      <w:r>
        <w:rPr>
          <w:rFonts w:ascii="Palatino Linotype" w:eastAsia="Palatino Linotype" w:hAnsi="Palatino Linotype" w:cs="Palatino Linotype"/>
          <w:i/>
          <w:color w:val="000000"/>
        </w:rPr>
        <w:t>C. Miguel Ángel Gamboa Monroy</w:t>
      </w:r>
      <w:r>
        <w:rPr>
          <w:rFonts w:ascii="Palatino Linotype" w:eastAsia="Palatino Linotype" w:hAnsi="Palatino Linotype" w:cs="Palatino Linotype"/>
          <w:color w:val="000000"/>
        </w:rPr>
        <w:t>, ante el Servicio de Administración Tributaria.</w:t>
      </w:r>
    </w:p>
    <w:p w14:paraId="5E99E484" w14:textId="77777777" w:rsidR="00A74653" w:rsidRDefault="001268B9">
      <w:pPr>
        <w:numPr>
          <w:ilvl w:val="2"/>
          <w:numId w:val="5"/>
        </w:numPr>
        <w:pBdr>
          <w:top w:val="nil"/>
          <w:left w:val="nil"/>
          <w:bottom w:val="nil"/>
          <w:right w:val="nil"/>
          <w:between w:val="nil"/>
        </w:pBdr>
        <w:tabs>
          <w:tab w:val="left" w:pos="284"/>
          <w:tab w:val="left" w:pos="426"/>
        </w:tabs>
        <w:spacing w:line="360" w:lineRule="auto"/>
        <w:ind w:left="1134" w:right="20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Acuse de recibo de la declaración del ejercicio de impuestos federales dos mil diecinueve, presentada por el </w:t>
      </w:r>
      <w:r>
        <w:rPr>
          <w:rFonts w:ascii="Palatino Linotype" w:eastAsia="Palatino Linotype" w:hAnsi="Palatino Linotype" w:cs="Palatino Linotype"/>
          <w:i/>
          <w:color w:val="000000"/>
        </w:rPr>
        <w:t>C. Miguel Ángel Gamboa Monroy</w:t>
      </w:r>
      <w:r>
        <w:rPr>
          <w:rFonts w:ascii="Palatino Linotype" w:eastAsia="Palatino Linotype" w:hAnsi="Palatino Linotype" w:cs="Palatino Linotype"/>
          <w:color w:val="000000"/>
        </w:rPr>
        <w:t>, ante el Servicio de Administración Tributaria.</w:t>
      </w:r>
    </w:p>
    <w:p w14:paraId="50E09483"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2AE4965"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Por su parte,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promovió el recurso de revisión con número al rubro indicado, en contra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y en los que señaló por agravios, que se le entregó información que no corresponde con lo solicitado.</w:t>
      </w:r>
    </w:p>
    <w:p w14:paraId="03427F70"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91F93B3" w14:textId="77777777" w:rsidR="00A74653" w:rsidRDefault="001268B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II. </w:t>
      </w:r>
      <w:r>
        <w:rPr>
          <w:rFonts w:ascii="Palatino Linotype" w:eastAsia="Palatino Linotype" w:hAnsi="Palatino Linotype" w:cs="Palatino Linotype"/>
          <w:b/>
        </w:rPr>
        <w:t>Los</w:t>
      </w:r>
      <w:r>
        <w:rPr>
          <w:rFonts w:ascii="Palatino Linotype" w:eastAsia="Palatino Linotype" w:hAnsi="Palatino Linotype" w:cs="Palatino Linotype"/>
          <w:b/>
          <w:color w:val="000000"/>
        </w:rPr>
        <w:t xml:space="preserve"> límites del derecho de acceso a la información.</w:t>
      </w:r>
    </w:p>
    <w:p w14:paraId="3B7213B8"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Establecido lo anterior, se considera 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226B5496"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A98B0B3"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EBF6AF7"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30775874"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administrada por los Sujetos Obligados, y</w:t>
      </w:r>
    </w:p>
    <w:p w14:paraId="6D8921FF" w14:textId="77777777" w:rsidR="00A74653" w:rsidRDefault="001268B9">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40EA14E5"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F306656"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para darnos un mejor panorama:</w:t>
      </w:r>
    </w:p>
    <w:p w14:paraId="2ED2E695"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Los</w:t>
      </w:r>
      <w:r>
        <w:rPr>
          <w:rFonts w:ascii="Palatino Linotype" w:eastAsia="Palatino Linotype" w:hAnsi="Palatino Linotype" w:cs="Palatino Linotype"/>
          <w:b/>
          <w:i/>
          <w:sz w:val="22"/>
          <w:szCs w:val="22"/>
        </w:rPr>
        <w:t xml:space="preserve"> expedientes</w:t>
      </w:r>
      <w:r>
        <w:rPr>
          <w:rFonts w:ascii="Palatino Linotype" w:eastAsia="Palatino Linotype" w:hAnsi="Palatino Linotype" w:cs="Palatino Linotype"/>
          <w:i/>
          <w:sz w:val="22"/>
          <w:szCs w:val="22"/>
        </w:rPr>
        <w:t xml:space="preserve">,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w:t>
      </w:r>
      <w:r>
        <w:rPr>
          <w:rFonts w:ascii="Palatino Linotype" w:eastAsia="Palatino Linotype" w:hAnsi="Palatino Linotype" w:cs="Palatino Linotype"/>
          <w:i/>
          <w:sz w:val="22"/>
          <w:szCs w:val="22"/>
        </w:rPr>
        <w:t xml:space="preserve"> otro </w:t>
      </w:r>
      <w:r>
        <w:rPr>
          <w:rFonts w:ascii="Palatino Linotype" w:eastAsia="Palatino Linotype" w:hAnsi="Palatino Linotype" w:cs="Palatino Linotype"/>
          <w:b/>
          <w:i/>
          <w:sz w:val="22"/>
          <w:szCs w:val="22"/>
        </w:rPr>
        <w:t>registro que documente el ejercicio de las facultades, funciones y competencias de los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sujetos obligados</w:t>
      </w:r>
      <w:r>
        <w:rPr>
          <w:rFonts w:ascii="Palatino Linotype" w:eastAsia="Palatino Linotype" w:hAnsi="Palatino Linotype" w:cs="Palatino Linotype"/>
          <w:i/>
          <w:sz w:val="22"/>
          <w:szCs w:val="22"/>
        </w:rPr>
        <w:t>, sus servidores públicos e integrantes, sin importar su fuente o fecha de elaboración. Los documentos podrán estar en cualquier medio, sea escrito, impreso,  sonoro, visual, electrónico, informático u holográfico;”</w:t>
      </w:r>
    </w:p>
    <w:p w14:paraId="6BE4A6FC" w14:textId="77777777" w:rsidR="00A74653" w:rsidRDefault="001268B9">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3DE70EFA"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436695B"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Correlativo a lo anterior, debemos tomar en cuenta los artículos 4 y 12, de la Ley de Transparencia y Acceso a la Información Pública del Estado de México y Municipios, los cuales establecen lo siguiente:</w:t>
      </w:r>
    </w:p>
    <w:p w14:paraId="1674AE6A"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553D0A2"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Pr>
          <w:rFonts w:ascii="Palatino Linotype" w:eastAsia="Palatino Linotype" w:hAnsi="Palatino Linotype" w:cs="Palatino Linotype"/>
          <w:i/>
          <w:sz w:val="22"/>
          <w:szCs w:val="22"/>
        </w:rPr>
        <w:lastRenderedPageBreak/>
        <w:t>excepcionalmente como reservada temporalmente por razones de interés público, en los términos de las causas legítimas y estrictamente necesarias previstas por esta Ley.</w:t>
      </w:r>
    </w:p>
    <w:p w14:paraId="4B778C33" w14:textId="77777777" w:rsidR="00A74653" w:rsidRDefault="001268B9">
      <w:pPr>
        <w:spacing w:line="276" w:lineRule="auto"/>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444A66F4" w14:textId="77777777" w:rsidR="00A74653" w:rsidRDefault="00A74653">
      <w:pPr>
        <w:spacing w:line="276" w:lineRule="auto"/>
        <w:ind w:right="567"/>
        <w:jc w:val="both"/>
        <w:rPr>
          <w:rFonts w:ascii="Palatino Linotype" w:eastAsia="Palatino Linotype" w:hAnsi="Palatino Linotype" w:cs="Palatino Linotype"/>
          <w:i/>
          <w:color w:val="000000"/>
          <w:sz w:val="22"/>
          <w:szCs w:val="22"/>
        </w:rPr>
      </w:pPr>
    </w:p>
    <w:p w14:paraId="755C8417"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Pr>
          <w:rFonts w:ascii="Palatino Linotype" w:eastAsia="Palatino Linotype" w:hAnsi="Palatino Linotype" w:cs="Palatino Linotype"/>
          <w:i/>
          <w:sz w:val="22"/>
          <w:szCs w:val="22"/>
        </w:rPr>
        <w:t xml:space="preserve">. </w:t>
      </w:r>
    </w:p>
    <w:p w14:paraId="7944644F"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FC91193" w14:textId="77777777" w:rsidR="00A74653" w:rsidRDefault="001268B9">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FB41D60"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BD7D812"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Es 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52890F77"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F233BD8"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Por 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w:t>
      </w:r>
      <w:r>
        <w:rPr>
          <w:rFonts w:ascii="Palatino Linotype" w:eastAsia="Palatino Linotype" w:hAnsi="Palatino Linotype" w:cs="Palatino Linotype"/>
          <w:color w:val="000000"/>
        </w:rPr>
        <w:lastRenderedPageBreak/>
        <w:t>legítima y estrictamente necesaria en una sociedad democrática, por lo que atenderá las necesidades del derecho de acceso a la información de toda persona</w:t>
      </w:r>
      <w:r>
        <w:rPr>
          <w:rFonts w:ascii="Palatino Linotype" w:eastAsia="Palatino Linotype" w:hAnsi="Palatino Linotype" w:cs="Palatino Linotype"/>
          <w:color w:val="000000"/>
          <w:vertAlign w:val="superscript"/>
        </w:rPr>
        <w:footnoteReference w:id="11"/>
      </w:r>
      <w:r>
        <w:rPr>
          <w:rFonts w:ascii="Palatino Linotype" w:eastAsia="Palatino Linotype" w:hAnsi="Palatino Linotype" w:cs="Palatino Linotype"/>
          <w:color w:val="000000"/>
        </w:rPr>
        <w:t>.</w:t>
      </w:r>
    </w:p>
    <w:p w14:paraId="35BBB1B9"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C9DE18B"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En 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2"/>
      </w:r>
      <w:r>
        <w:rPr>
          <w:rFonts w:ascii="Palatino Linotype" w:eastAsia="Palatino Linotype" w:hAnsi="Palatino Linotype" w:cs="Palatino Linotype"/>
          <w:color w:val="000000"/>
        </w:rPr>
        <w:t xml:space="preserve"> y máxima publicidad; sobre éste último se debe poner mayor énfasis, puesto que establece que </w:t>
      </w:r>
      <w:r>
        <w:rPr>
          <w:rFonts w:ascii="Palatino Linotype" w:eastAsia="Palatino Linotype" w:hAnsi="Palatino Linotype" w:cs="Palatino Linotype"/>
          <w:b/>
          <w:color w:val="000000"/>
          <w:u w:val="single"/>
        </w:rPr>
        <w:t>toda la información en posesión de los Sujetos Obligados será</w:t>
      </w:r>
      <w:r>
        <w:rPr>
          <w:rFonts w:ascii="Palatino Linotype" w:eastAsia="Palatino Linotype" w:hAnsi="Palatino Linotype" w:cs="Palatino Linotype"/>
          <w:color w:val="000000"/>
        </w:rPr>
        <w:t xml:space="preserve"> pública, completa, </w:t>
      </w:r>
      <w:r>
        <w:rPr>
          <w:rFonts w:ascii="Palatino Linotype" w:eastAsia="Palatino Linotype" w:hAnsi="Palatino Linotype" w:cs="Palatino Linotype"/>
          <w:b/>
          <w:color w:val="000000"/>
          <w:u w:val="single"/>
        </w:rPr>
        <w:t>oportuna</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u w:val="single"/>
        </w:rPr>
        <w:t>accesible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lo que permite que la ciudadanía tenga un amplio acceso sobre lo que es el actuar de las autoridades</w:t>
      </w:r>
      <w:r>
        <w:rPr>
          <w:rFonts w:ascii="Palatino Linotype" w:eastAsia="Palatino Linotype" w:hAnsi="Palatino Linotype" w:cs="Palatino Linotype"/>
          <w:color w:val="000000"/>
        </w:rPr>
        <w:t>.</w:t>
      </w:r>
    </w:p>
    <w:p w14:paraId="4FE27B72"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EA69842"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82BFFA2" w14:textId="77777777" w:rsidR="00A74653" w:rsidRDefault="001268B9">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w:t>
      </w:r>
      <w:r>
        <w:rPr>
          <w:rFonts w:ascii="Palatino Linotype" w:eastAsia="Palatino Linotype" w:hAnsi="Palatino Linotype" w:cs="Palatino Linotype"/>
          <w:i/>
          <w:color w:val="000000"/>
          <w:sz w:val="22"/>
          <w:szCs w:val="22"/>
        </w:rPr>
        <w:lastRenderedPageBreak/>
        <w:t>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6AFAB3A7"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ECB0AA6"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Tal y como se ha señalado, </w:t>
      </w:r>
      <w:r>
        <w:rPr>
          <w:rFonts w:ascii="Palatino Linotype" w:eastAsia="Palatino Linotype" w:hAnsi="Palatino Linotype" w:cs="Palatino Linotype"/>
          <w:b/>
          <w:color w:val="000000"/>
        </w:rPr>
        <w:t>el derecho de acceso a la información se basa en permitir que la ciudadanía conozca de primera mano toda aquella información que se encuentra en posesión de los Sujetos Obligados</w:t>
      </w:r>
      <w:r>
        <w:rPr>
          <w:rFonts w:ascii="Palatino Linotype" w:eastAsia="Palatino Linotype" w:hAnsi="Palatino Linotype" w:cs="Palatino Linotype"/>
          <w:color w:val="000000"/>
        </w:rPr>
        <w:t xml:space="preserve">, ya sea porque la genera, posee o administra; </w:t>
      </w:r>
      <w:r>
        <w:rPr>
          <w:rFonts w:ascii="Palatino Linotype" w:eastAsia="Palatino Linotype" w:hAnsi="Palatino Linotype" w:cs="Palatino Linotype"/>
          <w:b/>
          <w:color w:val="000000"/>
        </w:rPr>
        <w:t>toda vez que</w:t>
      </w:r>
      <w:r>
        <w:rPr>
          <w:rFonts w:ascii="Palatino Linotype" w:eastAsia="Palatino Linotype" w:hAnsi="Palatino Linotype" w:cs="Palatino Linotype"/>
          <w:color w:val="000000"/>
        </w:rPr>
        <w:t xml:space="preserve">, a través de dicha acción, </w:t>
      </w:r>
      <w:r>
        <w:rPr>
          <w:rFonts w:ascii="Palatino Linotype" w:eastAsia="Palatino Linotype" w:hAnsi="Palatino Linotype" w:cs="Palatino Linotype"/>
          <w:b/>
          <w:color w:val="000000"/>
        </w:rPr>
        <w:t>permite que las personas ejerzan un medio de control sobre las acciones que se están ejerciendo y evaluar su desempeño</w:t>
      </w:r>
      <w:r>
        <w:rPr>
          <w:rFonts w:ascii="Palatino Linotype" w:eastAsia="Palatino Linotype" w:hAnsi="Palatino Linotype" w:cs="Palatino Linotype"/>
          <w:color w:val="000000"/>
        </w:rPr>
        <w:t>.</w:t>
      </w:r>
    </w:p>
    <w:p w14:paraId="3E645B3F"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B0D4AAB" w14:textId="77777777" w:rsidR="00A74653" w:rsidRDefault="001268B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III. De las declaraciones patrimoniales y de intereses.</w:t>
      </w:r>
    </w:p>
    <w:p w14:paraId="37F6403D"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La Ley de Responsabilidades Administrativas del Estado de México y  Municipios, en su artículo primero, establece que ésta es de orden público y de observancia general en el Estado de México y tiene por objeto distribuir y </w:t>
      </w:r>
      <w:r>
        <w:rPr>
          <w:rFonts w:ascii="Palatino Linotype" w:eastAsia="Palatino Linotype" w:hAnsi="Palatino Linotype" w:cs="Palatino Linotype"/>
          <w:b/>
          <w:color w:val="000000"/>
        </w:rPr>
        <w:t xml:space="preserve">establecer </w:t>
      </w:r>
      <w:r>
        <w:rPr>
          <w:rFonts w:ascii="Palatino Linotype" w:eastAsia="Palatino Linotype" w:hAnsi="Palatino Linotype" w:cs="Palatino Linotype"/>
          <w:b/>
          <w:color w:val="000000"/>
        </w:rPr>
        <w:lastRenderedPageBreak/>
        <w:t>la competencia de las autoridades para determinar</w:t>
      </w:r>
      <w:r>
        <w:rPr>
          <w:rFonts w:ascii="Palatino Linotype" w:eastAsia="Palatino Linotype" w:hAnsi="Palatino Linotype" w:cs="Palatino Linotype"/>
          <w:color w:val="000000"/>
        </w:rPr>
        <w:t xml:space="preserve"> las responsabilidades administrativas de los servidores públicos, sus </w:t>
      </w:r>
      <w:r>
        <w:rPr>
          <w:rFonts w:ascii="Palatino Linotype" w:eastAsia="Palatino Linotype" w:hAnsi="Palatino Linotype" w:cs="Palatino Linotype"/>
          <w:b/>
          <w:color w:val="000000"/>
        </w:rPr>
        <w:t>obligaciones</w:t>
      </w:r>
      <w:r>
        <w:rPr>
          <w:rFonts w:ascii="Palatino Linotype" w:eastAsia="Palatino Linotype" w:hAnsi="Palatino Linotype" w:cs="Palatino Linotype"/>
          <w:color w:val="000000"/>
        </w:rPr>
        <w:t>, las sanciones aplicables por los actos u omisiones en que éstos incurran y las que correspondan a los particulares vinculados con faltas administrativas graves, así como los procedimientos para su aplicación.</w:t>
      </w:r>
    </w:p>
    <w:p w14:paraId="7D0B2DE3"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0EC537A"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Dicho lo anterior, cabe señalar que </w:t>
      </w:r>
      <w:r>
        <w:rPr>
          <w:rFonts w:ascii="Palatino Linotype" w:eastAsia="Palatino Linotype" w:hAnsi="Palatino Linotype" w:cs="Palatino Linotype"/>
          <w:b/>
          <w:color w:val="000000"/>
          <w:u w:val="single"/>
        </w:rPr>
        <w:t>todos los servidores públicos</w:t>
      </w:r>
      <w:r>
        <w:rPr>
          <w:rFonts w:ascii="Palatino Linotype" w:eastAsia="Palatino Linotype" w:hAnsi="Palatino Linotype" w:cs="Palatino Linotype"/>
          <w:color w:val="000000"/>
        </w:rPr>
        <w:t xml:space="preserve"> estatales y/o municipales, estarán obligados a presentar las </w:t>
      </w:r>
      <w:r>
        <w:rPr>
          <w:rFonts w:ascii="Palatino Linotype" w:eastAsia="Palatino Linotype" w:hAnsi="Palatino Linotype" w:cs="Palatino Linotype"/>
          <w:b/>
          <w:color w:val="000000"/>
        </w:rPr>
        <w:t>declaraciones de situación patrimonial y de intereses</w:t>
      </w:r>
      <w:r>
        <w:rPr>
          <w:rFonts w:ascii="Palatino Linotype" w:eastAsia="Palatino Linotype" w:hAnsi="Palatino Linotype" w:cs="Palatino Linotype"/>
          <w:color w:val="000000"/>
        </w:rPr>
        <w:t>, bajo protesta de decir verdad, ante la Secretaría de la Contraloría o los órganos internos de control</w:t>
      </w:r>
      <w:r>
        <w:rPr>
          <w:rFonts w:ascii="Palatino Linotype" w:eastAsia="Palatino Linotype" w:hAnsi="Palatino Linotype" w:cs="Palatino Linotype"/>
          <w:color w:val="000000"/>
          <w:vertAlign w:val="superscript"/>
        </w:rPr>
        <w:footnoteReference w:id="13"/>
      </w:r>
      <w:r>
        <w:rPr>
          <w:rFonts w:ascii="Palatino Linotype" w:eastAsia="Palatino Linotype" w:hAnsi="Palatino Linotype" w:cs="Palatino Linotype"/>
          <w:color w:val="000000"/>
        </w:rPr>
        <w:t>.</w:t>
      </w:r>
    </w:p>
    <w:p w14:paraId="754B4C74"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4C0F5E0"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Al respecto, conviene referir que el artículo 3 de la Ley de Responsabilidades Administrativas del Estado de México y Municipios, en sus fracciones V y VIII, distingue los siguientes conceptos:</w:t>
      </w:r>
    </w:p>
    <w:p w14:paraId="59A57667"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w:t>
      </w:r>
      <w:r>
        <w:rPr>
          <w:rFonts w:ascii="Palatino Linotype" w:eastAsia="Palatino Linotype" w:hAnsi="Palatino Linotype" w:cs="Palatino Linotype"/>
          <w:i/>
          <w:color w:val="000000"/>
          <w:sz w:val="22"/>
          <w:szCs w:val="22"/>
        </w:rPr>
        <w:t xml:space="preserve"> Para los efectos de la presente Ley, se entenderá por:</w:t>
      </w:r>
    </w:p>
    <w:p w14:paraId="3BBC3A11"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F0C6030"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V. Conflicto de interés: </w:t>
      </w:r>
      <w:r>
        <w:rPr>
          <w:rFonts w:ascii="Palatino Linotype" w:eastAsia="Palatino Linotype" w:hAnsi="Palatino Linotype" w:cs="Palatino Linotype"/>
          <w:i/>
          <w:color w:val="000000"/>
          <w:sz w:val="22"/>
          <w:szCs w:val="22"/>
        </w:rPr>
        <w:t>A la posible afectación del desempeño imparcial y objetivo de las funciones de los Servidores Públicos en razón de intereses personales, familiares o de negocios.</w:t>
      </w:r>
    </w:p>
    <w:p w14:paraId="58D2EC40"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EBE32C9"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VIII. Declarante:</w:t>
      </w:r>
      <w:r>
        <w:rPr>
          <w:rFonts w:ascii="Palatino Linotype" w:eastAsia="Palatino Linotype" w:hAnsi="Palatino Linotype" w:cs="Palatino Linotype"/>
          <w:i/>
          <w:color w:val="000000"/>
          <w:sz w:val="22"/>
          <w:szCs w:val="22"/>
        </w:rPr>
        <w:t xml:space="preserve"> Al servidor público obligado a presentar la declaración de situación patrimonial, la declaración de intereses y la presentación de la constancia de declaración fiscal, en los términos establecidos en la presente Ley.</w:t>
      </w:r>
    </w:p>
    <w:p w14:paraId="51AF1333"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14:paraId="44805E9F"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0BBAE477"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lastRenderedPageBreak/>
        <w:t xml:space="preserve">Así las cosas, podemos identificar que </w:t>
      </w:r>
      <w:r>
        <w:rPr>
          <w:rFonts w:ascii="Palatino Linotype" w:eastAsia="Palatino Linotype" w:hAnsi="Palatino Linotype" w:cs="Palatino Linotype"/>
          <w:b/>
          <w:color w:val="000000"/>
          <w:u w:val="single"/>
        </w:rPr>
        <w:t>todos los servidores públicos</w:t>
      </w:r>
      <w:r>
        <w:rPr>
          <w:rFonts w:ascii="Palatino Linotype" w:eastAsia="Palatino Linotype" w:hAnsi="Palatino Linotype" w:cs="Palatino Linotype"/>
          <w:color w:val="000000"/>
        </w:rPr>
        <w:t xml:space="preserve"> deberán presentar una </w:t>
      </w:r>
      <w:r>
        <w:rPr>
          <w:rFonts w:ascii="Palatino Linotype" w:eastAsia="Palatino Linotype" w:hAnsi="Palatino Linotype" w:cs="Palatino Linotype"/>
          <w:b/>
          <w:color w:val="000000"/>
        </w:rPr>
        <w:t>declaración de situación patrimonial y de intereses</w:t>
      </w:r>
      <w:r>
        <w:rPr>
          <w:rFonts w:ascii="Palatino Linotype" w:eastAsia="Palatino Linotype" w:hAnsi="Palatino Linotype" w:cs="Palatino Linotype"/>
          <w:color w:val="000000"/>
        </w:rPr>
        <w:t xml:space="preserve">, así como la constancia de situación fiscal. Por otro lado, existirá un </w:t>
      </w:r>
      <w:r>
        <w:rPr>
          <w:rFonts w:ascii="Palatino Linotype" w:eastAsia="Palatino Linotype" w:hAnsi="Palatino Linotype" w:cs="Palatino Linotype"/>
          <w:b/>
          <w:color w:val="000000"/>
        </w:rPr>
        <w:t>conflicto de interés</w:t>
      </w:r>
      <w:r>
        <w:rPr>
          <w:rFonts w:ascii="Palatino Linotype" w:eastAsia="Palatino Linotype" w:hAnsi="Palatino Linotype" w:cs="Palatino Linotype"/>
          <w:color w:val="000000"/>
        </w:rPr>
        <w:t xml:space="preserve"> cuando existan </w:t>
      </w:r>
      <w:r>
        <w:rPr>
          <w:rFonts w:ascii="Palatino Linotype" w:eastAsia="Palatino Linotype" w:hAnsi="Palatino Linotype" w:cs="Palatino Linotype"/>
          <w:b/>
          <w:color w:val="000000"/>
        </w:rPr>
        <w:t>circunstancias de índole</w:t>
      </w:r>
      <w:r>
        <w:rPr>
          <w:rFonts w:ascii="Palatino Linotype" w:eastAsia="Palatino Linotype" w:hAnsi="Palatino Linotype" w:cs="Palatino Linotype"/>
          <w:color w:val="000000"/>
        </w:rPr>
        <w:t xml:space="preserve"> personal, </w:t>
      </w:r>
      <w:r>
        <w:rPr>
          <w:rFonts w:ascii="Palatino Linotype" w:eastAsia="Palatino Linotype" w:hAnsi="Palatino Linotype" w:cs="Palatino Linotype"/>
          <w:b/>
          <w:color w:val="000000"/>
        </w:rPr>
        <w:t>familiar</w:t>
      </w:r>
      <w:r>
        <w:rPr>
          <w:rFonts w:ascii="Palatino Linotype" w:eastAsia="Palatino Linotype" w:hAnsi="Palatino Linotype" w:cs="Palatino Linotype"/>
          <w:color w:val="000000"/>
        </w:rPr>
        <w:t xml:space="preserve"> o de negocios, </w:t>
      </w:r>
      <w:r>
        <w:rPr>
          <w:rFonts w:ascii="Palatino Linotype" w:eastAsia="Palatino Linotype" w:hAnsi="Palatino Linotype" w:cs="Palatino Linotype"/>
          <w:b/>
          <w:color w:val="000000"/>
        </w:rPr>
        <w:t>que afecten el desempeño imparcial y objetivo de las funciones de los servidores públicos</w:t>
      </w:r>
      <w:r>
        <w:rPr>
          <w:rFonts w:ascii="Palatino Linotype" w:eastAsia="Palatino Linotype" w:hAnsi="Palatino Linotype" w:cs="Palatino Linotype"/>
          <w:color w:val="000000"/>
        </w:rPr>
        <w:t xml:space="preserve">.  </w:t>
      </w:r>
    </w:p>
    <w:p w14:paraId="1BDB4F85"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867430"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Por cuanto hace a la declaración de situación patrimonial, los artículos 34, 35 y 46 de la Ley de Responsabilidades Administrativas del Estado de México y Municipios, mencionan lo siguiente:</w:t>
      </w:r>
    </w:p>
    <w:p w14:paraId="0C242B3C"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34.</w:t>
      </w:r>
      <w:r>
        <w:rPr>
          <w:rFonts w:ascii="Palatino Linotype" w:eastAsia="Palatino Linotype" w:hAnsi="Palatino Linotype" w:cs="Palatino Linotype"/>
          <w:i/>
          <w:color w:val="000000"/>
          <w:sz w:val="22"/>
          <w:szCs w:val="22"/>
        </w:rPr>
        <w:t xml:space="preserve"> La declaración de situación patrimonial, deberá presentarse en los siguientes plazos: </w:t>
      </w:r>
    </w:p>
    <w:p w14:paraId="629B4F72"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 Declaración inicial, </w:t>
      </w:r>
      <w:r>
        <w:rPr>
          <w:rFonts w:ascii="Palatino Linotype" w:eastAsia="Palatino Linotype" w:hAnsi="Palatino Linotype" w:cs="Palatino Linotype"/>
          <w:i/>
          <w:color w:val="000000"/>
          <w:sz w:val="22"/>
          <w:szCs w:val="22"/>
        </w:rPr>
        <w:t>dentro de los sesenta días naturales siguientes a la toma de posesión con motivo del:</w:t>
      </w:r>
      <w:r>
        <w:rPr>
          <w:rFonts w:ascii="Palatino Linotype" w:eastAsia="Palatino Linotype" w:hAnsi="Palatino Linotype" w:cs="Palatino Linotype"/>
          <w:b/>
          <w:i/>
          <w:color w:val="000000"/>
          <w:sz w:val="22"/>
          <w:szCs w:val="22"/>
        </w:rPr>
        <w:t xml:space="preserve"> </w:t>
      </w:r>
    </w:p>
    <w:p w14:paraId="7B43C085" w14:textId="77777777" w:rsidR="00A74653" w:rsidRDefault="001268B9">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w:t>
      </w:r>
      <w:r>
        <w:rPr>
          <w:rFonts w:ascii="Palatino Linotype" w:eastAsia="Palatino Linotype" w:hAnsi="Palatino Linotype" w:cs="Palatino Linotype"/>
          <w:i/>
          <w:color w:val="000000"/>
          <w:sz w:val="22"/>
          <w:szCs w:val="22"/>
        </w:rPr>
        <w:t xml:space="preserve"> Ingreso al servicio público por primera vez.</w:t>
      </w:r>
    </w:p>
    <w:p w14:paraId="713DB509" w14:textId="77777777" w:rsidR="00A74653" w:rsidRDefault="001268B9">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b)</w:t>
      </w:r>
      <w:r>
        <w:rPr>
          <w:rFonts w:ascii="Palatino Linotype" w:eastAsia="Palatino Linotype" w:hAnsi="Palatino Linotype" w:cs="Palatino Linotype"/>
          <w:i/>
          <w:color w:val="000000"/>
          <w:sz w:val="22"/>
          <w:szCs w:val="22"/>
        </w:rPr>
        <w:t xml:space="preserve"> Reingreso al servicio público después de sesenta días naturales de la conclusión de su último encargo. </w:t>
      </w:r>
    </w:p>
    <w:p w14:paraId="67570AE2"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Declaración de modificación patrimonial, durante el mes de mayo de cada año. </w:t>
      </w:r>
    </w:p>
    <w:p w14:paraId="1149809B"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Declaración de conclusión del encargo, dentro de los sesenta días naturales siguientes a la conclusión. </w:t>
      </w:r>
    </w:p>
    <w:p w14:paraId="4BD7817D"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58F87AE"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14:paraId="0E54EDF0"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Tratándose de los supuestos previstos en las fracciones I y II del presente artículo, en caso que la omisión en la declaración continúe por un periodo de treinta días naturales siguientes a la fecha en que hubiere notificado el requerimiento al declarante, la Secretaría o los órganos internos de control, según corresponda, declararán que el nombramiento o contrato ha quedado sin efectos, debiendo notificar lo anterior al titular del ente público correspondiente para separar de inmediato del cargo al servidor público. </w:t>
      </w:r>
    </w:p>
    <w:p w14:paraId="6B38CDDA"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El incumplimiento por no separar del cargo al servidor público por parte del titular de alguno de los entes públicos, será causa de responsabilidad administrativa en los términos de la presente Ley. </w:t>
      </w:r>
    </w:p>
    <w:p w14:paraId="7D3E10D7"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Para el caso de omisión, sin causa justificada, en la presentación de la declaración a que se refiere la fracción III de este artículo, se inhabilitará al infractor de tres meses a un año. </w:t>
      </w:r>
    </w:p>
    <w:p w14:paraId="5118F0A1"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la imposición de las sanciones a que se refiere este artículo deberá sustanciarse el procedimiento de responsabilidad administrativa por faltas administrativas previsto en el Título Segundo del Libro Segundo de la presente Ley.”</w:t>
      </w:r>
    </w:p>
    <w:p w14:paraId="44D43950" w14:textId="77777777" w:rsidR="00A74653" w:rsidRDefault="00A7465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1CA79053"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35.</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declaración de situación patrimonial, deberá ser presentada a través de medios electrónicos</w:t>
      </w:r>
      <w:r>
        <w:rPr>
          <w:rFonts w:ascii="Palatino Linotype" w:eastAsia="Palatino Linotype" w:hAnsi="Palatino Linotype" w:cs="Palatino Linotype"/>
          <w:i/>
          <w:sz w:val="22"/>
          <w:szCs w:val="22"/>
        </w:rPr>
        <w:t>, empleándose medios de identificación electrónica.</w:t>
      </w:r>
    </w:p>
    <w:p w14:paraId="635886F5"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w:t>
      </w:r>
      <w:r>
        <w:rPr>
          <w:rFonts w:ascii="Palatino Linotype" w:eastAsia="Palatino Linotype" w:hAnsi="Palatino Linotype" w:cs="Palatino Linotype"/>
          <w:i/>
          <w:sz w:val="22"/>
          <w:szCs w:val="22"/>
        </w:rPr>
        <w:t>.</w:t>
      </w:r>
    </w:p>
    <w:p w14:paraId="563E57CB"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w:t>
      </w:r>
      <w:r>
        <w:rPr>
          <w:rFonts w:ascii="Palatino Linotype" w:eastAsia="Palatino Linotype" w:hAnsi="Palatino Linotype" w:cs="Palatino Linotype"/>
          <w:b/>
          <w:i/>
          <w:sz w:val="22"/>
          <w:szCs w:val="22"/>
        </w:rPr>
        <w:t>Secretaría de la Contraloría tendrá a su cargo el sistema de certificación de los medios de identificación electrónica que utilicen los servidores públicos y llevará el control de dicho medio</w:t>
      </w:r>
      <w:r>
        <w:rPr>
          <w:rFonts w:ascii="Palatino Linotype" w:eastAsia="Palatino Linotype" w:hAnsi="Palatino Linotype" w:cs="Palatino Linotype"/>
          <w:i/>
          <w:sz w:val="22"/>
          <w:szCs w:val="22"/>
        </w:rPr>
        <w:t>.</w:t>
      </w:r>
    </w:p>
    <w:p w14:paraId="30BAEB14"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14:paraId="0DD91A10"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los efectos de los procedimientos penales que se deriven de la aplicación de las disposiciones del presente Título, </w:t>
      </w:r>
      <w:r>
        <w:rPr>
          <w:rFonts w:ascii="Palatino Linotype" w:eastAsia="Palatino Linotype" w:hAnsi="Palatino Linotype" w:cs="Palatino Linotype"/>
          <w:b/>
          <w:i/>
          <w:sz w:val="22"/>
          <w:szCs w:val="22"/>
        </w:rPr>
        <w:t>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w:t>
      </w:r>
      <w:r>
        <w:rPr>
          <w:rFonts w:ascii="Palatino Linotype" w:eastAsia="Palatino Linotype" w:hAnsi="Palatino Linotype" w:cs="Palatino Linotype"/>
          <w:i/>
          <w:sz w:val="22"/>
          <w:szCs w:val="22"/>
        </w:rPr>
        <w:t>.</w:t>
      </w:r>
    </w:p>
    <w:p w14:paraId="5CC98957" w14:textId="77777777" w:rsidR="00A74653" w:rsidRDefault="001268B9">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servidores públicos facultados para recabar la declaración de situación patrimonial, deberán resguardar la información a la que accedan observando lo dispuesto en la Ley de </w:t>
      </w:r>
      <w:r>
        <w:rPr>
          <w:rFonts w:ascii="Palatino Linotype" w:eastAsia="Palatino Linotype" w:hAnsi="Palatino Linotype" w:cs="Palatino Linotype"/>
          <w:i/>
          <w:sz w:val="22"/>
          <w:szCs w:val="22"/>
        </w:rPr>
        <w:lastRenderedPageBreak/>
        <w:t>Transparencia y Acceso a la Información Pública del Estado de México y Municipios así como en la Ley de Protección de Datos Personales del Estado de México.”</w:t>
      </w:r>
    </w:p>
    <w:p w14:paraId="3AA6AAEB" w14:textId="77777777" w:rsidR="00A74653" w:rsidRDefault="00A7465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26F7CAD2"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Artículo 46. </w:t>
      </w:r>
      <w:r>
        <w:rPr>
          <w:rFonts w:ascii="Palatino Linotype" w:eastAsia="Palatino Linotype" w:hAnsi="Palatino Linotype" w:cs="Palatino Linotype"/>
          <w:i/>
          <w:color w:val="000000"/>
          <w:sz w:val="22"/>
          <w:szCs w:val="22"/>
        </w:rPr>
        <w:t>(…)</w:t>
      </w:r>
    </w:p>
    <w:p w14:paraId="0B2C9EC7"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La declaración de intereses deberá presentarse en los plazos a que se refiere el artículo 34 de esta Ley</w:t>
      </w:r>
      <w:r>
        <w:rPr>
          <w:rFonts w:ascii="Palatino Linotype" w:eastAsia="Palatino Linotype" w:hAnsi="Palatino Linotype" w:cs="Palatino Linotype"/>
          <w:i/>
          <w:color w:val="000000"/>
          <w:sz w:val="22"/>
          <w:szCs w:val="22"/>
        </w:rPr>
        <w:t>, y de la misma manera le serán aplicables los procedimientos establecidos en dicho artículo, para el incumplimiento de dichos plazos.</w:t>
      </w:r>
    </w:p>
    <w:p w14:paraId="49D3EC85"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22574F1" w14:textId="77777777" w:rsidR="00A74653" w:rsidRDefault="001268B9">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52043E75"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7DCE07B"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De los dispositivos legales referidos, se precisa que para el caso de la </w:t>
      </w:r>
      <w:r>
        <w:rPr>
          <w:rFonts w:ascii="Palatino Linotype" w:eastAsia="Palatino Linotype" w:hAnsi="Palatino Linotype" w:cs="Palatino Linotype"/>
          <w:b/>
          <w:color w:val="000000"/>
        </w:rPr>
        <w:t>declaración patrimonial</w:t>
      </w:r>
      <w:r>
        <w:rPr>
          <w:rFonts w:ascii="Palatino Linotype" w:eastAsia="Palatino Linotype" w:hAnsi="Palatino Linotype" w:cs="Palatino Linotype"/>
          <w:color w:val="000000"/>
        </w:rPr>
        <w:t xml:space="preserve">, ésta debe presentarse a través de </w:t>
      </w:r>
      <w:r>
        <w:rPr>
          <w:rFonts w:ascii="Palatino Linotype" w:eastAsia="Palatino Linotype" w:hAnsi="Palatino Linotype" w:cs="Palatino Linotype"/>
          <w:b/>
          <w:color w:val="000000"/>
        </w:rPr>
        <w:t>medios electrónicos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empleando</w:t>
      </w:r>
      <w:r>
        <w:rPr>
          <w:rFonts w:ascii="Palatino Linotype" w:eastAsia="Palatino Linotype" w:hAnsi="Palatino Linotype" w:cs="Palatino Linotype"/>
          <w:color w:val="000000"/>
        </w:rPr>
        <w:t xml:space="preserve"> medios de identificación electrónica y, que para el caso de los municipios que no cuenten con las tecnologías de la información y comunicación necesarias para cumplir lo anterior, podrán emplear formatos impresos, siendo </w:t>
      </w:r>
      <w:r>
        <w:rPr>
          <w:rFonts w:ascii="Palatino Linotype" w:eastAsia="Palatino Linotype" w:hAnsi="Palatino Linotype" w:cs="Palatino Linotype"/>
          <w:b/>
          <w:color w:val="000000"/>
        </w:rPr>
        <w:t>responsabilidad de los Órganos Internos de Control y la Secretaría de la Contraloría</w:t>
      </w:r>
      <w:r>
        <w:rPr>
          <w:rFonts w:ascii="Palatino Linotype" w:eastAsia="Palatino Linotype" w:hAnsi="Palatino Linotype" w:cs="Palatino Linotype"/>
          <w:color w:val="000000"/>
        </w:rPr>
        <w:t xml:space="preserve"> verificar que dichos formatos sean digitalizados e </w:t>
      </w:r>
      <w:r>
        <w:rPr>
          <w:rFonts w:ascii="Palatino Linotype" w:eastAsia="Palatino Linotype" w:hAnsi="Palatino Linotype" w:cs="Palatino Linotype"/>
          <w:b/>
          <w:color w:val="000000"/>
        </w:rPr>
        <w:t>incluir la información que corresponda</w:t>
      </w:r>
      <w:r>
        <w:rPr>
          <w:rFonts w:ascii="Palatino Linotype" w:eastAsia="Palatino Linotype" w:hAnsi="Palatino Linotype" w:cs="Palatino Linotype"/>
          <w:color w:val="000000"/>
        </w:rPr>
        <w:t xml:space="preserve"> en el Sistema de Evolución Patrimonial.</w:t>
      </w:r>
    </w:p>
    <w:p w14:paraId="3F9C7738"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0968372"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Establecido lo anterior, cabe referir que </w:t>
      </w:r>
      <w:r>
        <w:rPr>
          <w:rFonts w:ascii="Palatino Linotype" w:eastAsia="Palatino Linotype" w:hAnsi="Palatino Linotype" w:cs="Palatino Linotype"/>
          <w:b/>
          <w:color w:val="000000"/>
        </w:rPr>
        <w:t>todos los servidores públicos</w:t>
      </w:r>
      <w:r>
        <w:rPr>
          <w:rFonts w:ascii="Palatino Linotype" w:eastAsia="Palatino Linotype" w:hAnsi="Palatino Linotype" w:cs="Palatino Linotype"/>
          <w:color w:val="000000"/>
        </w:rPr>
        <w:t xml:space="preserve"> que deban presentar la </w:t>
      </w:r>
      <w:r>
        <w:rPr>
          <w:rFonts w:ascii="Palatino Linotype" w:eastAsia="Palatino Linotype" w:hAnsi="Palatino Linotype" w:cs="Palatino Linotype"/>
          <w:b/>
          <w:color w:val="000000"/>
        </w:rPr>
        <w:t>declaración de situación patrimonial</w:t>
      </w:r>
      <w:r>
        <w:rPr>
          <w:rFonts w:ascii="Palatino Linotype" w:eastAsia="Palatino Linotype" w:hAnsi="Palatino Linotype" w:cs="Palatino Linotype"/>
          <w:color w:val="000000"/>
        </w:rPr>
        <w:t xml:space="preserve"> estarán obligados a presentar </w:t>
      </w:r>
      <w:r>
        <w:rPr>
          <w:rFonts w:ascii="Palatino Linotype" w:eastAsia="Palatino Linotype" w:hAnsi="Palatino Linotype" w:cs="Palatino Linotype"/>
          <w:b/>
          <w:color w:val="000000"/>
        </w:rPr>
        <w:t>declaración de intereses</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 xml:space="preserve">. Para ello, la Secretaría de la Contraloría y los órganos internos de control se </w:t>
      </w:r>
      <w:r>
        <w:rPr>
          <w:rFonts w:ascii="Palatino Linotype" w:eastAsia="Palatino Linotype" w:hAnsi="Palatino Linotype" w:cs="Palatino Linotype"/>
        </w:rPr>
        <w:t>encargará</w:t>
      </w:r>
      <w:r>
        <w:rPr>
          <w:rFonts w:ascii="Palatino Linotype" w:eastAsia="Palatino Linotype" w:hAnsi="Palatino Linotype" w:cs="Palatino Linotype"/>
          <w:color w:val="000000"/>
        </w:rPr>
        <w:t xml:space="preserve"> que las declaraciones sean integradas al sistema de evolución patrimonial, de declaración de intereses y presentación de la constancia de declaración fiscal</w:t>
      </w:r>
      <w:r>
        <w:rPr>
          <w:rFonts w:ascii="Palatino Linotype" w:eastAsia="Palatino Linotype" w:hAnsi="Palatino Linotype" w:cs="Palatino Linotype"/>
          <w:color w:val="000000"/>
          <w:vertAlign w:val="superscript"/>
        </w:rPr>
        <w:footnoteReference w:id="15"/>
      </w:r>
      <w:r>
        <w:rPr>
          <w:rFonts w:ascii="Palatino Linotype" w:eastAsia="Palatino Linotype" w:hAnsi="Palatino Linotype" w:cs="Palatino Linotype"/>
          <w:color w:val="000000"/>
        </w:rPr>
        <w:t>.</w:t>
      </w:r>
    </w:p>
    <w:p w14:paraId="593DA007"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lastRenderedPageBreak/>
        <w:t xml:space="preserve">Al respecto, el numeral 45 de la Ley de Responsabilidades Administrativas del Estado de México y Municipios, establece los elementos mínimos que deberá considerar la </w:t>
      </w:r>
      <w:r>
        <w:rPr>
          <w:rFonts w:ascii="Palatino Linotype" w:eastAsia="Palatino Linotype" w:hAnsi="Palatino Linotype" w:cs="Palatino Linotype"/>
          <w:b/>
          <w:color w:val="000000"/>
        </w:rPr>
        <w:t>declaración de intereses</w:t>
      </w:r>
      <w:r>
        <w:rPr>
          <w:rFonts w:ascii="Palatino Linotype" w:eastAsia="Palatino Linotype" w:hAnsi="Palatino Linotype" w:cs="Palatino Linotype"/>
          <w:color w:val="000000"/>
        </w:rPr>
        <w:t>, a saber:</w:t>
      </w:r>
    </w:p>
    <w:p w14:paraId="2C3110E0"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45.</w:t>
      </w:r>
      <w:r>
        <w:rPr>
          <w:rFonts w:ascii="Palatino Linotype" w:eastAsia="Palatino Linotype" w:hAnsi="Palatino Linotype" w:cs="Palatino Linotype"/>
          <w:i/>
          <w:color w:val="000000"/>
          <w:sz w:val="22"/>
          <w:szCs w:val="22"/>
        </w:rPr>
        <w:t xml:space="preserve"> Para efectos del artículo anterior habrá conflicto de interés en los supuestos establecidos en la fracción V del artículo 3 de la presente Ley. </w:t>
      </w:r>
    </w:p>
    <w:p w14:paraId="71611D2A"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declaración de intereses tendrá por objeto informar y determinar el conjunto de intereses de un servidor público a fin de delimitar cuando éstos entran en conflicto con su función, la cual deberá contener por lo menos: </w:t>
      </w:r>
    </w:p>
    <w:p w14:paraId="35A8D283"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Intereses personales del declarante que pudieran influir en el empleo, cargo o comisión: </w:t>
      </w:r>
    </w:p>
    <w:p w14:paraId="28A0C7FA" w14:textId="77777777" w:rsidR="00A74653" w:rsidRDefault="001268B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 Datos del cónyuge, concubina o concubinario y dependientes económicos </w:t>
      </w:r>
      <w:r>
        <w:rPr>
          <w:rFonts w:ascii="Palatino Linotype" w:eastAsia="Palatino Linotype" w:hAnsi="Palatino Linotype" w:cs="Palatino Linotype"/>
          <w:b/>
          <w:i/>
          <w:color w:val="000000"/>
          <w:sz w:val="22"/>
          <w:szCs w:val="22"/>
          <w:u w:val="single"/>
        </w:rPr>
        <w:t>que laboren en el Gobierno Federal, Estatal o Municipal, o en órganos autónomos</w:t>
      </w:r>
      <w:r>
        <w:rPr>
          <w:rFonts w:ascii="Palatino Linotype" w:eastAsia="Palatino Linotype" w:hAnsi="Palatino Linotype" w:cs="Palatino Linotype"/>
          <w:b/>
          <w:i/>
          <w:color w:val="000000"/>
          <w:sz w:val="22"/>
          <w:szCs w:val="22"/>
        </w:rPr>
        <w:t xml:space="preserve">. </w:t>
      </w:r>
    </w:p>
    <w:p w14:paraId="3B249A3C" w14:textId="77777777" w:rsidR="00A74653" w:rsidRDefault="001268B9">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b) Familiares consanguíneos hasta el cuarto grado por afinidad o civil, </w:t>
      </w:r>
      <w:r>
        <w:rPr>
          <w:rFonts w:ascii="Palatino Linotype" w:eastAsia="Palatino Linotype" w:hAnsi="Palatino Linotype" w:cs="Palatino Linotype"/>
          <w:b/>
          <w:i/>
          <w:color w:val="000000"/>
          <w:sz w:val="22"/>
          <w:szCs w:val="22"/>
          <w:u w:val="single"/>
        </w:rPr>
        <w:t>que laboren en el Gobierno Federal, Estatal o Municipal, o en órganos autónomos</w:t>
      </w:r>
      <w:r>
        <w:rPr>
          <w:rFonts w:ascii="Palatino Linotype" w:eastAsia="Palatino Linotype" w:hAnsi="Palatino Linotype" w:cs="Palatino Linotype"/>
          <w:b/>
          <w:i/>
          <w:color w:val="000000"/>
          <w:sz w:val="22"/>
          <w:szCs w:val="22"/>
        </w:rPr>
        <w:t xml:space="preserve">. </w:t>
      </w:r>
    </w:p>
    <w:p w14:paraId="063DD687"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0D5BADA5"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11215A0D"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78866A9"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Ahora bien, de acuerdo con lo establecido en el artículo 41 del Bando Municipal 2024 de Zumpango, para el adecuado funcionamiento de la administración pública municipal,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contará con una estructura orgánica compuesta por Secretarías, Direcciones, Jefaturas y Unidades, de entre las que destaca la </w:t>
      </w:r>
      <w:r>
        <w:rPr>
          <w:rFonts w:ascii="Palatino Linotype" w:eastAsia="Palatino Linotype" w:hAnsi="Palatino Linotype" w:cs="Palatino Linotype"/>
          <w:b/>
          <w:color w:val="000000"/>
        </w:rPr>
        <w:t>Contraloría Interna Municipal</w:t>
      </w:r>
      <w:r>
        <w:rPr>
          <w:rFonts w:ascii="Palatino Linotype" w:eastAsia="Palatino Linotype" w:hAnsi="Palatino Linotype" w:cs="Palatino Linotype"/>
          <w:color w:val="000000"/>
        </w:rPr>
        <w:t>.</w:t>
      </w:r>
    </w:p>
    <w:p w14:paraId="56D7353D"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92248D1"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Al respecto, el </w:t>
      </w:r>
      <w:r>
        <w:rPr>
          <w:rFonts w:ascii="Palatino Linotype" w:eastAsia="Palatino Linotype" w:hAnsi="Palatino Linotype" w:cs="Palatino Linotype"/>
          <w:b/>
          <w:color w:val="000000"/>
        </w:rPr>
        <w:t>Órgano Interno de Control Municipal</w:t>
      </w:r>
      <w:r>
        <w:rPr>
          <w:rFonts w:ascii="Palatino Linotype" w:eastAsia="Palatino Linotype" w:hAnsi="Palatino Linotype" w:cs="Palatino Linotype"/>
          <w:color w:val="000000"/>
        </w:rPr>
        <w:t xml:space="preserve"> será el órgano interno de control encargado de promover, evaluar y fortalecer el buen funcionamiento del </w:t>
      </w:r>
      <w:r>
        <w:rPr>
          <w:rFonts w:ascii="Palatino Linotype" w:eastAsia="Palatino Linotype" w:hAnsi="Palatino Linotype" w:cs="Palatino Linotype"/>
          <w:color w:val="000000"/>
        </w:rPr>
        <w:lastRenderedPageBreak/>
        <w:t>control interno, competente para aplicar las leyes en materia de responsabilidades de los servidores públicos</w:t>
      </w:r>
      <w:r>
        <w:rPr>
          <w:rFonts w:ascii="Palatino Linotype" w:eastAsia="Palatino Linotype" w:hAnsi="Palatino Linotype" w:cs="Palatino Linotype"/>
          <w:color w:val="000000"/>
          <w:vertAlign w:val="superscript"/>
        </w:rPr>
        <w:footnoteReference w:id="16"/>
      </w:r>
      <w:r>
        <w:rPr>
          <w:rFonts w:ascii="Palatino Linotype" w:eastAsia="Palatino Linotype" w:hAnsi="Palatino Linotype" w:cs="Palatino Linotype"/>
          <w:color w:val="000000"/>
        </w:rPr>
        <w:t>.</w:t>
      </w:r>
    </w:p>
    <w:p w14:paraId="535043BB"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943338D"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Derivado de lo anterior, el Órgano Interno de Control Municipal tendrá por atribuciones, las establecidas en el artículo 112 de la Ley Orgánica Municipal del Estado de México, de entre las que destaca: </w:t>
      </w:r>
    </w:p>
    <w:p w14:paraId="321D812A"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112.</w:t>
      </w:r>
      <w:r>
        <w:rPr>
          <w:rFonts w:ascii="Palatino Linotype" w:eastAsia="Palatino Linotype" w:hAnsi="Palatino Linotype" w:cs="Palatino Linotype"/>
          <w:i/>
          <w:color w:val="000000"/>
          <w:sz w:val="22"/>
          <w:szCs w:val="22"/>
        </w:rPr>
        <w:t xml:space="preserve"> El órgano interno de control municipal tendrá a su cargo las funciones siguientes:</w:t>
      </w:r>
    </w:p>
    <w:p w14:paraId="30F0F30A"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6A884C0"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XVI.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u w:val="single"/>
        </w:rPr>
        <w:t>Verificar</w:t>
      </w:r>
      <w:r>
        <w:rPr>
          <w:rFonts w:ascii="Palatino Linotype" w:eastAsia="Palatino Linotype" w:hAnsi="Palatino Linotype" w:cs="Palatino Linotype"/>
          <w:b/>
          <w:i/>
          <w:color w:val="000000"/>
          <w:sz w:val="22"/>
          <w:szCs w:val="22"/>
        </w:rPr>
        <w:t xml:space="preserve"> que los servidores públicos municipales cumplan con la obligación de presentar oportunamente la declaración de situación patrimonial y de </w:t>
      </w:r>
      <w:r>
        <w:rPr>
          <w:rFonts w:ascii="Palatino Linotype" w:eastAsia="Palatino Linotype" w:hAnsi="Palatino Linotype" w:cs="Palatino Linotype"/>
          <w:b/>
          <w:i/>
          <w:color w:val="000000"/>
          <w:sz w:val="22"/>
          <w:szCs w:val="22"/>
          <w:u w:val="single"/>
        </w:rPr>
        <w:t>intereses</w:t>
      </w:r>
      <w:r>
        <w:rPr>
          <w:rFonts w:ascii="Palatino Linotype" w:eastAsia="Palatino Linotype" w:hAnsi="Palatino Linotype" w:cs="Palatino Linotype"/>
          <w:i/>
          <w:color w:val="000000"/>
          <w:sz w:val="22"/>
          <w:szCs w:val="22"/>
        </w:rPr>
        <w:t>, en términos de la Ley de Responsabilidades Administrativas del Estado de México y Municipios;</w:t>
      </w:r>
    </w:p>
    <w:p w14:paraId="29F9837B"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6435D555" w14:textId="77777777" w:rsidR="00A74653" w:rsidRDefault="001268B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0045FAF2"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7B8B9F5"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En consecuencia de lo anterior, no se advierte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tenga competencia para generar, poseer o administrar las </w:t>
      </w:r>
      <w:r>
        <w:rPr>
          <w:rFonts w:ascii="Palatino Linotype" w:eastAsia="Palatino Linotype" w:hAnsi="Palatino Linotype" w:cs="Palatino Linotype"/>
          <w:b/>
          <w:color w:val="000000"/>
        </w:rPr>
        <w:t xml:space="preserve">declaraciones  patrimoniales y de intereses </w:t>
      </w:r>
      <w:r>
        <w:rPr>
          <w:rFonts w:ascii="Palatino Linotype" w:eastAsia="Palatino Linotype" w:hAnsi="Palatino Linotype" w:cs="Palatino Linotype"/>
          <w:color w:val="000000"/>
        </w:rPr>
        <w:t xml:space="preserve">del Presidente Municipal; toda vez que, conforme al dispositivo legal transcrito </w:t>
      </w:r>
      <w:r>
        <w:rPr>
          <w:rFonts w:ascii="Palatino Linotype" w:eastAsia="Palatino Linotype" w:hAnsi="Palatino Linotype" w:cs="Palatino Linotype"/>
          <w:i/>
          <w:color w:val="000000"/>
        </w:rPr>
        <w:t>supra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Contraloría Municipal</w:t>
      </w:r>
      <w:r>
        <w:rPr>
          <w:rFonts w:ascii="Palatino Linotype" w:eastAsia="Palatino Linotype" w:hAnsi="Palatino Linotype" w:cs="Palatino Linotype"/>
          <w:color w:val="000000"/>
        </w:rPr>
        <w:t xml:space="preserve"> únicamente le corresponderá el </w:t>
      </w:r>
      <w:r>
        <w:rPr>
          <w:rFonts w:ascii="Palatino Linotype" w:eastAsia="Palatino Linotype" w:hAnsi="Palatino Linotype" w:cs="Palatino Linotype"/>
          <w:b/>
          <w:color w:val="000000"/>
        </w:rPr>
        <w:t>verificar</w:t>
      </w:r>
      <w:r>
        <w:rPr>
          <w:rFonts w:ascii="Palatino Linotype" w:eastAsia="Palatino Linotype" w:hAnsi="Palatino Linotype" w:cs="Palatino Linotype"/>
          <w:color w:val="000000"/>
        </w:rPr>
        <w:t xml:space="preserve"> que los servidores públicos municipales cumplan con la obligación de presentar oportunamente la declaración de situación patrimonial y de intereses.</w:t>
      </w:r>
    </w:p>
    <w:p w14:paraId="24C2ADA5"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B8C5947"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Dentro de este punto, no debe omitirse externar un reconocimiento especial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pues, a pesar de no tener competencia de poseer, generar o </w:t>
      </w:r>
      <w:r>
        <w:rPr>
          <w:rFonts w:ascii="Palatino Linotype" w:eastAsia="Palatino Linotype" w:hAnsi="Palatino Linotype" w:cs="Palatino Linotype"/>
          <w:color w:val="000000"/>
        </w:rPr>
        <w:lastRenderedPageBreak/>
        <w:t xml:space="preserve">administrar la información solicitada; en un ejercicio de máxima publicidad, el Titular del Ejecutivo Municipal, </w:t>
      </w:r>
      <w:r>
        <w:rPr>
          <w:rFonts w:ascii="Palatino Linotype" w:eastAsia="Palatino Linotype" w:hAnsi="Palatino Linotype" w:cs="Palatino Linotype"/>
          <w:i/>
          <w:color w:val="000000"/>
        </w:rPr>
        <w:t>motu proprio</w:t>
      </w:r>
      <w:r>
        <w:rPr>
          <w:rFonts w:ascii="Palatino Linotype" w:eastAsia="Palatino Linotype" w:hAnsi="Palatino Linotype" w:cs="Palatino Linotype"/>
          <w:color w:val="000000"/>
        </w:rPr>
        <w:t xml:space="preserve"> exhibió las declaraciones de impuestos que ha presentado ante la Secretaría de Administración Tributaria, desde el dos mil diecinueve al dos mil veintitrés, </w:t>
      </w:r>
      <w:r>
        <w:rPr>
          <w:rFonts w:ascii="Palatino Linotype" w:eastAsia="Palatino Linotype" w:hAnsi="Palatino Linotype" w:cs="Palatino Linotype"/>
          <w:b/>
          <w:color w:val="000000"/>
        </w:rPr>
        <w:t>como particular</w:t>
      </w:r>
      <w:r>
        <w:rPr>
          <w:rFonts w:ascii="Palatino Linotype" w:eastAsia="Palatino Linotype" w:hAnsi="Palatino Linotype" w:cs="Palatino Linotype"/>
          <w:color w:val="000000"/>
        </w:rPr>
        <w:t>.</w:t>
      </w:r>
    </w:p>
    <w:p w14:paraId="3249F001"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9892FD4"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Así las cosas, si bien es cierto que los documentos de mérito no atienden los requerimientos externados por el particular, ello no demerita el interés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por propiciar una cultura de transparencia proactiva en el procedimiento de atención a las solicitudes de información.</w:t>
      </w:r>
    </w:p>
    <w:p w14:paraId="7EFCAD35"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E8DB840"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Dicho lo anterior, la Ley Orgánica de la Administración Pública del Estado de México, en su artículos 38 bis, fracción XVII, establece como competencia de la </w:t>
      </w:r>
      <w:r>
        <w:rPr>
          <w:rFonts w:ascii="Palatino Linotype" w:eastAsia="Palatino Linotype" w:hAnsi="Palatino Linotype" w:cs="Palatino Linotype"/>
          <w:b/>
          <w:color w:val="000000"/>
        </w:rPr>
        <w:t>Secretaría de la Contraloría</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recibir y registrar </w:t>
      </w:r>
      <w:r>
        <w:rPr>
          <w:rFonts w:ascii="Palatino Linotype" w:eastAsia="Palatino Linotype" w:hAnsi="Palatino Linotype" w:cs="Palatino Linotype"/>
          <w:color w:val="000000"/>
        </w:rPr>
        <w:t xml:space="preserve">la </w:t>
      </w:r>
      <w:r>
        <w:rPr>
          <w:rFonts w:ascii="Palatino Linotype" w:eastAsia="Palatino Linotype" w:hAnsi="Palatino Linotype" w:cs="Palatino Linotype"/>
          <w:b/>
          <w:color w:val="000000"/>
        </w:rPr>
        <w:t>declaración de situación patrimonial</w:t>
      </w:r>
      <w:r>
        <w:rPr>
          <w:rFonts w:ascii="Palatino Linotype" w:eastAsia="Palatino Linotype" w:hAnsi="Palatino Linotype" w:cs="Palatino Linotype"/>
          <w:color w:val="000000"/>
        </w:rPr>
        <w:t>, la</w:t>
      </w:r>
      <w:r>
        <w:rPr>
          <w:rFonts w:ascii="Palatino Linotype" w:eastAsia="Palatino Linotype" w:hAnsi="Palatino Linotype" w:cs="Palatino Linotype"/>
          <w:b/>
          <w:color w:val="000000"/>
        </w:rPr>
        <w:t xml:space="preserve"> declaración de intereses</w:t>
      </w:r>
      <w:r>
        <w:rPr>
          <w:rFonts w:ascii="Palatino Linotype" w:eastAsia="Palatino Linotype" w:hAnsi="Palatino Linotype" w:cs="Palatino Linotype"/>
          <w:color w:val="000000"/>
        </w:rPr>
        <w:t>, la presentación de la constancia de declaración fiscal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determinar el Conflicto de Intereses de los servidores públicos del Estado y </w:t>
      </w:r>
      <w:r>
        <w:rPr>
          <w:rFonts w:ascii="Palatino Linotype" w:eastAsia="Palatino Linotype" w:hAnsi="Palatino Linotype" w:cs="Palatino Linotype"/>
          <w:color w:val="000000"/>
          <w:u w:val="single"/>
        </w:rPr>
        <w:t>municipios</w:t>
      </w:r>
      <w:r>
        <w:rPr>
          <w:rFonts w:ascii="Palatino Linotype" w:eastAsia="Palatino Linotype" w:hAnsi="Palatino Linotype" w:cs="Palatino Linotype"/>
          <w:color w:val="000000"/>
        </w:rPr>
        <w:t>.</w:t>
      </w:r>
    </w:p>
    <w:p w14:paraId="5DE23B9A"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B15604E"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De tal manera que </w:t>
      </w:r>
      <w:r>
        <w:rPr>
          <w:rFonts w:ascii="Palatino Linotype" w:eastAsia="Palatino Linotype" w:hAnsi="Palatino Linotype" w:cs="Palatino Linotype"/>
          <w:b/>
          <w:color w:val="000000"/>
        </w:rPr>
        <w:t xml:space="preserve">las Contralorías Municipales </w:t>
      </w:r>
      <w:r>
        <w:rPr>
          <w:rFonts w:ascii="Palatino Linotype" w:eastAsia="Palatino Linotype" w:hAnsi="Palatino Linotype" w:cs="Palatino Linotype"/>
          <w:b/>
        </w:rPr>
        <w:t>sólo</w:t>
      </w:r>
      <w:r>
        <w:rPr>
          <w:rFonts w:ascii="Palatino Linotype" w:eastAsia="Palatino Linotype" w:hAnsi="Palatino Linotype" w:cs="Palatino Linotype"/>
          <w:b/>
          <w:color w:val="000000"/>
        </w:rPr>
        <w:t xml:space="preserve"> tendrán competencia de verificar el cumplimiento</w:t>
      </w:r>
      <w:r>
        <w:rPr>
          <w:rFonts w:ascii="Palatino Linotype" w:eastAsia="Palatino Linotype" w:hAnsi="Palatino Linotype" w:cs="Palatino Linotype"/>
          <w:color w:val="000000"/>
        </w:rPr>
        <w:t xml:space="preserve">, por parte de los servidores públicos, </w:t>
      </w:r>
      <w:r>
        <w:rPr>
          <w:rFonts w:ascii="Palatino Linotype" w:eastAsia="Palatino Linotype" w:hAnsi="Palatino Linotype" w:cs="Palatino Linotype"/>
          <w:b/>
          <w:color w:val="000000"/>
        </w:rPr>
        <w:t>de presentar oportunamente su declaración patrimonial y de intereses</w:t>
      </w:r>
      <w:r>
        <w:rPr>
          <w:rFonts w:ascii="Palatino Linotype" w:eastAsia="Palatino Linotype" w:hAnsi="Palatino Linotype" w:cs="Palatino Linotype"/>
          <w:color w:val="000000"/>
        </w:rPr>
        <w:t xml:space="preserve">; mientras que la </w:t>
      </w:r>
      <w:r>
        <w:rPr>
          <w:rFonts w:ascii="Palatino Linotype" w:eastAsia="Palatino Linotype" w:hAnsi="Palatino Linotype" w:cs="Palatino Linotype"/>
          <w:b/>
          <w:color w:val="000000"/>
        </w:rPr>
        <w:t xml:space="preserve">Secretaría de la Contraloría </w:t>
      </w:r>
      <w:r>
        <w:rPr>
          <w:rFonts w:ascii="Palatino Linotype" w:eastAsia="Palatino Linotype" w:hAnsi="Palatino Linotype" w:cs="Palatino Linotype"/>
          <w:color w:val="000000"/>
        </w:rPr>
        <w:t>será la dependencia del Gobierno del Estado de México</w:t>
      </w:r>
      <w:r>
        <w:rPr>
          <w:rFonts w:ascii="Palatino Linotype" w:eastAsia="Palatino Linotype" w:hAnsi="Palatino Linotype" w:cs="Palatino Linotype"/>
          <w:b/>
          <w:color w:val="000000"/>
        </w:rPr>
        <w:t xml:space="preserve"> quien se encargará de recibir y registrar </w:t>
      </w:r>
      <w:r>
        <w:rPr>
          <w:rFonts w:ascii="Palatino Linotype" w:eastAsia="Palatino Linotype" w:hAnsi="Palatino Linotype" w:cs="Palatino Linotype"/>
          <w:color w:val="000000"/>
        </w:rPr>
        <w:t>la</w:t>
      </w:r>
      <w:r>
        <w:rPr>
          <w:rFonts w:ascii="Palatino Linotype" w:eastAsia="Palatino Linotype" w:hAnsi="Palatino Linotype" w:cs="Palatino Linotype"/>
          <w:b/>
          <w:color w:val="000000"/>
        </w:rPr>
        <w:t xml:space="preserve"> declaración de situación patrimonial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la declaración de intereses</w:t>
      </w:r>
      <w:r>
        <w:rPr>
          <w:rFonts w:ascii="Palatino Linotype" w:eastAsia="Palatino Linotype" w:hAnsi="Palatino Linotype" w:cs="Palatino Linotype"/>
          <w:color w:val="000000"/>
        </w:rPr>
        <w:t>, la presentación de la constancia de declaración fiscal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 determinar el conflicto de intereses, en los casos que corresponda.</w:t>
      </w:r>
    </w:p>
    <w:p w14:paraId="0E1C769E"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FF3C8C"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Cabe señalar que la Ley de Responsabilidades Administrativas del Estado de México y Municipios, en su artículo 30, establece que </w:t>
      </w:r>
      <w:r>
        <w:rPr>
          <w:rFonts w:ascii="Palatino Linotype" w:eastAsia="Palatino Linotype" w:hAnsi="Palatino Linotype" w:cs="Palatino Linotype"/>
          <w:b/>
          <w:color w:val="000000"/>
        </w:rPr>
        <w:t>las declaraciones patrimoniales y de intereses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u w:val="single"/>
        </w:rPr>
        <w:t>serán públicas</w:t>
      </w:r>
      <w:r>
        <w:rPr>
          <w:rFonts w:ascii="Palatino Linotype" w:eastAsia="Palatino Linotype" w:hAnsi="Palatino Linotype" w:cs="Palatino Linotype"/>
          <w:color w:val="000000"/>
        </w:rPr>
        <w:t>, salvo los rubros cuya publicidad pueda afectar la vida privada o los datos personales protegidos por la Constitución Política de los Estados Unidos Mexicanos, así como la Constitución Loca. Para tal efecto, el Comité Coordinador, a propuesta del Comité de Participación Ciudadana, emitirá los formatos respectivos que permitan su difusión y consulta.</w:t>
      </w:r>
    </w:p>
    <w:p w14:paraId="7EC2CD0D"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2417837"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No es ocioso mencionar que en el </w:t>
      </w:r>
      <w:r>
        <w:rPr>
          <w:rFonts w:ascii="Palatino Linotype" w:eastAsia="Palatino Linotype" w:hAnsi="Palatino Linotype" w:cs="Palatino Linotype"/>
          <w:i/>
          <w:color w:val="000000"/>
        </w:rPr>
        <w:t>Acuerdo por el que el Comité Coordinador del Sistema Nacional Anticorrupción da a conocer los Formatos de Declaración de Situación Patrimonial y de Intereses</w:t>
      </w:r>
      <w:r>
        <w:rPr>
          <w:rFonts w:ascii="Palatino Linotype" w:eastAsia="Palatino Linotype" w:hAnsi="Palatino Linotype" w:cs="Palatino Linotype"/>
          <w:color w:val="000000"/>
          <w:vertAlign w:val="superscript"/>
        </w:rPr>
        <w:footnoteReference w:id="17"/>
      </w:r>
      <w:r>
        <w:rPr>
          <w:rFonts w:ascii="Palatino Linotype" w:eastAsia="Palatino Linotype" w:hAnsi="Palatino Linotype" w:cs="Palatino Linotype"/>
          <w:color w:val="000000"/>
        </w:rPr>
        <w:t>, publicado el veinticuatro (24) de diciembre de dos mil diecinueve, se determinó que a partir del uno (01) de enero de dos mil veinte, se establece que éstos serán operables en el ámbito federal, lo que significa que todas las personas servidoras públicas de la Administración Pública Federal, deben conocer el nuevo sistema para la presentación de sus declaraciones patrimoniales y de intereses que les correspondan.</w:t>
      </w:r>
    </w:p>
    <w:p w14:paraId="74AD9FA2"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3D1F8E5"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En el mismo sentido, </w:t>
      </w:r>
      <w:r>
        <w:rPr>
          <w:rFonts w:ascii="Palatino Linotype" w:eastAsia="Palatino Linotype" w:hAnsi="Palatino Linotype" w:cs="Palatino Linotype"/>
          <w:b/>
          <w:color w:val="000000"/>
        </w:rPr>
        <w:t xml:space="preserve">el Acuerdo </w:t>
      </w:r>
      <w:r>
        <w:rPr>
          <w:rFonts w:ascii="Palatino Linotype" w:eastAsia="Palatino Linotype" w:hAnsi="Palatino Linotype" w:cs="Palatino Linotype"/>
          <w:color w:val="000000"/>
        </w:rPr>
        <w:t>de mérito</w:t>
      </w:r>
      <w:r>
        <w:rPr>
          <w:rFonts w:ascii="Palatino Linotype" w:eastAsia="Palatino Linotype" w:hAnsi="Palatino Linotype" w:cs="Palatino Linotype"/>
          <w:b/>
          <w:color w:val="000000"/>
        </w:rPr>
        <w:t xml:space="preserve"> establece,</w:t>
      </w:r>
      <w:r>
        <w:rPr>
          <w:rFonts w:ascii="Palatino Linotype" w:eastAsia="Palatino Linotype" w:hAnsi="Palatino Linotype" w:cs="Palatino Linotype"/>
          <w:color w:val="000000"/>
        </w:rPr>
        <w:t xml:space="preserve"> en su artículo tercero, </w:t>
      </w:r>
      <w:r>
        <w:rPr>
          <w:rFonts w:ascii="Palatino Linotype" w:eastAsia="Palatino Linotype" w:hAnsi="Palatino Linotype" w:cs="Palatino Linotype"/>
          <w:b/>
          <w:color w:val="000000"/>
        </w:rPr>
        <w:t>que a partir del uno (01) de mayo de dos mil veintiuno, serían operables en el ámbito estatal y municipal los formatos de declaración de situación patrimonial y de intereses, publicados en el Diario Oficial de la Federación,</w:t>
      </w:r>
      <w:r>
        <w:rPr>
          <w:rFonts w:ascii="Palatino Linotype" w:eastAsia="Palatino Linotype" w:hAnsi="Palatino Linotype" w:cs="Palatino Linotype"/>
          <w:color w:val="000000"/>
        </w:rPr>
        <w:t xml:space="preserve"> el veintitrés (23) de septiembre de dos mil diecinueve, con el Sistema de Evolución Patrimonial y de </w:t>
      </w:r>
      <w:r>
        <w:rPr>
          <w:rFonts w:ascii="Palatino Linotype" w:eastAsia="Palatino Linotype" w:hAnsi="Palatino Linotype" w:cs="Palatino Linotype"/>
          <w:color w:val="000000"/>
        </w:rPr>
        <w:lastRenderedPageBreak/>
        <w:t>Declaración de Intereses, a que hace referencia la fracción I del artículo 49 de la Ley General del Sistema Nacional Anticorrupción.</w:t>
      </w:r>
    </w:p>
    <w:p w14:paraId="69464A85"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8A5CEA5"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Luego entonces, toda vez que se ha demostrado que la información solicitada es competencia de un Sujeto Obligado diverso, se dejan a salvo los derechos del particular a efecto de que, de considerarlo idóneo a sus intereses, formule su solicitud de información a la </w:t>
      </w:r>
      <w:r>
        <w:rPr>
          <w:rFonts w:ascii="Palatino Linotype" w:eastAsia="Palatino Linotype" w:hAnsi="Palatino Linotype" w:cs="Palatino Linotype"/>
          <w:b/>
          <w:color w:val="000000"/>
        </w:rPr>
        <w:t>Secretaría de la Contraloría del Estado de México</w:t>
      </w:r>
      <w:r>
        <w:rPr>
          <w:rFonts w:ascii="Palatino Linotype" w:eastAsia="Palatino Linotype" w:hAnsi="Palatino Linotype" w:cs="Palatino Linotype"/>
          <w:color w:val="000000"/>
        </w:rPr>
        <w:t>.</w:t>
      </w:r>
    </w:p>
    <w:p w14:paraId="1BF57339"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2521F09"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Finalmente, es preciso señalar que la Ley de Transparencia y Acceso a la Información Pública del Estado de México y Municipios, en su artículo 192, establece lo siguiente:</w:t>
      </w:r>
    </w:p>
    <w:p w14:paraId="137D6122" w14:textId="77777777" w:rsidR="00A74653" w:rsidRDefault="001268B9">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192.</w:t>
      </w:r>
      <w:r>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4C04060E" w14:textId="77777777" w:rsidR="00A74653" w:rsidRDefault="001268B9">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1692379" w14:textId="77777777" w:rsidR="00A74653" w:rsidRDefault="001268B9">
      <w:pPr>
        <w:tabs>
          <w:tab w:val="left" w:pos="426"/>
        </w:tabs>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Cuando por cualquier motivo quede sin materia el recurso.”</w:t>
      </w:r>
    </w:p>
    <w:p w14:paraId="4982B15F"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5DB703D"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Así las cosas, la Ley de la materia contempla que, si durante la sustanciación del recurso de revisión, apareciere alguna situación que </w:t>
      </w:r>
      <w:r>
        <w:rPr>
          <w:rFonts w:ascii="Palatino Linotype" w:eastAsia="Palatino Linotype" w:hAnsi="Palatino Linotype" w:cs="Palatino Linotype"/>
        </w:rPr>
        <w:t>dejará</w:t>
      </w:r>
      <w:r>
        <w:rPr>
          <w:rFonts w:ascii="Palatino Linotype" w:eastAsia="Palatino Linotype" w:hAnsi="Palatino Linotype" w:cs="Palatino Linotype"/>
          <w:color w:val="000000"/>
        </w:rPr>
        <w:t xml:space="preserve"> sin materia al asunto, éste deberá ser sobreseído. Tal como ocurre en el presente asunto pues, a lo largo del presente estudio, se identificó que la pretensión del particular consistía en acceder a los documentos denominados </w:t>
      </w:r>
      <w:r>
        <w:rPr>
          <w:rFonts w:ascii="Palatino Linotype" w:eastAsia="Palatino Linotype" w:hAnsi="Palatino Linotype" w:cs="Palatino Linotype"/>
          <w:b/>
          <w:color w:val="000000"/>
        </w:rPr>
        <w:t>declaración patrimonial y de intereses</w:t>
      </w:r>
      <w:r>
        <w:rPr>
          <w:rFonts w:ascii="Palatino Linotype" w:eastAsia="Palatino Linotype" w:hAnsi="Palatino Linotype" w:cs="Palatino Linotype"/>
          <w:color w:val="000000"/>
        </w:rPr>
        <w:t xml:space="preserve">; empero,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carecía de competencia para poseerlos o administrarlos. Motivo por el cual, al demostrarse una incompetencia total, se orientó al particular a dirigir su solicitud al ente competente y, con ello, el recurso de revisión quedó sin materia.</w:t>
      </w:r>
    </w:p>
    <w:p w14:paraId="3E6DAF20"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0E425BC"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lastRenderedPageBreak/>
        <w:t xml:space="preserve">Al respecto, la doctrina establece que </w:t>
      </w:r>
      <w:r>
        <w:rPr>
          <w:rFonts w:ascii="Palatino Linotype" w:eastAsia="Palatino Linotype" w:hAnsi="Palatino Linotype" w:cs="Palatino Linotype"/>
          <w:b/>
          <w:color w:val="000000"/>
        </w:rPr>
        <w:t>el sobreseimiento provoca que un procedimiento se suspenda o se resuelva en definitiva sin que se entre al estudio de los agravios o motivos de inconformidad</w:t>
      </w:r>
      <w:r>
        <w:rPr>
          <w:rFonts w:ascii="Palatino Linotype" w:eastAsia="Palatino Linotype" w:hAnsi="Palatino Linotype" w:cs="Palatino Linotype"/>
          <w:color w:val="000000"/>
        </w:rPr>
        <w:t>. Este mismo criterio es compartido por el más alto tribunal del país en múltiples jurisprudencias, por lo que a continuación se agrega una de ellas que sirve como orientador en esta resolución:</w:t>
      </w:r>
    </w:p>
    <w:p w14:paraId="1B885F3C" w14:textId="77777777" w:rsidR="00A74653" w:rsidRDefault="001268B9">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Pr>
          <w:rFonts w:ascii="Palatino Linotype" w:eastAsia="Palatino Linotype" w:hAnsi="Palatino Linotype" w:cs="Palatino Linotype"/>
          <w:i/>
          <w:sz w:val="22"/>
          <w:szCs w:val="22"/>
        </w:rPr>
        <w:t xml:space="preserve"> en el juicio de amparo directo </w:t>
      </w:r>
      <w:r>
        <w:rPr>
          <w:rFonts w:ascii="Palatino Linotype" w:eastAsia="Palatino Linotype" w:hAnsi="Palatino Linotype" w:cs="Palatino Linotype"/>
          <w:b/>
          <w:i/>
          <w:sz w:val="22"/>
          <w:szCs w:val="22"/>
        </w:rPr>
        <w:t>provoca la terminación de la controversia planteada</w:t>
      </w:r>
      <w:r>
        <w:rPr>
          <w:rFonts w:ascii="Palatino Linotype" w:eastAsia="Palatino Linotype" w:hAnsi="Palatino Linotype" w:cs="Palatino Linotype"/>
          <w:i/>
          <w:sz w:val="22"/>
          <w:szCs w:val="22"/>
        </w:rPr>
        <w:t xml:space="preserve"> por el quejoso en la demanda de amparo</w:t>
      </w:r>
      <w:r>
        <w:rPr>
          <w:rFonts w:ascii="Palatino Linotype" w:eastAsia="Palatino Linotype" w:hAnsi="Palatino Linotype" w:cs="Palatino Linotype"/>
          <w:b/>
          <w:i/>
          <w:sz w:val="22"/>
          <w:szCs w:val="22"/>
        </w:rPr>
        <w:t>, sin hacer un pronunciamiento de fondo sobre la legalidad o ilegalidad de la sentencia reclamada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Por consiguiente, si al sobreseerse en el juicio de amparo </w:t>
      </w:r>
      <w:r>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Pr>
          <w:rFonts w:ascii="Palatino Linotype" w:eastAsia="Palatino Linotype" w:hAnsi="Palatino Linotype" w:cs="Palatino Linotype"/>
          <w:i/>
          <w:sz w:val="22"/>
          <w:szCs w:val="22"/>
        </w:rPr>
        <w:t>.”</w:t>
      </w:r>
    </w:p>
    <w:p w14:paraId="59BA54A4" w14:textId="77777777" w:rsidR="00A74653" w:rsidRDefault="001268B9">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C4DFB3B"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6ABF69A"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De este modo, se puede deducir que en las resoluciones dictadas por el Pleno de este Instituto, en las que se decreta el sobreseimiento de un recurso de revisión por la actualización de alguno de los supuestos jurídicos contemplados en el artículo 192 de la Ley de Transparencia y Acceso a la Información Pública del Estado de México y Municipios, nos encontramos ante un sobreseimiento definitivo toda vez que pone fin al procedimiento sin entrar al estudio de fondo de éste.</w:t>
      </w:r>
    </w:p>
    <w:p w14:paraId="7E20488F"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Luego entonces, en términos del artículo 186, fracción I, de la Ley de Transparencia y Acceso a la Información Pública del Estado de México y Municipios, este Pleno determina el </w:t>
      </w:r>
      <w:r>
        <w:rPr>
          <w:rFonts w:ascii="Palatino Linotype" w:eastAsia="Palatino Linotype" w:hAnsi="Palatino Linotype" w:cs="Palatino Linotype"/>
          <w:b/>
          <w:color w:val="000000"/>
        </w:rPr>
        <w:t xml:space="preserve">SOBRESEIMIENTO </w:t>
      </w:r>
      <w:r>
        <w:rPr>
          <w:rFonts w:ascii="Palatino Linotype" w:eastAsia="Palatino Linotype" w:hAnsi="Palatino Linotype" w:cs="Palatino Linotype"/>
          <w:color w:val="000000"/>
        </w:rPr>
        <w:t xml:space="preserve">del presente recurso de </w:t>
      </w:r>
      <w:r>
        <w:rPr>
          <w:rFonts w:ascii="Palatino Linotype" w:eastAsia="Palatino Linotype" w:hAnsi="Palatino Linotype" w:cs="Palatino Linotype"/>
          <w:color w:val="000000"/>
        </w:rPr>
        <w:lastRenderedPageBreak/>
        <w:t xml:space="preserve">revisión, toda vez que durante la sustanciación del asunto, el recurso de revisión </w:t>
      </w:r>
      <w:r>
        <w:rPr>
          <w:rFonts w:ascii="Palatino Linotype" w:eastAsia="Palatino Linotype" w:hAnsi="Palatino Linotype" w:cs="Palatino Linotype"/>
          <w:b/>
          <w:color w:val="000000"/>
        </w:rPr>
        <w:t>03303/INFOEM/IP/RR/2024</w:t>
      </w:r>
      <w:r>
        <w:rPr>
          <w:rFonts w:ascii="Palatino Linotype" w:eastAsia="Palatino Linotype" w:hAnsi="Palatino Linotype" w:cs="Palatino Linotype"/>
          <w:color w:val="000000"/>
        </w:rPr>
        <w:t xml:space="preserve"> se quedó sin materia.</w:t>
      </w:r>
    </w:p>
    <w:p w14:paraId="378C9541"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746A978" w14:textId="77777777" w:rsidR="00A74653" w:rsidRDefault="001268B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CUARTO. Decisión.</w:t>
      </w:r>
    </w:p>
    <w:p w14:paraId="5CE025AD"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A lo largo del estudio del presente asunto, se identificó el concepto y fundamento legal de las declaraciones patrimoniales y de intereses; así mismo, se demostró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carecía de competencia para poseer o administrar la información. Por ello, se orientó al particular a fin de que, de considerarlo idóneo a sus intereses, formule su solicitud a la </w:t>
      </w:r>
      <w:r>
        <w:rPr>
          <w:rFonts w:ascii="Palatino Linotype" w:eastAsia="Palatino Linotype" w:hAnsi="Palatino Linotype" w:cs="Palatino Linotype"/>
          <w:b/>
          <w:color w:val="000000"/>
        </w:rPr>
        <w:t>Secretaría de la Contraloría del Estado de México</w:t>
      </w:r>
      <w:r>
        <w:rPr>
          <w:rFonts w:ascii="Palatino Linotype" w:eastAsia="Palatino Linotype" w:hAnsi="Palatino Linotype" w:cs="Palatino Linotype"/>
          <w:color w:val="000000"/>
        </w:rPr>
        <w:t>; lo cual, a su vez, dejó sin materia al recurso de revisión.</w:t>
      </w:r>
    </w:p>
    <w:p w14:paraId="1E1249D2"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EA6CD50"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Por lo tanto, en consecuencia y en mérito de lo expuesto en líneas anteriores, con fundamento en el artículo 192, fracción V, de la Ley de Transparencia y Acceso a la Información Pública del Estado de México y Municipios, se </w:t>
      </w:r>
      <w:r>
        <w:rPr>
          <w:rFonts w:ascii="Palatino Linotype" w:eastAsia="Palatino Linotype" w:hAnsi="Palatino Linotype" w:cs="Palatino Linotype"/>
          <w:b/>
          <w:color w:val="000000"/>
        </w:rPr>
        <w:t xml:space="preserve">SOBRESEE </w:t>
      </w:r>
      <w:r>
        <w:rPr>
          <w:rFonts w:ascii="Palatino Linotype" w:eastAsia="Palatino Linotype" w:hAnsi="Palatino Linotype" w:cs="Palatino Linotype"/>
          <w:color w:val="000000"/>
        </w:rPr>
        <w:t xml:space="preserve">el recurso de revisión </w:t>
      </w:r>
      <w:r>
        <w:rPr>
          <w:rFonts w:ascii="Palatino Linotype" w:eastAsia="Palatino Linotype" w:hAnsi="Palatino Linotype" w:cs="Palatino Linotype"/>
          <w:b/>
          <w:color w:val="000000"/>
        </w:rPr>
        <w:t>03303/INFOEM/IP/RR/2024</w:t>
      </w:r>
      <w:r>
        <w:rPr>
          <w:rFonts w:ascii="Palatino Linotype" w:eastAsia="Palatino Linotype" w:hAnsi="Palatino Linotype" w:cs="Palatino Linotype"/>
          <w:color w:val="000000"/>
        </w:rPr>
        <w:t>, que ha sido materia del presente fallo.</w:t>
      </w:r>
    </w:p>
    <w:p w14:paraId="201F4F9B" w14:textId="77777777" w:rsidR="00A74653" w:rsidRDefault="00A7465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C3DA31B" w14:textId="77777777" w:rsidR="00A74653" w:rsidRDefault="001268B9">
      <w:pPr>
        <w:numPr>
          <w:ilvl w:val="0"/>
          <w:numId w:val="8"/>
        </w:numPr>
        <w:pBdr>
          <w:top w:val="nil"/>
          <w:left w:val="nil"/>
          <w:bottom w:val="nil"/>
          <w:right w:val="nil"/>
          <w:between w:val="nil"/>
        </w:pBdr>
        <w:tabs>
          <w:tab w:val="left" w:pos="426"/>
        </w:tabs>
        <w:spacing w:line="360" w:lineRule="auto"/>
        <w:ind w:right="51"/>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p>
    <w:p w14:paraId="13A72CAF" w14:textId="77777777" w:rsidR="00A74653" w:rsidRDefault="001268B9">
      <w:pPr>
        <w:pStyle w:val="Ttulo1"/>
        <w:spacing w:before="0" w:line="360" w:lineRule="auto"/>
        <w:jc w:val="center"/>
        <w:rPr>
          <w:b/>
          <w:color w:val="000000"/>
        </w:rPr>
      </w:pPr>
      <w:bookmarkStart w:id="9" w:name="_heading=h.17dp8vu" w:colFirst="0" w:colLast="0"/>
      <w:bookmarkEnd w:id="9"/>
      <w:r>
        <w:rPr>
          <w:b/>
          <w:color w:val="000000"/>
        </w:rPr>
        <w:t>R E S O L U T I V O S</w:t>
      </w:r>
    </w:p>
    <w:p w14:paraId="0F6A0261" w14:textId="77777777" w:rsidR="00A74653" w:rsidRDefault="00A74653">
      <w:pPr>
        <w:spacing w:line="360" w:lineRule="auto"/>
        <w:jc w:val="both"/>
        <w:rPr>
          <w:rFonts w:ascii="Palatino Linotype" w:eastAsia="Palatino Linotype" w:hAnsi="Palatino Linotype" w:cs="Palatino Linotype"/>
          <w:b/>
        </w:rPr>
      </w:pPr>
    </w:p>
    <w:p w14:paraId="70E9FDAE" w14:textId="77777777" w:rsidR="00A74653" w:rsidRDefault="001268B9">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PRIMERO. Se SOBRESEE </w:t>
      </w:r>
      <w:r>
        <w:rPr>
          <w:rFonts w:ascii="Palatino Linotype" w:eastAsia="Palatino Linotype" w:hAnsi="Palatino Linotype" w:cs="Palatino Linotype"/>
        </w:rPr>
        <w:t>el recurso de revisión número</w:t>
      </w:r>
      <w:r>
        <w:rPr>
          <w:rFonts w:ascii="Palatino Linotype" w:eastAsia="Palatino Linotype" w:hAnsi="Palatino Linotype" w:cs="Palatino Linotype"/>
          <w:b/>
        </w:rPr>
        <w:t xml:space="preserve"> 03303/INFOEM/IP/RR/2024, </w:t>
      </w:r>
      <w:r>
        <w:rPr>
          <w:rFonts w:ascii="Palatino Linotype" w:eastAsia="Palatino Linotype" w:hAnsi="Palatino Linotype" w:cs="Palatino Linotype"/>
        </w:rPr>
        <w:t xml:space="preserve">con fundamento en el artículo 192, fracción V, de la Ley </w:t>
      </w:r>
      <w:r>
        <w:rPr>
          <w:rFonts w:ascii="Palatino Linotype" w:eastAsia="Palatino Linotype" w:hAnsi="Palatino Linotype" w:cs="Palatino Linotype"/>
        </w:rPr>
        <w:lastRenderedPageBreak/>
        <w:t xml:space="preserve">de Transparencia y Acceso a la Información Pública del Estado de México y Municipios, por quedarse sin materia,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14:paraId="5BB5F020" w14:textId="77777777" w:rsidR="00A74653" w:rsidRDefault="00A74653">
      <w:pPr>
        <w:spacing w:line="360" w:lineRule="auto"/>
        <w:jc w:val="both"/>
        <w:rPr>
          <w:rFonts w:ascii="Palatino Linotype" w:eastAsia="Palatino Linotype" w:hAnsi="Palatino Linotype" w:cs="Palatino Linotype"/>
        </w:rPr>
      </w:pPr>
    </w:p>
    <w:p w14:paraId="6DC9D576" w14:textId="77777777" w:rsidR="00A74653" w:rsidRDefault="001268B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Notifíquese </w:t>
      </w:r>
      <w:r>
        <w:rPr>
          <w:rFonts w:ascii="Palatino Linotype" w:eastAsia="Palatino Linotype" w:hAnsi="Palatino Linotype" w:cs="Palatino Linotype"/>
          <w:color w:val="000000"/>
        </w:rPr>
        <w:t>a través del Sistema de Acceso a la Información Mexiquense (SAIMEX) la presente resolución a la Titular de la Unidad de Transparencia del</w:t>
      </w:r>
      <w:r>
        <w:rPr>
          <w:rFonts w:ascii="Palatino Linotype" w:eastAsia="Palatino Linotype" w:hAnsi="Palatino Linotype" w:cs="Palatino Linotype"/>
          <w:b/>
          <w:color w:val="000000"/>
        </w:rPr>
        <w:t xml:space="preserve"> SUJETO OBLIGADO. </w:t>
      </w:r>
    </w:p>
    <w:p w14:paraId="730F07E6" w14:textId="77777777" w:rsidR="00A74653" w:rsidRDefault="00A7465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2AF0276" w14:textId="77777777" w:rsidR="00A74653" w:rsidRDefault="001268B9">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 xml:space="preserve">TERCERO.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222222"/>
        </w:rPr>
        <w:t>la presente resolución vía Sistema de Acceso a la Información Mexiquense (SAIMEX).</w:t>
      </w:r>
    </w:p>
    <w:p w14:paraId="2EFE1EBE" w14:textId="77777777" w:rsidR="00A74653" w:rsidRDefault="00A74653">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65EE2980" w14:textId="77777777" w:rsidR="00A74653" w:rsidRDefault="001268B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Se hace del conocimiento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7CBB0277" w14:textId="77777777" w:rsidR="00A74653" w:rsidRDefault="00A74653">
      <w:pPr>
        <w:spacing w:line="360" w:lineRule="auto"/>
        <w:jc w:val="both"/>
        <w:rPr>
          <w:rFonts w:ascii="Palatino Linotype" w:eastAsia="Palatino Linotype" w:hAnsi="Palatino Linotype" w:cs="Palatino Linotype"/>
          <w:color w:val="000000"/>
        </w:rPr>
      </w:pPr>
    </w:p>
    <w:p w14:paraId="2D5A8FCF" w14:textId="77777777" w:rsidR="00546469" w:rsidRDefault="00546469">
      <w:pPr>
        <w:spacing w:line="360" w:lineRule="auto"/>
        <w:jc w:val="both"/>
        <w:rPr>
          <w:rFonts w:ascii="Palatino Linotype" w:eastAsia="Palatino Linotype" w:hAnsi="Palatino Linotype" w:cs="Palatino Linotype"/>
          <w:color w:val="000000"/>
        </w:rPr>
      </w:pPr>
    </w:p>
    <w:p w14:paraId="064BC65A" w14:textId="77777777" w:rsidR="00546469" w:rsidRDefault="00546469">
      <w:pPr>
        <w:spacing w:line="360" w:lineRule="auto"/>
        <w:jc w:val="both"/>
        <w:rPr>
          <w:rFonts w:ascii="Palatino Linotype" w:eastAsia="Palatino Linotype" w:hAnsi="Palatino Linotype" w:cs="Palatino Linotype"/>
          <w:color w:val="000000"/>
        </w:rPr>
      </w:pPr>
    </w:p>
    <w:p w14:paraId="24052F7B" w14:textId="77777777" w:rsidR="00546469" w:rsidRDefault="00546469">
      <w:pPr>
        <w:spacing w:line="360" w:lineRule="auto"/>
        <w:jc w:val="both"/>
        <w:rPr>
          <w:rFonts w:ascii="Palatino Linotype" w:eastAsia="Palatino Linotype" w:hAnsi="Palatino Linotype" w:cs="Palatino Linotype"/>
          <w:color w:val="000000"/>
        </w:rPr>
      </w:pPr>
    </w:p>
    <w:p w14:paraId="75FB51C7" w14:textId="77777777" w:rsidR="00546469" w:rsidRDefault="00546469">
      <w:pPr>
        <w:spacing w:line="360" w:lineRule="auto"/>
        <w:jc w:val="both"/>
        <w:rPr>
          <w:rFonts w:ascii="Palatino Linotype" w:eastAsia="Palatino Linotype" w:hAnsi="Palatino Linotype" w:cs="Palatino Linotype"/>
          <w:color w:val="000000"/>
        </w:rPr>
      </w:pPr>
    </w:p>
    <w:p w14:paraId="457D462A" w14:textId="77777777" w:rsidR="00546469" w:rsidRDefault="00546469">
      <w:pPr>
        <w:spacing w:line="360" w:lineRule="auto"/>
        <w:jc w:val="both"/>
        <w:rPr>
          <w:rFonts w:ascii="Palatino Linotype" w:eastAsia="Palatino Linotype" w:hAnsi="Palatino Linotype" w:cs="Palatino Linotype"/>
          <w:color w:val="000000"/>
        </w:rPr>
      </w:pPr>
    </w:p>
    <w:p w14:paraId="71F9914C" w14:textId="77777777" w:rsidR="00546469" w:rsidRDefault="00546469">
      <w:pPr>
        <w:spacing w:line="360" w:lineRule="auto"/>
        <w:jc w:val="both"/>
        <w:rPr>
          <w:rFonts w:ascii="Palatino Linotype" w:eastAsia="Palatino Linotype" w:hAnsi="Palatino Linotype" w:cs="Palatino Linotype"/>
          <w:color w:val="000000"/>
        </w:rPr>
      </w:pPr>
    </w:p>
    <w:p w14:paraId="0E47FADC" w14:textId="77777777" w:rsidR="00546469" w:rsidRDefault="00546469">
      <w:pPr>
        <w:spacing w:line="360" w:lineRule="auto"/>
        <w:jc w:val="both"/>
        <w:rPr>
          <w:rFonts w:ascii="Palatino Linotype" w:eastAsia="Palatino Linotype" w:hAnsi="Palatino Linotype" w:cs="Palatino Linotype"/>
          <w:color w:val="000000"/>
        </w:rPr>
      </w:pPr>
    </w:p>
    <w:p w14:paraId="7A6F9346" w14:textId="77777777" w:rsidR="002467F2" w:rsidRPr="003C7186" w:rsidRDefault="002467F2" w:rsidP="002467F2">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2571DDF7" w14:textId="77777777" w:rsidR="00A74653" w:rsidRDefault="00A74653">
      <w:pPr>
        <w:spacing w:line="360" w:lineRule="auto"/>
        <w:ind w:right="48"/>
        <w:jc w:val="both"/>
        <w:rPr>
          <w:rFonts w:ascii="Palatino Linotype" w:eastAsia="Palatino Linotype" w:hAnsi="Palatino Linotype" w:cs="Palatino Linotype"/>
        </w:rPr>
      </w:pPr>
    </w:p>
    <w:p w14:paraId="1C5D1830" w14:textId="77777777" w:rsidR="00A74653" w:rsidRDefault="00A74653">
      <w:pPr>
        <w:spacing w:line="360" w:lineRule="auto"/>
        <w:ind w:right="48"/>
        <w:jc w:val="both"/>
        <w:rPr>
          <w:rFonts w:ascii="Palatino Linotype" w:eastAsia="Palatino Linotype" w:hAnsi="Palatino Linotype" w:cs="Palatino Linotype"/>
        </w:rPr>
      </w:pPr>
    </w:p>
    <w:p w14:paraId="3A75998B" w14:textId="77777777" w:rsidR="00A74653" w:rsidRDefault="00A74653">
      <w:pPr>
        <w:spacing w:line="360" w:lineRule="auto"/>
        <w:ind w:right="48"/>
        <w:jc w:val="both"/>
        <w:rPr>
          <w:rFonts w:ascii="Palatino Linotype" w:eastAsia="Palatino Linotype" w:hAnsi="Palatino Linotype" w:cs="Palatino Linotype"/>
        </w:rPr>
      </w:pPr>
    </w:p>
    <w:p w14:paraId="4C903480" w14:textId="77777777" w:rsidR="00A74653" w:rsidRDefault="00A74653">
      <w:pPr>
        <w:spacing w:line="360" w:lineRule="auto"/>
        <w:ind w:right="48"/>
        <w:jc w:val="both"/>
        <w:rPr>
          <w:rFonts w:ascii="Palatino Linotype" w:eastAsia="Palatino Linotype" w:hAnsi="Palatino Linotype" w:cs="Palatino Linotype"/>
        </w:rPr>
      </w:pPr>
    </w:p>
    <w:p w14:paraId="533AE585" w14:textId="77777777" w:rsidR="00A74653" w:rsidRDefault="00A74653">
      <w:pPr>
        <w:spacing w:line="360" w:lineRule="auto"/>
        <w:ind w:right="48"/>
        <w:jc w:val="both"/>
        <w:rPr>
          <w:rFonts w:ascii="Palatino Linotype" w:eastAsia="Palatino Linotype" w:hAnsi="Palatino Linotype" w:cs="Palatino Linotype"/>
        </w:rPr>
      </w:pPr>
    </w:p>
    <w:p w14:paraId="1584030D" w14:textId="77777777" w:rsidR="00A74653" w:rsidRDefault="00A74653">
      <w:pPr>
        <w:spacing w:line="360" w:lineRule="auto"/>
        <w:ind w:right="48"/>
        <w:jc w:val="both"/>
        <w:rPr>
          <w:rFonts w:ascii="Palatino Linotype" w:eastAsia="Palatino Linotype" w:hAnsi="Palatino Linotype" w:cs="Palatino Linotype"/>
        </w:rPr>
      </w:pPr>
    </w:p>
    <w:p w14:paraId="0475B423" w14:textId="77777777" w:rsidR="00A74653" w:rsidRDefault="00A74653">
      <w:pPr>
        <w:spacing w:line="360" w:lineRule="auto"/>
        <w:ind w:right="48"/>
        <w:jc w:val="both"/>
        <w:rPr>
          <w:rFonts w:ascii="Palatino Linotype" w:eastAsia="Palatino Linotype" w:hAnsi="Palatino Linotype" w:cs="Palatino Linotype"/>
        </w:rPr>
      </w:pPr>
    </w:p>
    <w:p w14:paraId="328C4ED9" w14:textId="77777777" w:rsidR="00A74653" w:rsidRDefault="00A74653">
      <w:pPr>
        <w:spacing w:line="360" w:lineRule="auto"/>
        <w:ind w:right="48"/>
        <w:jc w:val="both"/>
        <w:rPr>
          <w:rFonts w:ascii="Palatino Linotype" w:eastAsia="Palatino Linotype" w:hAnsi="Palatino Linotype" w:cs="Palatino Linotype"/>
        </w:rPr>
      </w:pPr>
    </w:p>
    <w:p w14:paraId="4BB9B425" w14:textId="77777777" w:rsidR="00A74653" w:rsidRDefault="00A74653">
      <w:pPr>
        <w:spacing w:line="360" w:lineRule="auto"/>
        <w:ind w:right="48"/>
        <w:jc w:val="both"/>
        <w:rPr>
          <w:rFonts w:ascii="Palatino Linotype" w:eastAsia="Palatino Linotype" w:hAnsi="Palatino Linotype" w:cs="Palatino Linotype"/>
        </w:rPr>
      </w:pPr>
    </w:p>
    <w:p w14:paraId="2E40DD10" w14:textId="77777777" w:rsidR="00A74653" w:rsidRDefault="00A74653">
      <w:pPr>
        <w:spacing w:line="360" w:lineRule="auto"/>
        <w:ind w:right="48"/>
        <w:jc w:val="both"/>
        <w:rPr>
          <w:rFonts w:ascii="Palatino Linotype" w:eastAsia="Palatino Linotype" w:hAnsi="Palatino Linotype" w:cs="Palatino Linotype"/>
        </w:rPr>
      </w:pPr>
    </w:p>
    <w:p w14:paraId="096D7EB1" w14:textId="77777777" w:rsidR="00A74653" w:rsidRDefault="00A74653">
      <w:pPr>
        <w:spacing w:line="360" w:lineRule="auto"/>
        <w:ind w:right="48"/>
        <w:jc w:val="both"/>
        <w:rPr>
          <w:rFonts w:ascii="Palatino Linotype" w:eastAsia="Palatino Linotype" w:hAnsi="Palatino Linotype" w:cs="Palatino Linotype"/>
        </w:rPr>
      </w:pPr>
    </w:p>
    <w:p w14:paraId="48A1F18A" w14:textId="77777777" w:rsidR="00A74653" w:rsidRDefault="00A74653">
      <w:pPr>
        <w:spacing w:line="360" w:lineRule="auto"/>
        <w:ind w:right="48"/>
        <w:jc w:val="both"/>
        <w:rPr>
          <w:rFonts w:ascii="Palatino Linotype" w:eastAsia="Palatino Linotype" w:hAnsi="Palatino Linotype" w:cs="Palatino Linotype"/>
        </w:rPr>
      </w:pPr>
    </w:p>
    <w:p w14:paraId="07BC1F8A" w14:textId="77777777" w:rsidR="00A74653" w:rsidRDefault="00A74653">
      <w:pPr>
        <w:spacing w:line="360" w:lineRule="auto"/>
        <w:ind w:right="48"/>
        <w:jc w:val="both"/>
        <w:rPr>
          <w:rFonts w:ascii="Palatino Linotype" w:eastAsia="Palatino Linotype" w:hAnsi="Palatino Linotype" w:cs="Palatino Linotype"/>
        </w:rPr>
      </w:pPr>
    </w:p>
    <w:p w14:paraId="5712B3E5" w14:textId="77777777" w:rsidR="00A74653" w:rsidRDefault="00A74653">
      <w:pPr>
        <w:spacing w:line="360" w:lineRule="auto"/>
        <w:ind w:right="48"/>
        <w:jc w:val="both"/>
        <w:rPr>
          <w:rFonts w:ascii="Palatino Linotype" w:eastAsia="Palatino Linotype" w:hAnsi="Palatino Linotype" w:cs="Palatino Linotype"/>
        </w:rPr>
      </w:pPr>
    </w:p>
    <w:p w14:paraId="038C2BF7" w14:textId="77777777" w:rsidR="00A74653" w:rsidRDefault="001268B9">
      <w:pPr>
        <w:spacing w:line="360" w:lineRule="auto"/>
        <w:rPr>
          <w:rFonts w:ascii="Palatino Linotype" w:eastAsia="Palatino Linotype" w:hAnsi="Palatino Linotype" w:cs="Palatino Linotype"/>
          <w:color w:val="000000"/>
        </w:rPr>
      </w:pPr>
      <w:r>
        <w:br w:type="page"/>
      </w:r>
    </w:p>
    <w:sectPr w:rsidR="00A74653">
      <w:headerReference w:type="default" r:id="rId8"/>
      <w:footerReference w:type="default" r:id="rId9"/>
      <w:headerReference w:type="first" r:id="rId10"/>
      <w:footerReference w:type="first" r:id="rId11"/>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19C4" w14:textId="77777777" w:rsidR="00A82991" w:rsidRDefault="00A82991">
      <w:r>
        <w:separator/>
      </w:r>
    </w:p>
  </w:endnote>
  <w:endnote w:type="continuationSeparator" w:id="0">
    <w:p w14:paraId="4BB5505E" w14:textId="77777777" w:rsidR="00A82991" w:rsidRDefault="00A8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F728" w14:textId="77777777" w:rsidR="00A74653" w:rsidRDefault="001268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546469">
      <w:rPr>
        <w:rFonts w:ascii="Palatino Linotype" w:eastAsia="Palatino Linotype" w:hAnsi="Palatino Linotype" w:cs="Palatino Linotype"/>
        <w:b/>
        <w:noProof/>
        <w:color w:val="000000"/>
        <w:sz w:val="22"/>
        <w:szCs w:val="22"/>
      </w:rPr>
      <w:t>32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546469">
      <w:rPr>
        <w:rFonts w:ascii="Palatino Linotype" w:eastAsia="Palatino Linotype" w:hAnsi="Palatino Linotype" w:cs="Palatino Linotype"/>
        <w:b/>
        <w:noProof/>
        <w:color w:val="000000"/>
        <w:sz w:val="22"/>
        <w:szCs w:val="22"/>
      </w:rPr>
      <w:t>33</w:t>
    </w:r>
    <w:r>
      <w:rPr>
        <w:rFonts w:ascii="Palatino Linotype" w:eastAsia="Palatino Linotype" w:hAnsi="Palatino Linotype" w:cs="Palatino Linotype"/>
        <w:b/>
        <w:color w:val="000000"/>
        <w:sz w:val="22"/>
        <w:szCs w:val="22"/>
      </w:rPr>
      <w:fldChar w:fldCharType="end"/>
    </w:r>
  </w:p>
  <w:p w14:paraId="70C3BA1B" w14:textId="77777777" w:rsidR="00A74653" w:rsidRDefault="00A7465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D0AB" w14:textId="77777777" w:rsidR="00A74653" w:rsidRDefault="001268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4646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46469">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p w14:paraId="11F80FA8" w14:textId="77777777" w:rsidR="00A74653" w:rsidRDefault="00A7465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E955" w14:textId="77777777" w:rsidR="00A82991" w:rsidRDefault="00A82991">
      <w:r>
        <w:separator/>
      </w:r>
    </w:p>
  </w:footnote>
  <w:footnote w:type="continuationSeparator" w:id="0">
    <w:p w14:paraId="5A095B46" w14:textId="77777777" w:rsidR="00A82991" w:rsidRDefault="00A82991">
      <w:r>
        <w:continuationSeparator/>
      </w:r>
    </w:p>
  </w:footnote>
  <w:footnote w:id="1">
    <w:p w14:paraId="37673D36"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b/>
          <w:color w:val="000000"/>
          <w:sz w:val="20"/>
          <w:szCs w:val="20"/>
        </w:rPr>
        <w:t>Artículo 181.-</w:t>
      </w:r>
      <w:r>
        <w:rPr>
          <w:color w:val="000000"/>
          <w:sz w:val="20"/>
          <w:szCs w:val="20"/>
        </w:rPr>
        <w:t xml:space="preserve"> (…)</w:t>
      </w:r>
    </w:p>
    <w:p w14:paraId="0EA4161D" w14:textId="77777777" w:rsidR="00A74653" w:rsidRDefault="001268B9">
      <w:pPr>
        <w:pBdr>
          <w:top w:val="nil"/>
          <w:left w:val="nil"/>
          <w:bottom w:val="nil"/>
          <w:right w:val="nil"/>
          <w:between w:val="nil"/>
        </w:pBdr>
        <w:rPr>
          <w:color w:val="000000"/>
          <w:sz w:val="20"/>
          <w:szCs w:val="20"/>
        </w:rPr>
      </w:pPr>
      <w:r>
        <w:rPr>
          <w:color w:val="000000"/>
          <w:sz w:val="20"/>
          <w:szCs w:val="20"/>
        </w:rPr>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14:paraId="47F113AD" w14:textId="77777777" w:rsidR="00A74653" w:rsidRDefault="001268B9">
      <w:pPr>
        <w:pBdr>
          <w:top w:val="nil"/>
          <w:left w:val="nil"/>
          <w:bottom w:val="nil"/>
          <w:right w:val="nil"/>
          <w:between w:val="nil"/>
        </w:pBdr>
        <w:rPr>
          <w:color w:val="000000"/>
          <w:sz w:val="20"/>
          <w:szCs w:val="20"/>
        </w:rPr>
      </w:pPr>
      <w:r>
        <w:rPr>
          <w:color w:val="000000"/>
          <w:sz w:val="20"/>
          <w:szCs w:val="20"/>
        </w:rPr>
        <w:t>(…)”</w:t>
      </w:r>
    </w:p>
  </w:footnote>
  <w:footnote w:id="2">
    <w:p w14:paraId="068CB615" w14:textId="77777777" w:rsidR="00A74653" w:rsidRDefault="001268B9">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3">
    <w:p w14:paraId="5F31FC20"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2002351.</w:t>
      </w:r>
    </w:p>
  </w:footnote>
  <w:footnote w:id="4">
    <w:p w14:paraId="1BA22FD1"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2002350.</w:t>
      </w:r>
    </w:p>
  </w:footnote>
  <w:footnote w:id="5">
    <w:p w14:paraId="381136C0" w14:textId="77777777" w:rsidR="00A74653" w:rsidRDefault="001268B9">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Artículo 178.</w:t>
      </w:r>
      <w:r>
        <w:rPr>
          <w:color w:val="000000"/>
          <w:sz w:val="20"/>
          <w:szCs w:val="20"/>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76E24B7" w14:textId="77777777" w:rsidR="00A74653" w:rsidRDefault="001268B9">
      <w:pPr>
        <w:pBdr>
          <w:top w:val="nil"/>
          <w:left w:val="nil"/>
          <w:bottom w:val="nil"/>
          <w:right w:val="nil"/>
          <w:between w:val="nil"/>
        </w:pBdr>
        <w:jc w:val="both"/>
        <w:rPr>
          <w:color w:val="000000"/>
          <w:sz w:val="20"/>
          <w:szCs w:val="20"/>
        </w:rPr>
      </w:pPr>
      <w:r>
        <w:rPr>
          <w:color w:val="000000"/>
          <w:sz w:val="20"/>
          <w:szCs w:val="20"/>
        </w:rPr>
        <w:t>(…)”</w:t>
      </w:r>
    </w:p>
  </w:footnote>
  <w:footnote w:id="6">
    <w:p w14:paraId="27834677"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7">
    <w:p w14:paraId="72330FBB"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8">
    <w:p w14:paraId="2BEF643C"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9">
    <w:p w14:paraId="19E50979"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0">
    <w:p w14:paraId="02A918DD"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1">
    <w:p w14:paraId="2C2B88B7"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2">
    <w:p w14:paraId="1D289154" w14:textId="77777777" w:rsidR="00A74653" w:rsidRDefault="001268B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385BFA84" w14:textId="77777777" w:rsidR="00A74653" w:rsidRDefault="001268B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“Artículo </w:t>
      </w:r>
      <w:proofErr w:type="gramStart"/>
      <w:r>
        <w:rPr>
          <w:rFonts w:ascii="Palatino Linotype" w:eastAsia="Palatino Linotype" w:hAnsi="Palatino Linotype" w:cs="Palatino Linotype"/>
          <w:color w:val="000000"/>
          <w:sz w:val="18"/>
          <w:szCs w:val="18"/>
        </w:rPr>
        <w:t>9.(</w:t>
      </w:r>
      <w:proofErr w:type="gramEnd"/>
      <w:r>
        <w:rPr>
          <w:rFonts w:ascii="Palatino Linotype" w:eastAsia="Palatino Linotype" w:hAnsi="Palatino Linotype" w:cs="Palatino Linotype"/>
          <w:color w:val="000000"/>
          <w:sz w:val="18"/>
          <w:szCs w:val="18"/>
        </w:rPr>
        <w:t>…)</w:t>
      </w:r>
    </w:p>
    <w:p w14:paraId="3BA659DE" w14:textId="77777777" w:rsidR="00A74653" w:rsidRDefault="001268B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77D27129" w14:textId="77777777" w:rsidR="00A74653" w:rsidRDefault="001268B9">
      <w:pPr>
        <w:pBdr>
          <w:top w:val="nil"/>
          <w:left w:val="nil"/>
          <w:bottom w:val="nil"/>
          <w:right w:val="nil"/>
          <w:between w:val="nil"/>
        </w:pBdr>
        <w:rPr>
          <w:color w:val="000000"/>
          <w:sz w:val="20"/>
          <w:szCs w:val="20"/>
        </w:rPr>
      </w:pPr>
      <w:r>
        <w:rPr>
          <w:color w:val="000000"/>
          <w:sz w:val="20"/>
          <w:szCs w:val="20"/>
        </w:rPr>
        <w:t>(…)”</w:t>
      </w:r>
    </w:p>
  </w:footnote>
  <w:footnote w:id="13">
    <w:p w14:paraId="5F4C3817"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33, Ley de Responsabilidades Administrativas del Estado de México y Municipios.</w:t>
      </w:r>
    </w:p>
  </w:footnote>
  <w:footnote w:id="14">
    <w:p w14:paraId="0A10B07D"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44, Ley de Responsabilidades Administrativas del Estado de México y Municipios.</w:t>
      </w:r>
    </w:p>
  </w:footnote>
  <w:footnote w:id="15">
    <w:p w14:paraId="3D4F4EA0"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16">
    <w:p w14:paraId="26883834"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110, Ley Orgánica Municipal del Estado de México.</w:t>
      </w:r>
    </w:p>
  </w:footnote>
  <w:footnote w:id="17">
    <w:p w14:paraId="52E0E1D4" w14:textId="77777777" w:rsidR="00A74653" w:rsidRDefault="001268B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https://www.dof.gob.mx/nota_detalle.php?codigo=5582735&amp;fecha=24/12/2019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BF2C" w14:textId="77777777" w:rsidR="00A74653" w:rsidRDefault="00A74653">
    <w:pPr>
      <w:widowControl w:val="0"/>
      <w:pBdr>
        <w:top w:val="nil"/>
        <w:left w:val="nil"/>
        <w:bottom w:val="nil"/>
        <w:right w:val="nil"/>
        <w:between w:val="nil"/>
      </w:pBdr>
      <w:spacing w:line="276" w:lineRule="auto"/>
      <w:rPr>
        <w:color w:val="000000"/>
        <w:sz w:val="20"/>
        <w:szCs w:val="20"/>
      </w:rPr>
    </w:pPr>
  </w:p>
  <w:tbl>
    <w:tblPr>
      <w:tblStyle w:val="a0"/>
      <w:tblW w:w="723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3411"/>
    </w:tblGrid>
    <w:tr w:rsidR="00A74653" w14:paraId="5CC81A33" w14:textId="77777777">
      <w:trPr>
        <w:trHeight w:val="138"/>
        <w:jc w:val="right"/>
      </w:trPr>
      <w:tc>
        <w:tcPr>
          <w:tcW w:w="3828" w:type="dxa"/>
          <w:vAlign w:val="center"/>
        </w:tcPr>
        <w:p w14:paraId="6045D5F3" w14:textId="77777777" w:rsidR="00A74653" w:rsidRDefault="00A74653">
          <w:pPr>
            <w:ind w:right="34"/>
            <w:jc w:val="right"/>
            <w:rPr>
              <w:rFonts w:ascii="Palatino Linotype" w:eastAsia="Palatino Linotype" w:hAnsi="Palatino Linotype" w:cs="Palatino Linotype"/>
              <w:b/>
            </w:rPr>
          </w:pPr>
        </w:p>
      </w:tc>
      <w:tc>
        <w:tcPr>
          <w:tcW w:w="3411" w:type="dxa"/>
          <w:vAlign w:val="center"/>
        </w:tcPr>
        <w:p w14:paraId="722DA962" w14:textId="77777777" w:rsidR="00A74653" w:rsidRDefault="00A74653">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p>
      </w:tc>
    </w:tr>
    <w:tr w:rsidR="00A74653" w14:paraId="1FDD8C1E" w14:textId="77777777">
      <w:trPr>
        <w:trHeight w:val="138"/>
        <w:jc w:val="right"/>
      </w:trPr>
      <w:tc>
        <w:tcPr>
          <w:tcW w:w="3828" w:type="dxa"/>
          <w:vAlign w:val="center"/>
        </w:tcPr>
        <w:p w14:paraId="03A1EB46" w14:textId="77777777" w:rsidR="00A74653" w:rsidRDefault="001268B9">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11" w:type="dxa"/>
          <w:vAlign w:val="center"/>
        </w:tcPr>
        <w:p w14:paraId="75CBA09D" w14:textId="77777777" w:rsidR="00A74653" w:rsidRDefault="001268B9">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03303/INFOEM/IP/RR/2024</w:t>
          </w:r>
        </w:p>
      </w:tc>
    </w:tr>
    <w:tr w:rsidR="00A74653" w14:paraId="17CD2849" w14:textId="77777777">
      <w:trPr>
        <w:trHeight w:val="233"/>
        <w:jc w:val="right"/>
      </w:trPr>
      <w:tc>
        <w:tcPr>
          <w:tcW w:w="3828" w:type="dxa"/>
          <w:vAlign w:val="center"/>
        </w:tcPr>
        <w:p w14:paraId="11550FBA" w14:textId="77777777" w:rsidR="00A74653" w:rsidRDefault="001268B9">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11" w:type="dxa"/>
          <w:vAlign w:val="center"/>
        </w:tcPr>
        <w:p w14:paraId="07490839" w14:textId="77777777" w:rsidR="00A74653" w:rsidRDefault="001268B9">
          <w:pPr>
            <w:pBdr>
              <w:top w:val="nil"/>
              <w:left w:val="nil"/>
              <w:bottom w:val="nil"/>
              <w:right w:val="nil"/>
              <w:between w:val="nil"/>
            </w:pBdr>
            <w:tabs>
              <w:tab w:val="center" w:pos="4252"/>
              <w:tab w:val="right" w:pos="8504"/>
            </w:tabs>
            <w:rPr>
              <w:rFonts w:ascii="Palatino Linotype" w:eastAsia="Palatino Linotype" w:hAnsi="Palatino Linotype" w:cs="Palatino Linotype"/>
              <w:sz w:val="21"/>
              <w:szCs w:val="21"/>
            </w:rPr>
          </w:pPr>
          <w:r>
            <w:rPr>
              <w:rFonts w:ascii="Palatino Linotype" w:eastAsia="Palatino Linotype" w:hAnsi="Palatino Linotype" w:cs="Palatino Linotype"/>
            </w:rPr>
            <w:t>Ayuntamiento de Zumpango</w:t>
          </w:r>
        </w:p>
      </w:tc>
    </w:tr>
    <w:tr w:rsidR="00A74653" w14:paraId="1C197833" w14:textId="77777777">
      <w:trPr>
        <w:trHeight w:val="321"/>
        <w:jc w:val="right"/>
      </w:trPr>
      <w:tc>
        <w:tcPr>
          <w:tcW w:w="3828" w:type="dxa"/>
          <w:vAlign w:val="center"/>
        </w:tcPr>
        <w:p w14:paraId="348F2720" w14:textId="77777777" w:rsidR="00A74653" w:rsidRDefault="001268B9">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11" w:type="dxa"/>
          <w:vAlign w:val="center"/>
        </w:tcPr>
        <w:p w14:paraId="72DCCFB6" w14:textId="77777777" w:rsidR="00A74653" w:rsidRDefault="001268B9">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1824F267" w14:textId="77777777" w:rsidR="00A74653" w:rsidRDefault="001268B9">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30376CE4" wp14:editId="59593A72">
          <wp:simplePos x="0" y="0"/>
          <wp:positionH relativeFrom="page">
            <wp:posOffset>34285</wp:posOffset>
          </wp:positionH>
          <wp:positionV relativeFrom="page">
            <wp:posOffset>13335</wp:posOffset>
          </wp:positionV>
          <wp:extent cx="7694930" cy="100203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3F03" w14:textId="77777777" w:rsidR="00A74653" w:rsidRDefault="00A74653">
    <w:pPr>
      <w:widowControl w:val="0"/>
      <w:pBdr>
        <w:top w:val="nil"/>
        <w:left w:val="nil"/>
        <w:bottom w:val="nil"/>
        <w:right w:val="nil"/>
        <w:between w:val="nil"/>
      </w:pBdr>
      <w:spacing w:line="276" w:lineRule="auto"/>
      <w:rPr>
        <w:color w:val="000000"/>
      </w:rPr>
    </w:pPr>
  </w:p>
  <w:tbl>
    <w:tblPr>
      <w:tblStyle w:val="a1"/>
      <w:tblW w:w="72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828"/>
      <w:gridCol w:w="3407"/>
    </w:tblGrid>
    <w:tr w:rsidR="00A74653" w14:paraId="660896C9" w14:textId="77777777">
      <w:trPr>
        <w:trHeight w:val="138"/>
        <w:jc w:val="right"/>
      </w:trPr>
      <w:tc>
        <w:tcPr>
          <w:tcW w:w="3828" w:type="dxa"/>
          <w:vAlign w:val="center"/>
        </w:tcPr>
        <w:p w14:paraId="698F2D28" w14:textId="77777777" w:rsidR="00A74653" w:rsidRDefault="001268B9">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3407" w:type="dxa"/>
          <w:vAlign w:val="center"/>
        </w:tcPr>
        <w:p w14:paraId="34C433EB" w14:textId="77777777" w:rsidR="00A74653" w:rsidRDefault="001268B9">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03303/INFOEM/IP/RR/2024</w:t>
          </w:r>
        </w:p>
      </w:tc>
    </w:tr>
    <w:tr w:rsidR="00A74653" w14:paraId="491A70F4" w14:textId="77777777">
      <w:trPr>
        <w:trHeight w:val="233"/>
        <w:jc w:val="right"/>
      </w:trPr>
      <w:tc>
        <w:tcPr>
          <w:tcW w:w="3828" w:type="dxa"/>
          <w:vAlign w:val="center"/>
        </w:tcPr>
        <w:p w14:paraId="728D83BE" w14:textId="77777777" w:rsidR="00A74653" w:rsidRDefault="001268B9">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7" w:type="dxa"/>
        </w:tcPr>
        <w:p w14:paraId="3A04115A" w14:textId="3D5AACAC" w:rsidR="00A74653" w:rsidRDefault="00FE1378">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A74653" w14:paraId="1E7222FE" w14:textId="77777777">
      <w:trPr>
        <w:trHeight w:val="321"/>
        <w:jc w:val="right"/>
      </w:trPr>
      <w:tc>
        <w:tcPr>
          <w:tcW w:w="3828" w:type="dxa"/>
          <w:vAlign w:val="center"/>
        </w:tcPr>
        <w:p w14:paraId="166C1084" w14:textId="77777777" w:rsidR="00A74653" w:rsidRDefault="001268B9">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7" w:type="dxa"/>
          <w:vAlign w:val="center"/>
        </w:tcPr>
        <w:p w14:paraId="4AC2638E" w14:textId="77777777" w:rsidR="00A74653" w:rsidRDefault="001268B9">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Zumpango</w:t>
          </w:r>
        </w:p>
      </w:tc>
    </w:tr>
    <w:tr w:rsidR="00A74653" w14:paraId="205C0A52" w14:textId="77777777">
      <w:trPr>
        <w:trHeight w:val="321"/>
        <w:jc w:val="right"/>
      </w:trPr>
      <w:tc>
        <w:tcPr>
          <w:tcW w:w="3828" w:type="dxa"/>
          <w:vAlign w:val="center"/>
        </w:tcPr>
        <w:p w14:paraId="1BB52D09" w14:textId="77777777" w:rsidR="00A74653" w:rsidRDefault="001268B9">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7" w:type="dxa"/>
          <w:vAlign w:val="center"/>
        </w:tcPr>
        <w:p w14:paraId="108D860B" w14:textId="77777777" w:rsidR="00A74653" w:rsidRDefault="001268B9">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604B9B8" w14:textId="77777777" w:rsidR="00A74653" w:rsidRDefault="00A82991">
    <w:pPr>
      <w:pBdr>
        <w:top w:val="nil"/>
        <w:left w:val="nil"/>
        <w:bottom w:val="nil"/>
        <w:right w:val="nil"/>
        <w:between w:val="nil"/>
      </w:pBdr>
      <w:tabs>
        <w:tab w:val="center" w:pos="4252"/>
        <w:tab w:val="right" w:pos="8504"/>
        <w:tab w:val="left" w:pos="3103"/>
      </w:tabs>
      <w:rPr>
        <w:color w:val="000000"/>
      </w:rPr>
    </w:pPr>
    <w:r>
      <w:rPr>
        <w:color w:val="000000"/>
      </w:rPr>
      <w:pict w14:anchorId="4F241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8.55pt;margin-top:-111.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BB6"/>
    <w:multiLevelType w:val="multilevel"/>
    <w:tmpl w:val="FA68EC3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82758"/>
    <w:multiLevelType w:val="multilevel"/>
    <w:tmpl w:val="187C955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46400E"/>
    <w:multiLevelType w:val="multilevel"/>
    <w:tmpl w:val="5098702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upperRoman"/>
      <w:lvlText w:val="%3."/>
      <w:lvlJc w:val="righ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BA61C3"/>
    <w:multiLevelType w:val="multilevel"/>
    <w:tmpl w:val="9DF448AA"/>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F34B19"/>
    <w:multiLevelType w:val="multilevel"/>
    <w:tmpl w:val="78C23DE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EA0F67"/>
    <w:multiLevelType w:val="multilevel"/>
    <w:tmpl w:val="4E8E0D3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72834B6F"/>
    <w:multiLevelType w:val="multilevel"/>
    <w:tmpl w:val="576C404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284DF1"/>
    <w:multiLevelType w:val="multilevel"/>
    <w:tmpl w:val="C40C9C2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C840FE"/>
    <w:multiLevelType w:val="multilevel"/>
    <w:tmpl w:val="062ACF9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3608915">
    <w:abstractNumId w:val="6"/>
  </w:num>
  <w:num w:numId="2" w16cid:durableId="165631390">
    <w:abstractNumId w:val="3"/>
  </w:num>
  <w:num w:numId="3" w16cid:durableId="2112508700">
    <w:abstractNumId w:val="7"/>
  </w:num>
  <w:num w:numId="4" w16cid:durableId="1888225705">
    <w:abstractNumId w:val="0"/>
  </w:num>
  <w:num w:numId="5" w16cid:durableId="1093209598">
    <w:abstractNumId w:val="2"/>
  </w:num>
  <w:num w:numId="6" w16cid:durableId="799807736">
    <w:abstractNumId w:val="8"/>
  </w:num>
  <w:num w:numId="7" w16cid:durableId="340863338">
    <w:abstractNumId w:val="1"/>
  </w:num>
  <w:num w:numId="8" w16cid:durableId="1402871061">
    <w:abstractNumId w:val="4"/>
  </w:num>
  <w:num w:numId="9" w16cid:durableId="1281183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53"/>
    <w:rsid w:val="001268B9"/>
    <w:rsid w:val="002467F2"/>
    <w:rsid w:val="0051475F"/>
    <w:rsid w:val="00546469"/>
    <w:rsid w:val="00A74653"/>
    <w:rsid w:val="00A82991"/>
    <w:rsid w:val="00FE1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0CA76"/>
  <w15:docId w15:val="{CE4FAA48-D2C4-4C7B-9FDD-C7E42EF4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semiHidden/>
    <w:unhideWhenUsed/>
    <w:qFormat/>
    <w:rsid w:val="00B5543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3Car">
    <w:name w:val="Título 3 Car"/>
    <w:basedOn w:val="Fuentedeprrafopredeter"/>
    <w:link w:val="Ttulo3"/>
    <w:uiPriority w:val="9"/>
    <w:semiHidden/>
    <w:rsid w:val="00B5543F"/>
    <w:rPr>
      <w:rFonts w:asciiTheme="majorHAnsi" w:eastAsiaTheme="majorEastAsia" w:hAnsiTheme="majorHAnsi" w:cstheme="majorBidi"/>
      <w:color w:val="243F60" w:themeColor="accent1" w:themeShade="7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6fRYTnWjmHQhcSXk28tH9xlbg==">CgMxLjAyCGguZ2pkZ3hzMgloLjMwajB6bGwyCWguMWZvYjl0ZTIJaC4zem55c2g3MgloLjJldDkycDAyCGgudHlqY3d0MgloLjNkeTZ2a20yCWguMXQzaDVzZjIJaC40ZDM0b2c4MgloLjE3ZHA4dnU4AHIhMVJZb3gzMHhReXhiQkJJa21sRkpwUllNa3dWNTZUV2t2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7595</Words>
  <Characters>41773</Characters>
  <Application>Microsoft Office Word</Application>
  <DocSecurity>0</DocSecurity>
  <Lines>348</Lines>
  <Paragraphs>98</Paragraphs>
  <ScaleCrop>false</ScaleCrop>
  <Company>HP Inc.</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4</cp:revision>
  <dcterms:created xsi:type="dcterms:W3CDTF">2024-09-05T21:10:00Z</dcterms:created>
  <dcterms:modified xsi:type="dcterms:W3CDTF">2024-10-08T17:43:00Z</dcterms:modified>
</cp:coreProperties>
</file>